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09C8" w:rsidR="000009C8" w:rsidP="000009C8" w:rsidRDefault="000009C8" w14:paraId="30DF7587" w14:textId="77777777">
      <w:pPr>
        <w:autoSpaceDN w:val="0"/>
        <w:spacing w:after="0" w:line="240" w:lineRule="auto"/>
        <w:textAlignment w:val="baseline"/>
        <w:rPr>
          <w:rFonts w:ascii="Verdana" w:hAnsi="Verdana" w:eastAsia="DejaVu Sans" w:cs="Lohit Hindi"/>
          <w:b/>
          <w:bCs/>
          <w:color w:val="000000"/>
          <w:kern w:val="0"/>
          <w:sz w:val="18"/>
          <w:szCs w:val="18"/>
          <w:lang w:eastAsia="nl-NL"/>
          <w14:ligatures w14:val="none"/>
        </w:rPr>
      </w:pPr>
      <w:r w:rsidRPr="000009C8">
        <w:rPr>
          <w:rFonts w:ascii="Verdana" w:hAnsi="Verdana" w:eastAsia="DejaVu Sans" w:cs="Lohit Hindi"/>
          <w:b/>
          <w:bCs/>
          <w:color w:val="000000"/>
          <w:kern w:val="0"/>
          <w:sz w:val="18"/>
          <w:szCs w:val="18"/>
          <w:lang w:eastAsia="nl-NL"/>
          <w14:ligatures w14:val="none"/>
        </w:rPr>
        <w:t>Budgettaire bijlage box 3</w:t>
      </w:r>
    </w:p>
    <w:p w:rsidRPr="000009C8" w:rsidR="000009C8" w:rsidP="000009C8" w:rsidRDefault="000009C8" w14:paraId="07AC8241" w14:textId="6C762873">
      <w:pPr>
        <w:numPr>
          <w:ilvl w:val="0"/>
          <w:numId w:val="3"/>
        </w:numPr>
        <w:autoSpaceDN w:val="0"/>
        <w:spacing w:after="0" w:line="240" w:lineRule="auto"/>
        <w:contextualSpacing/>
        <w:textAlignment w:val="baseline"/>
        <w:rPr>
          <w:rFonts w:ascii="Verdana" w:hAnsi="Verdana" w:eastAsia="DejaVu Sans" w:cs="Lohit Hindi"/>
          <w:color w:val="000000"/>
          <w:kern w:val="0"/>
          <w:sz w:val="18"/>
          <w:szCs w:val="18"/>
          <w:lang w:eastAsia="nl-NL"/>
          <w14:ligatures w14:val="none"/>
        </w:rPr>
      </w:pPr>
      <w:r w:rsidRPr="000009C8">
        <w:rPr>
          <w:rFonts w:ascii="Verdana" w:hAnsi="Verdana" w:eastAsia="DejaVu Sans" w:cs="Lohit Hindi"/>
          <w:color w:val="000000"/>
          <w:kern w:val="0"/>
          <w:sz w:val="18"/>
          <w:szCs w:val="18"/>
          <w:lang w:eastAsia="nl-NL"/>
          <w14:ligatures w14:val="none"/>
        </w:rPr>
        <w:t>Het toevoegen van kostenaftrek en het niet verhogen van het forfait voor overige bezittingen leiden tot grote, incidentele dervingen in 2026 en 2027, die niet meer te dekken zijn binnen box 3 door</w:t>
      </w:r>
      <w:r w:rsidR="00310CA9">
        <w:rPr>
          <w:rFonts w:ascii="Verdana" w:hAnsi="Verdana" w:eastAsia="DejaVu Sans" w:cs="Lohit Hindi"/>
          <w:color w:val="000000"/>
          <w:kern w:val="0"/>
          <w:sz w:val="18"/>
          <w:szCs w:val="18"/>
          <w:lang w:eastAsia="nl-NL"/>
          <w14:ligatures w14:val="none"/>
        </w:rPr>
        <w:t xml:space="preserve"> </w:t>
      </w:r>
      <w:r w:rsidRPr="000009C8">
        <w:rPr>
          <w:rFonts w:ascii="Verdana" w:hAnsi="Verdana" w:eastAsia="DejaVu Sans" w:cs="Lohit Hindi"/>
          <w:color w:val="000000"/>
          <w:kern w:val="0"/>
          <w:sz w:val="18"/>
          <w:szCs w:val="18"/>
          <w:lang w:eastAsia="nl-NL"/>
          <w14:ligatures w14:val="none"/>
        </w:rPr>
        <w:t xml:space="preserve">middel van een tariefsverhoging of het verlagen van het heffingsvrije vermogen. </w:t>
      </w:r>
    </w:p>
    <w:p w:rsidRPr="008736C9" w:rsidR="008736C9" w:rsidP="008736C9" w:rsidRDefault="008736C9" w14:paraId="09A5C713" w14:textId="72FC6A05">
      <w:pPr>
        <w:numPr>
          <w:ilvl w:val="0"/>
          <w:numId w:val="3"/>
        </w:numPr>
        <w:autoSpaceDN w:val="0"/>
        <w:spacing w:after="0" w:line="240" w:lineRule="auto"/>
        <w:contextualSpacing/>
        <w:textAlignment w:val="baseline"/>
        <w:rPr>
          <w:rFonts w:ascii="Verdana" w:hAnsi="Verdana" w:eastAsia="DejaVu Sans" w:cs="Lohit Hindi"/>
          <w:color w:val="000000"/>
          <w:kern w:val="0"/>
          <w:sz w:val="18"/>
          <w:szCs w:val="18"/>
          <w:lang w:eastAsia="nl-NL"/>
          <w14:ligatures w14:val="none"/>
        </w:rPr>
      </w:pPr>
      <w:r w:rsidRPr="008736C9">
        <w:rPr>
          <w:rFonts w:ascii="Verdana" w:hAnsi="Verdana" w:eastAsia="DejaVu Sans" w:cs="Lohit Hindi"/>
          <w:color w:val="000000"/>
          <w:kern w:val="0"/>
          <w:sz w:val="18"/>
          <w:szCs w:val="18"/>
          <w:lang w:eastAsia="nl-NL"/>
          <w14:ligatures w14:val="none"/>
        </w:rPr>
        <w:t>Varianten die</w:t>
      </w:r>
      <w:r>
        <w:rPr>
          <w:rFonts w:ascii="Verdana" w:hAnsi="Verdana" w:eastAsia="DejaVu Sans" w:cs="Lohit Hindi"/>
          <w:color w:val="000000"/>
          <w:kern w:val="0"/>
          <w:sz w:val="18"/>
          <w:szCs w:val="18"/>
          <w:lang w:eastAsia="nl-NL"/>
          <w14:ligatures w14:val="none"/>
        </w:rPr>
        <w:t xml:space="preserve"> zijn uitgewerkt hebben een</w:t>
      </w:r>
      <w:r w:rsidRPr="008736C9">
        <w:rPr>
          <w:rFonts w:ascii="Verdana" w:hAnsi="Verdana" w:eastAsia="DejaVu Sans" w:cs="Lohit Hindi"/>
          <w:color w:val="000000"/>
          <w:kern w:val="0"/>
          <w:sz w:val="18"/>
          <w:szCs w:val="18"/>
          <w:lang w:eastAsia="nl-NL"/>
          <w14:ligatures w14:val="none"/>
        </w:rPr>
        <w:t xml:space="preserve"> derving tot gevolg</w:t>
      </w:r>
      <w:r>
        <w:rPr>
          <w:rFonts w:ascii="Verdana" w:hAnsi="Verdana" w:eastAsia="DejaVu Sans" w:cs="Lohit Hindi"/>
          <w:color w:val="000000"/>
          <w:kern w:val="0"/>
          <w:sz w:val="18"/>
          <w:szCs w:val="18"/>
          <w:lang w:eastAsia="nl-NL"/>
          <w14:ligatures w14:val="none"/>
        </w:rPr>
        <w:t xml:space="preserve">. Deze dienen </w:t>
      </w:r>
      <w:r w:rsidRPr="008736C9">
        <w:rPr>
          <w:rFonts w:ascii="Verdana" w:hAnsi="Verdana" w:eastAsia="DejaVu Sans" w:cs="Lohit Hindi"/>
          <w:color w:val="000000"/>
          <w:kern w:val="0"/>
          <w:sz w:val="18"/>
          <w:szCs w:val="18"/>
          <w:lang w:eastAsia="nl-NL"/>
          <w14:ligatures w14:val="none"/>
        </w:rPr>
        <w:t>gedekt te worden conform de begrotingsregels.</w:t>
      </w:r>
    </w:p>
    <w:p w:rsidRPr="000009C8" w:rsidR="000009C8" w:rsidP="000009C8" w:rsidRDefault="000009C8" w14:paraId="000DB2A9" w14:textId="40B8B934">
      <w:pPr>
        <w:numPr>
          <w:ilvl w:val="0"/>
          <w:numId w:val="3"/>
        </w:numPr>
        <w:autoSpaceDN w:val="0"/>
        <w:spacing w:after="0" w:line="240" w:lineRule="auto"/>
        <w:contextualSpacing/>
        <w:textAlignment w:val="baseline"/>
        <w:rPr>
          <w:rFonts w:ascii="Verdana" w:hAnsi="Verdana" w:eastAsia="DejaVu Sans" w:cs="Lohit Hindi"/>
          <w:color w:val="000000"/>
          <w:kern w:val="0"/>
          <w:sz w:val="18"/>
          <w:szCs w:val="18"/>
          <w:lang w:eastAsia="nl-NL"/>
          <w14:ligatures w14:val="none"/>
        </w:rPr>
      </w:pPr>
      <w:r w:rsidRPr="000009C8">
        <w:rPr>
          <w:rFonts w:ascii="Verdana" w:hAnsi="Verdana" w:eastAsia="DejaVu Sans" w:cs="Lohit Hindi"/>
          <w:color w:val="000000"/>
          <w:kern w:val="0"/>
          <w:sz w:val="18"/>
          <w:szCs w:val="18"/>
          <w:lang w:eastAsia="nl-NL"/>
          <w14:ligatures w14:val="none"/>
        </w:rPr>
        <w:t>Vanwege de omvang van de dervingen van optie 1 en 2, zal er naar de grote belastingen gekeken moeten worden voor dekking. Bijvoorbeeld de vennootschapsbelasting (</w:t>
      </w:r>
      <w:proofErr w:type="spellStart"/>
      <w:r w:rsidRPr="000009C8">
        <w:rPr>
          <w:rFonts w:ascii="Verdana" w:hAnsi="Verdana" w:eastAsia="DejaVu Sans" w:cs="Lohit Hindi"/>
          <w:color w:val="000000"/>
          <w:kern w:val="0"/>
          <w:sz w:val="18"/>
          <w:szCs w:val="18"/>
          <w:lang w:eastAsia="nl-NL"/>
          <w14:ligatures w14:val="none"/>
        </w:rPr>
        <w:t>Vpb</w:t>
      </w:r>
      <w:proofErr w:type="spellEnd"/>
      <w:r w:rsidRPr="000009C8">
        <w:rPr>
          <w:rFonts w:ascii="Verdana" w:hAnsi="Verdana" w:eastAsia="DejaVu Sans" w:cs="Lohit Hindi"/>
          <w:color w:val="000000"/>
          <w:kern w:val="0"/>
          <w:sz w:val="18"/>
          <w:szCs w:val="18"/>
          <w:lang w:eastAsia="nl-NL"/>
          <w14:ligatures w14:val="none"/>
        </w:rPr>
        <w:t xml:space="preserve">), inkomstenbelasting (IB) en de btw. </w:t>
      </w:r>
    </w:p>
    <w:p w:rsidRPr="000009C8" w:rsidR="000009C8" w:rsidP="000009C8" w:rsidRDefault="000009C8" w14:paraId="692C3D2A" w14:textId="77777777">
      <w:pPr>
        <w:autoSpaceDN w:val="0"/>
        <w:spacing w:after="0" w:line="240" w:lineRule="exact"/>
        <w:textAlignment w:val="baseline"/>
        <w:rPr>
          <w:rFonts w:ascii="Verdana" w:hAnsi="Verdana" w:eastAsia="DejaVu Sans" w:cs="Lohit Hindi"/>
          <w:i/>
          <w:iCs/>
          <w:color w:val="000000"/>
          <w:kern w:val="0"/>
          <w:sz w:val="18"/>
          <w:szCs w:val="18"/>
          <w:lang w:eastAsia="nl-NL"/>
          <w14:ligatures w14:val="none"/>
        </w:rPr>
      </w:pPr>
    </w:p>
    <w:p w:rsidRPr="000009C8" w:rsidR="000009C8" w:rsidP="000009C8" w:rsidRDefault="000009C8" w14:paraId="61335E34" w14:textId="77777777">
      <w:pPr>
        <w:autoSpaceDN w:val="0"/>
        <w:spacing w:after="0" w:line="240" w:lineRule="exact"/>
        <w:textAlignment w:val="baseline"/>
        <w:rPr>
          <w:rFonts w:ascii="Verdana" w:hAnsi="Verdana" w:eastAsia="DejaVu Sans" w:cs="Lohit Hindi"/>
          <w:i/>
          <w:iCs/>
          <w:color w:val="000000"/>
          <w:kern w:val="0"/>
          <w:sz w:val="18"/>
          <w:szCs w:val="18"/>
          <w:lang w:eastAsia="nl-NL"/>
          <w14:ligatures w14:val="none"/>
        </w:rPr>
      </w:pPr>
      <w:r w:rsidRPr="000009C8">
        <w:rPr>
          <w:rFonts w:ascii="Verdana" w:hAnsi="Verdana" w:eastAsia="DejaVu Sans" w:cs="Lohit Hindi"/>
          <w:i/>
          <w:iCs/>
          <w:color w:val="000000"/>
          <w:kern w:val="0"/>
          <w:sz w:val="18"/>
          <w:szCs w:val="18"/>
          <w:lang w:eastAsia="nl-NL"/>
          <w14:ligatures w14:val="none"/>
        </w:rPr>
        <w:t>Dekking binnen box 3</w:t>
      </w:r>
    </w:p>
    <w:p w:rsidRPr="000009C8" w:rsidR="000009C8" w:rsidP="000009C8" w:rsidRDefault="000009C8" w14:paraId="0AB1EAF4" w14:textId="77777777">
      <w:pPr>
        <w:numPr>
          <w:ilvl w:val="0"/>
          <w:numId w:val="3"/>
        </w:numPr>
        <w:autoSpaceDN w:val="0"/>
        <w:spacing w:after="0" w:line="240" w:lineRule="exact"/>
        <w:contextualSpacing/>
        <w:textAlignment w:val="baseline"/>
        <w:rPr>
          <w:rFonts w:ascii="Verdana" w:hAnsi="Verdana" w:eastAsia="DejaVu Sans" w:cs="Lohit Hindi"/>
          <w:color w:val="000000"/>
          <w:kern w:val="0"/>
          <w:sz w:val="18"/>
          <w:szCs w:val="18"/>
          <w:lang w:eastAsia="nl-NL"/>
          <w14:ligatures w14:val="none"/>
        </w:rPr>
      </w:pPr>
      <w:r w:rsidRPr="000009C8">
        <w:rPr>
          <w:rFonts w:ascii="Verdana" w:hAnsi="Verdana" w:eastAsia="DejaVu Sans" w:cs="Lohit Hindi"/>
          <w:color w:val="000000"/>
          <w:kern w:val="0"/>
          <w:sz w:val="18"/>
          <w:szCs w:val="18"/>
          <w:lang w:eastAsia="nl-NL"/>
          <w14:ligatures w14:val="none"/>
        </w:rPr>
        <w:t>De enige twee dekkingsknoppen binnen box 3 zijn het verhogen van het tarief (in 2026 is het tarief 36%) of het verlagen van het heffingsvrijvermogen (in 2026 is voorgesteld het heffingsvrijvermogen (HVV) te verlagen naar € 51.396 als onderdeel van de dekking voor o.a. het uitstellen van de WWR).</w:t>
      </w:r>
    </w:p>
    <w:p w:rsidRPr="000009C8" w:rsidR="000009C8" w:rsidP="000009C8" w:rsidRDefault="000009C8" w14:paraId="668F41FE" w14:textId="6B1F93C1">
      <w:pPr>
        <w:numPr>
          <w:ilvl w:val="0"/>
          <w:numId w:val="3"/>
        </w:numPr>
        <w:autoSpaceDN w:val="0"/>
        <w:spacing w:after="0" w:line="240" w:lineRule="exact"/>
        <w:contextualSpacing/>
        <w:textAlignment w:val="baseline"/>
        <w:rPr>
          <w:rFonts w:ascii="Verdana" w:hAnsi="Verdana" w:eastAsia="DejaVu Sans" w:cs="Lohit Hindi"/>
          <w:color w:val="000000"/>
          <w:kern w:val="0"/>
          <w:sz w:val="18"/>
          <w:szCs w:val="18"/>
          <w:lang w:eastAsia="nl-NL"/>
          <w14:ligatures w14:val="none"/>
        </w:rPr>
      </w:pPr>
      <w:r w:rsidRPr="000009C8">
        <w:rPr>
          <w:rFonts w:ascii="Verdana" w:hAnsi="Verdana" w:eastAsia="DejaVu Sans" w:cs="Lohit Hindi"/>
          <w:color w:val="000000"/>
          <w:kern w:val="0"/>
          <w:sz w:val="18"/>
          <w:szCs w:val="18"/>
          <w:lang w:eastAsia="nl-NL"/>
          <w14:ligatures w14:val="none"/>
        </w:rPr>
        <w:t>Het tarief met 1%-punt verhogen levert in 2026 ordegrootte € 180 miljoen op. Het HVV met €1000 verlagen levert in 2026 ordegrootte € 21 miljoen op. Deze sleutels interacteren met elkaar en zijn afhankelijk van de grondslag. Indien de verlaging van het HVV en de verhoging van het forfait niet (geheel) doorgaat, kunnen de sleutels veranderen. Ter indicatie: als de verlaging van het HVV en de verhoging van het forfait niet door zouden gaan, levert verhoging van het tarief met 1%-punt nog slechts € 134 mln</w:t>
      </w:r>
      <w:r w:rsidR="00905417">
        <w:rPr>
          <w:rFonts w:ascii="Verdana" w:hAnsi="Verdana" w:eastAsia="DejaVu Sans" w:cs="Lohit Hindi"/>
          <w:color w:val="000000"/>
          <w:kern w:val="0"/>
          <w:sz w:val="18"/>
          <w:szCs w:val="18"/>
          <w:lang w:eastAsia="nl-NL"/>
          <w14:ligatures w14:val="none"/>
        </w:rPr>
        <w:t>.</w:t>
      </w:r>
      <w:r w:rsidRPr="000009C8">
        <w:rPr>
          <w:rFonts w:ascii="Verdana" w:hAnsi="Verdana" w:eastAsia="DejaVu Sans" w:cs="Lohit Hindi"/>
          <w:color w:val="000000"/>
          <w:kern w:val="0"/>
          <w:sz w:val="18"/>
          <w:szCs w:val="18"/>
          <w:lang w:eastAsia="nl-NL"/>
          <w14:ligatures w14:val="none"/>
        </w:rPr>
        <w:t xml:space="preserve"> op.</w:t>
      </w:r>
    </w:p>
    <w:p w:rsidRPr="000009C8" w:rsidR="000009C8" w:rsidP="000009C8" w:rsidRDefault="000009C8" w14:paraId="20E3A5AF" w14:textId="1735792D">
      <w:pPr>
        <w:numPr>
          <w:ilvl w:val="0"/>
          <w:numId w:val="3"/>
        </w:numPr>
        <w:autoSpaceDN w:val="0"/>
        <w:spacing w:after="0" w:line="240" w:lineRule="exact"/>
        <w:contextualSpacing/>
        <w:textAlignment w:val="baseline"/>
        <w:rPr>
          <w:rFonts w:ascii="Verdana" w:hAnsi="Verdana" w:eastAsia="DejaVu Sans" w:cs="Lohit Hindi"/>
          <w:color w:val="000000"/>
          <w:kern w:val="0"/>
          <w:sz w:val="18"/>
          <w:szCs w:val="18"/>
          <w:lang w:eastAsia="nl-NL"/>
          <w14:ligatures w14:val="none"/>
        </w:rPr>
      </w:pPr>
      <w:r w:rsidRPr="000009C8">
        <w:rPr>
          <w:rFonts w:ascii="Verdana" w:hAnsi="Verdana" w:eastAsia="DejaVu Sans" w:cs="Lohit Hindi"/>
          <w:color w:val="000000"/>
          <w:kern w:val="0"/>
          <w:sz w:val="18"/>
          <w:szCs w:val="18"/>
          <w:lang w:eastAsia="nl-NL"/>
          <w14:ligatures w14:val="none"/>
        </w:rPr>
        <w:t xml:space="preserve">Bij het verhogen van het tarief dient rekening te worden gehouden met het globaal evenwicht. Bij een tarief hoger dan 38% zullen naar verwachting </w:t>
      </w:r>
      <w:r w:rsidR="00905417">
        <w:rPr>
          <w:rFonts w:ascii="Verdana" w:hAnsi="Verdana" w:eastAsia="DejaVu Sans" w:cs="Lohit Hindi"/>
          <w:color w:val="000000"/>
          <w:kern w:val="0"/>
          <w:sz w:val="18"/>
          <w:szCs w:val="18"/>
          <w:lang w:eastAsia="nl-NL"/>
          <w14:ligatures w14:val="none"/>
        </w:rPr>
        <w:t>sterke</w:t>
      </w:r>
      <w:r w:rsidRPr="000009C8">
        <w:rPr>
          <w:rFonts w:ascii="Verdana" w:hAnsi="Verdana" w:eastAsia="DejaVu Sans" w:cs="Lohit Hindi"/>
          <w:color w:val="000000"/>
          <w:kern w:val="0"/>
          <w:sz w:val="18"/>
          <w:szCs w:val="18"/>
          <w:lang w:eastAsia="nl-NL"/>
          <w14:ligatures w14:val="none"/>
        </w:rPr>
        <w:t xml:space="preserve"> gedragseffecten optreden (o.a. verplaatsing vermogen naar buitenland). Het verlagen van het HVV vergroot het aantal mensen dat tegenbewijs gaat indienen en vergroot daarmee de druk op de uitvoering. </w:t>
      </w:r>
    </w:p>
    <w:p w:rsidRPr="000009C8" w:rsidR="000009C8" w:rsidP="000009C8" w:rsidRDefault="000009C8" w14:paraId="58580071" w14:textId="77777777">
      <w:pPr>
        <w:autoSpaceDN w:val="0"/>
        <w:spacing w:after="0" w:line="240" w:lineRule="auto"/>
        <w:textAlignment w:val="baseline"/>
        <w:rPr>
          <w:rFonts w:ascii="Verdana" w:hAnsi="Verdana" w:eastAsia="DejaVu Sans" w:cs="Lohit Hindi"/>
          <w:b/>
          <w:bCs/>
          <w:color w:val="000000"/>
          <w:kern w:val="0"/>
          <w:sz w:val="18"/>
          <w:szCs w:val="18"/>
          <w:lang w:eastAsia="nl-NL"/>
          <w14:ligatures w14:val="none"/>
        </w:rPr>
      </w:pPr>
    </w:p>
    <w:p w:rsidRPr="000009C8" w:rsidR="000009C8" w:rsidP="000009C8" w:rsidRDefault="000009C8" w14:paraId="4315CF09" w14:textId="77777777">
      <w:pPr>
        <w:autoSpaceDN w:val="0"/>
        <w:spacing w:after="0" w:line="240" w:lineRule="auto"/>
        <w:textAlignment w:val="baseline"/>
        <w:rPr>
          <w:rFonts w:ascii="Verdana" w:hAnsi="Verdana" w:eastAsia="DejaVu Sans" w:cs="Lohit Hindi"/>
          <w:i/>
          <w:iCs/>
          <w:color w:val="000000"/>
          <w:kern w:val="0"/>
          <w:sz w:val="18"/>
          <w:szCs w:val="18"/>
          <w:lang w:eastAsia="nl-NL"/>
          <w14:ligatures w14:val="none"/>
        </w:rPr>
      </w:pPr>
      <w:r w:rsidRPr="000009C8">
        <w:rPr>
          <w:rFonts w:ascii="Verdana" w:hAnsi="Verdana" w:eastAsia="DejaVu Sans" w:cs="Lohit Hindi"/>
          <w:i/>
          <w:iCs/>
          <w:color w:val="000000"/>
          <w:kern w:val="0"/>
          <w:sz w:val="18"/>
          <w:szCs w:val="18"/>
          <w:lang w:eastAsia="nl-NL"/>
          <w14:ligatures w14:val="none"/>
        </w:rPr>
        <w:t>Tabel 1: Box 3 reeksen</w:t>
      </w:r>
    </w:p>
    <w:tbl>
      <w:tblPr>
        <w:tblW w:w="5000" w:type="pct"/>
        <w:tblCellMar>
          <w:left w:w="70" w:type="dxa"/>
          <w:right w:w="70" w:type="dxa"/>
        </w:tblCellMar>
        <w:tblLook w:val="04A0" w:firstRow="1" w:lastRow="0" w:firstColumn="1" w:lastColumn="0" w:noHBand="0" w:noVBand="1"/>
      </w:tblPr>
      <w:tblGrid>
        <w:gridCol w:w="412"/>
        <w:gridCol w:w="2925"/>
        <w:gridCol w:w="911"/>
        <w:gridCol w:w="1017"/>
        <w:gridCol w:w="1138"/>
        <w:gridCol w:w="653"/>
        <w:gridCol w:w="653"/>
        <w:gridCol w:w="653"/>
        <w:gridCol w:w="655"/>
      </w:tblGrid>
      <w:tr w:rsidRPr="000009C8" w:rsidR="000009C8" w:rsidTr="00417180" w14:paraId="287BF8C4" w14:textId="77777777">
        <w:trPr>
          <w:trHeight w:val="300"/>
        </w:trPr>
        <w:tc>
          <w:tcPr>
            <w:tcW w:w="228" w:type="pct"/>
            <w:tcBorders>
              <w:top w:val="single" w:color="auto" w:sz="4" w:space="0"/>
              <w:left w:val="single" w:color="auto" w:sz="4" w:space="0"/>
              <w:bottom w:val="single" w:color="auto" w:sz="4" w:space="0"/>
              <w:right w:val="single" w:color="auto" w:sz="4" w:space="0"/>
            </w:tcBorders>
            <w:shd w:val="clear" w:color="000000" w:fill="0070C0"/>
            <w:noWrap/>
            <w:vAlign w:val="bottom"/>
            <w:hideMark/>
          </w:tcPr>
          <w:p w:rsidRPr="000009C8" w:rsidR="000009C8" w:rsidP="000009C8" w:rsidRDefault="000009C8" w14:paraId="36B459E5" w14:textId="77777777">
            <w:pPr>
              <w:spacing w:after="0" w:line="240" w:lineRule="auto"/>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1622" w:type="pct"/>
            <w:tcBorders>
              <w:top w:val="single" w:color="auto" w:sz="4" w:space="0"/>
              <w:left w:val="nil"/>
              <w:bottom w:val="nil"/>
              <w:right w:val="nil"/>
            </w:tcBorders>
            <w:shd w:val="clear" w:color="000000" w:fill="0070C0"/>
            <w:vAlign w:val="bottom"/>
            <w:hideMark/>
          </w:tcPr>
          <w:p w:rsidRPr="000009C8" w:rsidR="000009C8" w:rsidP="000009C8" w:rsidRDefault="000009C8" w14:paraId="3FE986ED" w14:textId="77777777">
            <w:pPr>
              <w:spacing w:after="0" w:line="240" w:lineRule="auto"/>
              <w:rPr>
                <w:rFonts w:ascii="Calibri" w:hAnsi="Calibri" w:eastAsia="Times New Roman" w:cs="Calibri"/>
                <w:color w:val="FFFFFF"/>
                <w:kern w:val="0"/>
                <w:sz w:val="18"/>
                <w:szCs w:val="18"/>
                <w:lang w:eastAsia="nl-NL"/>
                <w14:ligatures w14:val="none"/>
              </w:rPr>
            </w:pPr>
            <w:r w:rsidRPr="000009C8">
              <w:rPr>
                <w:rFonts w:ascii="Calibri" w:hAnsi="Calibri" w:eastAsia="Times New Roman" w:cs="Calibri"/>
                <w:color w:val="FFFFFF"/>
                <w:kern w:val="0"/>
                <w:sz w:val="18"/>
                <w:szCs w:val="18"/>
                <w:lang w:eastAsia="nl-NL"/>
                <w14:ligatures w14:val="none"/>
              </w:rPr>
              <w:t xml:space="preserve">Standen in € mln. (+ = </w:t>
            </w:r>
            <w:proofErr w:type="spellStart"/>
            <w:r w:rsidRPr="000009C8">
              <w:rPr>
                <w:rFonts w:ascii="Calibri" w:hAnsi="Calibri" w:eastAsia="Times New Roman" w:cs="Calibri"/>
                <w:color w:val="FFFFFF"/>
                <w:kern w:val="0"/>
                <w:sz w:val="18"/>
                <w:szCs w:val="18"/>
                <w:lang w:eastAsia="nl-NL"/>
                <w14:ligatures w14:val="none"/>
              </w:rPr>
              <w:t>saldoverbeterend</w:t>
            </w:r>
            <w:proofErr w:type="spellEnd"/>
            <w:r w:rsidRPr="000009C8">
              <w:rPr>
                <w:rFonts w:ascii="Calibri" w:hAnsi="Calibri" w:eastAsia="Times New Roman" w:cs="Calibri"/>
                <w:color w:val="FFFFFF"/>
                <w:kern w:val="0"/>
                <w:sz w:val="18"/>
                <w:szCs w:val="18"/>
                <w:lang w:eastAsia="nl-NL"/>
                <w14:ligatures w14:val="none"/>
              </w:rPr>
              <w:t>)</w:t>
            </w:r>
          </w:p>
        </w:tc>
        <w:tc>
          <w:tcPr>
            <w:tcW w:w="505" w:type="pct"/>
            <w:tcBorders>
              <w:top w:val="single" w:color="auto" w:sz="4" w:space="0"/>
              <w:left w:val="nil"/>
              <w:bottom w:val="nil"/>
              <w:right w:val="nil"/>
            </w:tcBorders>
            <w:shd w:val="clear" w:color="000000" w:fill="0070C0"/>
            <w:noWrap/>
            <w:vAlign w:val="bottom"/>
            <w:hideMark/>
          </w:tcPr>
          <w:p w:rsidRPr="000009C8" w:rsidR="000009C8" w:rsidP="000009C8" w:rsidRDefault="000009C8" w14:paraId="7CE9F8AD" w14:textId="77777777">
            <w:pPr>
              <w:spacing w:after="0" w:line="240" w:lineRule="auto"/>
              <w:jc w:val="center"/>
              <w:rPr>
                <w:rFonts w:ascii="Calibri" w:hAnsi="Calibri" w:eastAsia="Times New Roman" w:cs="Calibri"/>
                <w:color w:val="FFFFFF"/>
                <w:kern w:val="0"/>
                <w:sz w:val="18"/>
                <w:szCs w:val="18"/>
                <w:lang w:eastAsia="nl-NL"/>
                <w14:ligatures w14:val="none"/>
              </w:rPr>
            </w:pPr>
            <w:r w:rsidRPr="000009C8">
              <w:rPr>
                <w:rFonts w:ascii="Calibri" w:hAnsi="Calibri" w:eastAsia="Times New Roman" w:cs="Calibri"/>
                <w:color w:val="FFFFFF"/>
                <w:kern w:val="0"/>
                <w:sz w:val="18"/>
                <w:szCs w:val="18"/>
                <w:lang w:eastAsia="nl-NL"/>
                <w14:ligatures w14:val="none"/>
              </w:rPr>
              <w:t>2025</w:t>
            </w:r>
          </w:p>
        </w:tc>
        <w:tc>
          <w:tcPr>
            <w:tcW w:w="564" w:type="pct"/>
            <w:tcBorders>
              <w:top w:val="single" w:color="auto" w:sz="4" w:space="0"/>
              <w:left w:val="nil"/>
              <w:bottom w:val="nil"/>
              <w:right w:val="nil"/>
            </w:tcBorders>
            <w:shd w:val="clear" w:color="000000" w:fill="0070C0"/>
            <w:noWrap/>
            <w:vAlign w:val="bottom"/>
            <w:hideMark/>
          </w:tcPr>
          <w:p w:rsidRPr="000009C8" w:rsidR="000009C8" w:rsidP="000009C8" w:rsidRDefault="000009C8" w14:paraId="36F60919" w14:textId="77777777">
            <w:pPr>
              <w:spacing w:after="0" w:line="240" w:lineRule="auto"/>
              <w:jc w:val="center"/>
              <w:rPr>
                <w:rFonts w:ascii="Calibri" w:hAnsi="Calibri" w:eastAsia="Times New Roman" w:cs="Calibri"/>
                <w:color w:val="FFFFFF"/>
                <w:kern w:val="0"/>
                <w:sz w:val="18"/>
                <w:szCs w:val="18"/>
                <w:lang w:eastAsia="nl-NL"/>
                <w14:ligatures w14:val="none"/>
              </w:rPr>
            </w:pPr>
            <w:r w:rsidRPr="000009C8">
              <w:rPr>
                <w:rFonts w:ascii="Calibri" w:hAnsi="Calibri" w:eastAsia="Times New Roman" w:cs="Calibri"/>
                <w:color w:val="FFFFFF"/>
                <w:kern w:val="0"/>
                <w:sz w:val="18"/>
                <w:szCs w:val="18"/>
                <w:lang w:eastAsia="nl-NL"/>
                <w14:ligatures w14:val="none"/>
              </w:rPr>
              <w:t>2026</w:t>
            </w:r>
          </w:p>
        </w:tc>
        <w:tc>
          <w:tcPr>
            <w:tcW w:w="631" w:type="pct"/>
            <w:tcBorders>
              <w:top w:val="single" w:color="auto" w:sz="4" w:space="0"/>
              <w:left w:val="nil"/>
              <w:bottom w:val="nil"/>
              <w:right w:val="nil"/>
            </w:tcBorders>
            <w:shd w:val="clear" w:color="000000" w:fill="0070C0"/>
            <w:noWrap/>
            <w:vAlign w:val="bottom"/>
            <w:hideMark/>
          </w:tcPr>
          <w:p w:rsidRPr="000009C8" w:rsidR="000009C8" w:rsidP="000009C8" w:rsidRDefault="000009C8" w14:paraId="17C7CE7D" w14:textId="77777777">
            <w:pPr>
              <w:spacing w:after="0" w:line="240" w:lineRule="auto"/>
              <w:jc w:val="center"/>
              <w:rPr>
                <w:rFonts w:ascii="Calibri" w:hAnsi="Calibri" w:eastAsia="Times New Roman" w:cs="Calibri"/>
                <w:color w:val="FFFFFF"/>
                <w:kern w:val="0"/>
                <w:sz w:val="18"/>
                <w:szCs w:val="18"/>
                <w:lang w:eastAsia="nl-NL"/>
                <w14:ligatures w14:val="none"/>
              </w:rPr>
            </w:pPr>
            <w:r w:rsidRPr="000009C8">
              <w:rPr>
                <w:rFonts w:ascii="Calibri" w:hAnsi="Calibri" w:eastAsia="Times New Roman" w:cs="Calibri"/>
                <w:color w:val="FFFFFF"/>
                <w:kern w:val="0"/>
                <w:sz w:val="18"/>
                <w:szCs w:val="18"/>
                <w:lang w:eastAsia="nl-NL"/>
                <w14:ligatures w14:val="none"/>
              </w:rPr>
              <w:t>2027</w:t>
            </w:r>
          </w:p>
        </w:tc>
        <w:tc>
          <w:tcPr>
            <w:tcW w:w="362" w:type="pct"/>
            <w:tcBorders>
              <w:top w:val="single" w:color="auto" w:sz="4" w:space="0"/>
              <w:left w:val="nil"/>
              <w:bottom w:val="nil"/>
              <w:right w:val="nil"/>
            </w:tcBorders>
            <w:shd w:val="clear" w:color="000000" w:fill="0070C0"/>
            <w:noWrap/>
            <w:vAlign w:val="bottom"/>
            <w:hideMark/>
          </w:tcPr>
          <w:p w:rsidRPr="000009C8" w:rsidR="000009C8" w:rsidP="000009C8" w:rsidRDefault="000009C8" w14:paraId="6749530C" w14:textId="77777777">
            <w:pPr>
              <w:spacing w:after="0" w:line="240" w:lineRule="auto"/>
              <w:jc w:val="center"/>
              <w:rPr>
                <w:rFonts w:ascii="Calibri" w:hAnsi="Calibri" w:eastAsia="Times New Roman" w:cs="Calibri"/>
                <w:color w:val="FFFFFF"/>
                <w:kern w:val="0"/>
                <w:sz w:val="18"/>
                <w:szCs w:val="18"/>
                <w:lang w:eastAsia="nl-NL"/>
                <w14:ligatures w14:val="none"/>
              </w:rPr>
            </w:pPr>
            <w:r w:rsidRPr="000009C8">
              <w:rPr>
                <w:rFonts w:ascii="Calibri" w:hAnsi="Calibri" w:eastAsia="Times New Roman" w:cs="Calibri"/>
                <w:color w:val="FFFFFF"/>
                <w:kern w:val="0"/>
                <w:sz w:val="18"/>
                <w:szCs w:val="18"/>
                <w:lang w:eastAsia="nl-NL"/>
                <w14:ligatures w14:val="none"/>
              </w:rPr>
              <w:t>2028</w:t>
            </w:r>
          </w:p>
        </w:tc>
        <w:tc>
          <w:tcPr>
            <w:tcW w:w="362" w:type="pct"/>
            <w:tcBorders>
              <w:top w:val="single" w:color="auto" w:sz="4" w:space="0"/>
              <w:left w:val="nil"/>
              <w:bottom w:val="nil"/>
              <w:right w:val="nil"/>
            </w:tcBorders>
            <w:shd w:val="clear" w:color="000000" w:fill="0070C0"/>
            <w:noWrap/>
            <w:vAlign w:val="bottom"/>
            <w:hideMark/>
          </w:tcPr>
          <w:p w:rsidRPr="000009C8" w:rsidR="000009C8" w:rsidP="000009C8" w:rsidRDefault="000009C8" w14:paraId="0303D1B3" w14:textId="77777777">
            <w:pPr>
              <w:spacing w:after="0" w:line="240" w:lineRule="auto"/>
              <w:jc w:val="center"/>
              <w:rPr>
                <w:rFonts w:ascii="Calibri" w:hAnsi="Calibri" w:eastAsia="Times New Roman" w:cs="Calibri"/>
                <w:color w:val="FFFFFF"/>
                <w:kern w:val="0"/>
                <w:sz w:val="18"/>
                <w:szCs w:val="18"/>
                <w:lang w:eastAsia="nl-NL"/>
                <w14:ligatures w14:val="none"/>
              </w:rPr>
            </w:pPr>
            <w:r w:rsidRPr="000009C8">
              <w:rPr>
                <w:rFonts w:ascii="Calibri" w:hAnsi="Calibri" w:eastAsia="Times New Roman" w:cs="Calibri"/>
                <w:color w:val="FFFFFF"/>
                <w:kern w:val="0"/>
                <w:sz w:val="18"/>
                <w:szCs w:val="18"/>
                <w:lang w:eastAsia="nl-NL"/>
                <w14:ligatures w14:val="none"/>
              </w:rPr>
              <w:t>2029</w:t>
            </w:r>
          </w:p>
        </w:tc>
        <w:tc>
          <w:tcPr>
            <w:tcW w:w="362" w:type="pct"/>
            <w:tcBorders>
              <w:top w:val="single" w:color="auto" w:sz="4" w:space="0"/>
              <w:left w:val="nil"/>
              <w:bottom w:val="nil"/>
              <w:right w:val="nil"/>
            </w:tcBorders>
            <w:shd w:val="clear" w:color="000000" w:fill="0070C0"/>
            <w:noWrap/>
            <w:vAlign w:val="bottom"/>
            <w:hideMark/>
          </w:tcPr>
          <w:p w:rsidRPr="000009C8" w:rsidR="000009C8" w:rsidP="000009C8" w:rsidRDefault="000009C8" w14:paraId="44906771" w14:textId="77777777">
            <w:pPr>
              <w:spacing w:after="0" w:line="240" w:lineRule="auto"/>
              <w:jc w:val="center"/>
              <w:rPr>
                <w:rFonts w:ascii="Calibri" w:hAnsi="Calibri" w:eastAsia="Times New Roman" w:cs="Calibri"/>
                <w:color w:val="FFFFFF"/>
                <w:kern w:val="0"/>
                <w:sz w:val="18"/>
                <w:szCs w:val="18"/>
                <w:lang w:eastAsia="nl-NL"/>
                <w14:ligatures w14:val="none"/>
              </w:rPr>
            </w:pPr>
            <w:r w:rsidRPr="000009C8">
              <w:rPr>
                <w:rFonts w:ascii="Calibri" w:hAnsi="Calibri" w:eastAsia="Times New Roman" w:cs="Calibri"/>
                <w:color w:val="FFFFFF"/>
                <w:kern w:val="0"/>
                <w:sz w:val="18"/>
                <w:szCs w:val="18"/>
                <w:lang w:eastAsia="nl-NL"/>
                <w14:ligatures w14:val="none"/>
              </w:rPr>
              <w:t>cum</w:t>
            </w:r>
          </w:p>
        </w:tc>
        <w:tc>
          <w:tcPr>
            <w:tcW w:w="363" w:type="pct"/>
            <w:tcBorders>
              <w:top w:val="single" w:color="auto" w:sz="4" w:space="0"/>
              <w:left w:val="nil"/>
              <w:bottom w:val="nil"/>
              <w:right w:val="single" w:color="auto" w:sz="4" w:space="0"/>
            </w:tcBorders>
            <w:shd w:val="clear" w:color="000000" w:fill="0070C0"/>
            <w:noWrap/>
            <w:vAlign w:val="bottom"/>
            <w:hideMark/>
          </w:tcPr>
          <w:p w:rsidRPr="000009C8" w:rsidR="000009C8" w:rsidP="000009C8" w:rsidRDefault="000009C8" w14:paraId="72DD225B" w14:textId="77777777">
            <w:pPr>
              <w:spacing w:after="0" w:line="240" w:lineRule="auto"/>
              <w:jc w:val="center"/>
              <w:rPr>
                <w:rFonts w:ascii="Calibri" w:hAnsi="Calibri" w:eastAsia="Times New Roman" w:cs="Calibri"/>
                <w:color w:val="FFFFFF"/>
                <w:kern w:val="0"/>
                <w:sz w:val="18"/>
                <w:szCs w:val="18"/>
                <w:lang w:eastAsia="nl-NL"/>
                <w14:ligatures w14:val="none"/>
              </w:rPr>
            </w:pPr>
            <w:proofErr w:type="spellStart"/>
            <w:r w:rsidRPr="000009C8">
              <w:rPr>
                <w:rFonts w:ascii="Calibri" w:hAnsi="Calibri" w:eastAsia="Times New Roman" w:cs="Calibri"/>
                <w:color w:val="FFFFFF"/>
                <w:kern w:val="0"/>
                <w:sz w:val="18"/>
                <w:szCs w:val="18"/>
                <w:lang w:eastAsia="nl-NL"/>
                <w14:ligatures w14:val="none"/>
              </w:rPr>
              <w:t>struc</w:t>
            </w:r>
            <w:proofErr w:type="spellEnd"/>
          </w:p>
        </w:tc>
      </w:tr>
      <w:tr w:rsidRPr="000009C8" w:rsidR="000009C8" w:rsidTr="00417180" w14:paraId="617FB46C" w14:textId="77777777">
        <w:trPr>
          <w:trHeight w:val="300"/>
        </w:trPr>
        <w:tc>
          <w:tcPr>
            <w:tcW w:w="228" w:type="pct"/>
            <w:tcBorders>
              <w:top w:val="nil"/>
              <w:left w:val="single" w:color="auto" w:sz="4" w:space="0"/>
              <w:bottom w:val="single" w:color="auto" w:sz="4" w:space="0"/>
              <w:right w:val="single" w:color="auto" w:sz="4" w:space="0"/>
            </w:tcBorders>
            <w:shd w:val="clear" w:color="000000" w:fill="DAE9F8"/>
            <w:noWrap/>
            <w:vAlign w:val="bottom"/>
            <w:hideMark/>
          </w:tcPr>
          <w:p w:rsidRPr="000009C8" w:rsidR="000009C8" w:rsidP="000009C8" w:rsidRDefault="000009C8" w14:paraId="37034CD9" w14:textId="77777777">
            <w:pPr>
              <w:spacing w:after="0" w:line="240" w:lineRule="auto"/>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1622" w:type="pct"/>
            <w:tcBorders>
              <w:top w:val="nil"/>
              <w:left w:val="nil"/>
              <w:bottom w:val="nil"/>
              <w:right w:val="nil"/>
            </w:tcBorders>
            <w:shd w:val="clear" w:color="000000" w:fill="DAE9F8"/>
            <w:vAlign w:val="bottom"/>
            <w:hideMark/>
          </w:tcPr>
          <w:p w:rsidRPr="000009C8" w:rsidR="000009C8" w:rsidP="000009C8" w:rsidRDefault="000009C8" w14:paraId="14A7EBEA" w14:textId="77777777">
            <w:pPr>
              <w:spacing w:after="0" w:line="240" w:lineRule="auto"/>
              <w:rPr>
                <w:rFonts w:ascii="Calibri" w:hAnsi="Calibri" w:eastAsia="Times New Roman" w:cs="Calibri"/>
                <w:b/>
                <w:bCs/>
                <w:color w:val="000000"/>
                <w:kern w:val="0"/>
                <w:sz w:val="18"/>
                <w:szCs w:val="18"/>
                <w:lang w:eastAsia="nl-NL"/>
                <w14:ligatures w14:val="none"/>
              </w:rPr>
            </w:pPr>
            <w:r w:rsidRPr="000009C8">
              <w:rPr>
                <w:rFonts w:ascii="Calibri" w:hAnsi="Calibri" w:eastAsia="Times New Roman" w:cs="Calibri"/>
                <w:b/>
                <w:bCs/>
                <w:color w:val="000000"/>
                <w:kern w:val="0"/>
                <w:sz w:val="18"/>
                <w:szCs w:val="18"/>
                <w:lang w:eastAsia="nl-NL"/>
                <w14:ligatures w14:val="none"/>
              </w:rPr>
              <w:t>Box 3</w:t>
            </w:r>
          </w:p>
        </w:tc>
        <w:tc>
          <w:tcPr>
            <w:tcW w:w="505" w:type="pct"/>
            <w:tcBorders>
              <w:top w:val="nil"/>
              <w:left w:val="nil"/>
              <w:bottom w:val="nil"/>
              <w:right w:val="nil"/>
            </w:tcBorders>
            <w:shd w:val="clear" w:color="000000" w:fill="DAE9F8"/>
            <w:noWrap/>
            <w:vAlign w:val="bottom"/>
            <w:hideMark/>
          </w:tcPr>
          <w:p w:rsidRPr="000009C8" w:rsidR="000009C8" w:rsidP="000009C8" w:rsidRDefault="000009C8" w14:paraId="091223A3"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564" w:type="pct"/>
            <w:tcBorders>
              <w:top w:val="nil"/>
              <w:left w:val="nil"/>
              <w:bottom w:val="nil"/>
              <w:right w:val="nil"/>
            </w:tcBorders>
            <w:shd w:val="clear" w:color="000000" w:fill="DAE9F8"/>
            <w:noWrap/>
            <w:vAlign w:val="bottom"/>
            <w:hideMark/>
          </w:tcPr>
          <w:p w:rsidRPr="000009C8" w:rsidR="000009C8" w:rsidP="000009C8" w:rsidRDefault="000009C8" w14:paraId="17EDDD76"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631" w:type="pct"/>
            <w:tcBorders>
              <w:top w:val="nil"/>
              <w:left w:val="nil"/>
              <w:bottom w:val="nil"/>
              <w:right w:val="nil"/>
            </w:tcBorders>
            <w:shd w:val="clear" w:color="000000" w:fill="DAE9F8"/>
            <w:noWrap/>
            <w:vAlign w:val="bottom"/>
            <w:hideMark/>
          </w:tcPr>
          <w:p w:rsidRPr="000009C8" w:rsidR="000009C8" w:rsidP="000009C8" w:rsidRDefault="000009C8" w14:paraId="1B55C904"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362" w:type="pct"/>
            <w:tcBorders>
              <w:top w:val="nil"/>
              <w:left w:val="nil"/>
              <w:bottom w:val="nil"/>
              <w:right w:val="nil"/>
            </w:tcBorders>
            <w:shd w:val="clear" w:color="000000" w:fill="DAE9F8"/>
            <w:noWrap/>
            <w:vAlign w:val="bottom"/>
            <w:hideMark/>
          </w:tcPr>
          <w:p w:rsidRPr="000009C8" w:rsidR="000009C8" w:rsidP="000009C8" w:rsidRDefault="000009C8" w14:paraId="450D6D6D"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362" w:type="pct"/>
            <w:tcBorders>
              <w:top w:val="nil"/>
              <w:left w:val="nil"/>
              <w:bottom w:val="nil"/>
              <w:right w:val="nil"/>
            </w:tcBorders>
            <w:shd w:val="clear" w:color="000000" w:fill="DAE9F8"/>
            <w:noWrap/>
            <w:vAlign w:val="bottom"/>
            <w:hideMark/>
          </w:tcPr>
          <w:p w:rsidRPr="000009C8" w:rsidR="000009C8" w:rsidP="000009C8" w:rsidRDefault="000009C8" w14:paraId="2F2BD9AC"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362" w:type="pct"/>
            <w:tcBorders>
              <w:top w:val="nil"/>
              <w:left w:val="nil"/>
              <w:bottom w:val="nil"/>
              <w:right w:val="nil"/>
            </w:tcBorders>
            <w:shd w:val="clear" w:color="000000" w:fill="DAE9F8"/>
            <w:noWrap/>
            <w:vAlign w:val="bottom"/>
            <w:hideMark/>
          </w:tcPr>
          <w:p w:rsidRPr="000009C8" w:rsidR="000009C8" w:rsidP="000009C8" w:rsidRDefault="000009C8" w14:paraId="404A649D"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363" w:type="pct"/>
            <w:tcBorders>
              <w:top w:val="nil"/>
              <w:left w:val="nil"/>
              <w:bottom w:val="nil"/>
              <w:right w:val="single" w:color="auto" w:sz="4" w:space="0"/>
            </w:tcBorders>
            <w:shd w:val="clear" w:color="000000" w:fill="DAE9F8"/>
            <w:noWrap/>
            <w:vAlign w:val="bottom"/>
            <w:hideMark/>
          </w:tcPr>
          <w:p w:rsidRPr="000009C8" w:rsidR="000009C8" w:rsidP="000009C8" w:rsidRDefault="000009C8" w14:paraId="0102BFAB"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r>
      <w:tr w:rsidRPr="000009C8" w:rsidR="000009C8" w:rsidTr="00417180" w14:paraId="47F45967" w14:textId="77777777">
        <w:trPr>
          <w:trHeight w:val="300"/>
        </w:trPr>
        <w:tc>
          <w:tcPr>
            <w:tcW w:w="228" w:type="pct"/>
            <w:tcBorders>
              <w:top w:val="nil"/>
              <w:left w:val="single" w:color="auto" w:sz="4" w:space="0"/>
              <w:bottom w:val="single" w:color="auto" w:sz="4" w:space="0"/>
              <w:right w:val="single" w:color="auto" w:sz="4" w:space="0"/>
            </w:tcBorders>
            <w:shd w:val="clear" w:color="auto" w:fill="auto"/>
            <w:noWrap/>
            <w:vAlign w:val="bottom"/>
          </w:tcPr>
          <w:p w:rsidRPr="000009C8" w:rsidR="000009C8" w:rsidP="000009C8" w:rsidRDefault="000009C8" w14:paraId="7B398101" w14:textId="77777777">
            <w:pPr>
              <w:spacing w:after="0" w:line="240" w:lineRule="auto"/>
              <w:jc w:val="right"/>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1</w:t>
            </w:r>
          </w:p>
        </w:tc>
        <w:tc>
          <w:tcPr>
            <w:tcW w:w="1622" w:type="pct"/>
            <w:tcBorders>
              <w:top w:val="nil"/>
              <w:left w:val="nil"/>
              <w:bottom w:val="single" w:color="auto" w:sz="4" w:space="0"/>
              <w:right w:val="single" w:color="auto" w:sz="4" w:space="0"/>
            </w:tcBorders>
            <w:shd w:val="clear" w:color="000000" w:fill="FFFFFF"/>
            <w:vAlign w:val="bottom"/>
          </w:tcPr>
          <w:p w:rsidRPr="000009C8" w:rsidR="000009C8" w:rsidP="000009C8" w:rsidRDefault="000009C8" w14:paraId="6816ECA3" w14:textId="77777777">
            <w:pPr>
              <w:spacing w:after="0" w:line="240" w:lineRule="auto"/>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Uitstel WWR inclusief niet voorinvullen eigen gebruik</w:t>
            </w:r>
          </w:p>
        </w:tc>
        <w:tc>
          <w:tcPr>
            <w:tcW w:w="505"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52810AFF"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190</w:t>
            </w:r>
          </w:p>
        </w:tc>
        <w:tc>
          <w:tcPr>
            <w:tcW w:w="564"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3B8FB40D"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-189</w:t>
            </w:r>
          </w:p>
        </w:tc>
        <w:tc>
          <w:tcPr>
            <w:tcW w:w="631"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12FB2148" w14:textId="4BAB7DC3">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-2.38</w:t>
            </w:r>
            <w:r w:rsidR="00346188">
              <w:rPr>
                <w:rFonts w:ascii="Calibri" w:hAnsi="Calibri" w:eastAsia="DejaVu Sans" w:cs="Calibri"/>
                <w:color w:val="000000"/>
                <w:kern w:val="0"/>
                <w:sz w:val="18"/>
                <w:szCs w:val="18"/>
                <w:lang w:eastAsia="nl-NL"/>
                <w14:ligatures w14:val="none"/>
              </w:rPr>
              <w:t>1</w:t>
            </w:r>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4738705E"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5B3B9C3D"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18E5C50D" w14:textId="7E2C6959">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-2.38</w:t>
            </w:r>
            <w:r w:rsidR="00346188">
              <w:rPr>
                <w:rFonts w:ascii="Calibri" w:hAnsi="Calibri" w:eastAsia="Times New Roman" w:cs="Calibri"/>
                <w:color w:val="000000"/>
                <w:kern w:val="0"/>
                <w:sz w:val="18"/>
                <w:szCs w:val="18"/>
                <w:lang w:eastAsia="nl-NL"/>
                <w14:ligatures w14:val="none"/>
              </w:rPr>
              <w:t>0</w:t>
            </w:r>
          </w:p>
        </w:tc>
        <w:tc>
          <w:tcPr>
            <w:tcW w:w="363"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41C544FC"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r>
      <w:tr w:rsidRPr="000009C8" w:rsidR="000009C8" w:rsidTr="00417180" w14:paraId="3E6C9941" w14:textId="77777777">
        <w:trPr>
          <w:trHeight w:val="300"/>
        </w:trPr>
        <w:tc>
          <w:tcPr>
            <w:tcW w:w="228" w:type="pct"/>
            <w:tcBorders>
              <w:top w:val="nil"/>
              <w:left w:val="single" w:color="auto" w:sz="4" w:space="0"/>
              <w:bottom w:val="single" w:color="auto" w:sz="4" w:space="0"/>
              <w:right w:val="single" w:color="auto" w:sz="4" w:space="0"/>
            </w:tcBorders>
            <w:shd w:val="clear" w:color="auto" w:fill="auto"/>
            <w:noWrap/>
            <w:vAlign w:val="bottom"/>
          </w:tcPr>
          <w:p w:rsidRPr="000009C8" w:rsidR="000009C8" w:rsidP="000009C8" w:rsidRDefault="000009C8" w14:paraId="0416A6CE" w14:textId="77777777">
            <w:pPr>
              <w:spacing w:after="0" w:line="240" w:lineRule="auto"/>
              <w:jc w:val="right"/>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2</w:t>
            </w:r>
          </w:p>
        </w:tc>
        <w:tc>
          <w:tcPr>
            <w:tcW w:w="1622" w:type="pct"/>
            <w:tcBorders>
              <w:top w:val="nil"/>
              <w:left w:val="nil"/>
              <w:bottom w:val="single" w:color="auto" w:sz="4" w:space="0"/>
              <w:right w:val="single" w:color="auto" w:sz="4" w:space="0"/>
            </w:tcBorders>
            <w:shd w:val="clear" w:color="000000" w:fill="FFFFFF"/>
            <w:vAlign w:val="bottom"/>
          </w:tcPr>
          <w:p w:rsidRPr="000009C8" w:rsidR="000009C8" w:rsidP="000009C8" w:rsidRDefault="000009C8" w14:paraId="7409CCE7" w14:textId="77777777">
            <w:pPr>
              <w:spacing w:after="0" w:line="240" w:lineRule="auto"/>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xml:space="preserve">Dekking verhoging forfait incl. verlagen </w:t>
            </w:r>
            <w:proofErr w:type="spellStart"/>
            <w:r w:rsidRPr="000009C8">
              <w:rPr>
                <w:rFonts w:ascii="Calibri" w:hAnsi="Calibri" w:eastAsia="Times New Roman" w:cs="Calibri"/>
                <w:color w:val="000000"/>
                <w:kern w:val="0"/>
                <w:sz w:val="18"/>
                <w:szCs w:val="18"/>
                <w:lang w:eastAsia="nl-NL"/>
                <w14:ligatures w14:val="none"/>
              </w:rPr>
              <w:t>heffingvrije</w:t>
            </w:r>
            <w:proofErr w:type="spellEnd"/>
            <w:r w:rsidRPr="000009C8">
              <w:rPr>
                <w:rFonts w:ascii="Calibri" w:hAnsi="Calibri" w:eastAsia="Times New Roman" w:cs="Calibri"/>
                <w:color w:val="000000"/>
                <w:kern w:val="0"/>
                <w:sz w:val="18"/>
                <w:szCs w:val="18"/>
                <w:lang w:eastAsia="nl-NL"/>
                <w14:ligatures w14:val="none"/>
              </w:rPr>
              <w:t xml:space="preserve"> vermogen in 2026 en 2027</w:t>
            </w:r>
          </w:p>
        </w:tc>
        <w:tc>
          <w:tcPr>
            <w:tcW w:w="505"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3706B03B"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0</w:t>
            </w:r>
          </w:p>
        </w:tc>
        <w:tc>
          <w:tcPr>
            <w:tcW w:w="564"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16A39A15" w14:textId="6F914482">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1.26</w:t>
            </w:r>
            <w:r w:rsidR="00346188">
              <w:rPr>
                <w:rFonts w:ascii="Calibri" w:hAnsi="Calibri" w:eastAsia="DejaVu Sans" w:cs="Calibri"/>
                <w:color w:val="000000"/>
                <w:kern w:val="0"/>
                <w:sz w:val="18"/>
                <w:szCs w:val="18"/>
                <w:lang w:eastAsia="nl-NL"/>
                <w14:ligatures w14:val="none"/>
              </w:rPr>
              <w:t>7</w:t>
            </w:r>
          </w:p>
        </w:tc>
        <w:tc>
          <w:tcPr>
            <w:tcW w:w="631"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1D5AD885" w14:textId="037AB92D">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1</w:t>
            </w:r>
            <w:r w:rsidR="00346188">
              <w:rPr>
                <w:rFonts w:ascii="Calibri" w:hAnsi="Calibri" w:eastAsia="DejaVu Sans" w:cs="Calibri"/>
                <w:color w:val="000000"/>
                <w:kern w:val="0"/>
                <w:sz w:val="18"/>
                <w:szCs w:val="18"/>
                <w:lang w:eastAsia="nl-NL"/>
                <w14:ligatures w14:val="none"/>
              </w:rPr>
              <w:t>.267</w:t>
            </w:r>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41312555"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1571FE81"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513D5F6C" w14:textId="0CD1946B">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2.53</w:t>
            </w:r>
            <w:r w:rsidR="00346188">
              <w:rPr>
                <w:rFonts w:ascii="Calibri" w:hAnsi="Calibri" w:eastAsia="Times New Roman" w:cs="Calibri"/>
                <w:color w:val="000000"/>
                <w:kern w:val="0"/>
                <w:sz w:val="18"/>
                <w:szCs w:val="18"/>
                <w:lang w:eastAsia="nl-NL"/>
                <w14:ligatures w14:val="none"/>
              </w:rPr>
              <w:t>5</w:t>
            </w:r>
          </w:p>
        </w:tc>
        <w:tc>
          <w:tcPr>
            <w:tcW w:w="363"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3A8293CB"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r>
      <w:tr w:rsidRPr="000009C8" w:rsidR="000009C8" w:rsidTr="00417180" w14:paraId="5058C2C6" w14:textId="77777777">
        <w:trPr>
          <w:trHeight w:val="300"/>
        </w:trPr>
        <w:tc>
          <w:tcPr>
            <w:tcW w:w="228" w:type="pct"/>
            <w:tcBorders>
              <w:top w:val="nil"/>
              <w:left w:val="single" w:color="auto" w:sz="4" w:space="0"/>
              <w:bottom w:val="single" w:color="auto" w:sz="4" w:space="0"/>
              <w:right w:val="single" w:color="auto" w:sz="4" w:space="0"/>
            </w:tcBorders>
            <w:shd w:val="clear" w:color="auto" w:fill="auto"/>
            <w:noWrap/>
            <w:vAlign w:val="bottom"/>
            <w:hideMark/>
          </w:tcPr>
          <w:p w:rsidRPr="000009C8" w:rsidR="000009C8" w:rsidP="000009C8" w:rsidRDefault="000009C8" w14:paraId="67402987" w14:textId="77777777">
            <w:pPr>
              <w:spacing w:after="0" w:line="240" w:lineRule="auto"/>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1622" w:type="pct"/>
            <w:tcBorders>
              <w:top w:val="nil"/>
              <w:left w:val="nil"/>
              <w:bottom w:val="single" w:color="auto" w:sz="4" w:space="0"/>
              <w:right w:val="single" w:color="auto" w:sz="4" w:space="0"/>
            </w:tcBorders>
            <w:shd w:val="clear" w:color="000000" w:fill="FFFFFF"/>
            <w:vAlign w:val="bottom"/>
            <w:hideMark/>
          </w:tcPr>
          <w:p w:rsidRPr="000009C8" w:rsidR="000009C8" w:rsidP="000009C8" w:rsidRDefault="000009C8" w14:paraId="238614DC" w14:textId="77777777">
            <w:pPr>
              <w:spacing w:after="0" w:line="240" w:lineRule="auto"/>
              <w:rPr>
                <w:rFonts w:ascii="Calibri" w:hAnsi="Calibri" w:eastAsia="Times New Roman" w:cs="Calibri"/>
                <w:b/>
                <w:bCs/>
                <w:color w:val="000000"/>
                <w:kern w:val="0"/>
                <w:sz w:val="18"/>
                <w:szCs w:val="18"/>
                <w:lang w:eastAsia="nl-NL"/>
                <w14:ligatures w14:val="none"/>
              </w:rPr>
            </w:pPr>
            <w:r w:rsidRPr="000009C8">
              <w:rPr>
                <w:rFonts w:ascii="Calibri" w:hAnsi="Calibri" w:eastAsia="Times New Roman" w:cs="Calibri"/>
                <w:b/>
                <w:bCs/>
                <w:color w:val="000000"/>
                <w:kern w:val="0"/>
                <w:sz w:val="18"/>
                <w:szCs w:val="18"/>
                <w:lang w:eastAsia="nl-NL"/>
                <w14:ligatures w14:val="none"/>
              </w:rPr>
              <w:t>Totaal</w:t>
            </w:r>
          </w:p>
        </w:tc>
        <w:tc>
          <w:tcPr>
            <w:tcW w:w="505"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69DAF63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0009C8">
              <w:rPr>
                <w:rFonts w:ascii="Calibri" w:hAnsi="Calibri" w:eastAsia="DejaVu Sans" w:cs="Calibri"/>
                <w:b/>
                <w:bCs/>
                <w:color w:val="000000"/>
                <w:kern w:val="0"/>
                <w:sz w:val="18"/>
                <w:szCs w:val="18"/>
                <w:lang w:eastAsia="nl-NL"/>
                <w14:ligatures w14:val="none"/>
              </w:rPr>
              <w:t>190</w:t>
            </w:r>
          </w:p>
        </w:tc>
        <w:tc>
          <w:tcPr>
            <w:tcW w:w="564"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102481F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0009C8">
              <w:rPr>
                <w:rFonts w:ascii="Calibri" w:hAnsi="Calibri" w:eastAsia="DejaVu Sans" w:cs="Calibri"/>
                <w:b/>
                <w:bCs/>
                <w:color w:val="000000"/>
                <w:kern w:val="0"/>
                <w:sz w:val="18"/>
                <w:szCs w:val="18"/>
                <w:lang w:eastAsia="nl-NL"/>
                <w14:ligatures w14:val="none"/>
              </w:rPr>
              <w:t>1.079</w:t>
            </w:r>
          </w:p>
        </w:tc>
        <w:tc>
          <w:tcPr>
            <w:tcW w:w="631"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639A760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0009C8">
              <w:rPr>
                <w:rFonts w:ascii="Calibri" w:hAnsi="Calibri" w:eastAsia="DejaVu Sans" w:cs="Calibri"/>
                <w:b/>
                <w:bCs/>
                <w:color w:val="000000"/>
                <w:kern w:val="0"/>
                <w:sz w:val="18"/>
                <w:szCs w:val="18"/>
                <w:lang w:eastAsia="nl-NL"/>
                <w14:ligatures w14:val="none"/>
              </w:rPr>
              <w:t>-1.114</w:t>
            </w:r>
          </w:p>
        </w:tc>
        <w:tc>
          <w:tcPr>
            <w:tcW w:w="362"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37AE1B0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0009C8">
              <w:rPr>
                <w:rFonts w:ascii="Calibri" w:hAnsi="Calibri" w:eastAsia="Times New Roman" w:cs="Calibri"/>
                <w:b/>
                <w:bCs/>
                <w:color w:val="000000"/>
                <w:kern w:val="0"/>
                <w:sz w:val="18"/>
                <w:szCs w:val="18"/>
                <w:lang w:eastAsia="nl-NL"/>
                <w14:ligatures w14:val="none"/>
              </w:rPr>
              <w:t>0</w:t>
            </w:r>
          </w:p>
        </w:tc>
        <w:tc>
          <w:tcPr>
            <w:tcW w:w="362"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2D50598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0009C8">
              <w:rPr>
                <w:rFonts w:ascii="Calibri" w:hAnsi="Calibri" w:eastAsia="Times New Roman" w:cs="Calibri"/>
                <w:b/>
                <w:bCs/>
                <w:color w:val="000000"/>
                <w:kern w:val="0"/>
                <w:sz w:val="18"/>
                <w:szCs w:val="18"/>
                <w:lang w:eastAsia="nl-NL"/>
                <w14:ligatures w14:val="none"/>
              </w:rPr>
              <w:t>0</w:t>
            </w:r>
          </w:p>
        </w:tc>
        <w:tc>
          <w:tcPr>
            <w:tcW w:w="362"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7E8846E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0009C8">
              <w:rPr>
                <w:rFonts w:ascii="Calibri" w:hAnsi="Calibri" w:eastAsia="DejaVu Sans" w:cs="Calibri"/>
                <w:b/>
                <w:bCs/>
                <w:color w:val="000000"/>
                <w:kern w:val="0"/>
                <w:sz w:val="18"/>
                <w:szCs w:val="18"/>
                <w:lang w:eastAsia="nl-NL"/>
                <w14:ligatures w14:val="none"/>
              </w:rPr>
              <w:t>155</w:t>
            </w:r>
          </w:p>
        </w:tc>
        <w:tc>
          <w:tcPr>
            <w:tcW w:w="363"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4D15974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0009C8">
              <w:rPr>
                <w:rFonts w:ascii="Calibri" w:hAnsi="Calibri" w:eastAsia="DejaVu Sans" w:cs="Calibri"/>
                <w:b/>
                <w:bCs/>
                <w:color w:val="000000"/>
                <w:kern w:val="0"/>
                <w:sz w:val="18"/>
                <w:szCs w:val="18"/>
                <w:lang w:eastAsia="nl-NL"/>
                <w14:ligatures w14:val="none"/>
              </w:rPr>
              <w:t>0</w:t>
            </w:r>
          </w:p>
        </w:tc>
      </w:tr>
    </w:tbl>
    <w:p w:rsidRPr="000009C8" w:rsidR="000009C8" w:rsidP="000009C8" w:rsidRDefault="000009C8" w14:paraId="7835132C" w14:textId="77777777">
      <w:pPr>
        <w:autoSpaceDN w:val="0"/>
        <w:spacing w:after="0" w:line="240" w:lineRule="exact"/>
        <w:textAlignment w:val="baseline"/>
        <w:rPr>
          <w:rFonts w:ascii="Verdana" w:hAnsi="Verdana" w:eastAsia="DejaVu Sans" w:cs="Lohit Hindi"/>
          <w:color w:val="000000"/>
          <w:kern w:val="0"/>
          <w:sz w:val="18"/>
          <w:szCs w:val="18"/>
          <w:lang w:eastAsia="nl-NL"/>
          <w14:ligatures w14:val="none"/>
        </w:rPr>
      </w:pPr>
    </w:p>
    <w:p w:rsidRPr="000009C8" w:rsidR="000009C8" w:rsidP="000009C8" w:rsidRDefault="000009C8" w14:paraId="272D78BF" w14:textId="77777777">
      <w:pPr>
        <w:autoSpaceDN w:val="0"/>
        <w:spacing w:after="0" w:line="240" w:lineRule="auto"/>
        <w:textAlignment w:val="baseline"/>
        <w:rPr>
          <w:rFonts w:ascii="Verdana" w:hAnsi="Verdana" w:eastAsia="DejaVu Sans" w:cs="Lohit Hindi"/>
          <w:i/>
          <w:iCs/>
          <w:color w:val="000000"/>
          <w:kern w:val="0"/>
          <w:sz w:val="18"/>
          <w:szCs w:val="18"/>
          <w:lang w:eastAsia="nl-NL"/>
          <w14:ligatures w14:val="none"/>
        </w:rPr>
      </w:pPr>
    </w:p>
    <w:p w:rsidRPr="000009C8" w:rsidR="000009C8" w:rsidP="000009C8" w:rsidRDefault="000009C8" w14:paraId="167DF14F" w14:textId="77777777">
      <w:pPr>
        <w:autoSpaceDN w:val="0"/>
        <w:spacing w:after="0" w:line="240" w:lineRule="auto"/>
        <w:textAlignment w:val="baseline"/>
        <w:rPr>
          <w:rFonts w:ascii="Verdana" w:hAnsi="Verdana" w:eastAsia="DejaVu Sans" w:cs="Lohit Hindi"/>
          <w:i/>
          <w:iCs/>
          <w:color w:val="000000"/>
          <w:kern w:val="0"/>
          <w:sz w:val="18"/>
          <w:szCs w:val="18"/>
          <w:lang w:eastAsia="nl-NL"/>
          <w14:ligatures w14:val="none"/>
        </w:rPr>
      </w:pPr>
      <w:r w:rsidRPr="000009C8">
        <w:rPr>
          <w:rFonts w:ascii="Verdana" w:hAnsi="Verdana" w:eastAsia="DejaVu Sans" w:cs="Lohit Hindi"/>
          <w:i/>
          <w:iCs/>
          <w:color w:val="000000"/>
          <w:kern w:val="0"/>
          <w:sz w:val="18"/>
          <w:szCs w:val="18"/>
          <w:lang w:eastAsia="nl-NL"/>
          <w14:ligatures w14:val="none"/>
        </w:rPr>
        <w:t>Tabel 2: derving door opties in fiches box 3</w:t>
      </w:r>
    </w:p>
    <w:tbl>
      <w:tblPr>
        <w:tblW w:w="5000" w:type="pct"/>
        <w:tblCellMar>
          <w:left w:w="70" w:type="dxa"/>
          <w:right w:w="70" w:type="dxa"/>
        </w:tblCellMar>
        <w:tblLook w:val="04A0" w:firstRow="1" w:lastRow="0" w:firstColumn="1" w:lastColumn="0" w:noHBand="0" w:noVBand="1"/>
      </w:tblPr>
      <w:tblGrid>
        <w:gridCol w:w="412"/>
        <w:gridCol w:w="2925"/>
        <w:gridCol w:w="911"/>
        <w:gridCol w:w="1017"/>
        <w:gridCol w:w="1138"/>
        <w:gridCol w:w="653"/>
        <w:gridCol w:w="653"/>
        <w:gridCol w:w="653"/>
        <w:gridCol w:w="655"/>
      </w:tblGrid>
      <w:tr w:rsidRPr="000009C8" w:rsidR="000009C8" w:rsidTr="00417180" w14:paraId="00BFF9F0" w14:textId="77777777">
        <w:trPr>
          <w:trHeight w:val="300"/>
        </w:trPr>
        <w:tc>
          <w:tcPr>
            <w:tcW w:w="228" w:type="pct"/>
            <w:tcBorders>
              <w:top w:val="single" w:color="auto" w:sz="4" w:space="0"/>
              <w:left w:val="single" w:color="auto" w:sz="4" w:space="0"/>
              <w:bottom w:val="single" w:color="auto" w:sz="4" w:space="0"/>
              <w:right w:val="single" w:color="auto" w:sz="4" w:space="0"/>
            </w:tcBorders>
            <w:shd w:val="clear" w:color="000000" w:fill="0070C0"/>
            <w:noWrap/>
            <w:vAlign w:val="bottom"/>
            <w:hideMark/>
          </w:tcPr>
          <w:p w:rsidRPr="000009C8" w:rsidR="000009C8" w:rsidP="000009C8" w:rsidRDefault="000009C8" w14:paraId="789F26D5" w14:textId="77777777">
            <w:pPr>
              <w:spacing w:after="0" w:line="240" w:lineRule="auto"/>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1622" w:type="pct"/>
            <w:tcBorders>
              <w:top w:val="single" w:color="auto" w:sz="4" w:space="0"/>
              <w:left w:val="nil"/>
              <w:bottom w:val="nil"/>
              <w:right w:val="nil"/>
            </w:tcBorders>
            <w:shd w:val="clear" w:color="000000" w:fill="0070C0"/>
            <w:vAlign w:val="bottom"/>
            <w:hideMark/>
          </w:tcPr>
          <w:p w:rsidRPr="000009C8" w:rsidR="000009C8" w:rsidP="000009C8" w:rsidRDefault="000009C8" w14:paraId="0CA1AFFE" w14:textId="77777777">
            <w:pPr>
              <w:spacing w:after="0" w:line="240" w:lineRule="auto"/>
              <w:rPr>
                <w:rFonts w:ascii="Calibri" w:hAnsi="Calibri" w:eastAsia="Times New Roman" w:cs="Calibri"/>
                <w:color w:val="FFFFFF"/>
                <w:kern w:val="0"/>
                <w:sz w:val="18"/>
                <w:szCs w:val="18"/>
                <w:lang w:eastAsia="nl-NL"/>
                <w14:ligatures w14:val="none"/>
              </w:rPr>
            </w:pPr>
            <w:r w:rsidRPr="000009C8">
              <w:rPr>
                <w:rFonts w:ascii="Calibri" w:hAnsi="Calibri" w:eastAsia="Times New Roman" w:cs="Calibri"/>
                <w:color w:val="FFFFFF"/>
                <w:kern w:val="0"/>
                <w:sz w:val="18"/>
                <w:szCs w:val="18"/>
                <w:lang w:eastAsia="nl-NL"/>
                <w14:ligatures w14:val="none"/>
              </w:rPr>
              <w:t xml:space="preserve">Standen in € mln. (+ = </w:t>
            </w:r>
            <w:proofErr w:type="spellStart"/>
            <w:r w:rsidRPr="000009C8">
              <w:rPr>
                <w:rFonts w:ascii="Calibri" w:hAnsi="Calibri" w:eastAsia="Times New Roman" w:cs="Calibri"/>
                <w:color w:val="FFFFFF"/>
                <w:kern w:val="0"/>
                <w:sz w:val="18"/>
                <w:szCs w:val="18"/>
                <w:lang w:eastAsia="nl-NL"/>
                <w14:ligatures w14:val="none"/>
              </w:rPr>
              <w:t>saldoverbeterend</w:t>
            </w:r>
            <w:proofErr w:type="spellEnd"/>
            <w:r w:rsidRPr="000009C8">
              <w:rPr>
                <w:rFonts w:ascii="Calibri" w:hAnsi="Calibri" w:eastAsia="Times New Roman" w:cs="Calibri"/>
                <w:color w:val="FFFFFF"/>
                <w:kern w:val="0"/>
                <w:sz w:val="18"/>
                <w:szCs w:val="18"/>
                <w:lang w:eastAsia="nl-NL"/>
                <w14:ligatures w14:val="none"/>
              </w:rPr>
              <w:t>)</w:t>
            </w:r>
          </w:p>
        </w:tc>
        <w:tc>
          <w:tcPr>
            <w:tcW w:w="505" w:type="pct"/>
            <w:tcBorders>
              <w:top w:val="single" w:color="auto" w:sz="4" w:space="0"/>
              <w:left w:val="nil"/>
              <w:bottom w:val="nil"/>
              <w:right w:val="nil"/>
            </w:tcBorders>
            <w:shd w:val="clear" w:color="000000" w:fill="0070C0"/>
            <w:noWrap/>
            <w:vAlign w:val="bottom"/>
            <w:hideMark/>
          </w:tcPr>
          <w:p w:rsidRPr="000009C8" w:rsidR="000009C8" w:rsidP="000009C8" w:rsidRDefault="000009C8" w14:paraId="31E96B6E" w14:textId="77777777">
            <w:pPr>
              <w:spacing w:after="0" w:line="240" w:lineRule="auto"/>
              <w:jc w:val="center"/>
              <w:rPr>
                <w:rFonts w:ascii="Calibri" w:hAnsi="Calibri" w:eastAsia="Times New Roman" w:cs="Calibri"/>
                <w:color w:val="FFFFFF"/>
                <w:kern w:val="0"/>
                <w:sz w:val="18"/>
                <w:szCs w:val="18"/>
                <w:lang w:eastAsia="nl-NL"/>
                <w14:ligatures w14:val="none"/>
              </w:rPr>
            </w:pPr>
            <w:r w:rsidRPr="000009C8">
              <w:rPr>
                <w:rFonts w:ascii="Calibri" w:hAnsi="Calibri" w:eastAsia="Times New Roman" w:cs="Calibri"/>
                <w:color w:val="FFFFFF"/>
                <w:kern w:val="0"/>
                <w:sz w:val="18"/>
                <w:szCs w:val="18"/>
                <w:lang w:eastAsia="nl-NL"/>
                <w14:ligatures w14:val="none"/>
              </w:rPr>
              <w:t>2025</w:t>
            </w:r>
          </w:p>
        </w:tc>
        <w:tc>
          <w:tcPr>
            <w:tcW w:w="564" w:type="pct"/>
            <w:tcBorders>
              <w:top w:val="single" w:color="auto" w:sz="4" w:space="0"/>
              <w:left w:val="nil"/>
              <w:bottom w:val="nil"/>
              <w:right w:val="nil"/>
            </w:tcBorders>
            <w:shd w:val="clear" w:color="000000" w:fill="0070C0"/>
            <w:noWrap/>
            <w:vAlign w:val="bottom"/>
            <w:hideMark/>
          </w:tcPr>
          <w:p w:rsidRPr="000009C8" w:rsidR="000009C8" w:rsidP="000009C8" w:rsidRDefault="000009C8" w14:paraId="62CB31BA" w14:textId="77777777">
            <w:pPr>
              <w:spacing w:after="0" w:line="240" w:lineRule="auto"/>
              <w:jc w:val="center"/>
              <w:rPr>
                <w:rFonts w:ascii="Calibri" w:hAnsi="Calibri" w:eastAsia="Times New Roman" w:cs="Calibri"/>
                <w:color w:val="FFFFFF"/>
                <w:kern w:val="0"/>
                <w:sz w:val="18"/>
                <w:szCs w:val="18"/>
                <w:lang w:eastAsia="nl-NL"/>
                <w14:ligatures w14:val="none"/>
              </w:rPr>
            </w:pPr>
            <w:r w:rsidRPr="000009C8">
              <w:rPr>
                <w:rFonts w:ascii="Calibri" w:hAnsi="Calibri" w:eastAsia="Times New Roman" w:cs="Calibri"/>
                <w:color w:val="FFFFFF"/>
                <w:kern w:val="0"/>
                <w:sz w:val="18"/>
                <w:szCs w:val="18"/>
                <w:lang w:eastAsia="nl-NL"/>
                <w14:ligatures w14:val="none"/>
              </w:rPr>
              <w:t>2026</w:t>
            </w:r>
          </w:p>
        </w:tc>
        <w:tc>
          <w:tcPr>
            <w:tcW w:w="631" w:type="pct"/>
            <w:tcBorders>
              <w:top w:val="single" w:color="auto" w:sz="4" w:space="0"/>
              <w:left w:val="nil"/>
              <w:bottom w:val="nil"/>
              <w:right w:val="nil"/>
            </w:tcBorders>
            <w:shd w:val="clear" w:color="000000" w:fill="0070C0"/>
            <w:noWrap/>
            <w:vAlign w:val="bottom"/>
            <w:hideMark/>
          </w:tcPr>
          <w:p w:rsidRPr="000009C8" w:rsidR="000009C8" w:rsidP="000009C8" w:rsidRDefault="000009C8" w14:paraId="283F9373" w14:textId="77777777">
            <w:pPr>
              <w:spacing w:after="0" w:line="240" w:lineRule="auto"/>
              <w:jc w:val="center"/>
              <w:rPr>
                <w:rFonts w:ascii="Calibri" w:hAnsi="Calibri" w:eastAsia="Times New Roman" w:cs="Calibri"/>
                <w:color w:val="FFFFFF"/>
                <w:kern w:val="0"/>
                <w:sz w:val="18"/>
                <w:szCs w:val="18"/>
                <w:lang w:eastAsia="nl-NL"/>
                <w14:ligatures w14:val="none"/>
              </w:rPr>
            </w:pPr>
            <w:r w:rsidRPr="000009C8">
              <w:rPr>
                <w:rFonts w:ascii="Calibri" w:hAnsi="Calibri" w:eastAsia="Times New Roman" w:cs="Calibri"/>
                <w:color w:val="FFFFFF"/>
                <w:kern w:val="0"/>
                <w:sz w:val="18"/>
                <w:szCs w:val="18"/>
                <w:lang w:eastAsia="nl-NL"/>
                <w14:ligatures w14:val="none"/>
              </w:rPr>
              <w:t>2027</w:t>
            </w:r>
          </w:p>
        </w:tc>
        <w:tc>
          <w:tcPr>
            <w:tcW w:w="362" w:type="pct"/>
            <w:tcBorders>
              <w:top w:val="single" w:color="auto" w:sz="4" w:space="0"/>
              <w:left w:val="nil"/>
              <w:bottom w:val="nil"/>
              <w:right w:val="nil"/>
            </w:tcBorders>
            <w:shd w:val="clear" w:color="000000" w:fill="0070C0"/>
            <w:noWrap/>
            <w:vAlign w:val="bottom"/>
            <w:hideMark/>
          </w:tcPr>
          <w:p w:rsidRPr="000009C8" w:rsidR="000009C8" w:rsidP="000009C8" w:rsidRDefault="000009C8" w14:paraId="2A086551" w14:textId="77777777">
            <w:pPr>
              <w:spacing w:after="0" w:line="240" w:lineRule="auto"/>
              <w:jc w:val="center"/>
              <w:rPr>
                <w:rFonts w:ascii="Calibri" w:hAnsi="Calibri" w:eastAsia="Times New Roman" w:cs="Calibri"/>
                <w:color w:val="FFFFFF"/>
                <w:kern w:val="0"/>
                <w:sz w:val="18"/>
                <w:szCs w:val="18"/>
                <w:lang w:eastAsia="nl-NL"/>
                <w14:ligatures w14:val="none"/>
              </w:rPr>
            </w:pPr>
            <w:r w:rsidRPr="000009C8">
              <w:rPr>
                <w:rFonts w:ascii="Calibri" w:hAnsi="Calibri" w:eastAsia="Times New Roman" w:cs="Calibri"/>
                <w:color w:val="FFFFFF"/>
                <w:kern w:val="0"/>
                <w:sz w:val="18"/>
                <w:szCs w:val="18"/>
                <w:lang w:eastAsia="nl-NL"/>
                <w14:ligatures w14:val="none"/>
              </w:rPr>
              <w:t>2028</w:t>
            </w:r>
          </w:p>
        </w:tc>
        <w:tc>
          <w:tcPr>
            <w:tcW w:w="362" w:type="pct"/>
            <w:tcBorders>
              <w:top w:val="single" w:color="auto" w:sz="4" w:space="0"/>
              <w:left w:val="nil"/>
              <w:bottom w:val="nil"/>
              <w:right w:val="nil"/>
            </w:tcBorders>
            <w:shd w:val="clear" w:color="000000" w:fill="0070C0"/>
            <w:noWrap/>
            <w:vAlign w:val="bottom"/>
            <w:hideMark/>
          </w:tcPr>
          <w:p w:rsidRPr="000009C8" w:rsidR="000009C8" w:rsidP="000009C8" w:rsidRDefault="000009C8" w14:paraId="1F23934B" w14:textId="77777777">
            <w:pPr>
              <w:spacing w:after="0" w:line="240" w:lineRule="auto"/>
              <w:jc w:val="center"/>
              <w:rPr>
                <w:rFonts w:ascii="Calibri" w:hAnsi="Calibri" w:eastAsia="Times New Roman" w:cs="Calibri"/>
                <w:color w:val="FFFFFF"/>
                <w:kern w:val="0"/>
                <w:sz w:val="18"/>
                <w:szCs w:val="18"/>
                <w:lang w:eastAsia="nl-NL"/>
                <w14:ligatures w14:val="none"/>
              </w:rPr>
            </w:pPr>
            <w:r w:rsidRPr="000009C8">
              <w:rPr>
                <w:rFonts w:ascii="Calibri" w:hAnsi="Calibri" w:eastAsia="Times New Roman" w:cs="Calibri"/>
                <w:color w:val="FFFFFF"/>
                <w:kern w:val="0"/>
                <w:sz w:val="18"/>
                <w:szCs w:val="18"/>
                <w:lang w:eastAsia="nl-NL"/>
                <w14:ligatures w14:val="none"/>
              </w:rPr>
              <w:t>2029</w:t>
            </w:r>
          </w:p>
        </w:tc>
        <w:tc>
          <w:tcPr>
            <w:tcW w:w="362" w:type="pct"/>
            <w:tcBorders>
              <w:top w:val="single" w:color="auto" w:sz="4" w:space="0"/>
              <w:left w:val="nil"/>
              <w:bottom w:val="nil"/>
              <w:right w:val="nil"/>
            </w:tcBorders>
            <w:shd w:val="clear" w:color="000000" w:fill="0070C0"/>
            <w:noWrap/>
            <w:vAlign w:val="bottom"/>
            <w:hideMark/>
          </w:tcPr>
          <w:p w:rsidRPr="000009C8" w:rsidR="000009C8" w:rsidP="000009C8" w:rsidRDefault="000009C8" w14:paraId="32D666EF" w14:textId="77777777">
            <w:pPr>
              <w:spacing w:after="0" w:line="240" w:lineRule="auto"/>
              <w:jc w:val="center"/>
              <w:rPr>
                <w:rFonts w:ascii="Calibri" w:hAnsi="Calibri" w:eastAsia="Times New Roman" w:cs="Calibri"/>
                <w:color w:val="FFFFFF"/>
                <w:kern w:val="0"/>
                <w:sz w:val="18"/>
                <w:szCs w:val="18"/>
                <w:lang w:eastAsia="nl-NL"/>
                <w14:ligatures w14:val="none"/>
              </w:rPr>
            </w:pPr>
            <w:r w:rsidRPr="000009C8">
              <w:rPr>
                <w:rFonts w:ascii="Calibri" w:hAnsi="Calibri" w:eastAsia="Times New Roman" w:cs="Calibri"/>
                <w:color w:val="FFFFFF"/>
                <w:kern w:val="0"/>
                <w:sz w:val="18"/>
                <w:szCs w:val="18"/>
                <w:lang w:eastAsia="nl-NL"/>
                <w14:ligatures w14:val="none"/>
              </w:rPr>
              <w:t>cum</w:t>
            </w:r>
          </w:p>
        </w:tc>
        <w:tc>
          <w:tcPr>
            <w:tcW w:w="363" w:type="pct"/>
            <w:tcBorders>
              <w:top w:val="single" w:color="auto" w:sz="4" w:space="0"/>
              <w:left w:val="nil"/>
              <w:bottom w:val="nil"/>
              <w:right w:val="single" w:color="auto" w:sz="4" w:space="0"/>
            </w:tcBorders>
            <w:shd w:val="clear" w:color="000000" w:fill="0070C0"/>
            <w:noWrap/>
            <w:vAlign w:val="bottom"/>
            <w:hideMark/>
          </w:tcPr>
          <w:p w:rsidRPr="000009C8" w:rsidR="000009C8" w:rsidP="000009C8" w:rsidRDefault="000009C8" w14:paraId="6637ABA0" w14:textId="77777777">
            <w:pPr>
              <w:spacing w:after="0" w:line="240" w:lineRule="auto"/>
              <w:jc w:val="center"/>
              <w:rPr>
                <w:rFonts w:ascii="Calibri" w:hAnsi="Calibri" w:eastAsia="Times New Roman" w:cs="Calibri"/>
                <w:color w:val="FFFFFF"/>
                <w:kern w:val="0"/>
                <w:sz w:val="18"/>
                <w:szCs w:val="18"/>
                <w:lang w:eastAsia="nl-NL"/>
                <w14:ligatures w14:val="none"/>
              </w:rPr>
            </w:pPr>
            <w:proofErr w:type="spellStart"/>
            <w:r w:rsidRPr="000009C8">
              <w:rPr>
                <w:rFonts w:ascii="Calibri" w:hAnsi="Calibri" w:eastAsia="Times New Roman" w:cs="Calibri"/>
                <w:color w:val="FFFFFF"/>
                <w:kern w:val="0"/>
                <w:sz w:val="18"/>
                <w:szCs w:val="18"/>
                <w:lang w:eastAsia="nl-NL"/>
                <w14:ligatures w14:val="none"/>
              </w:rPr>
              <w:t>struc</w:t>
            </w:r>
            <w:proofErr w:type="spellEnd"/>
          </w:p>
        </w:tc>
      </w:tr>
      <w:tr w:rsidRPr="000009C8" w:rsidR="000009C8" w:rsidTr="00417180" w14:paraId="293BC99B" w14:textId="77777777">
        <w:trPr>
          <w:trHeight w:val="300"/>
        </w:trPr>
        <w:tc>
          <w:tcPr>
            <w:tcW w:w="228" w:type="pct"/>
            <w:tcBorders>
              <w:top w:val="nil"/>
              <w:left w:val="single" w:color="auto" w:sz="4" w:space="0"/>
              <w:bottom w:val="single" w:color="auto" w:sz="4" w:space="0"/>
              <w:right w:val="single" w:color="auto" w:sz="4" w:space="0"/>
            </w:tcBorders>
            <w:shd w:val="clear" w:color="000000" w:fill="DAE9F8"/>
            <w:noWrap/>
            <w:vAlign w:val="bottom"/>
            <w:hideMark/>
          </w:tcPr>
          <w:p w:rsidRPr="000009C8" w:rsidR="000009C8" w:rsidP="000009C8" w:rsidRDefault="000009C8" w14:paraId="5FE41360" w14:textId="77777777">
            <w:pPr>
              <w:spacing w:after="0" w:line="240" w:lineRule="auto"/>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1622" w:type="pct"/>
            <w:tcBorders>
              <w:top w:val="nil"/>
              <w:left w:val="nil"/>
              <w:bottom w:val="nil"/>
              <w:right w:val="nil"/>
            </w:tcBorders>
            <w:shd w:val="clear" w:color="000000" w:fill="DAE9F8"/>
            <w:vAlign w:val="bottom"/>
            <w:hideMark/>
          </w:tcPr>
          <w:p w:rsidRPr="000009C8" w:rsidR="000009C8" w:rsidP="000009C8" w:rsidRDefault="000009C8" w14:paraId="4BC823A4" w14:textId="77777777">
            <w:pPr>
              <w:spacing w:after="0" w:line="240" w:lineRule="auto"/>
              <w:rPr>
                <w:rFonts w:ascii="Calibri" w:hAnsi="Calibri" w:eastAsia="Times New Roman" w:cs="Calibri"/>
                <w:b/>
                <w:bCs/>
                <w:color w:val="000000"/>
                <w:kern w:val="0"/>
                <w:sz w:val="18"/>
                <w:szCs w:val="18"/>
                <w:lang w:eastAsia="nl-NL"/>
                <w14:ligatures w14:val="none"/>
              </w:rPr>
            </w:pPr>
            <w:r w:rsidRPr="000009C8">
              <w:rPr>
                <w:rFonts w:ascii="Calibri" w:hAnsi="Calibri" w:eastAsia="Times New Roman" w:cs="Calibri"/>
                <w:b/>
                <w:bCs/>
                <w:color w:val="000000"/>
                <w:kern w:val="0"/>
                <w:sz w:val="18"/>
                <w:szCs w:val="18"/>
                <w:lang w:eastAsia="nl-NL"/>
                <w14:ligatures w14:val="none"/>
              </w:rPr>
              <w:t>Box 3</w:t>
            </w:r>
          </w:p>
        </w:tc>
        <w:tc>
          <w:tcPr>
            <w:tcW w:w="505" w:type="pct"/>
            <w:tcBorders>
              <w:top w:val="nil"/>
              <w:left w:val="nil"/>
              <w:bottom w:val="nil"/>
              <w:right w:val="nil"/>
            </w:tcBorders>
            <w:shd w:val="clear" w:color="000000" w:fill="DAE9F8"/>
            <w:noWrap/>
            <w:vAlign w:val="bottom"/>
            <w:hideMark/>
          </w:tcPr>
          <w:p w:rsidRPr="000009C8" w:rsidR="000009C8" w:rsidP="000009C8" w:rsidRDefault="000009C8" w14:paraId="580C20BF"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564" w:type="pct"/>
            <w:tcBorders>
              <w:top w:val="nil"/>
              <w:left w:val="nil"/>
              <w:bottom w:val="nil"/>
              <w:right w:val="nil"/>
            </w:tcBorders>
            <w:shd w:val="clear" w:color="000000" w:fill="DAE9F8"/>
            <w:noWrap/>
            <w:vAlign w:val="bottom"/>
            <w:hideMark/>
          </w:tcPr>
          <w:p w:rsidRPr="000009C8" w:rsidR="000009C8" w:rsidP="000009C8" w:rsidRDefault="000009C8" w14:paraId="645114E1"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631" w:type="pct"/>
            <w:tcBorders>
              <w:top w:val="nil"/>
              <w:left w:val="nil"/>
              <w:bottom w:val="nil"/>
              <w:right w:val="nil"/>
            </w:tcBorders>
            <w:shd w:val="clear" w:color="000000" w:fill="DAE9F8"/>
            <w:noWrap/>
            <w:vAlign w:val="bottom"/>
            <w:hideMark/>
          </w:tcPr>
          <w:p w:rsidRPr="000009C8" w:rsidR="000009C8" w:rsidP="000009C8" w:rsidRDefault="000009C8" w14:paraId="159ADF3F"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362" w:type="pct"/>
            <w:tcBorders>
              <w:top w:val="nil"/>
              <w:left w:val="nil"/>
              <w:bottom w:val="nil"/>
              <w:right w:val="nil"/>
            </w:tcBorders>
            <w:shd w:val="clear" w:color="000000" w:fill="DAE9F8"/>
            <w:noWrap/>
            <w:vAlign w:val="bottom"/>
            <w:hideMark/>
          </w:tcPr>
          <w:p w:rsidRPr="000009C8" w:rsidR="000009C8" w:rsidP="000009C8" w:rsidRDefault="000009C8" w14:paraId="71732FC0"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362" w:type="pct"/>
            <w:tcBorders>
              <w:top w:val="nil"/>
              <w:left w:val="nil"/>
              <w:bottom w:val="nil"/>
              <w:right w:val="nil"/>
            </w:tcBorders>
            <w:shd w:val="clear" w:color="000000" w:fill="DAE9F8"/>
            <w:noWrap/>
            <w:vAlign w:val="bottom"/>
            <w:hideMark/>
          </w:tcPr>
          <w:p w:rsidRPr="000009C8" w:rsidR="000009C8" w:rsidP="000009C8" w:rsidRDefault="000009C8" w14:paraId="6AFBDDF8"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362" w:type="pct"/>
            <w:tcBorders>
              <w:top w:val="nil"/>
              <w:left w:val="nil"/>
              <w:bottom w:val="nil"/>
              <w:right w:val="nil"/>
            </w:tcBorders>
            <w:shd w:val="clear" w:color="000000" w:fill="DAE9F8"/>
            <w:noWrap/>
            <w:vAlign w:val="bottom"/>
            <w:hideMark/>
          </w:tcPr>
          <w:p w:rsidRPr="000009C8" w:rsidR="000009C8" w:rsidP="000009C8" w:rsidRDefault="000009C8" w14:paraId="5B7F71CC"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363" w:type="pct"/>
            <w:tcBorders>
              <w:top w:val="nil"/>
              <w:left w:val="nil"/>
              <w:bottom w:val="nil"/>
              <w:right w:val="single" w:color="auto" w:sz="4" w:space="0"/>
            </w:tcBorders>
            <w:shd w:val="clear" w:color="000000" w:fill="DAE9F8"/>
            <w:noWrap/>
            <w:vAlign w:val="bottom"/>
            <w:hideMark/>
          </w:tcPr>
          <w:p w:rsidRPr="000009C8" w:rsidR="000009C8" w:rsidP="000009C8" w:rsidRDefault="000009C8" w14:paraId="433D7EF1"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r>
      <w:tr w:rsidRPr="000009C8" w:rsidR="000009C8" w:rsidTr="00417180" w14:paraId="5FFB90DA" w14:textId="77777777">
        <w:trPr>
          <w:trHeight w:val="300"/>
        </w:trPr>
        <w:tc>
          <w:tcPr>
            <w:tcW w:w="228" w:type="pct"/>
            <w:tcBorders>
              <w:top w:val="nil"/>
              <w:left w:val="single" w:color="auto" w:sz="4" w:space="0"/>
              <w:bottom w:val="single" w:color="auto" w:sz="4" w:space="0"/>
              <w:right w:val="single" w:color="auto" w:sz="4" w:space="0"/>
            </w:tcBorders>
            <w:shd w:val="clear" w:color="auto" w:fill="auto"/>
            <w:noWrap/>
            <w:vAlign w:val="bottom"/>
            <w:hideMark/>
          </w:tcPr>
          <w:p w:rsidRPr="000009C8" w:rsidR="000009C8" w:rsidP="000009C8" w:rsidRDefault="000009C8" w14:paraId="75B201EB" w14:textId="77777777">
            <w:pPr>
              <w:spacing w:after="0" w:line="240" w:lineRule="auto"/>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w:t>
            </w:r>
          </w:p>
        </w:tc>
        <w:tc>
          <w:tcPr>
            <w:tcW w:w="1622" w:type="pct"/>
            <w:tcBorders>
              <w:top w:val="single" w:color="auto" w:sz="4" w:space="0"/>
              <w:left w:val="nil"/>
              <w:bottom w:val="single" w:color="auto" w:sz="4" w:space="0"/>
              <w:right w:val="single" w:color="auto" w:sz="4" w:space="0"/>
            </w:tcBorders>
            <w:shd w:val="clear" w:color="auto" w:fill="auto"/>
            <w:vAlign w:val="bottom"/>
            <w:hideMark/>
          </w:tcPr>
          <w:p w:rsidRPr="000009C8" w:rsidR="000009C8" w:rsidP="000009C8" w:rsidRDefault="000009C8" w14:paraId="49008091" w14:textId="77777777">
            <w:pPr>
              <w:spacing w:after="0" w:line="240" w:lineRule="auto"/>
              <w:rPr>
                <w:rFonts w:ascii="Calibri" w:hAnsi="Calibri" w:eastAsia="Times New Roman" w:cs="Calibri"/>
                <w:i/>
                <w:iCs/>
                <w:color w:val="000000"/>
                <w:kern w:val="0"/>
                <w:sz w:val="18"/>
                <w:szCs w:val="18"/>
                <w:lang w:eastAsia="nl-NL"/>
                <w14:ligatures w14:val="none"/>
              </w:rPr>
            </w:pPr>
            <w:r w:rsidRPr="000009C8">
              <w:rPr>
                <w:rFonts w:ascii="Calibri" w:hAnsi="Calibri" w:eastAsia="Times New Roman" w:cs="Calibri"/>
                <w:i/>
                <w:iCs/>
                <w:color w:val="000000"/>
                <w:kern w:val="0"/>
                <w:sz w:val="18"/>
                <w:szCs w:val="18"/>
                <w:lang w:eastAsia="nl-NL"/>
                <w14:ligatures w14:val="none"/>
              </w:rPr>
              <w:t>Opties</w:t>
            </w:r>
          </w:p>
        </w:tc>
        <w:tc>
          <w:tcPr>
            <w:tcW w:w="505" w:type="pct"/>
            <w:tcBorders>
              <w:top w:val="single" w:color="auto" w:sz="4" w:space="0"/>
              <w:left w:val="nil"/>
              <w:bottom w:val="single" w:color="auto" w:sz="4" w:space="0"/>
              <w:right w:val="single" w:color="auto" w:sz="4" w:space="0"/>
            </w:tcBorders>
            <w:shd w:val="clear" w:color="auto" w:fill="auto"/>
            <w:noWrap/>
            <w:vAlign w:val="bottom"/>
            <w:hideMark/>
          </w:tcPr>
          <w:p w:rsidRPr="000009C8" w:rsidR="000009C8" w:rsidP="000009C8" w:rsidRDefault="000009C8" w14:paraId="33511F9B" w14:textId="77777777">
            <w:pPr>
              <w:spacing w:after="0" w:line="240" w:lineRule="auto"/>
              <w:jc w:val="center"/>
              <w:rPr>
                <w:rFonts w:ascii="Calibri" w:hAnsi="Calibri" w:eastAsia="Times New Roman" w:cs="Calibri"/>
                <w:color w:val="000000"/>
                <w:kern w:val="0"/>
                <w:sz w:val="18"/>
                <w:szCs w:val="18"/>
                <w:lang w:eastAsia="nl-NL"/>
                <w14:ligatures w14:val="none"/>
              </w:rPr>
            </w:pPr>
          </w:p>
        </w:tc>
        <w:tc>
          <w:tcPr>
            <w:tcW w:w="564" w:type="pct"/>
            <w:tcBorders>
              <w:top w:val="single" w:color="auto" w:sz="4" w:space="0"/>
              <w:left w:val="nil"/>
              <w:bottom w:val="single" w:color="auto" w:sz="4" w:space="0"/>
              <w:right w:val="single" w:color="auto" w:sz="4" w:space="0"/>
            </w:tcBorders>
            <w:shd w:val="clear" w:color="auto" w:fill="auto"/>
            <w:noWrap/>
            <w:vAlign w:val="bottom"/>
            <w:hideMark/>
          </w:tcPr>
          <w:p w:rsidRPr="000009C8" w:rsidR="000009C8" w:rsidP="000009C8" w:rsidRDefault="000009C8" w14:paraId="4A364A7C" w14:textId="77777777">
            <w:pPr>
              <w:spacing w:after="0" w:line="240" w:lineRule="auto"/>
              <w:jc w:val="center"/>
              <w:rPr>
                <w:rFonts w:ascii="Calibri" w:hAnsi="Calibri" w:eastAsia="Times New Roman" w:cs="Calibri"/>
                <w:color w:val="000000"/>
                <w:kern w:val="0"/>
                <w:sz w:val="18"/>
                <w:szCs w:val="18"/>
                <w:lang w:eastAsia="nl-NL"/>
                <w14:ligatures w14:val="none"/>
              </w:rPr>
            </w:pPr>
          </w:p>
        </w:tc>
        <w:tc>
          <w:tcPr>
            <w:tcW w:w="631" w:type="pct"/>
            <w:tcBorders>
              <w:top w:val="single" w:color="auto" w:sz="4" w:space="0"/>
              <w:left w:val="nil"/>
              <w:bottom w:val="single" w:color="auto" w:sz="4" w:space="0"/>
              <w:right w:val="single" w:color="auto" w:sz="4" w:space="0"/>
            </w:tcBorders>
            <w:shd w:val="clear" w:color="auto" w:fill="auto"/>
            <w:noWrap/>
            <w:vAlign w:val="bottom"/>
            <w:hideMark/>
          </w:tcPr>
          <w:p w:rsidRPr="000009C8" w:rsidR="000009C8" w:rsidP="000009C8" w:rsidRDefault="000009C8" w14:paraId="1FD45456" w14:textId="77777777">
            <w:pPr>
              <w:spacing w:after="0" w:line="240" w:lineRule="auto"/>
              <w:jc w:val="center"/>
              <w:rPr>
                <w:rFonts w:ascii="Calibri" w:hAnsi="Calibri" w:eastAsia="Times New Roman" w:cs="Calibri"/>
                <w:color w:val="000000"/>
                <w:kern w:val="0"/>
                <w:sz w:val="18"/>
                <w:szCs w:val="18"/>
                <w:lang w:eastAsia="nl-NL"/>
                <w14:ligatures w14:val="none"/>
              </w:rPr>
            </w:pPr>
          </w:p>
        </w:tc>
        <w:tc>
          <w:tcPr>
            <w:tcW w:w="362" w:type="pct"/>
            <w:tcBorders>
              <w:top w:val="single" w:color="auto" w:sz="4" w:space="0"/>
              <w:left w:val="nil"/>
              <w:bottom w:val="single" w:color="auto" w:sz="4" w:space="0"/>
              <w:right w:val="single" w:color="auto" w:sz="4" w:space="0"/>
            </w:tcBorders>
            <w:shd w:val="clear" w:color="auto" w:fill="auto"/>
            <w:noWrap/>
            <w:vAlign w:val="bottom"/>
            <w:hideMark/>
          </w:tcPr>
          <w:p w:rsidRPr="000009C8" w:rsidR="000009C8" w:rsidP="000009C8" w:rsidRDefault="000009C8" w14:paraId="2FB42030" w14:textId="77777777">
            <w:pPr>
              <w:spacing w:after="0" w:line="240" w:lineRule="auto"/>
              <w:jc w:val="center"/>
              <w:rPr>
                <w:rFonts w:ascii="Calibri" w:hAnsi="Calibri" w:eastAsia="Times New Roman" w:cs="Calibri"/>
                <w:color w:val="000000"/>
                <w:kern w:val="0"/>
                <w:sz w:val="18"/>
                <w:szCs w:val="18"/>
                <w:lang w:eastAsia="nl-NL"/>
                <w14:ligatures w14:val="none"/>
              </w:rPr>
            </w:pPr>
          </w:p>
        </w:tc>
        <w:tc>
          <w:tcPr>
            <w:tcW w:w="362" w:type="pct"/>
            <w:tcBorders>
              <w:top w:val="single" w:color="auto" w:sz="4" w:space="0"/>
              <w:left w:val="nil"/>
              <w:bottom w:val="single" w:color="auto" w:sz="4" w:space="0"/>
              <w:right w:val="single" w:color="auto" w:sz="4" w:space="0"/>
            </w:tcBorders>
            <w:shd w:val="clear" w:color="auto" w:fill="auto"/>
            <w:noWrap/>
            <w:vAlign w:val="bottom"/>
            <w:hideMark/>
          </w:tcPr>
          <w:p w:rsidRPr="000009C8" w:rsidR="000009C8" w:rsidP="000009C8" w:rsidRDefault="000009C8" w14:paraId="2C43AD14" w14:textId="77777777">
            <w:pPr>
              <w:spacing w:after="0" w:line="240" w:lineRule="auto"/>
              <w:jc w:val="center"/>
              <w:rPr>
                <w:rFonts w:ascii="Calibri" w:hAnsi="Calibri" w:eastAsia="Times New Roman" w:cs="Calibri"/>
                <w:color w:val="000000"/>
                <w:kern w:val="0"/>
                <w:sz w:val="18"/>
                <w:szCs w:val="18"/>
                <w:lang w:eastAsia="nl-NL"/>
                <w14:ligatures w14:val="none"/>
              </w:rPr>
            </w:pPr>
          </w:p>
        </w:tc>
        <w:tc>
          <w:tcPr>
            <w:tcW w:w="362" w:type="pct"/>
            <w:tcBorders>
              <w:top w:val="single" w:color="auto" w:sz="4" w:space="0"/>
              <w:left w:val="nil"/>
              <w:bottom w:val="single" w:color="auto" w:sz="4" w:space="0"/>
              <w:right w:val="single" w:color="auto" w:sz="4" w:space="0"/>
            </w:tcBorders>
            <w:shd w:val="clear" w:color="auto" w:fill="auto"/>
            <w:noWrap/>
            <w:vAlign w:val="bottom"/>
            <w:hideMark/>
          </w:tcPr>
          <w:p w:rsidRPr="000009C8" w:rsidR="000009C8" w:rsidP="000009C8" w:rsidRDefault="000009C8" w14:paraId="3B53915D" w14:textId="77777777">
            <w:pPr>
              <w:spacing w:after="0" w:line="240" w:lineRule="auto"/>
              <w:jc w:val="center"/>
              <w:rPr>
                <w:rFonts w:ascii="Calibri" w:hAnsi="Calibri" w:eastAsia="Times New Roman" w:cs="Calibri"/>
                <w:color w:val="000000"/>
                <w:kern w:val="0"/>
                <w:sz w:val="18"/>
                <w:szCs w:val="18"/>
                <w:lang w:eastAsia="nl-NL"/>
                <w14:ligatures w14:val="none"/>
              </w:rPr>
            </w:pPr>
          </w:p>
        </w:tc>
        <w:tc>
          <w:tcPr>
            <w:tcW w:w="363" w:type="pct"/>
            <w:tcBorders>
              <w:top w:val="single" w:color="auto" w:sz="4" w:space="0"/>
              <w:left w:val="nil"/>
              <w:bottom w:val="single" w:color="auto" w:sz="4" w:space="0"/>
              <w:right w:val="single" w:color="auto" w:sz="4" w:space="0"/>
            </w:tcBorders>
            <w:shd w:val="clear" w:color="auto" w:fill="auto"/>
            <w:noWrap/>
            <w:vAlign w:val="bottom"/>
            <w:hideMark/>
          </w:tcPr>
          <w:p w:rsidRPr="000009C8" w:rsidR="000009C8" w:rsidP="000009C8" w:rsidRDefault="000009C8" w14:paraId="0FFC6000" w14:textId="77777777">
            <w:pPr>
              <w:spacing w:after="0" w:line="240" w:lineRule="auto"/>
              <w:jc w:val="center"/>
              <w:rPr>
                <w:rFonts w:ascii="Calibri" w:hAnsi="Calibri" w:eastAsia="Times New Roman" w:cs="Calibri"/>
                <w:color w:val="000000"/>
                <w:kern w:val="0"/>
                <w:sz w:val="18"/>
                <w:szCs w:val="18"/>
                <w:lang w:eastAsia="nl-NL"/>
                <w14:ligatures w14:val="none"/>
              </w:rPr>
            </w:pPr>
          </w:p>
        </w:tc>
      </w:tr>
      <w:tr w:rsidRPr="000009C8" w:rsidR="000009C8" w:rsidTr="00417180" w14:paraId="6080D48D" w14:textId="77777777">
        <w:trPr>
          <w:trHeight w:val="300"/>
        </w:trPr>
        <w:tc>
          <w:tcPr>
            <w:tcW w:w="228" w:type="pct"/>
            <w:tcBorders>
              <w:top w:val="nil"/>
              <w:left w:val="single" w:color="auto" w:sz="4" w:space="0"/>
              <w:bottom w:val="single" w:color="auto" w:sz="4" w:space="0"/>
              <w:right w:val="single" w:color="auto" w:sz="4" w:space="0"/>
            </w:tcBorders>
            <w:shd w:val="clear" w:color="auto" w:fill="auto"/>
            <w:noWrap/>
            <w:vAlign w:val="bottom"/>
            <w:hideMark/>
          </w:tcPr>
          <w:p w:rsidRPr="000009C8" w:rsidR="000009C8" w:rsidP="000009C8" w:rsidRDefault="000009C8" w14:paraId="50F0E585" w14:textId="77777777">
            <w:pPr>
              <w:spacing w:after="0" w:line="240" w:lineRule="auto"/>
              <w:jc w:val="right"/>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1a</w:t>
            </w:r>
          </w:p>
        </w:tc>
        <w:tc>
          <w:tcPr>
            <w:tcW w:w="1622" w:type="pct"/>
            <w:tcBorders>
              <w:top w:val="nil"/>
              <w:left w:val="nil"/>
              <w:bottom w:val="single" w:color="auto" w:sz="4" w:space="0"/>
              <w:right w:val="single" w:color="auto" w:sz="4" w:space="0"/>
            </w:tcBorders>
            <w:shd w:val="clear" w:color="000000" w:fill="FFFFFF"/>
            <w:vAlign w:val="bottom"/>
            <w:hideMark/>
          </w:tcPr>
          <w:p w:rsidRPr="000009C8" w:rsidR="000009C8" w:rsidP="000009C8" w:rsidRDefault="000009C8" w14:paraId="44A1EF7D" w14:textId="77777777">
            <w:pPr>
              <w:spacing w:after="0" w:line="240" w:lineRule="auto"/>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Niet verhogen forfait</w:t>
            </w:r>
          </w:p>
        </w:tc>
        <w:tc>
          <w:tcPr>
            <w:tcW w:w="505"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136D75E4"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0</w:t>
            </w:r>
          </w:p>
        </w:tc>
        <w:tc>
          <w:tcPr>
            <w:tcW w:w="564"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69505962"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-1.129</w:t>
            </w:r>
          </w:p>
        </w:tc>
        <w:tc>
          <w:tcPr>
            <w:tcW w:w="631"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4A81EF39"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-1.129</w:t>
            </w:r>
          </w:p>
        </w:tc>
        <w:tc>
          <w:tcPr>
            <w:tcW w:w="362"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75C349C0"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0</w:t>
            </w:r>
          </w:p>
        </w:tc>
        <w:tc>
          <w:tcPr>
            <w:tcW w:w="362"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5FF1481A"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c>
          <w:tcPr>
            <w:tcW w:w="362"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4668094D"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-2.258</w:t>
            </w:r>
          </w:p>
        </w:tc>
        <w:tc>
          <w:tcPr>
            <w:tcW w:w="363"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2039B27B"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r>
      <w:tr w:rsidRPr="000009C8" w:rsidR="000009C8" w:rsidTr="00417180" w14:paraId="29772640" w14:textId="77777777">
        <w:trPr>
          <w:trHeight w:val="300"/>
        </w:trPr>
        <w:tc>
          <w:tcPr>
            <w:tcW w:w="228" w:type="pct"/>
            <w:tcBorders>
              <w:top w:val="nil"/>
              <w:left w:val="single" w:color="auto" w:sz="4" w:space="0"/>
              <w:bottom w:val="single" w:color="auto" w:sz="4" w:space="0"/>
              <w:right w:val="single" w:color="auto" w:sz="4" w:space="0"/>
            </w:tcBorders>
            <w:shd w:val="clear" w:color="auto" w:fill="auto"/>
            <w:noWrap/>
            <w:vAlign w:val="bottom"/>
          </w:tcPr>
          <w:p w:rsidRPr="000009C8" w:rsidR="000009C8" w:rsidP="000009C8" w:rsidRDefault="000009C8" w14:paraId="49670415" w14:textId="77777777">
            <w:pPr>
              <w:spacing w:after="0" w:line="240" w:lineRule="auto"/>
              <w:jc w:val="right"/>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b</w:t>
            </w:r>
          </w:p>
        </w:tc>
        <w:tc>
          <w:tcPr>
            <w:tcW w:w="1622" w:type="pct"/>
            <w:tcBorders>
              <w:top w:val="nil"/>
              <w:left w:val="nil"/>
              <w:bottom w:val="single" w:color="auto" w:sz="4" w:space="0"/>
              <w:right w:val="single" w:color="auto" w:sz="4" w:space="0"/>
            </w:tcBorders>
            <w:shd w:val="clear" w:color="000000" w:fill="FFFFFF"/>
            <w:vAlign w:val="bottom"/>
          </w:tcPr>
          <w:p w:rsidRPr="000009C8" w:rsidR="000009C8" w:rsidP="000009C8" w:rsidRDefault="000009C8" w14:paraId="101471D3" w14:textId="77777777">
            <w:pPr>
              <w:spacing w:after="0" w:line="240" w:lineRule="auto"/>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xml:space="preserve">Beperkt verhogen forfait </w:t>
            </w:r>
          </w:p>
        </w:tc>
        <w:tc>
          <w:tcPr>
            <w:tcW w:w="505"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7B5F571C" w14:textId="77777777">
            <w:pPr>
              <w:spacing w:after="0" w:line="240" w:lineRule="auto"/>
              <w:jc w:val="center"/>
              <w:rPr>
                <w:rFonts w:ascii="Calibri" w:hAnsi="Calibri" w:eastAsia="DejaVu Sans"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0</w:t>
            </w:r>
          </w:p>
        </w:tc>
        <w:tc>
          <w:tcPr>
            <w:tcW w:w="564"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139DB480" w14:textId="77777777">
            <w:pPr>
              <w:spacing w:after="0" w:line="240" w:lineRule="auto"/>
              <w:jc w:val="center"/>
              <w:rPr>
                <w:rFonts w:ascii="Calibri" w:hAnsi="Calibri" w:eastAsia="DejaVu Sans"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-611</w:t>
            </w:r>
          </w:p>
        </w:tc>
        <w:tc>
          <w:tcPr>
            <w:tcW w:w="631"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2422588F" w14:textId="77777777">
            <w:pPr>
              <w:spacing w:after="0" w:line="240" w:lineRule="auto"/>
              <w:jc w:val="center"/>
              <w:rPr>
                <w:rFonts w:ascii="Calibri" w:hAnsi="Calibri" w:eastAsia="DejaVu Sans"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-611</w:t>
            </w:r>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54AC396B" w14:textId="77777777">
            <w:pPr>
              <w:spacing w:after="0" w:line="240" w:lineRule="auto"/>
              <w:jc w:val="center"/>
              <w:rPr>
                <w:rFonts w:ascii="Calibri" w:hAnsi="Calibri" w:eastAsia="DejaVu Sans"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0</w:t>
            </w:r>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6E23A50B"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687F9BC4" w14:textId="4052692D">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-1</w:t>
            </w:r>
            <w:r w:rsidR="00C63B25">
              <w:rPr>
                <w:rFonts w:ascii="Calibri" w:hAnsi="Calibri" w:eastAsia="Times New Roman" w:cs="Calibri"/>
                <w:color w:val="000000"/>
                <w:kern w:val="0"/>
                <w:sz w:val="18"/>
                <w:szCs w:val="18"/>
                <w:lang w:eastAsia="nl-NL"/>
                <w14:ligatures w14:val="none"/>
              </w:rPr>
              <w:t>.</w:t>
            </w:r>
            <w:r w:rsidRPr="000009C8">
              <w:rPr>
                <w:rFonts w:ascii="Calibri" w:hAnsi="Calibri" w:eastAsia="Times New Roman" w:cs="Calibri"/>
                <w:color w:val="000000"/>
                <w:kern w:val="0"/>
                <w:sz w:val="18"/>
                <w:szCs w:val="18"/>
                <w:lang w:eastAsia="nl-NL"/>
                <w14:ligatures w14:val="none"/>
              </w:rPr>
              <w:t>222</w:t>
            </w:r>
          </w:p>
        </w:tc>
        <w:tc>
          <w:tcPr>
            <w:tcW w:w="363"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0287A950"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r>
      <w:tr w:rsidRPr="000009C8" w:rsidR="000009C8" w:rsidTr="00417180" w14:paraId="34FF3ABF" w14:textId="77777777">
        <w:trPr>
          <w:trHeight w:val="300"/>
        </w:trPr>
        <w:tc>
          <w:tcPr>
            <w:tcW w:w="228" w:type="pct"/>
            <w:tcBorders>
              <w:top w:val="nil"/>
              <w:left w:val="single" w:color="auto" w:sz="4" w:space="0"/>
              <w:bottom w:val="single" w:color="auto" w:sz="4" w:space="0"/>
              <w:right w:val="single" w:color="auto" w:sz="4" w:space="0"/>
            </w:tcBorders>
            <w:shd w:val="clear" w:color="auto" w:fill="auto"/>
            <w:noWrap/>
            <w:vAlign w:val="bottom"/>
            <w:hideMark/>
          </w:tcPr>
          <w:p w:rsidRPr="000009C8" w:rsidR="000009C8" w:rsidP="000009C8" w:rsidRDefault="000009C8" w14:paraId="5B0323F7" w14:textId="77777777">
            <w:pPr>
              <w:spacing w:after="0" w:line="240" w:lineRule="auto"/>
              <w:jc w:val="right"/>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2a</w:t>
            </w:r>
          </w:p>
        </w:tc>
        <w:tc>
          <w:tcPr>
            <w:tcW w:w="1622" w:type="pct"/>
            <w:tcBorders>
              <w:top w:val="nil"/>
              <w:left w:val="nil"/>
              <w:bottom w:val="single" w:color="auto" w:sz="4" w:space="0"/>
              <w:right w:val="single" w:color="auto" w:sz="4" w:space="0"/>
            </w:tcBorders>
            <w:shd w:val="clear" w:color="000000" w:fill="FFFFFF"/>
            <w:vAlign w:val="bottom"/>
            <w:hideMark/>
          </w:tcPr>
          <w:p w:rsidRPr="000009C8" w:rsidR="000009C8" w:rsidP="000009C8" w:rsidRDefault="000009C8" w14:paraId="2287ACD9" w14:textId="77777777">
            <w:pPr>
              <w:spacing w:after="0" w:line="240" w:lineRule="auto"/>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xml:space="preserve">Toevoegen kostenaftrek </w:t>
            </w:r>
          </w:p>
        </w:tc>
        <w:tc>
          <w:tcPr>
            <w:tcW w:w="505"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49FECCCF"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0</w:t>
            </w:r>
          </w:p>
        </w:tc>
        <w:tc>
          <w:tcPr>
            <w:tcW w:w="564"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4F040215"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-562</w:t>
            </w:r>
          </w:p>
        </w:tc>
        <w:tc>
          <w:tcPr>
            <w:tcW w:w="631"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67D0B425"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-573</w:t>
            </w:r>
          </w:p>
        </w:tc>
        <w:tc>
          <w:tcPr>
            <w:tcW w:w="362"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4C9BEB73"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-1.700</w:t>
            </w:r>
          </w:p>
        </w:tc>
        <w:tc>
          <w:tcPr>
            <w:tcW w:w="362"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14A465DC"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c>
          <w:tcPr>
            <w:tcW w:w="362"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01E45C8D"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-2.835</w:t>
            </w:r>
          </w:p>
        </w:tc>
        <w:tc>
          <w:tcPr>
            <w:tcW w:w="363" w:type="pct"/>
            <w:tcBorders>
              <w:top w:val="nil"/>
              <w:left w:val="nil"/>
              <w:bottom w:val="single" w:color="auto" w:sz="4" w:space="0"/>
              <w:right w:val="single" w:color="auto" w:sz="4" w:space="0"/>
            </w:tcBorders>
            <w:shd w:val="clear" w:color="000000" w:fill="FFFFFF"/>
            <w:noWrap/>
            <w:vAlign w:val="bottom"/>
            <w:hideMark/>
          </w:tcPr>
          <w:p w:rsidRPr="000009C8" w:rsidR="000009C8" w:rsidP="000009C8" w:rsidRDefault="000009C8" w14:paraId="30BF4678"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r>
      <w:tr w:rsidRPr="000009C8" w:rsidR="000009C8" w:rsidTr="00417180" w14:paraId="01A6F1C3" w14:textId="77777777">
        <w:trPr>
          <w:trHeight w:val="300"/>
        </w:trPr>
        <w:tc>
          <w:tcPr>
            <w:tcW w:w="228" w:type="pct"/>
            <w:tcBorders>
              <w:top w:val="nil"/>
              <w:left w:val="single" w:color="auto" w:sz="4" w:space="0"/>
              <w:bottom w:val="single" w:color="auto" w:sz="4" w:space="0"/>
              <w:right w:val="single" w:color="auto" w:sz="4" w:space="0"/>
            </w:tcBorders>
            <w:shd w:val="clear" w:color="auto" w:fill="auto"/>
            <w:noWrap/>
            <w:vAlign w:val="bottom"/>
          </w:tcPr>
          <w:p w:rsidRPr="000009C8" w:rsidR="000009C8" w:rsidP="000009C8" w:rsidRDefault="000009C8" w14:paraId="3E7D7100" w14:textId="77777777">
            <w:pPr>
              <w:spacing w:after="0" w:line="240" w:lineRule="auto"/>
              <w:jc w:val="right"/>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b</w:t>
            </w:r>
          </w:p>
        </w:tc>
        <w:tc>
          <w:tcPr>
            <w:tcW w:w="1622" w:type="pct"/>
            <w:tcBorders>
              <w:top w:val="nil"/>
              <w:left w:val="nil"/>
              <w:bottom w:val="single" w:color="auto" w:sz="4" w:space="0"/>
              <w:right w:val="single" w:color="auto" w:sz="4" w:space="0"/>
            </w:tcBorders>
            <w:shd w:val="clear" w:color="000000" w:fill="FFFFFF"/>
            <w:vAlign w:val="bottom"/>
          </w:tcPr>
          <w:p w:rsidRPr="000009C8" w:rsidR="000009C8" w:rsidP="000009C8" w:rsidRDefault="000009C8" w14:paraId="6D64EF01" w14:textId="77777777">
            <w:pPr>
              <w:spacing w:after="0" w:line="240" w:lineRule="auto"/>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Toevoegen forfaitaire kostenaftrek</w:t>
            </w:r>
          </w:p>
        </w:tc>
        <w:tc>
          <w:tcPr>
            <w:tcW w:w="505"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5431E9AE" w14:textId="77777777">
            <w:pPr>
              <w:spacing w:after="0" w:line="240" w:lineRule="auto"/>
              <w:jc w:val="center"/>
              <w:rPr>
                <w:rFonts w:ascii="Calibri" w:hAnsi="Calibri" w:eastAsia="DejaVu Sans"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0</w:t>
            </w:r>
          </w:p>
        </w:tc>
        <w:tc>
          <w:tcPr>
            <w:tcW w:w="564"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19DE9CD8" w14:textId="77777777">
            <w:pPr>
              <w:spacing w:after="0" w:line="240" w:lineRule="auto"/>
              <w:jc w:val="center"/>
              <w:rPr>
                <w:rFonts w:ascii="Calibri" w:hAnsi="Calibri" w:eastAsia="DejaVu Sans"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-471</w:t>
            </w:r>
          </w:p>
        </w:tc>
        <w:tc>
          <w:tcPr>
            <w:tcW w:w="631"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0C33BBC6" w14:textId="77777777">
            <w:pPr>
              <w:spacing w:after="0" w:line="240" w:lineRule="auto"/>
              <w:jc w:val="center"/>
              <w:rPr>
                <w:rFonts w:ascii="Calibri" w:hAnsi="Calibri" w:eastAsia="DejaVu Sans"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-470</w:t>
            </w:r>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37B76256" w14:textId="77777777">
            <w:pPr>
              <w:spacing w:after="0" w:line="240" w:lineRule="auto"/>
              <w:jc w:val="center"/>
              <w:rPr>
                <w:rFonts w:ascii="Calibri" w:hAnsi="Calibri" w:eastAsia="DejaVu Sans"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-1.700</w:t>
            </w:r>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11445B0E"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0665EB73"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-2.641</w:t>
            </w:r>
          </w:p>
        </w:tc>
        <w:tc>
          <w:tcPr>
            <w:tcW w:w="363"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0F065992"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r>
      <w:tr w:rsidRPr="000009C8" w:rsidR="000009C8" w:rsidTr="00417180" w14:paraId="46AF4FBC" w14:textId="77777777">
        <w:trPr>
          <w:trHeight w:val="300"/>
        </w:trPr>
        <w:tc>
          <w:tcPr>
            <w:tcW w:w="228" w:type="pct"/>
            <w:tcBorders>
              <w:top w:val="nil"/>
              <w:left w:val="single" w:color="auto" w:sz="4" w:space="0"/>
              <w:bottom w:val="single" w:color="auto" w:sz="4" w:space="0"/>
              <w:right w:val="single" w:color="auto" w:sz="4" w:space="0"/>
            </w:tcBorders>
            <w:shd w:val="clear" w:color="auto" w:fill="auto"/>
            <w:noWrap/>
            <w:vAlign w:val="bottom"/>
          </w:tcPr>
          <w:p w:rsidRPr="000009C8" w:rsidR="000009C8" w:rsidP="000009C8" w:rsidRDefault="000009C8" w14:paraId="7C957065" w14:textId="77777777">
            <w:pPr>
              <w:spacing w:after="0" w:line="240" w:lineRule="auto"/>
              <w:jc w:val="right"/>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3</w:t>
            </w:r>
          </w:p>
        </w:tc>
        <w:tc>
          <w:tcPr>
            <w:tcW w:w="1622" w:type="pct"/>
            <w:tcBorders>
              <w:top w:val="nil"/>
              <w:left w:val="nil"/>
              <w:bottom w:val="single" w:color="auto" w:sz="4" w:space="0"/>
              <w:right w:val="single" w:color="auto" w:sz="4" w:space="0"/>
            </w:tcBorders>
            <w:shd w:val="clear" w:color="000000" w:fill="FFFFFF"/>
            <w:vAlign w:val="bottom"/>
          </w:tcPr>
          <w:p w:rsidRPr="000009C8" w:rsidR="000009C8" w:rsidP="000009C8" w:rsidRDefault="000009C8" w14:paraId="0C05D97E" w14:textId="77777777">
            <w:pPr>
              <w:spacing w:after="0" w:line="240" w:lineRule="auto"/>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 xml:space="preserve">Actualiseren </w:t>
            </w:r>
            <w:proofErr w:type="spellStart"/>
            <w:r w:rsidRPr="000009C8">
              <w:rPr>
                <w:rFonts w:ascii="Calibri" w:hAnsi="Calibri" w:eastAsia="Times New Roman" w:cs="Calibri"/>
                <w:color w:val="000000"/>
                <w:kern w:val="0"/>
                <w:sz w:val="18"/>
                <w:szCs w:val="18"/>
                <w:lang w:eastAsia="nl-NL"/>
                <w14:ligatures w14:val="none"/>
              </w:rPr>
              <w:t>leegwaarderatio</w:t>
            </w:r>
            <w:proofErr w:type="spellEnd"/>
            <w:r w:rsidRPr="000009C8">
              <w:rPr>
                <w:rFonts w:ascii="Calibri" w:hAnsi="Calibri" w:eastAsia="Times New Roman" w:cs="Calibri"/>
                <w:color w:val="000000"/>
                <w:kern w:val="0"/>
                <w:sz w:val="18"/>
                <w:szCs w:val="18"/>
                <w:lang w:eastAsia="nl-NL"/>
                <w14:ligatures w14:val="none"/>
              </w:rPr>
              <w:t xml:space="preserve"> tabel</w:t>
            </w:r>
          </w:p>
        </w:tc>
        <w:tc>
          <w:tcPr>
            <w:tcW w:w="505"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57756D18"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DejaVu Sans" w:cs="Calibri"/>
                <w:color w:val="000000"/>
                <w:kern w:val="0"/>
                <w:sz w:val="18"/>
                <w:szCs w:val="18"/>
                <w:lang w:eastAsia="nl-NL"/>
                <w14:ligatures w14:val="none"/>
              </w:rPr>
              <w:t>0</w:t>
            </w:r>
          </w:p>
        </w:tc>
        <w:tc>
          <w:tcPr>
            <w:tcW w:w="564"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4EE72602" w14:textId="77777777">
            <w:pPr>
              <w:spacing w:after="0" w:line="240" w:lineRule="auto"/>
              <w:jc w:val="center"/>
              <w:rPr>
                <w:rFonts w:ascii="Calibri" w:hAnsi="Calibri" w:eastAsia="Times New Roman" w:cs="Calibri"/>
                <w:color w:val="000000"/>
                <w:kern w:val="0"/>
                <w:sz w:val="18"/>
                <w:szCs w:val="18"/>
                <w:lang w:eastAsia="nl-NL"/>
                <w14:ligatures w14:val="none"/>
              </w:rPr>
            </w:pPr>
            <w:proofErr w:type="spellStart"/>
            <w:r w:rsidRPr="000009C8">
              <w:rPr>
                <w:rFonts w:ascii="Calibri" w:hAnsi="Calibri" w:eastAsia="DejaVu Sans" w:cs="Calibri"/>
                <w:color w:val="000000"/>
                <w:kern w:val="0"/>
                <w:sz w:val="18"/>
                <w:szCs w:val="18"/>
                <w:lang w:eastAsia="nl-NL"/>
                <w14:ligatures w14:val="none"/>
              </w:rPr>
              <w:t>pm</w:t>
            </w:r>
            <w:proofErr w:type="spellEnd"/>
          </w:p>
        </w:tc>
        <w:tc>
          <w:tcPr>
            <w:tcW w:w="631"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14A9F0F9" w14:textId="77777777">
            <w:pPr>
              <w:spacing w:after="0" w:line="240" w:lineRule="auto"/>
              <w:jc w:val="center"/>
              <w:rPr>
                <w:rFonts w:ascii="Calibri" w:hAnsi="Calibri" w:eastAsia="Times New Roman" w:cs="Calibri"/>
                <w:color w:val="000000"/>
                <w:kern w:val="0"/>
                <w:sz w:val="18"/>
                <w:szCs w:val="18"/>
                <w:lang w:eastAsia="nl-NL"/>
                <w14:ligatures w14:val="none"/>
              </w:rPr>
            </w:pPr>
            <w:proofErr w:type="spellStart"/>
            <w:r w:rsidRPr="000009C8">
              <w:rPr>
                <w:rFonts w:ascii="Calibri" w:hAnsi="Calibri" w:eastAsia="Times New Roman" w:cs="Calibri"/>
                <w:color w:val="000000"/>
                <w:kern w:val="0"/>
                <w:sz w:val="18"/>
                <w:szCs w:val="18"/>
                <w:lang w:eastAsia="nl-NL"/>
                <w14:ligatures w14:val="none"/>
              </w:rPr>
              <w:t>pm</w:t>
            </w:r>
            <w:proofErr w:type="spellEnd"/>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568E368E"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28CFC4F9"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c>
          <w:tcPr>
            <w:tcW w:w="362"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45C440B3" w14:textId="77777777">
            <w:pPr>
              <w:spacing w:after="0" w:line="240" w:lineRule="auto"/>
              <w:jc w:val="center"/>
              <w:rPr>
                <w:rFonts w:ascii="Calibri" w:hAnsi="Calibri" w:eastAsia="Times New Roman" w:cs="Calibri"/>
                <w:color w:val="000000"/>
                <w:kern w:val="0"/>
                <w:sz w:val="18"/>
                <w:szCs w:val="18"/>
                <w:lang w:eastAsia="nl-NL"/>
                <w14:ligatures w14:val="none"/>
              </w:rPr>
            </w:pPr>
            <w:proofErr w:type="spellStart"/>
            <w:r w:rsidRPr="000009C8">
              <w:rPr>
                <w:rFonts w:ascii="Calibri" w:hAnsi="Calibri" w:eastAsia="Times New Roman" w:cs="Calibri"/>
                <w:color w:val="000000"/>
                <w:kern w:val="0"/>
                <w:sz w:val="18"/>
                <w:szCs w:val="18"/>
                <w:lang w:eastAsia="nl-NL"/>
                <w14:ligatures w14:val="none"/>
              </w:rPr>
              <w:t>pm</w:t>
            </w:r>
            <w:proofErr w:type="spellEnd"/>
          </w:p>
        </w:tc>
        <w:tc>
          <w:tcPr>
            <w:tcW w:w="363" w:type="pct"/>
            <w:tcBorders>
              <w:top w:val="nil"/>
              <w:left w:val="nil"/>
              <w:bottom w:val="single" w:color="auto" w:sz="4" w:space="0"/>
              <w:right w:val="single" w:color="auto" w:sz="4" w:space="0"/>
            </w:tcBorders>
            <w:shd w:val="clear" w:color="000000" w:fill="FFFFFF"/>
            <w:noWrap/>
            <w:vAlign w:val="bottom"/>
          </w:tcPr>
          <w:p w:rsidRPr="000009C8" w:rsidR="000009C8" w:rsidP="000009C8" w:rsidRDefault="000009C8" w14:paraId="14F2EE5E" w14:textId="77777777">
            <w:pPr>
              <w:spacing w:after="0" w:line="240" w:lineRule="auto"/>
              <w:jc w:val="center"/>
              <w:rPr>
                <w:rFonts w:ascii="Calibri" w:hAnsi="Calibri" w:eastAsia="Times New Roman" w:cs="Calibri"/>
                <w:color w:val="000000"/>
                <w:kern w:val="0"/>
                <w:sz w:val="18"/>
                <w:szCs w:val="18"/>
                <w:lang w:eastAsia="nl-NL"/>
                <w14:ligatures w14:val="none"/>
              </w:rPr>
            </w:pPr>
            <w:r w:rsidRPr="000009C8">
              <w:rPr>
                <w:rFonts w:ascii="Calibri" w:hAnsi="Calibri" w:eastAsia="Times New Roman" w:cs="Calibri"/>
                <w:color w:val="000000"/>
                <w:kern w:val="0"/>
                <w:sz w:val="18"/>
                <w:szCs w:val="18"/>
                <w:lang w:eastAsia="nl-NL"/>
                <w14:ligatures w14:val="none"/>
              </w:rPr>
              <w:t>0</w:t>
            </w:r>
          </w:p>
        </w:tc>
      </w:tr>
    </w:tbl>
    <w:p w:rsidRPr="000009C8" w:rsidR="000009C8" w:rsidP="000009C8" w:rsidRDefault="000009C8" w14:paraId="4E92B2FE"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0009C8" w:rsidR="000009C8" w:rsidP="000009C8" w:rsidRDefault="000009C8" w14:paraId="6CE98FFD" w14:textId="77777777">
      <w:pPr>
        <w:autoSpaceDN w:val="0"/>
        <w:spacing w:after="0" w:line="240" w:lineRule="auto"/>
        <w:textAlignment w:val="baseline"/>
        <w:rPr>
          <w:rFonts w:ascii="Verdana" w:hAnsi="Verdana" w:eastAsia="DejaVu Sans" w:cs="Lohit Hindi"/>
          <w:color w:val="000000"/>
          <w:kern w:val="0"/>
          <w:sz w:val="18"/>
          <w:szCs w:val="18"/>
          <w:lang w:eastAsia="nl-NL"/>
          <w14:ligatures w14:val="none"/>
        </w:rPr>
      </w:pPr>
    </w:p>
    <w:p w:rsidRPr="000009C8" w:rsidR="000009C8" w:rsidP="000009C8" w:rsidRDefault="000009C8" w14:paraId="5745D552" w14:textId="77777777">
      <w:pPr>
        <w:rPr>
          <w:rFonts w:ascii="Verdana" w:hAnsi="Verdana" w:eastAsia="DejaVu Sans" w:cs="Lohit Hindi"/>
          <w:b/>
          <w:bCs/>
          <w:color w:val="000000"/>
          <w:kern w:val="0"/>
          <w:sz w:val="18"/>
          <w:szCs w:val="18"/>
          <w:lang w:eastAsia="nl-NL"/>
          <w14:ligatures w14:val="none"/>
        </w:rPr>
      </w:pPr>
    </w:p>
    <w:p w:rsidRPr="002A732E" w:rsidR="00EF2552" w:rsidP="000009C8" w:rsidRDefault="00EF2552" w14:paraId="6801883A" w14:textId="7819693E">
      <w:pPr>
        <w:rPr>
          <w:rFonts w:ascii="Verdana" w:hAnsi="Verdana" w:eastAsia="DejaVu Sans" w:cs="Lohit Hindi"/>
          <w:i/>
          <w:iCs/>
          <w:color w:val="000000"/>
          <w:kern w:val="0"/>
          <w:sz w:val="18"/>
          <w:szCs w:val="18"/>
          <w:lang w:eastAsia="nl-NL"/>
          <w14:ligatures w14:val="none"/>
        </w:rPr>
      </w:pPr>
    </w:p>
    <w:sectPr w:rsidRPr="002A732E" w:rsidR="00EF2552" w:rsidSect="000009C8">
      <w:head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48986" w14:textId="77777777" w:rsidR="00162A3B" w:rsidRDefault="00162A3B" w:rsidP="00092673">
      <w:pPr>
        <w:spacing w:after="0" w:line="240" w:lineRule="auto"/>
      </w:pPr>
      <w:r>
        <w:separator/>
      </w:r>
    </w:p>
  </w:endnote>
  <w:endnote w:type="continuationSeparator" w:id="0">
    <w:p w14:paraId="6FCF465B" w14:textId="77777777" w:rsidR="00162A3B" w:rsidRDefault="00162A3B" w:rsidP="0009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45B83" w14:textId="77777777" w:rsidR="00162A3B" w:rsidRDefault="00162A3B" w:rsidP="00092673">
      <w:pPr>
        <w:spacing w:after="0" w:line="240" w:lineRule="auto"/>
      </w:pPr>
      <w:r>
        <w:separator/>
      </w:r>
    </w:p>
  </w:footnote>
  <w:footnote w:type="continuationSeparator" w:id="0">
    <w:p w14:paraId="7BCFD657" w14:textId="77777777" w:rsidR="00162A3B" w:rsidRDefault="00162A3B" w:rsidP="00092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490E" w14:textId="4A287664" w:rsidR="000009C8" w:rsidRDefault="00905417">
    <w:pPr>
      <w:pStyle w:val="Koptekst"/>
    </w:pPr>
    <w:r>
      <w:t>1 april</w:t>
    </w:r>
    <w:r w:rsidR="000009C8">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B4B"/>
    <w:multiLevelType w:val="hybridMultilevel"/>
    <w:tmpl w:val="E76226F2"/>
    <w:lvl w:ilvl="0" w:tplc="7FEC02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030FCF"/>
    <w:multiLevelType w:val="hybridMultilevel"/>
    <w:tmpl w:val="2B6AE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D97B8C"/>
    <w:multiLevelType w:val="hybridMultilevel"/>
    <w:tmpl w:val="CA5CC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45731159">
    <w:abstractNumId w:val="0"/>
  </w:num>
  <w:num w:numId="2" w16cid:durableId="875656076">
    <w:abstractNumId w:val="1"/>
  </w:num>
  <w:num w:numId="3" w16cid:durableId="1310863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73"/>
    <w:rsid w:val="000009C8"/>
    <w:rsid w:val="000077A4"/>
    <w:rsid w:val="00030EF7"/>
    <w:rsid w:val="00092673"/>
    <w:rsid w:val="000B0B69"/>
    <w:rsid w:val="000B22CA"/>
    <w:rsid w:val="00130F45"/>
    <w:rsid w:val="00162A3B"/>
    <w:rsid w:val="001729E6"/>
    <w:rsid w:val="001B4BD9"/>
    <w:rsid w:val="001E77C2"/>
    <w:rsid w:val="00215EBD"/>
    <w:rsid w:val="002257A0"/>
    <w:rsid w:val="00246252"/>
    <w:rsid w:val="00282165"/>
    <w:rsid w:val="002A732E"/>
    <w:rsid w:val="003037D6"/>
    <w:rsid w:val="00310CA9"/>
    <w:rsid w:val="00346188"/>
    <w:rsid w:val="00387A02"/>
    <w:rsid w:val="003A532F"/>
    <w:rsid w:val="004B28EB"/>
    <w:rsid w:val="00577F0E"/>
    <w:rsid w:val="005950A8"/>
    <w:rsid w:val="00652896"/>
    <w:rsid w:val="00664B57"/>
    <w:rsid w:val="006F0227"/>
    <w:rsid w:val="00732948"/>
    <w:rsid w:val="00794D1A"/>
    <w:rsid w:val="00830661"/>
    <w:rsid w:val="008529D6"/>
    <w:rsid w:val="008736C9"/>
    <w:rsid w:val="00905417"/>
    <w:rsid w:val="009D6A8D"/>
    <w:rsid w:val="00A853D7"/>
    <w:rsid w:val="00A92B11"/>
    <w:rsid w:val="00AA3505"/>
    <w:rsid w:val="00BC2FA6"/>
    <w:rsid w:val="00C63B25"/>
    <w:rsid w:val="00CD0CAC"/>
    <w:rsid w:val="00D277CF"/>
    <w:rsid w:val="00DE4EC2"/>
    <w:rsid w:val="00E35E33"/>
    <w:rsid w:val="00E53B2A"/>
    <w:rsid w:val="00EC1377"/>
    <w:rsid w:val="00EF2552"/>
    <w:rsid w:val="00F16B4C"/>
    <w:rsid w:val="00F23339"/>
    <w:rsid w:val="00F56C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4D058"/>
  <w15:chartTrackingRefBased/>
  <w15:docId w15:val="{BA6844C5-5CB8-42CC-AD9B-6C7BCD0A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26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26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26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26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26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26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6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6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6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6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26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26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26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26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26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6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6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673"/>
    <w:rPr>
      <w:rFonts w:eastAsiaTheme="majorEastAsia" w:cstheme="majorBidi"/>
      <w:color w:val="272727" w:themeColor="text1" w:themeTint="D8"/>
    </w:rPr>
  </w:style>
  <w:style w:type="paragraph" w:styleId="Titel">
    <w:name w:val="Title"/>
    <w:basedOn w:val="Standaard"/>
    <w:next w:val="Standaard"/>
    <w:link w:val="TitelChar"/>
    <w:uiPriority w:val="10"/>
    <w:qFormat/>
    <w:rsid w:val="00092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6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6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6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6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673"/>
    <w:rPr>
      <w:i/>
      <w:iCs/>
      <w:color w:val="404040" w:themeColor="text1" w:themeTint="BF"/>
    </w:rPr>
  </w:style>
  <w:style w:type="paragraph" w:styleId="Lijstalinea">
    <w:name w:val="List Paragraph"/>
    <w:basedOn w:val="Standaard"/>
    <w:uiPriority w:val="34"/>
    <w:qFormat/>
    <w:rsid w:val="00092673"/>
    <w:pPr>
      <w:ind w:left="720"/>
      <w:contextualSpacing/>
    </w:pPr>
  </w:style>
  <w:style w:type="character" w:styleId="Intensievebenadrukking">
    <w:name w:val="Intense Emphasis"/>
    <w:basedOn w:val="Standaardalinea-lettertype"/>
    <w:uiPriority w:val="21"/>
    <w:qFormat/>
    <w:rsid w:val="00092673"/>
    <w:rPr>
      <w:i/>
      <w:iCs/>
      <w:color w:val="2F5496" w:themeColor="accent1" w:themeShade="BF"/>
    </w:rPr>
  </w:style>
  <w:style w:type="paragraph" w:styleId="Duidelijkcitaat">
    <w:name w:val="Intense Quote"/>
    <w:basedOn w:val="Standaard"/>
    <w:next w:val="Standaard"/>
    <w:link w:val="DuidelijkcitaatChar"/>
    <w:uiPriority w:val="30"/>
    <w:qFormat/>
    <w:rsid w:val="00092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2673"/>
    <w:rPr>
      <w:i/>
      <w:iCs/>
      <w:color w:val="2F5496" w:themeColor="accent1" w:themeShade="BF"/>
    </w:rPr>
  </w:style>
  <w:style w:type="character" w:styleId="Intensieveverwijzing">
    <w:name w:val="Intense Reference"/>
    <w:basedOn w:val="Standaardalinea-lettertype"/>
    <w:uiPriority w:val="32"/>
    <w:qFormat/>
    <w:rsid w:val="00092673"/>
    <w:rPr>
      <w:b/>
      <w:bCs/>
      <w:smallCaps/>
      <w:color w:val="2F5496" w:themeColor="accent1" w:themeShade="BF"/>
      <w:spacing w:val="5"/>
    </w:rPr>
  </w:style>
  <w:style w:type="table" w:styleId="Tabelraster">
    <w:name w:val="Table Grid"/>
    <w:basedOn w:val="Standaardtabel"/>
    <w:uiPriority w:val="39"/>
    <w:rsid w:val="00AA3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009C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009C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009C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009C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404</ap:Words>
  <ap:Characters>2225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2025-04-02T11:55:00.0000000Z</dcterms:created>
  <dcterms:modified xsi:type="dcterms:W3CDTF">2025-04-02T11:55:00.0000000Z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2025-03-19T17:58:41Z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2743e863-a928-46f1-ba66-b7e110825d82</vt:lpwstr>
  </property>
  <property fmtid="{D5CDD505-2E9C-101B-9397-08002B2CF9AE}" pid="8" name="MSIP_Label_b2aa6e22-2c82-48c6-bf24-1790f4b9c128_ContentBits">
    <vt:lpwstr>0</vt:lpwstr>
  </property>
</Properties>
</file>