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021E8" w:rsidR="000575E2" w:rsidP="008D1814" w:rsidRDefault="00404117" w14:paraId="6764DB08" w14:textId="65F69D37">
      <w:pPr>
        <w:widowControl w:val="0"/>
        <w:tabs>
          <w:tab w:val="num" w:pos="720"/>
        </w:tabs>
        <w:spacing w:line="276" w:lineRule="auto"/>
        <w:ind w:hanging="1843"/>
        <w:rPr>
          <w:rFonts w:ascii="Verdana" w:hAnsi="Verdana" w:cs="Arial"/>
          <w:b/>
          <w:sz w:val="18"/>
          <w:szCs w:val="18"/>
        </w:rPr>
      </w:pPr>
      <w:r>
        <w:rPr>
          <w:rFonts w:ascii="Verdana" w:hAnsi="Verdana" w:cs="Arial"/>
          <w:b/>
          <w:sz w:val="18"/>
          <w:szCs w:val="18"/>
        </w:rPr>
        <w:t>36</w:t>
      </w:r>
      <w:r w:rsidR="000575E2">
        <w:rPr>
          <w:rFonts w:ascii="Verdana" w:hAnsi="Verdana" w:cs="Arial"/>
          <w:b/>
          <w:sz w:val="18"/>
          <w:szCs w:val="18"/>
        </w:rPr>
        <w:t xml:space="preserve"> </w:t>
      </w:r>
      <w:r>
        <w:rPr>
          <w:rFonts w:ascii="Verdana" w:hAnsi="Verdana" w:cs="Arial"/>
          <w:b/>
          <w:sz w:val="18"/>
          <w:szCs w:val="18"/>
        </w:rPr>
        <w:t>664</w:t>
      </w:r>
      <w:r w:rsidR="000575E2">
        <w:rPr>
          <w:rFonts w:ascii="Verdana" w:hAnsi="Verdana" w:cs="Arial"/>
          <w:b/>
          <w:sz w:val="18"/>
          <w:szCs w:val="18"/>
        </w:rPr>
        <w:tab/>
      </w:r>
      <w:r w:rsidRPr="00404117">
        <w:rPr>
          <w:rFonts w:ascii="Verdana" w:hAnsi="Verdana" w:cs="Arial"/>
          <w:b/>
          <w:sz w:val="18"/>
          <w:szCs w:val="18"/>
        </w:rPr>
        <w:t xml:space="preserve">Wijziging van de Wet op het financieel toezicht, Boek 7 van het Burgerlijk Wetboek en enige andere wetten ter implementatie van Richtlijn (EU) 2021/2167 van het Europees Parlement en de Raad van 24 november 2021 inzake </w:t>
      </w:r>
      <w:proofErr w:type="spellStart"/>
      <w:r w:rsidRPr="00404117">
        <w:rPr>
          <w:rFonts w:ascii="Verdana" w:hAnsi="Verdana" w:cs="Arial"/>
          <w:b/>
          <w:sz w:val="18"/>
          <w:szCs w:val="18"/>
        </w:rPr>
        <w:t>kredietservicers</w:t>
      </w:r>
      <w:proofErr w:type="spellEnd"/>
      <w:r w:rsidRPr="00404117">
        <w:rPr>
          <w:rFonts w:ascii="Verdana" w:hAnsi="Verdana" w:cs="Arial"/>
          <w:b/>
          <w:sz w:val="18"/>
          <w:szCs w:val="18"/>
        </w:rPr>
        <w:t xml:space="preserve"> en kredietkopers en tot wijziging van de Richtlijnen 2008/48/EG en 2014/17/EU (</w:t>
      </w:r>
      <w:proofErr w:type="spellStart"/>
      <w:r w:rsidRPr="00404117">
        <w:rPr>
          <w:rFonts w:ascii="Verdana" w:hAnsi="Verdana" w:cs="Arial"/>
          <w:b/>
          <w:sz w:val="18"/>
          <w:szCs w:val="18"/>
        </w:rPr>
        <w:t>PbEU</w:t>
      </w:r>
      <w:proofErr w:type="spellEnd"/>
      <w:r w:rsidRPr="00404117">
        <w:rPr>
          <w:rFonts w:ascii="Verdana" w:hAnsi="Verdana" w:cs="Arial"/>
          <w:b/>
          <w:sz w:val="18"/>
          <w:szCs w:val="18"/>
        </w:rPr>
        <w:t xml:space="preserve"> 2021, L 438) (Implementatiewet richtlijn </w:t>
      </w:r>
      <w:proofErr w:type="spellStart"/>
      <w:r w:rsidRPr="00404117">
        <w:rPr>
          <w:rFonts w:ascii="Verdana" w:hAnsi="Verdana" w:cs="Arial"/>
          <w:b/>
          <w:sz w:val="18"/>
          <w:szCs w:val="18"/>
        </w:rPr>
        <w:t>kredietservicers</w:t>
      </w:r>
      <w:proofErr w:type="spellEnd"/>
      <w:r w:rsidRPr="00404117">
        <w:rPr>
          <w:rFonts w:ascii="Verdana" w:hAnsi="Verdana" w:cs="Arial"/>
          <w:b/>
          <w:sz w:val="18"/>
          <w:szCs w:val="18"/>
        </w:rPr>
        <w:t xml:space="preserve"> en kredietkopers) </w:t>
      </w:r>
    </w:p>
    <w:p w:rsidRPr="007021E8" w:rsidR="00EE0056" w:rsidP="008D1814" w:rsidRDefault="00EE0056" w14:paraId="2333B79F" w14:textId="77777777">
      <w:pPr>
        <w:widowControl w:val="0"/>
        <w:spacing w:line="276" w:lineRule="auto"/>
        <w:rPr>
          <w:rFonts w:ascii="Verdana" w:hAnsi="Verdana" w:cs="Arial"/>
          <w:sz w:val="18"/>
          <w:szCs w:val="18"/>
        </w:rPr>
      </w:pPr>
    </w:p>
    <w:p w:rsidRPr="007021E8" w:rsidR="00EE0056" w:rsidP="008D1814" w:rsidRDefault="00EE0056" w14:paraId="12180FF4" w14:textId="77777777">
      <w:pPr>
        <w:widowControl w:val="0"/>
        <w:spacing w:line="276" w:lineRule="auto"/>
        <w:rPr>
          <w:rFonts w:ascii="Verdana" w:hAnsi="Verdana" w:cs="Arial"/>
          <w:sz w:val="18"/>
          <w:szCs w:val="18"/>
        </w:rPr>
      </w:pPr>
    </w:p>
    <w:p w:rsidR="00EE0056" w:rsidP="008D1814" w:rsidRDefault="00EE0056" w14:paraId="4028B82A" w14:textId="77777777">
      <w:pPr>
        <w:widowControl w:val="0"/>
        <w:spacing w:line="276" w:lineRule="auto"/>
        <w:rPr>
          <w:rFonts w:ascii="Verdana" w:hAnsi="Verdana" w:cs="Arial"/>
          <w:sz w:val="18"/>
          <w:szCs w:val="18"/>
        </w:rPr>
      </w:pPr>
    </w:p>
    <w:p w:rsidRPr="007021E8" w:rsidR="00FF442F" w:rsidP="008D1814" w:rsidRDefault="00FF442F" w14:paraId="752E09C2" w14:textId="77777777">
      <w:pPr>
        <w:widowControl w:val="0"/>
        <w:spacing w:line="276" w:lineRule="auto"/>
        <w:rPr>
          <w:rFonts w:ascii="Verdana" w:hAnsi="Verdana" w:cs="Arial"/>
          <w:sz w:val="18"/>
          <w:szCs w:val="18"/>
        </w:rPr>
      </w:pPr>
    </w:p>
    <w:p w:rsidRPr="007021E8" w:rsidR="00EE0056" w:rsidP="008D1814" w:rsidRDefault="00786589" w14:paraId="023943E7" w14:textId="77777777">
      <w:pPr>
        <w:widowControl w:val="0"/>
        <w:spacing w:line="276" w:lineRule="auto"/>
        <w:rPr>
          <w:rFonts w:ascii="Verdana" w:hAnsi="Verdana" w:cs="Arial"/>
          <w:b/>
          <w:sz w:val="18"/>
          <w:szCs w:val="18"/>
        </w:rPr>
      </w:pPr>
      <w:r>
        <w:rPr>
          <w:rFonts w:ascii="Verdana" w:hAnsi="Verdana" w:cs="Arial"/>
          <w:b/>
          <w:sz w:val="18"/>
          <w:szCs w:val="18"/>
        </w:rPr>
        <w:t xml:space="preserve">NOTA NAAR AANLEIDING VAN </w:t>
      </w:r>
      <w:r w:rsidR="00280CC0">
        <w:rPr>
          <w:rFonts w:ascii="Verdana" w:hAnsi="Verdana" w:cs="Arial"/>
          <w:b/>
          <w:sz w:val="18"/>
          <w:szCs w:val="18"/>
        </w:rPr>
        <w:t xml:space="preserve">HET </w:t>
      </w:r>
      <w:r>
        <w:rPr>
          <w:rFonts w:ascii="Verdana" w:hAnsi="Verdana" w:cs="Arial"/>
          <w:b/>
          <w:sz w:val="18"/>
          <w:szCs w:val="18"/>
        </w:rPr>
        <w:t>VERSLAG</w:t>
      </w:r>
    </w:p>
    <w:p w:rsidRPr="007021E8" w:rsidR="00EE0056" w:rsidP="008D1814" w:rsidRDefault="00EE0056" w14:paraId="69EEA219" w14:textId="77777777">
      <w:pPr>
        <w:widowControl w:val="0"/>
        <w:spacing w:line="276" w:lineRule="auto"/>
        <w:rPr>
          <w:rFonts w:ascii="Verdana" w:hAnsi="Verdana" w:cs="Arial"/>
          <w:sz w:val="18"/>
          <w:szCs w:val="18"/>
        </w:rPr>
      </w:pPr>
    </w:p>
    <w:p w:rsidR="00EE0056" w:rsidP="008D1814" w:rsidRDefault="00EE0056" w14:paraId="02CD873C" w14:textId="77777777">
      <w:pPr>
        <w:widowControl w:val="0"/>
        <w:spacing w:line="276" w:lineRule="auto"/>
        <w:rPr>
          <w:rFonts w:ascii="Verdana" w:hAnsi="Verdana" w:cs="Arial"/>
          <w:sz w:val="18"/>
          <w:szCs w:val="18"/>
        </w:rPr>
      </w:pPr>
    </w:p>
    <w:p w:rsidRPr="007021E8" w:rsidR="009E13E7" w:rsidP="008D1814" w:rsidRDefault="009E13E7" w14:paraId="21C9AD5D" w14:textId="77777777">
      <w:pPr>
        <w:widowControl w:val="0"/>
        <w:spacing w:line="276" w:lineRule="auto"/>
        <w:rPr>
          <w:rFonts w:ascii="Verdana" w:hAnsi="Verdana" w:cs="Arial"/>
          <w:sz w:val="18"/>
          <w:szCs w:val="18"/>
        </w:rPr>
      </w:pPr>
    </w:p>
    <w:p w:rsidRPr="00C40CEA" w:rsidR="009E13E7" w:rsidP="008D1814" w:rsidRDefault="009E13E7" w14:paraId="510C94D7" w14:textId="77777777">
      <w:pPr>
        <w:widowControl w:val="0"/>
        <w:spacing w:line="276" w:lineRule="auto"/>
        <w:rPr>
          <w:rFonts w:ascii="Verdana" w:hAnsi="Verdana" w:cs="Arial"/>
          <w:sz w:val="18"/>
          <w:szCs w:val="18"/>
        </w:rPr>
      </w:pPr>
      <w:r w:rsidRPr="00C40CEA">
        <w:rPr>
          <w:rFonts w:ascii="Verdana" w:hAnsi="Verdana" w:cs="Arial"/>
          <w:b/>
          <w:bCs/>
          <w:sz w:val="18"/>
          <w:szCs w:val="18"/>
        </w:rPr>
        <w:t>Inleiding</w:t>
      </w:r>
    </w:p>
    <w:p w:rsidR="009E13E7" w:rsidP="008D1814" w:rsidRDefault="009E13E7" w14:paraId="6AB6D498" w14:textId="77777777">
      <w:pPr>
        <w:widowControl w:val="0"/>
        <w:spacing w:line="276" w:lineRule="auto"/>
        <w:rPr>
          <w:rFonts w:ascii="Verdana" w:hAnsi="Verdana" w:cs="Arial"/>
          <w:sz w:val="18"/>
          <w:szCs w:val="18"/>
        </w:rPr>
      </w:pPr>
    </w:p>
    <w:p w:rsidRPr="00C40CEA" w:rsidR="009E13E7" w:rsidP="008D1814" w:rsidRDefault="009E13E7" w14:paraId="0306B8EB" w14:textId="4B7858EB">
      <w:pPr>
        <w:widowControl w:val="0"/>
        <w:spacing w:line="276" w:lineRule="auto"/>
        <w:rPr>
          <w:rFonts w:ascii="Verdana" w:hAnsi="Verdana" w:cs="Arial"/>
          <w:sz w:val="18"/>
          <w:szCs w:val="18"/>
        </w:rPr>
      </w:pPr>
      <w:r w:rsidRPr="00C40CEA">
        <w:rPr>
          <w:rFonts w:ascii="Verdana" w:hAnsi="Verdana" w:cs="Arial"/>
          <w:sz w:val="18"/>
          <w:szCs w:val="18"/>
        </w:rPr>
        <w:t xml:space="preserve">De regering is de vaste commissie voor Financiën erkentelijk voor de aandacht die zij aan het onderhavige wetsvoorstel heeft geschonken en voor de door haar daarover gestelde vragen. </w:t>
      </w:r>
    </w:p>
    <w:p w:rsidR="009E13E7" w:rsidP="008D1814" w:rsidRDefault="009E13E7" w14:paraId="33F0BFDA" w14:textId="77777777">
      <w:pPr>
        <w:widowControl w:val="0"/>
        <w:spacing w:line="276" w:lineRule="auto"/>
        <w:rPr>
          <w:rFonts w:ascii="Verdana" w:hAnsi="Verdana" w:cs="Arial"/>
          <w:b/>
          <w:bCs/>
          <w:sz w:val="18"/>
          <w:szCs w:val="18"/>
        </w:rPr>
      </w:pPr>
    </w:p>
    <w:p w:rsidR="00404117" w:rsidP="008D1814" w:rsidRDefault="00404117" w14:paraId="1296AAE5" w14:textId="77777777">
      <w:pPr>
        <w:widowControl w:val="0"/>
        <w:spacing w:line="276" w:lineRule="auto"/>
        <w:rPr>
          <w:rFonts w:ascii="Verdana" w:hAnsi="Verdana" w:cs="Arial"/>
          <w:b/>
          <w:bCs/>
          <w:sz w:val="18"/>
          <w:szCs w:val="18"/>
        </w:rPr>
      </w:pPr>
    </w:p>
    <w:p w:rsidRPr="00D74158" w:rsidR="009E13E7" w:rsidP="008D1814" w:rsidRDefault="009E13E7" w14:paraId="35FCD5AE" w14:textId="22575CE8">
      <w:pPr>
        <w:widowControl w:val="0"/>
        <w:spacing w:line="276" w:lineRule="auto"/>
        <w:rPr>
          <w:rFonts w:ascii="Verdana" w:hAnsi="Verdana" w:cs="Arial"/>
          <w:i/>
          <w:iCs/>
          <w:sz w:val="18"/>
          <w:szCs w:val="18"/>
        </w:rPr>
      </w:pPr>
      <w:r w:rsidRPr="00D74158">
        <w:rPr>
          <w:rFonts w:ascii="Verdana" w:hAnsi="Verdana" w:cs="Arial"/>
          <w:b/>
          <w:bCs/>
          <w:i/>
          <w:iCs/>
          <w:sz w:val="18"/>
          <w:szCs w:val="18"/>
        </w:rPr>
        <w:t>A</w:t>
      </w:r>
      <w:r w:rsidR="00244A77">
        <w:rPr>
          <w:rFonts w:ascii="Verdana" w:hAnsi="Verdana" w:cs="Arial"/>
          <w:b/>
          <w:bCs/>
          <w:i/>
          <w:iCs/>
          <w:sz w:val="18"/>
          <w:szCs w:val="18"/>
        </w:rPr>
        <w:t>LGEMEEN</w:t>
      </w:r>
    </w:p>
    <w:p w:rsidR="009F59D9" w:rsidP="008D1814" w:rsidRDefault="009F59D9" w14:paraId="3F9E49A1" w14:textId="77777777">
      <w:pPr>
        <w:widowControl w:val="0"/>
        <w:tabs>
          <w:tab w:val="num" w:pos="720"/>
        </w:tabs>
        <w:spacing w:line="276" w:lineRule="auto"/>
        <w:rPr>
          <w:rFonts w:ascii="Verdana" w:hAnsi="Verdana" w:cs="Arial"/>
          <w:sz w:val="18"/>
          <w:szCs w:val="18"/>
        </w:rPr>
      </w:pPr>
    </w:p>
    <w:p w:rsidRPr="00404117" w:rsidR="00404117" w:rsidP="008D1814" w:rsidRDefault="00404117" w14:paraId="679E3F43" w14:textId="77777777">
      <w:pPr>
        <w:widowControl w:val="0"/>
        <w:tabs>
          <w:tab w:val="num" w:pos="720"/>
        </w:tabs>
        <w:spacing w:after="160" w:line="276" w:lineRule="auto"/>
        <w:rPr>
          <w:rFonts w:ascii="Verdana" w:hAnsi="Verdana" w:eastAsia="Calibri"/>
          <w:i/>
          <w:iCs/>
          <w:kern w:val="2"/>
          <w:sz w:val="18"/>
          <w:szCs w:val="18"/>
          <w:lang w:eastAsia="en-US"/>
          <w14:ligatures w14:val="standardContextual"/>
        </w:rPr>
      </w:pPr>
      <w:r w:rsidRPr="00404117">
        <w:rPr>
          <w:rFonts w:ascii="Verdana" w:hAnsi="Verdana" w:eastAsia="Calibri"/>
          <w:i/>
          <w:iCs/>
          <w:kern w:val="2"/>
          <w:sz w:val="18"/>
          <w:szCs w:val="18"/>
          <w:lang w:eastAsia="en-US"/>
          <w14:ligatures w14:val="standardContextual"/>
        </w:rPr>
        <w:t xml:space="preserve">De leden van de VVD-fractie hebben kennisgenomen van de implementatiewet richtlijn </w:t>
      </w:r>
      <w:proofErr w:type="spellStart"/>
      <w:r w:rsidRPr="00404117">
        <w:rPr>
          <w:rFonts w:ascii="Verdana" w:hAnsi="Verdana" w:eastAsia="Calibri"/>
          <w:i/>
          <w:iCs/>
          <w:kern w:val="2"/>
          <w:sz w:val="18"/>
          <w:szCs w:val="18"/>
          <w:lang w:eastAsia="en-US"/>
          <w14:ligatures w14:val="standardContextual"/>
        </w:rPr>
        <w:t>kredietservicers</w:t>
      </w:r>
      <w:proofErr w:type="spellEnd"/>
      <w:r w:rsidRPr="00404117">
        <w:rPr>
          <w:rFonts w:ascii="Verdana" w:hAnsi="Verdana" w:eastAsia="Calibri"/>
          <w:i/>
          <w:iCs/>
          <w:kern w:val="2"/>
          <w:sz w:val="18"/>
          <w:szCs w:val="18"/>
          <w:lang w:eastAsia="en-US"/>
          <w14:ligatures w14:val="standardContextual"/>
        </w:rPr>
        <w:t xml:space="preserve"> en kredietkopers. Deze leden hebben daarover nog wel een aantal vragen en opmerkingen.</w:t>
      </w:r>
    </w:p>
    <w:p w:rsidRPr="00404117" w:rsidR="00404117" w:rsidP="008D1814" w:rsidRDefault="00404117" w14:paraId="3CEDE84C" w14:textId="77777777">
      <w:pPr>
        <w:widowControl w:val="0"/>
        <w:tabs>
          <w:tab w:val="num" w:pos="720"/>
        </w:tabs>
        <w:spacing w:after="160" w:line="276" w:lineRule="auto"/>
        <w:rPr>
          <w:rFonts w:ascii="Verdana" w:hAnsi="Verdana" w:eastAsia="Calibri"/>
          <w:i/>
          <w:iCs/>
          <w:kern w:val="2"/>
          <w:sz w:val="18"/>
          <w:szCs w:val="18"/>
          <w:lang w:eastAsia="en-US"/>
          <w14:ligatures w14:val="standardContextual"/>
        </w:rPr>
      </w:pPr>
      <w:r w:rsidRPr="00404117">
        <w:rPr>
          <w:rFonts w:ascii="Verdana" w:hAnsi="Verdana" w:eastAsia="Calibri"/>
          <w:i/>
          <w:iCs/>
          <w:kern w:val="2"/>
          <w:sz w:val="18"/>
          <w:szCs w:val="18"/>
          <w:lang w:eastAsia="en-US"/>
          <w14:ligatures w14:val="standardContextual"/>
        </w:rPr>
        <w:t>De leden van de NSC-fractie hebben met belangstelling kennisgenomen van het wetsvoorstel. Deze leden hebben hierover nog enkele vragen en opmerkingen.</w:t>
      </w:r>
    </w:p>
    <w:p w:rsidRPr="00404117" w:rsidR="00404117" w:rsidP="008D1814" w:rsidRDefault="00404117" w14:paraId="0DF58839" w14:textId="77777777">
      <w:pPr>
        <w:widowControl w:val="0"/>
        <w:tabs>
          <w:tab w:val="num" w:pos="720"/>
        </w:tabs>
        <w:spacing w:after="160" w:line="276" w:lineRule="auto"/>
        <w:rPr>
          <w:rFonts w:ascii="Verdana" w:hAnsi="Verdana" w:eastAsia="Calibri"/>
          <w:i/>
          <w:iCs/>
          <w:kern w:val="2"/>
          <w:sz w:val="18"/>
          <w:szCs w:val="18"/>
          <w:lang w:eastAsia="en-US"/>
          <w14:ligatures w14:val="standardContextual"/>
        </w:rPr>
      </w:pPr>
      <w:r w:rsidRPr="00404117">
        <w:rPr>
          <w:rFonts w:ascii="Verdana" w:hAnsi="Verdana" w:eastAsia="Calibri"/>
          <w:i/>
          <w:iCs/>
          <w:kern w:val="2"/>
          <w:sz w:val="18"/>
          <w:szCs w:val="18"/>
          <w:lang w:eastAsia="en-US"/>
          <w14:ligatures w14:val="standardContextual"/>
        </w:rPr>
        <w:t>De leden van de BBB-fractie hebben met belangstelling kennisgenomen van de implementatiewet richtlijn kredietservices en kredietkopers en bijbehorende stukken.</w:t>
      </w:r>
    </w:p>
    <w:p w:rsidRPr="00404117" w:rsidR="00404117" w:rsidP="008D1814" w:rsidRDefault="00404117" w14:paraId="1F77B9AB" w14:textId="77777777">
      <w:pPr>
        <w:widowControl w:val="0"/>
        <w:tabs>
          <w:tab w:val="num" w:pos="720"/>
        </w:tabs>
        <w:spacing w:after="160" w:line="276" w:lineRule="auto"/>
        <w:rPr>
          <w:rFonts w:ascii="Verdana" w:hAnsi="Verdana" w:eastAsia="Calibri"/>
          <w:i/>
          <w:iCs/>
          <w:kern w:val="2"/>
          <w:sz w:val="18"/>
          <w:szCs w:val="18"/>
          <w:lang w:eastAsia="en-US"/>
          <w14:ligatures w14:val="standardContextual"/>
        </w:rPr>
      </w:pPr>
      <w:r w:rsidRPr="00404117">
        <w:rPr>
          <w:rFonts w:ascii="Verdana" w:hAnsi="Verdana" w:eastAsia="Calibri"/>
          <w:i/>
          <w:iCs/>
          <w:kern w:val="2"/>
          <w:sz w:val="18"/>
          <w:szCs w:val="18"/>
          <w:lang w:eastAsia="en-US"/>
          <w14:ligatures w14:val="standardContextual"/>
        </w:rPr>
        <w:t xml:space="preserve">De leden van de D66-fractie en de leden van de ChristenUnie-fractie hebben kennisgenomen van de implementatiewet richtlijn </w:t>
      </w:r>
      <w:proofErr w:type="spellStart"/>
      <w:r w:rsidRPr="00404117">
        <w:rPr>
          <w:rFonts w:ascii="Verdana" w:hAnsi="Verdana" w:eastAsia="Calibri"/>
          <w:i/>
          <w:iCs/>
          <w:kern w:val="2"/>
          <w:sz w:val="18"/>
          <w:szCs w:val="18"/>
          <w:lang w:eastAsia="en-US"/>
          <w14:ligatures w14:val="standardContextual"/>
        </w:rPr>
        <w:t>kredietservicers</w:t>
      </w:r>
      <w:proofErr w:type="spellEnd"/>
      <w:r w:rsidRPr="00404117">
        <w:rPr>
          <w:rFonts w:ascii="Verdana" w:hAnsi="Verdana" w:eastAsia="Calibri"/>
          <w:i/>
          <w:iCs/>
          <w:kern w:val="2"/>
          <w:sz w:val="18"/>
          <w:szCs w:val="18"/>
          <w:lang w:eastAsia="en-US"/>
          <w14:ligatures w14:val="standardContextual"/>
        </w:rPr>
        <w:t xml:space="preserve"> en kredietkopers en hebben hierover op dit moment geen vragen.</w:t>
      </w:r>
    </w:p>
    <w:p w:rsidR="00DB522E" w:rsidP="008D1814" w:rsidRDefault="00DB522E" w14:paraId="3B380688" w14:textId="77777777">
      <w:pPr>
        <w:widowControl w:val="0"/>
        <w:tabs>
          <w:tab w:val="num" w:pos="720"/>
        </w:tabs>
        <w:spacing w:line="276" w:lineRule="auto"/>
        <w:rPr>
          <w:rFonts w:ascii="Verdana" w:hAnsi="Verdana" w:cs="Arial"/>
          <w:sz w:val="18"/>
          <w:szCs w:val="18"/>
        </w:rPr>
      </w:pPr>
    </w:p>
    <w:p w:rsidR="00404117" w:rsidP="008D1814" w:rsidRDefault="00404117" w14:paraId="334072B8" w14:textId="77777777">
      <w:pPr>
        <w:widowControl w:val="0"/>
        <w:tabs>
          <w:tab w:val="num" w:pos="720"/>
        </w:tabs>
        <w:spacing w:line="276" w:lineRule="auto"/>
        <w:rPr>
          <w:rFonts w:ascii="Verdana" w:hAnsi="Verdana" w:cs="Arial"/>
          <w:sz w:val="18"/>
          <w:szCs w:val="18"/>
        </w:rPr>
      </w:pPr>
    </w:p>
    <w:p w:rsidRPr="00404117" w:rsidR="00404117" w:rsidP="008D1814" w:rsidRDefault="00404117" w14:paraId="2EE2117F" w14:textId="77777777">
      <w:pPr>
        <w:spacing w:after="160" w:line="276" w:lineRule="auto"/>
        <w:rPr>
          <w:rFonts w:ascii="Verdana" w:hAnsi="Verdana" w:eastAsia="Calibri"/>
          <w:b/>
          <w:bCs/>
          <w:i/>
          <w:iCs/>
          <w:kern w:val="2"/>
          <w:sz w:val="18"/>
          <w:szCs w:val="18"/>
          <w:lang w:eastAsia="en-US"/>
          <w14:ligatures w14:val="standardContextual"/>
        </w:rPr>
      </w:pPr>
      <w:r w:rsidRPr="00404117">
        <w:rPr>
          <w:rFonts w:ascii="Verdana" w:hAnsi="Verdana" w:eastAsia="Calibri"/>
          <w:b/>
          <w:bCs/>
          <w:i/>
          <w:iCs/>
          <w:kern w:val="2"/>
          <w:sz w:val="18"/>
          <w:szCs w:val="18"/>
          <w:lang w:eastAsia="en-US"/>
          <w14:ligatures w14:val="standardContextual"/>
        </w:rPr>
        <w:t xml:space="preserve">§ 1. Inleiding </w:t>
      </w:r>
    </w:p>
    <w:p w:rsidRPr="00404117" w:rsidR="00404117" w:rsidP="008D1814" w:rsidRDefault="00404117" w14:paraId="31C6113A" w14:textId="77777777">
      <w:pPr>
        <w:spacing w:after="160" w:line="276" w:lineRule="auto"/>
        <w:rPr>
          <w:rFonts w:ascii="Verdana" w:hAnsi="Verdana" w:eastAsia="Calibri"/>
          <w:i/>
          <w:iCs/>
          <w:kern w:val="2"/>
          <w:sz w:val="18"/>
          <w:szCs w:val="18"/>
          <w:lang w:eastAsia="en-US"/>
          <w14:ligatures w14:val="standardContextual"/>
        </w:rPr>
      </w:pPr>
      <w:r w:rsidRPr="00404117">
        <w:rPr>
          <w:rFonts w:ascii="Verdana" w:hAnsi="Verdana" w:eastAsia="Calibri"/>
          <w:i/>
          <w:iCs/>
          <w:kern w:val="2"/>
          <w:sz w:val="18"/>
          <w:szCs w:val="18"/>
          <w:lang w:eastAsia="en-US"/>
          <w14:ligatures w14:val="standardContextual"/>
        </w:rPr>
        <w:t>De richtlijn diende op 30 december 2023 in nationale wet- en regelgeving te zijn geïmplementeerd. Die datum is inmiddels fors overschreden, constateren de leden van de VVD-fractie en de leden van de NSC-fractie.</w:t>
      </w:r>
    </w:p>
    <w:p w:rsidRPr="00404117" w:rsidR="00404117" w:rsidP="008D1814" w:rsidRDefault="00404117" w14:paraId="168F9A9D" w14:textId="77777777">
      <w:pPr>
        <w:spacing w:after="160" w:line="276" w:lineRule="auto"/>
        <w:rPr>
          <w:rFonts w:ascii="Verdana" w:hAnsi="Verdana" w:eastAsia="Calibri"/>
          <w:i/>
          <w:iCs/>
          <w:kern w:val="2"/>
          <w:sz w:val="18"/>
          <w:szCs w:val="18"/>
          <w:lang w:eastAsia="en-US"/>
          <w14:ligatures w14:val="standardContextual"/>
        </w:rPr>
      </w:pPr>
      <w:r w:rsidRPr="00404117">
        <w:rPr>
          <w:rFonts w:ascii="Verdana" w:hAnsi="Verdana" w:eastAsia="Calibri"/>
          <w:i/>
          <w:iCs/>
          <w:kern w:val="2"/>
          <w:sz w:val="18"/>
          <w:szCs w:val="18"/>
          <w:lang w:eastAsia="en-US"/>
          <w14:ligatures w14:val="standardContextual"/>
        </w:rPr>
        <w:t>De leden van de VVD-fractie en de NSC-fractie willen weten waarom de richtlijn niet tijdig in nationale wet- en regelgeving is geïmplementeerd. Wat zijn de redenen daarvoor?</w:t>
      </w:r>
    </w:p>
    <w:p w:rsidR="00404117" w:rsidP="008D1814" w:rsidRDefault="00404117" w14:paraId="1E2B49E3" w14:textId="43A0867E">
      <w:pPr>
        <w:spacing w:after="160" w:line="276" w:lineRule="auto"/>
        <w:rPr>
          <w:rFonts w:ascii="Verdana" w:hAnsi="Verdana" w:eastAsia="Calibri"/>
          <w:kern w:val="2"/>
          <w:sz w:val="18"/>
          <w:szCs w:val="22"/>
          <w:lang w:eastAsia="en-US"/>
          <w14:ligatures w14:val="standardContextual"/>
        </w:rPr>
      </w:pPr>
      <w:r w:rsidRPr="00404117">
        <w:rPr>
          <w:rFonts w:ascii="Verdana" w:hAnsi="Verdana" w:eastAsia="Calibri"/>
          <w:kern w:val="2"/>
          <w:sz w:val="18"/>
          <w:szCs w:val="22"/>
          <w:lang w:eastAsia="en-US"/>
          <w14:ligatures w14:val="standardContextual"/>
        </w:rPr>
        <w:t xml:space="preserve">De richtlijn </w:t>
      </w:r>
      <w:proofErr w:type="spellStart"/>
      <w:r w:rsidRPr="00404117">
        <w:rPr>
          <w:rFonts w:ascii="Verdana" w:hAnsi="Verdana" w:eastAsia="Calibri"/>
          <w:kern w:val="2"/>
          <w:sz w:val="18"/>
          <w:szCs w:val="22"/>
          <w:lang w:eastAsia="en-US"/>
          <w14:ligatures w14:val="standardContextual"/>
        </w:rPr>
        <w:t>kredietservicers</w:t>
      </w:r>
      <w:proofErr w:type="spellEnd"/>
      <w:r w:rsidRPr="00404117">
        <w:rPr>
          <w:rFonts w:ascii="Verdana" w:hAnsi="Verdana" w:eastAsia="Calibri"/>
          <w:kern w:val="2"/>
          <w:sz w:val="18"/>
          <w:szCs w:val="22"/>
          <w:lang w:eastAsia="en-US"/>
          <w14:ligatures w14:val="standardContextual"/>
        </w:rPr>
        <w:t xml:space="preserve"> en kredietkopers (hierna: de richtlijn) introduceert de regulering van partijen die een activiteit verrichten, het </w:t>
      </w:r>
      <w:proofErr w:type="spellStart"/>
      <w:r w:rsidRPr="00404117">
        <w:rPr>
          <w:rFonts w:ascii="Verdana" w:hAnsi="Verdana" w:eastAsia="Calibri"/>
          <w:kern w:val="2"/>
          <w:sz w:val="18"/>
          <w:szCs w:val="22"/>
          <w:lang w:eastAsia="en-US"/>
          <w14:ligatures w14:val="standardContextual"/>
        </w:rPr>
        <w:t>servicen</w:t>
      </w:r>
      <w:proofErr w:type="spellEnd"/>
      <w:r w:rsidRPr="00404117">
        <w:rPr>
          <w:rFonts w:ascii="Verdana" w:hAnsi="Verdana" w:eastAsia="Calibri"/>
          <w:kern w:val="2"/>
          <w:sz w:val="18"/>
          <w:szCs w:val="22"/>
          <w:lang w:eastAsia="en-US"/>
          <w14:ligatures w14:val="standardContextual"/>
        </w:rPr>
        <w:t xml:space="preserve"> van niet-renderende kredietovereenkomsten, waarvoor voorheen geen specifieke regels bestonden. Het kostte tijd om deze nieuwe regels in de bestaande regelgeving in te passen. Dit </w:t>
      </w:r>
      <w:r w:rsidR="008F4C95">
        <w:rPr>
          <w:rFonts w:ascii="Verdana" w:hAnsi="Verdana" w:eastAsia="Calibri"/>
          <w:kern w:val="2"/>
          <w:sz w:val="18"/>
          <w:szCs w:val="22"/>
          <w:lang w:eastAsia="en-US"/>
          <w14:ligatures w14:val="standardContextual"/>
        </w:rPr>
        <w:t>was complex</w:t>
      </w:r>
      <w:r w:rsidR="009F775A">
        <w:rPr>
          <w:rFonts w:ascii="Verdana" w:hAnsi="Verdana" w:eastAsia="Calibri"/>
          <w:kern w:val="2"/>
          <w:sz w:val="18"/>
          <w:szCs w:val="22"/>
          <w:lang w:eastAsia="en-US"/>
          <w14:ligatures w14:val="standardContextual"/>
        </w:rPr>
        <w:t>,</w:t>
      </w:r>
      <w:r w:rsidRPr="00404117" w:rsidR="009F775A">
        <w:rPr>
          <w:rFonts w:ascii="Verdana" w:hAnsi="Verdana" w:eastAsia="Calibri"/>
          <w:kern w:val="2"/>
          <w:sz w:val="18"/>
          <w:szCs w:val="22"/>
          <w:lang w:eastAsia="en-US"/>
          <w14:ligatures w14:val="standardContextual"/>
        </w:rPr>
        <w:t xml:space="preserve"> </w:t>
      </w:r>
      <w:r w:rsidRPr="00404117">
        <w:rPr>
          <w:rFonts w:ascii="Verdana" w:hAnsi="Verdana" w:eastAsia="Calibri"/>
          <w:kern w:val="2"/>
          <w:sz w:val="18"/>
          <w:szCs w:val="22"/>
          <w:lang w:eastAsia="en-US"/>
          <w14:ligatures w14:val="standardContextual"/>
        </w:rPr>
        <w:t xml:space="preserve">met name </w:t>
      </w:r>
      <w:r w:rsidR="009F775A">
        <w:rPr>
          <w:rFonts w:ascii="Verdana" w:hAnsi="Verdana" w:eastAsia="Calibri"/>
          <w:kern w:val="2"/>
          <w:sz w:val="18"/>
          <w:szCs w:val="22"/>
          <w:lang w:eastAsia="en-US"/>
          <w14:ligatures w14:val="standardContextual"/>
        </w:rPr>
        <w:t xml:space="preserve">waar het </w:t>
      </w:r>
      <w:r w:rsidRPr="00404117">
        <w:rPr>
          <w:rFonts w:ascii="Verdana" w:hAnsi="Verdana" w:eastAsia="Calibri"/>
          <w:kern w:val="2"/>
          <w:sz w:val="18"/>
          <w:szCs w:val="22"/>
          <w:lang w:eastAsia="en-US"/>
          <w14:ligatures w14:val="standardContextual"/>
        </w:rPr>
        <w:t xml:space="preserve">de afbakening van deze activiteit </w:t>
      </w:r>
      <w:r w:rsidR="009F775A">
        <w:rPr>
          <w:rFonts w:ascii="Verdana" w:hAnsi="Verdana" w:eastAsia="Calibri"/>
          <w:kern w:val="2"/>
          <w:sz w:val="18"/>
          <w:szCs w:val="22"/>
          <w:lang w:eastAsia="en-US"/>
          <w14:ligatures w14:val="standardContextual"/>
        </w:rPr>
        <w:t xml:space="preserve">betrof </w:t>
      </w:r>
      <w:r w:rsidRPr="00404117">
        <w:rPr>
          <w:rFonts w:ascii="Verdana" w:hAnsi="Verdana" w:eastAsia="Calibri"/>
          <w:kern w:val="2"/>
          <w:sz w:val="18"/>
          <w:szCs w:val="22"/>
          <w:lang w:eastAsia="en-US"/>
          <w14:ligatures w14:val="standardContextual"/>
        </w:rPr>
        <w:t>ten aanzien van reeds in de Wet op het financieel toezicht (</w:t>
      </w:r>
      <w:proofErr w:type="spellStart"/>
      <w:r w:rsidRPr="00404117">
        <w:rPr>
          <w:rFonts w:ascii="Verdana" w:hAnsi="Verdana" w:eastAsia="Calibri"/>
          <w:kern w:val="2"/>
          <w:sz w:val="18"/>
          <w:szCs w:val="22"/>
          <w:lang w:eastAsia="en-US"/>
          <w14:ligatures w14:val="standardContextual"/>
        </w:rPr>
        <w:t>Wft</w:t>
      </w:r>
      <w:proofErr w:type="spellEnd"/>
      <w:r w:rsidRPr="00404117">
        <w:rPr>
          <w:rFonts w:ascii="Verdana" w:hAnsi="Verdana" w:eastAsia="Calibri"/>
          <w:kern w:val="2"/>
          <w:sz w:val="18"/>
          <w:szCs w:val="22"/>
          <w:lang w:eastAsia="en-US"/>
          <w14:ligatures w14:val="standardContextual"/>
        </w:rPr>
        <w:t xml:space="preserve">) </w:t>
      </w:r>
      <w:r w:rsidRPr="00404117">
        <w:rPr>
          <w:rFonts w:ascii="Verdana" w:hAnsi="Verdana" w:eastAsia="Calibri"/>
          <w:kern w:val="2"/>
          <w:sz w:val="18"/>
          <w:szCs w:val="22"/>
          <w:lang w:eastAsia="en-US"/>
          <w14:ligatures w14:val="standardContextual"/>
        </w:rPr>
        <w:lastRenderedPageBreak/>
        <w:t xml:space="preserve">geregelde onderwerpen, zoals de regels voor het aanbieden van krediet aan consumenten. </w:t>
      </w:r>
    </w:p>
    <w:p w:rsidRPr="004E1F7D" w:rsidR="004E1F7D" w:rsidP="008D1814" w:rsidRDefault="004E1F7D" w14:paraId="3DB3EFFF" w14:textId="5211BD6F">
      <w:pPr>
        <w:spacing w:after="160" w:line="276" w:lineRule="auto"/>
        <w:rPr>
          <w:rFonts w:ascii="Verdana" w:hAnsi="Verdana" w:eastAsia="Calibri"/>
          <w:kern w:val="2"/>
          <w:sz w:val="18"/>
          <w:szCs w:val="18"/>
          <w14:ligatures w14:val="standardContextual"/>
        </w:rPr>
      </w:pPr>
      <w:r w:rsidRPr="004E1F7D">
        <w:rPr>
          <w:rFonts w:ascii="Verdana" w:hAnsi="Verdana" w:eastAsia="Calibri"/>
          <w:kern w:val="2"/>
          <w:sz w:val="18"/>
          <w:szCs w:val="18"/>
          <w14:ligatures w14:val="standardContextual"/>
        </w:rPr>
        <w:t>De verwachte impact van deze richtlijn voor Nederland is relatief klein en heeft naar verwachting voor een beperkt aantal Nederlandse ondernemingen gevolgen.</w:t>
      </w:r>
      <w:r>
        <w:rPr>
          <w:rFonts w:ascii="Verdana" w:hAnsi="Verdana" w:eastAsia="Calibri"/>
          <w:kern w:val="2"/>
          <w:sz w:val="18"/>
          <w:szCs w:val="18"/>
          <w14:ligatures w14:val="standardContextual"/>
        </w:rPr>
        <w:t xml:space="preserve"> </w:t>
      </w:r>
      <w:r w:rsidRPr="004E1F7D">
        <w:rPr>
          <w:rFonts w:ascii="Verdana" w:hAnsi="Verdana" w:eastAsia="Calibri"/>
          <w:kern w:val="2"/>
          <w:sz w:val="18"/>
          <w:szCs w:val="18"/>
          <w14:ligatures w14:val="standardContextual"/>
        </w:rPr>
        <w:t>Recent heeft de Europese Commissie haar beleid gewijzigd waarbij zij bij te late implementatie door een lidstaat een procedure bij het EU Hof start.</w:t>
      </w:r>
      <w:r w:rsidRPr="004E1F7D">
        <w:rPr>
          <w:rStyle w:val="Voetnootmarkering"/>
          <w:rFonts w:ascii="Verdana" w:hAnsi="Verdana" w:eastAsia="Calibri"/>
          <w:kern w:val="2"/>
          <w:sz w:val="18"/>
          <w:szCs w:val="18"/>
          <w:lang w:eastAsia="en-US"/>
          <w14:ligatures w14:val="standardContextual"/>
        </w:rPr>
        <w:footnoteReference w:id="1"/>
      </w:r>
      <w:r w:rsidRPr="004E1F7D">
        <w:rPr>
          <w:rFonts w:ascii="Verdana" w:hAnsi="Verdana" w:eastAsia="Calibri"/>
          <w:kern w:val="2"/>
          <w:sz w:val="18"/>
          <w:szCs w:val="18"/>
          <w14:ligatures w14:val="standardContextual"/>
        </w:rPr>
        <w:t xml:space="preserve"> Deze beleidswijziging heeft tot gevolg dat formele termijnen daardoor meer prioriteit moeten gaan krijgen dan de juridische impact van een te late termijnoverschrijding voor de Nederlandse financiële sector.  </w:t>
      </w:r>
    </w:p>
    <w:p w:rsidRPr="00404117" w:rsidR="00404117" w:rsidP="008D1814" w:rsidRDefault="00404117" w14:paraId="06265BE0" w14:textId="564C06F6">
      <w:pPr>
        <w:spacing w:after="160" w:line="276" w:lineRule="auto"/>
        <w:rPr>
          <w:rFonts w:ascii="Verdana" w:hAnsi="Verdana" w:eastAsia="Calibri"/>
          <w:kern w:val="2"/>
          <w:sz w:val="18"/>
          <w:szCs w:val="22"/>
          <w:lang w:eastAsia="en-US"/>
          <w14:ligatures w14:val="standardContextual"/>
        </w:rPr>
      </w:pPr>
      <w:r w:rsidRPr="00404117">
        <w:rPr>
          <w:rFonts w:ascii="Verdana" w:hAnsi="Verdana" w:eastAsia="Calibri"/>
          <w:kern w:val="2"/>
          <w:sz w:val="18"/>
          <w:szCs w:val="22"/>
          <w:lang w:eastAsia="en-US"/>
          <w14:ligatures w14:val="standardContextual"/>
        </w:rPr>
        <w:t xml:space="preserve">Vanwege het overschrijden van de </w:t>
      </w:r>
      <w:r w:rsidRPr="00404117" w:rsidR="008F4C95">
        <w:rPr>
          <w:rFonts w:ascii="Verdana" w:hAnsi="Verdana" w:eastAsia="Calibri"/>
          <w:kern w:val="2"/>
          <w:sz w:val="18"/>
          <w:szCs w:val="22"/>
          <w:lang w:eastAsia="en-US"/>
          <w14:ligatures w14:val="standardContextual"/>
        </w:rPr>
        <w:t>implementatie</w:t>
      </w:r>
      <w:r w:rsidR="008F4C95">
        <w:rPr>
          <w:rFonts w:ascii="Verdana" w:hAnsi="Verdana" w:eastAsia="Calibri"/>
          <w:kern w:val="2"/>
          <w:sz w:val="18"/>
          <w:szCs w:val="22"/>
          <w:lang w:eastAsia="en-US"/>
          <w14:ligatures w14:val="standardContextual"/>
        </w:rPr>
        <w:t>datum</w:t>
      </w:r>
      <w:r w:rsidRPr="00404117" w:rsidR="008F4C95">
        <w:rPr>
          <w:rFonts w:ascii="Verdana" w:hAnsi="Verdana" w:eastAsia="Calibri"/>
          <w:kern w:val="2"/>
          <w:sz w:val="18"/>
          <w:szCs w:val="22"/>
          <w:lang w:eastAsia="en-US"/>
          <w14:ligatures w14:val="standardContextual"/>
        </w:rPr>
        <w:t xml:space="preserve"> </w:t>
      </w:r>
      <w:r w:rsidR="008F4C95">
        <w:rPr>
          <w:rFonts w:ascii="Verdana" w:hAnsi="Verdana" w:eastAsia="Calibri"/>
          <w:kern w:val="2"/>
          <w:sz w:val="18"/>
          <w:szCs w:val="22"/>
          <w:lang w:eastAsia="en-US"/>
          <w14:ligatures w14:val="standardContextual"/>
        </w:rPr>
        <w:t xml:space="preserve">van 29 december 2023 </w:t>
      </w:r>
      <w:r w:rsidRPr="00404117">
        <w:rPr>
          <w:rFonts w:ascii="Verdana" w:hAnsi="Verdana" w:eastAsia="Calibri"/>
          <w:kern w:val="2"/>
          <w:sz w:val="18"/>
          <w:szCs w:val="22"/>
          <w:lang w:eastAsia="en-US"/>
          <w14:ligatures w14:val="standardContextual"/>
        </w:rPr>
        <w:t>is de Europese Commissie in 2024 een inbreukprocedure tegen Nederland gestart</w:t>
      </w:r>
      <w:r w:rsidR="008F4C95">
        <w:rPr>
          <w:rFonts w:ascii="Verdana" w:hAnsi="Verdana" w:eastAsia="Calibri"/>
          <w:kern w:val="2"/>
          <w:sz w:val="18"/>
          <w:szCs w:val="22"/>
          <w:lang w:eastAsia="en-US"/>
          <w14:ligatures w14:val="standardContextual"/>
        </w:rPr>
        <w:t>.</w:t>
      </w:r>
      <w:r w:rsidR="009656DA">
        <w:rPr>
          <w:rFonts w:ascii="Verdana" w:hAnsi="Verdana" w:eastAsia="Calibri"/>
          <w:kern w:val="2"/>
          <w:sz w:val="18"/>
          <w:szCs w:val="22"/>
          <w:lang w:eastAsia="en-US"/>
          <w14:ligatures w14:val="standardContextual"/>
        </w:rPr>
        <w:t xml:space="preserve"> </w:t>
      </w:r>
      <w:r w:rsidRPr="008F4C95" w:rsidR="008F4C95">
        <w:rPr>
          <w:rFonts w:ascii="Verdana" w:hAnsi="Verdana" w:eastAsia="Calibri"/>
          <w:kern w:val="2"/>
          <w:sz w:val="18"/>
          <w:szCs w:val="22"/>
          <w:lang w:eastAsia="en-US"/>
          <w14:ligatures w14:val="standardContextual"/>
        </w:rPr>
        <w:t>Hierover is uw Kamer geïnformeerd via de Kamerbrief “Stand van zaken implementatie richtlijnen in het vierde kwartaal 2024”</w:t>
      </w:r>
      <w:r w:rsidR="008F4C95">
        <w:rPr>
          <w:rFonts w:ascii="Verdana" w:hAnsi="Verdana" w:eastAsia="Calibri"/>
          <w:kern w:val="2"/>
          <w:sz w:val="18"/>
          <w:szCs w:val="22"/>
          <w:lang w:eastAsia="en-US"/>
          <w14:ligatures w14:val="standardContextual"/>
        </w:rPr>
        <w:t>.</w:t>
      </w:r>
      <w:r w:rsidR="008F4C95">
        <w:rPr>
          <w:rStyle w:val="Voetnootmarkering"/>
          <w:rFonts w:ascii="Verdana" w:hAnsi="Verdana" w:eastAsia="Calibri"/>
          <w:kern w:val="2"/>
          <w:sz w:val="18"/>
          <w:szCs w:val="22"/>
          <w:lang w:eastAsia="en-US"/>
          <w14:ligatures w14:val="standardContextual"/>
        </w:rPr>
        <w:footnoteReference w:id="2"/>
      </w:r>
      <w:r w:rsidR="008F4C95">
        <w:rPr>
          <w:rFonts w:ascii="Verdana" w:hAnsi="Verdana" w:eastAsia="Calibri"/>
          <w:kern w:val="2"/>
          <w:sz w:val="18"/>
          <w:szCs w:val="22"/>
          <w:lang w:eastAsia="en-US"/>
          <w14:ligatures w14:val="standardContextual"/>
        </w:rPr>
        <w:t xml:space="preserve"> O</w:t>
      </w:r>
      <w:r w:rsidRPr="00B7506B" w:rsidR="009656DA">
        <w:rPr>
          <w:rFonts w:ascii="Verdana" w:hAnsi="Verdana" w:eastAsia="Calibri"/>
          <w:kern w:val="2"/>
          <w:sz w:val="18"/>
          <w:szCs w:val="22"/>
          <w:lang w:eastAsia="en-US"/>
          <w14:ligatures w14:val="standardContextual"/>
        </w:rPr>
        <w:t xml:space="preserve">p 12 februari </w:t>
      </w:r>
      <w:r w:rsidR="009656DA">
        <w:rPr>
          <w:rFonts w:ascii="Verdana" w:hAnsi="Verdana" w:eastAsia="Calibri"/>
          <w:kern w:val="2"/>
          <w:sz w:val="18"/>
          <w:szCs w:val="22"/>
          <w:lang w:eastAsia="en-US"/>
          <w14:ligatures w14:val="standardContextual"/>
        </w:rPr>
        <w:t xml:space="preserve">jl. </w:t>
      </w:r>
      <w:r w:rsidR="008F4C95">
        <w:rPr>
          <w:rFonts w:ascii="Verdana" w:hAnsi="Verdana" w:eastAsia="Calibri"/>
          <w:kern w:val="2"/>
          <w:sz w:val="18"/>
          <w:szCs w:val="22"/>
          <w:lang w:eastAsia="en-US"/>
          <w14:ligatures w14:val="standardContextual"/>
        </w:rPr>
        <w:t xml:space="preserve">kondigde de Europese Commissie aan dat </w:t>
      </w:r>
      <w:r w:rsidRPr="00B7506B" w:rsidR="009656DA">
        <w:rPr>
          <w:rFonts w:ascii="Verdana" w:hAnsi="Verdana" w:eastAsia="Calibri"/>
          <w:kern w:val="2"/>
          <w:sz w:val="18"/>
          <w:szCs w:val="22"/>
          <w:lang w:eastAsia="en-US"/>
          <w14:ligatures w14:val="standardContextual"/>
        </w:rPr>
        <w:t>een zaak tegen Nederland</w:t>
      </w:r>
      <w:r w:rsidRPr="008F4C95" w:rsidR="008F4C95">
        <w:rPr>
          <w:rFonts w:ascii="Verdana" w:hAnsi="Verdana" w:eastAsia="Calibri"/>
          <w:kern w:val="2"/>
          <w:sz w:val="18"/>
          <w:szCs w:val="22"/>
          <w:lang w:eastAsia="en-US"/>
          <w14:ligatures w14:val="standardContextual"/>
        </w:rPr>
        <w:t xml:space="preserve">en zes andere lidstaten </w:t>
      </w:r>
      <w:r w:rsidRPr="00B7506B" w:rsidR="009656DA">
        <w:rPr>
          <w:rFonts w:ascii="Verdana" w:hAnsi="Verdana" w:eastAsia="Calibri"/>
          <w:kern w:val="2"/>
          <w:sz w:val="18"/>
          <w:szCs w:val="22"/>
          <w:lang w:eastAsia="en-US"/>
          <w14:ligatures w14:val="standardContextual"/>
        </w:rPr>
        <w:t xml:space="preserve">aanhangig </w:t>
      </w:r>
      <w:r w:rsidR="00707276">
        <w:rPr>
          <w:rFonts w:ascii="Verdana" w:hAnsi="Verdana" w:eastAsia="Calibri"/>
          <w:kern w:val="2"/>
          <w:sz w:val="18"/>
          <w:szCs w:val="22"/>
          <w:lang w:eastAsia="en-US"/>
          <w14:ligatures w14:val="standardContextual"/>
        </w:rPr>
        <w:t xml:space="preserve">maakt </w:t>
      </w:r>
      <w:r w:rsidRPr="00B7506B" w:rsidR="009656DA">
        <w:rPr>
          <w:rFonts w:ascii="Verdana" w:hAnsi="Verdana" w:eastAsia="Calibri"/>
          <w:kern w:val="2"/>
          <w:sz w:val="18"/>
          <w:szCs w:val="22"/>
          <w:lang w:eastAsia="en-US"/>
          <w14:ligatures w14:val="standardContextual"/>
        </w:rPr>
        <w:t>bij het Hof van Justitie van de Europese Unie</w:t>
      </w:r>
      <w:r w:rsidR="009656DA">
        <w:rPr>
          <w:rFonts w:ascii="Verdana" w:hAnsi="Verdana" w:eastAsia="Calibri"/>
          <w:kern w:val="2"/>
          <w:sz w:val="18"/>
          <w:szCs w:val="22"/>
          <w:lang w:eastAsia="en-US"/>
          <w14:ligatures w14:val="standardContextual"/>
        </w:rPr>
        <w:t>.</w:t>
      </w:r>
      <w:r w:rsidR="00DC0456">
        <w:rPr>
          <w:rStyle w:val="Voetnootmarkering"/>
          <w:rFonts w:ascii="Verdana" w:hAnsi="Verdana" w:eastAsia="Calibri"/>
          <w:kern w:val="2"/>
          <w:sz w:val="18"/>
          <w:szCs w:val="22"/>
          <w:lang w:eastAsia="en-US"/>
          <w14:ligatures w14:val="standardContextual"/>
        </w:rPr>
        <w:footnoteReference w:id="3"/>
      </w:r>
      <w:r w:rsidR="009656DA">
        <w:rPr>
          <w:rFonts w:ascii="Verdana" w:hAnsi="Verdana" w:eastAsia="Calibri"/>
          <w:kern w:val="2"/>
          <w:sz w:val="18"/>
          <w:szCs w:val="22"/>
          <w:lang w:eastAsia="en-US"/>
          <w14:ligatures w14:val="standardContextual"/>
        </w:rPr>
        <w:t xml:space="preserve"> </w:t>
      </w:r>
      <w:r w:rsidRPr="0039596A" w:rsidR="0039596A">
        <w:rPr>
          <w:rFonts w:ascii="Verdana" w:hAnsi="Verdana" w:eastAsia="Calibri"/>
          <w:kern w:val="2"/>
          <w:sz w:val="18"/>
          <w:szCs w:val="22"/>
          <w:lang w:eastAsia="en-US"/>
          <w14:ligatures w14:val="standardContextual"/>
        </w:rPr>
        <w:t xml:space="preserve">Op 25 maart jl. </w:t>
      </w:r>
      <w:r w:rsidR="00273241">
        <w:rPr>
          <w:rFonts w:ascii="Verdana" w:hAnsi="Verdana" w:eastAsia="Calibri"/>
          <w:kern w:val="2"/>
          <w:sz w:val="18"/>
          <w:szCs w:val="22"/>
          <w:lang w:eastAsia="en-US"/>
          <w14:ligatures w14:val="standardContextual"/>
        </w:rPr>
        <w:t xml:space="preserve">ontving Nederland </w:t>
      </w:r>
      <w:r w:rsidRPr="0039596A" w:rsidR="0039596A">
        <w:rPr>
          <w:rFonts w:ascii="Verdana" w:hAnsi="Verdana" w:eastAsia="Calibri"/>
          <w:kern w:val="2"/>
          <w:sz w:val="18"/>
          <w:szCs w:val="22"/>
          <w:lang w:eastAsia="en-US"/>
          <w14:ligatures w14:val="standardContextual"/>
        </w:rPr>
        <w:t xml:space="preserve">de officiële bevestiging dat de EC een verzoekschrift bij de griffie van het EU Hof heeft ingediend waarmee de zaak tegen </w:t>
      </w:r>
      <w:r w:rsidR="0039596A">
        <w:rPr>
          <w:rFonts w:ascii="Verdana" w:hAnsi="Verdana" w:eastAsia="Calibri"/>
          <w:kern w:val="2"/>
          <w:sz w:val="18"/>
          <w:szCs w:val="22"/>
          <w:lang w:eastAsia="en-US"/>
          <w14:ligatures w14:val="standardContextual"/>
        </w:rPr>
        <w:t>Nederland</w:t>
      </w:r>
      <w:r w:rsidRPr="0039596A" w:rsidR="0039596A">
        <w:rPr>
          <w:rFonts w:ascii="Verdana" w:hAnsi="Verdana" w:eastAsia="Calibri"/>
          <w:kern w:val="2"/>
          <w:sz w:val="18"/>
          <w:szCs w:val="22"/>
          <w:lang w:eastAsia="en-US"/>
          <w14:ligatures w14:val="standardContextual"/>
        </w:rPr>
        <w:t xml:space="preserve"> wordt ingeleid. </w:t>
      </w:r>
      <w:r w:rsidR="0005166A">
        <w:rPr>
          <w:rFonts w:ascii="Verdana" w:hAnsi="Verdana" w:eastAsia="Calibri"/>
          <w:kern w:val="2"/>
          <w:sz w:val="18"/>
          <w:szCs w:val="22"/>
          <w:lang w:eastAsia="en-US"/>
          <w14:ligatures w14:val="standardContextual"/>
        </w:rPr>
        <w:t xml:space="preserve">Een </w:t>
      </w:r>
      <w:r w:rsidR="00785B76">
        <w:rPr>
          <w:rFonts w:ascii="Verdana" w:hAnsi="Verdana" w:eastAsia="Calibri"/>
          <w:kern w:val="2"/>
          <w:sz w:val="18"/>
          <w:szCs w:val="22"/>
          <w:lang w:eastAsia="en-US"/>
          <w14:ligatures w14:val="standardContextual"/>
        </w:rPr>
        <w:t>voortvarende behandeling</w:t>
      </w:r>
      <w:r w:rsidR="0005166A">
        <w:rPr>
          <w:rFonts w:ascii="Verdana" w:hAnsi="Verdana" w:eastAsia="Calibri"/>
          <w:kern w:val="2"/>
          <w:sz w:val="18"/>
          <w:szCs w:val="22"/>
          <w:lang w:eastAsia="en-US"/>
          <w14:ligatures w14:val="standardContextual"/>
        </w:rPr>
        <w:t xml:space="preserve"> van </w:t>
      </w:r>
      <w:r w:rsidR="00785B76">
        <w:rPr>
          <w:rFonts w:ascii="Verdana" w:hAnsi="Verdana" w:eastAsia="Calibri"/>
          <w:kern w:val="2"/>
          <w:sz w:val="18"/>
          <w:szCs w:val="22"/>
          <w:lang w:eastAsia="en-US"/>
          <w14:ligatures w14:val="standardContextual"/>
        </w:rPr>
        <w:t xml:space="preserve">het wetsvoorstel </w:t>
      </w:r>
      <w:r w:rsidR="0005166A">
        <w:rPr>
          <w:rFonts w:ascii="Verdana" w:hAnsi="Verdana" w:eastAsia="Calibri"/>
          <w:kern w:val="2"/>
          <w:sz w:val="18"/>
          <w:szCs w:val="22"/>
          <w:lang w:eastAsia="en-US"/>
          <w14:ligatures w14:val="standardContextual"/>
        </w:rPr>
        <w:t xml:space="preserve">is vanuit dit oogpunt </w:t>
      </w:r>
      <w:r w:rsidR="00273241">
        <w:rPr>
          <w:rFonts w:ascii="Verdana" w:hAnsi="Verdana" w:eastAsia="Calibri"/>
          <w:kern w:val="2"/>
          <w:sz w:val="18"/>
          <w:szCs w:val="22"/>
          <w:lang w:eastAsia="en-US"/>
          <w14:ligatures w14:val="standardContextual"/>
        </w:rPr>
        <w:t xml:space="preserve">zeer </w:t>
      </w:r>
      <w:r w:rsidR="0005166A">
        <w:rPr>
          <w:rFonts w:ascii="Verdana" w:hAnsi="Verdana" w:eastAsia="Calibri"/>
          <w:kern w:val="2"/>
          <w:sz w:val="18"/>
          <w:szCs w:val="22"/>
          <w:lang w:eastAsia="en-US"/>
          <w14:ligatures w14:val="standardContextual"/>
        </w:rPr>
        <w:t>wenselijk.</w:t>
      </w:r>
      <w:r w:rsidR="00BF0D37">
        <w:rPr>
          <w:rFonts w:ascii="Verdana" w:hAnsi="Verdana" w:eastAsia="Calibri"/>
          <w:kern w:val="2"/>
          <w:sz w:val="18"/>
          <w:szCs w:val="22"/>
          <w:lang w:eastAsia="en-US"/>
          <w14:ligatures w14:val="standardContextual"/>
        </w:rPr>
        <w:t xml:space="preserve"> Na</w:t>
      </w:r>
      <w:r w:rsidR="009226F0">
        <w:rPr>
          <w:rFonts w:ascii="Verdana" w:hAnsi="Verdana" w:eastAsia="Calibri"/>
          <w:kern w:val="2"/>
          <w:sz w:val="18"/>
          <w:szCs w:val="22"/>
          <w:lang w:eastAsia="en-US"/>
          <w14:ligatures w14:val="standardContextual"/>
        </w:rPr>
        <w:t>ast</w:t>
      </w:r>
      <w:r w:rsidR="00BF0D37">
        <w:rPr>
          <w:rFonts w:ascii="Verdana" w:hAnsi="Verdana" w:eastAsia="Calibri"/>
          <w:kern w:val="2"/>
          <w:sz w:val="18"/>
          <w:szCs w:val="22"/>
          <w:lang w:eastAsia="en-US"/>
          <w14:ligatures w14:val="standardContextual"/>
        </w:rPr>
        <w:t xml:space="preserve"> afronding van het parlementaire proces voor het wetsvoorstel </w:t>
      </w:r>
      <w:r w:rsidR="009226F0">
        <w:rPr>
          <w:rFonts w:ascii="Verdana" w:hAnsi="Verdana" w:eastAsia="Calibri"/>
          <w:kern w:val="2"/>
          <w:sz w:val="18"/>
          <w:szCs w:val="22"/>
          <w:lang w:eastAsia="en-US"/>
          <w14:ligatures w14:val="standardContextual"/>
        </w:rPr>
        <w:t xml:space="preserve">dient ook het onderliggende besluit klaar te zijn. Dit besluit wordt tot 8 april geconsulteerd. De consultatie-inbreng zal direct worden verwerkt </w:t>
      </w:r>
      <w:r w:rsidR="00BF0D37">
        <w:rPr>
          <w:rFonts w:ascii="Verdana" w:hAnsi="Verdana" w:eastAsia="Calibri"/>
          <w:kern w:val="2"/>
          <w:sz w:val="18"/>
          <w:szCs w:val="22"/>
          <w:lang w:eastAsia="en-US"/>
          <w14:ligatures w14:val="standardContextual"/>
        </w:rPr>
        <w:t xml:space="preserve">zodat het besluit </w:t>
      </w:r>
      <w:r w:rsidR="00C83820">
        <w:rPr>
          <w:rFonts w:ascii="Verdana" w:hAnsi="Verdana" w:eastAsia="Calibri"/>
          <w:kern w:val="2"/>
          <w:sz w:val="18"/>
          <w:szCs w:val="22"/>
          <w:lang w:eastAsia="en-US"/>
          <w14:ligatures w14:val="standardContextual"/>
        </w:rPr>
        <w:t xml:space="preserve">zo snel mogelijk </w:t>
      </w:r>
      <w:r w:rsidR="009226F0">
        <w:rPr>
          <w:rFonts w:ascii="Verdana" w:hAnsi="Verdana" w:eastAsia="Calibri"/>
          <w:kern w:val="2"/>
          <w:sz w:val="18"/>
          <w:szCs w:val="22"/>
          <w:lang w:eastAsia="en-US"/>
          <w14:ligatures w14:val="standardContextual"/>
        </w:rPr>
        <w:t xml:space="preserve">via de ministerraad naar de Raad van State gestuurd kan worden. Dit kan </w:t>
      </w:r>
      <w:r w:rsidRPr="00A05C56" w:rsidR="00A05C56">
        <w:rPr>
          <w:rFonts w:ascii="Verdana" w:hAnsi="Verdana" w:eastAsia="Calibri"/>
          <w:kern w:val="2"/>
          <w:sz w:val="18"/>
          <w:szCs w:val="22"/>
          <w:lang w:eastAsia="en-US"/>
          <w14:ligatures w14:val="standardContextual"/>
        </w:rPr>
        <w:t>nadat het wetsvoorstel in de Tweede Kamer is aangenomen</w:t>
      </w:r>
      <w:r w:rsidR="009226F0">
        <w:rPr>
          <w:rFonts w:ascii="Verdana" w:hAnsi="Verdana" w:eastAsia="Calibri"/>
          <w:kern w:val="2"/>
          <w:sz w:val="18"/>
          <w:szCs w:val="22"/>
          <w:lang w:eastAsia="en-US"/>
          <w14:ligatures w14:val="standardContextual"/>
        </w:rPr>
        <w:t xml:space="preserve">. </w:t>
      </w:r>
      <w:r w:rsidRPr="00BF0D37" w:rsidR="00BF0D37">
        <w:rPr>
          <w:rFonts w:ascii="Verdana" w:hAnsi="Verdana" w:eastAsia="Calibri"/>
          <w:kern w:val="2"/>
          <w:sz w:val="18"/>
          <w:szCs w:val="22"/>
          <w:lang w:eastAsia="en-US"/>
          <w14:ligatures w14:val="standardContextual"/>
        </w:rPr>
        <w:t>Voor advisering door de RvS staat een termijn van drie maanden</w:t>
      </w:r>
      <w:r w:rsidR="00707276">
        <w:rPr>
          <w:rFonts w:ascii="Verdana" w:hAnsi="Verdana" w:eastAsia="Calibri"/>
          <w:kern w:val="2"/>
          <w:sz w:val="18"/>
          <w:szCs w:val="22"/>
          <w:lang w:eastAsia="en-US"/>
          <w14:ligatures w14:val="standardContextual"/>
        </w:rPr>
        <w:t xml:space="preserve">. Ik </w:t>
      </w:r>
      <w:r w:rsidR="009226F0">
        <w:rPr>
          <w:rFonts w:ascii="Verdana" w:hAnsi="Verdana" w:eastAsia="Calibri"/>
          <w:kern w:val="2"/>
          <w:sz w:val="18"/>
          <w:szCs w:val="22"/>
          <w:lang w:eastAsia="en-US"/>
          <w14:ligatures w14:val="standardContextual"/>
        </w:rPr>
        <w:t xml:space="preserve">zal </w:t>
      </w:r>
      <w:r w:rsidRPr="00BF0D37" w:rsidR="00BF0D37">
        <w:rPr>
          <w:rFonts w:ascii="Verdana" w:hAnsi="Verdana" w:eastAsia="Calibri"/>
          <w:kern w:val="2"/>
          <w:sz w:val="18"/>
          <w:szCs w:val="22"/>
          <w:lang w:eastAsia="en-US"/>
          <w14:ligatures w14:val="standardContextual"/>
        </w:rPr>
        <w:t xml:space="preserve">de RvS </w:t>
      </w:r>
      <w:r w:rsidR="009226F0">
        <w:rPr>
          <w:rFonts w:ascii="Verdana" w:hAnsi="Verdana" w:eastAsia="Calibri"/>
          <w:kern w:val="2"/>
          <w:sz w:val="18"/>
          <w:szCs w:val="22"/>
          <w:lang w:eastAsia="en-US"/>
          <w14:ligatures w14:val="standardContextual"/>
        </w:rPr>
        <w:t xml:space="preserve">vragen dit besluit </w:t>
      </w:r>
      <w:r w:rsidR="00BF0D37">
        <w:rPr>
          <w:rFonts w:ascii="Verdana" w:hAnsi="Verdana" w:eastAsia="Calibri"/>
          <w:kern w:val="2"/>
          <w:sz w:val="18"/>
          <w:szCs w:val="22"/>
          <w:lang w:eastAsia="en-US"/>
          <w14:ligatures w14:val="standardContextual"/>
        </w:rPr>
        <w:t xml:space="preserve">met </w:t>
      </w:r>
      <w:r w:rsidRPr="00BF0D37" w:rsidR="00BF0D37">
        <w:rPr>
          <w:rFonts w:ascii="Verdana" w:hAnsi="Verdana" w:eastAsia="Calibri"/>
          <w:kern w:val="2"/>
          <w:sz w:val="18"/>
          <w:szCs w:val="22"/>
          <w:lang w:eastAsia="en-US"/>
          <w14:ligatures w14:val="standardContextual"/>
        </w:rPr>
        <w:t xml:space="preserve">voorrang </w:t>
      </w:r>
      <w:r w:rsidR="009226F0">
        <w:rPr>
          <w:rFonts w:ascii="Verdana" w:hAnsi="Verdana" w:eastAsia="Calibri"/>
          <w:kern w:val="2"/>
          <w:sz w:val="18"/>
          <w:szCs w:val="22"/>
          <w:lang w:eastAsia="en-US"/>
          <w14:ligatures w14:val="standardContextual"/>
        </w:rPr>
        <w:t>te behandelen</w:t>
      </w:r>
      <w:r w:rsidR="00A05C56">
        <w:rPr>
          <w:rFonts w:ascii="Verdana" w:hAnsi="Verdana" w:eastAsia="Calibri"/>
          <w:kern w:val="2"/>
          <w:sz w:val="18"/>
          <w:szCs w:val="22"/>
          <w:lang w:eastAsia="en-US"/>
          <w14:ligatures w14:val="standardContextual"/>
        </w:rPr>
        <w:t xml:space="preserve"> </w:t>
      </w:r>
      <w:r w:rsidRPr="00A05C56" w:rsidR="00A05C56">
        <w:rPr>
          <w:rFonts w:ascii="Verdana" w:hAnsi="Verdana" w:eastAsia="Calibri"/>
          <w:kern w:val="2"/>
          <w:sz w:val="18"/>
          <w:szCs w:val="22"/>
          <w:lang w:eastAsia="en-US"/>
          <w14:ligatures w14:val="standardContextual"/>
        </w:rPr>
        <w:t>en indien nodig een spoedadvies vragen</w:t>
      </w:r>
      <w:r w:rsidRPr="00BF0D37" w:rsidR="00BF0D37">
        <w:rPr>
          <w:rFonts w:ascii="Verdana" w:hAnsi="Verdana" w:eastAsia="Calibri"/>
          <w:kern w:val="2"/>
          <w:sz w:val="18"/>
          <w:szCs w:val="22"/>
          <w:lang w:eastAsia="en-US"/>
          <w14:ligatures w14:val="standardContextual"/>
        </w:rPr>
        <w:t xml:space="preserve">. Na </w:t>
      </w:r>
      <w:r w:rsidR="009226F0">
        <w:rPr>
          <w:rFonts w:ascii="Verdana" w:hAnsi="Verdana" w:eastAsia="Calibri"/>
          <w:kern w:val="2"/>
          <w:sz w:val="18"/>
          <w:szCs w:val="22"/>
          <w:lang w:eastAsia="en-US"/>
          <w14:ligatures w14:val="standardContextual"/>
        </w:rPr>
        <w:t xml:space="preserve">ontvangst van het advies van de RvS </w:t>
      </w:r>
      <w:r w:rsidR="00707276">
        <w:rPr>
          <w:rFonts w:ascii="Verdana" w:hAnsi="Verdana" w:eastAsia="Calibri"/>
          <w:kern w:val="2"/>
          <w:sz w:val="18"/>
          <w:szCs w:val="22"/>
          <w:lang w:eastAsia="en-US"/>
          <w14:ligatures w14:val="standardContextual"/>
        </w:rPr>
        <w:t>wordt</w:t>
      </w:r>
      <w:r w:rsidR="00BF0D37">
        <w:rPr>
          <w:rFonts w:ascii="Verdana" w:hAnsi="Verdana" w:eastAsia="Calibri"/>
          <w:kern w:val="2"/>
          <w:sz w:val="18"/>
          <w:szCs w:val="22"/>
          <w:lang w:eastAsia="en-US"/>
          <w14:ligatures w14:val="standardContextual"/>
        </w:rPr>
        <w:t xml:space="preserve"> zo snel mogelijk </w:t>
      </w:r>
      <w:r w:rsidRPr="00BF0D37" w:rsidR="00BF0D37">
        <w:rPr>
          <w:rFonts w:ascii="Verdana" w:hAnsi="Verdana" w:eastAsia="Calibri"/>
          <w:kern w:val="2"/>
          <w:sz w:val="18"/>
          <w:szCs w:val="22"/>
          <w:lang w:eastAsia="en-US"/>
          <w14:ligatures w14:val="standardContextual"/>
        </w:rPr>
        <w:t>een nader rapport op</w:t>
      </w:r>
      <w:r w:rsidR="00BF0D37">
        <w:rPr>
          <w:rFonts w:ascii="Verdana" w:hAnsi="Verdana" w:eastAsia="Calibri"/>
          <w:kern w:val="2"/>
          <w:sz w:val="18"/>
          <w:szCs w:val="22"/>
          <w:lang w:eastAsia="en-US"/>
          <w14:ligatures w14:val="standardContextual"/>
        </w:rPr>
        <w:t>gesteld</w:t>
      </w:r>
      <w:r w:rsidR="00A05C56">
        <w:rPr>
          <w:rFonts w:ascii="Verdana" w:hAnsi="Verdana" w:eastAsia="Calibri"/>
          <w:kern w:val="2"/>
          <w:sz w:val="18"/>
          <w:szCs w:val="22"/>
          <w:lang w:eastAsia="en-US"/>
          <w14:ligatures w14:val="standardContextual"/>
        </w:rPr>
        <w:t xml:space="preserve">, </w:t>
      </w:r>
      <w:r w:rsidRPr="00A05C56" w:rsidR="00A05C56">
        <w:rPr>
          <w:rFonts w:ascii="Verdana" w:hAnsi="Verdana" w:eastAsia="Calibri"/>
          <w:kern w:val="2"/>
          <w:sz w:val="18"/>
          <w:szCs w:val="22"/>
          <w:lang w:eastAsia="en-US"/>
          <w14:ligatures w14:val="standardContextual"/>
        </w:rPr>
        <w:t>zodat dit</w:t>
      </w:r>
      <w:r w:rsidRPr="00BF0D37" w:rsidR="00BF0D37">
        <w:rPr>
          <w:rFonts w:ascii="Verdana" w:hAnsi="Verdana" w:eastAsia="Calibri"/>
          <w:kern w:val="2"/>
          <w:sz w:val="18"/>
          <w:szCs w:val="22"/>
          <w:lang w:eastAsia="en-US"/>
          <w14:ligatures w14:val="standardContextual"/>
        </w:rPr>
        <w:t xml:space="preserve"> </w:t>
      </w:r>
      <w:r w:rsidR="009226F0">
        <w:rPr>
          <w:rFonts w:ascii="Verdana" w:hAnsi="Verdana" w:eastAsia="Calibri"/>
          <w:kern w:val="2"/>
          <w:sz w:val="18"/>
          <w:szCs w:val="22"/>
          <w:lang w:eastAsia="en-US"/>
          <w14:ligatures w14:val="standardContextual"/>
        </w:rPr>
        <w:t xml:space="preserve">nader rapport </w:t>
      </w:r>
      <w:r w:rsidRPr="00BF0D37" w:rsidR="00BF0D37">
        <w:rPr>
          <w:rFonts w:ascii="Verdana" w:hAnsi="Verdana" w:eastAsia="Calibri"/>
          <w:kern w:val="2"/>
          <w:sz w:val="18"/>
          <w:szCs w:val="22"/>
          <w:lang w:eastAsia="en-US"/>
          <w14:ligatures w14:val="standardContextual"/>
        </w:rPr>
        <w:t>samen</w:t>
      </w:r>
      <w:r w:rsidR="009226F0">
        <w:rPr>
          <w:rFonts w:ascii="Verdana" w:hAnsi="Verdana" w:eastAsia="Calibri"/>
          <w:kern w:val="2"/>
          <w:sz w:val="18"/>
          <w:szCs w:val="22"/>
          <w:lang w:eastAsia="en-US"/>
          <w14:ligatures w14:val="standardContextual"/>
        </w:rPr>
        <w:t xml:space="preserve"> met het besluit </w:t>
      </w:r>
      <w:r w:rsidR="00A05C56">
        <w:rPr>
          <w:rFonts w:ascii="Verdana" w:hAnsi="Verdana" w:eastAsia="Calibri"/>
          <w:kern w:val="2"/>
          <w:sz w:val="18"/>
          <w:szCs w:val="22"/>
          <w:lang w:eastAsia="en-US"/>
          <w14:ligatures w14:val="standardContextual"/>
        </w:rPr>
        <w:t xml:space="preserve">kan worden </w:t>
      </w:r>
      <w:r w:rsidRPr="00BF0D37" w:rsidR="00707276">
        <w:rPr>
          <w:rFonts w:ascii="Verdana" w:hAnsi="Verdana" w:eastAsia="Calibri"/>
          <w:kern w:val="2"/>
          <w:sz w:val="18"/>
          <w:szCs w:val="22"/>
          <w:lang w:eastAsia="en-US"/>
          <w14:ligatures w14:val="standardContextual"/>
        </w:rPr>
        <w:t>gepubliceerd</w:t>
      </w:r>
      <w:r w:rsidR="00707276">
        <w:rPr>
          <w:rFonts w:ascii="Verdana" w:hAnsi="Verdana" w:eastAsia="Calibri"/>
          <w:kern w:val="2"/>
          <w:sz w:val="18"/>
          <w:szCs w:val="22"/>
          <w:lang w:eastAsia="en-US"/>
          <w14:ligatures w14:val="standardContextual"/>
        </w:rPr>
        <w:t xml:space="preserve"> </w:t>
      </w:r>
      <w:r w:rsidRPr="00A05C56" w:rsidR="00A05C56">
        <w:rPr>
          <w:rFonts w:ascii="Verdana" w:hAnsi="Verdana" w:eastAsia="Calibri"/>
          <w:kern w:val="2"/>
          <w:sz w:val="18"/>
          <w:szCs w:val="22"/>
          <w:lang w:eastAsia="en-US"/>
          <w14:ligatures w14:val="standardContextual"/>
        </w:rPr>
        <w:t>en het besluit met het wetsvoorstel in werking kan treden</w:t>
      </w:r>
      <w:r w:rsidRPr="00BF0D37" w:rsidR="00BF0D37">
        <w:rPr>
          <w:rFonts w:ascii="Verdana" w:hAnsi="Verdana" w:eastAsia="Calibri"/>
          <w:kern w:val="2"/>
          <w:sz w:val="18"/>
          <w:szCs w:val="22"/>
          <w:lang w:eastAsia="en-US"/>
          <w14:ligatures w14:val="standardContextual"/>
        </w:rPr>
        <w:t xml:space="preserve">. </w:t>
      </w:r>
      <w:r w:rsidR="00273241">
        <w:rPr>
          <w:rFonts w:ascii="Verdana" w:hAnsi="Verdana" w:eastAsia="Calibri"/>
          <w:kern w:val="2"/>
          <w:sz w:val="18"/>
          <w:szCs w:val="22"/>
          <w:lang w:eastAsia="en-US"/>
          <w14:ligatures w14:val="standardContextual"/>
        </w:rPr>
        <w:t>Ik zet mij er</w:t>
      </w:r>
      <w:r w:rsidR="009226F0">
        <w:rPr>
          <w:rFonts w:ascii="Verdana" w:hAnsi="Verdana" w:eastAsia="Calibri"/>
          <w:kern w:val="2"/>
          <w:sz w:val="18"/>
          <w:szCs w:val="22"/>
          <w:lang w:eastAsia="en-US"/>
          <w14:ligatures w14:val="standardContextual"/>
        </w:rPr>
        <w:t xml:space="preserve"> dus </w:t>
      </w:r>
      <w:r w:rsidR="00707276">
        <w:rPr>
          <w:rFonts w:ascii="Verdana" w:hAnsi="Verdana" w:eastAsia="Calibri"/>
          <w:kern w:val="2"/>
          <w:sz w:val="18"/>
          <w:szCs w:val="22"/>
          <w:lang w:eastAsia="en-US"/>
          <w14:ligatures w14:val="standardContextual"/>
        </w:rPr>
        <w:t xml:space="preserve">vol </w:t>
      </w:r>
      <w:r w:rsidR="00273241">
        <w:rPr>
          <w:rFonts w:ascii="Verdana" w:hAnsi="Verdana" w:eastAsia="Calibri"/>
          <w:kern w:val="2"/>
          <w:sz w:val="18"/>
          <w:szCs w:val="22"/>
          <w:lang w:eastAsia="en-US"/>
          <w14:ligatures w14:val="standardContextual"/>
        </w:rPr>
        <w:t xml:space="preserve">voor in om het implementatietraject zo spoedig mogelijk af te ronden. </w:t>
      </w:r>
      <w:r w:rsidR="00190D6C">
        <w:rPr>
          <w:rFonts w:ascii="Verdana" w:hAnsi="Verdana" w:eastAsia="Calibri"/>
          <w:kern w:val="2"/>
          <w:sz w:val="18"/>
          <w:szCs w:val="22"/>
          <w:lang w:eastAsia="en-US"/>
          <w14:ligatures w14:val="standardContextual"/>
        </w:rPr>
        <w:t xml:space="preserve">Ik </w:t>
      </w:r>
      <w:r w:rsidR="00707276">
        <w:rPr>
          <w:rFonts w:ascii="Verdana" w:hAnsi="Verdana" w:eastAsia="Calibri"/>
          <w:kern w:val="2"/>
          <w:sz w:val="18"/>
          <w:szCs w:val="22"/>
          <w:lang w:eastAsia="en-US"/>
          <w14:ligatures w14:val="standardContextual"/>
        </w:rPr>
        <w:t xml:space="preserve">houd </w:t>
      </w:r>
      <w:r w:rsidR="00190D6C">
        <w:rPr>
          <w:rFonts w:ascii="Verdana" w:hAnsi="Verdana" w:eastAsia="Calibri"/>
          <w:kern w:val="2"/>
          <w:sz w:val="18"/>
          <w:szCs w:val="22"/>
          <w:lang w:eastAsia="en-US"/>
          <w14:ligatures w14:val="standardContextual"/>
        </w:rPr>
        <w:t xml:space="preserve">uw Kamer op de hoogte van de voortgang. </w:t>
      </w:r>
    </w:p>
    <w:p w:rsidRPr="00404117" w:rsidR="00404117" w:rsidP="008D1814" w:rsidRDefault="00404117" w14:paraId="089F41B9" w14:textId="77777777">
      <w:pPr>
        <w:spacing w:after="160" w:line="276" w:lineRule="auto"/>
        <w:rPr>
          <w:rFonts w:ascii="Verdana" w:hAnsi="Verdana" w:eastAsia="Calibri"/>
          <w:i/>
          <w:iCs/>
          <w:kern w:val="2"/>
          <w:sz w:val="18"/>
          <w:szCs w:val="22"/>
          <w:lang w:eastAsia="en-US"/>
          <w14:ligatures w14:val="standardContextual"/>
        </w:rPr>
      </w:pPr>
      <w:r w:rsidRPr="00404117">
        <w:rPr>
          <w:rFonts w:ascii="Verdana" w:hAnsi="Verdana" w:eastAsia="Calibri"/>
          <w:i/>
          <w:iCs/>
          <w:kern w:val="2"/>
          <w:sz w:val="18"/>
          <w:szCs w:val="22"/>
          <w:lang w:eastAsia="en-US"/>
          <w14:ligatures w14:val="standardContextual"/>
        </w:rPr>
        <w:t>De leden van de VVD-fractie merken op dat er in het hoofdlijnenakkoord is afgesproken dat er geen nieuwe nationale koppen op Europees beleid komen en dat bestaande koppen zo maximaal mogelijk worden geschrapt. In hoeverre voldoet deze implementatiewet aan deze afspraak?</w:t>
      </w:r>
    </w:p>
    <w:p w:rsidR="00404117" w:rsidP="008D1814" w:rsidRDefault="00404117" w14:paraId="60A9032A" w14:textId="77777777">
      <w:pPr>
        <w:spacing w:after="160" w:line="276" w:lineRule="auto"/>
        <w:rPr>
          <w:rFonts w:ascii="Verdana" w:hAnsi="Verdana" w:eastAsia="Calibri"/>
          <w:kern w:val="2"/>
          <w:sz w:val="18"/>
          <w:szCs w:val="22"/>
          <w:lang w:eastAsia="en-US"/>
          <w14:ligatures w14:val="standardContextual"/>
        </w:rPr>
      </w:pPr>
      <w:r w:rsidRPr="00404117">
        <w:rPr>
          <w:rFonts w:ascii="Verdana" w:hAnsi="Verdana" w:eastAsia="Calibri"/>
          <w:kern w:val="2"/>
          <w:sz w:val="18"/>
          <w:szCs w:val="22"/>
          <w:lang w:eastAsia="en-US"/>
          <w14:ligatures w14:val="standardContextual"/>
        </w:rPr>
        <w:t>Ervan uitgaande dat de leden van de VVD-fractie met het begrip “nationale koppen op Europees beleid” niet doelen op de twee lidstaatopties waarop de volgende vraag van deze leden doelt (zie paragraaf 2, eerste alinea, van het verslag), wordt opgemerkt dat het voorstel van wet, nadat het kracht van wet heeft verkregen en in werking is getreden, geen nieuwe “nationale koppen op Europees beleid” introduceert. Het voorstel van wet introduceert derhalve geen additionele voorschriften bovenop hetgeen waartoe de richtlijn verplicht. De richtlijn verplicht niet tot de implementatie van voorschriften die (zouden) kunnen leiden tot het schrappen van “bestaande koppen”.</w:t>
      </w:r>
    </w:p>
    <w:p w:rsidR="003A4FE5" w:rsidP="008D1814" w:rsidRDefault="003A4FE5" w14:paraId="3CD4F586" w14:textId="77777777">
      <w:pPr>
        <w:spacing w:after="160" w:line="276" w:lineRule="auto"/>
        <w:rPr>
          <w:rFonts w:ascii="Verdana" w:hAnsi="Verdana" w:eastAsia="Calibri"/>
          <w:kern w:val="2"/>
          <w:sz w:val="18"/>
          <w:szCs w:val="22"/>
          <w:lang w:eastAsia="en-US"/>
          <w14:ligatures w14:val="standardContextual"/>
        </w:rPr>
      </w:pPr>
    </w:p>
    <w:p w:rsidR="003A4FE5" w:rsidP="008D1814" w:rsidRDefault="003A4FE5" w14:paraId="1E8F6678" w14:textId="77777777">
      <w:pPr>
        <w:spacing w:after="160" w:line="276" w:lineRule="auto"/>
        <w:rPr>
          <w:rFonts w:ascii="Verdana" w:hAnsi="Verdana" w:eastAsia="Calibri"/>
          <w:kern w:val="2"/>
          <w:sz w:val="18"/>
          <w:szCs w:val="22"/>
          <w:lang w:eastAsia="en-US"/>
          <w14:ligatures w14:val="standardContextual"/>
        </w:rPr>
      </w:pPr>
    </w:p>
    <w:p w:rsidRPr="00404117" w:rsidR="00404117" w:rsidP="008D1814" w:rsidRDefault="00404117" w14:paraId="4EEB3B7F" w14:textId="3414FE9B">
      <w:pPr>
        <w:spacing w:after="160" w:line="276" w:lineRule="auto"/>
        <w:rPr>
          <w:rFonts w:ascii="Verdana" w:hAnsi="Verdana" w:eastAsia="Calibri"/>
          <w:b/>
          <w:bCs/>
          <w:i/>
          <w:iCs/>
          <w:kern w:val="2"/>
          <w:sz w:val="18"/>
          <w:szCs w:val="22"/>
          <w:lang w:eastAsia="en-US"/>
          <w14:ligatures w14:val="standardContextual"/>
        </w:rPr>
      </w:pPr>
      <w:r w:rsidRPr="00D74158">
        <w:rPr>
          <w:rFonts w:ascii="Verdana" w:hAnsi="Verdana" w:eastAsia="Calibri"/>
          <w:b/>
          <w:bCs/>
          <w:i/>
          <w:iCs/>
          <w:kern w:val="2"/>
          <w:sz w:val="18"/>
          <w:szCs w:val="22"/>
          <w:lang w:eastAsia="en-US"/>
          <w14:ligatures w14:val="standardContextual"/>
        </w:rPr>
        <w:lastRenderedPageBreak/>
        <w:t>§ 2. Inhoud richtlijn</w:t>
      </w:r>
    </w:p>
    <w:p w:rsidRPr="00404117" w:rsidR="00404117" w:rsidP="008D1814" w:rsidRDefault="00404117" w14:paraId="31565DCA" w14:textId="77777777">
      <w:pPr>
        <w:spacing w:after="160" w:line="276" w:lineRule="auto"/>
        <w:rPr>
          <w:rFonts w:ascii="Verdana" w:hAnsi="Verdana" w:eastAsia="Calibri"/>
          <w:i/>
          <w:iCs/>
          <w:kern w:val="2"/>
          <w:sz w:val="18"/>
          <w:szCs w:val="22"/>
          <w:lang w:eastAsia="en-US"/>
          <w14:ligatures w14:val="standardContextual"/>
        </w:rPr>
      </w:pPr>
      <w:r w:rsidRPr="00404117">
        <w:rPr>
          <w:rFonts w:ascii="Verdana" w:hAnsi="Verdana" w:eastAsia="Calibri"/>
          <w:i/>
          <w:iCs/>
          <w:kern w:val="2"/>
          <w:sz w:val="18"/>
          <w:szCs w:val="22"/>
          <w:lang w:eastAsia="en-US"/>
          <w14:ligatures w14:val="standardContextual"/>
        </w:rPr>
        <w:t>De leden van de VVD-fractie lezen in de memorie van toelichting dat er van twee lidstaatopties gebruik wordt gemaakt. De leden van de VVD-fractie kunnen het gebruik van deze lidstaatopties begrijpen. In totaal zijn er acht lidstaatopties constateren deze leden. Kan per lidstaatoptie die niet wordt gebruikt uitgebreid worden aangegeven waarom dat niet het geval is. In de bijlage met de transponeringstabel is dit ook niet volledig te achterhalen, zoals bij de lidstaatopties in artikel 6, tweede en derde lid.</w:t>
      </w:r>
    </w:p>
    <w:p w:rsidR="00655CDB" w:rsidP="008D1814" w:rsidRDefault="00404117" w14:paraId="1658AC52" w14:textId="4AC00EA1">
      <w:pPr>
        <w:spacing w:after="160" w:line="276" w:lineRule="auto"/>
        <w:rPr>
          <w:rFonts w:ascii="Verdana" w:hAnsi="Verdana" w:eastAsia="Calibri"/>
          <w:kern w:val="2"/>
          <w:sz w:val="18"/>
          <w:szCs w:val="22"/>
          <w:lang w:eastAsia="en-US"/>
          <w14:ligatures w14:val="standardContextual"/>
        </w:rPr>
      </w:pPr>
      <w:r w:rsidRPr="00404117">
        <w:rPr>
          <w:rFonts w:ascii="Verdana" w:hAnsi="Verdana" w:eastAsia="Calibri"/>
          <w:kern w:val="2"/>
          <w:sz w:val="18"/>
          <w:szCs w:val="22"/>
          <w:lang w:eastAsia="en-US"/>
          <w14:ligatures w14:val="standardContextual"/>
        </w:rPr>
        <w:t xml:space="preserve">In de transponeringstabel bij het voorstel van wet is </w:t>
      </w:r>
      <w:r w:rsidR="002D46CD">
        <w:rPr>
          <w:rFonts w:ascii="Verdana" w:hAnsi="Verdana" w:eastAsia="Calibri"/>
          <w:kern w:val="2"/>
          <w:sz w:val="18"/>
          <w:szCs w:val="22"/>
          <w:lang w:eastAsia="en-US"/>
          <w14:ligatures w14:val="standardContextual"/>
        </w:rPr>
        <w:t>per abuis en</w:t>
      </w:r>
      <w:r w:rsidRPr="00404117">
        <w:rPr>
          <w:rFonts w:ascii="Verdana" w:hAnsi="Verdana" w:eastAsia="Calibri"/>
          <w:kern w:val="2"/>
          <w:sz w:val="18"/>
          <w:szCs w:val="22"/>
          <w:lang w:eastAsia="en-US"/>
          <w14:ligatures w14:val="standardContextual"/>
        </w:rPr>
        <w:t xml:space="preserve"> ten onrechte vermeld dat in het tweede en derde lid van artikel 6</w:t>
      </w:r>
      <w:r w:rsidR="006510C9">
        <w:rPr>
          <w:rFonts w:ascii="Verdana" w:hAnsi="Verdana" w:eastAsia="Calibri"/>
          <w:kern w:val="2"/>
          <w:sz w:val="18"/>
          <w:szCs w:val="22"/>
          <w:lang w:eastAsia="en-US"/>
          <w14:ligatures w14:val="standardContextual"/>
        </w:rPr>
        <w:t xml:space="preserve"> </w:t>
      </w:r>
      <w:r w:rsidRPr="00404117">
        <w:rPr>
          <w:rFonts w:ascii="Verdana" w:hAnsi="Verdana" w:eastAsia="Calibri"/>
          <w:kern w:val="2"/>
          <w:sz w:val="18"/>
          <w:szCs w:val="22"/>
          <w:lang w:eastAsia="en-US"/>
          <w14:ligatures w14:val="standardContextual"/>
        </w:rPr>
        <w:t xml:space="preserve">van de richtlijn lidstaatopties zijn opgenomen. Deze beide artikelleden bevatten namelijk geen lidstaatopties, maar nadere voorschriften met betrekking tot de in artikel 6, eerste lid, van de richtlijn opgenomen lidstaatoptie om toe te staan of te verbieden dat </w:t>
      </w:r>
      <w:proofErr w:type="spellStart"/>
      <w:r w:rsidRPr="00404117">
        <w:rPr>
          <w:rFonts w:ascii="Verdana" w:hAnsi="Verdana" w:eastAsia="Calibri"/>
          <w:kern w:val="2"/>
          <w:sz w:val="18"/>
          <w:szCs w:val="22"/>
          <w:lang w:eastAsia="en-US"/>
          <w14:ligatures w14:val="standardContextual"/>
        </w:rPr>
        <w:t>kredietservicers</w:t>
      </w:r>
      <w:proofErr w:type="spellEnd"/>
      <w:r w:rsidRPr="00404117">
        <w:rPr>
          <w:rFonts w:ascii="Verdana" w:hAnsi="Verdana" w:eastAsia="Calibri"/>
          <w:kern w:val="2"/>
          <w:sz w:val="18"/>
          <w:szCs w:val="22"/>
          <w:lang w:eastAsia="en-US"/>
          <w14:ligatures w14:val="standardContextual"/>
        </w:rPr>
        <w:t xml:space="preserve"> gelden van kredietnemers aanhouden. </w:t>
      </w:r>
      <w:r w:rsidR="00655CDB">
        <w:rPr>
          <w:rFonts w:ascii="Verdana" w:hAnsi="Verdana" w:eastAsia="Calibri"/>
          <w:kern w:val="2"/>
          <w:sz w:val="18"/>
          <w:szCs w:val="22"/>
          <w:lang w:eastAsia="en-US"/>
          <w14:ligatures w14:val="standardContextual"/>
        </w:rPr>
        <w:t>De</w:t>
      </w:r>
      <w:r w:rsidRPr="00404117" w:rsidR="00655CDB">
        <w:rPr>
          <w:rFonts w:ascii="Verdana" w:hAnsi="Verdana" w:eastAsia="Calibri"/>
          <w:kern w:val="2"/>
          <w:sz w:val="18"/>
          <w:szCs w:val="22"/>
          <w:lang w:eastAsia="en-US"/>
          <w14:ligatures w14:val="standardContextual"/>
        </w:rPr>
        <w:t xml:space="preserve"> </w:t>
      </w:r>
      <w:r w:rsidRPr="00404117">
        <w:rPr>
          <w:rFonts w:ascii="Verdana" w:hAnsi="Verdana" w:eastAsia="Calibri"/>
          <w:kern w:val="2"/>
          <w:sz w:val="18"/>
          <w:szCs w:val="22"/>
          <w:lang w:eastAsia="en-US"/>
          <w14:ligatures w14:val="standardContextual"/>
        </w:rPr>
        <w:t xml:space="preserve">lidstaatoptie </w:t>
      </w:r>
      <w:r w:rsidRPr="00404117" w:rsidR="00655CDB">
        <w:rPr>
          <w:rFonts w:ascii="Verdana" w:hAnsi="Verdana" w:eastAsia="Calibri"/>
          <w:kern w:val="2"/>
          <w:sz w:val="18"/>
          <w:szCs w:val="22"/>
          <w:lang w:eastAsia="en-US"/>
          <w14:ligatures w14:val="standardContextual"/>
        </w:rPr>
        <w:t xml:space="preserve">in artikel 6, eerste lid, van de richtlijn </w:t>
      </w:r>
      <w:r w:rsidRPr="00404117">
        <w:rPr>
          <w:rFonts w:ascii="Verdana" w:hAnsi="Verdana" w:eastAsia="Calibri"/>
          <w:kern w:val="2"/>
          <w:sz w:val="18"/>
          <w:szCs w:val="22"/>
          <w:lang w:eastAsia="en-US"/>
          <w14:ligatures w14:val="standardContextual"/>
        </w:rPr>
        <w:t xml:space="preserve">is geïmplementeerd in artikel 4:81f, eerste lid, </w:t>
      </w:r>
      <w:proofErr w:type="spellStart"/>
      <w:r w:rsidRPr="00404117">
        <w:rPr>
          <w:rFonts w:ascii="Verdana" w:hAnsi="Verdana" w:eastAsia="Calibri"/>
          <w:kern w:val="2"/>
          <w:sz w:val="18"/>
          <w:szCs w:val="22"/>
          <w:lang w:eastAsia="en-US"/>
          <w14:ligatures w14:val="standardContextual"/>
        </w:rPr>
        <w:t>Wft</w:t>
      </w:r>
      <w:proofErr w:type="spellEnd"/>
      <w:r w:rsidRPr="00404117">
        <w:rPr>
          <w:rFonts w:ascii="Verdana" w:hAnsi="Verdana" w:eastAsia="Calibri"/>
          <w:kern w:val="2"/>
          <w:sz w:val="18"/>
          <w:szCs w:val="22"/>
          <w:lang w:eastAsia="en-US"/>
          <w14:ligatures w14:val="standardContextual"/>
        </w:rPr>
        <w:t xml:space="preserve">. Laatstgenoemd artikel(lid) bevat </w:t>
      </w:r>
      <w:r w:rsidR="00655CDB">
        <w:rPr>
          <w:rFonts w:ascii="Verdana" w:hAnsi="Verdana" w:eastAsia="Calibri"/>
          <w:kern w:val="2"/>
          <w:sz w:val="18"/>
          <w:szCs w:val="22"/>
          <w:lang w:eastAsia="en-US"/>
          <w14:ligatures w14:val="standardContextual"/>
        </w:rPr>
        <w:t xml:space="preserve">ook </w:t>
      </w:r>
      <w:r w:rsidRPr="00404117">
        <w:rPr>
          <w:rFonts w:ascii="Verdana" w:hAnsi="Verdana" w:eastAsia="Calibri"/>
          <w:kern w:val="2"/>
          <w:sz w:val="18"/>
          <w:szCs w:val="22"/>
          <w:lang w:eastAsia="en-US"/>
          <w14:ligatures w14:val="standardContextual"/>
        </w:rPr>
        <w:t xml:space="preserve">de in artikel 6, tweede lid, van de richtlijn opgenomen voorwaarde dat </w:t>
      </w:r>
      <w:proofErr w:type="spellStart"/>
      <w:r w:rsidRPr="00404117">
        <w:rPr>
          <w:rFonts w:ascii="Verdana" w:hAnsi="Verdana" w:eastAsia="Calibri"/>
          <w:kern w:val="2"/>
          <w:sz w:val="18"/>
          <w:szCs w:val="22"/>
          <w:lang w:eastAsia="en-US"/>
          <w14:ligatures w14:val="standardContextual"/>
        </w:rPr>
        <w:t>kredietservicers</w:t>
      </w:r>
      <w:proofErr w:type="spellEnd"/>
      <w:r w:rsidRPr="00404117">
        <w:rPr>
          <w:rFonts w:ascii="Verdana" w:hAnsi="Verdana" w:eastAsia="Calibri"/>
          <w:kern w:val="2"/>
          <w:sz w:val="18"/>
          <w:szCs w:val="22"/>
          <w:lang w:eastAsia="en-US"/>
          <w14:ligatures w14:val="standardContextual"/>
        </w:rPr>
        <w:t xml:space="preserve"> de gelden die zij van kredietnemers ontvangen, moeten aanhouden op een rekening die uitsluitend daarvoor is bestemd (een rekening met afgescheiden vermogen). Het nadere voorschrift van artikel 6, derde lid, van de richtlijn, dat een aanvrager van een vergunning voor het </w:t>
      </w:r>
      <w:proofErr w:type="spellStart"/>
      <w:r w:rsidRPr="00404117">
        <w:rPr>
          <w:rFonts w:ascii="Verdana" w:hAnsi="Verdana" w:eastAsia="Calibri"/>
          <w:kern w:val="2"/>
          <w:sz w:val="18"/>
          <w:szCs w:val="22"/>
          <w:lang w:eastAsia="en-US"/>
          <w14:ligatures w14:val="standardContextual"/>
        </w:rPr>
        <w:t>servicen</w:t>
      </w:r>
      <w:proofErr w:type="spellEnd"/>
      <w:r w:rsidRPr="00404117">
        <w:rPr>
          <w:rFonts w:ascii="Verdana" w:hAnsi="Verdana" w:eastAsia="Calibri"/>
          <w:kern w:val="2"/>
          <w:sz w:val="18"/>
          <w:szCs w:val="22"/>
          <w:lang w:eastAsia="en-US"/>
          <w14:ligatures w14:val="standardContextual"/>
        </w:rPr>
        <w:t xml:space="preserve"> van een niet-renderende kredietovereenkomst bij zijn vergunningaanvraag vermeldt dat hij niet voornemens is gelden van kredietnemers te ontvangen en aan te houden als onderdeel van zijn bedrijfsvoering, wordt uitgewerkt in het Besluit markttoegang financiële ondernemingen </w:t>
      </w:r>
      <w:proofErr w:type="spellStart"/>
      <w:r w:rsidRPr="00404117">
        <w:rPr>
          <w:rFonts w:ascii="Verdana" w:hAnsi="Verdana" w:eastAsia="Calibri"/>
          <w:kern w:val="2"/>
          <w:sz w:val="18"/>
          <w:szCs w:val="22"/>
          <w:lang w:eastAsia="en-US"/>
          <w14:ligatures w14:val="standardContextual"/>
        </w:rPr>
        <w:t>Wft</w:t>
      </w:r>
      <w:proofErr w:type="spellEnd"/>
      <w:r w:rsidRPr="00404117">
        <w:rPr>
          <w:rFonts w:ascii="Verdana" w:hAnsi="Verdana" w:eastAsia="Calibri"/>
          <w:kern w:val="2"/>
          <w:sz w:val="18"/>
          <w:szCs w:val="22"/>
          <w:lang w:eastAsia="en-US"/>
          <w14:ligatures w14:val="standardContextual"/>
        </w:rPr>
        <w:t xml:space="preserve">. </w:t>
      </w:r>
    </w:p>
    <w:p w:rsidRPr="00404117" w:rsidR="00404117" w:rsidP="008D1814" w:rsidRDefault="00404117" w14:paraId="5958E260" w14:textId="271D0930">
      <w:pPr>
        <w:spacing w:after="160" w:line="276" w:lineRule="auto"/>
        <w:rPr>
          <w:rFonts w:ascii="Verdana" w:hAnsi="Verdana" w:eastAsia="Calibri"/>
          <w:kern w:val="2"/>
          <w:sz w:val="18"/>
          <w:szCs w:val="22"/>
          <w:lang w:eastAsia="en-US"/>
          <w14:ligatures w14:val="standardContextual"/>
        </w:rPr>
      </w:pPr>
      <w:r w:rsidRPr="00404117">
        <w:rPr>
          <w:rFonts w:ascii="Verdana" w:hAnsi="Verdana" w:eastAsia="Calibri"/>
          <w:kern w:val="2"/>
          <w:sz w:val="18"/>
          <w:szCs w:val="22"/>
          <w:lang w:eastAsia="en-US"/>
          <w14:ligatures w14:val="standardContextual"/>
        </w:rPr>
        <w:t>In verband met het bovenstaande wordt in de transponeringstabel die is opgenomen in de nota van toelichting bij het ontwerp Implementatiebesluit richtlijn niet langer vermeld dat het tweede en derde lid van artikel 6 lidstaatopties bevatten.</w:t>
      </w:r>
      <w:r w:rsidRPr="00404117">
        <w:rPr>
          <w:rFonts w:ascii="Verdana" w:hAnsi="Verdana" w:eastAsia="Calibri"/>
          <w:kern w:val="2"/>
          <w:sz w:val="18"/>
          <w:szCs w:val="22"/>
          <w:vertAlign w:val="superscript"/>
          <w:lang w:eastAsia="en-US"/>
          <w14:ligatures w14:val="standardContextual"/>
        </w:rPr>
        <w:footnoteReference w:id="4"/>
      </w:r>
      <w:r w:rsidRPr="00404117">
        <w:rPr>
          <w:rFonts w:ascii="Verdana" w:hAnsi="Verdana" w:eastAsia="Calibri"/>
          <w:kern w:val="2"/>
          <w:sz w:val="18"/>
          <w:szCs w:val="22"/>
          <w:lang w:eastAsia="en-US"/>
          <w14:ligatures w14:val="standardContextual"/>
        </w:rPr>
        <w:t xml:space="preserve"> </w:t>
      </w:r>
      <w:r w:rsidRPr="00404117" w:rsidR="00655CDB">
        <w:rPr>
          <w:rFonts w:ascii="Verdana" w:hAnsi="Verdana" w:eastAsia="Calibri"/>
          <w:kern w:val="2"/>
          <w:sz w:val="18"/>
          <w:szCs w:val="22"/>
          <w:lang w:eastAsia="en-US"/>
          <w14:ligatures w14:val="standardContextual"/>
        </w:rPr>
        <w:t xml:space="preserve">Dit betekent </w:t>
      </w:r>
      <w:r w:rsidR="00AA66B3">
        <w:rPr>
          <w:rFonts w:ascii="Verdana" w:hAnsi="Verdana" w:eastAsia="Calibri"/>
          <w:kern w:val="2"/>
          <w:sz w:val="18"/>
          <w:szCs w:val="22"/>
          <w:lang w:eastAsia="en-US"/>
          <w14:ligatures w14:val="standardContextual"/>
        </w:rPr>
        <w:t xml:space="preserve">dat er gebruik is gemaakt van twee van de </w:t>
      </w:r>
      <w:r w:rsidRPr="00404117" w:rsidR="00655CDB">
        <w:rPr>
          <w:rFonts w:ascii="Verdana" w:hAnsi="Verdana" w:eastAsia="Calibri"/>
          <w:kern w:val="2"/>
          <w:sz w:val="18"/>
          <w:szCs w:val="22"/>
          <w:lang w:eastAsia="en-US"/>
          <w14:ligatures w14:val="standardContextual"/>
        </w:rPr>
        <w:t xml:space="preserve">zes lidstaatopties. </w:t>
      </w:r>
      <w:r w:rsidR="00AA66B3">
        <w:rPr>
          <w:rFonts w:ascii="Verdana" w:hAnsi="Verdana" w:eastAsia="Calibri"/>
          <w:kern w:val="2"/>
          <w:sz w:val="18"/>
          <w:szCs w:val="22"/>
          <w:lang w:eastAsia="en-US"/>
          <w14:ligatures w14:val="standardContextual"/>
        </w:rPr>
        <w:t xml:space="preserve">Die lidstaatopties zien op het uitzonderen van </w:t>
      </w:r>
      <w:r w:rsidRPr="00AA66B3" w:rsidR="00AA66B3">
        <w:rPr>
          <w:rFonts w:ascii="Verdana" w:hAnsi="Verdana" w:eastAsia="Calibri"/>
          <w:kern w:val="2"/>
          <w:sz w:val="18"/>
          <w:szCs w:val="22"/>
          <w:lang w:eastAsia="en-US"/>
          <w14:ligatures w14:val="standardContextual"/>
        </w:rPr>
        <w:t xml:space="preserve">enkele bijzondere beroepsgroepen (notarissen, deurwaarders en advocaten) van het toepassingsbereik van de richtlijn en </w:t>
      </w:r>
      <w:r w:rsidR="009F775A">
        <w:rPr>
          <w:rFonts w:ascii="Verdana" w:hAnsi="Verdana" w:eastAsia="Calibri"/>
          <w:kern w:val="2"/>
          <w:sz w:val="18"/>
          <w:szCs w:val="22"/>
          <w:lang w:eastAsia="en-US"/>
          <w14:ligatures w14:val="standardContextual"/>
        </w:rPr>
        <w:t xml:space="preserve">op het hierboven beschreven behoud </w:t>
      </w:r>
      <w:r w:rsidRPr="00AA66B3" w:rsidR="00AA66B3">
        <w:rPr>
          <w:rFonts w:ascii="Verdana" w:hAnsi="Verdana" w:eastAsia="Calibri"/>
          <w:kern w:val="2"/>
          <w:sz w:val="18"/>
          <w:szCs w:val="22"/>
          <w:lang w:eastAsia="en-US"/>
          <w14:ligatures w14:val="standardContextual"/>
        </w:rPr>
        <w:t>van de bestaande praktijk v</w:t>
      </w:r>
      <w:r w:rsidR="00AA66B3">
        <w:rPr>
          <w:rFonts w:ascii="Verdana" w:hAnsi="Verdana" w:eastAsia="Calibri"/>
          <w:kern w:val="2"/>
          <w:sz w:val="18"/>
          <w:szCs w:val="22"/>
          <w:lang w:eastAsia="en-US"/>
          <w14:ligatures w14:val="standardContextual"/>
        </w:rPr>
        <w:t>an</w:t>
      </w:r>
      <w:r w:rsidRPr="00AA66B3" w:rsidR="00AA66B3">
        <w:rPr>
          <w:rFonts w:ascii="Verdana" w:hAnsi="Verdana" w:eastAsia="Calibri"/>
          <w:kern w:val="2"/>
          <w:sz w:val="18"/>
          <w:szCs w:val="22"/>
          <w:lang w:eastAsia="en-US"/>
          <w14:ligatures w14:val="standardContextual"/>
        </w:rPr>
        <w:t xml:space="preserve"> banken die niet-renderende kredietovereenkomsten beheren, </w:t>
      </w:r>
      <w:r w:rsidR="00AA66B3">
        <w:rPr>
          <w:rFonts w:ascii="Verdana" w:hAnsi="Verdana" w:eastAsia="Calibri"/>
          <w:kern w:val="2"/>
          <w:sz w:val="18"/>
          <w:szCs w:val="22"/>
          <w:lang w:eastAsia="en-US"/>
          <w14:ligatures w14:val="standardContextual"/>
        </w:rPr>
        <w:t xml:space="preserve">om de door hen van kredietnemers ontvangen </w:t>
      </w:r>
      <w:r w:rsidRPr="00AA66B3" w:rsidR="00AA66B3">
        <w:rPr>
          <w:rFonts w:ascii="Verdana" w:hAnsi="Verdana" w:eastAsia="Calibri"/>
          <w:kern w:val="2"/>
          <w:sz w:val="18"/>
          <w:szCs w:val="22"/>
          <w:lang w:eastAsia="en-US"/>
          <w14:ligatures w14:val="standardContextual"/>
        </w:rPr>
        <w:t xml:space="preserve">gelden </w:t>
      </w:r>
      <w:r w:rsidR="00AA66B3">
        <w:rPr>
          <w:rFonts w:ascii="Verdana" w:hAnsi="Verdana" w:eastAsia="Calibri"/>
          <w:kern w:val="2"/>
          <w:sz w:val="18"/>
          <w:szCs w:val="22"/>
          <w:lang w:eastAsia="en-US"/>
          <w14:ligatures w14:val="standardContextual"/>
        </w:rPr>
        <w:t>te mogen aanhouden</w:t>
      </w:r>
      <w:r w:rsidRPr="00AA66B3" w:rsidR="00AA66B3">
        <w:rPr>
          <w:rFonts w:ascii="Verdana" w:hAnsi="Verdana" w:eastAsia="Calibri"/>
          <w:kern w:val="2"/>
          <w:sz w:val="18"/>
          <w:szCs w:val="22"/>
          <w:lang w:eastAsia="en-US"/>
          <w14:ligatures w14:val="standardContextual"/>
        </w:rPr>
        <w:t>.</w:t>
      </w:r>
      <w:r w:rsidR="00AA66B3">
        <w:rPr>
          <w:rFonts w:ascii="Verdana" w:hAnsi="Verdana" w:eastAsia="Calibri"/>
          <w:kern w:val="2"/>
          <w:sz w:val="18"/>
          <w:szCs w:val="22"/>
          <w:lang w:eastAsia="en-US"/>
          <w14:ligatures w14:val="standardContextual"/>
        </w:rPr>
        <w:t xml:space="preserve"> </w:t>
      </w:r>
      <w:r w:rsidRPr="00404117">
        <w:rPr>
          <w:rFonts w:ascii="Verdana" w:hAnsi="Verdana" w:eastAsia="Calibri"/>
          <w:kern w:val="2"/>
          <w:sz w:val="18"/>
          <w:szCs w:val="22"/>
          <w:lang w:eastAsia="en-US"/>
          <w14:ligatures w14:val="standardContextual"/>
        </w:rPr>
        <w:t>De vier richtlijnopties waarvan geen gebruik is gemaakt worden hierna toegelicht.</w:t>
      </w:r>
    </w:p>
    <w:p w:rsidRPr="00404117" w:rsidR="00404117" w:rsidP="008D1814" w:rsidRDefault="00404117" w14:paraId="41F16E77" w14:textId="77777777">
      <w:pPr>
        <w:spacing w:after="160" w:line="276" w:lineRule="auto"/>
        <w:rPr>
          <w:rFonts w:ascii="Verdana" w:hAnsi="Verdana" w:eastAsia="Calibri"/>
          <w:kern w:val="2"/>
          <w:sz w:val="18"/>
          <w:szCs w:val="22"/>
          <w:lang w:eastAsia="en-US"/>
          <w14:ligatures w14:val="standardContextual"/>
        </w:rPr>
      </w:pPr>
      <w:r w:rsidRPr="00404117">
        <w:rPr>
          <w:rFonts w:ascii="Verdana" w:hAnsi="Verdana" w:eastAsia="Calibri"/>
          <w:kern w:val="2"/>
          <w:sz w:val="18"/>
          <w:szCs w:val="22"/>
          <w:lang w:eastAsia="en-US"/>
          <w14:ligatures w14:val="standardContextual"/>
        </w:rPr>
        <w:t xml:space="preserve">Artikel 17, eerste lid, tweede alinea, van de richtlijn, biedt lidstaten de mogelijkheid om de verplichting voor kredietkopers om een </w:t>
      </w:r>
      <w:proofErr w:type="spellStart"/>
      <w:r w:rsidRPr="00404117">
        <w:rPr>
          <w:rFonts w:ascii="Verdana" w:hAnsi="Verdana" w:eastAsia="Calibri"/>
          <w:kern w:val="2"/>
          <w:sz w:val="18"/>
          <w:szCs w:val="22"/>
          <w:lang w:eastAsia="en-US"/>
          <w14:ligatures w14:val="standardContextual"/>
        </w:rPr>
        <w:t>kredietservicer</w:t>
      </w:r>
      <w:proofErr w:type="spellEnd"/>
      <w:r w:rsidRPr="00404117">
        <w:rPr>
          <w:rFonts w:ascii="Verdana" w:hAnsi="Verdana" w:eastAsia="Calibri"/>
          <w:kern w:val="2"/>
          <w:sz w:val="18"/>
          <w:szCs w:val="22"/>
          <w:lang w:eastAsia="en-US"/>
          <w14:ligatures w14:val="standardContextual"/>
        </w:rPr>
        <w:t xml:space="preserve"> aan te wijzen voor het </w:t>
      </w:r>
      <w:proofErr w:type="spellStart"/>
      <w:r w:rsidRPr="00404117">
        <w:rPr>
          <w:rFonts w:ascii="Verdana" w:hAnsi="Verdana" w:eastAsia="Calibri"/>
          <w:kern w:val="2"/>
          <w:sz w:val="18"/>
          <w:szCs w:val="22"/>
          <w:lang w:eastAsia="en-US"/>
          <w14:ligatures w14:val="standardContextual"/>
        </w:rPr>
        <w:t>servicen</w:t>
      </w:r>
      <w:proofErr w:type="spellEnd"/>
      <w:r w:rsidRPr="00404117">
        <w:rPr>
          <w:rFonts w:ascii="Verdana" w:hAnsi="Verdana" w:eastAsia="Calibri"/>
          <w:kern w:val="2"/>
          <w:sz w:val="18"/>
          <w:szCs w:val="22"/>
          <w:lang w:eastAsia="en-US"/>
          <w14:ligatures w14:val="standardContextual"/>
        </w:rPr>
        <w:t xml:space="preserve"> van niet-renderende kredietovereenkomsten, waarbij de wederpartij een consument is, uit te breiden naar andere kredietovereenkomsten. Het gaat bijvoorbeeld om een uitbreiding naar het </w:t>
      </w:r>
      <w:proofErr w:type="spellStart"/>
      <w:r w:rsidRPr="00404117">
        <w:rPr>
          <w:rFonts w:ascii="Verdana" w:hAnsi="Verdana" w:eastAsia="Calibri"/>
          <w:kern w:val="2"/>
          <w:sz w:val="18"/>
          <w:szCs w:val="22"/>
          <w:lang w:eastAsia="en-US"/>
          <w14:ligatures w14:val="standardContextual"/>
        </w:rPr>
        <w:t>servicen</w:t>
      </w:r>
      <w:proofErr w:type="spellEnd"/>
      <w:r w:rsidRPr="00404117">
        <w:rPr>
          <w:rFonts w:ascii="Verdana" w:hAnsi="Verdana" w:eastAsia="Calibri"/>
          <w:kern w:val="2"/>
          <w:sz w:val="18"/>
          <w:szCs w:val="22"/>
          <w:lang w:eastAsia="en-US"/>
          <w14:ligatures w14:val="standardContextual"/>
        </w:rPr>
        <w:t xml:space="preserve"> van renderende kredietovereenkomsten. Het gebruik van deze richtlijnoptie zou ertoe leiden dat het toepassingsbereik van de hiervoor bedoelde verplichting fors wordt uitgebreid, zonder dat duidelijk is wat de gevolgen hiervan zijn. Er is daarom geen gebruik gemaakt van deze lidstaatoptie. </w:t>
      </w:r>
    </w:p>
    <w:p w:rsidRPr="00404117" w:rsidR="00404117" w:rsidP="008D1814" w:rsidRDefault="00404117" w14:paraId="6627B327" w14:textId="77777777">
      <w:pPr>
        <w:spacing w:after="160" w:line="276" w:lineRule="auto"/>
        <w:rPr>
          <w:rFonts w:ascii="Verdana" w:hAnsi="Verdana" w:eastAsia="Calibri"/>
          <w:kern w:val="2"/>
          <w:sz w:val="18"/>
          <w:szCs w:val="22"/>
          <w:lang w:eastAsia="en-US"/>
          <w14:ligatures w14:val="standardContextual"/>
        </w:rPr>
      </w:pPr>
      <w:r w:rsidRPr="00404117">
        <w:rPr>
          <w:rFonts w:ascii="Verdana" w:hAnsi="Verdana" w:eastAsia="Calibri"/>
          <w:kern w:val="2"/>
          <w:sz w:val="18"/>
          <w:szCs w:val="22"/>
          <w:lang w:eastAsia="en-US"/>
          <w14:ligatures w14:val="standardContextual"/>
        </w:rPr>
        <w:t xml:space="preserve">Op grond van artikel 17, vierde lid, van de </w:t>
      </w:r>
      <w:bookmarkStart w:name="_Hlk192157807" w:id="0"/>
      <w:r w:rsidRPr="00404117">
        <w:rPr>
          <w:rFonts w:ascii="Verdana" w:hAnsi="Verdana" w:eastAsia="Calibri"/>
          <w:kern w:val="2"/>
          <w:sz w:val="18"/>
          <w:szCs w:val="22"/>
          <w:lang w:eastAsia="en-US"/>
          <w14:ligatures w14:val="standardContextual"/>
        </w:rPr>
        <w:t xml:space="preserve">richtlijn </w:t>
      </w:r>
      <w:bookmarkEnd w:id="0"/>
      <w:r w:rsidRPr="00404117">
        <w:rPr>
          <w:rFonts w:ascii="Verdana" w:hAnsi="Verdana" w:eastAsia="Calibri"/>
          <w:kern w:val="2"/>
          <w:sz w:val="18"/>
          <w:szCs w:val="22"/>
          <w:lang w:eastAsia="en-US"/>
          <w14:ligatures w14:val="standardContextual"/>
        </w:rPr>
        <w:t xml:space="preserve">kan een lidstaat toestaan dat een kredietkoper de door hem verworven niet-renderende kredietoverkomsten door een natuurlijke persoon laat </w:t>
      </w:r>
      <w:proofErr w:type="spellStart"/>
      <w:r w:rsidRPr="00404117">
        <w:rPr>
          <w:rFonts w:ascii="Verdana" w:hAnsi="Verdana" w:eastAsia="Calibri"/>
          <w:kern w:val="2"/>
          <w:sz w:val="18"/>
          <w:szCs w:val="22"/>
          <w:lang w:eastAsia="en-US"/>
          <w14:ligatures w14:val="standardContextual"/>
        </w:rPr>
        <w:t>servicen</w:t>
      </w:r>
      <w:proofErr w:type="spellEnd"/>
      <w:r w:rsidRPr="00404117">
        <w:rPr>
          <w:rFonts w:ascii="Verdana" w:hAnsi="Verdana" w:eastAsia="Calibri"/>
          <w:kern w:val="2"/>
          <w:sz w:val="18"/>
          <w:szCs w:val="22"/>
          <w:lang w:eastAsia="en-US"/>
          <w14:ligatures w14:val="standardContextual"/>
        </w:rPr>
        <w:t xml:space="preserve">. Deze </w:t>
      </w:r>
      <w:r w:rsidRPr="00404117">
        <w:rPr>
          <w:rFonts w:ascii="Verdana" w:hAnsi="Verdana" w:eastAsia="Calibri"/>
          <w:kern w:val="2"/>
          <w:sz w:val="18"/>
          <w:szCs w:val="22"/>
          <w:lang w:eastAsia="en-US"/>
          <w14:ligatures w14:val="standardContextual"/>
        </w:rPr>
        <w:lastRenderedPageBreak/>
        <w:t xml:space="preserve">natuurlijke persoon mag echter op grond van de richtlijn niet in een andere lidstaat grensoverschrijdende </w:t>
      </w:r>
      <w:proofErr w:type="spellStart"/>
      <w:r w:rsidRPr="00404117">
        <w:rPr>
          <w:rFonts w:ascii="Verdana" w:hAnsi="Verdana" w:eastAsia="Calibri"/>
          <w:kern w:val="2"/>
          <w:sz w:val="18"/>
          <w:szCs w:val="22"/>
          <w:lang w:eastAsia="en-US"/>
          <w14:ligatures w14:val="standardContextual"/>
        </w:rPr>
        <w:t>kredietservicingactiviteiten</w:t>
      </w:r>
      <w:proofErr w:type="spellEnd"/>
      <w:r w:rsidRPr="00404117">
        <w:rPr>
          <w:rFonts w:ascii="Verdana" w:hAnsi="Verdana" w:eastAsia="Calibri"/>
          <w:kern w:val="2"/>
          <w:sz w:val="18"/>
          <w:szCs w:val="22"/>
          <w:lang w:eastAsia="en-US"/>
          <w14:ligatures w14:val="standardContextual"/>
        </w:rPr>
        <w:t xml:space="preserve"> verrichten. Omdat deze beperking van de mogelijkheid om (op basis van een Europees paspoort) grensoverschrijdende </w:t>
      </w:r>
      <w:proofErr w:type="spellStart"/>
      <w:r w:rsidRPr="00404117">
        <w:rPr>
          <w:rFonts w:ascii="Verdana" w:hAnsi="Verdana" w:eastAsia="Calibri"/>
          <w:kern w:val="2"/>
          <w:sz w:val="18"/>
          <w:szCs w:val="22"/>
          <w:lang w:eastAsia="en-US"/>
          <w14:ligatures w14:val="standardContextual"/>
        </w:rPr>
        <w:t>kredietservicingactiviteiten</w:t>
      </w:r>
      <w:proofErr w:type="spellEnd"/>
      <w:r w:rsidRPr="00404117">
        <w:rPr>
          <w:rFonts w:ascii="Verdana" w:hAnsi="Verdana" w:eastAsia="Calibri"/>
          <w:kern w:val="2"/>
          <w:sz w:val="18"/>
          <w:szCs w:val="22"/>
          <w:lang w:eastAsia="en-US"/>
          <w14:ligatures w14:val="standardContextual"/>
        </w:rPr>
        <w:t xml:space="preserve"> te verrichten niet bevorderlijk is voor de totstandkoming van een interne secundaire markt voor niet-renderende kredietovereenkomsten, het belangrijkste doel van de richtlijn, maakt Nederland geen gebruik van de in artikel 17, vierde lid, opgenomen lidstaatoptie.</w:t>
      </w:r>
    </w:p>
    <w:p w:rsidRPr="00404117" w:rsidR="00404117" w:rsidP="008D1814" w:rsidRDefault="00404117" w14:paraId="1C10DCE6" w14:textId="7896447A">
      <w:pPr>
        <w:spacing w:after="160" w:line="276" w:lineRule="auto"/>
        <w:rPr>
          <w:rFonts w:ascii="Verdana" w:hAnsi="Verdana" w:eastAsia="Calibri"/>
          <w:kern w:val="2"/>
          <w:sz w:val="18"/>
          <w:szCs w:val="22"/>
          <w:lang w:eastAsia="en-US"/>
          <w14:ligatures w14:val="standardContextual"/>
        </w:rPr>
      </w:pPr>
      <w:r w:rsidRPr="00404117">
        <w:rPr>
          <w:rFonts w:ascii="Verdana" w:hAnsi="Verdana" w:eastAsia="Calibri"/>
          <w:kern w:val="2"/>
          <w:sz w:val="18"/>
          <w:szCs w:val="22"/>
          <w:lang w:eastAsia="en-US"/>
          <w14:ligatures w14:val="standardContextual"/>
        </w:rPr>
        <w:t xml:space="preserve">Op grond van artikel 17, vijfde lid, tweede alinea, van de richtlijn kunnen de lidstaten eisen dat – kort samengevat - de door een kredietkoper aangewezen </w:t>
      </w:r>
      <w:proofErr w:type="spellStart"/>
      <w:r w:rsidRPr="00404117">
        <w:rPr>
          <w:rFonts w:ascii="Verdana" w:hAnsi="Verdana" w:eastAsia="Calibri"/>
          <w:kern w:val="2"/>
          <w:sz w:val="18"/>
          <w:szCs w:val="22"/>
          <w:lang w:eastAsia="en-US"/>
          <w14:ligatures w14:val="standardContextual"/>
        </w:rPr>
        <w:t>kredietservicer</w:t>
      </w:r>
      <w:proofErr w:type="spellEnd"/>
      <w:r w:rsidRPr="00404117">
        <w:rPr>
          <w:rFonts w:ascii="Verdana" w:hAnsi="Verdana" w:eastAsia="Calibri"/>
          <w:kern w:val="2"/>
          <w:sz w:val="18"/>
          <w:szCs w:val="22"/>
          <w:lang w:eastAsia="en-US"/>
          <w14:ligatures w14:val="standardContextual"/>
        </w:rPr>
        <w:t xml:space="preserve"> namens die kredietkoper </w:t>
      </w:r>
      <w:r w:rsidR="00A64522">
        <w:rPr>
          <w:rFonts w:ascii="Verdana" w:hAnsi="Verdana" w:eastAsia="Calibri"/>
          <w:kern w:val="2"/>
          <w:sz w:val="18"/>
          <w:szCs w:val="22"/>
          <w:lang w:eastAsia="en-US"/>
          <w14:ligatures w14:val="standardContextual"/>
        </w:rPr>
        <w:t xml:space="preserve">bepaalde informatieverplichtingen </w:t>
      </w:r>
      <w:r w:rsidRPr="00404117">
        <w:rPr>
          <w:rFonts w:ascii="Verdana" w:hAnsi="Verdana" w:eastAsia="Calibri"/>
          <w:kern w:val="2"/>
          <w:sz w:val="18"/>
          <w:szCs w:val="22"/>
          <w:lang w:eastAsia="en-US"/>
          <w14:ligatures w14:val="standardContextual"/>
        </w:rPr>
        <w:t xml:space="preserve">nakomt. Ik laat het aan de kredietkoper en </w:t>
      </w:r>
      <w:proofErr w:type="spellStart"/>
      <w:r w:rsidRPr="00404117">
        <w:rPr>
          <w:rFonts w:ascii="Verdana" w:hAnsi="Verdana" w:eastAsia="Calibri"/>
          <w:kern w:val="2"/>
          <w:sz w:val="18"/>
          <w:szCs w:val="22"/>
          <w:lang w:eastAsia="en-US"/>
          <w14:ligatures w14:val="standardContextual"/>
        </w:rPr>
        <w:t>kredietservicer</w:t>
      </w:r>
      <w:proofErr w:type="spellEnd"/>
      <w:r w:rsidRPr="00404117">
        <w:rPr>
          <w:rFonts w:ascii="Verdana" w:hAnsi="Verdana" w:eastAsia="Calibri"/>
          <w:kern w:val="2"/>
          <w:sz w:val="18"/>
          <w:szCs w:val="22"/>
          <w:lang w:eastAsia="en-US"/>
          <w14:ligatures w14:val="standardContextual"/>
        </w:rPr>
        <w:t xml:space="preserve"> over om al dan niet bij </w:t>
      </w:r>
      <w:proofErr w:type="spellStart"/>
      <w:r w:rsidRPr="00404117">
        <w:rPr>
          <w:rFonts w:ascii="Verdana" w:hAnsi="Verdana" w:eastAsia="Calibri"/>
          <w:kern w:val="2"/>
          <w:sz w:val="18"/>
          <w:szCs w:val="22"/>
          <w:lang w:eastAsia="en-US"/>
          <w14:ligatures w14:val="standardContextual"/>
        </w:rPr>
        <w:t>kredietservicingovereenkomst</w:t>
      </w:r>
      <w:proofErr w:type="spellEnd"/>
      <w:r w:rsidRPr="00404117">
        <w:rPr>
          <w:rFonts w:ascii="Verdana" w:hAnsi="Verdana" w:eastAsia="Calibri"/>
          <w:kern w:val="2"/>
          <w:sz w:val="18"/>
          <w:szCs w:val="22"/>
          <w:lang w:eastAsia="en-US"/>
          <w14:ligatures w14:val="standardContextual"/>
        </w:rPr>
        <w:t xml:space="preserve"> vast te leggen dat de </w:t>
      </w:r>
      <w:proofErr w:type="spellStart"/>
      <w:r w:rsidRPr="00404117">
        <w:rPr>
          <w:rFonts w:ascii="Verdana" w:hAnsi="Verdana" w:eastAsia="Calibri"/>
          <w:kern w:val="2"/>
          <w:sz w:val="18"/>
          <w:szCs w:val="22"/>
          <w:lang w:eastAsia="en-US"/>
          <w14:ligatures w14:val="standardContextual"/>
        </w:rPr>
        <w:t>kredietservicer</w:t>
      </w:r>
      <w:proofErr w:type="spellEnd"/>
      <w:r w:rsidRPr="00404117">
        <w:rPr>
          <w:rFonts w:ascii="Verdana" w:hAnsi="Verdana" w:eastAsia="Calibri"/>
          <w:kern w:val="2"/>
          <w:sz w:val="18"/>
          <w:szCs w:val="22"/>
          <w:lang w:eastAsia="en-US"/>
          <w14:ligatures w14:val="standardContextual"/>
        </w:rPr>
        <w:t xml:space="preserve"> namens de kredietkoper de hiervoor bedoelde verplichtingen nakomt. Naar mijn oordeel is van belang dat deze verplichtingen worden nagekomen. Minder van belang daarbij is door wie, de kredietkoper of de door hem aangewezen </w:t>
      </w:r>
      <w:proofErr w:type="spellStart"/>
      <w:r w:rsidRPr="00404117">
        <w:rPr>
          <w:rFonts w:ascii="Verdana" w:hAnsi="Verdana" w:eastAsia="Calibri"/>
          <w:kern w:val="2"/>
          <w:sz w:val="18"/>
          <w:szCs w:val="22"/>
          <w:lang w:eastAsia="en-US"/>
          <w14:ligatures w14:val="standardContextual"/>
        </w:rPr>
        <w:t>kredietservicer</w:t>
      </w:r>
      <w:proofErr w:type="spellEnd"/>
      <w:r w:rsidRPr="00404117">
        <w:rPr>
          <w:rFonts w:ascii="Verdana" w:hAnsi="Verdana" w:eastAsia="Calibri"/>
          <w:kern w:val="2"/>
          <w:sz w:val="18"/>
          <w:szCs w:val="22"/>
          <w:lang w:eastAsia="en-US"/>
          <w14:ligatures w14:val="standardContextual"/>
        </w:rPr>
        <w:t xml:space="preserve">, zij worden nagekomen. Er is derhalve geen noodzaak of wenselijkheid om bij wettelijk voorschrift te eisen dat de door een kredietkoper aangewezen </w:t>
      </w:r>
      <w:proofErr w:type="spellStart"/>
      <w:r w:rsidRPr="00404117">
        <w:rPr>
          <w:rFonts w:ascii="Verdana" w:hAnsi="Verdana" w:eastAsia="Calibri"/>
          <w:kern w:val="2"/>
          <w:sz w:val="18"/>
          <w:szCs w:val="22"/>
          <w:lang w:eastAsia="en-US"/>
          <w14:ligatures w14:val="standardContextual"/>
        </w:rPr>
        <w:t>kredietservicer</w:t>
      </w:r>
      <w:proofErr w:type="spellEnd"/>
      <w:r w:rsidRPr="00404117">
        <w:rPr>
          <w:rFonts w:ascii="Verdana" w:hAnsi="Verdana" w:eastAsia="Calibri"/>
          <w:kern w:val="2"/>
          <w:sz w:val="18"/>
          <w:szCs w:val="22"/>
          <w:lang w:eastAsia="en-US"/>
          <w14:ligatures w14:val="standardContextual"/>
        </w:rPr>
        <w:t xml:space="preserve"> (steeds) namens die kredietkoper de in artikel 17, vijfde lid, tweede alinea, bedoelde verplichtingen nakomt.</w:t>
      </w:r>
    </w:p>
    <w:p w:rsidRPr="00404117" w:rsidR="00404117" w:rsidP="008D1814" w:rsidRDefault="00404117" w14:paraId="4DF73573" w14:textId="77777777">
      <w:pPr>
        <w:spacing w:after="160" w:line="276" w:lineRule="auto"/>
        <w:rPr>
          <w:rFonts w:ascii="Verdana" w:hAnsi="Verdana" w:eastAsia="Calibri"/>
          <w:kern w:val="2"/>
          <w:sz w:val="18"/>
          <w:szCs w:val="22"/>
          <w:lang w:eastAsia="en-US"/>
          <w14:ligatures w14:val="standardContextual"/>
        </w:rPr>
      </w:pPr>
      <w:r w:rsidRPr="00404117">
        <w:rPr>
          <w:rFonts w:ascii="Verdana" w:hAnsi="Verdana" w:eastAsia="Calibri"/>
          <w:kern w:val="2"/>
          <w:sz w:val="18"/>
          <w:szCs w:val="22"/>
          <w:lang w:eastAsia="en-US"/>
          <w14:ligatures w14:val="standardContextual"/>
        </w:rPr>
        <w:t>Artikel 23, achtste lid, van de richtlijn biedt een lidstaat de mogelijkheid om inbreuken op die richtlijn niet via het bestuursrecht te handhaven, indien het in die lidstaat geldende financieel toezichtrecht via het strafrecht wordt gehandhaafd. Nu het in Nederland geldende financieel toezichtrecht vooral langs bestuursrechtelijke weg wordt gehandhaafd, is het niet verstandig om gebruik te maken van deze lidstaatoptie waardoor inbreuken op de richtlijn niet meer via het Nederlandse bestuursrecht zouden kunnen worden gehandhaafd.</w:t>
      </w:r>
    </w:p>
    <w:p w:rsidRPr="00404117" w:rsidR="00404117" w:rsidP="008D1814" w:rsidRDefault="00404117" w14:paraId="1FCA6B13" w14:textId="2531D86F">
      <w:pPr>
        <w:spacing w:after="160" w:line="276" w:lineRule="auto"/>
        <w:rPr>
          <w:rFonts w:ascii="Verdana" w:hAnsi="Verdana" w:eastAsia="Calibri"/>
          <w:i/>
          <w:iCs/>
          <w:kern w:val="2"/>
          <w:sz w:val="18"/>
          <w:szCs w:val="22"/>
          <w:lang w:eastAsia="en-US"/>
          <w14:ligatures w14:val="standardContextual"/>
        </w:rPr>
      </w:pPr>
      <w:r w:rsidRPr="00404117">
        <w:rPr>
          <w:rFonts w:ascii="Verdana" w:hAnsi="Verdana" w:eastAsia="Calibri"/>
          <w:i/>
          <w:iCs/>
          <w:kern w:val="2"/>
          <w:sz w:val="18"/>
          <w:szCs w:val="22"/>
          <w:lang w:eastAsia="en-US"/>
          <w14:ligatures w14:val="standardContextual"/>
        </w:rPr>
        <w:t>De leden van de VVD-fractie lezen dat het doel van de richtlijn is om het volume van niet-renderende kredietovereenkomsten op bankbalansen te verlagen en mogelijke toekomstige opeenhoping van dergelijke kredietovereenkomsten te voorkomen. Deze leden willen weten wanneer de regelgeving (al dan niet Europees) wordt geëvalueerd op het behalen van de beoogde resultaten door de maatregelen in deze richtlijn, namelijk dat er meer prikkels voor banken zijn om niet-renderende kredietovereenkomsten van de hand te doen</w:t>
      </w:r>
      <w:r w:rsidR="00D74158">
        <w:rPr>
          <w:rFonts w:ascii="Verdana" w:hAnsi="Verdana" w:eastAsia="Calibri"/>
          <w:i/>
          <w:iCs/>
          <w:kern w:val="2"/>
          <w:sz w:val="18"/>
          <w:szCs w:val="22"/>
          <w:lang w:eastAsia="en-US"/>
          <w14:ligatures w14:val="standardContextual"/>
        </w:rPr>
        <w:t>.</w:t>
      </w:r>
    </w:p>
    <w:p w:rsidR="00404117" w:rsidP="008D1814" w:rsidRDefault="00404117" w14:paraId="337A79C4" w14:textId="77777777">
      <w:pPr>
        <w:spacing w:after="160" w:line="276" w:lineRule="auto"/>
        <w:rPr>
          <w:rFonts w:ascii="Verdana" w:hAnsi="Verdana" w:eastAsia="Calibri"/>
          <w:i/>
          <w:iCs/>
          <w:kern w:val="2"/>
          <w:sz w:val="18"/>
          <w:szCs w:val="18"/>
          <w:lang w:eastAsia="en-US"/>
          <w14:ligatures w14:val="standardContextual"/>
        </w:rPr>
      </w:pPr>
      <w:r w:rsidRPr="00404117">
        <w:rPr>
          <w:rFonts w:ascii="Verdana" w:hAnsi="Verdana" w:eastAsia="Calibri"/>
          <w:kern w:val="2"/>
          <w:sz w:val="18"/>
          <w:szCs w:val="22"/>
          <w:lang w:eastAsia="en-US"/>
          <w14:ligatures w14:val="standardContextual"/>
        </w:rPr>
        <w:t xml:space="preserve">Op grond van artikel 30, eerste lid, van de richtlijn dient de Europese Commissie uiterlijk op 29 december 2026 een evaluatie van deze richtlijn te verrichten en dient zij aan het Europees Parlement, de Europese Raad en het Europees Economisch en Sociaal Comité verslag uit te brengen van haar belangrijkste bevindingen. Indien de evaluatie aanzienlijke problemen met betrekking tot het functioneren van de richtlijn aan het licht brengt, dient de Europese Commissie in haar verslag aan te geven hoe zij van plan is om die problemen aan te pakken en daarbij tevens aan te geven wat het tijdschema voor een eventuele herziening van de richtlijn is. </w:t>
      </w:r>
      <w:bookmarkStart w:name="_Hlk191045037" w:id="1"/>
      <w:r w:rsidRPr="00404117">
        <w:rPr>
          <w:rFonts w:ascii="Verdana" w:hAnsi="Verdana" w:eastAsia="Calibri"/>
          <w:i/>
          <w:iCs/>
          <w:kern w:val="2"/>
          <w:sz w:val="18"/>
          <w:szCs w:val="18"/>
          <w:lang w:eastAsia="en-US"/>
          <w14:ligatures w14:val="standardContextual"/>
        </w:rPr>
        <w:t xml:space="preserve"> </w:t>
      </w:r>
    </w:p>
    <w:p w:rsidRPr="00404117" w:rsidR="00244A77" w:rsidP="008D1814" w:rsidRDefault="00244A77" w14:paraId="48E7580F" w14:textId="77777777">
      <w:pPr>
        <w:spacing w:after="160" w:line="276" w:lineRule="auto"/>
        <w:rPr>
          <w:rFonts w:ascii="Verdana" w:hAnsi="Verdana" w:eastAsia="Calibri"/>
          <w:kern w:val="2"/>
          <w:sz w:val="18"/>
          <w:szCs w:val="22"/>
          <w:lang w:eastAsia="en-US"/>
          <w14:ligatures w14:val="standardContextual"/>
        </w:rPr>
      </w:pPr>
    </w:p>
    <w:bookmarkEnd w:id="1"/>
    <w:p w:rsidRPr="00404117" w:rsidR="00404117" w:rsidP="008D1814" w:rsidRDefault="00404117" w14:paraId="7C9E2114" w14:textId="77777777">
      <w:pPr>
        <w:spacing w:after="160" w:line="276" w:lineRule="auto"/>
        <w:rPr>
          <w:rFonts w:ascii="Verdana" w:hAnsi="Verdana" w:eastAsia="Calibri"/>
          <w:b/>
          <w:bCs/>
          <w:i/>
          <w:iCs/>
          <w:kern w:val="2"/>
          <w:sz w:val="18"/>
          <w:szCs w:val="18"/>
          <w:lang w:eastAsia="en-US"/>
          <w14:ligatures w14:val="standardContextual"/>
        </w:rPr>
      </w:pPr>
      <w:r w:rsidRPr="00404117">
        <w:rPr>
          <w:rFonts w:ascii="Verdana" w:hAnsi="Verdana" w:eastAsia="Calibri"/>
          <w:b/>
          <w:bCs/>
          <w:i/>
          <w:iCs/>
          <w:kern w:val="2"/>
          <w:sz w:val="18"/>
          <w:szCs w:val="18"/>
          <w:lang w:eastAsia="en-US"/>
          <w14:ligatures w14:val="standardContextual"/>
        </w:rPr>
        <w:t xml:space="preserve">§ 2.2. Hoofdlijnen van de richtlijn </w:t>
      </w:r>
    </w:p>
    <w:p w:rsidRPr="00404117" w:rsidR="00404117" w:rsidP="008D1814" w:rsidRDefault="00404117" w14:paraId="5967E40A" w14:textId="77777777">
      <w:pPr>
        <w:spacing w:after="160" w:line="276" w:lineRule="auto"/>
        <w:rPr>
          <w:rFonts w:ascii="Verdana" w:hAnsi="Verdana" w:eastAsia="Calibri"/>
          <w:i/>
          <w:iCs/>
          <w:kern w:val="2"/>
          <w:sz w:val="18"/>
          <w:szCs w:val="18"/>
          <w:lang w:eastAsia="en-US"/>
          <w14:ligatures w14:val="standardContextual"/>
        </w:rPr>
      </w:pPr>
      <w:r w:rsidRPr="00404117">
        <w:rPr>
          <w:rFonts w:ascii="Verdana" w:hAnsi="Verdana" w:eastAsia="Calibri"/>
          <w:i/>
          <w:iCs/>
          <w:kern w:val="2"/>
          <w:sz w:val="18"/>
          <w:szCs w:val="18"/>
          <w:lang w:eastAsia="en-US"/>
          <w14:ligatures w14:val="standardContextual"/>
        </w:rPr>
        <w:t>De leden van de NSC-fractie vragen in hoeverre deze richtlijn een onderdeel is van de nagestreefde kapitaalmarktunie of de bankenunie?</w:t>
      </w:r>
      <w:r w:rsidRPr="00404117">
        <w:rPr>
          <w:rFonts w:ascii="Verdana" w:hAnsi="Verdana" w:eastAsia="Calibri"/>
          <w:kern w:val="2"/>
          <w:sz w:val="18"/>
          <w:szCs w:val="18"/>
          <w:lang w:eastAsia="en-US"/>
          <w14:ligatures w14:val="standardContextual"/>
        </w:rPr>
        <w:t xml:space="preserve"> </w:t>
      </w:r>
      <w:r w:rsidRPr="00404117">
        <w:rPr>
          <w:rFonts w:ascii="Verdana" w:hAnsi="Verdana" w:eastAsia="Calibri"/>
          <w:i/>
          <w:iCs/>
          <w:kern w:val="2"/>
          <w:sz w:val="18"/>
          <w:szCs w:val="18"/>
          <w:lang w:eastAsia="en-US"/>
          <w14:ligatures w14:val="standardContextual"/>
        </w:rPr>
        <w:t>Hoe groot is de Europese markt voor niet-renderende kredieten, uitgedrukt in euro’s?</w:t>
      </w:r>
    </w:p>
    <w:p w:rsidRPr="00404117" w:rsidR="00404117" w:rsidP="008D1814" w:rsidRDefault="00404117" w14:paraId="01A44381" w14:textId="77777777">
      <w:pPr>
        <w:spacing w:after="160" w:line="276" w:lineRule="auto"/>
        <w:rPr>
          <w:rFonts w:ascii="Verdana" w:hAnsi="Verdana" w:eastAsia="Calibri"/>
          <w:kern w:val="2"/>
          <w:sz w:val="18"/>
          <w:szCs w:val="18"/>
          <w:lang w:eastAsia="en-US"/>
          <w14:ligatures w14:val="standardContextual"/>
        </w:rPr>
      </w:pPr>
      <w:r w:rsidRPr="00404117">
        <w:rPr>
          <w:rFonts w:ascii="Verdana" w:hAnsi="Verdana" w:eastAsia="Calibri"/>
          <w:kern w:val="2"/>
          <w:sz w:val="18"/>
          <w:szCs w:val="18"/>
          <w:lang w:eastAsia="en-US"/>
          <w14:ligatures w14:val="standardContextual"/>
        </w:rPr>
        <w:t>De richtlijn maakt deel uit van een pakket aan maatregelen met betrekking tot niet-presterende leningen dat in maart 2018 door de Europese Commissie is gepubliceerd. Een dergelijke lening wordt ook wel aangeduid als niet-renderende kredietovereenkomst (“</w:t>
      </w:r>
      <w:r w:rsidRPr="00404117">
        <w:rPr>
          <w:rFonts w:ascii="Verdana" w:hAnsi="Verdana" w:eastAsia="Calibri"/>
          <w:i/>
          <w:iCs/>
          <w:kern w:val="2"/>
          <w:sz w:val="18"/>
          <w:szCs w:val="18"/>
          <w:lang w:eastAsia="en-US"/>
          <w14:ligatures w14:val="standardContextual"/>
        </w:rPr>
        <w:t>non-</w:t>
      </w:r>
      <w:proofErr w:type="spellStart"/>
      <w:r w:rsidRPr="00404117">
        <w:rPr>
          <w:rFonts w:ascii="Verdana" w:hAnsi="Verdana" w:eastAsia="Calibri"/>
          <w:i/>
          <w:iCs/>
          <w:kern w:val="2"/>
          <w:sz w:val="18"/>
          <w:szCs w:val="18"/>
          <w:lang w:eastAsia="en-US"/>
          <w14:ligatures w14:val="standardContextual"/>
        </w:rPr>
        <w:t>performing</w:t>
      </w:r>
      <w:proofErr w:type="spellEnd"/>
      <w:r w:rsidRPr="00404117">
        <w:rPr>
          <w:rFonts w:ascii="Verdana" w:hAnsi="Verdana" w:eastAsia="Calibri"/>
          <w:i/>
          <w:iCs/>
          <w:kern w:val="2"/>
          <w:sz w:val="18"/>
          <w:szCs w:val="18"/>
          <w:lang w:eastAsia="en-US"/>
          <w14:ligatures w14:val="standardContextual"/>
        </w:rPr>
        <w:t xml:space="preserve"> </w:t>
      </w:r>
      <w:proofErr w:type="spellStart"/>
      <w:r w:rsidRPr="00404117">
        <w:rPr>
          <w:rFonts w:ascii="Verdana" w:hAnsi="Verdana" w:eastAsia="Calibri"/>
          <w:i/>
          <w:iCs/>
          <w:kern w:val="2"/>
          <w:sz w:val="18"/>
          <w:szCs w:val="18"/>
          <w:lang w:eastAsia="en-US"/>
          <w14:ligatures w14:val="standardContextual"/>
        </w:rPr>
        <w:t>loan</w:t>
      </w:r>
      <w:proofErr w:type="spellEnd"/>
      <w:r w:rsidRPr="00404117">
        <w:rPr>
          <w:rFonts w:ascii="Verdana" w:hAnsi="Verdana" w:eastAsia="Calibri"/>
          <w:kern w:val="2"/>
          <w:sz w:val="18"/>
          <w:szCs w:val="18"/>
          <w:lang w:eastAsia="en-US"/>
          <w14:ligatures w14:val="standardContextual"/>
        </w:rPr>
        <w:t>” of “NPL”). De Europese Commissie wees er bij de aanbieding van het NPL-pakket op dat een relatief hoog aantal niet-renderende kredietovereenkomsten bij een bank zorgt voor minder inkomsten en daarmee een lagere winstgevendheid, met mogelijk gevolgen voor het kapitaalniveau van een bank. Dit kan in extreme gevallen leiden tot zorgen over de levensvatbaarheid van een bank, met gevolgen voor de financiële stabiliteit. De Europese Commissie heeft daarom in aanvulling op de verantwoordelijkheid die banken en lidstaten zelf hebben voor de aanpak van niet-renderende kredietovereenkomsten, het NPL-pakket gepresenteerd als onderdeel van risico-reducerende maatregelen binnen de bankenunie.</w:t>
      </w:r>
      <w:r w:rsidRPr="00404117">
        <w:rPr>
          <w:rFonts w:ascii="Verdana" w:hAnsi="Verdana" w:eastAsia="Calibri"/>
          <w:kern w:val="2"/>
          <w:sz w:val="18"/>
          <w:szCs w:val="18"/>
          <w:vertAlign w:val="superscript"/>
          <w:lang w:eastAsia="en-US"/>
          <w14:ligatures w14:val="standardContextual"/>
        </w:rPr>
        <w:footnoteReference w:id="5"/>
      </w:r>
      <w:r w:rsidRPr="00404117">
        <w:rPr>
          <w:rFonts w:ascii="Verdana" w:hAnsi="Verdana" w:eastAsia="Calibri"/>
          <w:kern w:val="2"/>
          <w:sz w:val="18"/>
          <w:szCs w:val="18"/>
          <w:lang w:eastAsia="en-US"/>
          <w14:ligatures w14:val="standardContextual"/>
        </w:rPr>
        <w:t xml:space="preserve"> Met de richtlijn wilde de Europese Commissie bijdragen aan het beter functioneren van secundaire markten voor niet-renderende kredietovereenkomsten hetgeen kan bijdragen aan een beter functionerende Europese bankenunie. De richtlijn maakt geen deel uit van de maatregelen binnen de kapitaalmarktunie maar de doelstellingen van de richtlijn komen er wel mee overeen. Zowel de bankenunie als de kapitaalmarktunie dragen bij aan de financiële stabiliteit en bevorderen in algemene zin versterking van de interne markt. </w:t>
      </w:r>
    </w:p>
    <w:p w:rsidRPr="00404117" w:rsidR="00404117" w:rsidP="008D1814" w:rsidRDefault="00404117" w14:paraId="15BE669C" w14:textId="77777777">
      <w:pPr>
        <w:spacing w:after="160" w:line="276" w:lineRule="auto"/>
        <w:rPr>
          <w:rFonts w:ascii="Verdana" w:hAnsi="Verdana" w:eastAsia="Calibri"/>
          <w:kern w:val="2"/>
          <w:sz w:val="18"/>
          <w:szCs w:val="18"/>
          <w:lang w:eastAsia="en-US"/>
          <w14:ligatures w14:val="standardContextual"/>
        </w:rPr>
      </w:pPr>
      <w:r w:rsidRPr="00404117">
        <w:rPr>
          <w:rFonts w:ascii="Verdana" w:hAnsi="Verdana" w:eastAsia="Calibri"/>
          <w:kern w:val="2"/>
          <w:sz w:val="18"/>
          <w:szCs w:val="18"/>
          <w:lang w:eastAsia="en-US"/>
          <w14:ligatures w14:val="standardContextual"/>
        </w:rPr>
        <w:t xml:space="preserve">Het is niet mogelijk een precieze inschatting te geven van de Europese markt voor niet-renderende kredietovereenkomsten. In de </w:t>
      </w:r>
      <w:r w:rsidRPr="00404117">
        <w:rPr>
          <w:rFonts w:ascii="Verdana" w:hAnsi="Verdana" w:eastAsia="Calibri"/>
          <w:i/>
          <w:iCs/>
          <w:kern w:val="2"/>
          <w:sz w:val="18"/>
          <w:szCs w:val="18"/>
          <w:lang w:eastAsia="en-US"/>
          <w14:ligatures w14:val="standardContextual"/>
        </w:rPr>
        <w:t>Impact Assessment</w:t>
      </w:r>
      <w:r w:rsidRPr="00404117">
        <w:rPr>
          <w:rFonts w:ascii="Verdana" w:hAnsi="Verdana" w:eastAsia="Calibri"/>
          <w:kern w:val="2"/>
          <w:sz w:val="18"/>
          <w:szCs w:val="18"/>
          <w:lang w:eastAsia="en-US"/>
          <w14:ligatures w14:val="standardContextual"/>
        </w:rPr>
        <w:t xml:space="preserve"> bij het voorstel voor deze richtlijn heeft de Europese Commissie opgenomen dat in 2017 het totale volume aan niet-renderende kredietovereenkomsten in de EU 950 miljard euro bedroeg, en dat de NPL-ratio’s in de verschillende lidstaten significant uiteenlopen.</w:t>
      </w:r>
      <w:r w:rsidRPr="00404117">
        <w:rPr>
          <w:rFonts w:ascii="Verdana" w:hAnsi="Verdana" w:eastAsia="Calibri"/>
          <w:kern w:val="2"/>
          <w:sz w:val="18"/>
          <w:szCs w:val="18"/>
          <w:vertAlign w:val="superscript"/>
          <w:lang w:eastAsia="en-US"/>
          <w14:ligatures w14:val="standardContextual"/>
        </w:rPr>
        <w:footnoteReference w:id="6"/>
      </w:r>
      <w:r w:rsidRPr="00404117">
        <w:rPr>
          <w:rFonts w:ascii="Verdana" w:hAnsi="Verdana" w:eastAsia="Calibri"/>
          <w:kern w:val="2"/>
          <w:sz w:val="18"/>
          <w:szCs w:val="18"/>
          <w:lang w:eastAsia="en-US"/>
          <w14:ligatures w14:val="standardContextual"/>
        </w:rPr>
        <w:t xml:space="preserve"> Verder merkt de Europese Commissie in haar </w:t>
      </w:r>
      <w:r w:rsidRPr="00404117">
        <w:rPr>
          <w:rFonts w:ascii="Verdana" w:hAnsi="Verdana" w:eastAsia="Calibri"/>
          <w:i/>
          <w:iCs/>
          <w:kern w:val="2"/>
          <w:sz w:val="18"/>
          <w:szCs w:val="18"/>
          <w:lang w:eastAsia="en-US"/>
          <w14:ligatures w14:val="standardContextual"/>
        </w:rPr>
        <w:t>Impact Assessment</w:t>
      </w:r>
      <w:r w:rsidRPr="00404117">
        <w:rPr>
          <w:rFonts w:ascii="Verdana" w:hAnsi="Verdana" w:eastAsia="Calibri"/>
          <w:kern w:val="2"/>
          <w:sz w:val="18"/>
          <w:szCs w:val="18"/>
          <w:lang w:eastAsia="en-US"/>
          <w14:ligatures w14:val="standardContextual"/>
        </w:rPr>
        <w:t xml:space="preserve"> op dat hoewel er cijfers beschikbaar zijn over het potentiële aanbod aan </w:t>
      </w:r>
      <w:proofErr w:type="spellStart"/>
      <w:r w:rsidRPr="00404117">
        <w:rPr>
          <w:rFonts w:ascii="Verdana" w:hAnsi="Verdana" w:eastAsia="Calibri"/>
          <w:kern w:val="2"/>
          <w:sz w:val="18"/>
          <w:szCs w:val="18"/>
          <w:lang w:eastAsia="en-US"/>
          <w14:ligatures w14:val="standardContextual"/>
        </w:rPr>
        <w:t>NPLs</w:t>
      </w:r>
      <w:proofErr w:type="spellEnd"/>
      <w:r w:rsidRPr="00404117">
        <w:rPr>
          <w:rFonts w:ascii="Verdana" w:hAnsi="Verdana" w:eastAsia="Calibri"/>
          <w:kern w:val="2"/>
          <w:sz w:val="18"/>
          <w:szCs w:val="18"/>
          <w:lang w:eastAsia="en-US"/>
          <w14:ligatures w14:val="standardContextual"/>
        </w:rPr>
        <w:t>, er geen officiële statistieken zijn met betrekking tot de secundaire markten voor dergelijke kredieten.</w:t>
      </w:r>
      <w:r w:rsidRPr="00404117">
        <w:rPr>
          <w:rFonts w:ascii="Calibri" w:hAnsi="Calibri" w:eastAsia="Calibri"/>
          <w:kern w:val="2"/>
          <w:sz w:val="22"/>
          <w:szCs w:val="22"/>
          <w:lang w:eastAsia="en-US"/>
          <w14:ligatures w14:val="standardContextual"/>
        </w:rPr>
        <w:t xml:space="preserve"> </w:t>
      </w:r>
      <w:r w:rsidRPr="00404117">
        <w:rPr>
          <w:rFonts w:ascii="Verdana" w:hAnsi="Verdana" w:eastAsia="Calibri"/>
          <w:kern w:val="2"/>
          <w:sz w:val="18"/>
          <w:szCs w:val="18"/>
          <w:lang w:eastAsia="en-US"/>
          <w14:ligatures w14:val="standardContextual"/>
        </w:rPr>
        <w:t xml:space="preserve">De Europese Commissie noemt dat adviesbureaus tussen 2014-2017 tussen de 100-150 miljard euro per jaar aan transactievolume op de secundaire markt voor leningen registreerden. Er zijn geen exacte data beschikbaar over welk deel daarvan </w:t>
      </w:r>
      <w:proofErr w:type="spellStart"/>
      <w:r w:rsidRPr="00404117">
        <w:rPr>
          <w:rFonts w:ascii="Verdana" w:hAnsi="Verdana" w:eastAsia="Calibri"/>
          <w:kern w:val="2"/>
          <w:sz w:val="18"/>
          <w:szCs w:val="18"/>
          <w:lang w:eastAsia="en-US"/>
          <w14:ligatures w14:val="standardContextual"/>
        </w:rPr>
        <w:t>NPLs</w:t>
      </w:r>
      <w:proofErr w:type="spellEnd"/>
      <w:r w:rsidRPr="00404117">
        <w:rPr>
          <w:rFonts w:ascii="Verdana" w:hAnsi="Verdana" w:eastAsia="Calibri"/>
          <w:kern w:val="2"/>
          <w:sz w:val="18"/>
          <w:szCs w:val="18"/>
          <w:lang w:eastAsia="en-US"/>
          <w14:ligatures w14:val="standardContextual"/>
        </w:rPr>
        <w:t xml:space="preserve"> betreft, maar de Europese Commissie schat dat deel op zo’n 70-80%, hetgeen correspondeert met 70-120 miljard euro.</w:t>
      </w:r>
      <w:r w:rsidRPr="00404117">
        <w:rPr>
          <w:rFonts w:ascii="Verdana" w:hAnsi="Verdana" w:eastAsia="Calibri"/>
          <w:kern w:val="2"/>
          <w:sz w:val="18"/>
          <w:szCs w:val="18"/>
          <w:vertAlign w:val="superscript"/>
          <w:lang w:eastAsia="en-US"/>
          <w14:ligatures w14:val="standardContextual"/>
        </w:rPr>
        <w:footnoteReference w:id="7"/>
      </w:r>
      <w:r w:rsidRPr="00404117">
        <w:rPr>
          <w:rFonts w:ascii="Verdana" w:hAnsi="Verdana" w:eastAsia="Calibri"/>
          <w:kern w:val="2"/>
          <w:sz w:val="18"/>
          <w:szCs w:val="18"/>
          <w:lang w:eastAsia="en-US"/>
          <w14:ligatures w14:val="standardContextual"/>
        </w:rPr>
        <w:t xml:space="preserve"> </w:t>
      </w:r>
    </w:p>
    <w:p w:rsidRPr="00404117" w:rsidR="00404117" w:rsidP="008D1814" w:rsidRDefault="00404117" w14:paraId="447331BC" w14:textId="77777777">
      <w:pPr>
        <w:spacing w:after="160" w:line="276" w:lineRule="auto"/>
        <w:rPr>
          <w:rFonts w:ascii="Verdana" w:hAnsi="Verdana" w:eastAsia="Calibri"/>
          <w:kern w:val="2"/>
          <w:sz w:val="18"/>
          <w:szCs w:val="18"/>
          <w:lang w:eastAsia="en-US"/>
          <w14:ligatures w14:val="standardContextual"/>
        </w:rPr>
      </w:pPr>
      <w:r w:rsidRPr="00404117">
        <w:rPr>
          <w:rFonts w:ascii="Verdana" w:hAnsi="Verdana" w:eastAsia="Calibri"/>
          <w:kern w:val="2"/>
          <w:sz w:val="18"/>
          <w:szCs w:val="18"/>
          <w:lang w:eastAsia="en-US"/>
          <w14:ligatures w14:val="standardContextual"/>
        </w:rPr>
        <w:t>Sinds de piek in 2014 zijn de NPL-niveaus in Europa sterk afgenomen, van 6,5% in 2014 tot 1,9% (360,4 miljard euro) eind 2024.</w:t>
      </w:r>
      <w:r w:rsidRPr="00404117">
        <w:rPr>
          <w:rFonts w:ascii="Verdana" w:hAnsi="Verdana" w:eastAsia="Calibri"/>
          <w:kern w:val="2"/>
          <w:sz w:val="18"/>
          <w:szCs w:val="18"/>
          <w:vertAlign w:val="superscript"/>
          <w:lang w:eastAsia="en-US"/>
          <w14:ligatures w14:val="standardContextual"/>
        </w:rPr>
        <w:footnoteReference w:id="8"/>
      </w:r>
      <w:r w:rsidRPr="00404117">
        <w:rPr>
          <w:rFonts w:ascii="Verdana" w:hAnsi="Verdana" w:eastAsia="Calibri"/>
          <w:kern w:val="2"/>
          <w:sz w:val="18"/>
          <w:szCs w:val="18"/>
          <w:vertAlign w:val="superscript"/>
          <w:lang w:eastAsia="en-US"/>
          <w14:ligatures w14:val="standardContextual"/>
        </w:rPr>
        <w:footnoteReference w:id="9"/>
      </w:r>
      <w:r w:rsidRPr="00404117">
        <w:rPr>
          <w:rFonts w:ascii="Verdana" w:hAnsi="Verdana" w:eastAsia="Calibri"/>
          <w:kern w:val="2"/>
          <w:sz w:val="18"/>
          <w:szCs w:val="18"/>
          <w:lang w:eastAsia="en-US"/>
          <w14:ligatures w14:val="standardContextual"/>
        </w:rPr>
        <w:t xml:space="preserve"> </w:t>
      </w:r>
    </w:p>
    <w:p w:rsidRPr="00404117" w:rsidR="00404117" w:rsidP="008D1814" w:rsidRDefault="00404117" w14:paraId="1247CE15" w14:textId="77777777">
      <w:pPr>
        <w:spacing w:after="160" w:line="276" w:lineRule="auto"/>
        <w:rPr>
          <w:rFonts w:ascii="Verdana" w:hAnsi="Verdana" w:eastAsia="Calibri"/>
          <w:i/>
          <w:iCs/>
          <w:kern w:val="2"/>
          <w:sz w:val="18"/>
          <w:szCs w:val="18"/>
          <w:lang w:eastAsia="en-US"/>
          <w14:ligatures w14:val="standardContextual"/>
        </w:rPr>
      </w:pPr>
      <w:r w:rsidRPr="00404117">
        <w:rPr>
          <w:rFonts w:ascii="Verdana" w:hAnsi="Verdana" w:eastAsia="Calibri"/>
          <w:i/>
          <w:iCs/>
          <w:kern w:val="2"/>
          <w:sz w:val="18"/>
          <w:szCs w:val="18"/>
          <w:lang w:eastAsia="en-US"/>
          <w14:ligatures w14:val="standardContextual"/>
        </w:rPr>
        <w:t>Daarnaast vragen deze leden of het klopt dat er in landen als Griekenland en Italië sprake is van niet-renderende kredieten, maar dat dit in landen als Nederland en Duitsland veel minder het geval is? Klopt het dat de niet-afgeronde risicoreductie een belangrijke reden is van het niet invoeren van het Europese depositogarantiestelsel EDIS?</w:t>
      </w:r>
    </w:p>
    <w:p w:rsidRPr="00404117" w:rsidR="00404117" w:rsidP="008D1814" w:rsidRDefault="00404117" w14:paraId="67B9B014" w14:textId="77777777">
      <w:pPr>
        <w:spacing w:after="160" w:line="276" w:lineRule="auto"/>
        <w:rPr>
          <w:rFonts w:ascii="Verdana" w:hAnsi="Verdana" w:eastAsia="Calibri"/>
          <w:i/>
          <w:iCs/>
          <w:kern w:val="2"/>
          <w:sz w:val="18"/>
          <w:szCs w:val="18"/>
          <w:lang w:eastAsia="en-US"/>
          <w14:ligatures w14:val="standardContextual"/>
        </w:rPr>
      </w:pPr>
      <w:r w:rsidRPr="00404117">
        <w:rPr>
          <w:rFonts w:ascii="Verdana" w:hAnsi="Verdana" w:eastAsia="Calibri"/>
          <w:kern w:val="2"/>
          <w:sz w:val="18"/>
          <w:szCs w:val="18"/>
          <w:lang w:eastAsia="en-US"/>
          <w14:ligatures w14:val="standardContextual"/>
        </w:rPr>
        <w:t>Het klopt dat de NPL-ratio’s in landen als Griekenland en Italië met een bruto NPL-ratio van respectievelijk 3,4% en 2,8% hoger ligt dan in Nederland en Duitsland, waar deze respectievelijk op 1,4% en 1,5% ligt.</w:t>
      </w:r>
      <w:r w:rsidRPr="00404117">
        <w:rPr>
          <w:rFonts w:ascii="Verdana" w:hAnsi="Verdana" w:eastAsia="Calibri"/>
          <w:kern w:val="2"/>
          <w:sz w:val="18"/>
          <w:szCs w:val="18"/>
          <w:vertAlign w:val="superscript"/>
          <w:lang w:eastAsia="en-US"/>
          <w14:ligatures w14:val="standardContextual"/>
        </w:rPr>
        <w:footnoteReference w:id="10"/>
      </w:r>
      <w:r w:rsidRPr="00404117">
        <w:rPr>
          <w:rFonts w:ascii="Verdana" w:hAnsi="Verdana" w:eastAsia="Calibri"/>
          <w:kern w:val="2"/>
          <w:sz w:val="18"/>
          <w:szCs w:val="18"/>
          <w:lang w:eastAsia="en-US"/>
          <w14:ligatures w14:val="standardContextual"/>
        </w:rPr>
        <w:t xml:space="preserve"> De landen met hogere NPL-ratio’s zoals Griekenland en Italië hebben de afgelopen tien jaar overigens wel indrukwekkende en consistente dalingen van hun NPL-ratio’s bewerkstelligd. En de laatste cijfers laten zien dat deze ratio’s in deze landen nog steeds dalen, terwijl dat in landen als Nederland en Duitsland niet het geval is. Daarmee lijken de NPL-ratio’s te convergeren in de eurozone. </w:t>
      </w:r>
    </w:p>
    <w:p w:rsidRPr="00404117" w:rsidR="00244A77" w:rsidP="008D1814" w:rsidRDefault="00404117" w14:paraId="2AF1F13B" w14:textId="51EFD76E">
      <w:pPr>
        <w:spacing w:after="160" w:line="276" w:lineRule="auto"/>
        <w:rPr>
          <w:rFonts w:ascii="Verdana" w:hAnsi="Verdana" w:eastAsia="Calibri"/>
          <w:kern w:val="2"/>
          <w:sz w:val="18"/>
          <w:szCs w:val="18"/>
          <w:lang w:eastAsia="en-US"/>
          <w14:ligatures w14:val="standardContextual"/>
        </w:rPr>
      </w:pPr>
      <w:r w:rsidRPr="00404117">
        <w:rPr>
          <w:rFonts w:ascii="Verdana" w:hAnsi="Verdana" w:eastAsia="Calibri"/>
          <w:kern w:val="2"/>
          <w:sz w:val="18"/>
          <w:szCs w:val="18"/>
          <w:lang w:eastAsia="en-US"/>
          <w14:ligatures w14:val="standardContextual"/>
        </w:rPr>
        <w:t xml:space="preserve">Het verminderen van de risico’s van </w:t>
      </w:r>
      <w:proofErr w:type="spellStart"/>
      <w:r w:rsidRPr="00404117">
        <w:rPr>
          <w:rFonts w:ascii="Verdana" w:hAnsi="Verdana" w:eastAsia="Calibri"/>
          <w:kern w:val="2"/>
          <w:sz w:val="18"/>
          <w:szCs w:val="18"/>
          <w:lang w:eastAsia="en-US"/>
          <w14:ligatures w14:val="standardContextual"/>
        </w:rPr>
        <w:t>NPL’s</w:t>
      </w:r>
      <w:proofErr w:type="spellEnd"/>
      <w:r w:rsidRPr="00404117">
        <w:rPr>
          <w:rFonts w:ascii="Verdana" w:hAnsi="Verdana" w:eastAsia="Calibri"/>
          <w:kern w:val="2"/>
          <w:sz w:val="18"/>
          <w:szCs w:val="18"/>
          <w:lang w:eastAsia="en-US"/>
          <w14:ligatures w14:val="standardContextual"/>
        </w:rPr>
        <w:t xml:space="preserve"> kan in Europa als groot succes worden gezien. Daarmee is dit ook niet de reden dat er nog geen Europees depositogarantiestelsel (EDIS) is. Dat komt doordat het lidstaten niet gelukt is om overeenstemming te bereiken om stappen te zetten op alle nog onvoltooide elementen van de bankenunie. Deze elementen zijn: 1) EDIS, 2) de aanpak van de risico’s van staatsobligaties op bankbalansen (RTSE), 3) het vergemakkelijken van het aanbieden van diensten in andere lidstaten, en 4) de modernisering van het crisisraamwerk (CMDI). Op de eerste drie elementen is het niet gelukt om tot een compromis te komen doordat de voorwaarden die lidstaten stellen niet met elkaar te verenigen bleken. Zo heeft Nederland altijd als harde voorwaarde voor invoering van een EDIS gehanteerd dat er een forse stap op RTSE moet worden gezet, en dit voor andere lidstaten onhaalbaar bleek. Door lidstaten is daarom gekozen om eerst op CMDI te focussen.</w:t>
      </w:r>
      <w:r w:rsidRPr="00404117">
        <w:rPr>
          <w:rFonts w:ascii="Verdana" w:hAnsi="Verdana" w:eastAsia="Calibri"/>
          <w:kern w:val="2"/>
          <w:sz w:val="18"/>
          <w:szCs w:val="18"/>
          <w:vertAlign w:val="superscript"/>
          <w:lang w:eastAsia="en-US"/>
          <w14:ligatures w14:val="standardContextual"/>
        </w:rPr>
        <w:footnoteReference w:id="11"/>
      </w:r>
      <w:r w:rsidRPr="00404117">
        <w:rPr>
          <w:rFonts w:ascii="Verdana" w:hAnsi="Verdana" w:eastAsia="Calibri"/>
          <w:kern w:val="2"/>
          <w:sz w:val="18"/>
          <w:szCs w:val="18"/>
          <w:lang w:eastAsia="en-US"/>
          <w14:ligatures w14:val="standardContextual"/>
        </w:rPr>
        <w:t xml:space="preserve"> Daarvoor is in april 2023 een voorstel gedaan door de Europese Commissie.</w:t>
      </w:r>
      <w:r w:rsidRPr="00404117">
        <w:rPr>
          <w:rFonts w:ascii="Verdana" w:hAnsi="Verdana" w:eastAsia="Calibri"/>
          <w:kern w:val="2"/>
          <w:sz w:val="18"/>
          <w:szCs w:val="18"/>
          <w:vertAlign w:val="superscript"/>
          <w:lang w:eastAsia="en-US"/>
          <w14:ligatures w14:val="standardContextual"/>
        </w:rPr>
        <w:footnoteReference w:id="12"/>
      </w:r>
      <w:r w:rsidRPr="00404117">
        <w:rPr>
          <w:rFonts w:ascii="Verdana" w:hAnsi="Verdana" w:eastAsia="Calibri"/>
          <w:kern w:val="2"/>
          <w:sz w:val="18"/>
          <w:szCs w:val="18"/>
          <w:lang w:eastAsia="en-US"/>
          <w14:ligatures w14:val="standardContextual"/>
        </w:rPr>
        <w:t xml:space="preserve"> Nadat een Raads- en EP-akkoord zijn bereikt bevindt dit voorstel zich nu in de </w:t>
      </w:r>
      <w:proofErr w:type="spellStart"/>
      <w:r w:rsidRPr="00404117">
        <w:rPr>
          <w:rFonts w:ascii="Verdana" w:hAnsi="Verdana" w:eastAsia="Calibri"/>
          <w:kern w:val="2"/>
          <w:sz w:val="18"/>
          <w:szCs w:val="18"/>
          <w:lang w:eastAsia="en-US"/>
          <w14:ligatures w14:val="standardContextual"/>
        </w:rPr>
        <w:t>triloogfase</w:t>
      </w:r>
      <w:proofErr w:type="spellEnd"/>
      <w:r w:rsidRPr="00404117">
        <w:rPr>
          <w:rFonts w:ascii="Verdana" w:hAnsi="Verdana" w:eastAsia="Calibri"/>
          <w:kern w:val="2"/>
          <w:sz w:val="18"/>
          <w:szCs w:val="18"/>
          <w:lang w:eastAsia="en-US"/>
          <w14:ligatures w14:val="standardContextual"/>
        </w:rPr>
        <w:t>.</w:t>
      </w:r>
    </w:p>
    <w:p w:rsidR="00244A77" w:rsidP="008D1814" w:rsidRDefault="00404117" w14:paraId="3B93AA2C" w14:textId="77777777">
      <w:pPr>
        <w:spacing w:after="160" w:line="276" w:lineRule="auto"/>
        <w:rPr>
          <w:rFonts w:ascii="Verdana" w:hAnsi="Verdana" w:eastAsia="Calibri"/>
          <w:i/>
          <w:iCs/>
          <w:kern w:val="2"/>
          <w:sz w:val="18"/>
          <w:szCs w:val="22"/>
          <w:lang w:eastAsia="en-US"/>
          <w14:ligatures w14:val="standardContextual"/>
        </w:rPr>
      </w:pPr>
      <w:r w:rsidRPr="00404117">
        <w:rPr>
          <w:rFonts w:ascii="Verdana" w:hAnsi="Verdana" w:eastAsia="Calibri"/>
          <w:i/>
          <w:iCs/>
          <w:kern w:val="2"/>
          <w:sz w:val="18"/>
          <w:szCs w:val="18"/>
          <w:lang w:eastAsia="en-US"/>
          <w14:ligatures w14:val="standardContextual"/>
        </w:rPr>
        <w:t>De leden van de NSC-fractie vragen ook of het klopt dat de financiële crisis van 2008–2009 deels veroorzaakt is door gestructureerde hypothecaire kredieten, waarvan het kredietrisico uit beeld is geraakt? Betrof het in dit geval dan ook kredietkopers en kredietverkopers? In hoeverre zou deze richtlijn de financiële crisis voorkomen kunnen hebben?</w:t>
      </w:r>
      <w:r w:rsidRPr="00244A77" w:rsidR="00244A77">
        <w:rPr>
          <w:rFonts w:ascii="Verdana" w:hAnsi="Verdana" w:eastAsia="Calibri"/>
          <w:i/>
          <w:iCs/>
          <w:kern w:val="2"/>
          <w:sz w:val="18"/>
          <w:szCs w:val="22"/>
          <w:lang w:eastAsia="en-US"/>
          <w14:ligatures w14:val="standardContextual"/>
        </w:rPr>
        <w:t xml:space="preserve"> </w:t>
      </w:r>
    </w:p>
    <w:p w:rsidRPr="00404117" w:rsidR="00404117" w:rsidP="008D1814" w:rsidRDefault="00244A77" w14:paraId="229E58A7" w14:textId="2AC235D8">
      <w:pPr>
        <w:spacing w:after="160" w:line="276" w:lineRule="auto"/>
        <w:rPr>
          <w:rFonts w:ascii="Verdana" w:hAnsi="Verdana" w:eastAsia="Calibri"/>
          <w:i/>
          <w:iCs/>
          <w:kern w:val="2"/>
          <w:sz w:val="18"/>
          <w:szCs w:val="22"/>
          <w:lang w:eastAsia="en-US"/>
          <w14:ligatures w14:val="standardContextual"/>
        </w:rPr>
      </w:pPr>
      <w:r w:rsidRPr="00404117">
        <w:rPr>
          <w:rFonts w:ascii="Verdana" w:hAnsi="Verdana" w:eastAsia="Calibri"/>
          <w:i/>
          <w:iCs/>
          <w:kern w:val="2"/>
          <w:sz w:val="18"/>
          <w:szCs w:val="22"/>
          <w:lang w:eastAsia="en-US"/>
          <w14:ligatures w14:val="standardContextual"/>
        </w:rPr>
        <w:t>Waarom is er geen regulering voorzien voor kredietverkopers? Immers, zij kunnen ook de stabiliteit van het financiële stelsel ondermijnen, zoals tijdens de financiële crisis is gebleken.</w:t>
      </w:r>
    </w:p>
    <w:p w:rsidRPr="00404117" w:rsidR="00404117" w:rsidP="008D1814" w:rsidRDefault="00404117" w14:paraId="2FBBD1C4" w14:textId="77777777">
      <w:pPr>
        <w:spacing w:after="160" w:line="276" w:lineRule="auto"/>
        <w:rPr>
          <w:rFonts w:ascii="Verdana" w:hAnsi="Verdana" w:eastAsia="Calibri"/>
          <w:kern w:val="2"/>
          <w:sz w:val="18"/>
          <w:szCs w:val="18"/>
          <w:lang w:eastAsia="en-US"/>
          <w14:ligatures w14:val="standardContextual"/>
        </w:rPr>
      </w:pPr>
      <w:r w:rsidRPr="00404117">
        <w:rPr>
          <w:rFonts w:ascii="Verdana" w:hAnsi="Verdana" w:eastAsia="Calibri"/>
          <w:kern w:val="2"/>
          <w:sz w:val="18"/>
          <w:szCs w:val="18"/>
          <w:lang w:eastAsia="en-US"/>
          <w14:ligatures w14:val="standardContextual"/>
        </w:rPr>
        <w:t xml:space="preserve">De financiële crisis van 2007/08 werd veroorzaakt door een combinatie van factoren, waaronder ook het gebruik van de gestructureerde hypothecaire kredieten, vooral van Amerikaanse huishoudens. Door het </w:t>
      </w:r>
      <w:proofErr w:type="spellStart"/>
      <w:r w:rsidRPr="00404117">
        <w:rPr>
          <w:rFonts w:ascii="Verdana" w:hAnsi="Verdana" w:eastAsia="Calibri"/>
          <w:kern w:val="2"/>
          <w:sz w:val="18"/>
          <w:szCs w:val="18"/>
          <w:lang w:eastAsia="en-US"/>
          <w14:ligatures w14:val="standardContextual"/>
        </w:rPr>
        <w:t>herverpakken</w:t>
      </w:r>
      <w:proofErr w:type="spellEnd"/>
      <w:r w:rsidRPr="00404117">
        <w:rPr>
          <w:rFonts w:ascii="Verdana" w:hAnsi="Verdana" w:eastAsia="Calibri"/>
          <w:kern w:val="2"/>
          <w:sz w:val="18"/>
          <w:szCs w:val="18"/>
          <w:lang w:eastAsia="en-US"/>
          <w14:ligatures w14:val="standardContextual"/>
        </w:rPr>
        <w:t xml:space="preserve"> van hypothecaire kredieten via dit soort producten werd het inschatten van het onderliggende kredietrisico steeds complexer en minder transparant, waardoor kredietrisico’s werden onderschat en/of uit beeld konden raken. Het gevolg van de crisis was onder meer een groei van niet-presterende leningen op de balans van banken in de EU.</w:t>
      </w:r>
    </w:p>
    <w:p w:rsidRPr="00404117" w:rsidR="00404117" w:rsidP="008D1814" w:rsidRDefault="00404117" w14:paraId="536B1089" w14:textId="7416C7A8">
      <w:pPr>
        <w:spacing w:after="160" w:line="276" w:lineRule="auto"/>
        <w:rPr>
          <w:rFonts w:ascii="Verdana" w:hAnsi="Verdana" w:eastAsia="Calibri"/>
          <w:kern w:val="2"/>
          <w:sz w:val="18"/>
          <w:szCs w:val="18"/>
          <w:lang w:eastAsia="en-US"/>
          <w14:ligatures w14:val="standardContextual"/>
        </w:rPr>
      </w:pPr>
      <w:r w:rsidRPr="00404117">
        <w:rPr>
          <w:rFonts w:ascii="Verdana" w:hAnsi="Verdana" w:eastAsia="Calibri"/>
          <w:kern w:val="2"/>
          <w:sz w:val="18"/>
          <w:szCs w:val="18"/>
          <w:lang w:eastAsia="en-US"/>
          <w14:ligatures w14:val="standardContextual"/>
        </w:rPr>
        <w:t xml:space="preserve">Hoewel marktpartijen die gestructureerde kredieten in de markt zetten of die daarin beleggen kunnen worden gezien als kredietverkopers respectievelijk kredietkopers, is het belangrijk om te benoemen dat het doel van de richtlijn niet primair is om gestructureerde kredieten te reguleren. De richtlijn beoogt vooral barrières voor kredietverkopers en kredietkopers weg te nemen om de ontwikkeling van secundaire markten voor niet-renderende kredietovereenkomsten te bevorderen, om zo het aantal niet-renderende kredietovereenkomsten </w:t>
      </w:r>
      <w:r w:rsidR="00580F46">
        <w:rPr>
          <w:rFonts w:ascii="Verdana" w:hAnsi="Verdana" w:eastAsia="Calibri"/>
          <w:kern w:val="2"/>
          <w:sz w:val="18"/>
          <w:szCs w:val="18"/>
          <w:lang w:eastAsia="en-US"/>
          <w14:ligatures w14:val="standardContextual"/>
        </w:rPr>
        <w:t xml:space="preserve">op bankbalansen </w:t>
      </w:r>
      <w:r w:rsidRPr="00404117">
        <w:rPr>
          <w:rFonts w:ascii="Verdana" w:hAnsi="Verdana" w:eastAsia="Calibri"/>
          <w:kern w:val="2"/>
          <w:sz w:val="18"/>
          <w:szCs w:val="18"/>
          <w:lang w:eastAsia="en-US"/>
          <w14:ligatures w14:val="standardContextual"/>
        </w:rPr>
        <w:t xml:space="preserve">te verminderen. </w:t>
      </w:r>
    </w:p>
    <w:p w:rsidRPr="00404117" w:rsidR="00404117" w:rsidP="008D1814" w:rsidRDefault="00404117" w14:paraId="684FD3E3" w14:textId="2D081960">
      <w:pPr>
        <w:spacing w:after="160" w:line="276" w:lineRule="auto"/>
        <w:rPr>
          <w:rFonts w:ascii="Verdana" w:hAnsi="Verdana" w:eastAsia="Calibri"/>
          <w:kern w:val="2"/>
          <w:sz w:val="18"/>
          <w:szCs w:val="18"/>
          <w:lang w:eastAsia="en-US"/>
          <w14:ligatures w14:val="standardContextual"/>
        </w:rPr>
      </w:pPr>
      <w:r w:rsidRPr="00404117">
        <w:rPr>
          <w:rFonts w:ascii="Verdana" w:hAnsi="Verdana" w:eastAsia="Calibri"/>
          <w:kern w:val="2"/>
          <w:sz w:val="18"/>
          <w:szCs w:val="18"/>
          <w:lang w:eastAsia="en-US"/>
          <w14:ligatures w14:val="standardContextual"/>
        </w:rPr>
        <w:t>Het is moeilijk het precieze effect vast te stellen dat deze richtlijn had kunnen hebben op het voorkomen of verminderen van de impact van de financiële crisis, omdat er ten tijde van de crisis verschillende macro-economische en financiële factoren samenkwamen die deels buiten de (geografische) scope van de richtlijn liggen. Bovendien is de richtlijn onderdeel van een veel groter pakket aan post-crisis hervormingen die gezamenlijk het systeem veel veiliger hebben gemaakt.</w:t>
      </w:r>
    </w:p>
    <w:p w:rsidRPr="00404117" w:rsidR="00404117" w:rsidP="008D1814" w:rsidRDefault="00244A77" w14:paraId="37AB57C7" w14:textId="3D9F8D9A">
      <w:pPr>
        <w:spacing w:after="160" w:line="276" w:lineRule="auto"/>
        <w:rPr>
          <w:rFonts w:ascii="Verdana" w:hAnsi="Verdana" w:eastAsia="Calibri"/>
          <w:b/>
          <w:bCs/>
          <w:kern w:val="2"/>
          <w:sz w:val="18"/>
          <w:szCs w:val="22"/>
          <w:lang w:eastAsia="en-US"/>
          <w14:ligatures w14:val="standardContextual"/>
        </w:rPr>
      </w:pPr>
      <w:r>
        <w:rPr>
          <w:rFonts w:ascii="Verdana" w:hAnsi="Verdana" w:eastAsia="Calibri"/>
          <w:kern w:val="2"/>
          <w:sz w:val="18"/>
          <w:szCs w:val="22"/>
          <w:lang w:eastAsia="en-US"/>
          <w14:ligatures w14:val="standardContextual"/>
        </w:rPr>
        <w:t>Voorts wordt in antwoord op de laatste vraag van de NSC-fractie opgemerkt dat d</w:t>
      </w:r>
      <w:r w:rsidRPr="00404117" w:rsidR="00404117">
        <w:rPr>
          <w:rFonts w:ascii="Verdana" w:hAnsi="Verdana" w:eastAsia="Calibri"/>
          <w:kern w:val="2"/>
          <w:sz w:val="18"/>
          <w:szCs w:val="22"/>
          <w:lang w:eastAsia="en-US"/>
          <w14:ligatures w14:val="standardContextual"/>
        </w:rPr>
        <w:t xml:space="preserve">e richtlijn geen voorschriften </w:t>
      </w:r>
      <w:r>
        <w:rPr>
          <w:rFonts w:ascii="Verdana" w:hAnsi="Verdana" w:eastAsia="Calibri"/>
          <w:kern w:val="2"/>
          <w:sz w:val="18"/>
          <w:szCs w:val="22"/>
          <w:lang w:eastAsia="en-US"/>
          <w14:ligatures w14:val="standardContextual"/>
        </w:rPr>
        <w:t xml:space="preserve">bevat </w:t>
      </w:r>
      <w:r w:rsidRPr="00404117" w:rsidR="00404117">
        <w:rPr>
          <w:rFonts w:ascii="Verdana" w:hAnsi="Verdana" w:eastAsia="Calibri"/>
          <w:kern w:val="2"/>
          <w:sz w:val="18"/>
          <w:szCs w:val="22"/>
          <w:lang w:eastAsia="en-US"/>
          <w14:ligatures w14:val="standardContextual"/>
        </w:rPr>
        <w:t xml:space="preserve">voor kredietverkopers en in het bijzonder voor Europese banken die hun portefeuille aan niet-renderende kredietovereenkomsten in de zin van de richtlijn geheel of gedeeltelijk aan derden verkopen, omdat de Europese Unie reeds beschikt over een adequaat </w:t>
      </w:r>
      <w:proofErr w:type="spellStart"/>
      <w:r w:rsidRPr="00404117" w:rsidR="00404117">
        <w:rPr>
          <w:rFonts w:ascii="Verdana" w:hAnsi="Verdana" w:eastAsia="Calibri"/>
          <w:kern w:val="2"/>
          <w:sz w:val="18"/>
          <w:szCs w:val="22"/>
          <w:lang w:eastAsia="en-US"/>
          <w14:ligatures w14:val="standardContextual"/>
        </w:rPr>
        <w:t>macroprudentieel</w:t>
      </w:r>
      <w:proofErr w:type="spellEnd"/>
      <w:r w:rsidRPr="00404117" w:rsidR="00404117">
        <w:rPr>
          <w:rFonts w:ascii="Verdana" w:hAnsi="Verdana" w:eastAsia="Calibri"/>
          <w:kern w:val="2"/>
          <w:sz w:val="18"/>
          <w:szCs w:val="22"/>
          <w:lang w:eastAsia="en-US"/>
          <w14:ligatures w14:val="standardContextual"/>
        </w:rPr>
        <w:t xml:space="preserve"> raamwerk voor Europese banken.</w:t>
      </w:r>
      <w:r w:rsidRPr="00404117" w:rsidR="00404117">
        <w:rPr>
          <w:rFonts w:ascii="Verdana" w:hAnsi="Verdana" w:eastAsia="Calibri"/>
          <w:kern w:val="2"/>
          <w:sz w:val="18"/>
          <w:szCs w:val="22"/>
          <w:vertAlign w:val="superscript"/>
          <w:lang w:eastAsia="en-US"/>
          <w14:ligatures w14:val="standardContextual"/>
        </w:rPr>
        <w:footnoteReference w:id="13"/>
      </w:r>
      <w:r w:rsidRPr="00404117" w:rsidR="00404117">
        <w:rPr>
          <w:rFonts w:ascii="Verdana" w:hAnsi="Verdana" w:eastAsia="Calibri"/>
          <w:kern w:val="2"/>
          <w:sz w:val="18"/>
          <w:szCs w:val="22"/>
          <w:lang w:eastAsia="en-US"/>
          <w14:ligatures w14:val="standardContextual"/>
        </w:rPr>
        <w:t xml:space="preserve"> </w:t>
      </w:r>
    </w:p>
    <w:p w:rsidRPr="00404117" w:rsidR="00404117" w:rsidP="008D1814" w:rsidRDefault="00404117" w14:paraId="6BA642FD" w14:textId="2560C3EE">
      <w:pPr>
        <w:spacing w:after="160" w:line="276" w:lineRule="auto"/>
        <w:rPr>
          <w:rFonts w:ascii="Verdana" w:hAnsi="Verdana" w:eastAsia="Calibri"/>
          <w:kern w:val="2"/>
          <w:sz w:val="18"/>
          <w:szCs w:val="22"/>
          <w:lang w:eastAsia="en-US"/>
          <w14:ligatures w14:val="standardContextual"/>
        </w:rPr>
      </w:pPr>
      <w:r w:rsidRPr="00404117">
        <w:rPr>
          <w:rFonts w:ascii="Verdana" w:hAnsi="Verdana" w:eastAsia="Calibri"/>
          <w:kern w:val="2"/>
          <w:sz w:val="18"/>
          <w:szCs w:val="22"/>
          <w:lang w:eastAsia="en-US"/>
          <w14:ligatures w14:val="standardContextual"/>
        </w:rPr>
        <w:t xml:space="preserve">In verband hiermee bevat de richtlijn vooral maatregelen die zijn gericht op (i) personen die beleggen in door Europese banken overgedragen niet-renderende kredietovereenkomsten (de kredietkopers) en (ii) personen die ten behoeve van deze beleggers (bepaalde) </w:t>
      </w:r>
      <w:proofErr w:type="spellStart"/>
      <w:r w:rsidRPr="00404117">
        <w:rPr>
          <w:rFonts w:ascii="Verdana" w:hAnsi="Verdana" w:eastAsia="Calibri"/>
          <w:kern w:val="2"/>
          <w:sz w:val="18"/>
          <w:szCs w:val="22"/>
          <w:lang w:eastAsia="en-US"/>
          <w14:ligatures w14:val="standardContextual"/>
        </w:rPr>
        <w:t>kredietservicingactiviteiten</w:t>
      </w:r>
      <w:proofErr w:type="spellEnd"/>
      <w:r w:rsidRPr="00404117">
        <w:rPr>
          <w:rFonts w:ascii="Verdana" w:hAnsi="Verdana" w:eastAsia="Calibri"/>
          <w:kern w:val="2"/>
          <w:sz w:val="18"/>
          <w:szCs w:val="22"/>
          <w:lang w:eastAsia="en-US"/>
          <w14:ligatures w14:val="standardContextual"/>
        </w:rPr>
        <w:t xml:space="preserve"> verrichten (de </w:t>
      </w:r>
      <w:proofErr w:type="spellStart"/>
      <w:r w:rsidRPr="00404117">
        <w:rPr>
          <w:rFonts w:ascii="Verdana" w:hAnsi="Verdana" w:eastAsia="Calibri"/>
          <w:kern w:val="2"/>
          <w:sz w:val="18"/>
          <w:szCs w:val="22"/>
          <w:lang w:eastAsia="en-US"/>
          <w14:ligatures w14:val="standardContextual"/>
        </w:rPr>
        <w:t>kredietservicers</w:t>
      </w:r>
      <w:proofErr w:type="spellEnd"/>
      <w:r w:rsidRPr="00404117">
        <w:rPr>
          <w:rFonts w:ascii="Verdana" w:hAnsi="Verdana" w:eastAsia="Calibri"/>
          <w:kern w:val="2"/>
          <w:sz w:val="18"/>
          <w:szCs w:val="22"/>
          <w:lang w:eastAsia="en-US"/>
          <w14:ligatures w14:val="standardContextual"/>
        </w:rPr>
        <w:t xml:space="preserve"> en </w:t>
      </w:r>
      <w:proofErr w:type="spellStart"/>
      <w:r w:rsidRPr="00404117">
        <w:rPr>
          <w:rFonts w:ascii="Verdana" w:hAnsi="Verdana" w:eastAsia="Calibri"/>
          <w:kern w:val="2"/>
          <w:sz w:val="18"/>
          <w:szCs w:val="22"/>
          <w:lang w:eastAsia="en-US"/>
          <w14:ligatures w14:val="standardContextual"/>
        </w:rPr>
        <w:t>kredietservicingaanbieders</w:t>
      </w:r>
      <w:proofErr w:type="spellEnd"/>
      <w:r w:rsidRPr="00404117">
        <w:rPr>
          <w:rFonts w:ascii="Verdana" w:hAnsi="Verdana" w:eastAsia="Calibri"/>
          <w:kern w:val="2"/>
          <w:sz w:val="18"/>
          <w:szCs w:val="22"/>
          <w:lang w:eastAsia="en-US"/>
          <w14:ligatures w14:val="standardContextual"/>
        </w:rPr>
        <w:t xml:space="preserve">). </w:t>
      </w:r>
    </w:p>
    <w:p w:rsidRPr="00404117" w:rsidR="00404117" w:rsidP="008D1814" w:rsidRDefault="00404117" w14:paraId="6464D460" w14:textId="77777777">
      <w:pPr>
        <w:spacing w:after="160" w:line="276" w:lineRule="auto"/>
        <w:rPr>
          <w:rFonts w:ascii="Verdana" w:hAnsi="Verdana" w:eastAsia="Calibri"/>
          <w:i/>
          <w:iCs/>
          <w:kern w:val="2"/>
          <w:sz w:val="18"/>
          <w:szCs w:val="18"/>
          <w:lang w:eastAsia="en-US"/>
          <w14:ligatures w14:val="standardContextual"/>
        </w:rPr>
      </w:pPr>
      <w:r w:rsidRPr="00404117">
        <w:rPr>
          <w:rFonts w:ascii="Verdana" w:hAnsi="Verdana" w:eastAsia="Calibri"/>
          <w:i/>
          <w:iCs/>
          <w:kern w:val="2"/>
          <w:sz w:val="18"/>
          <w:szCs w:val="18"/>
          <w:lang w:eastAsia="en-US"/>
          <w14:ligatures w14:val="standardContextual"/>
        </w:rPr>
        <w:t>Ten slotte vragen de leden van de NSC-fractie in hoeverre deze markt overeenkomt met de bestaande markt voor incassobureaus en andere bedrijven, die niet-betaalde facturen overnemen met een bepaalde korting ten opzichte van het oorspronkelijke factuurbedrag? In hoeverre bestaan er verschillen met de incassomarkt?</w:t>
      </w:r>
    </w:p>
    <w:p w:rsidRPr="00404117" w:rsidR="00404117" w:rsidP="008D1814" w:rsidRDefault="00404117" w14:paraId="72581379" w14:textId="0C493983">
      <w:pPr>
        <w:spacing w:after="160" w:line="276" w:lineRule="auto"/>
        <w:rPr>
          <w:rFonts w:ascii="Verdana" w:hAnsi="Verdana" w:eastAsia="Calibri"/>
          <w:kern w:val="2"/>
          <w:sz w:val="18"/>
          <w:szCs w:val="18"/>
          <w:lang w:eastAsia="en-US"/>
          <w14:ligatures w14:val="standardContextual"/>
        </w:rPr>
      </w:pPr>
      <w:r w:rsidRPr="00404117">
        <w:rPr>
          <w:rFonts w:ascii="Verdana" w:hAnsi="Verdana" w:eastAsia="Calibri"/>
          <w:kern w:val="2"/>
          <w:sz w:val="18"/>
          <w:szCs w:val="18"/>
          <w:lang w:eastAsia="en-US"/>
          <w14:ligatures w14:val="standardContextual"/>
        </w:rPr>
        <w:t>De richtlijn heeft betrekking op secundaire markten voor niet-renderende kredietovereenkomsten in de zin van de richtlijn. De in de richtlijn opgenomen regels zijn alleen van toepassing op de gevallen waarin de oorspronkelijke kredietgever een Europese bank is en wanneer het gaat om een dergelijk niet-renderende kredietovereenkomst. Het kan daarbij gaan om krediet verstrekt aan natuurlijke personen of aan rechtspersonen. De incassomarkt, waarop partijen zoals incassobureaus actief zijn, is breder. De schuldeiser kan een kredietgever zijn, zoals een bank, maar het kan ook gaan om andere schuldeisers en vorderingen in verband met de niet-nakoming van andersoortige overeenkomsten dan kredietovereenkomsten, zoals huurovereenkomsten, (energie)leveringsovereenkomsten of abonnementen.</w:t>
      </w:r>
    </w:p>
    <w:p w:rsidRPr="00404117" w:rsidR="00404117" w:rsidP="008D1814" w:rsidRDefault="00404117" w14:paraId="37EFF77A" w14:textId="77777777">
      <w:pPr>
        <w:spacing w:after="160" w:line="276" w:lineRule="auto"/>
        <w:rPr>
          <w:rFonts w:ascii="Verdana" w:hAnsi="Verdana" w:eastAsia="Calibri"/>
          <w:i/>
          <w:iCs/>
          <w:kern w:val="2"/>
          <w:sz w:val="18"/>
          <w:szCs w:val="22"/>
          <w:lang w:eastAsia="en-US"/>
          <w14:ligatures w14:val="standardContextual"/>
        </w:rPr>
      </w:pPr>
      <w:r w:rsidRPr="00404117">
        <w:rPr>
          <w:rFonts w:ascii="Verdana" w:hAnsi="Verdana" w:eastAsia="Calibri"/>
          <w:i/>
          <w:iCs/>
          <w:kern w:val="2"/>
          <w:sz w:val="18"/>
          <w:szCs w:val="22"/>
          <w:lang w:eastAsia="en-US"/>
          <w14:ligatures w14:val="standardContextual"/>
        </w:rPr>
        <w:t xml:space="preserve">De leden van de BBB-fractie hebben een aantal vragen over de grensoverschrijdende handelingsbevoegdheid. Klopt het volgens de regering dat artikelen 21 en 22 slechts in beperkte mate bevoegdheid bieden voor een gastlidstaat om handhavend op te treden in het kader van sanctie- en toezichtbevoegdheden? </w:t>
      </w:r>
    </w:p>
    <w:p w:rsidRPr="00404117" w:rsidR="00404117" w:rsidP="008D1814" w:rsidRDefault="00404117" w14:paraId="0BF5DA2A" w14:textId="77777777">
      <w:pPr>
        <w:spacing w:after="160" w:line="276" w:lineRule="auto"/>
        <w:rPr>
          <w:rFonts w:ascii="Verdana" w:hAnsi="Verdana" w:eastAsia="Calibri"/>
          <w:kern w:val="2"/>
          <w:sz w:val="18"/>
          <w:szCs w:val="22"/>
          <w:lang w:eastAsia="en-US"/>
          <w14:ligatures w14:val="standardContextual"/>
        </w:rPr>
      </w:pPr>
      <w:r w:rsidRPr="00404117">
        <w:rPr>
          <w:rFonts w:ascii="Verdana" w:hAnsi="Verdana" w:eastAsia="Calibri"/>
          <w:kern w:val="2"/>
          <w:sz w:val="18"/>
          <w:szCs w:val="22"/>
          <w:lang w:eastAsia="en-US"/>
          <w14:ligatures w14:val="standardContextual"/>
        </w:rPr>
        <w:t xml:space="preserve">De leden van de BBB-fractie merken terecht op dat de artikelen 21 en 22 van de richtlijn slechts in beperkte mate aan de bevoegde toezichthoudende instantie van een lidstaat van ontvangst bevoegdheden verlenen om handhavend op te treden, indien een in een andere lidstaat gevestigde </w:t>
      </w:r>
      <w:proofErr w:type="spellStart"/>
      <w:r w:rsidRPr="00404117">
        <w:rPr>
          <w:rFonts w:ascii="Verdana" w:hAnsi="Verdana" w:eastAsia="Calibri"/>
          <w:kern w:val="2"/>
          <w:sz w:val="18"/>
          <w:szCs w:val="22"/>
          <w:lang w:eastAsia="en-US"/>
          <w14:ligatures w14:val="standardContextual"/>
        </w:rPr>
        <w:t>kredietservicer</w:t>
      </w:r>
      <w:proofErr w:type="spellEnd"/>
      <w:r w:rsidRPr="00404117">
        <w:rPr>
          <w:rFonts w:ascii="Verdana" w:hAnsi="Verdana" w:eastAsia="Calibri"/>
          <w:kern w:val="2"/>
          <w:sz w:val="18"/>
          <w:szCs w:val="22"/>
          <w:lang w:eastAsia="en-US"/>
          <w14:ligatures w14:val="standardContextual"/>
        </w:rPr>
        <w:t xml:space="preserve"> op basis van zijn Europees paspoort in die lidstaat van ontvangst zijn bedrijf uitoefent en daarbij (bepaalde) in die richtlijn opgenomen voorschriften niet worden nageleefd.</w:t>
      </w:r>
    </w:p>
    <w:p w:rsidRPr="00404117" w:rsidR="00404117" w:rsidP="008D1814" w:rsidRDefault="00404117" w14:paraId="71BF44BD" w14:textId="77777777">
      <w:pPr>
        <w:spacing w:after="160" w:line="276" w:lineRule="auto"/>
        <w:rPr>
          <w:rFonts w:ascii="Verdana" w:hAnsi="Verdana" w:eastAsia="Calibri"/>
          <w:kern w:val="2"/>
          <w:sz w:val="18"/>
          <w:szCs w:val="22"/>
          <w:lang w:eastAsia="en-US"/>
          <w14:ligatures w14:val="standardContextual"/>
        </w:rPr>
      </w:pPr>
      <w:r w:rsidRPr="00404117">
        <w:rPr>
          <w:rFonts w:ascii="Verdana" w:hAnsi="Verdana" w:eastAsia="Calibri"/>
          <w:kern w:val="2"/>
          <w:sz w:val="18"/>
          <w:szCs w:val="22"/>
          <w:lang w:eastAsia="en-US"/>
          <w14:ligatures w14:val="standardContextual"/>
        </w:rPr>
        <w:t>De wijze waarop in de richtlijn bij grensoverschrijdende activiteiten bevoegdheden zijn verdeeld over de bevoegde toezichthoudende instanties van de lidstaat van herkomst en die van de lidstaat van ontvangst vloeit voort uit het zogenoemde “</w:t>
      </w:r>
      <w:r w:rsidRPr="00404117">
        <w:rPr>
          <w:rFonts w:ascii="Verdana" w:hAnsi="Verdana" w:eastAsia="Calibri"/>
          <w:i/>
          <w:iCs/>
          <w:kern w:val="2"/>
          <w:sz w:val="18"/>
          <w:szCs w:val="22"/>
          <w:lang w:eastAsia="en-US"/>
          <w14:ligatures w14:val="standardContextual"/>
        </w:rPr>
        <w:t>home country control”-</w:t>
      </w:r>
      <w:r w:rsidRPr="00404117">
        <w:rPr>
          <w:rFonts w:ascii="Verdana" w:hAnsi="Verdana" w:eastAsia="Calibri"/>
          <w:kern w:val="2"/>
          <w:sz w:val="18"/>
          <w:szCs w:val="22"/>
          <w:lang w:eastAsia="en-US"/>
          <w14:ligatures w14:val="standardContextual"/>
        </w:rPr>
        <w:t xml:space="preserve">beginsel waarop het systeem van het toezicht op de financiële markten in de Europese Unie is gebaseerd. Dit beginsel is een uitvloeisel van het uitgangspunt van het vrij verkeer van diensten en verrichtingen binnen de Europese Unie. </w:t>
      </w:r>
    </w:p>
    <w:p w:rsidRPr="00404117" w:rsidR="00404117" w:rsidP="008D1814" w:rsidRDefault="00404117" w14:paraId="57A10D5D" w14:textId="703004F8">
      <w:pPr>
        <w:spacing w:after="160" w:line="276" w:lineRule="auto"/>
        <w:rPr>
          <w:rFonts w:ascii="Verdana" w:hAnsi="Verdana" w:eastAsia="Calibri"/>
          <w:kern w:val="2"/>
          <w:sz w:val="18"/>
          <w:szCs w:val="22"/>
          <w:lang w:eastAsia="en-US"/>
          <w14:ligatures w14:val="standardContextual"/>
        </w:rPr>
      </w:pPr>
      <w:r w:rsidRPr="00404117">
        <w:rPr>
          <w:rFonts w:ascii="Verdana" w:hAnsi="Verdana" w:eastAsia="Calibri"/>
          <w:kern w:val="2"/>
          <w:sz w:val="18"/>
          <w:szCs w:val="22"/>
          <w:lang w:eastAsia="en-US"/>
          <w14:ligatures w14:val="standardContextual"/>
        </w:rPr>
        <w:t>Het “</w:t>
      </w:r>
      <w:r w:rsidRPr="00404117">
        <w:rPr>
          <w:rFonts w:ascii="Verdana" w:hAnsi="Verdana" w:eastAsia="Calibri"/>
          <w:i/>
          <w:iCs/>
          <w:kern w:val="2"/>
          <w:sz w:val="18"/>
          <w:szCs w:val="22"/>
          <w:lang w:eastAsia="en-US"/>
          <w14:ligatures w14:val="standardContextual"/>
        </w:rPr>
        <w:t>home country control</w:t>
      </w:r>
      <w:r w:rsidRPr="00404117">
        <w:rPr>
          <w:rFonts w:ascii="Verdana" w:hAnsi="Verdana" w:eastAsia="Calibri"/>
          <w:kern w:val="2"/>
          <w:sz w:val="18"/>
          <w:szCs w:val="22"/>
          <w:lang w:eastAsia="en-US"/>
          <w14:ligatures w14:val="standardContextual"/>
        </w:rPr>
        <w:t xml:space="preserve">”-beginsel houdt - voor zover van belang - in dat de toezichthoudende instanties van de lidstaat van herkomst van een entiteit die op de Europese financiële markten actief is, toezicht houdt op de activiteiten van die entiteit in zijn lidstaat van herkomst en op grensoverschrijdende activiteiten (op basis van een Europees paspoort) van die entiteit in een andere lidstaat. Alleen indien een Europese (bindende) rechtshandeling, een Europese richtlijn of Europese verordening, daarin uitdrukkelijk voorziet, zoals in artikel 14 van de richtlijn </w:t>
      </w:r>
      <w:proofErr w:type="spellStart"/>
      <w:r w:rsidRPr="00404117">
        <w:rPr>
          <w:rFonts w:ascii="Verdana" w:hAnsi="Verdana" w:eastAsia="Calibri"/>
          <w:kern w:val="2"/>
          <w:sz w:val="18"/>
          <w:szCs w:val="22"/>
          <w:lang w:eastAsia="en-US"/>
          <w14:ligatures w14:val="standardContextual"/>
        </w:rPr>
        <w:t>kredietservicers</w:t>
      </w:r>
      <w:proofErr w:type="spellEnd"/>
      <w:r w:rsidRPr="00404117">
        <w:rPr>
          <w:rFonts w:ascii="Verdana" w:hAnsi="Verdana" w:eastAsia="Calibri"/>
          <w:kern w:val="2"/>
          <w:sz w:val="18"/>
          <w:szCs w:val="22"/>
          <w:lang w:eastAsia="en-US"/>
          <w14:ligatures w14:val="standardContextual"/>
        </w:rPr>
        <w:t xml:space="preserve"> en kredietkopers, worden bepaalde toezichts- of handhavingsbevoegdheden toebedeeld aan de toezichthoudende instanties van een lidstaat van ontvangst. </w:t>
      </w:r>
      <w:bookmarkStart w:name="_Hlk191648344" w:id="2"/>
    </w:p>
    <w:p w:rsidRPr="00404117" w:rsidR="00404117" w:rsidP="008D1814" w:rsidRDefault="00404117" w14:paraId="588A9548" w14:textId="77777777">
      <w:pPr>
        <w:spacing w:after="160" w:line="276" w:lineRule="auto"/>
        <w:rPr>
          <w:rFonts w:ascii="Verdana" w:hAnsi="Verdana" w:eastAsia="Calibri"/>
          <w:i/>
          <w:iCs/>
          <w:kern w:val="2"/>
          <w:sz w:val="18"/>
          <w:szCs w:val="22"/>
          <w:lang w:eastAsia="en-US"/>
          <w14:ligatures w14:val="standardContextual"/>
        </w:rPr>
      </w:pPr>
      <w:r w:rsidRPr="00404117">
        <w:rPr>
          <w:rFonts w:ascii="Verdana" w:hAnsi="Verdana" w:eastAsia="Calibri"/>
          <w:i/>
          <w:iCs/>
          <w:kern w:val="2"/>
          <w:sz w:val="18"/>
          <w:szCs w:val="22"/>
          <w:lang w:eastAsia="en-US"/>
          <w14:ligatures w14:val="standardContextual"/>
        </w:rPr>
        <w:t>Deze leden vragen daarnaast of het klopt dat de Nederlandse toezichthouder zich daarbij enkel mag richten op informatie uitwisseling en geen zelfstandige bevoegdheid heeft om ingrijpend op te treden tegen entiteiten die regels overtreden maar gevestigd zijn in een andere lidstaat</w:t>
      </w:r>
      <w:bookmarkEnd w:id="2"/>
    </w:p>
    <w:p w:rsidRPr="00404117" w:rsidR="00404117" w:rsidP="008D1814" w:rsidRDefault="00BE0191" w14:paraId="74E23B45" w14:textId="70BD19C5">
      <w:pPr>
        <w:spacing w:after="160" w:line="276" w:lineRule="auto"/>
        <w:rPr>
          <w:rFonts w:ascii="Verdana" w:hAnsi="Verdana" w:eastAsia="Calibri"/>
          <w:kern w:val="2"/>
          <w:sz w:val="18"/>
          <w:szCs w:val="22"/>
          <w:lang w:eastAsia="en-US"/>
          <w14:ligatures w14:val="standardContextual"/>
        </w:rPr>
      </w:pPr>
      <w:r>
        <w:rPr>
          <w:rFonts w:ascii="Verdana" w:hAnsi="Verdana" w:eastAsia="Calibri"/>
          <w:kern w:val="2"/>
          <w:sz w:val="18"/>
          <w:szCs w:val="22"/>
          <w:lang w:eastAsia="en-US"/>
          <w14:ligatures w14:val="standardContextual"/>
        </w:rPr>
        <w:t>B</w:t>
      </w:r>
      <w:r w:rsidR="00580F46">
        <w:rPr>
          <w:rFonts w:ascii="Verdana" w:hAnsi="Verdana" w:eastAsia="Calibri"/>
          <w:kern w:val="2"/>
          <w:sz w:val="18"/>
          <w:szCs w:val="22"/>
          <w:lang w:eastAsia="en-US"/>
          <w14:ligatures w14:val="standardContextual"/>
        </w:rPr>
        <w:t xml:space="preserve">ij het grensoverschrijdend in Nederland verrichten van </w:t>
      </w:r>
      <w:proofErr w:type="spellStart"/>
      <w:r w:rsidR="00580F46">
        <w:rPr>
          <w:rFonts w:ascii="Verdana" w:hAnsi="Verdana" w:eastAsia="Calibri"/>
          <w:kern w:val="2"/>
          <w:sz w:val="18"/>
          <w:szCs w:val="22"/>
          <w:lang w:eastAsia="en-US"/>
          <w14:ligatures w14:val="standardContextual"/>
        </w:rPr>
        <w:t>kredietservicingactiviteiten</w:t>
      </w:r>
      <w:proofErr w:type="spellEnd"/>
      <w:r w:rsidR="00580F46">
        <w:rPr>
          <w:rFonts w:ascii="Verdana" w:hAnsi="Verdana" w:eastAsia="Calibri"/>
          <w:kern w:val="2"/>
          <w:sz w:val="18"/>
          <w:szCs w:val="22"/>
          <w:lang w:eastAsia="en-US"/>
          <w14:ligatures w14:val="standardContextual"/>
        </w:rPr>
        <w:t xml:space="preserve"> </w:t>
      </w:r>
      <w:r>
        <w:rPr>
          <w:rFonts w:ascii="Verdana" w:hAnsi="Verdana" w:eastAsia="Calibri"/>
          <w:kern w:val="2"/>
          <w:sz w:val="18"/>
          <w:szCs w:val="22"/>
          <w:lang w:eastAsia="en-US"/>
          <w14:ligatures w14:val="standardContextual"/>
        </w:rPr>
        <w:t xml:space="preserve">kan </w:t>
      </w:r>
      <w:r w:rsidR="00580F46">
        <w:rPr>
          <w:rFonts w:ascii="Verdana" w:hAnsi="Verdana" w:eastAsia="Calibri"/>
          <w:kern w:val="2"/>
          <w:sz w:val="18"/>
          <w:szCs w:val="22"/>
          <w:lang w:eastAsia="en-US"/>
          <w14:ligatures w14:val="standardContextual"/>
        </w:rPr>
        <w:t xml:space="preserve">de Nederlandse toezichthouder zich </w:t>
      </w:r>
      <w:r>
        <w:rPr>
          <w:rFonts w:ascii="Verdana" w:hAnsi="Verdana" w:eastAsia="Calibri"/>
          <w:kern w:val="2"/>
          <w:sz w:val="18"/>
          <w:szCs w:val="22"/>
          <w:lang w:eastAsia="en-US"/>
          <w14:ligatures w14:val="standardContextual"/>
        </w:rPr>
        <w:t>op meer</w:t>
      </w:r>
      <w:r w:rsidR="00580F46">
        <w:rPr>
          <w:rFonts w:ascii="Verdana" w:hAnsi="Verdana" w:eastAsia="Calibri"/>
          <w:kern w:val="2"/>
          <w:sz w:val="18"/>
          <w:szCs w:val="22"/>
          <w:lang w:eastAsia="en-US"/>
          <w14:ligatures w14:val="standardContextual"/>
        </w:rPr>
        <w:t xml:space="preserve"> richten op</w:t>
      </w:r>
      <w:r>
        <w:rPr>
          <w:rFonts w:ascii="Verdana" w:hAnsi="Verdana" w:eastAsia="Calibri"/>
          <w:kern w:val="2"/>
          <w:sz w:val="18"/>
          <w:szCs w:val="22"/>
          <w:lang w:eastAsia="en-US"/>
          <w14:ligatures w14:val="standardContextual"/>
        </w:rPr>
        <w:t xml:space="preserve"> dan op enkel</w:t>
      </w:r>
      <w:r w:rsidR="00580F46">
        <w:rPr>
          <w:rFonts w:ascii="Verdana" w:hAnsi="Verdana" w:eastAsia="Calibri"/>
          <w:kern w:val="2"/>
          <w:sz w:val="18"/>
          <w:szCs w:val="22"/>
          <w:lang w:eastAsia="en-US"/>
          <w14:ligatures w14:val="standardContextual"/>
        </w:rPr>
        <w:t xml:space="preserve"> </w:t>
      </w:r>
      <w:r>
        <w:rPr>
          <w:rFonts w:ascii="Verdana" w:hAnsi="Verdana" w:eastAsia="Calibri"/>
          <w:kern w:val="2"/>
          <w:sz w:val="18"/>
          <w:szCs w:val="22"/>
          <w:lang w:eastAsia="en-US"/>
          <w14:ligatures w14:val="standardContextual"/>
        </w:rPr>
        <w:t>informatie-uitwisseling.</w:t>
      </w:r>
      <w:r w:rsidR="00580F46">
        <w:rPr>
          <w:rFonts w:ascii="Verdana" w:hAnsi="Verdana" w:eastAsia="Calibri"/>
          <w:kern w:val="2"/>
          <w:sz w:val="18"/>
          <w:szCs w:val="22"/>
          <w:lang w:eastAsia="en-US"/>
          <w14:ligatures w14:val="standardContextual"/>
        </w:rPr>
        <w:t xml:space="preserve"> </w:t>
      </w:r>
      <w:r w:rsidRPr="00404117" w:rsidR="00404117">
        <w:rPr>
          <w:rFonts w:ascii="Verdana" w:hAnsi="Verdana" w:eastAsia="Calibri"/>
          <w:kern w:val="2"/>
          <w:sz w:val="18"/>
          <w:szCs w:val="22"/>
          <w:lang w:eastAsia="en-US"/>
          <w14:ligatures w14:val="standardContextual"/>
        </w:rPr>
        <w:t xml:space="preserve">In de richtlijn bepaalt met name artikel 14 (Toezicht op </w:t>
      </w:r>
      <w:proofErr w:type="spellStart"/>
      <w:r w:rsidRPr="00404117" w:rsidR="00404117">
        <w:rPr>
          <w:rFonts w:ascii="Verdana" w:hAnsi="Verdana" w:eastAsia="Calibri"/>
          <w:kern w:val="2"/>
          <w:sz w:val="18"/>
          <w:szCs w:val="22"/>
          <w:lang w:eastAsia="en-US"/>
          <w14:ligatures w14:val="standardContextual"/>
        </w:rPr>
        <w:t>kredietservicers</w:t>
      </w:r>
      <w:proofErr w:type="spellEnd"/>
      <w:r w:rsidRPr="00404117" w:rsidR="00404117">
        <w:rPr>
          <w:rFonts w:ascii="Verdana" w:hAnsi="Verdana" w:eastAsia="Calibri"/>
          <w:kern w:val="2"/>
          <w:sz w:val="18"/>
          <w:szCs w:val="22"/>
          <w:lang w:eastAsia="en-US"/>
          <w14:ligatures w14:val="standardContextual"/>
        </w:rPr>
        <w:t xml:space="preserve"> die grensoverschrijdende diensten verlenen) over welke toezicht- en handhavingsbevoegdheden de bevoegde toezichthoudende instanties van een lidstaat van ontvangst, in Nederland de AFM, dienen te beschikken. Zo bepaalt artikel 14, achtste lid, bijvoorbeeld dat de bevoegde toezichthoudende instanties van de lidstaat van ontvangst op eigen initiatief controles, inspecties en onderzoeken kunnen uitvoeren naar grensoverschrijdende </w:t>
      </w:r>
      <w:proofErr w:type="spellStart"/>
      <w:r w:rsidRPr="00404117" w:rsidR="00404117">
        <w:rPr>
          <w:rFonts w:ascii="Verdana" w:hAnsi="Verdana" w:eastAsia="Calibri"/>
          <w:kern w:val="2"/>
          <w:sz w:val="18"/>
          <w:szCs w:val="22"/>
          <w:lang w:eastAsia="en-US"/>
          <w14:ligatures w14:val="standardContextual"/>
        </w:rPr>
        <w:t>kredietservicingactiviteiten</w:t>
      </w:r>
      <w:proofErr w:type="spellEnd"/>
      <w:r w:rsidRPr="00404117" w:rsidR="00404117">
        <w:rPr>
          <w:rFonts w:ascii="Verdana" w:hAnsi="Verdana" w:eastAsia="Calibri"/>
          <w:kern w:val="2"/>
          <w:sz w:val="18"/>
          <w:szCs w:val="22"/>
          <w:lang w:eastAsia="en-US"/>
          <w14:ligatures w14:val="standardContextual"/>
        </w:rPr>
        <w:t xml:space="preserve"> die op het grondgebied van de lidstaat van ontvangst plaatsvinden. Wat betreft het treffen van handhavingsmaatregelen bepaalt artikel 14, twaalfde lid, dat de toezichthoudende instanties van de lidstaat van ontvangst administratieve sancties en corrigerende maatregelen kunnen vaststellen bij inbreuken op de richtlijn, indien de bevoegde toezichthoudende instanties van de lidstaat van herkomst van de </w:t>
      </w:r>
      <w:proofErr w:type="spellStart"/>
      <w:r w:rsidRPr="00404117" w:rsidR="00404117">
        <w:rPr>
          <w:rFonts w:ascii="Verdana" w:hAnsi="Verdana" w:eastAsia="Calibri"/>
          <w:kern w:val="2"/>
          <w:sz w:val="18"/>
          <w:szCs w:val="22"/>
          <w:lang w:eastAsia="en-US"/>
          <w14:ligatures w14:val="standardContextual"/>
        </w:rPr>
        <w:t>kredietservicer</w:t>
      </w:r>
      <w:proofErr w:type="spellEnd"/>
      <w:r w:rsidRPr="00404117" w:rsidR="00404117">
        <w:rPr>
          <w:rFonts w:ascii="Verdana" w:hAnsi="Verdana" w:eastAsia="Calibri"/>
          <w:kern w:val="2"/>
          <w:sz w:val="18"/>
          <w:szCs w:val="22"/>
          <w:lang w:eastAsia="en-US"/>
          <w14:ligatures w14:val="standardContextual"/>
        </w:rPr>
        <w:t xml:space="preserve"> die de inbreuk pleegt - en nadat deze toezichthoudende instanties over die inbreuk zijn geïnformeerd - geen of geen passende of doeltreffende maatregelen hebben getroffen of indien sprake is van een dringend geval, waarbij onmiddellijke actie nodig is ter borging van de belangen van kredietnemers.</w:t>
      </w:r>
    </w:p>
    <w:p w:rsidRPr="00404117" w:rsidR="00404117" w:rsidP="008D1814" w:rsidRDefault="00404117" w14:paraId="2608CB37" w14:textId="77777777">
      <w:pPr>
        <w:spacing w:after="160" w:line="276" w:lineRule="auto"/>
        <w:rPr>
          <w:rFonts w:ascii="Verdana" w:hAnsi="Verdana" w:eastAsia="Calibri"/>
          <w:i/>
          <w:iCs/>
          <w:kern w:val="2"/>
          <w:sz w:val="18"/>
          <w:szCs w:val="22"/>
          <w:lang w:eastAsia="en-US"/>
          <w14:ligatures w14:val="standardContextual"/>
        </w:rPr>
      </w:pPr>
      <w:r w:rsidRPr="00404117">
        <w:rPr>
          <w:rFonts w:ascii="Verdana" w:hAnsi="Verdana" w:eastAsia="Calibri"/>
          <w:i/>
          <w:iCs/>
          <w:kern w:val="2"/>
          <w:sz w:val="18"/>
          <w:szCs w:val="22"/>
          <w:lang w:eastAsia="en-US"/>
          <w14:ligatures w14:val="standardContextual"/>
        </w:rPr>
        <w:t>De leden van de BBB-fractie vragen tenslotte of de regering mogelijke coördinatie- en handhavingsproblemen voorziet omdat vestigingsautoriteiten van andere lidstaten met mogelijk zwakkere toezichtstructuur onvoldoende optreden tegen entiteiten die op de Nederlandse markt opereren en hier regels overtreden? Hoe kan de regering deze risico’s mitigeren en ervoor zorgen dat de Nederlandse toezichthouder controle houdt op wat er in Nederland gebeurt?</w:t>
      </w:r>
    </w:p>
    <w:p w:rsidRPr="00404117" w:rsidR="00404117" w:rsidP="008D1814" w:rsidRDefault="00404117" w14:paraId="3A68CE47" w14:textId="77777777">
      <w:pPr>
        <w:spacing w:after="160" w:line="276" w:lineRule="auto"/>
        <w:rPr>
          <w:rFonts w:ascii="Verdana" w:hAnsi="Verdana" w:eastAsia="Calibri"/>
          <w:kern w:val="2"/>
          <w:sz w:val="18"/>
          <w:szCs w:val="22"/>
          <w:lang w:eastAsia="en-US"/>
          <w14:ligatures w14:val="standardContextual"/>
        </w:rPr>
      </w:pPr>
      <w:r w:rsidRPr="00404117">
        <w:rPr>
          <w:rFonts w:ascii="Verdana" w:hAnsi="Verdana" w:eastAsia="Calibri"/>
          <w:kern w:val="2"/>
          <w:sz w:val="18"/>
          <w:szCs w:val="22"/>
          <w:lang w:eastAsia="en-US"/>
          <w14:ligatures w14:val="standardContextual"/>
        </w:rPr>
        <w:t xml:space="preserve">Ik heb geen aanwijzingen dat een of meerdere andere lidstaten over een “mogelijke zwakkere toezichtstructuur” beschikken en dat de bevoegde toezichthoudende instanties van die andere lidstaten dientengevolge niet adequaat handhavend optreden (of kunnen optreden) tegen in die andere lidstaten gevestigde </w:t>
      </w:r>
      <w:proofErr w:type="spellStart"/>
      <w:r w:rsidRPr="00404117">
        <w:rPr>
          <w:rFonts w:ascii="Verdana" w:hAnsi="Verdana" w:eastAsia="Calibri"/>
          <w:kern w:val="2"/>
          <w:sz w:val="18"/>
          <w:szCs w:val="22"/>
          <w:lang w:eastAsia="en-US"/>
          <w14:ligatures w14:val="standardContextual"/>
        </w:rPr>
        <w:t>kredietservicers</w:t>
      </w:r>
      <w:proofErr w:type="spellEnd"/>
      <w:r w:rsidRPr="00404117">
        <w:rPr>
          <w:rFonts w:ascii="Verdana" w:hAnsi="Verdana" w:eastAsia="Calibri"/>
          <w:kern w:val="2"/>
          <w:sz w:val="18"/>
          <w:szCs w:val="22"/>
          <w:lang w:eastAsia="en-US"/>
          <w14:ligatures w14:val="standardContextual"/>
        </w:rPr>
        <w:t xml:space="preserve">, indien deze </w:t>
      </w:r>
      <w:proofErr w:type="spellStart"/>
      <w:r w:rsidRPr="00404117">
        <w:rPr>
          <w:rFonts w:ascii="Verdana" w:hAnsi="Verdana" w:eastAsia="Calibri"/>
          <w:kern w:val="2"/>
          <w:sz w:val="18"/>
          <w:szCs w:val="22"/>
          <w:lang w:eastAsia="en-US"/>
          <w14:ligatures w14:val="standardContextual"/>
        </w:rPr>
        <w:t>kredietservicers</w:t>
      </w:r>
      <w:proofErr w:type="spellEnd"/>
      <w:r w:rsidRPr="00404117">
        <w:rPr>
          <w:rFonts w:ascii="Verdana" w:hAnsi="Verdana" w:eastAsia="Calibri"/>
          <w:kern w:val="2"/>
          <w:sz w:val="18"/>
          <w:szCs w:val="22"/>
          <w:lang w:eastAsia="en-US"/>
          <w14:ligatures w14:val="standardContextual"/>
        </w:rPr>
        <w:t xml:space="preserve"> bij het verrichten van grensoverschrijdende </w:t>
      </w:r>
      <w:proofErr w:type="spellStart"/>
      <w:r w:rsidRPr="00404117">
        <w:rPr>
          <w:rFonts w:ascii="Verdana" w:hAnsi="Verdana" w:eastAsia="Calibri"/>
          <w:kern w:val="2"/>
          <w:sz w:val="18"/>
          <w:szCs w:val="22"/>
          <w:lang w:eastAsia="en-US"/>
          <w14:ligatures w14:val="standardContextual"/>
        </w:rPr>
        <w:t>kredietservicingactiviteiten</w:t>
      </w:r>
      <w:proofErr w:type="spellEnd"/>
      <w:r w:rsidRPr="00404117">
        <w:rPr>
          <w:rFonts w:ascii="Verdana" w:hAnsi="Verdana" w:eastAsia="Calibri"/>
          <w:kern w:val="2"/>
          <w:sz w:val="18"/>
          <w:szCs w:val="22"/>
          <w:lang w:eastAsia="en-US"/>
          <w14:ligatures w14:val="standardContextual"/>
        </w:rPr>
        <w:t xml:space="preserve"> in Nederland inbreuk plegen op (bepaalde) voorschriften van de richtlijn. </w:t>
      </w:r>
    </w:p>
    <w:p w:rsidRPr="00404117" w:rsidR="00404117" w:rsidP="008D1814" w:rsidRDefault="00404117" w14:paraId="61BE56B4" w14:textId="77777777">
      <w:pPr>
        <w:spacing w:after="160" w:line="276" w:lineRule="auto"/>
        <w:rPr>
          <w:rFonts w:ascii="Verdana" w:hAnsi="Verdana" w:eastAsia="Calibri"/>
          <w:kern w:val="2"/>
          <w:sz w:val="18"/>
          <w:szCs w:val="22"/>
          <w:lang w:eastAsia="en-US"/>
          <w14:ligatures w14:val="standardContextual"/>
        </w:rPr>
      </w:pPr>
      <w:r w:rsidRPr="00404117">
        <w:rPr>
          <w:rFonts w:ascii="Verdana" w:hAnsi="Verdana" w:eastAsia="Calibri"/>
          <w:kern w:val="2"/>
          <w:sz w:val="18"/>
          <w:szCs w:val="22"/>
          <w:lang w:eastAsia="en-US"/>
          <w14:ligatures w14:val="standardContextual"/>
        </w:rPr>
        <w:t xml:space="preserve">Ik voorzie wat betreft het grensoverschrijdend in Nederland verrichten van </w:t>
      </w:r>
      <w:proofErr w:type="spellStart"/>
      <w:r w:rsidRPr="00404117">
        <w:rPr>
          <w:rFonts w:ascii="Verdana" w:hAnsi="Verdana" w:eastAsia="Calibri"/>
          <w:kern w:val="2"/>
          <w:sz w:val="18"/>
          <w:szCs w:val="22"/>
          <w:lang w:eastAsia="en-US"/>
          <w14:ligatures w14:val="standardContextual"/>
        </w:rPr>
        <w:t>kredietservicingactiviteiten</w:t>
      </w:r>
      <w:proofErr w:type="spellEnd"/>
      <w:r w:rsidRPr="00404117">
        <w:rPr>
          <w:rFonts w:ascii="Verdana" w:hAnsi="Verdana" w:eastAsia="Calibri"/>
          <w:kern w:val="2"/>
          <w:sz w:val="18"/>
          <w:szCs w:val="22"/>
          <w:lang w:eastAsia="en-US"/>
          <w14:ligatures w14:val="standardContextual"/>
        </w:rPr>
        <w:t xml:space="preserve"> evenmin coördinatieproblemen tussen de AFM en de betrokken toezichthoudende instanties van andere lidstaten. </w:t>
      </w:r>
    </w:p>
    <w:p w:rsidRPr="00404117" w:rsidR="00404117" w:rsidP="008D1814" w:rsidRDefault="00404117" w14:paraId="5E111A38" w14:textId="77777777">
      <w:pPr>
        <w:spacing w:after="160" w:line="276" w:lineRule="auto"/>
        <w:rPr>
          <w:rFonts w:ascii="Verdana" w:hAnsi="Verdana" w:eastAsia="Calibri"/>
          <w:kern w:val="2"/>
          <w:sz w:val="18"/>
          <w:szCs w:val="22"/>
          <w:lang w:eastAsia="en-US"/>
          <w14:ligatures w14:val="standardContextual"/>
        </w:rPr>
      </w:pPr>
      <w:r w:rsidRPr="00404117">
        <w:rPr>
          <w:rFonts w:ascii="Verdana" w:hAnsi="Verdana" w:eastAsia="Calibri"/>
          <w:kern w:val="2"/>
          <w:sz w:val="18"/>
          <w:szCs w:val="22"/>
          <w:lang w:eastAsia="en-US"/>
          <w14:ligatures w14:val="standardContextual"/>
        </w:rPr>
        <w:t xml:space="preserve">Teneinde een doeltreffend en doelmatig toezicht op grensoverschrijdende </w:t>
      </w:r>
      <w:proofErr w:type="spellStart"/>
      <w:r w:rsidRPr="00404117">
        <w:rPr>
          <w:rFonts w:ascii="Verdana" w:hAnsi="Verdana" w:eastAsia="Calibri"/>
          <w:kern w:val="2"/>
          <w:sz w:val="18"/>
          <w:szCs w:val="22"/>
          <w:lang w:eastAsia="en-US"/>
          <w14:ligatures w14:val="standardContextual"/>
        </w:rPr>
        <w:t>kredietservicingactiviteiten</w:t>
      </w:r>
      <w:proofErr w:type="spellEnd"/>
      <w:r w:rsidRPr="00404117">
        <w:rPr>
          <w:rFonts w:ascii="Verdana" w:hAnsi="Verdana" w:eastAsia="Calibri"/>
          <w:kern w:val="2"/>
          <w:sz w:val="18"/>
          <w:szCs w:val="22"/>
          <w:lang w:eastAsia="en-US"/>
          <w14:ligatures w14:val="standardContextual"/>
        </w:rPr>
        <w:t xml:space="preserve"> te waarborgen bevat de richtlijn </w:t>
      </w:r>
      <w:proofErr w:type="spellStart"/>
      <w:r w:rsidRPr="00404117">
        <w:rPr>
          <w:rFonts w:ascii="Verdana" w:hAnsi="Verdana" w:eastAsia="Calibri"/>
          <w:kern w:val="2"/>
          <w:sz w:val="18"/>
          <w:szCs w:val="22"/>
          <w:lang w:eastAsia="en-US"/>
          <w14:ligatures w14:val="standardContextual"/>
        </w:rPr>
        <w:t>kredietservicers</w:t>
      </w:r>
      <w:proofErr w:type="spellEnd"/>
      <w:r w:rsidRPr="00404117">
        <w:rPr>
          <w:rFonts w:ascii="Verdana" w:hAnsi="Verdana" w:eastAsia="Calibri"/>
          <w:kern w:val="2"/>
          <w:sz w:val="18"/>
          <w:szCs w:val="22"/>
          <w:lang w:eastAsia="en-US"/>
          <w14:ligatures w14:val="standardContextual"/>
        </w:rPr>
        <w:t xml:space="preserve"> en kredietkopers een specifiek kader voor de samenwerking tussen de bevoegde autoriteiten van de lidstaten van herkomst en die van de lidstaten van ontvangst en, waar passend, de bevoegde autoriteiten van de lidstaat waar het krediet is verleend. Dat kader voorziet onder meer in de bevoegdheden tot het uitwisselen van informatie (met behoud van de vertrouwelijkheid van die informatie en het beroepsgeheim), het verrichten van inspecties (al dan niet ter plaatse), het aan elkaar verlenen van bijstand, het uitwisselen van de resultaten van controles en inspecties en van de door bevoegde autoriteiten van de lidstaten van herkomst of die van de lidstaten van ontvangst getroffen toezicht- of handhavingsmaatregelen.</w:t>
      </w:r>
    </w:p>
    <w:p w:rsidRPr="00404117" w:rsidR="00404117" w:rsidP="008D1814" w:rsidRDefault="00404117" w14:paraId="5127C696" w14:textId="77777777">
      <w:pPr>
        <w:spacing w:after="160" w:line="276" w:lineRule="auto"/>
        <w:rPr>
          <w:rFonts w:ascii="Verdana" w:hAnsi="Verdana" w:eastAsia="Calibri"/>
          <w:i/>
          <w:iCs/>
          <w:kern w:val="2"/>
          <w:sz w:val="18"/>
          <w:szCs w:val="18"/>
          <w:lang w:eastAsia="en-US"/>
          <w14:ligatures w14:val="standardContextual"/>
        </w:rPr>
      </w:pPr>
    </w:p>
    <w:p w:rsidRPr="00404117" w:rsidR="00404117" w:rsidP="008D1814" w:rsidRDefault="00404117" w14:paraId="7DFA4613" w14:textId="77777777">
      <w:pPr>
        <w:spacing w:after="160" w:line="276" w:lineRule="auto"/>
        <w:rPr>
          <w:rFonts w:ascii="Verdana" w:hAnsi="Verdana" w:eastAsia="Calibri"/>
          <w:b/>
          <w:bCs/>
          <w:i/>
          <w:iCs/>
          <w:kern w:val="2"/>
          <w:sz w:val="18"/>
          <w:szCs w:val="18"/>
          <w:lang w:eastAsia="en-US"/>
          <w14:ligatures w14:val="standardContextual"/>
        </w:rPr>
      </w:pPr>
      <w:r w:rsidRPr="00404117">
        <w:rPr>
          <w:rFonts w:ascii="Verdana" w:hAnsi="Verdana" w:eastAsia="Calibri"/>
          <w:b/>
          <w:bCs/>
          <w:i/>
          <w:iCs/>
          <w:kern w:val="2"/>
          <w:sz w:val="18"/>
          <w:szCs w:val="18"/>
          <w:lang w:eastAsia="en-US"/>
          <w14:ligatures w14:val="standardContextual"/>
        </w:rPr>
        <w:t xml:space="preserve">§ 3. Wijze van implementatie </w:t>
      </w:r>
    </w:p>
    <w:p w:rsidRPr="00404117" w:rsidR="00404117" w:rsidP="008D1814" w:rsidRDefault="00404117" w14:paraId="055F4217" w14:textId="77777777">
      <w:pPr>
        <w:spacing w:after="160" w:line="276" w:lineRule="auto"/>
        <w:rPr>
          <w:rFonts w:ascii="Verdana" w:hAnsi="Verdana" w:eastAsia="Calibri"/>
          <w:i/>
          <w:iCs/>
          <w:kern w:val="2"/>
          <w:sz w:val="18"/>
          <w:szCs w:val="18"/>
          <w:lang w:eastAsia="en-US"/>
          <w14:ligatures w14:val="standardContextual"/>
        </w:rPr>
      </w:pPr>
      <w:r w:rsidRPr="00404117">
        <w:rPr>
          <w:rFonts w:ascii="Verdana" w:hAnsi="Verdana" w:eastAsia="Calibri"/>
          <w:i/>
          <w:iCs/>
          <w:kern w:val="2"/>
          <w:sz w:val="18"/>
          <w:szCs w:val="18"/>
          <w:lang w:eastAsia="en-US"/>
          <w14:ligatures w14:val="standardContextual"/>
        </w:rPr>
        <w:t xml:space="preserve">De leden van de VVD-fractie en de NSC-fractie lezen dat is aangesloten bij de staande praktijk om een hoofdnorm zoveel mogelijk in de </w:t>
      </w:r>
      <w:proofErr w:type="spellStart"/>
      <w:r w:rsidRPr="00404117">
        <w:rPr>
          <w:rFonts w:ascii="Verdana" w:hAnsi="Verdana" w:eastAsia="Calibri"/>
          <w:i/>
          <w:iCs/>
          <w:kern w:val="2"/>
          <w:sz w:val="18"/>
          <w:szCs w:val="18"/>
          <w:lang w:eastAsia="en-US"/>
          <w14:ligatures w14:val="standardContextual"/>
        </w:rPr>
        <w:t>Wft</w:t>
      </w:r>
      <w:proofErr w:type="spellEnd"/>
      <w:r w:rsidRPr="00404117">
        <w:rPr>
          <w:rFonts w:ascii="Verdana" w:hAnsi="Verdana" w:eastAsia="Calibri"/>
          <w:i/>
          <w:iCs/>
          <w:kern w:val="2"/>
          <w:sz w:val="18"/>
          <w:szCs w:val="18"/>
          <w:lang w:eastAsia="en-US"/>
          <w14:ligatures w14:val="standardContextual"/>
        </w:rPr>
        <w:t xml:space="preserve"> te implementeren en de nadere uitwerking van de hoofdnorm in lagere- weten regelgeving te verwerken. Waar nodig is daarvoor in het wetsvoorstel een delegatiebepaling opgenomen. Kan er een totaaloverzicht gegeven worden van deze lagere wet- en regelgeving, zoals </w:t>
      </w:r>
      <w:proofErr w:type="spellStart"/>
      <w:r w:rsidRPr="00404117">
        <w:rPr>
          <w:rFonts w:ascii="Verdana" w:hAnsi="Verdana" w:eastAsia="Calibri"/>
          <w:i/>
          <w:iCs/>
          <w:kern w:val="2"/>
          <w:sz w:val="18"/>
          <w:szCs w:val="18"/>
          <w:lang w:eastAsia="en-US"/>
          <w14:ligatures w14:val="standardContextual"/>
        </w:rPr>
        <w:t>AMvB’s</w:t>
      </w:r>
      <w:proofErr w:type="spellEnd"/>
      <w:r w:rsidRPr="00404117">
        <w:rPr>
          <w:rFonts w:ascii="Verdana" w:hAnsi="Verdana" w:eastAsia="Calibri"/>
          <w:i/>
          <w:iCs/>
          <w:kern w:val="2"/>
          <w:sz w:val="18"/>
          <w:szCs w:val="18"/>
          <w:lang w:eastAsia="en-US"/>
          <w14:ligatures w14:val="standardContextual"/>
        </w:rPr>
        <w:t xml:space="preserve"> of ministeriële regelingen en wat daarbij de rol van de Kamer nog is (welke voorhangprocedure, </w:t>
      </w:r>
      <w:proofErr w:type="spellStart"/>
      <w:r w:rsidRPr="00404117">
        <w:rPr>
          <w:rFonts w:ascii="Verdana" w:hAnsi="Verdana" w:eastAsia="Calibri"/>
          <w:i/>
          <w:iCs/>
          <w:kern w:val="2"/>
          <w:sz w:val="18"/>
          <w:szCs w:val="18"/>
          <w:lang w:eastAsia="en-US"/>
          <w14:ligatures w14:val="standardContextual"/>
        </w:rPr>
        <w:t>nahangprocedure</w:t>
      </w:r>
      <w:proofErr w:type="spellEnd"/>
      <w:r w:rsidRPr="00404117">
        <w:rPr>
          <w:rFonts w:ascii="Verdana" w:hAnsi="Verdana" w:eastAsia="Calibri"/>
          <w:i/>
          <w:iCs/>
          <w:kern w:val="2"/>
          <w:sz w:val="18"/>
          <w:szCs w:val="18"/>
          <w:lang w:eastAsia="en-US"/>
          <w14:ligatures w14:val="standardContextual"/>
        </w:rPr>
        <w:t xml:space="preserve">, etc.)? Kan een totaaloverzicht worden gegeven van wat er allemaal nog in lagere- wet- en regelgeving (zoals </w:t>
      </w:r>
      <w:proofErr w:type="spellStart"/>
      <w:r w:rsidRPr="00404117">
        <w:rPr>
          <w:rFonts w:ascii="Verdana" w:hAnsi="Verdana" w:eastAsia="Calibri"/>
          <w:i/>
          <w:iCs/>
          <w:kern w:val="2"/>
          <w:sz w:val="18"/>
          <w:szCs w:val="18"/>
          <w:lang w:eastAsia="en-US"/>
          <w14:ligatures w14:val="standardContextual"/>
        </w:rPr>
        <w:t>BGfo</w:t>
      </w:r>
      <w:proofErr w:type="spellEnd"/>
      <w:r w:rsidRPr="00404117">
        <w:rPr>
          <w:rFonts w:ascii="Verdana" w:hAnsi="Verdana" w:eastAsia="Calibri"/>
          <w:i/>
          <w:iCs/>
          <w:kern w:val="2"/>
          <w:sz w:val="18"/>
          <w:szCs w:val="18"/>
          <w:lang w:eastAsia="en-US"/>
          <w14:ligatures w14:val="standardContextual"/>
        </w:rPr>
        <w:t xml:space="preserve">, </w:t>
      </w:r>
      <w:proofErr w:type="spellStart"/>
      <w:r w:rsidRPr="00404117">
        <w:rPr>
          <w:rFonts w:ascii="Verdana" w:hAnsi="Verdana" w:eastAsia="Calibri"/>
          <w:i/>
          <w:iCs/>
          <w:kern w:val="2"/>
          <w:sz w:val="18"/>
          <w:szCs w:val="18"/>
          <w:lang w:eastAsia="en-US"/>
          <w14:ligatures w14:val="standardContextual"/>
        </w:rPr>
        <w:t>Bmfo</w:t>
      </w:r>
      <w:proofErr w:type="spellEnd"/>
      <w:r w:rsidRPr="00404117">
        <w:rPr>
          <w:rFonts w:ascii="Verdana" w:hAnsi="Verdana" w:eastAsia="Calibri"/>
          <w:i/>
          <w:iCs/>
          <w:kern w:val="2"/>
          <w:sz w:val="18"/>
          <w:szCs w:val="18"/>
          <w:lang w:eastAsia="en-US"/>
          <w14:ligatures w14:val="standardContextual"/>
        </w:rPr>
        <w:t xml:space="preserve">, </w:t>
      </w:r>
      <w:proofErr w:type="spellStart"/>
      <w:r w:rsidRPr="00404117">
        <w:rPr>
          <w:rFonts w:ascii="Verdana" w:hAnsi="Verdana" w:eastAsia="Calibri"/>
          <w:i/>
          <w:iCs/>
          <w:kern w:val="2"/>
          <w:sz w:val="18"/>
          <w:szCs w:val="18"/>
          <w:lang w:eastAsia="en-US"/>
          <w14:ligatures w14:val="standardContextual"/>
        </w:rPr>
        <w:t>Bbbfs</w:t>
      </w:r>
      <w:proofErr w:type="spellEnd"/>
      <w:r w:rsidRPr="00404117">
        <w:rPr>
          <w:rFonts w:ascii="Verdana" w:hAnsi="Verdana" w:eastAsia="Calibri"/>
          <w:i/>
          <w:iCs/>
          <w:kern w:val="2"/>
          <w:sz w:val="18"/>
          <w:szCs w:val="18"/>
          <w:lang w:eastAsia="en-US"/>
          <w14:ligatures w14:val="standardContextual"/>
        </w:rPr>
        <w:t>) geregeld gaat of moet worden?</w:t>
      </w:r>
    </w:p>
    <w:p w:rsidRPr="00404117" w:rsidR="00404117" w:rsidP="008D1814" w:rsidRDefault="00404117" w14:paraId="32771125" w14:textId="77777777">
      <w:pPr>
        <w:spacing w:after="160" w:line="276" w:lineRule="auto"/>
        <w:rPr>
          <w:rFonts w:ascii="Verdana" w:hAnsi="Verdana" w:eastAsia="Calibri"/>
          <w:kern w:val="2"/>
          <w:sz w:val="18"/>
          <w:szCs w:val="22"/>
          <w:lang w:eastAsia="en-US"/>
          <w14:ligatures w14:val="standardContextual"/>
        </w:rPr>
      </w:pPr>
      <w:r w:rsidRPr="00404117">
        <w:rPr>
          <w:rFonts w:ascii="Verdana" w:hAnsi="Verdana" w:eastAsia="Calibri"/>
          <w:kern w:val="2"/>
          <w:sz w:val="18"/>
          <w:szCs w:val="22"/>
          <w:lang w:eastAsia="en-US"/>
          <w14:ligatures w14:val="standardContextual"/>
        </w:rPr>
        <w:t>De richtlijnimplementatie leidt tot wijziging van enkele algemene maatregelen van bestuur (</w:t>
      </w:r>
      <w:proofErr w:type="spellStart"/>
      <w:r w:rsidRPr="00404117">
        <w:rPr>
          <w:rFonts w:ascii="Verdana" w:hAnsi="Verdana" w:eastAsia="Calibri"/>
          <w:kern w:val="2"/>
          <w:sz w:val="18"/>
          <w:szCs w:val="22"/>
          <w:lang w:eastAsia="en-US"/>
          <w14:ligatures w14:val="standardContextual"/>
        </w:rPr>
        <w:t>AMvB’s</w:t>
      </w:r>
      <w:proofErr w:type="spellEnd"/>
      <w:r w:rsidRPr="00404117">
        <w:rPr>
          <w:rFonts w:ascii="Verdana" w:hAnsi="Verdana" w:eastAsia="Calibri"/>
          <w:kern w:val="2"/>
          <w:sz w:val="18"/>
          <w:szCs w:val="22"/>
          <w:lang w:eastAsia="en-US"/>
          <w14:ligatures w14:val="standardContextual"/>
        </w:rPr>
        <w:t>). Het betreffende ontwerpbesluit is op 11 maart 2025 in publieke consultatie gegeven.</w:t>
      </w:r>
      <w:r w:rsidRPr="00404117">
        <w:rPr>
          <w:rFonts w:ascii="Verdana" w:hAnsi="Verdana" w:eastAsia="Calibri"/>
          <w:kern w:val="2"/>
          <w:sz w:val="18"/>
          <w:szCs w:val="22"/>
          <w:vertAlign w:val="superscript"/>
          <w:lang w:eastAsia="en-US"/>
          <w14:ligatures w14:val="standardContextual"/>
        </w:rPr>
        <w:footnoteReference w:id="14"/>
      </w:r>
      <w:r w:rsidRPr="00404117">
        <w:rPr>
          <w:rFonts w:ascii="Verdana" w:hAnsi="Verdana" w:eastAsia="Calibri"/>
          <w:kern w:val="2"/>
          <w:sz w:val="18"/>
          <w:szCs w:val="22"/>
          <w:lang w:eastAsia="en-US"/>
          <w14:ligatures w14:val="standardContextual"/>
        </w:rPr>
        <w:t xml:space="preserve"> </w:t>
      </w:r>
    </w:p>
    <w:p w:rsidRPr="00404117" w:rsidR="00404117" w:rsidP="008D1814" w:rsidRDefault="00404117" w14:paraId="1CD99967" w14:textId="77777777">
      <w:pPr>
        <w:spacing w:after="160" w:line="276" w:lineRule="auto"/>
        <w:rPr>
          <w:rFonts w:ascii="Verdana" w:hAnsi="Verdana" w:eastAsia="Calibri"/>
          <w:kern w:val="2"/>
          <w:sz w:val="18"/>
          <w:szCs w:val="22"/>
          <w:lang w:eastAsia="en-US"/>
          <w14:ligatures w14:val="standardContextual"/>
        </w:rPr>
      </w:pPr>
      <w:r w:rsidRPr="00404117">
        <w:rPr>
          <w:rFonts w:ascii="Verdana" w:hAnsi="Verdana" w:eastAsia="Calibri"/>
          <w:kern w:val="2"/>
          <w:sz w:val="18"/>
          <w:szCs w:val="22"/>
          <w:lang w:eastAsia="en-US"/>
          <w14:ligatures w14:val="standardContextual"/>
        </w:rPr>
        <w:t xml:space="preserve">In het ontwerpbesluit wordt ten eerste het Besluit gedragstoezicht financiële ondernemingen </w:t>
      </w:r>
      <w:proofErr w:type="spellStart"/>
      <w:r w:rsidRPr="00404117">
        <w:rPr>
          <w:rFonts w:ascii="Verdana" w:hAnsi="Verdana" w:eastAsia="Calibri"/>
          <w:kern w:val="2"/>
          <w:sz w:val="18"/>
          <w:szCs w:val="22"/>
          <w:lang w:eastAsia="en-US"/>
          <w14:ligatures w14:val="standardContextual"/>
        </w:rPr>
        <w:t>Wft</w:t>
      </w:r>
      <w:proofErr w:type="spellEnd"/>
      <w:r w:rsidRPr="00404117">
        <w:rPr>
          <w:rFonts w:ascii="Verdana" w:hAnsi="Verdana" w:eastAsia="Calibri"/>
          <w:kern w:val="2"/>
          <w:sz w:val="18"/>
          <w:szCs w:val="22"/>
          <w:lang w:eastAsia="en-US"/>
          <w14:ligatures w14:val="standardContextual"/>
        </w:rPr>
        <w:t xml:space="preserve"> (</w:t>
      </w:r>
      <w:proofErr w:type="spellStart"/>
      <w:r w:rsidRPr="00404117">
        <w:rPr>
          <w:rFonts w:ascii="Verdana" w:hAnsi="Verdana" w:eastAsia="Calibri"/>
          <w:kern w:val="2"/>
          <w:sz w:val="18"/>
          <w:szCs w:val="22"/>
          <w:lang w:eastAsia="en-US"/>
          <w14:ligatures w14:val="standardContextual"/>
        </w:rPr>
        <w:t>BGfo</w:t>
      </w:r>
      <w:proofErr w:type="spellEnd"/>
      <w:r w:rsidRPr="00404117">
        <w:rPr>
          <w:rFonts w:ascii="Verdana" w:hAnsi="Verdana" w:eastAsia="Calibri"/>
          <w:kern w:val="2"/>
          <w:sz w:val="18"/>
          <w:szCs w:val="22"/>
          <w:lang w:eastAsia="en-US"/>
          <w14:ligatures w14:val="standardContextual"/>
        </w:rPr>
        <w:t xml:space="preserve">) gewijzigd. In dit besluit wordt de norm van artikel 4:11, eerste lid, </w:t>
      </w:r>
      <w:proofErr w:type="spellStart"/>
      <w:r w:rsidRPr="00404117">
        <w:rPr>
          <w:rFonts w:ascii="Verdana" w:hAnsi="Verdana" w:eastAsia="Calibri"/>
          <w:kern w:val="2"/>
          <w:sz w:val="18"/>
          <w:szCs w:val="22"/>
          <w:lang w:eastAsia="en-US"/>
          <w14:ligatures w14:val="standardContextual"/>
        </w:rPr>
        <w:t>Wft</w:t>
      </w:r>
      <w:proofErr w:type="spellEnd"/>
      <w:r w:rsidRPr="00404117">
        <w:rPr>
          <w:rFonts w:ascii="Verdana" w:hAnsi="Verdana" w:eastAsia="Calibri"/>
          <w:kern w:val="2"/>
          <w:sz w:val="18"/>
          <w:szCs w:val="22"/>
          <w:lang w:eastAsia="en-US"/>
          <w14:ligatures w14:val="standardContextual"/>
        </w:rPr>
        <w:t xml:space="preserve"> uitgewerkt dat </w:t>
      </w:r>
      <w:proofErr w:type="spellStart"/>
      <w:r w:rsidRPr="00404117">
        <w:rPr>
          <w:rFonts w:ascii="Verdana" w:hAnsi="Verdana" w:eastAsia="Calibri"/>
          <w:kern w:val="2"/>
          <w:sz w:val="18"/>
          <w:szCs w:val="22"/>
          <w:lang w:eastAsia="en-US"/>
          <w14:ligatures w14:val="standardContextual"/>
        </w:rPr>
        <w:t>kredietservicers</w:t>
      </w:r>
      <w:proofErr w:type="spellEnd"/>
      <w:r w:rsidRPr="00404117">
        <w:rPr>
          <w:rFonts w:ascii="Verdana" w:hAnsi="Verdana" w:eastAsia="Calibri"/>
          <w:kern w:val="2"/>
          <w:sz w:val="18"/>
          <w:szCs w:val="22"/>
          <w:lang w:eastAsia="en-US"/>
          <w14:ligatures w14:val="standardContextual"/>
        </w:rPr>
        <w:t xml:space="preserve"> een integere uitoefening van hun beroep waarborgen. Het betreft onder andere het voorschrift dat </w:t>
      </w:r>
      <w:proofErr w:type="spellStart"/>
      <w:r w:rsidRPr="00404117">
        <w:rPr>
          <w:rFonts w:ascii="Verdana" w:hAnsi="Verdana" w:eastAsia="Calibri"/>
          <w:kern w:val="2"/>
          <w:sz w:val="18"/>
          <w:szCs w:val="22"/>
          <w:lang w:eastAsia="en-US"/>
          <w14:ligatures w14:val="standardContextual"/>
        </w:rPr>
        <w:t>kredietservicers</w:t>
      </w:r>
      <w:proofErr w:type="spellEnd"/>
      <w:r w:rsidRPr="00404117">
        <w:rPr>
          <w:rFonts w:ascii="Verdana" w:hAnsi="Verdana" w:eastAsia="Calibri"/>
          <w:kern w:val="2"/>
          <w:sz w:val="18"/>
          <w:szCs w:val="22"/>
          <w:lang w:eastAsia="en-US"/>
          <w14:ligatures w14:val="standardContextual"/>
        </w:rPr>
        <w:t xml:space="preserve"> over robuuste </w:t>
      </w:r>
      <w:proofErr w:type="spellStart"/>
      <w:r w:rsidRPr="00404117">
        <w:rPr>
          <w:rFonts w:ascii="Verdana" w:hAnsi="Verdana" w:eastAsia="Calibri"/>
          <w:kern w:val="2"/>
          <w:sz w:val="18"/>
          <w:szCs w:val="22"/>
          <w:lang w:eastAsia="en-US"/>
          <w14:ligatures w14:val="standardContextual"/>
        </w:rPr>
        <w:t>governanceregelingen</w:t>
      </w:r>
      <w:proofErr w:type="spellEnd"/>
      <w:r w:rsidRPr="00404117">
        <w:rPr>
          <w:rFonts w:ascii="Verdana" w:hAnsi="Verdana" w:eastAsia="Calibri"/>
          <w:kern w:val="2"/>
          <w:sz w:val="18"/>
          <w:szCs w:val="22"/>
          <w:lang w:eastAsia="en-US"/>
          <w14:ligatures w14:val="standardContextual"/>
        </w:rPr>
        <w:t xml:space="preserve"> en adequate interne controlemechanismen beschikken. Ook worden nadere regels gesteld over het uitbesteden van werkzaamheden door een </w:t>
      </w:r>
      <w:proofErr w:type="spellStart"/>
      <w:r w:rsidRPr="00404117">
        <w:rPr>
          <w:rFonts w:ascii="Verdana" w:hAnsi="Verdana" w:eastAsia="Calibri"/>
          <w:kern w:val="2"/>
          <w:sz w:val="18"/>
          <w:szCs w:val="22"/>
          <w:lang w:eastAsia="en-US"/>
          <w14:ligatures w14:val="standardContextual"/>
        </w:rPr>
        <w:t>kredietservicer</w:t>
      </w:r>
      <w:proofErr w:type="spellEnd"/>
      <w:r w:rsidRPr="00404117">
        <w:rPr>
          <w:rFonts w:ascii="Verdana" w:hAnsi="Verdana" w:eastAsia="Calibri"/>
          <w:kern w:val="2"/>
          <w:sz w:val="18"/>
          <w:szCs w:val="22"/>
          <w:lang w:eastAsia="en-US"/>
          <w14:ligatures w14:val="standardContextual"/>
        </w:rPr>
        <w:t xml:space="preserve">. De basis hiervoor is gelegen in artikel 4:16, derde lid, </w:t>
      </w:r>
      <w:proofErr w:type="spellStart"/>
      <w:r w:rsidRPr="00404117">
        <w:rPr>
          <w:rFonts w:ascii="Verdana" w:hAnsi="Verdana" w:eastAsia="Calibri"/>
          <w:kern w:val="2"/>
          <w:sz w:val="18"/>
          <w:szCs w:val="22"/>
          <w:lang w:eastAsia="en-US"/>
          <w14:ligatures w14:val="standardContextual"/>
        </w:rPr>
        <w:t>Wft</w:t>
      </w:r>
      <w:proofErr w:type="spellEnd"/>
      <w:r w:rsidRPr="00404117">
        <w:rPr>
          <w:rFonts w:ascii="Verdana" w:hAnsi="Verdana" w:eastAsia="Calibri"/>
          <w:kern w:val="2"/>
          <w:sz w:val="18"/>
          <w:szCs w:val="22"/>
          <w:lang w:eastAsia="en-US"/>
          <w14:ligatures w14:val="standardContextual"/>
        </w:rPr>
        <w:t xml:space="preserve">. Zo mag de uitbesteding van </w:t>
      </w:r>
      <w:proofErr w:type="spellStart"/>
      <w:r w:rsidRPr="00404117">
        <w:rPr>
          <w:rFonts w:ascii="Verdana" w:hAnsi="Verdana" w:eastAsia="Calibri"/>
          <w:kern w:val="2"/>
          <w:sz w:val="18"/>
          <w:szCs w:val="22"/>
          <w:lang w:eastAsia="en-US"/>
          <w14:ligatures w14:val="standardContextual"/>
        </w:rPr>
        <w:t>kredietservicingactiviteiten</w:t>
      </w:r>
      <w:proofErr w:type="spellEnd"/>
      <w:r w:rsidRPr="00404117">
        <w:rPr>
          <w:rFonts w:ascii="Verdana" w:hAnsi="Verdana" w:eastAsia="Calibri"/>
          <w:kern w:val="2"/>
          <w:sz w:val="18"/>
          <w:szCs w:val="22"/>
          <w:lang w:eastAsia="en-US"/>
          <w14:ligatures w14:val="standardContextual"/>
        </w:rPr>
        <w:t xml:space="preserve"> geen afbreuk doen op de naleving door de (uitbestedende) </w:t>
      </w:r>
      <w:proofErr w:type="spellStart"/>
      <w:r w:rsidRPr="00404117">
        <w:rPr>
          <w:rFonts w:ascii="Verdana" w:hAnsi="Verdana" w:eastAsia="Calibri"/>
          <w:kern w:val="2"/>
          <w:sz w:val="18"/>
          <w:szCs w:val="22"/>
          <w:lang w:eastAsia="en-US"/>
          <w14:ligatures w14:val="standardContextual"/>
        </w:rPr>
        <w:t>kredietservicer</w:t>
      </w:r>
      <w:proofErr w:type="spellEnd"/>
      <w:r w:rsidRPr="00404117">
        <w:rPr>
          <w:rFonts w:ascii="Verdana" w:hAnsi="Verdana" w:eastAsia="Calibri"/>
          <w:kern w:val="2"/>
          <w:sz w:val="18"/>
          <w:szCs w:val="22"/>
          <w:lang w:eastAsia="en-US"/>
          <w14:ligatures w14:val="standardContextual"/>
        </w:rPr>
        <w:t xml:space="preserve"> van de vergunning voorwaarden en dat de uitbesteding het adequaat toezicht door de bevoegde toezichthoudende instanties niet mag verhinderen. Ook worden op basis van artikel 4:17, derde lid, </w:t>
      </w:r>
      <w:proofErr w:type="spellStart"/>
      <w:r w:rsidRPr="00404117">
        <w:rPr>
          <w:rFonts w:ascii="Verdana" w:hAnsi="Verdana" w:eastAsia="Calibri"/>
          <w:kern w:val="2"/>
          <w:sz w:val="18"/>
          <w:szCs w:val="22"/>
          <w:lang w:eastAsia="en-US"/>
          <w14:ligatures w14:val="standardContextual"/>
        </w:rPr>
        <w:t>Wft</w:t>
      </w:r>
      <w:proofErr w:type="spellEnd"/>
      <w:r w:rsidRPr="00404117">
        <w:rPr>
          <w:rFonts w:ascii="Verdana" w:hAnsi="Verdana" w:eastAsia="Calibri"/>
          <w:kern w:val="2"/>
          <w:sz w:val="18"/>
          <w:szCs w:val="22"/>
          <w:lang w:eastAsia="en-US"/>
          <w14:ligatures w14:val="standardContextual"/>
        </w:rPr>
        <w:t xml:space="preserve">, bepalingen aan het </w:t>
      </w:r>
      <w:proofErr w:type="spellStart"/>
      <w:r w:rsidRPr="00404117">
        <w:rPr>
          <w:rFonts w:ascii="Verdana" w:hAnsi="Verdana" w:eastAsia="Calibri"/>
          <w:kern w:val="2"/>
          <w:sz w:val="18"/>
          <w:szCs w:val="22"/>
          <w:lang w:eastAsia="en-US"/>
          <w14:ligatures w14:val="standardContextual"/>
        </w:rPr>
        <w:t>BGfo</w:t>
      </w:r>
      <w:proofErr w:type="spellEnd"/>
      <w:r w:rsidRPr="00404117">
        <w:rPr>
          <w:rFonts w:ascii="Verdana" w:hAnsi="Verdana" w:eastAsia="Calibri"/>
          <w:kern w:val="2"/>
          <w:sz w:val="18"/>
          <w:szCs w:val="22"/>
          <w:lang w:eastAsia="en-US"/>
          <w14:ligatures w14:val="standardContextual"/>
        </w:rPr>
        <w:t xml:space="preserve"> toegevoegd over de behandeling van klachten van kredietnemers. Ten slotte leiden de artikelen 4:81d, derde lid, 4:81f, zesde lid, 4:81h, derde lid, en 4:81k, eerste lid, </w:t>
      </w:r>
      <w:proofErr w:type="spellStart"/>
      <w:r w:rsidRPr="00404117">
        <w:rPr>
          <w:rFonts w:ascii="Verdana" w:hAnsi="Verdana" w:eastAsia="Calibri"/>
          <w:kern w:val="2"/>
          <w:sz w:val="18"/>
          <w:szCs w:val="22"/>
          <w:lang w:eastAsia="en-US"/>
          <w14:ligatures w14:val="standardContextual"/>
        </w:rPr>
        <w:t>Wft</w:t>
      </w:r>
      <w:proofErr w:type="spellEnd"/>
      <w:r w:rsidRPr="00404117">
        <w:rPr>
          <w:rFonts w:ascii="Verdana" w:hAnsi="Verdana" w:eastAsia="Calibri"/>
          <w:kern w:val="2"/>
          <w:sz w:val="18"/>
          <w:szCs w:val="22"/>
          <w:lang w:eastAsia="en-US"/>
          <w14:ligatures w14:val="standardContextual"/>
        </w:rPr>
        <w:t xml:space="preserve">, tot aanvullende regels in het </w:t>
      </w:r>
      <w:proofErr w:type="spellStart"/>
      <w:r w:rsidRPr="00404117">
        <w:rPr>
          <w:rFonts w:ascii="Verdana" w:hAnsi="Verdana" w:eastAsia="Calibri"/>
          <w:kern w:val="2"/>
          <w:sz w:val="18"/>
          <w:szCs w:val="22"/>
          <w:lang w:eastAsia="en-US"/>
          <w14:ligatures w14:val="standardContextual"/>
        </w:rPr>
        <w:t>BGfo</w:t>
      </w:r>
      <w:proofErr w:type="spellEnd"/>
      <w:r w:rsidRPr="00404117">
        <w:rPr>
          <w:rFonts w:ascii="Verdana" w:hAnsi="Verdana" w:eastAsia="Calibri"/>
          <w:kern w:val="2"/>
          <w:sz w:val="18"/>
          <w:szCs w:val="22"/>
          <w:lang w:eastAsia="en-US"/>
          <w14:ligatures w14:val="standardContextual"/>
        </w:rPr>
        <w:t xml:space="preserve"> met betrekking tot het optreden als kredietkoper, </w:t>
      </w:r>
      <w:proofErr w:type="spellStart"/>
      <w:r w:rsidRPr="00404117">
        <w:rPr>
          <w:rFonts w:ascii="Verdana" w:hAnsi="Verdana" w:eastAsia="Calibri"/>
          <w:kern w:val="2"/>
          <w:sz w:val="18"/>
          <w:szCs w:val="22"/>
          <w:lang w:eastAsia="en-US"/>
          <w14:ligatures w14:val="standardContextual"/>
        </w:rPr>
        <w:t>kredietservicer</w:t>
      </w:r>
      <w:proofErr w:type="spellEnd"/>
      <w:r w:rsidRPr="00404117">
        <w:rPr>
          <w:rFonts w:ascii="Verdana" w:hAnsi="Verdana" w:eastAsia="Calibri"/>
          <w:kern w:val="2"/>
          <w:sz w:val="18"/>
          <w:szCs w:val="22"/>
          <w:lang w:eastAsia="en-US"/>
          <w14:ligatures w14:val="standardContextual"/>
        </w:rPr>
        <w:t xml:space="preserve"> of </w:t>
      </w:r>
      <w:proofErr w:type="spellStart"/>
      <w:r w:rsidRPr="00404117">
        <w:rPr>
          <w:rFonts w:ascii="Verdana" w:hAnsi="Verdana" w:eastAsia="Calibri"/>
          <w:kern w:val="2"/>
          <w:sz w:val="18"/>
          <w:szCs w:val="22"/>
          <w:lang w:eastAsia="en-US"/>
          <w14:ligatures w14:val="standardContextual"/>
        </w:rPr>
        <w:t>kredietservicingaanbieder</w:t>
      </w:r>
      <w:proofErr w:type="spellEnd"/>
      <w:r w:rsidRPr="00404117">
        <w:rPr>
          <w:rFonts w:ascii="Verdana" w:hAnsi="Verdana" w:eastAsia="Calibri"/>
          <w:kern w:val="2"/>
          <w:sz w:val="18"/>
          <w:szCs w:val="22"/>
          <w:lang w:eastAsia="en-US"/>
          <w14:ligatures w14:val="standardContextual"/>
        </w:rPr>
        <w:t xml:space="preserve">. Zo worden informatieverplichtingen uitgewerkt, zoals welke informatie door een </w:t>
      </w:r>
      <w:proofErr w:type="spellStart"/>
      <w:r w:rsidRPr="00404117">
        <w:rPr>
          <w:rFonts w:ascii="Verdana" w:hAnsi="Verdana" w:eastAsia="Calibri"/>
          <w:kern w:val="2"/>
          <w:sz w:val="18"/>
          <w:szCs w:val="22"/>
          <w:lang w:eastAsia="en-US"/>
          <w14:ligatures w14:val="standardContextual"/>
        </w:rPr>
        <w:t>kredietservicer</w:t>
      </w:r>
      <w:proofErr w:type="spellEnd"/>
      <w:r w:rsidRPr="00404117">
        <w:rPr>
          <w:rFonts w:ascii="Verdana" w:hAnsi="Verdana" w:eastAsia="Calibri"/>
          <w:kern w:val="2"/>
          <w:sz w:val="18"/>
          <w:szCs w:val="22"/>
          <w:lang w:eastAsia="en-US"/>
          <w14:ligatures w14:val="standardContextual"/>
        </w:rPr>
        <w:t xml:space="preserve"> of </w:t>
      </w:r>
      <w:proofErr w:type="spellStart"/>
      <w:r w:rsidRPr="00404117">
        <w:rPr>
          <w:rFonts w:ascii="Verdana" w:hAnsi="Verdana" w:eastAsia="Calibri"/>
          <w:kern w:val="2"/>
          <w:sz w:val="18"/>
          <w:szCs w:val="22"/>
          <w:lang w:eastAsia="en-US"/>
          <w14:ligatures w14:val="standardContextual"/>
        </w:rPr>
        <w:t>kredietservicingaanbieder</w:t>
      </w:r>
      <w:proofErr w:type="spellEnd"/>
      <w:r w:rsidRPr="00404117">
        <w:rPr>
          <w:rFonts w:ascii="Verdana" w:hAnsi="Verdana" w:eastAsia="Calibri"/>
          <w:kern w:val="2"/>
          <w:sz w:val="18"/>
          <w:szCs w:val="22"/>
          <w:lang w:eastAsia="en-US"/>
          <w14:ligatures w14:val="standardContextual"/>
        </w:rPr>
        <w:t xml:space="preserve"> moet worden meegedeeld aan een kredietnemer bij de overdracht van de rechten van een niet-renderende kredietovereenkomst, of van de niet-renderende kredietovereenkomst zelf.  Verder worden voorschriften gegeven voor het geval dat een </w:t>
      </w:r>
      <w:proofErr w:type="spellStart"/>
      <w:r w:rsidRPr="00404117">
        <w:rPr>
          <w:rFonts w:ascii="Verdana" w:hAnsi="Verdana" w:eastAsia="Calibri"/>
          <w:kern w:val="2"/>
          <w:sz w:val="18"/>
          <w:szCs w:val="22"/>
          <w:lang w:eastAsia="en-US"/>
          <w14:ligatures w14:val="standardContextual"/>
        </w:rPr>
        <w:t>kredietservicer</w:t>
      </w:r>
      <w:proofErr w:type="spellEnd"/>
      <w:r w:rsidRPr="00404117">
        <w:rPr>
          <w:rFonts w:ascii="Verdana" w:hAnsi="Verdana" w:eastAsia="Calibri"/>
          <w:kern w:val="2"/>
          <w:sz w:val="18"/>
          <w:szCs w:val="22"/>
          <w:lang w:eastAsia="en-US"/>
          <w14:ligatures w14:val="standardContextual"/>
        </w:rPr>
        <w:t xml:space="preserve"> de ontvangen geldmiddelen aanhoudt op een uitsluitend daartoe bestemde (bank)rekening en wordt bepaald welke informatie een kredietkoper aan de AFM moet verstrekken zoals de </w:t>
      </w:r>
      <w:r w:rsidRPr="00404117">
        <w:rPr>
          <w:rFonts w:ascii="Verdana" w:hAnsi="Verdana" w:eastAsia="Calibri"/>
          <w:i/>
          <w:iCs/>
          <w:kern w:val="2"/>
          <w:sz w:val="18"/>
          <w:szCs w:val="22"/>
          <w:lang w:eastAsia="en-US"/>
          <w14:ligatures w14:val="standardContextual"/>
        </w:rPr>
        <w:t xml:space="preserve">Legal Identity </w:t>
      </w:r>
      <w:proofErr w:type="spellStart"/>
      <w:r w:rsidRPr="00404117">
        <w:rPr>
          <w:rFonts w:ascii="Verdana" w:hAnsi="Verdana" w:eastAsia="Calibri"/>
          <w:i/>
          <w:iCs/>
          <w:kern w:val="2"/>
          <w:sz w:val="18"/>
          <w:szCs w:val="22"/>
          <w:lang w:eastAsia="en-US"/>
          <w14:ligatures w14:val="standardContextual"/>
        </w:rPr>
        <w:t>Identifier</w:t>
      </w:r>
      <w:proofErr w:type="spellEnd"/>
      <w:r w:rsidRPr="00404117">
        <w:rPr>
          <w:rFonts w:ascii="Verdana" w:hAnsi="Verdana" w:eastAsia="Calibri"/>
          <w:kern w:val="2"/>
          <w:sz w:val="18"/>
          <w:szCs w:val="22"/>
          <w:lang w:eastAsia="en-US"/>
          <w14:ligatures w14:val="standardContextual"/>
        </w:rPr>
        <w:t>, LEI, van de nieuwe kredietkoper.</w:t>
      </w:r>
    </w:p>
    <w:p w:rsidRPr="00404117" w:rsidR="00404117" w:rsidP="008D1814" w:rsidRDefault="00404117" w14:paraId="62DEB98A" w14:textId="77777777">
      <w:pPr>
        <w:spacing w:after="160" w:line="276" w:lineRule="auto"/>
        <w:rPr>
          <w:rFonts w:ascii="Verdana" w:hAnsi="Verdana" w:eastAsia="Calibri"/>
          <w:kern w:val="2"/>
          <w:sz w:val="18"/>
          <w:szCs w:val="22"/>
          <w:lang w:eastAsia="en-US"/>
          <w14:ligatures w14:val="standardContextual"/>
        </w:rPr>
      </w:pPr>
      <w:r w:rsidRPr="00404117">
        <w:rPr>
          <w:rFonts w:ascii="Verdana" w:hAnsi="Verdana" w:eastAsia="Calibri"/>
          <w:kern w:val="2"/>
          <w:sz w:val="18"/>
          <w:szCs w:val="22"/>
          <w:lang w:eastAsia="en-US"/>
          <w14:ligatures w14:val="standardContextual"/>
        </w:rPr>
        <w:t xml:space="preserve">De implementatie van de richtlijn leidt ook tot aanpassing van het Besluit Markttoegang financiële ondernemingen </w:t>
      </w:r>
      <w:proofErr w:type="spellStart"/>
      <w:r w:rsidRPr="00404117">
        <w:rPr>
          <w:rFonts w:ascii="Verdana" w:hAnsi="Verdana" w:eastAsia="Calibri"/>
          <w:kern w:val="2"/>
          <w:sz w:val="18"/>
          <w:szCs w:val="22"/>
          <w:lang w:eastAsia="en-US"/>
          <w14:ligatures w14:val="standardContextual"/>
        </w:rPr>
        <w:t>Wft</w:t>
      </w:r>
      <w:proofErr w:type="spellEnd"/>
      <w:r w:rsidRPr="00404117">
        <w:rPr>
          <w:rFonts w:ascii="Verdana" w:hAnsi="Verdana" w:eastAsia="Calibri"/>
          <w:kern w:val="2"/>
          <w:sz w:val="18"/>
          <w:szCs w:val="22"/>
          <w:lang w:eastAsia="en-US"/>
          <w14:ligatures w14:val="standardContextual"/>
        </w:rPr>
        <w:t xml:space="preserve"> (</w:t>
      </w:r>
      <w:proofErr w:type="spellStart"/>
      <w:r w:rsidRPr="00404117">
        <w:rPr>
          <w:rFonts w:ascii="Verdana" w:hAnsi="Verdana" w:eastAsia="Calibri"/>
          <w:kern w:val="2"/>
          <w:sz w:val="18"/>
          <w:szCs w:val="22"/>
          <w:lang w:eastAsia="en-US"/>
          <w14:ligatures w14:val="standardContextual"/>
        </w:rPr>
        <w:t>Bmfo</w:t>
      </w:r>
      <w:proofErr w:type="spellEnd"/>
      <w:r w:rsidRPr="00404117">
        <w:rPr>
          <w:rFonts w:ascii="Verdana" w:hAnsi="Verdana" w:eastAsia="Calibri"/>
          <w:kern w:val="2"/>
          <w:sz w:val="18"/>
          <w:szCs w:val="22"/>
          <w:lang w:eastAsia="en-US"/>
          <w14:ligatures w14:val="standardContextual"/>
        </w:rPr>
        <w:t xml:space="preserve"> </w:t>
      </w:r>
      <w:proofErr w:type="spellStart"/>
      <w:r w:rsidRPr="00404117">
        <w:rPr>
          <w:rFonts w:ascii="Verdana" w:hAnsi="Verdana" w:eastAsia="Calibri"/>
          <w:kern w:val="2"/>
          <w:sz w:val="18"/>
          <w:szCs w:val="22"/>
          <w:lang w:eastAsia="en-US"/>
          <w14:ligatures w14:val="standardContextual"/>
        </w:rPr>
        <w:t>Wft</w:t>
      </w:r>
      <w:proofErr w:type="spellEnd"/>
      <w:r w:rsidRPr="00404117">
        <w:rPr>
          <w:rFonts w:ascii="Verdana" w:hAnsi="Verdana" w:eastAsia="Calibri"/>
          <w:kern w:val="2"/>
          <w:sz w:val="18"/>
          <w:szCs w:val="22"/>
          <w:lang w:eastAsia="en-US"/>
          <w14:ligatures w14:val="standardContextual"/>
        </w:rPr>
        <w:t xml:space="preserve">). De grondslag hiervoor is opgenomen in artikel 2:64c, tweede lid, </w:t>
      </w:r>
      <w:proofErr w:type="spellStart"/>
      <w:r w:rsidRPr="00404117">
        <w:rPr>
          <w:rFonts w:ascii="Verdana" w:hAnsi="Verdana" w:eastAsia="Calibri"/>
          <w:kern w:val="2"/>
          <w:sz w:val="18"/>
          <w:szCs w:val="22"/>
          <w:lang w:eastAsia="en-US"/>
          <w14:ligatures w14:val="standardContextual"/>
        </w:rPr>
        <w:t>Wft</w:t>
      </w:r>
      <w:proofErr w:type="spellEnd"/>
      <w:r w:rsidRPr="00404117">
        <w:rPr>
          <w:rFonts w:ascii="Verdana" w:hAnsi="Verdana" w:eastAsia="Calibri"/>
          <w:kern w:val="2"/>
          <w:sz w:val="18"/>
          <w:szCs w:val="22"/>
          <w:lang w:eastAsia="en-US"/>
          <w14:ligatures w14:val="standardContextual"/>
        </w:rPr>
        <w:t xml:space="preserve">. Het betreft de informatie die moet worden aangeleverd bij een vergunningaanvraag voor het in Nederland uitoefenen van het bedrijf van </w:t>
      </w:r>
      <w:proofErr w:type="spellStart"/>
      <w:r w:rsidRPr="00404117">
        <w:rPr>
          <w:rFonts w:ascii="Verdana" w:hAnsi="Verdana" w:eastAsia="Calibri"/>
          <w:kern w:val="2"/>
          <w:sz w:val="18"/>
          <w:szCs w:val="22"/>
          <w:lang w:eastAsia="en-US"/>
          <w14:ligatures w14:val="standardContextual"/>
        </w:rPr>
        <w:t>kredietservicer</w:t>
      </w:r>
      <w:proofErr w:type="spellEnd"/>
      <w:r w:rsidRPr="00404117">
        <w:rPr>
          <w:rFonts w:ascii="Verdana" w:hAnsi="Verdana" w:eastAsia="Calibri"/>
          <w:kern w:val="2"/>
          <w:sz w:val="18"/>
          <w:szCs w:val="22"/>
          <w:lang w:eastAsia="en-US"/>
          <w14:ligatures w14:val="standardContextual"/>
        </w:rPr>
        <w:t xml:space="preserve">. Het gaat onder andere om gegevens over deze rechtspersoon, het voldoen aan geschiktheids- of betrouwbaarheidseisen voor beleidsbepalers van een </w:t>
      </w:r>
      <w:proofErr w:type="spellStart"/>
      <w:r w:rsidRPr="00404117">
        <w:rPr>
          <w:rFonts w:ascii="Verdana" w:hAnsi="Verdana" w:eastAsia="Calibri"/>
          <w:kern w:val="2"/>
          <w:sz w:val="18"/>
          <w:szCs w:val="22"/>
          <w:lang w:eastAsia="en-US"/>
          <w14:ligatures w14:val="standardContextual"/>
        </w:rPr>
        <w:t>kredietservicer</w:t>
      </w:r>
      <w:proofErr w:type="spellEnd"/>
      <w:r w:rsidRPr="00404117">
        <w:rPr>
          <w:rFonts w:ascii="Verdana" w:hAnsi="Verdana" w:eastAsia="Calibri"/>
          <w:kern w:val="2"/>
          <w:sz w:val="18"/>
          <w:szCs w:val="22"/>
          <w:lang w:eastAsia="en-US"/>
          <w14:ligatures w14:val="standardContextual"/>
        </w:rPr>
        <w:t xml:space="preserve">, en informatie bij een eventuele uitbesteding van </w:t>
      </w:r>
      <w:proofErr w:type="spellStart"/>
      <w:r w:rsidRPr="00404117">
        <w:rPr>
          <w:rFonts w:ascii="Verdana" w:hAnsi="Verdana" w:eastAsia="Calibri"/>
          <w:kern w:val="2"/>
          <w:sz w:val="18"/>
          <w:szCs w:val="22"/>
          <w:lang w:eastAsia="en-US"/>
          <w14:ligatures w14:val="standardContextual"/>
        </w:rPr>
        <w:t>kredietservicingactiviteiten</w:t>
      </w:r>
      <w:proofErr w:type="spellEnd"/>
      <w:r w:rsidRPr="00404117">
        <w:rPr>
          <w:rFonts w:ascii="Verdana" w:hAnsi="Verdana" w:eastAsia="Calibri"/>
          <w:kern w:val="2"/>
          <w:sz w:val="18"/>
          <w:szCs w:val="22"/>
          <w:lang w:eastAsia="en-US"/>
          <w14:ligatures w14:val="standardContextual"/>
        </w:rPr>
        <w:t>.</w:t>
      </w:r>
    </w:p>
    <w:p w:rsidRPr="00404117" w:rsidR="00404117" w:rsidP="008D1814" w:rsidRDefault="00404117" w14:paraId="1580DB05" w14:textId="77777777">
      <w:pPr>
        <w:spacing w:after="160" w:line="276" w:lineRule="auto"/>
        <w:rPr>
          <w:rFonts w:ascii="Verdana" w:hAnsi="Verdana" w:eastAsia="Calibri"/>
          <w:kern w:val="2"/>
          <w:sz w:val="18"/>
          <w:szCs w:val="18"/>
          <w:lang w:eastAsia="en-US"/>
          <w14:ligatures w14:val="standardContextual"/>
        </w:rPr>
      </w:pPr>
      <w:r w:rsidRPr="00404117">
        <w:rPr>
          <w:rFonts w:ascii="Verdana" w:hAnsi="Verdana" w:eastAsia="Calibri"/>
          <w:kern w:val="2"/>
          <w:sz w:val="18"/>
          <w:szCs w:val="18"/>
          <w:lang w:eastAsia="en-US"/>
          <w14:ligatures w14:val="standardContextual"/>
        </w:rPr>
        <w:t xml:space="preserve">In het Besluit bestuurlijke boetes financiële sector wordt het niet naleven van artikelen in de </w:t>
      </w:r>
      <w:proofErr w:type="spellStart"/>
      <w:r w:rsidRPr="00404117">
        <w:rPr>
          <w:rFonts w:ascii="Verdana" w:hAnsi="Verdana" w:eastAsia="Calibri"/>
          <w:kern w:val="2"/>
          <w:sz w:val="18"/>
          <w:szCs w:val="18"/>
          <w:lang w:eastAsia="en-US"/>
          <w14:ligatures w14:val="standardContextual"/>
        </w:rPr>
        <w:t>Wft</w:t>
      </w:r>
      <w:proofErr w:type="spellEnd"/>
      <w:r w:rsidRPr="00404117">
        <w:rPr>
          <w:rFonts w:ascii="Verdana" w:hAnsi="Verdana" w:eastAsia="Calibri"/>
          <w:kern w:val="2"/>
          <w:sz w:val="18"/>
          <w:szCs w:val="18"/>
          <w:lang w:eastAsia="en-US"/>
          <w14:ligatures w14:val="standardContextual"/>
        </w:rPr>
        <w:t xml:space="preserve"> en het </w:t>
      </w:r>
      <w:proofErr w:type="spellStart"/>
      <w:r w:rsidRPr="00404117">
        <w:rPr>
          <w:rFonts w:ascii="Verdana" w:hAnsi="Verdana" w:eastAsia="Calibri"/>
          <w:kern w:val="2"/>
          <w:sz w:val="18"/>
          <w:szCs w:val="18"/>
          <w:lang w:eastAsia="en-US"/>
          <w14:ligatures w14:val="standardContextual"/>
        </w:rPr>
        <w:t>BGfo</w:t>
      </w:r>
      <w:proofErr w:type="spellEnd"/>
      <w:r w:rsidRPr="00404117">
        <w:rPr>
          <w:rFonts w:ascii="Verdana" w:hAnsi="Verdana" w:eastAsia="Calibri"/>
          <w:kern w:val="2"/>
          <w:sz w:val="18"/>
          <w:szCs w:val="18"/>
          <w:lang w:eastAsia="en-US"/>
          <w14:ligatures w14:val="standardContextual"/>
        </w:rPr>
        <w:t xml:space="preserve"> ter implementatie van de richtlijn, zoals de vergunningplicht voor </w:t>
      </w:r>
      <w:proofErr w:type="spellStart"/>
      <w:r w:rsidRPr="00404117">
        <w:rPr>
          <w:rFonts w:ascii="Verdana" w:hAnsi="Verdana" w:eastAsia="Calibri"/>
          <w:kern w:val="2"/>
          <w:sz w:val="18"/>
          <w:szCs w:val="18"/>
          <w:lang w:eastAsia="en-US"/>
          <w14:ligatures w14:val="standardContextual"/>
        </w:rPr>
        <w:t>kredietservicers</w:t>
      </w:r>
      <w:proofErr w:type="spellEnd"/>
      <w:r w:rsidRPr="00404117">
        <w:rPr>
          <w:rFonts w:ascii="Verdana" w:hAnsi="Verdana" w:eastAsia="Calibri"/>
          <w:kern w:val="2"/>
          <w:sz w:val="18"/>
          <w:szCs w:val="18"/>
          <w:lang w:eastAsia="en-US"/>
          <w14:ligatures w14:val="standardContextual"/>
        </w:rPr>
        <w:t xml:space="preserve"> en de regels voor uitbesteding van </w:t>
      </w:r>
      <w:proofErr w:type="spellStart"/>
      <w:r w:rsidRPr="00404117">
        <w:rPr>
          <w:rFonts w:ascii="Verdana" w:hAnsi="Verdana" w:eastAsia="Calibri"/>
          <w:kern w:val="2"/>
          <w:sz w:val="18"/>
          <w:szCs w:val="18"/>
          <w:lang w:eastAsia="en-US"/>
          <w14:ligatures w14:val="standardContextual"/>
        </w:rPr>
        <w:t>kredietservicingactiviteiten</w:t>
      </w:r>
      <w:proofErr w:type="spellEnd"/>
      <w:r w:rsidRPr="00404117">
        <w:rPr>
          <w:rFonts w:ascii="Verdana" w:hAnsi="Verdana" w:eastAsia="Calibri"/>
          <w:kern w:val="2"/>
          <w:sz w:val="18"/>
          <w:szCs w:val="18"/>
          <w:lang w:eastAsia="en-US"/>
          <w14:ligatures w14:val="standardContextual"/>
        </w:rPr>
        <w:t xml:space="preserve">, </w:t>
      </w:r>
      <w:proofErr w:type="spellStart"/>
      <w:r w:rsidRPr="00404117">
        <w:rPr>
          <w:rFonts w:ascii="Verdana" w:hAnsi="Verdana" w:eastAsia="Calibri"/>
          <w:kern w:val="2"/>
          <w:sz w:val="18"/>
          <w:szCs w:val="18"/>
          <w:lang w:eastAsia="en-US"/>
          <w14:ligatures w14:val="standardContextual"/>
        </w:rPr>
        <w:t>beboetbaar</w:t>
      </w:r>
      <w:proofErr w:type="spellEnd"/>
      <w:r w:rsidRPr="00404117">
        <w:rPr>
          <w:rFonts w:ascii="Verdana" w:hAnsi="Verdana" w:eastAsia="Calibri"/>
          <w:kern w:val="2"/>
          <w:sz w:val="18"/>
          <w:szCs w:val="18"/>
          <w:lang w:eastAsia="en-US"/>
          <w14:ligatures w14:val="standardContextual"/>
        </w:rPr>
        <w:t xml:space="preserve"> gesteld.</w:t>
      </w:r>
    </w:p>
    <w:p w:rsidRPr="00404117" w:rsidR="00404117" w:rsidP="008D1814" w:rsidRDefault="00404117" w14:paraId="0B5F1A46" w14:textId="77777777">
      <w:pPr>
        <w:spacing w:after="160" w:line="276" w:lineRule="auto"/>
        <w:rPr>
          <w:rFonts w:ascii="Verdana" w:hAnsi="Verdana" w:eastAsia="Calibri"/>
          <w:kern w:val="2"/>
          <w:sz w:val="18"/>
          <w:szCs w:val="18"/>
          <w:lang w:eastAsia="en-US"/>
          <w14:ligatures w14:val="standardContextual"/>
        </w:rPr>
      </w:pPr>
      <w:r w:rsidRPr="00404117">
        <w:rPr>
          <w:rFonts w:ascii="Verdana" w:hAnsi="Verdana" w:eastAsia="Calibri"/>
          <w:kern w:val="2"/>
          <w:sz w:val="18"/>
          <w:szCs w:val="18"/>
          <w:lang w:eastAsia="en-US"/>
          <w14:ligatures w14:val="standardContextual"/>
        </w:rPr>
        <w:t xml:space="preserve">Door wijziging van het Besluit bekostiging financieel toezicht 2019 kan de AFM een heffing in rekening brengen voor het doorlopend toezicht op </w:t>
      </w:r>
      <w:proofErr w:type="spellStart"/>
      <w:r w:rsidRPr="00404117">
        <w:rPr>
          <w:rFonts w:ascii="Verdana" w:hAnsi="Verdana" w:eastAsia="Calibri"/>
          <w:kern w:val="2"/>
          <w:sz w:val="18"/>
          <w:szCs w:val="18"/>
          <w:lang w:eastAsia="en-US"/>
          <w14:ligatures w14:val="standardContextual"/>
        </w:rPr>
        <w:t>kredietservicers</w:t>
      </w:r>
      <w:proofErr w:type="spellEnd"/>
      <w:r w:rsidRPr="00404117">
        <w:rPr>
          <w:rFonts w:ascii="Verdana" w:hAnsi="Verdana" w:eastAsia="Calibri"/>
          <w:kern w:val="2"/>
          <w:sz w:val="18"/>
          <w:szCs w:val="18"/>
          <w:lang w:eastAsia="en-US"/>
          <w14:ligatures w14:val="standardContextual"/>
        </w:rPr>
        <w:t>. Ook de op dit besluit gebaseerde Regeling bekostiging financieel toezicht 2024 zal hiervoor worden aangepast.</w:t>
      </w:r>
    </w:p>
    <w:p w:rsidRPr="00404117" w:rsidR="00404117" w:rsidP="008D1814" w:rsidRDefault="00404117" w14:paraId="5A7F9F88" w14:textId="77777777">
      <w:pPr>
        <w:spacing w:after="160" w:line="276" w:lineRule="auto"/>
        <w:rPr>
          <w:rFonts w:ascii="Verdana" w:hAnsi="Verdana" w:eastAsia="Calibri"/>
          <w:kern w:val="2"/>
          <w:sz w:val="18"/>
          <w:szCs w:val="22"/>
          <w:lang w:eastAsia="en-US"/>
          <w14:ligatures w14:val="standardContextual"/>
        </w:rPr>
      </w:pPr>
      <w:r w:rsidRPr="00404117">
        <w:rPr>
          <w:rFonts w:ascii="Verdana" w:hAnsi="Verdana" w:eastAsia="Calibri"/>
          <w:kern w:val="2"/>
          <w:sz w:val="18"/>
          <w:szCs w:val="22"/>
          <w:lang w:eastAsia="en-US"/>
          <w14:ligatures w14:val="standardContextual"/>
        </w:rPr>
        <w:t xml:space="preserve">In de Regeling taakuitoefening en grensoverschrijdende samenwerking financiële toezichthouders </w:t>
      </w:r>
      <w:proofErr w:type="spellStart"/>
      <w:r w:rsidRPr="00404117">
        <w:rPr>
          <w:rFonts w:ascii="Verdana" w:hAnsi="Verdana" w:eastAsia="Calibri"/>
          <w:kern w:val="2"/>
          <w:sz w:val="18"/>
          <w:szCs w:val="22"/>
          <w:lang w:eastAsia="en-US"/>
          <w14:ligatures w14:val="standardContextual"/>
        </w:rPr>
        <w:t>Wft</w:t>
      </w:r>
      <w:proofErr w:type="spellEnd"/>
      <w:r w:rsidRPr="00404117">
        <w:rPr>
          <w:rFonts w:ascii="Verdana" w:hAnsi="Verdana" w:eastAsia="Calibri"/>
          <w:kern w:val="2"/>
          <w:sz w:val="18"/>
          <w:szCs w:val="22"/>
          <w:lang w:eastAsia="en-US"/>
          <w14:ligatures w14:val="standardContextual"/>
        </w:rPr>
        <w:t xml:space="preserve"> (</w:t>
      </w:r>
      <w:proofErr w:type="spellStart"/>
      <w:r w:rsidRPr="00404117">
        <w:rPr>
          <w:rFonts w:ascii="Verdana" w:hAnsi="Verdana" w:eastAsia="Calibri"/>
          <w:kern w:val="2"/>
          <w:sz w:val="18"/>
          <w:szCs w:val="22"/>
          <w:lang w:eastAsia="en-US"/>
          <w14:ligatures w14:val="standardContextual"/>
        </w:rPr>
        <w:t>Rtgs</w:t>
      </w:r>
      <w:proofErr w:type="spellEnd"/>
      <w:r w:rsidRPr="00404117">
        <w:rPr>
          <w:rFonts w:ascii="Verdana" w:hAnsi="Verdana" w:eastAsia="Calibri"/>
          <w:kern w:val="2"/>
          <w:sz w:val="18"/>
          <w:szCs w:val="22"/>
          <w:lang w:eastAsia="en-US"/>
          <w14:ligatures w14:val="standardContextual"/>
        </w:rPr>
        <w:t xml:space="preserve">) wordt bepaald dat de AFM, in geval van grensoverschrijdende dienstverlening van een </w:t>
      </w:r>
      <w:proofErr w:type="spellStart"/>
      <w:r w:rsidRPr="00404117">
        <w:rPr>
          <w:rFonts w:ascii="Verdana" w:hAnsi="Verdana" w:eastAsia="Calibri"/>
          <w:kern w:val="2"/>
          <w:sz w:val="18"/>
          <w:szCs w:val="22"/>
          <w:lang w:eastAsia="en-US"/>
          <w14:ligatures w14:val="standardContextual"/>
        </w:rPr>
        <w:t>kredietservicer</w:t>
      </w:r>
      <w:proofErr w:type="spellEnd"/>
      <w:r w:rsidRPr="00404117">
        <w:rPr>
          <w:rFonts w:ascii="Verdana" w:hAnsi="Verdana" w:eastAsia="Calibri"/>
          <w:kern w:val="2"/>
          <w:sz w:val="18"/>
          <w:szCs w:val="22"/>
          <w:lang w:eastAsia="en-US"/>
          <w14:ligatures w14:val="standardContextual"/>
        </w:rPr>
        <w:t xml:space="preserve"> met zetel in Nederland, de toezichthoudende instanties van de andere betrokken lidstaten informeert. Ook wordt bepaald welke informatie de AFM dan doorgeeft. De grondslagen hiervoor zijn opgenomen in de artikelen 4:81j en 4:81k </w:t>
      </w:r>
      <w:proofErr w:type="spellStart"/>
      <w:r w:rsidRPr="00404117">
        <w:rPr>
          <w:rFonts w:ascii="Verdana" w:hAnsi="Verdana" w:eastAsia="Calibri"/>
          <w:kern w:val="2"/>
          <w:sz w:val="18"/>
          <w:szCs w:val="22"/>
          <w:lang w:eastAsia="en-US"/>
          <w14:ligatures w14:val="standardContextual"/>
        </w:rPr>
        <w:t>Wft</w:t>
      </w:r>
      <w:proofErr w:type="spellEnd"/>
      <w:r w:rsidRPr="00404117">
        <w:rPr>
          <w:rFonts w:ascii="Verdana" w:hAnsi="Verdana" w:eastAsia="Calibri"/>
          <w:kern w:val="2"/>
          <w:sz w:val="18"/>
          <w:szCs w:val="22"/>
          <w:lang w:eastAsia="en-US"/>
          <w14:ligatures w14:val="standardContextual"/>
        </w:rPr>
        <w:t>.</w:t>
      </w:r>
    </w:p>
    <w:p w:rsidRPr="00404117" w:rsidR="00404117" w:rsidP="008D1814" w:rsidRDefault="00404117" w14:paraId="6D1815C5" w14:textId="40D795DD">
      <w:pPr>
        <w:spacing w:after="160" w:line="276" w:lineRule="auto"/>
        <w:rPr>
          <w:rFonts w:ascii="Verdana" w:hAnsi="Verdana" w:eastAsia="Calibri"/>
          <w:kern w:val="2"/>
          <w:sz w:val="18"/>
          <w:szCs w:val="18"/>
          <w:lang w:eastAsia="en-US"/>
          <w14:ligatures w14:val="standardContextual"/>
        </w:rPr>
      </w:pPr>
      <w:r w:rsidRPr="00404117">
        <w:rPr>
          <w:rFonts w:ascii="Verdana" w:hAnsi="Verdana" w:eastAsia="Calibri"/>
          <w:kern w:val="2"/>
          <w:sz w:val="18"/>
          <w:szCs w:val="18"/>
          <w:lang w:eastAsia="en-US"/>
          <w14:ligatures w14:val="standardContextual"/>
        </w:rPr>
        <w:t xml:space="preserve">Voor het vaststellen van deze nadere regels is in de </w:t>
      </w:r>
      <w:proofErr w:type="spellStart"/>
      <w:r w:rsidRPr="00404117">
        <w:rPr>
          <w:rFonts w:ascii="Verdana" w:hAnsi="Verdana" w:eastAsia="Calibri"/>
          <w:kern w:val="2"/>
          <w:sz w:val="18"/>
          <w:szCs w:val="18"/>
          <w:lang w:eastAsia="en-US"/>
          <w14:ligatures w14:val="standardContextual"/>
        </w:rPr>
        <w:t>Wft</w:t>
      </w:r>
      <w:proofErr w:type="spellEnd"/>
      <w:r w:rsidRPr="00404117">
        <w:rPr>
          <w:rFonts w:ascii="Verdana" w:hAnsi="Verdana" w:eastAsia="Calibri"/>
          <w:kern w:val="2"/>
          <w:sz w:val="18"/>
          <w:szCs w:val="18"/>
          <w:lang w:eastAsia="en-US"/>
          <w14:ligatures w14:val="standardContextual"/>
        </w:rPr>
        <w:t xml:space="preserve"> geen parlementaire betrokkenheid</w:t>
      </w:r>
      <w:r w:rsidR="009F775A">
        <w:rPr>
          <w:rFonts w:ascii="Verdana" w:hAnsi="Verdana" w:eastAsia="Calibri"/>
          <w:kern w:val="2"/>
          <w:sz w:val="18"/>
          <w:szCs w:val="18"/>
          <w:lang w:eastAsia="en-US"/>
          <w14:ligatures w14:val="standardContextual"/>
        </w:rPr>
        <w:t xml:space="preserve"> </w:t>
      </w:r>
      <w:r w:rsidRPr="00404117">
        <w:rPr>
          <w:rFonts w:ascii="Verdana" w:hAnsi="Verdana" w:eastAsia="Calibri"/>
          <w:kern w:val="2"/>
          <w:sz w:val="18"/>
          <w:szCs w:val="18"/>
          <w:lang w:eastAsia="en-US"/>
          <w14:ligatures w14:val="standardContextual"/>
        </w:rPr>
        <w:t xml:space="preserve">voorgeschreven. </w:t>
      </w:r>
    </w:p>
    <w:p w:rsidRPr="00404117" w:rsidR="00404117" w:rsidP="008D1814" w:rsidRDefault="00404117" w14:paraId="50081FF3" w14:textId="77777777">
      <w:pPr>
        <w:spacing w:after="160" w:line="276" w:lineRule="auto"/>
        <w:rPr>
          <w:rFonts w:ascii="Verdana" w:hAnsi="Verdana" w:eastAsia="Calibri"/>
          <w:i/>
          <w:iCs/>
          <w:kern w:val="2"/>
          <w:sz w:val="18"/>
          <w:szCs w:val="18"/>
          <w:lang w:eastAsia="en-US"/>
          <w14:ligatures w14:val="standardContextual"/>
        </w:rPr>
      </w:pPr>
    </w:p>
    <w:p w:rsidRPr="00404117" w:rsidR="00404117" w:rsidP="008D1814" w:rsidRDefault="00404117" w14:paraId="62BE9101" w14:textId="77777777">
      <w:pPr>
        <w:spacing w:after="160" w:line="276" w:lineRule="auto"/>
        <w:rPr>
          <w:rFonts w:ascii="Verdana" w:hAnsi="Verdana" w:eastAsia="Calibri"/>
          <w:b/>
          <w:bCs/>
          <w:i/>
          <w:iCs/>
          <w:kern w:val="2"/>
          <w:sz w:val="18"/>
          <w:szCs w:val="18"/>
          <w:lang w:eastAsia="en-US"/>
          <w14:ligatures w14:val="standardContextual"/>
        </w:rPr>
      </w:pPr>
      <w:r w:rsidRPr="00404117">
        <w:rPr>
          <w:rFonts w:ascii="Verdana" w:hAnsi="Verdana" w:eastAsia="Calibri"/>
          <w:b/>
          <w:bCs/>
          <w:i/>
          <w:iCs/>
          <w:kern w:val="2"/>
          <w:sz w:val="18"/>
          <w:szCs w:val="18"/>
          <w:lang w:eastAsia="en-US"/>
          <w14:ligatures w14:val="standardContextual"/>
        </w:rPr>
        <w:t xml:space="preserve">§ 5. Hoofdlijnen van het voorstel </w:t>
      </w:r>
    </w:p>
    <w:p w:rsidRPr="00404117" w:rsidR="00404117" w:rsidP="008D1814" w:rsidRDefault="00404117" w14:paraId="43CDCA80" w14:textId="77777777">
      <w:pPr>
        <w:spacing w:after="160" w:line="276" w:lineRule="auto"/>
        <w:rPr>
          <w:rFonts w:ascii="Verdana" w:hAnsi="Verdana" w:eastAsia="Calibri"/>
          <w:i/>
          <w:iCs/>
          <w:kern w:val="2"/>
          <w:sz w:val="18"/>
          <w:szCs w:val="18"/>
          <w:lang w:eastAsia="en-US"/>
          <w14:ligatures w14:val="standardContextual"/>
        </w:rPr>
      </w:pPr>
      <w:r w:rsidRPr="00404117">
        <w:rPr>
          <w:rFonts w:ascii="Verdana" w:hAnsi="Verdana" w:eastAsia="Calibri"/>
          <w:i/>
          <w:iCs/>
          <w:kern w:val="2"/>
          <w:sz w:val="18"/>
          <w:szCs w:val="18"/>
          <w:lang w:eastAsia="en-US"/>
          <w14:ligatures w14:val="standardContextual"/>
        </w:rPr>
        <w:t>De leden van de VVD-fractie begrijpen dat notarissen, advocaten en deurwaarders zijn vrijgesteld van de richtlijn. Ook Europese banken, aanbieders van krediet, beheerders van beleggingsinstellingen en beheerders van instellingen voor collectieve belegging in effecten (</w:t>
      </w:r>
      <w:proofErr w:type="spellStart"/>
      <w:r w:rsidRPr="00404117">
        <w:rPr>
          <w:rFonts w:ascii="Verdana" w:hAnsi="Verdana" w:eastAsia="Calibri"/>
          <w:i/>
          <w:iCs/>
          <w:kern w:val="2"/>
          <w:sz w:val="18"/>
          <w:szCs w:val="18"/>
          <w:lang w:eastAsia="en-US"/>
          <w14:ligatures w14:val="standardContextual"/>
        </w:rPr>
        <w:t>icbe’s</w:t>
      </w:r>
      <w:proofErr w:type="spellEnd"/>
      <w:r w:rsidRPr="00404117">
        <w:rPr>
          <w:rFonts w:ascii="Verdana" w:hAnsi="Verdana" w:eastAsia="Calibri"/>
          <w:i/>
          <w:iCs/>
          <w:kern w:val="2"/>
          <w:sz w:val="18"/>
          <w:szCs w:val="18"/>
          <w:lang w:eastAsia="en-US"/>
          <w14:ligatures w14:val="standardContextual"/>
        </w:rPr>
        <w:t>) zijn uitgezonderd van de reikwijdte van de richtlijn. Hiermee lijkt de regelgeving maar van toepassing op een heel beperkt aantal partijen. In hoeverre is deze regelgeving dan nog proportioneel? Waarom is er dan nog sprake van een gelijk speelveld?</w:t>
      </w:r>
    </w:p>
    <w:p w:rsidRPr="00404117" w:rsidR="00404117" w:rsidP="008D1814" w:rsidRDefault="00404117" w14:paraId="48DE62FF" w14:textId="77777777">
      <w:pPr>
        <w:spacing w:after="160" w:line="276" w:lineRule="auto"/>
        <w:rPr>
          <w:rFonts w:ascii="Verdana" w:hAnsi="Verdana" w:eastAsia="Calibri" w:cs="Aptos"/>
          <w:sz w:val="18"/>
          <w:szCs w:val="22"/>
          <w:lang w:eastAsia="en-US"/>
          <w14:ligatures w14:val="standardContextual"/>
        </w:rPr>
      </w:pPr>
      <w:bookmarkStart w:name="_Hlk192515651" w:id="3"/>
      <w:r w:rsidRPr="00404117">
        <w:rPr>
          <w:rFonts w:ascii="Verdana" w:hAnsi="Verdana" w:eastAsia="Calibri" w:cs="Aptos"/>
          <w:sz w:val="18"/>
          <w:szCs w:val="22"/>
          <w:lang w:eastAsia="en-US"/>
          <w14:ligatures w14:val="standardContextual"/>
        </w:rPr>
        <w:t xml:space="preserve">De richtlijn bepaalt dat </w:t>
      </w:r>
      <w:proofErr w:type="spellStart"/>
      <w:r w:rsidRPr="00404117">
        <w:rPr>
          <w:rFonts w:ascii="Verdana" w:hAnsi="Verdana" w:eastAsia="Calibri" w:cs="Aptos"/>
          <w:sz w:val="18"/>
          <w:szCs w:val="22"/>
          <w:lang w:eastAsia="en-US"/>
          <w14:ligatures w14:val="standardContextual"/>
        </w:rPr>
        <w:t>kredietservicers</w:t>
      </w:r>
      <w:proofErr w:type="spellEnd"/>
      <w:r w:rsidRPr="00404117">
        <w:rPr>
          <w:rFonts w:ascii="Verdana" w:hAnsi="Verdana" w:eastAsia="Calibri" w:cs="Aptos"/>
          <w:sz w:val="18"/>
          <w:szCs w:val="22"/>
          <w:lang w:eastAsia="en-US"/>
          <w14:ligatures w14:val="standardContextual"/>
        </w:rPr>
        <w:t xml:space="preserve"> over een ingevolge de richtlijn verleende vergunning moeten beschikken. </w:t>
      </w:r>
      <w:proofErr w:type="spellStart"/>
      <w:r w:rsidRPr="00404117">
        <w:rPr>
          <w:rFonts w:ascii="Verdana" w:hAnsi="Verdana" w:eastAsia="Calibri" w:cs="Aptos"/>
          <w:sz w:val="18"/>
          <w:szCs w:val="22"/>
          <w:lang w:eastAsia="en-US"/>
          <w14:ligatures w14:val="standardContextual"/>
        </w:rPr>
        <w:t>Kredietservicers</w:t>
      </w:r>
      <w:proofErr w:type="spellEnd"/>
      <w:r w:rsidRPr="00404117">
        <w:rPr>
          <w:rFonts w:ascii="Verdana" w:hAnsi="Verdana" w:eastAsia="Calibri" w:cs="Aptos"/>
          <w:sz w:val="18"/>
          <w:szCs w:val="22"/>
          <w:lang w:eastAsia="en-US"/>
          <w14:ligatures w14:val="standardContextual"/>
        </w:rPr>
        <w:t xml:space="preserve"> zijn rechtspersonen die in de uitoefening van een bedrijf namens een kredietkoper niet-renderende kredietovereenkomsten beheren, de nakoming ervan afdwingen en die daarbij tevens een of meerdere </w:t>
      </w:r>
      <w:proofErr w:type="spellStart"/>
      <w:r w:rsidRPr="00404117">
        <w:rPr>
          <w:rFonts w:ascii="Verdana" w:hAnsi="Verdana" w:eastAsia="Calibri" w:cs="Aptos"/>
          <w:sz w:val="18"/>
          <w:szCs w:val="22"/>
          <w:lang w:eastAsia="en-US"/>
          <w14:ligatures w14:val="standardContextual"/>
        </w:rPr>
        <w:t>kredietservicingactiviteiten</w:t>
      </w:r>
      <w:proofErr w:type="spellEnd"/>
      <w:r w:rsidRPr="00404117">
        <w:rPr>
          <w:rFonts w:ascii="Verdana" w:hAnsi="Verdana" w:eastAsia="Calibri" w:cs="Aptos"/>
          <w:sz w:val="18"/>
          <w:szCs w:val="22"/>
          <w:lang w:eastAsia="en-US"/>
          <w14:ligatures w14:val="standardContextual"/>
        </w:rPr>
        <w:t xml:space="preserve"> verrichten. Ook Europese banken, aanbieders van krediet, beheerders van bellegingsinstellingen en beheerders van instellingen voor collectieve belegging in effecten (</w:t>
      </w:r>
      <w:proofErr w:type="spellStart"/>
      <w:r w:rsidRPr="00404117">
        <w:rPr>
          <w:rFonts w:ascii="Verdana" w:hAnsi="Verdana" w:eastAsia="Calibri" w:cs="Aptos"/>
          <w:sz w:val="18"/>
          <w:szCs w:val="22"/>
          <w:lang w:eastAsia="en-US"/>
          <w14:ligatures w14:val="standardContextual"/>
        </w:rPr>
        <w:t>icbe’s</w:t>
      </w:r>
      <w:proofErr w:type="spellEnd"/>
      <w:r w:rsidRPr="00404117">
        <w:rPr>
          <w:rFonts w:ascii="Verdana" w:hAnsi="Verdana" w:eastAsia="Calibri" w:cs="Aptos"/>
          <w:sz w:val="18"/>
          <w:szCs w:val="22"/>
          <w:lang w:eastAsia="en-US"/>
          <w14:ligatures w14:val="standardContextual"/>
        </w:rPr>
        <w:t xml:space="preserve">), notarissen, advocaten en deurwaarders kunnen dergelijke activiteiten verrichten. Op grond van het voorgestelde artikel 1:14a, eerste lid, </w:t>
      </w:r>
      <w:proofErr w:type="spellStart"/>
      <w:r w:rsidRPr="00404117">
        <w:rPr>
          <w:rFonts w:ascii="Verdana" w:hAnsi="Verdana" w:eastAsia="Calibri" w:cs="Aptos"/>
          <w:sz w:val="18"/>
          <w:szCs w:val="22"/>
          <w:lang w:eastAsia="en-US"/>
          <w14:ligatures w14:val="standardContextual"/>
        </w:rPr>
        <w:t>Wft</w:t>
      </w:r>
      <w:proofErr w:type="spellEnd"/>
      <w:r w:rsidRPr="00404117">
        <w:rPr>
          <w:rFonts w:ascii="Verdana" w:hAnsi="Verdana" w:eastAsia="Calibri" w:cs="Aptos"/>
          <w:sz w:val="18"/>
          <w:szCs w:val="22"/>
          <w:lang w:eastAsia="en-US"/>
          <w14:ligatures w14:val="standardContextual"/>
        </w:rPr>
        <w:t xml:space="preserve">, is het ten aanzien van </w:t>
      </w:r>
      <w:proofErr w:type="spellStart"/>
      <w:r w:rsidRPr="00404117">
        <w:rPr>
          <w:rFonts w:ascii="Verdana" w:hAnsi="Verdana" w:eastAsia="Calibri" w:cs="Aptos"/>
          <w:sz w:val="18"/>
          <w:szCs w:val="22"/>
          <w:lang w:eastAsia="en-US"/>
          <w14:ligatures w14:val="standardContextual"/>
        </w:rPr>
        <w:t>kredietservicers</w:t>
      </w:r>
      <w:proofErr w:type="spellEnd"/>
      <w:r w:rsidRPr="00404117">
        <w:rPr>
          <w:rFonts w:ascii="Verdana" w:hAnsi="Verdana" w:eastAsia="Calibri" w:cs="Aptos"/>
          <w:sz w:val="18"/>
          <w:szCs w:val="22"/>
          <w:lang w:eastAsia="en-US"/>
          <w14:ligatures w14:val="standardContextual"/>
        </w:rPr>
        <w:t xml:space="preserve"> bepaalde in de </w:t>
      </w:r>
      <w:proofErr w:type="spellStart"/>
      <w:r w:rsidRPr="00404117">
        <w:rPr>
          <w:rFonts w:ascii="Verdana" w:hAnsi="Verdana" w:eastAsia="Calibri" w:cs="Aptos"/>
          <w:sz w:val="18"/>
          <w:szCs w:val="22"/>
          <w:lang w:eastAsia="en-US"/>
          <w14:ligatures w14:val="standardContextual"/>
        </w:rPr>
        <w:t>Wft</w:t>
      </w:r>
      <w:proofErr w:type="spellEnd"/>
      <w:r w:rsidRPr="00404117">
        <w:rPr>
          <w:rFonts w:ascii="Verdana" w:hAnsi="Verdana" w:eastAsia="Calibri" w:cs="Aptos"/>
          <w:sz w:val="18"/>
          <w:szCs w:val="22"/>
          <w:lang w:eastAsia="en-US"/>
          <w14:ligatures w14:val="standardContextual"/>
        </w:rPr>
        <w:t xml:space="preserve"> niet op de hiervoor genoemde partijen van toepassing is. </w:t>
      </w:r>
    </w:p>
    <w:p w:rsidRPr="00404117" w:rsidR="00404117" w:rsidP="008D1814" w:rsidRDefault="00404117" w14:paraId="1688A9F4" w14:textId="77777777">
      <w:pPr>
        <w:spacing w:after="160" w:line="276" w:lineRule="auto"/>
        <w:rPr>
          <w:rFonts w:ascii="Verdana" w:hAnsi="Verdana" w:eastAsia="Calibri" w:cs="Aptos"/>
          <w:sz w:val="18"/>
          <w:szCs w:val="22"/>
          <w:lang w:eastAsia="en-US"/>
          <w14:ligatures w14:val="standardContextual"/>
        </w:rPr>
      </w:pPr>
      <w:r w:rsidRPr="00404117">
        <w:rPr>
          <w:rFonts w:ascii="Verdana" w:hAnsi="Verdana" w:eastAsia="Calibri" w:cs="Aptos"/>
          <w:sz w:val="18"/>
          <w:szCs w:val="22"/>
          <w:lang w:eastAsia="en-US"/>
          <w14:ligatures w14:val="standardContextual"/>
        </w:rPr>
        <w:t xml:space="preserve">Artikel 2, vijfde lid, van de richtlijn zondert Europese banken, aanbieders van krediet, beheerders van beleggingsinstellingen en beheerders van </w:t>
      </w:r>
      <w:proofErr w:type="spellStart"/>
      <w:r w:rsidRPr="00404117">
        <w:rPr>
          <w:rFonts w:ascii="Verdana" w:hAnsi="Verdana" w:eastAsia="Calibri" w:cs="Aptos"/>
          <w:sz w:val="18"/>
          <w:szCs w:val="22"/>
          <w:lang w:eastAsia="en-US"/>
          <w14:ligatures w14:val="standardContextual"/>
        </w:rPr>
        <w:t>icbe’s</w:t>
      </w:r>
      <w:proofErr w:type="spellEnd"/>
      <w:r w:rsidRPr="00404117">
        <w:rPr>
          <w:rFonts w:ascii="Verdana" w:hAnsi="Verdana" w:eastAsia="Calibri" w:cs="Aptos"/>
          <w:sz w:val="18"/>
          <w:szCs w:val="22"/>
          <w:lang w:eastAsia="en-US"/>
          <w14:ligatures w14:val="standardContextual"/>
        </w:rPr>
        <w:t xml:space="preserve"> uit van het toepassingsbereik. Europese banken en aanbieders van krediet zijn reeds op basis van Europees recht gereguleerd en beheren kredietovereenkomsten en verrichten </w:t>
      </w:r>
      <w:proofErr w:type="spellStart"/>
      <w:r w:rsidRPr="00404117">
        <w:rPr>
          <w:rFonts w:ascii="Verdana" w:hAnsi="Verdana" w:eastAsia="Calibri" w:cs="Aptos"/>
          <w:sz w:val="18"/>
          <w:szCs w:val="22"/>
          <w:lang w:eastAsia="en-US"/>
          <w14:ligatures w14:val="standardContextual"/>
        </w:rPr>
        <w:t>kredietservicingactiviteiten</w:t>
      </w:r>
      <w:proofErr w:type="spellEnd"/>
      <w:r w:rsidRPr="00404117">
        <w:rPr>
          <w:rFonts w:ascii="Verdana" w:hAnsi="Verdana" w:eastAsia="Calibri" w:cs="Aptos"/>
          <w:sz w:val="18"/>
          <w:szCs w:val="22"/>
          <w:lang w:eastAsia="en-US"/>
          <w14:ligatures w14:val="standardContextual"/>
        </w:rPr>
        <w:t xml:space="preserve"> als onderdeel van hun normale bedrijfswerkzaamheden. Ook beheerders van beleggingsinstellingen en </w:t>
      </w:r>
      <w:proofErr w:type="spellStart"/>
      <w:r w:rsidRPr="00404117">
        <w:rPr>
          <w:rFonts w:ascii="Verdana" w:hAnsi="Verdana" w:eastAsia="Calibri" w:cs="Aptos"/>
          <w:sz w:val="18"/>
          <w:szCs w:val="22"/>
          <w:lang w:eastAsia="en-US"/>
          <w14:ligatures w14:val="standardContextual"/>
        </w:rPr>
        <w:t>icbe’s</w:t>
      </w:r>
      <w:proofErr w:type="spellEnd"/>
      <w:r w:rsidRPr="00404117">
        <w:rPr>
          <w:rFonts w:ascii="Verdana" w:hAnsi="Verdana" w:eastAsia="Calibri" w:cs="Aptos"/>
          <w:sz w:val="18"/>
          <w:szCs w:val="22"/>
          <w:lang w:eastAsia="en-US"/>
          <w14:ligatures w14:val="standardContextual"/>
        </w:rPr>
        <w:t xml:space="preserve"> zijn reeds Europees gereguleerd.</w:t>
      </w:r>
    </w:p>
    <w:p w:rsidRPr="00404117" w:rsidR="00404117" w:rsidP="008D1814" w:rsidRDefault="00404117" w14:paraId="13ECBCE7" w14:textId="77777777">
      <w:pPr>
        <w:spacing w:after="160" w:line="276" w:lineRule="auto"/>
        <w:rPr>
          <w:rFonts w:ascii="Verdana" w:hAnsi="Verdana" w:eastAsia="Calibri" w:cs="Aptos"/>
          <w:sz w:val="18"/>
          <w:szCs w:val="18"/>
          <w:lang w:eastAsia="en-US"/>
          <w14:ligatures w14:val="standardContextual"/>
        </w:rPr>
      </w:pPr>
      <w:r w:rsidRPr="00404117">
        <w:rPr>
          <w:rFonts w:ascii="Verdana" w:hAnsi="Verdana" w:eastAsia="Calibri" w:cs="Aptos"/>
          <w:sz w:val="18"/>
          <w:szCs w:val="18"/>
          <w:lang w:eastAsia="en-US"/>
          <w14:ligatures w14:val="standardContextual"/>
        </w:rPr>
        <w:t xml:space="preserve">Voor de uitzondering van het toepassingsbereik voor notarissen, advocaten en deurwaarders wordt gebruik gemaakt van de lidstaatoptie in artikel 2, zesde lid, van de richtlijn. Deze groepen kennen al een eigen regelgevend kader met bijbehorend toezicht en tuchtrecht. </w:t>
      </w:r>
    </w:p>
    <w:p w:rsidRPr="00404117" w:rsidR="00404117" w:rsidP="008D1814" w:rsidRDefault="00404117" w14:paraId="2F7FAE91" w14:textId="1736055C">
      <w:pPr>
        <w:spacing w:after="160" w:line="276" w:lineRule="auto"/>
        <w:rPr>
          <w:rFonts w:ascii="Verdana" w:hAnsi="Verdana" w:eastAsia="Calibri" w:cs="Aptos"/>
          <w:sz w:val="18"/>
          <w:szCs w:val="22"/>
          <w:lang w:eastAsia="en-US"/>
          <w14:ligatures w14:val="standardContextual"/>
        </w:rPr>
      </w:pPr>
      <w:r w:rsidRPr="00404117">
        <w:rPr>
          <w:rFonts w:ascii="Verdana" w:hAnsi="Verdana" w:eastAsia="Calibri" w:cs="Aptos"/>
          <w:sz w:val="18"/>
          <w:szCs w:val="22"/>
          <w:lang w:eastAsia="en-US"/>
          <w14:ligatures w14:val="standardContextual"/>
        </w:rPr>
        <w:t xml:space="preserve">Omdat al deze partijen reeds aan een wettelijk kader onderworpen zijn indien zij activiteiten verrichten die vergelijkbaar zijn met </w:t>
      </w:r>
      <w:proofErr w:type="spellStart"/>
      <w:r w:rsidRPr="00404117">
        <w:rPr>
          <w:rFonts w:ascii="Verdana" w:hAnsi="Verdana" w:eastAsia="Calibri" w:cs="Aptos"/>
          <w:sz w:val="18"/>
          <w:szCs w:val="22"/>
          <w:lang w:eastAsia="en-US"/>
          <w14:ligatures w14:val="standardContextual"/>
        </w:rPr>
        <w:t>kredietservicingactiviteiten</w:t>
      </w:r>
      <w:proofErr w:type="spellEnd"/>
      <w:r w:rsidRPr="00404117">
        <w:rPr>
          <w:rFonts w:ascii="Verdana" w:hAnsi="Verdana" w:eastAsia="Calibri" w:cs="Aptos"/>
          <w:sz w:val="18"/>
          <w:szCs w:val="22"/>
          <w:lang w:eastAsia="en-US"/>
          <w14:ligatures w14:val="standardContextual"/>
        </w:rPr>
        <w:t xml:space="preserve">, </w:t>
      </w:r>
      <w:r w:rsidR="00EA1BB8">
        <w:rPr>
          <w:rFonts w:ascii="Verdana" w:hAnsi="Verdana" w:eastAsia="Calibri" w:cs="Aptos"/>
          <w:sz w:val="18"/>
          <w:szCs w:val="22"/>
          <w:lang w:eastAsia="en-US"/>
          <w14:ligatures w14:val="standardContextual"/>
        </w:rPr>
        <w:t xml:space="preserve">wordt er juist een </w:t>
      </w:r>
      <w:r w:rsidRPr="00404117">
        <w:rPr>
          <w:rFonts w:ascii="Verdana" w:hAnsi="Verdana" w:eastAsia="Calibri" w:cs="Aptos"/>
          <w:sz w:val="18"/>
          <w:szCs w:val="22"/>
          <w:lang w:eastAsia="en-US"/>
          <w14:ligatures w14:val="standardContextual"/>
        </w:rPr>
        <w:t xml:space="preserve">gelijk speelveld </w:t>
      </w:r>
      <w:r w:rsidR="00EA1BB8">
        <w:rPr>
          <w:rFonts w:ascii="Verdana" w:hAnsi="Verdana" w:eastAsia="Calibri" w:cs="Aptos"/>
          <w:sz w:val="18"/>
          <w:szCs w:val="22"/>
          <w:lang w:eastAsia="en-US"/>
          <w14:ligatures w14:val="standardContextual"/>
        </w:rPr>
        <w:t xml:space="preserve">gecreëerd en is het proportioneel om ook </w:t>
      </w:r>
      <w:r w:rsidRPr="00404117">
        <w:rPr>
          <w:rFonts w:ascii="Verdana" w:hAnsi="Verdana" w:eastAsia="Calibri" w:cs="Aptos"/>
          <w:sz w:val="18"/>
          <w:szCs w:val="22"/>
          <w:lang w:eastAsia="en-US"/>
          <w14:ligatures w14:val="standardContextual"/>
        </w:rPr>
        <w:t xml:space="preserve">andere partijen die </w:t>
      </w:r>
      <w:proofErr w:type="spellStart"/>
      <w:r w:rsidRPr="00404117">
        <w:rPr>
          <w:rFonts w:ascii="Verdana" w:hAnsi="Verdana" w:eastAsia="Calibri" w:cs="Aptos"/>
          <w:sz w:val="18"/>
          <w:szCs w:val="22"/>
          <w:lang w:eastAsia="en-US"/>
          <w14:ligatures w14:val="standardContextual"/>
        </w:rPr>
        <w:t>kredietservicingactiviteiten</w:t>
      </w:r>
      <w:proofErr w:type="spellEnd"/>
      <w:r w:rsidRPr="00404117">
        <w:rPr>
          <w:rFonts w:ascii="Verdana" w:hAnsi="Verdana" w:eastAsia="Calibri" w:cs="Aptos"/>
          <w:sz w:val="18"/>
          <w:szCs w:val="22"/>
          <w:lang w:eastAsia="en-US"/>
          <w14:ligatures w14:val="standardContextual"/>
        </w:rPr>
        <w:t xml:space="preserve"> verrichten </w:t>
      </w:r>
      <w:r w:rsidR="00EA1BB8">
        <w:rPr>
          <w:rFonts w:ascii="Verdana" w:hAnsi="Verdana" w:eastAsia="Calibri" w:cs="Aptos"/>
          <w:sz w:val="18"/>
          <w:szCs w:val="22"/>
          <w:lang w:eastAsia="en-US"/>
          <w14:ligatures w14:val="standardContextual"/>
        </w:rPr>
        <w:t>door middel van deze richtlijn te reguleren</w:t>
      </w:r>
      <w:r w:rsidRPr="00404117">
        <w:rPr>
          <w:rFonts w:ascii="Verdana" w:hAnsi="Verdana" w:eastAsia="Calibri" w:cs="Aptos"/>
          <w:sz w:val="18"/>
          <w:szCs w:val="22"/>
          <w:lang w:eastAsia="en-US"/>
          <w14:ligatures w14:val="standardContextual"/>
        </w:rPr>
        <w:t>.</w:t>
      </w:r>
      <w:bookmarkStart w:name="_Hlk191289964" w:id="4"/>
      <w:bookmarkEnd w:id="3"/>
    </w:p>
    <w:p w:rsidRPr="00404117" w:rsidR="00404117" w:rsidP="008D1814" w:rsidRDefault="00404117" w14:paraId="5058AECA" w14:textId="77777777">
      <w:pPr>
        <w:spacing w:after="160" w:line="276" w:lineRule="auto"/>
        <w:rPr>
          <w:rFonts w:ascii="Verdana" w:hAnsi="Verdana" w:eastAsia="Calibri"/>
          <w:i/>
          <w:iCs/>
          <w:kern w:val="2"/>
          <w:sz w:val="18"/>
          <w:szCs w:val="22"/>
          <w:lang w:eastAsia="en-US"/>
          <w14:ligatures w14:val="standardContextual"/>
        </w:rPr>
      </w:pPr>
      <w:r w:rsidRPr="00404117">
        <w:rPr>
          <w:rFonts w:ascii="Verdana" w:hAnsi="Verdana" w:eastAsia="Calibri"/>
          <w:i/>
          <w:iCs/>
          <w:kern w:val="2"/>
          <w:sz w:val="18"/>
          <w:szCs w:val="22"/>
          <w:lang w:eastAsia="en-US"/>
          <w14:ligatures w14:val="standardContextual"/>
        </w:rPr>
        <w:t xml:space="preserve">De leden van de NSC-fractie vragen waarom beleggingsinstellingen en </w:t>
      </w:r>
      <w:proofErr w:type="spellStart"/>
      <w:r w:rsidRPr="00404117">
        <w:rPr>
          <w:rFonts w:ascii="Verdana" w:hAnsi="Verdana" w:eastAsia="Calibri"/>
          <w:i/>
          <w:iCs/>
          <w:kern w:val="2"/>
          <w:sz w:val="18"/>
          <w:szCs w:val="22"/>
          <w:lang w:eastAsia="en-US"/>
          <w14:ligatures w14:val="standardContextual"/>
        </w:rPr>
        <w:t>icbe’s</w:t>
      </w:r>
      <w:proofErr w:type="spellEnd"/>
      <w:r w:rsidRPr="00404117">
        <w:rPr>
          <w:rFonts w:ascii="Verdana" w:hAnsi="Verdana" w:eastAsia="Calibri"/>
          <w:i/>
          <w:iCs/>
          <w:kern w:val="2"/>
          <w:sz w:val="18"/>
          <w:szCs w:val="22"/>
          <w:lang w:eastAsia="en-US"/>
          <w14:ligatures w14:val="standardContextual"/>
        </w:rPr>
        <w:t xml:space="preserve"> zijn uitgezonderd van de richtlijn? Immers het beleggen in niet-renderende kredieten behoort toch niet tot de </w:t>
      </w:r>
      <w:proofErr w:type="spellStart"/>
      <w:r w:rsidRPr="00404117">
        <w:rPr>
          <w:rFonts w:ascii="Verdana" w:hAnsi="Verdana" w:eastAsia="Calibri"/>
          <w:i/>
          <w:iCs/>
          <w:kern w:val="2"/>
          <w:sz w:val="18"/>
          <w:szCs w:val="22"/>
          <w:lang w:eastAsia="en-US"/>
          <w14:ligatures w14:val="standardContextual"/>
        </w:rPr>
        <w:t>core</w:t>
      </w:r>
      <w:proofErr w:type="spellEnd"/>
      <w:r w:rsidRPr="00404117">
        <w:rPr>
          <w:rFonts w:ascii="Verdana" w:hAnsi="Verdana" w:eastAsia="Calibri"/>
          <w:i/>
          <w:iCs/>
          <w:kern w:val="2"/>
          <w:sz w:val="18"/>
          <w:szCs w:val="22"/>
          <w:lang w:eastAsia="en-US"/>
          <w14:ligatures w14:val="standardContextual"/>
        </w:rPr>
        <w:t xml:space="preserve"> business van beleggingsinstellingen en </w:t>
      </w:r>
      <w:proofErr w:type="spellStart"/>
      <w:r w:rsidRPr="00404117">
        <w:rPr>
          <w:rFonts w:ascii="Verdana" w:hAnsi="Verdana" w:eastAsia="Calibri"/>
          <w:i/>
          <w:iCs/>
          <w:kern w:val="2"/>
          <w:sz w:val="18"/>
          <w:szCs w:val="22"/>
          <w:lang w:eastAsia="en-US"/>
          <w14:ligatures w14:val="standardContextual"/>
        </w:rPr>
        <w:t>icbe’s</w:t>
      </w:r>
      <w:proofErr w:type="spellEnd"/>
      <w:r w:rsidRPr="00404117">
        <w:rPr>
          <w:rFonts w:ascii="Verdana" w:hAnsi="Verdana" w:eastAsia="Calibri"/>
          <w:i/>
          <w:iCs/>
          <w:kern w:val="2"/>
          <w:sz w:val="18"/>
          <w:szCs w:val="22"/>
          <w:lang w:eastAsia="en-US"/>
          <w14:ligatures w14:val="standardContextual"/>
        </w:rPr>
        <w:t>?</w:t>
      </w:r>
    </w:p>
    <w:p w:rsidRPr="00404117" w:rsidR="00404117" w:rsidP="008D1814" w:rsidRDefault="00404117" w14:paraId="43C5F6F8" w14:textId="48F6495E">
      <w:pPr>
        <w:spacing w:after="160" w:line="276" w:lineRule="auto"/>
        <w:rPr>
          <w:rFonts w:ascii="Verdana" w:hAnsi="Verdana" w:eastAsia="Calibri"/>
          <w:kern w:val="2"/>
          <w:sz w:val="18"/>
          <w:szCs w:val="22"/>
          <w:lang w:eastAsia="en-US"/>
          <w14:ligatures w14:val="standardContextual"/>
        </w:rPr>
      </w:pPr>
      <w:r w:rsidRPr="00404117">
        <w:rPr>
          <w:rFonts w:ascii="Verdana" w:hAnsi="Verdana" w:eastAsia="Calibri"/>
          <w:kern w:val="2"/>
          <w:sz w:val="18"/>
          <w:szCs w:val="22"/>
          <w:lang w:eastAsia="en-US"/>
          <w14:ligatures w14:val="standardContextual"/>
        </w:rPr>
        <w:t xml:space="preserve">Met de uitzondering waarop de leden van de NSC-fractie doelen, wordt voorkomen dat een </w:t>
      </w:r>
      <w:proofErr w:type="spellStart"/>
      <w:r w:rsidRPr="00404117">
        <w:rPr>
          <w:rFonts w:ascii="Verdana" w:hAnsi="Verdana" w:eastAsia="Calibri"/>
          <w:kern w:val="2"/>
          <w:sz w:val="18"/>
          <w:szCs w:val="22"/>
          <w:lang w:eastAsia="en-US"/>
          <w14:ligatures w14:val="standardContextual"/>
        </w:rPr>
        <w:t>vergunninghoudende</w:t>
      </w:r>
      <w:proofErr w:type="spellEnd"/>
      <w:r w:rsidRPr="00404117">
        <w:rPr>
          <w:rFonts w:ascii="Verdana" w:hAnsi="Verdana" w:eastAsia="Calibri"/>
          <w:kern w:val="2"/>
          <w:sz w:val="18"/>
          <w:szCs w:val="22"/>
          <w:lang w:eastAsia="en-US"/>
          <w14:ligatures w14:val="standardContextual"/>
        </w:rPr>
        <w:t xml:space="preserve"> beheerder van een beleggingsinstelling of </w:t>
      </w:r>
      <w:proofErr w:type="spellStart"/>
      <w:r w:rsidRPr="00404117">
        <w:rPr>
          <w:rFonts w:ascii="Verdana" w:hAnsi="Verdana" w:eastAsia="Calibri"/>
          <w:kern w:val="2"/>
          <w:sz w:val="18"/>
          <w:szCs w:val="22"/>
          <w:lang w:eastAsia="en-US"/>
          <w14:ligatures w14:val="standardContextual"/>
        </w:rPr>
        <w:t>icbe</w:t>
      </w:r>
      <w:proofErr w:type="spellEnd"/>
      <w:r w:rsidRPr="00404117">
        <w:rPr>
          <w:rFonts w:ascii="Verdana" w:hAnsi="Verdana" w:eastAsia="Calibri"/>
          <w:kern w:val="2"/>
          <w:sz w:val="18"/>
          <w:szCs w:val="22"/>
          <w:lang w:eastAsia="en-US"/>
          <w14:ligatures w14:val="standardContextual"/>
        </w:rPr>
        <w:t xml:space="preserve"> wordt geconfronteerd met een dubbele vergunningplicht en een opeenstapeling van uit meerdere Europese richtlijnen voortvloeiende toezicht- en handhavingsregimes wanneer hij het bedrijf van kredietkoper uitoefent en hij tevens (“</w:t>
      </w:r>
      <w:r w:rsidRPr="00404117">
        <w:rPr>
          <w:rFonts w:ascii="Verdana" w:hAnsi="Verdana" w:eastAsia="Calibri"/>
          <w:i/>
          <w:iCs/>
          <w:kern w:val="2"/>
          <w:sz w:val="18"/>
          <w:szCs w:val="22"/>
          <w:lang w:eastAsia="en-US"/>
          <w14:ligatures w14:val="standardContextual"/>
        </w:rPr>
        <w:t>in house</w:t>
      </w:r>
      <w:r w:rsidRPr="00404117">
        <w:rPr>
          <w:rFonts w:ascii="Verdana" w:hAnsi="Verdana" w:eastAsia="Calibri"/>
          <w:kern w:val="2"/>
          <w:sz w:val="18"/>
          <w:szCs w:val="22"/>
          <w:lang w:eastAsia="en-US"/>
          <w14:ligatures w14:val="standardContextual"/>
        </w:rPr>
        <w:t xml:space="preserve">”) </w:t>
      </w:r>
      <w:proofErr w:type="spellStart"/>
      <w:r w:rsidRPr="00404117">
        <w:rPr>
          <w:rFonts w:ascii="Verdana" w:hAnsi="Verdana" w:eastAsia="Calibri"/>
          <w:kern w:val="2"/>
          <w:sz w:val="18"/>
          <w:szCs w:val="22"/>
          <w:lang w:eastAsia="en-US"/>
          <w14:ligatures w14:val="standardContextual"/>
        </w:rPr>
        <w:t>kredietservicingactiviteiten</w:t>
      </w:r>
      <w:proofErr w:type="spellEnd"/>
      <w:r w:rsidRPr="00404117">
        <w:rPr>
          <w:rFonts w:ascii="Verdana" w:hAnsi="Verdana" w:eastAsia="Calibri"/>
          <w:kern w:val="2"/>
          <w:sz w:val="18"/>
          <w:szCs w:val="22"/>
          <w:lang w:eastAsia="en-US"/>
          <w14:ligatures w14:val="standardContextual"/>
        </w:rPr>
        <w:t xml:space="preserve"> verricht met betrekking tot niet-renderende kredietovereenkomsten in de zin van de richtlijn </w:t>
      </w:r>
      <w:proofErr w:type="spellStart"/>
      <w:r w:rsidRPr="00404117">
        <w:rPr>
          <w:rFonts w:ascii="Verdana" w:hAnsi="Verdana" w:eastAsia="Calibri"/>
          <w:kern w:val="2"/>
          <w:sz w:val="18"/>
          <w:szCs w:val="22"/>
          <w:lang w:eastAsia="en-US"/>
          <w14:ligatures w14:val="standardContextual"/>
        </w:rPr>
        <w:t>kredietservicers</w:t>
      </w:r>
      <w:proofErr w:type="spellEnd"/>
      <w:r w:rsidRPr="00404117">
        <w:rPr>
          <w:rFonts w:ascii="Verdana" w:hAnsi="Verdana" w:eastAsia="Calibri"/>
          <w:kern w:val="2"/>
          <w:sz w:val="18"/>
          <w:szCs w:val="22"/>
          <w:lang w:eastAsia="en-US"/>
          <w14:ligatures w14:val="standardContextual"/>
        </w:rPr>
        <w:t xml:space="preserve"> en kredietkopers.</w:t>
      </w:r>
    </w:p>
    <w:bookmarkEnd w:id="4"/>
    <w:p w:rsidRPr="00404117" w:rsidR="00404117" w:rsidP="008D1814" w:rsidRDefault="00404117" w14:paraId="1CA0653B" w14:textId="1CC4819F">
      <w:pPr>
        <w:spacing w:after="160" w:line="276" w:lineRule="auto"/>
        <w:rPr>
          <w:rFonts w:ascii="Verdana" w:hAnsi="Verdana" w:eastAsia="Calibri"/>
          <w:i/>
          <w:iCs/>
          <w:kern w:val="2"/>
          <w:sz w:val="18"/>
          <w:szCs w:val="22"/>
          <w:lang w:eastAsia="en-US"/>
          <w14:ligatures w14:val="standardContextual"/>
        </w:rPr>
      </w:pPr>
      <w:r w:rsidRPr="00404117">
        <w:rPr>
          <w:rFonts w:ascii="Verdana" w:hAnsi="Verdana" w:eastAsia="Calibri"/>
          <w:i/>
          <w:iCs/>
          <w:kern w:val="2"/>
          <w:sz w:val="18"/>
          <w:szCs w:val="22"/>
          <w:lang w:eastAsia="en-US"/>
          <w14:ligatures w14:val="standardContextual"/>
        </w:rPr>
        <w:t>De</w:t>
      </w:r>
      <w:r w:rsidR="003E43DC">
        <w:rPr>
          <w:rFonts w:ascii="Verdana" w:hAnsi="Verdana" w:eastAsia="Calibri"/>
          <w:i/>
          <w:iCs/>
          <w:kern w:val="2"/>
          <w:sz w:val="18"/>
          <w:szCs w:val="22"/>
          <w:lang w:eastAsia="en-US"/>
          <w14:ligatures w14:val="standardContextual"/>
        </w:rPr>
        <w:t>ze</w:t>
      </w:r>
      <w:r w:rsidRPr="00404117">
        <w:rPr>
          <w:rFonts w:ascii="Verdana" w:hAnsi="Verdana" w:eastAsia="Calibri"/>
          <w:i/>
          <w:iCs/>
          <w:kern w:val="2"/>
          <w:sz w:val="18"/>
          <w:szCs w:val="22"/>
          <w:lang w:eastAsia="en-US"/>
          <w14:ligatures w14:val="standardContextual"/>
        </w:rPr>
        <w:t xml:space="preserve"> leden vragen ook of het klopt dat kredietkopers en kredietverkopers geen vergunningplicht krijgen? </w:t>
      </w:r>
      <w:r w:rsidRPr="00404117" w:rsidR="003E43DC">
        <w:rPr>
          <w:rFonts w:ascii="Verdana" w:hAnsi="Verdana" w:eastAsia="Calibri"/>
          <w:i/>
          <w:iCs/>
          <w:kern w:val="2"/>
          <w:sz w:val="18"/>
          <w:szCs w:val="22"/>
          <w:lang w:eastAsia="en-US"/>
          <w14:ligatures w14:val="standardContextual"/>
        </w:rPr>
        <w:t xml:space="preserve">Klopt het dat zij wel een vergunning moeten aanvragen als ze tot </w:t>
      </w:r>
      <w:proofErr w:type="spellStart"/>
      <w:r w:rsidRPr="00404117" w:rsidR="003E43DC">
        <w:rPr>
          <w:rFonts w:ascii="Verdana" w:hAnsi="Verdana" w:eastAsia="Calibri"/>
          <w:i/>
          <w:iCs/>
          <w:kern w:val="2"/>
          <w:sz w:val="18"/>
          <w:szCs w:val="22"/>
          <w:lang w:eastAsia="en-US"/>
          <w14:ligatures w14:val="standardContextual"/>
        </w:rPr>
        <w:t>kredietservicen</w:t>
      </w:r>
      <w:proofErr w:type="spellEnd"/>
      <w:r w:rsidRPr="00404117" w:rsidR="003E43DC">
        <w:rPr>
          <w:rFonts w:ascii="Verdana" w:hAnsi="Verdana" w:eastAsia="Calibri"/>
          <w:i/>
          <w:iCs/>
          <w:kern w:val="2"/>
          <w:sz w:val="18"/>
          <w:szCs w:val="22"/>
          <w:lang w:eastAsia="en-US"/>
          <w14:ligatures w14:val="standardContextual"/>
        </w:rPr>
        <w:t xml:space="preserve"> over willen gaan?</w:t>
      </w:r>
    </w:p>
    <w:p w:rsidRPr="00404117" w:rsidR="00404117" w:rsidP="008D1814" w:rsidRDefault="00404117" w14:paraId="687A17B7" w14:textId="47642EDA">
      <w:pPr>
        <w:spacing w:after="160" w:line="276" w:lineRule="auto"/>
        <w:rPr>
          <w:rFonts w:ascii="Verdana" w:hAnsi="Verdana" w:eastAsia="Calibri"/>
          <w:kern w:val="2"/>
          <w:sz w:val="18"/>
          <w:szCs w:val="22"/>
          <w:lang w:eastAsia="en-US"/>
          <w14:ligatures w14:val="standardContextual"/>
        </w:rPr>
      </w:pPr>
      <w:r w:rsidRPr="00404117">
        <w:rPr>
          <w:rFonts w:ascii="Verdana" w:hAnsi="Verdana" w:eastAsia="Calibri"/>
          <w:kern w:val="2"/>
          <w:sz w:val="18"/>
          <w:szCs w:val="22"/>
          <w:lang w:eastAsia="en-US"/>
          <w14:ligatures w14:val="standardContextual"/>
        </w:rPr>
        <w:t xml:space="preserve">Het is juist dat de richtlijn </w:t>
      </w:r>
      <w:proofErr w:type="spellStart"/>
      <w:r w:rsidRPr="00404117">
        <w:rPr>
          <w:rFonts w:ascii="Verdana" w:hAnsi="Verdana" w:eastAsia="Calibri"/>
          <w:kern w:val="2"/>
          <w:sz w:val="18"/>
          <w:szCs w:val="22"/>
          <w:lang w:eastAsia="en-US"/>
          <w14:ligatures w14:val="standardContextual"/>
        </w:rPr>
        <w:t>kredietservicers</w:t>
      </w:r>
      <w:proofErr w:type="spellEnd"/>
      <w:r w:rsidRPr="00404117">
        <w:rPr>
          <w:rFonts w:ascii="Verdana" w:hAnsi="Verdana" w:eastAsia="Calibri"/>
          <w:kern w:val="2"/>
          <w:sz w:val="18"/>
          <w:szCs w:val="22"/>
          <w:lang w:eastAsia="en-US"/>
          <w14:ligatures w14:val="standardContextual"/>
        </w:rPr>
        <w:t xml:space="preserve"> en kredietkopers – en het onderhavige wetsvoorstel – geen vergunningplicht introduceert voor personen die het bedrijf van kredietkoper of kredietverkoper </w:t>
      </w:r>
      <w:r w:rsidR="003E43DC">
        <w:rPr>
          <w:rFonts w:ascii="Verdana" w:hAnsi="Verdana" w:eastAsia="Calibri"/>
          <w:kern w:val="2"/>
          <w:sz w:val="18"/>
          <w:szCs w:val="22"/>
          <w:lang w:eastAsia="en-US"/>
          <w14:ligatures w14:val="standardContextual"/>
        </w:rPr>
        <w:t xml:space="preserve">in de zin van de richtlijn </w:t>
      </w:r>
      <w:r w:rsidRPr="00404117">
        <w:rPr>
          <w:rFonts w:ascii="Verdana" w:hAnsi="Verdana" w:eastAsia="Calibri"/>
          <w:kern w:val="2"/>
          <w:sz w:val="18"/>
          <w:szCs w:val="22"/>
          <w:lang w:eastAsia="en-US"/>
          <w14:ligatures w14:val="standardContextual"/>
        </w:rPr>
        <w:t xml:space="preserve">uitoefenen. </w:t>
      </w:r>
    </w:p>
    <w:p w:rsidRPr="00404117" w:rsidR="00404117" w:rsidP="008D1814" w:rsidRDefault="00404117" w14:paraId="56C7A326" w14:textId="39AD6A9B">
      <w:pPr>
        <w:spacing w:after="160" w:line="276" w:lineRule="auto"/>
        <w:rPr>
          <w:rFonts w:ascii="Verdana" w:hAnsi="Verdana" w:eastAsia="Calibri"/>
          <w:kern w:val="2"/>
          <w:sz w:val="18"/>
          <w:szCs w:val="22"/>
          <w:lang w:eastAsia="en-US"/>
          <w14:ligatures w14:val="standardContextual"/>
        </w:rPr>
      </w:pPr>
      <w:r w:rsidRPr="00404117">
        <w:rPr>
          <w:rFonts w:ascii="Verdana" w:hAnsi="Verdana" w:eastAsia="Calibri"/>
          <w:kern w:val="2"/>
          <w:sz w:val="18"/>
          <w:szCs w:val="22"/>
          <w:lang w:eastAsia="en-US"/>
          <w14:ligatures w14:val="standardContextual"/>
        </w:rPr>
        <w:t xml:space="preserve">Een kredietkoper of kredietverkoper die voornemens is om tevens niet-renderende kredietovereenkomsten in de zin van de richtlijn te </w:t>
      </w:r>
      <w:proofErr w:type="spellStart"/>
      <w:r w:rsidRPr="00404117">
        <w:rPr>
          <w:rFonts w:ascii="Verdana" w:hAnsi="Verdana" w:eastAsia="Calibri"/>
          <w:kern w:val="2"/>
          <w:sz w:val="18"/>
          <w:szCs w:val="22"/>
          <w:lang w:eastAsia="en-US"/>
          <w14:ligatures w14:val="standardContextual"/>
        </w:rPr>
        <w:t>servicen</w:t>
      </w:r>
      <w:proofErr w:type="spellEnd"/>
      <w:r w:rsidRPr="00404117">
        <w:rPr>
          <w:rFonts w:ascii="Verdana" w:hAnsi="Verdana" w:eastAsia="Calibri"/>
          <w:kern w:val="2"/>
          <w:sz w:val="18"/>
          <w:szCs w:val="22"/>
          <w:lang w:eastAsia="en-US"/>
          <w14:ligatures w14:val="standardContextual"/>
        </w:rPr>
        <w:t>, dient over een ingevolge de richtlijn verleende vergunning te beschikken, tenzij hij behoort tot een van de in artikel 2, vijfde lid, van de richtlijn genoemde categorieën van personen die buiten het toepassingsbereik van de richtlijn vallen.</w:t>
      </w:r>
      <w:r w:rsidRPr="00404117">
        <w:rPr>
          <w:rFonts w:ascii="Verdana" w:hAnsi="Verdana" w:eastAsia="Calibri"/>
          <w:kern w:val="2"/>
          <w:sz w:val="18"/>
          <w:szCs w:val="22"/>
          <w:vertAlign w:val="superscript"/>
          <w:lang w:eastAsia="en-US"/>
          <w14:ligatures w14:val="standardContextual"/>
        </w:rPr>
        <w:footnoteReference w:id="15"/>
      </w:r>
      <w:r w:rsidRPr="00404117">
        <w:rPr>
          <w:rFonts w:ascii="Verdana" w:hAnsi="Verdana" w:eastAsia="Calibri"/>
          <w:kern w:val="2"/>
          <w:sz w:val="18"/>
          <w:szCs w:val="22"/>
          <w:lang w:eastAsia="en-US"/>
          <w14:ligatures w14:val="standardContextual"/>
        </w:rPr>
        <w:t xml:space="preserve"> Hiertoe behoren onder meer Europese banken, aanbieders van krediet en beheerders van beleggingsinstellingen of </w:t>
      </w:r>
      <w:proofErr w:type="spellStart"/>
      <w:r w:rsidRPr="00404117">
        <w:rPr>
          <w:rFonts w:ascii="Verdana" w:hAnsi="Verdana" w:eastAsia="Calibri"/>
          <w:kern w:val="2"/>
          <w:sz w:val="18"/>
          <w:szCs w:val="22"/>
          <w:lang w:eastAsia="en-US"/>
          <w14:ligatures w14:val="standardContextual"/>
        </w:rPr>
        <w:t>icbe’s</w:t>
      </w:r>
      <w:proofErr w:type="spellEnd"/>
      <w:r w:rsidRPr="00404117">
        <w:rPr>
          <w:rFonts w:ascii="Verdana" w:hAnsi="Verdana" w:eastAsia="Calibri"/>
          <w:kern w:val="2"/>
          <w:sz w:val="18"/>
          <w:szCs w:val="22"/>
          <w:lang w:eastAsia="en-US"/>
          <w14:ligatures w14:val="standardContextual"/>
        </w:rPr>
        <w:t xml:space="preserve">. </w:t>
      </w:r>
    </w:p>
    <w:p w:rsidRPr="00404117" w:rsidR="00404117" w:rsidP="008D1814" w:rsidRDefault="00404117" w14:paraId="43CACF62" w14:textId="77777777">
      <w:pPr>
        <w:spacing w:after="160" w:line="276" w:lineRule="auto"/>
        <w:rPr>
          <w:rFonts w:ascii="Verdana" w:hAnsi="Verdana" w:eastAsia="Calibri"/>
          <w:i/>
          <w:iCs/>
          <w:kern w:val="2"/>
          <w:sz w:val="18"/>
          <w:szCs w:val="22"/>
          <w:lang w:eastAsia="en-US"/>
          <w14:ligatures w14:val="standardContextual"/>
        </w:rPr>
      </w:pPr>
      <w:bookmarkStart w:name="_Hlk193124032" w:id="5"/>
      <w:r w:rsidRPr="00404117">
        <w:rPr>
          <w:rFonts w:ascii="Verdana" w:hAnsi="Verdana" w:eastAsia="Calibri"/>
          <w:i/>
          <w:iCs/>
          <w:kern w:val="2"/>
          <w:sz w:val="18"/>
          <w:szCs w:val="22"/>
          <w:lang w:eastAsia="en-US"/>
          <w14:ligatures w14:val="standardContextual"/>
        </w:rPr>
        <w:t xml:space="preserve">In hoeverre verschilt </w:t>
      </w:r>
      <w:proofErr w:type="spellStart"/>
      <w:r w:rsidRPr="00404117">
        <w:rPr>
          <w:rFonts w:ascii="Verdana" w:hAnsi="Verdana" w:eastAsia="Calibri"/>
          <w:i/>
          <w:iCs/>
          <w:kern w:val="2"/>
          <w:sz w:val="18"/>
          <w:szCs w:val="22"/>
          <w:lang w:eastAsia="en-US"/>
          <w14:ligatures w14:val="standardContextual"/>
        </w:rPr>
        <w:t>kredietservicen</w:t>
      </w:r>
      <w:proofErr w:type="spellEnd"/>
      <w:r w:rsidRPr="00404117">
        <w:rPr>
          <w:rFonts w:ascii="Verdana" w:hAnsi="Verdana" w:eastAsia="Calibri"/>
          <w:i/>
          <w:iCs/>
          <w:kern w:val="2"/>
          <w:sz w:val="18"/>
          <w:szCs w:val="22"/>
          <w:lang w:eastAsia="en-US"/>
          <w14:ligatures w14:val="standardContextual"/>
        </w:rPr>
        <w:t xml:space="preserve"> van de activiteiten van een incassobureau?</w:t>
      </w:r>
    </w:p>
    <w:p w:rsidRPr="00404117" w:rsidR="00404117" w:rsidP="008D1814" w:rsidRDefault="00404117" w14:paraId="5682AFA0" w14:textId="77777777">
      <w:pPr>
        <w:spacing w:after="160" w:line="276" w:lineRule="auto"/>
        <w:rPr>
          <w:rFonts w:ascii="Verdana" w:hAnsi="Verdana" w:eastAsia="Calibri"/>
          <w:kern w:val="2"/>
          <w:sz w:val="18"/>
          <w:szCs w:val="18"/>
          <w:lang w:eastAsia="en-US"/>
          <w14:ligatures w14:val="standardContextual"/>
        </w:rPr>
      </w:pPr>
      <w:r w:rsidRPr="00404117">
        <w:rPr>
          <w:rFonts w:ascii="Verdana" w:hAnsi="Verdana" w:eastAsia="Calibri"/>
          <w:kern w:val="2"/>
          <w:sz w:val="18"/>
          <w:szCs w:val="18"/>
          <w:lang w:eastAsia="en-US"/>
          <w14:ligatures w14:val="standardContextual"/>
        </w:rPr>
        <w:t xml:space="preserve">Bij </w:t>
      </w:r>
      <w:proofErr w:type="spellStart"/>
      <w:r w:rsidRPr="00404117">
        <w:rPr>
          <w:rFonts w:ascii="Verdana" w:hAnsi="Verdana" w:eastAsia="Calibri"/>
          <w:kern w:val="2"/>
          <w:sz w:val="18"/>
          <w:szCs w:val="18"/>
          <w:lang w:eastAsia="en-US"/>
          <w14:ligatures w14:val="standardContextual"/>
        </w:rPr>
        <w:t>kredietservicingactiviteiten</w:t>
      </w:r>
      <w:proofErr w:type="spellEnd"/>
      <w:r w:rsidRPr="00404117">
        <w:rPr>
          <w:rFonts w:ascii="Verdana" w:hAnsi="Verdana" w:eastAsia="Calibri"/>
          <w:kern w:val="2"/>
          <w:sz w:val="18"/>
          <w:szCs w:val="18"/>
          <w:lang w:eastAsia="en-US"/>
          <w14:ligatures w14:val="standardContextual"/>
        </w:rPr>
        <w:t xml:space="preserve"> gaat het om de volgende activiteiten met betrekking tot niet-renderende kredietovereenkomsten in de zin van de richtlijn:</w:t>
      </w:r>
    </w:p>
    <w:p w:rsidRPr="00404117" w:rsidR="00404117" w:rsidP="008D1814" w:rsidRDefault="00404117" w14:paraId="6E9882D6" w14:textId="77777777">
      <w:pPr>
        <w:spacing w:after="160" w:line="276" w:lineRule="auto"/>
        <w:rPr>
          <w:rFonts w:ascii="Verdana" w:hAnsi="Verdana" w:eastAsia="Calibri"/>
          <w:kern w:val="2"/>
          <w:sz w:val="18"/>
          <w:szCs w:val="18"/>
          <w:lang w:eastAsia="en-US"/>
          <w14:ligatures w14:val="standardContextual"/>
        </w:rPr>
      </w:pPr>
      <w:r w:rsidRPr="00404117">
        <w:rPr>
          <w:rFonts w:ascii="Verdana" w:hAnsi="Verdana" w:eastAsia="Calibri"/>
          <w:kern w:val="2"/>
          <w:sz w:val="18"/>
          <w:szCs w:val="18"/>
          <w:lang w:eastAsia="en-US"/>
          <w14:ligatures w14:val="standardContextual"/>
        </w:rPr>
        <w:t>– het innen en invorderen van verschuldigde betalingen van de kredietnemer in verband met de kredietovereenkomst;</w:t>
      </w:r>
    </w:p>
    <w:p w:rsidRPr="00404117" w:rsidR="00404117" w:rsidP="008D1814" w:rsidRDefault="00404117" w14:paraId="6BE0334A" w14:textId="77777777">
      <w:pPr>
        <w:spacing w:after="160" w:line="276" w:lineRule="auto"/>
        <w:rPr>
          <w:rFonts w:ascii="Verdana" w:hAnsi="Verdana" w:eastAsia="Calibri"/>
          <w:kern w:val="2"/>
          <w:sz w:val="18"/>
          <w:szCs w:val="18"/>
          <w:lang w:eastAsia="en-US"/>
          <w14:ligatures w14:val="standardContextual"/>
        </w:rPr>
      </w:pPr>
      <w:r w:rsidRPr="00404117">
        <w:rPr>
          <w:rFonts w:ascii="Verdana" w:hAnsi="Verdana" w:eastAsia="Calibri"/>
          <w:kern w:val="2"/>
          <w:sz w:val="18"/>
          <w:szCs w:val="18"/>
          <w:lang w:eastAsia="en-US"/>
          <w14:ligatures w14:val="standardContextual"/>
        </w:rPr>
        <w:t>– het opnieuw onderhandelen met de kredietnemer over alle voorwaarden met betrekking tot de kredietovereenkomst in overeenstemming met de door de kredietkoper gegeven instructies;</w:t>
      </w:r>
    </w:p>
    <w:p w:rsidRPr="00404117" w:rsidR="00404117" w:rsidP="008D1814" w:rsidRDefault="00404117" w14:paraId="131C9F49" w14:textId="77777777">
      <w:pPr>
        <w:spacing w:after="160" w:line="276" w:lineRule="auto"/>
        <w:rPr>
          <w:rFonts w:ascii="Verdana" w:hAnsi="Verdana" w:eastAsia="Calibri"/>
          <w:kern w:val="2"/>
          <w:sz w:val="18"/>
          <w:szCs w:val="18"/>
          <w:lang w:eastAsia="en-US"/>
          <w14:ligatures w14:val="standardContextual"/>
        </w:rPr>
      </w:pPr>
      <w:r w:rsidRPr="00404117">
        <w:rPr>
          <w:rFonts w:ascii="Verdana" w:hAnsi="Verdana" w:eastAsia="Calibri"/>
          <w:kern w:val="2"/>
          <w:sz w:val="18"/>
          <w:szCs w:val="18"/>
          <w:lang w:eastAsia="en-US"/>
          <w14:ligatures w14:val="standardContextual"/>
        </w:rPr>
        <w:t>– het beheren van klachten; of</w:t>
      </w:r>
    </w:p>
    <w:p w:rsidRPr="00404117" w:rsidR="00404117" w:rsidP="008D1814" w:rsidRDefault="00404117" w14:paraId="4C1781AB" w14:textId="77777777">
      <w:pPr>
        <w:spacing w:after="160" w:line="276" w:lineRule="auto"/>
        <w:rPr>
          <w:rFonts w:ascii="Verdana" w:hAnsi="Verdana" w:eastAsia="Calibri"/>
          <w:kern w:val="2"/>
          <w:sz w:val="18"/>
          <w:szCs w:val="18"/>
          <w:lang w:eastAsia="en-US"/>
          <w14:ligatures w14:val="standardContextual"/>
        </w:rPr>
      </w:pPr>
      <w:r w:rsidRPr="00404117">
        <w:rPr>
          <w:rFonts w:ascii="Verdana" w:hAnsi="Verdana" w:eastAsia="Calibri"/>
          <w:kern w:val="2"/>
          <w:sz w:val="18"/>
          <w:szCs w:val="18"/>
          <w:lang w:eastAsia="en-US"/>
          <w14:ligatures w14:val="standardContextual"/>
        </w:rPr>
        <w:t>– het in kennis stellen van de kredietnemer van alle wijzigingen in rentevoeten, kosten of alle verschuldigde betalingen in verband met de kredietovereenkomst.</w:t>
      </w:r>
    </w:p>
    <w:p w:rsidRPr="00404117" w:rsidR="00404117" w:rsidP="008D1814" w:rsidRDefault="00404117" w14:paraId="086AEF2B" w14:textId="4DC2A6E5">
      <w:pPr>
        <w:spacing w:after="160" w:line="276" w:lineRule="auto"/>
        <w:rPr>
          <w:rFonts w:ascii="Verdana" w:hAnsi="Verdana" w:eastAsia="Calibri"/>
          <w:kern w:val="2"/>
          <w:sz w:val="18"/>
          <w:szCs w:val="18"/>
          <w:lang w:eastAsia="en-US"/>
          <w14:ligatures w14:val="standardContextual"/>
        </w:rPr>
      </w:pPr>
      <w:r w:rsidRPr="00404117">
        <w:rPr>
          <w:rFonts w:ascii="Verdana" w:hAnsi="Verdana" w:eastAsia="Calibri"/>
          <w:kern w:val="2"/>
          <w:sz w:val="18"/>
          <w:szCs w:val="18"/>
          <w:lang w:eastAsia="en-US"/>
          <w14:ligatures w14:val="standardContextual"/>
        </w:rPr>
        <w:t xml:space="preserve">Deze activiteiten komen overeen met handelingen die door een incassobureau kunnen worden verricht voor het buitengerechtelijk innen van een vordering. Van belang is dat er alleen sprake is van een vergunningplicht voor een </w:t>
      </w:r>
      <w:proofErr w:type="spellStart"/>
      <w:r w:rsidRPr="00404117">
        <w:rPr>
          <w:rFonts w:ascii="Verdana" w:hAnsi="Verdana" w:eastAsia="Calibri"/>
          <w:kern w:val="2"/>
          <w:sz w:val="18"/>
          <w:szCs w:val="18"/>
          <w:lang w:eastAsia="en-US"/>
          <w14:ligatures w14:val="standardContextual"/>
        </w:rPr>
        <w:t>kredietservicer</w:t>
      </w:r>
      <w:proofErr w:type="spellEnd"/>
      <w:r w:rsidRPr="00404117">
        <w:rPr>
          <w:rFonts w:ascii="Verdana" w:hAnsi="Verdana" w:eastAsia="Calibri"/>
          <w:kern w:val="2"/>
          <w:sz w:val="18"/>
          <w:szCs w:val="18"/>
          <w:lang w:eastAsia="en-US"/>
          <w14:ligatures w14:val="standardContextual"/>
        </w:rPr>
        <w:t xml:space="preserve"> indien deze rechtspersoon – kortgezegd – bedrijfsmatig namens een kredietkoper de niet-renderende kredietovereenkomst beheert en de nakoming ervan afdwingt, en daarbij tevens een of meer </w:t>
      </w:r>
      <w:proofErr w:type="spellStart"/>
      <w:r w:rsidRPr="00404117">
        <w:rPr>
          <w:rFonts w:ascii="Verdana" w:hAnsi="Verdana" w:eastAsia="Calibri"/>
          <w:kern w:val="2"/>
          <w:sz w:val="18"/>
          <w:szCs w:val="18"/>
          <w:lang w:eastAsia="en-US"/>
          <w14:ligatures w14:val="standardContextual"/>
        </w:rPr>
        <w:t>kredietservicingactiviteiten</w:t>
      </w:r>
      <w:proofErr w:type="spellEnd"/>
      <w:r w:rsidRPr="00404117">
        <w:rPr>
          <w:rFonts w:ascii="Verdana" w:hAnsi="Verdana" w:eastAsia="Calibri"/>
          <w:kern w:val="2"/>
          <w:sz w:val="18"/>
          <w:szCs w:val="18"/>
          <w:lang w:eastAsia="en-US"/>
          <w14:ligatures w14:val="standardContextual"/>
        </w:rPr>
        <w:t xml:space="preserve"> verricht. Indien een incassobureau het bedrijf van </w:t>
      </w:r>
      <w:proofErr w:type="spellStart"/>
      <w:r w:rsidRPr="00404117">
        <w:rPr>
          <w:rFonts w:ascii="Verdana" w:hAnsi="Verdana" w:eastAsia="Calibri"/>
          <w:kern w:val="2"/>
          <w:sz w:val="18"/>
          <w:szCs w:val="18"/>
          <w:lang w:eastAsia="en-US"/>
          <w14:ligatures w14:val="standardContextual"/>
        </w:rPr>
        <w:t>kredietservicer</w:t>
      </w:r>
      <w:proofErr w:type="spellEnd"/>
      <w:r w:rsidRPr="00404117">
        <w:rPr>
          <w:rFonts w:ascii="Verdana" w:hAnsi="Verdana" w:eastAsia="Calibri"/>
          <w:kern w:val="2"/>
          <w:sz w:val="18"/>
          <w:szCs w:val="18"/>
          <w:lang w:eastAsia="en-US"/>
          <w14:ligatures w14:val="standardContextual"/>
        </w:rPr>
        <w:t xml:space="preserve"> met betrekking tot niet-renderende kredietovereenkomsten uitoefent, dient het incassobureau te beschikken over een door de AFM ingevolge de </w:t>
      </w:r>
      <w:proofErr w:type="spellStart"/>
      <w:r w:rsidRPr="00404117">
        <w:rPr>
          <w:rFonts w:ascii="Verdana" w:hAnsi="Verdana" w:eastAsia="Calibri"/>
          <w:kern w:val="2"/>
          <w:sz w:val="18"/>
          <w:szCs w:val="18"/>
          <w:lang w:eastAsia="en-US"/>
          <w14:ligatures w14:val="standardContextual"/>
        </w:rPr>
        <w:t>Wft</w:t>
      </w:r>
      <w:proofErr w:type="spellEnd"/>
      <w:r w:rsidRPr="00404117">
        <w:rPr>
          <w:rFonts w:ascii="Verdana" w:hAnsi="Verdana" w:eastAsia="Calibri"/>
          <w:kern w:val="2"/>
          <w:sz w:val="18"/>
          <w:szCs w:val="18"/>
          <w:lang w:eastAsia="en-US"/>
          <w14:ligatures w14:val="standardContextual"/>
        </w:rPr>
        <w:t xml:space="preserve"> verleende vergunning voor het in Nederland </w:t>
      </w:r>
      <w:proofErr w:type="spellStart"/>
      <w:r w:rsidRPr="00404117">
        <w:rPr>
          <w:rFonts w:ascii="Verdana" w:hAnsi="Verdana" w:eastAsia="Calibri"/>
          <w:kern w:val="2"/>
          <w:sz w:val="18"/>
          <w:szCs w:val="18"/>
          <w:lang w:eastAsia="en-US"/>
          <w14:ligatures w14:val="standardContextual"/>
        </w:rPr>
        <w:t>servicen</w:t>
      </w:r>
      <w:proofErr w:type="spellEnd"/>
      <w:r w:rsidRPr="00404117">
        <w:rPr>
          <w:rFonts w:ascii="Verdana" w:hAnsi="Verdana" w:eastAsia="Calibri"/>
          <w:kern w:val="2"/>
          <w:sz w:val="18"/>
          <w:szCs w:val="18"/>
          <w:lang w:eastAsia="en-US"/>
          <w14:ligatures w14:val="standardContextual"/>
        </w:rPr>
        <w:t xml:space="preserve"> van dergelijke overeenkomsten. Echter, de verwachting is dat incassobureaus in de praktijk veelal als </w:t>
      </w:r>
      <w:proofErr w:type="spellStart"/>
      <w:r w:rsidRPr="00404117">
        <w:rPr>
          <w:rFonts w:ascii="Verdana" w:hAnsi="Verdana" w:eastAsia="Calibri"/>
          <w:kern w:val="2"/>
          <w:sz w:val="18"/>
          <w:szCs w:val="18"/>
          <w:lang w:eastAsia="en-US"/>
          <w14:ligatures w14:val="standardContextual"/>
        </w:rPr>
        <w:t>kredietservicingaanbieder</w:t>
      </w:r>
      <w:proofErr w:type="spellEnd"/>
      <w:r w:rsidRPr="00404117">
        <w:rPr>
          <w:rFonts w:ascii="Verdana" w:hAnsi="Verdana" w:eastAsia="Calibri"/>
          <w:kern w:val="2"/>
          <w:sz w:val="18"/>
          <w:szCs w:val="18"/>
          <w:lang w:eastAsia="en-US"/>
          <w14:ligatures w14:val="standardContextual"/>
        </w:rPr>
        <w:t xml:space="preserve"> zullen optreden. </w:t>
      </w:r>
      <w:proofErr w:type="spellStart"/>
      <w:r w:rsidR="00CB3A3B">
        <w:rPr>
          <w:rFonts w:ascii="Verdana" w:hAnsi="Verdana" w:eastAsia="Calibri"/>
          <w:kern w:val="2"/>
          <w:sz w:val="18"/>
          <w:szCs w:val="18"/>
          <w:lang w:eastAsia="en-US"/>
          <w14:ligatures w14:val="standardContextual"/>
        </w:rPr>
        <w:t>Kredietservicingaanbieders</w:t>
      </w:r>
      <w:proofErr w:type="spellEnd"/>
      <w:r w:rsidR="00CB3A3B">
        <w:rPr>
          <w:rFonts w:ascii="Verdana" w:hAnsi="Verdana" w:eastAsia="Calibri"/>
          <w:kern w:val="2"/>
          <w:sz w:val="18"/>
          <w:szCs w:val="18"/>
          <w:lang w:eastAsia="en-US"/>
          <w14:ligatures w14:val="standardContextual"/>
        </w:rPr>
        <w:t xml:space="preserve"> worden door een </w:t>
      </w:r>
      <w:proofErr w:type="spellStart"/>
      <w:r w:rsidR="00CB3A3B">
        <w:rPr>
          <w:rFonts w:ascii="Verdana" w:hAnsi="Verdana" w:eastAsia="Calibri"/>
          <w:kern w:val="2"/>
          <w:sz w:val="18"/>
          <w:szCs w:val="18"/>
          <w:lang w:eastAsia="en-US"/>
          <w14:ligatures w14:val="standardContextual"/>
        </w:rPr>
        <w:t>kredietservicer</w:t>
      </w:r>
      <w:proofErr w:type="spellEnd"/>
      <w:r w:rsidR="00CB3A3B">
        <w:rPr>
          <w:rFonts w:ascii="Verdana" w:hAnsi="Verdana" w:eastAsia="Calibri"/>
          <w:kern w:val="2"/>
          <w:sz w:val="18"/>
          <w:szCs w:val="18"/>
          <w:lang w:eastAsia="en-US"/>
          <w14:ligatures w14:val="standardContextual"/>
        </w:rPr>
        <w:t xml:space="preserve"> ingeschakeld om een of meerdere van de hierboven genoemde </w:t>
      </w:r>
      <w:proofErr w:type="spellStart"/>
      <w:r w:rsidR="00CB3A3B">
        <w:rPr>
          <w:rFonts w:ascii="Verdana" w:hAnsi="Verdana" w:eastAsia="Calibri"/>
          <w:kern w:val="2"/>
          <w:sz w:val="18"/>
          <w:szCs w:val="18"/>
          <w:lang w:eastAsia="en-US"/>
          <w14:ligatures w14:val="standardContextual"/>
        </w:rPr>
        <w:t>kredietservicingactiviteiten</w:t>
      </w:r>
      <w:proofErr w:type="spellEnd"/>
      <w:r w:rsidR="00CB3A3B">
        <w:rPr>
          <w:rFonts w:ascii="Verdana" w:hAnsi="Verdana" w:eastAsia="Calibri"/>
          <w:kern w:val="2"/>
          <w:sz w:val="18"/>
          <w:szCs w:val="18"/>
          <w:lang w:eastAsia="en-US"/>
          <w14:ligatures w14:val="standardContextual"/>
        </w:rPr>
        <w:t xml:space="preserve"> te verrichten. Zij be</w:t>
      </w:r>
      <w:r w:rsidRPr="00404117">
        <w:rPr>
          <w:rFonts w:ascii="Verdana" w:hAnsi="Verdana" w:eastAsia="Calibri"/>
          <w:kern w:val="2"/>
          <w:sz w:val="18"/>
          <w:szCs w:val="18"/>
          <w:lang w:eastAsia="en-US"/>
          <w14:ligatures w14:val="standardContextual"/>
        </w:rPr>
        <w:t>hoeven</w:t>
      </w:r>
      <w:r w:rsidR="00CB3A3B">
        <w:rPr>
          <w:rFonts w:ascii="Verdana" w:hAnsi="Verdana" w:eastAsia="Calibri"/>
          <w:kern w:val="2"/>
          <w:sz w:val="18"/>
          <w:szCs w:val="18"/>
          <w:lang w:eastAsia="en-US"/>
          <w14:ligatures w14:val="standardContextual"/>
        </w:rPr>
        <w:t xml:space="preserve"> daarvoor </w:t>
      </w:r>
      <w:r w:rsidRPr="00404117">
        <w:rPr>
          <w:rFonts w:ascii="Verdana" w:hAnsi="Verdana" w:eastAsia="Calibri"/>
          <w:kern w:val="2"/>
          <w:sz w:val="18"/>
          <w:szCs w:val="18"/>
          <w:lang w:eastAsia="en-US"/>
          <w14:ligatures w14:val="standardContextual"/>
        </w:rPr>
        <w:t xml:space="preserve">niet over een ingevolge de richtlijn verleende vergunning te beschikken. </w:t>
      </w:r>
      <w:bookmarkEnd w:id="5"/>
    </w:p>
    <w:p w:rsidRPr="00404117" w:rsidR="00404117" w:rsidP="008D1814" w:rsidRDefault="00404117" w14:paraId="0965FEC5" w14:textId="77777777">
      <w:pPr>
        <w:spacing w:after="160" w:line="276" w:lineRule="auto"/>
        <w:rPr>
          <w:rFonts w:ascii="Verdana" w:hAnsi="Verdana" w:eastAsia="Calibri"/>
          <w:i/>
          <w:iCs/>
          <w:kern w:val="2"/>
          <w:sz w:val="18"/>
          <w:szCs w:val="22"/>
          <w:lang w:eastAsia="en-US"/>
          <w14:ligatures w14:val="standardContextual"/>
        </w:rPr>
      </w:pPr>
      <w:r w:rsidRPr="00404117">
        <w:rPr>
          <w:rFonts w:ascii="Verdana" w:hAnsi="Verdana" w:eastAsia="Calibri"/>
          <w:i/>
          <w:iCs/>
          <w:kern w:val="2"/>
          <w:sz w:val="18"/>
          <w:szCs w:val="22"/>
          <w:lang w:eastAsia="en-US"/>
          <w14:ligatures w14:val="standardContextual"/>
        </w:rPr>
        <w:t xml:space="preserve">Gelden de regels voor incassobureaus ook voor </w:t>
      </w:r>
      <w:proofErr w:type="spellStart"/>
      <w:r w:rsidRPr="00404117">
        <w:rPr>
          <w:rFonts w:ascii="Verdana" w:hAnsi="Verdana" w:eastAsia="Calibri"/>
          <w:i/>
          <w:iCs/>
          <w:kern w:val="2"/>
          <w:sz w:val="18"/>
          <w:szCs w:val="22"/>
          <w:lang w:eastAsia="en-US"/>
          <w14:ligatures w14:val="standardContextual"/>
        </w:rPr>
        <w:t>kredietservicers</w:t>
      </w:r>
      <w:proofErr w:type="spellEnd"/>
      <w:r w:rsidRPr="00404117">
        <w:rPr>
          <w:rFonts w:ascii="Verdana" w:hAnsi="Verdana" w:eastAsia="Calibri"/>
          <w:i/>
          <w:iCs/>
          <w:kern w:val="2"/>
          <w:sz w:val="18"/>
          <w:szCs w:val="22"/>
          <w:lang w:eastAsia="en-US"/>
          <w14:ligatures w14:val="standardContextual"/>
        </w:rPr>
        <w:t>?</w:t>
      </w:r>
    </w:p>
    <w:p w:rsidRPr="00404117" w:rsidR="00404117" w:rsidP="008D1814" w:rsidRDefault="00404117" w14:paraId="28EB7D3F" w14:textId="77777777">
      <w:pPr>
        <w:spacing w:after="160" w:line="276" w:lineRule="auto"/>
        <w:rPr>
          <w:rFonts w:ascii="Verdana" w:hAnsi="Verdana" w:eastAsia="Calibri"/>
          <w:kern w:val="2"/>
          <w:sz w:val="18"/>
          <w:szCs w:val="18"/>
          <w:lang w:eastAsia="en-US"/>
          <w14:ligatures w14:val="standardContextual"/>
        </w:rPr>
      </w:pPr>
      <w:r w:rsidRPr="00404117">
        <w:rPr>
          <w:rFonts w:ascii="Verdana" w:hAnsi="Verdana" w:eastAsia="Calibri"/>
          <w:kern w:val="2"/>
          <w:sz w:val="18"/>
          <w:szCs w:val="18"/>
          <w:lang w:eastAsia="en-US"/>
          <w14:ligatures w14:val="standardContextual"/>
        </w:rPr>
        <w:t>De incassomarkt, zoals gereguleerd met de Wet kwaliteit incassodienstverlening (</w:t>
      </w:r>
      <w:proofErr w:type="spellStart"/>
      <w:r w:rsidRPr="00404117">
        <w:rPr>
          <w:rFonts w:ascii="Verdana" w:hAnsi="Verdana" w:eastAsia="Calibri"/>
          <w:kern w:val="2"/>
          <w:sz w:val="18"/>
          <w:szCs w:val="18"/>
          <w:lang w:eastAsia="en-US"/>
          <w14:ligatures w14:val="standardContextual"/>
        </w:rPr>
        <w:t>Wki</w:t>
      </w:r>
      <w:proofErr w:type="spellEnd"/>
      <w:r w:rsidRPr="00404117">
        <w:rPr>
          <w:rFonts w:ascii="Verdana" w:hAnsi="Verdana" w:eastAsia="Calibri"/>
          <w:kern w:val="2"/>
          <w:sz w:val="18"/>
          <w:szCs w:val="18"/>
          <w:lang w:eastAsia="en-US"/>
          <w14:ligatures w14:val="standardContextual"/>
        </w:rPr>
        <w:t xml:space="preserve">), ziet op partijen die incassodiensten verlenen, zoals incassobureaus, waarbij het niet uitmaakt wie de oorspronkelijke schuldeiser is van de vordering waarvoor incasso-activiteiten worden verricht. De schuldeiser kan een kredietgever zijn, zoals een bank, maar het kan ook gaan om andere schuldeisers en vorderingen in verband met de niet-nakoming van andere overeenkomsten dan kredietovereenkomsten. De </w:t>
      </w:r>
      <w:proofErr w:type="spellStart"/>
      <w:r w:rsidRPr="00404117">
        <w:rPr>
          <w:rFonts w:ascii="Verdana" w:hAnsi="Verdana" w:eastAsia="Calibri"/>
          <w:kern w:val="2"/>
          <w:sz w:val="18"/>
          <w:szCs w:val="18"/>
          <w:lang w:eastAsia="en-US"/>
          <w14:ligatures w14:val="standardContextual"/>
        </w:rPr>
        <w:t>Wki</w:t>
      </w:r>
      <w:proofErr w:type="spellEnd"/>
      <w:r w:rsidRPr="00404117">
        <w:rPr>
          <w:rFonts w:ascii="Verdana" w:hAnsi="Verdana" w:eastAsia="Calibri"/>
          <w:kern w:val="2"/>
          <w:sz w:val="18"/>
          <w:szCs w:val="18"/>
          <w:lang w:eastAsia="en-US"/>
          <w14:ligatures w14:val="standardContextual"/>
        </w:rPr>
        <w:t xml:space="preserve"> geeft regels voor partijen die buitengerechtelijke incassowerkzaamheden verrichten ten aanzien van natuurlijke personen die hun woonplaats in Nederland hebben. Dat zijn consumenten, maar kunnen ook (kleine) bedrijven zijn zonder rechtspersoonlijkheid, zoals eenmanszaken. </w:t>
      </w:r>
    </w:p>
    <w:p w:rsidRPr="00404117" w:rsidR="00404117" w:rsidP="008D1814" w:rsidRDefault="00404117" w14:paraId="7D217E22" w14:textId="56273A50">
      <w:pPr>
        <w:spacing w:after="160" w:line="276" w:lineRule="auto"/>
        <w:rPr>
          <w:rFonts w:ascii="Verdana" w:hAnsi="Verdana" w:eastAsia="Calibri"/>
          <w:kern w:val="2"/>
          <w:sz w:val="18"/>
          <w:szCs w:val="18"/>
          <w:lang w:eastAsia="en-US"/>
          <w14:ligatures w14:val="standardContextual"/>
        </w:rPr>
      </w:pPr>
      <w:r w:rsidRPr="00404117">
        <w:rPr>
          <w:rFonts w:ascii="Verdana" w:hAnsi="Verdana" w:eastAsia="Calibri"/>
          <w:kern w:val="2"/>
          <w:sz w:val="18"/>
          <w:szCs w:val="18"/>
          <w:lang w:eastAsia="en-US"/>
          <w14:ligatures w14:val="standardContextual"/>
        </w:rPr>
        <w:t xml:space="preserve">In die zin is de incassomarkt breder dan de secundaire markt voor niet-renderende kredietovereenkomsten, waar de richtlijn op ziet. Het is mogelijk dat een </w:t>
      </w:r>
      <w:proofErr w:type="spellStart"/>
      <w:r w:rsidRPr="00404117">
        <w:rPr>
          <w:rFonts w:ascii="Verdana" w:hAnsi="Verdana" w:eastAsia="Calibri"/>
          <w:kern w:val="2"/>
          <w:sz w:val="18"/>
          <w:szCs w:val="18"/>
          <w:lang w:eastAsia="en-US"/>
          <w14:ligatures w14:val="standardContextual"/>
        </w:rPr>
        <w:t>kredietservicer</w:t>
      </w:r>
      <w:proofErr w:type="spellEnd"/>
      <w:r w:rsidRPr="00404117">
        <w:rPr>
          <w:rFonts w:ascii="Verdana" w:hAnsi="Verdana" w:eastAsia="Calibri"/>
          <w:kern w:val="2"/>
          <w:sz w:val="18"/>
          <w:szCs w:val="18"/>
          <w:lang w:eastAsia="en-US"/>
          <w14:ligatures w14:val="standardContextual"/>
        </w:rPr>
        <w:t xml:space="preserve"> ook kwalificeert als een incassodienstverlener in de zin van de </w:t>
      </w:r>
      <w:proofErr w:type="spellStart"/>
      <w:r w:rsidRPr="00404117">
        <w:rPr>
          <w:rFonts w:ascii="Verdana" w:hAnsi="Verdana" w:eastAsia="Calibri"/>
          <w:kern w:val="2"/>
          <w:sz w:val="18"/>
          <w:szCs w:val="18"/>
          <w:lang w:eastAsia="en-US"/>
          <w14:ligatures w14:val="standardContextual"/>
        </w:rPr>
        <w:t>Wki</w:t>
      </w:r>
      <w:proofErr w:type="spellEnd"/>
      <w:r w:rsidRPr="00404117">
        <w:rPr>
          <w:rFonts w:ascii="Verdana" w:hAnsi="Verdana" w:eastAsia="Calibri"/>
          <w:kern w:val="2"/>
          <w:sz w:val="18"/>
          <w:szCs w:val="18"/>
          <w:lang w:eastAsia="en-US"/>
          <w14:ligatures w14:val="standardContextual"/>
        </w:rPr>
        <w:t xml:space="preserve">. Deze </w:t>
      </w:r>
      <w:proofErr w:type="spellStart"/>
      <w:r w:rsidRPr="00404117">
        <w:rPr>
          <w:rFonts w:ascii="Verdana" w:hAnsi="Verdana" w:eastAsia="Calibri"/>
          <w:kern w:val="2"/>
          <w:sz w:val="18"/>
          <w:szCs w:val="18"/>
          <w:lang w:eastAsia="en-US"/>
          <w14:ligatures w14:val="standardContextual"/>
        </w:rPr>
        <w:t>kredietservicers</w:t>
      </w:r>
      <w:proofErr w:type="spellEnd"/>
      <w:r w:rsidRPr="00404117">
        <w:rPr>
          <w:rFonts w:ascii="Verdana" w:hAnsi="Verdana" w:eastAsia="Calibri"/>
          <w:kern w:val="2"/>
          <w:sz w:val="18"/>
          <w:szCs w:val="18"/>
          <w:lang w:eastAsia="en-US"/>
          <w14:ligatures w14:val="standardContextual"/>
        </w:rPr>
        <w:t xml:space="preserve"> zullen zich dan ook moeten laten inschrijven in het incassoregister. De </w:t>
      </w:r>
      <w:proofErr w:type="spellStart"/>
      <w:r w:rsidRPr="00404117">
        <w:rPr>
          <w:rFonts w:ascii="Verdana" w:hAnsi="Verdana" w:eastAsia="Calibri"/>
          <w:kern w:val="2"/>
          <w:sz w:val="18"/>
          <w:szCs w:val="18"/>
          <w:lang w:eastAsia="en-US"/>
          <w14:ligatures w14:val="standardContextual"/>
        </w:rPr>
        <w:t>Wki</w:t>
      </w:r>
      <w:proofErr w:type="spellEnd"/>
      <w:r w:rsidRPr="00404117">
        <w:rPr>
          <w:rFonts w:ascii="Verdana" w:hAnsi="Verdana" w:eastAsia="Calibri"/>
          <w:kern w:val="2"/>
          <w:sz w:val="18"/>
          <w:szCs w:val="18"/>
          <w:lang w:eastAsia="en-US"/>
          <w14:ligatures w14:val="standardContextual"/>
        </w:rPr>
        <w:t xml:space="preserve"> bevat een samenwerkingsbepaling voor de verschillende betrokken toezichthouders.</w:t>
      </w:r>
    </w:p>
    <w:p w:rsidRPr="00404117" w:rsidR="00404117" w:rsidP="008D1814" w:rsidRDefault="00404117" w14:paraId="08F0CA07" w14:textId="77777777">
      <w:pPr>
        <w:spacing w:after="160" w:line="276" w:lineRule="auto"/>
        <w:rPr>
          <w:rFonts w:ascii="Verdana" w:hAnsi="Verdana" w:eastAsia="Calibri"/>
          <w:i/>
          <w:iCs/>
          <w:kern w:val="2"/>
          <w:sz w:val="18"/>
          <w:szCs w:val="22"/>
          <w:lang w:eastAsia="en-US"/>
          <w14:ligatures w14:val="standardContextual"/>
        </w:rPr>
      </w:pPr>
      <w:r w:rsidRPr="00404117">
        <w:rPr>
          <w:rFonts w:ascii="Verdana" w:hAnsi="Verdana" w:eastAsia="Calibri"/>
          <w:i/>
          <w:iCs/>
          <w:kern w:val="2"/>
          <w:sz w:val="18"/>
          <w:szCs w:val="22"/>
          <w:lang w:eastAsia="en-US"/>
          <w14:ligatures w14:val="standardContextual"/>
        </w:rPr>
        <w:t xml:space="preserve">De leden van de NSC-fractie vragen daarnaast of het klopt dat er tot op heden slechts één vergunningaanvraag is voor </w:t>
      </w:r>
      <w:proofErr w:type="spellStart"/>
      <w:r w:rsidRPr="00404117">
        <w:rPr>
          <w:rFonts w:ascii="Verdana" w:hAnsi="Verdana" w:eastAsia="Calibri"/>
          <w:i/>
          <w:iCs/>
          <w:kern w:val="2"/>
          <w:sz w:val="18"/>
          <w:szCs w:val="22"/>
          <w:lang w:eastAsia="en-US"/>
          <w14:ligatures w14:val="standardContextual"/>
        </w:rPr>
        <w:t>kredietservicing</w:t>
      </w:r>
      <w:proofErr w:type="spellEnd"/>
      <w:r w:rsidRPr="00404117">
        <w:rPr>
          <w:rFonts w:ascii="Verdana" w:hAnsi="Verdana" w:eastAsia="Calibri"/>
          <w:i/>
          <w:iCs/>
          <w:kern w:val="2"/>
          <w:sz w:val="18"/>
          <w:szCs w:val="22"/>
          <w:lang w:eastAsia="en-US"/>
          <w14:ligatures w14:val="standardContextual"/>
        </w:rPr>
        <w:t xml:space="preserve">? Welk bedrijf heeft deze vergunning aangevraagd? </w:t>
      </w:r>
    </w:p>
    <w:p w:rsidRPr="00404117" w:rsidR="00404117" w:rsidP="008D1814" w:rsidRDefault="00404117" w14:paraId="79D9AA31" w14:textId="39F4E621">
      <w:pPr>
        <w:spacing w:after="160" w:line="276" w:lineRule="auto"/>
        <w:rPr>
          <w:rFonts w:ascii="Verdana" w:hAnsi="Verdana" w:eastAsia="Calibri"/>
          <w:kern w:val="2"/>
          <w:sz w:val="18"/>
          <w:szCs w:val="22"/>
          <w:lang w:eastAsia="en-US"/>
          <w14:ligatures w14:val="standardContextual"/>
        </w:rPr>
      </w:pPr>
      <w:r w:rsidRPr="00404117">
        <w:rPr>
          <w:rFonts w:ascii="Verdana" w:hAnsi="Verdana" w:eastAsia="Calibri"/>
          <w:kern w:val="2"/>
          <w:sz w:val="18"/>
          <w:szCs w:val="22"/>
          <w:lang w:eastAsia="en-US"/>
          <w14:ligatures w14:val="standardContextual"/>
        </w:rPr>
        <w:t xml:space="preserve">Omdat de richtlijn nog niet is omgezet in Nederlands nationaal recht is het momenteel nog niet mogelijk om een vergunning voor het in Nederland </w:t>
      </w:r>
      <w:proofErr w:type="spellStart"/>
      <w:r w:rsidRPr="00404117">
        <w:rPr>
          <w:rFonts w:ascii="Verdana" w:hAnsi="Verdana" w:eastAsia="Calibri"/>
          <w:kern w:val="2"/>
          <w:sz w:val="18"/>
          <w:szCs w:val="22"/>
          <w:lang w:eastAsia="en-US"/>
          <w14:ligatures w14:val="standardContextual"/>
        </w:rPr>
        <w:t>servicen</w:t>
      </w:r>
      <w:proofErr w:type="spellEnd"/>
      <w:r w:rsidRPr="00404117">
        <w:rPr>
          <w:rFonts w:ascii="Verdana" w:hAnsi="Verdana" w:eastAsia="Calibri"/>
          <w:kern w:val="2"/>
          <w:sz w:val="18"/>
          <w:szCs w:val="22"/>
          <w:lang w:eastAsia="en-US"/>
          <w14:ligatures w14:val="standardContextual"/>
        </w:rPr>
        <w:t xml:space="preserve"> van niet-renderende kredietovereenkomsten aan te vragen.</w:t>
      </w:r>
    </w:p>
    <w:p w:rsidRPr="00404117" w:rsidR="00404117" w:rsidP="008D1814" w:rsidRDefault="00404117" w14:paraId="2E6316B5" w14:textId="77777777">
      <w:pPr>
        <w:spacing w:after="160" w:line="276" w:lineRule="auto"/>
        <w:rPr>
          <w:rFonts w:ascii="Verdana" w:hAnsi="Verdana" w:eastAsia="Calibri"/>
          <w:i/>
          <w:iCs/>
          <w:kern w:val="2"/>
          <w:sz w:val="18"/>
          <w:szCs w:val="22"/>
          <w:lang w:eastAsia="en-US"/>
          <w14:ligatures w14:val="standardContextual"/>
        </w:rPr>
      </w:pPr>
      <w:r w:rsidRPr="00404117">
        <w:rPr>
          <w:rFonts w:ascii="Verdana" w:hAnsi="Verdana" w:eastAsia="Calibri"/>
          <w:i/>
          <w:iCs/>
          <w:kern w:val="2"/>
          <w:sz w:val="18"/>
          <w:szCs w:val="22"/>
          <w:lang w:eastAsia="en-US"/>
          <w14:ligatures w14:val="standardContextual"/>
        </w:rPr>
        <w:t xml:space="preserve">Hoeveel vergunningen zijn er aangevraagd in de 26 andere lidstaten? </w:t>
      </w:r>
    </w:p>
    <w:p w:rsidRPr="00404117" w:rsidR="00404117" w:rsidP="008D1814" w:rsidRDefault="00404117" w14:paraId="2A6AEFCD" w14:textId="77777777">
      <w:pPr>
        <w:spacing w:after="160" w:line="276" w:lineRule="auto"/>
        <w:rPr>
          <w:rFonts w:ascii="Verdana" w:hAnsi="Verdana" w:eastAsia="Calibri"/>
          <w:kern w:val="2"/>
          <w:sz w:val="18"/>
          <w:szCs w:val="22"/>
          <w:lang w:eastAsia="en-US"/>
          <w14:ligatures w14:val="standardContextual"/>
        </w:rPr>
      </w:pPr>
      <w:r w:rsidRPr="00404117">
        <w:rPr>
          <w:rFonts w:ascii="Verdana" w:hAnsi="Verdana" w:eastAsia="Calibri"/>
          <w:kern w:val="2"/>
          <w:sz w:val="18"/>
          <w:szCs w:val="22"/>
          <w:lang w:eastAsia="en-US"/>
          <w14:ligatures w14:val="standardContextual"/>
        </w:rPr>
        <w:t xml:space="preserve">Ik heb geen zicht op het aantal vergunningaanvragen dat is ingediend bij de bevoegde toezichthoudende instanties van de verschillende lidstaten. Het aantal ingediende vergunningaanvragen wordt in de regel niet openbaar gemaakt door de die toezichthoudende instanties omdat dit toezichtvertrouwelijke informatie betreft. </w:t>
      </w:r>
    </w:p>
    <w:p w:rsidRPr="00404117" w:rsidR="00404117" w:rsidP="008D1814" w:rsidRDefault="00404117" w14:paraId="02692698" w14:textId="032D5C61">
      <w:pPr>
        <w:spacing w:after="160" w:line="276" w:lineRule="auto"/>
        <w:rPr>
          <w:rFonts w:ascii="Verdana" w:hAnsi="Verdana" w:eastAsia="Calibri"/>
          <w:kern w:val="2"/>
          <w:sz w:val="18"/>
          <w:szCs w:val="22"/>
          <w:lang w:eastAsia="en-US"/>
          <w14:ligatures w14:val="standardContextual"/>
        </w:rPr>
      </w:pPr>
      <w:r w:rsidRPr="00404117">
        <w:rPr>
          <w:rFonts w:ascii="Verdana" w:hAnsi="Verdana" w:eastAsia="Calibri"/>
          <w:kern w:val="2"/>
          <w:sz w:val="18"/>
          <w:szCs w:val="22"/>
          <w:lang w:eastAsia="en-US"/>
          <w14:ligatures w14:val="standardContextual"/>
        </w:rPr>
        <w:t xml:space="preserve">Ik heb geen totaalbeeld van het aantal vergunningen voor het uitoefenen van het bedrijf van </w:t>
      </w:r>
      <w:proofErr w:type="spellStart"/>
      <w:r w:rsidRPr="00404117">
        <w:rPr>
          <w:rFonts w:ascii="Verdana" w:hAnsi="Verdana" w:eastAsia="Calibri"/>
          <w:kern w:val="2"/>
          <w:sz w:val="18"/>
          <w:szCs w:val="22"/>
          <w:lang w:eastAsia="en-US"/>
          <w14:ligatures w14:val="standardContextual"/>
        </w:rPr>
        <w:t>kredietservicer</w:t>
      </w:r>
      <w:proofErr w:type="spellEnd"/>
      <w:r w:rsidRPr="00404117">
        <w:rPr>
          <w:rFonts w:ascii="Verdana" w:hAnsi="Verdana" w:eastAsia="Calibri"/>
          <w:kern w:val="2"/>
          <w:sz w:val="18"/>
          <w:szCs w:val="22"/>
          <w:lang w:eastAsia="en-US"/>
          <w14:ligatures w14:val="standardContextual"/>
        </w:rPr>
        <w:t xml:space="preserve"> dat reeds door de bevoegde toezichthoudende instanties van de 26 andere lidstaten is verleend. Dat hangt er onder meer mee samen dat de richtlijn nog niet door alle lidstaten is geïmplementeerd. Uit de door de bevoegde toezichthoudende instanties van de betrokken lidstaten aangehouden openbare registers blijkt dat in Duitsland en Ierland respectievelijk 30 en 19 vergunningen zijn verleend voor het </w:t>
      </w:r>
      <w:proofErr w:type="spellStart"/>
      <w:r w:rsidRPr="00404117">
        <w:rPr>
          <w:rFonts w:ascii="Verdana" w:hAnsi="Verdana" w:eastAsia="Calibri"/>
          <w:kern w:val="2"/>
          <w:sz w:val="18"/>
          <w:szCs w:val="22"/>
          <w:lang w:eastAsia="en-US"/>
          <w14:ligatures w14:val="standardContextual"/>
        </w:rPr>
        <w:t>servicen</w:t>
      </w:r>
      <w:proofErr w:type="spellEnd"/>
      <w:r w:rsidRPr="00404117">
        <w:rPr>
          <w:rFonts w:ascii="Verdana" w:hAnsi="Verdana" w:eastAsia="Calibri"/>
          <w:kern w:val="2"/>
          <w:sz w:val="18"/>
          <w:szCs w:val="22"/>
          <w:lang w:eastAsia="en-US"/>
          <w14:ligatures w14:val="standardContextual"/>
        </w:rPr>
        <w:t xml:space="preserve"> van niet-renderende kredietovereenkomsten. </w:t>
      </w:r>
    </w:p>
    <w:p w:rsidRPr="00404117" w:rsidR="00404117" w:rsidP="008D1814" w:rsidRDefault="00404117" w14:paraId="16FA3C7C" w14:textId="77777777">
      <w:pPr>
        <w:spacing w:after="160" w:line="276" w:lineRule="auto"/>
        <w:rPr>
          <w:rFonts w:ascii="Verdana" w:hAnsi="Verdana" w:eastAsia="Calibri"/>
          <w:i/>
          <w:iCs/>
          <w:kern w:val="2"/>
          <w:sz w:val="18"/>
          <w:szCs w:val="22"/>
          <w:lang w:eastAsia="en-US"/>
          <w14:ligatures w14:val="standardContextual"/>
        </w:rPr>
      </w:pPr>
      <w:r w:rsidRPr="00404117">
        <w:rPr>
          <w:rFonts w:ascii="Verdana" w:hAnsi="Verdana" w:eastAsia="Calibri"/>
          <w:i/>
          <w:iCs/>
          <w:kern w:val="2"/>
          <w:sz w:val="18"/>
          <w:szCs w:val="22"/>
          <w:lang w:eastAsia="en-US"/>
          <w14:ligatures w14:val="standardContextual"/>
        </w:rPr>
        <w:t xml:space="preserve">Hoeveel bedrijven zijn er op dit </w:t>
      </w:r>
      <w:bookmarkStart w:name="_Hlk193119900" w:id="6"/>
      <w:r w:rsidRPr="00404117">
        <w:rPr>
          <w:rFonts w:ascii="Verdana" w:hAnsi="Verdana" w:eastAsia="Calibri"/>
          <w:i/>
          <w:iCs/>
          <w:kern w:val="2"/>
          <w:sz w:val="18"/>
          <w:szCs w:val="22"/>
          <w:lang w:eastAsia="en-US"/>
          <w14:ligatures w14:val="standardContextual"/>
        </w:rPr>
        <w:t xml:space="preserve">moment actief als kredietkoper of als </w:t>
      </w:r>
      <w:proofErr w:type="spellStart"/>
      <w:r w:rsidRPr="00404117">
        <w:rPr>
          <w:rFonts w:ascii="Verdana" w:hAnsi="Verdana" w:eastAsia="Calibri"/>
          <w:i/>
          <w:iCs/>
          <w:kern w:val="2"/>
          <w:sz w:val="18"/>
          <w:szCs w:val="22"/>
          <w:lang w:eastAsia="en-US"/>
          <w14:ligatures w14:val="standardContextual"/>
        </w:rPr>
        <w:t>kredietservicers</w:t>
      </w:r>
      <w:proofErr w:type="spellEnd"/>
      <w:r w:rsidRPr="00404117">
        <w:rPr>
          <w:rFonts w:ascii="Verdana" w:hAnsi="Verdana" w:eastAsia="Calibri"/>
          <w:i/>
          <w:iCs/>
          <w:kern w:val="2"/>
          <w:sz w:val="18"/>
          <w:szCs w:val="22"/>
          <w:lang w:eastAsia="en-US"/>
          <w14:ligatures w14:val="standardContextual"/>
        </w:rPr>
        <w:t xml:space="preserve"> dan wel als </w:t>
      </w:r>
      <w:proofErr w:type="spellStart"/>
      <w:r w:rsidRPr="00404117">
        <w:rPr>
          <w:rFonts w:ascii="Verdana" w:hAnsi="Verdana" w:eastAsia="Calibri"/>
          <w:i/>
          <w:iCs/>
          <w:kern w:val="2"/>
          <w:sz w:val="18"/>
          <w:szCs w:val="22"/>
          <w:lang w:eastAsia="en-US"/>
          <w14:ligatures w14:val="standardContextual"/>
        </w:rPr>
        <w:t>kredietserviceaanbieder</w:t>
      </w:r>
      <w:proofErr w:type="spellEnd"/>
      <w:r w:rsidRPr="00404117">
        <w:rPr>
          <w:rFonts w:ascii="Verdana" w:hAnsi="Verdana" w:eastAsia="Calibri"/>
          <w:i/>
          <w:iCs/>
          <w:kern w:val="2"/>
          <w:sz w:val="18"/>
          <w:szCs w:val="22"/>
          <w:lang w:eastAsia="en-US"/>
          <w14:ligatures w14:val="standardContextual"/>
        </w:rPr>
        <w:t>?</w:t>
      </w:r>
    </w:p>
    <w:bookmarkEnd w:id="6"/>
    <w:p w:rsidRPr="00404117" w:rsidR="00404117" w:rsidP="008D1814" w:rsidRDefault="00404117" w14:paraId="27FBB575" w14:textId="7E3DA749">
      <w:pPr>
        <w:spacing w:after="160" w:line="276" w:lineRule="auto"/>
        <w:rPr>
          <w:rFonts w:ascii="Verdana" w:hAnsi="Verdana" w:eastAsia="Calibri"/>
          <w:kern w:val="2"/>
          <w:sz w:val="18"/>
          <w:szCs w:val="22"/>
          <w:lang w:eastAsia="en-US"/>
          <w14:ligatures w14:val="standardContextual"/>
        </w:rPr>
      </w:pPr>
      <w:r w:rsidRPr="00404117">
        <w:rPr>
          <w:rFonts w:ascii="Verdana" w:hAnsi="Verdana" w:eastAsia="Calibri"/>
          <w:kern w:val="2"/>
          <w:sz w:val="18"/>
          <w:szCs w:val="22"/>
          <w:lang w:eastAsia="en-US"/>
          <w14:ligatures w14:val="standardContextual"/>
        </w:rPr>
        <w:t xml:space="preserve">Het is om verschillende redenen lastig om in te schatten hoeveel personen thans in Nederland actief zijn als kredietkoper, </w:t>
      </w:r>
      <w:proofErr w:type="spellStart"/>
      <w:r w:rsidRPr="00404117">
        <w:rPr>
          <w:rFonts w:ascii="Verdana" w:hAnsi="Verdana" w:eastAsia="Calibri"/>
          <w:kern w:val="2"/>
          <w:sz w:val="18"/>
          <w:szCs w:val="22"/>
          <w:lang w:eastAsia="en-US"/>
          <w14:ligatures w14:val="standardContextual"/>
        </w:rPr>
        <w:t>kredietservicers</w:t>
      </w:r>
      <w:proofErr w:type="spellEnd"/>
      <w:r w:rsidRPr="00404117">
        <w:rPr>
          <w:rFonts w:ascii="Verdana" w:hAnsi="Verdana" w:eastAsia="Calibri"/>
          <w:kern w:val="2"/>
          <w:sz w:val="18"/>
          <w:szCs w:val="22"/>
          <w:lang w:eastAsia="en-US"/>
          <w14:ligatures w14:val="standardContextual"/>
        </w:rPr>
        <w:t xml:space="preserve"> of </w:t>
      </w:r>
      <w:proofErr w:type="spellStart"/>
      <w:r w:rsidRPr="00404117">
        <w:rPr>
          <w:rFonts w:ascii="Verdana" w:hAnsi="Verdana" w:eastAsia="Calibri"/>
          <w:kern w:val="2"/>
          <w:sz w:val="18"/>
          <w:szCs w:val="22"/>
          <w:lang w:eastAsia="en-US"/>
          <w14:ligatures w14:val="standardContextual"/>
        </w:rPr>
        <w:t>kredietserviceaanbieder</w:t>
      </w:r>
      <w:proofErr w:type="spellEnd"/>
      <w:r w:rsidRPr="00404117">
        <w:rPr>
          <w:rFonts w:ascii="Verdana" w:hAnsi="Verdana" w:eastAsia="Calibri"/>
          <w:kern w:val="2"/>
          <w:sz w:val="18"/>
          <w:szCs w:val="22"/>
          <w:lang w:eastAsia="en-US"/>
          <w14:ligatures w14:val="standardContextual"/>
        </w:rPr>
        <w:t xml:space="preserve">. Enerzijds omdat het </w:t>
      </w:r>
      <w:proofErr w:type="spellStart"/>
      <w:r w:rsidRPr="00404117">
        <w:rPr>
          <w:rFonts w:ascii="Verdana" w:hAnsi="Verdana" w:eastAsia="Calibri"/>
          <w:kern w:val="2"/>
          <w:sz w:val="18"/>
          <w:szCs w:val="22"/>
          <w:lang w:eastAsia="en-US"/>
          <w14:ligatures w14:val="standardContextual"/>
        </w:rPr>
        <w:t>servicen</w:t>
      </w:r>
      <w:proofErr w:type="spellEnd"/>
      <w:r w:rsidRPr="00404117">
        <w:rPr>
          <w:rFonts w:ascii="Verdana" w:hAnsi="Verdana" w:eastAsia="Calibri"/>
          <w:kern w:val="2"/>
          <w:sz w:val="18"/>
          <w:szCs w:val="22"/>
          <w:lang w:eastAsia="en-US"/>
          <w14:ligatures w14:val="standardContextual"/>
        </w:rPr>
        <w:t xml:space="preserve"> van zakelijke niet-renderende kredietovereenkomsten thans geen gereguleerde activiteit is zodat </w:t>
      </w:r>
      <w:proofErr w:type="spellStart"/>
      <w:r w:rsidRPr="00404117">
        <w:rPr>
          <w:rFonts w:ascii="Verdana" w:hAnsi="Verdana" w:eastAsia="Calibri"/>
          <w:kern w:val="2"/>
          <w:sz w:val="18"/>
          <w:szCs w:val="22"/>
          <w:lang w:eastAsia="en-US"/>
          <w14:ligatures w14:val="standardContextual"/>
        </w:rPr>
        <w:t>terzake</w:t>
      </w:r>
      <w:proofErr w:type="spellEnd"/>
      <w:r w:rsidRPr="00404117">
        <w:rPr>
          <w:rFonts w:ascii="Verdana" w:hAnsi="Verdana" w:eastAsia="Calibri"/>
          <w:kern w:val="2"/>
          <w:sz w:val="18"/>
          <w:szCs w:val="22"/>
          <w:lang w:eastAsia="en-US"/>
          <w14:ligatures w14:val="standardContextual"/>
        </w:rPr>
        <w:t xml:space="preserve"> geen vergunning-, melding- of registratieplicht geldt en anderzijds omdat in de huidige situatie niet-renderende kredietovereenkomsten kunnen worden beheerd door personen die veelal over vergunningen voor het uitoefenen van het bedrijf van bank, kredietaanbieder of bemiddelaar beschikken. In het </w:t>
      </w:r>
      <w:r w:rsidRPr="00404117">
        <w:rPr>
          <w:rFonts w:ascii="Verdana" w:hAnsi="Verdana" w:eastAsia="Calibri"/>
          <w:i/>
          <w:iCs/>
          <w:kern w:val="2"/>
          <w:sz w:val="18"/>
          <w:szCs w:val="22"/>
          <w:lang w:eastAsia="en-US"/>
          <w14:ligatures w14:val="standardContextual"/>
        </w:rPr>
        <w:t>Impact Assessment</w:t>
      </w:r>
      <w:r w:rsidRPr="00404117">
        <w:rPr>
          <w:rFonts w:ascii="Verdana" w:hAnsi="Verdana" w:eastAsia="Calibri"/>
          <w:kern w:val="2"/>
          <w:sz w:val="18"/>
          <w:szCs w:val="22"/>
          <w:lang w:eastAsia="en-US"/>
          <w14:ligatures w14:val="standardContextual"/>
        </w:rPr>
        <w:t xml:space="preserve"> van de Europese Commissie bij haar voorstel voor de onderhavige richtlijn wordt opgemerkt dat in de gehele Europese Unie circa 40 groepen met 100 ondernemingen actief zijn op de markt voor het </w:t>
      </w:r>
      <w:proofErr w:type="spellStart"/>
      <w:r w:rsidRPr="00404117">
        <w:rPr>
          <w:rFonts w:ascii="Verdana" w:hAnsi="Verdana" w:eastAsia="Calibri"/>
          <w:kern w:val="2"/>
          <w:sz w:val="18"/>
          <w:szCs w:val="22"/>
          <w:lang w:eastAsia="en-US"/>
          <w14:ligatures w14:val="standardContextual"/>
        </w:rPr>
        <w:t>servicen</w:t>
      </w:r>
      <w:proofErr w:type="spellEnd"/>
      <w:r w:rsidRPr="00404117">
        <w:rPr>
          <w:rFonts w:ascii="Verdana" w:hAnsi="Verdana" w:eastAsia="Calibri"/>
          <w:kern w:val="2"/>
          <w:sz w:val="18"/>
          <w:szCs w:val="22"/>
          <w:lang w:eastAsia="en-US"/>
          <w14:ligatures w14:val="standardContextual"/>
        </w:rPr>
        <w:t xml:space="preserve"> van renderende of niet-renderende kredietovereenkomsten. Deze ondernemingen, waarvan er verschillende in meerdere lidstaten actief (kunnen) zijn, kunnen deel uitmaken van dezelfde groep als die van een kredietgever of van een kredietkoper (</w:t>
      </w:r>
      <w:r w:rsidRPr="00404117">
        <w:rPr>
          <w:rFonts w:ascii="Verdana" w:hAnsi="Verdana" w:eastAsia="Calibri"/>
          <w:i/>
          <w:iCs/>
          <w:kern w:val="2"/>
          <w:sz w:val="18"/>
          <w:szCs w:val="22"/>
          <w:lang w:eastAsia="en-US"/>
          <w14:ligatures w14:val="standardContextual"/>
        </w:rPr>
        <w:t>in-house</w:t>
      </w:r>
      <w:r w:rsidRPr="00404117">
        <w:rPr>
          <w:rFonts w:ascii="Verdana" w:hAnsi="Verdana" w:eastAsia="Calibri"/>
          <w:kern w:val="2"/>
          <w:sz w:val="18"/>
          <w:szCs w:val="22"/>
          <w:lang w:eastAsia="en-US"/>
          <w14:ligatures w14:val="standardContextual"/>
        </w:rPr>
        <w:t xml:space="preserve"> </w:t>
      </w:r>
      <w:proofErr w:type="spellStart"/>
      <w:r w:rsidRPr="00404117">
        <w:rPr>
          <w:rFonts w:ascii="Verdana" w:hAnsi="Verdana" w:eastAsia="Calibri"/>
          <w:kern w:val="2"/>
          <w:sz w:val="18"/>
          <w:szCs w:val="22"/>
          <w:lang w:eastAsia="en-US"/>
          <w14:ligatures w14:val="standardContextual"/>
        </w:rPr>
        <w:t>kredietservicer</w:t>
      </w:r>
      <w:proofErr w:type="spellEnd"/>
      <w:r w:rsidRPr="00404117">
        <w:rPr>
          <w:rFonts w:ascii="Verdana" w:hAnsi="Verdana" w:eastAsia="Calibri"/>
          <w:kern w:val="2"/>
          <w:sz w:val="18"/>
          <w:szCs w:val="22"/>
          <w:lang w:eastAsia="en-US"/>
          <w14:ligatures w14:val="standardContextual"/>
        </w:rPr>
        <w:t>) of door externe bedrijven (</w:t>
      </w:r>
      <w:proofErr w:type="spellStart"/>
      <w:r w:rsidRPr="00404117">
        <w:rPr>
          <w:rFonts w:ascii="Verdana" w:hAnsi="Verdana" w:eastAsia="Calibri"/>
          <w:i/>
          <w:iCs/>
          <w:kern w:val="2"/>
          <w:sz w:val="18"/>
          <w:szCs w:val="22"/>
          <w:lang w:eastAsia="en-US"/>
          <w14:ligatures w14:val="standardContextual"/>
        </w:rPr>
        <w:t>third</w:t>
      </w:r>
      <w:proofErr w:type="spellEnd"/>
      <w:r w:rsidRPr="00404117">
        <w:rPr>
          <w:rFonts w:ascii="Verdana" w:hAnsi="Verdana" w:eastAsia="Calibri"/>
          <w:i/>
          <w:iCs/>
          <w:kern w:val="2"/>
          <w:sz w:val="18"/>
          <w:szCs w:val="22"/>
          <w:lang w:eastAsia="en-US"/>
          <w14:ligatures w14:val="standardContextual"/>
        </w:rPr>
        <w:t>-party</w:t>
      </w:r>
      <w:r w:rsidRPr="00404117">
        <w:rPr>
          <w:rFonts w:ascii="Verdana" w:hAnsi="Verdana" w:eastAsia="Calibri"/>
          <w:kern w:val="2"/>
          <w:sz w:val="18"/>
          <w:szCs w:val="22"/>
          <w:lang w:eastAsia="en-US"/>
          <w14:ligatures w14:val="standardContextual"/>
        </w:rPr>
        <w:t xml:space="preserve"> </w:t>
      </w:r>
      <w:proofErr w:type="spellStart"/>
      <w:r w:rsidRPr="00404117">
        <w:rPr>
          <w:rFonts w:ascii="Verdana" w:hAnsi="Verdana" w:eastAsia="Calibri"/>
          <w:kern w:val="2"/>
          <w:sz w:val="18"/>
          <w:szCs w:val="22"/>
          <w:lang w:eastAsia="en-US"/>
          <w14:ligatures w14:val="standardContextual"/>
        </w:rPr>
        <w:t>kredietservicer</w:t>
      </w:r>
      <w:proofErr w:type="spellEnd"/>
      <w:r w:rsidRPr="00404117">
        <w:rPr>
          <w:rFonts w:ascii="Verdana" w:hAnsi="Verdana" w:eastAsia="Calibri"/>
          <w:kern w:val="2"/>
          <w:sz w:val="18"/>
          <w:szCs w:val="22"/>
          <w:lang w:eastAsia="en-US"/>
          <w14:ligatures w14:val="standardContextual"/>
        </w:rPr>
        <w:t xml:space="preserve">) die geen deel uitmaken van een dergelijke groep. Niet-renderende kredietovereenkomsten worden, aldus de Europese Commissie in haar </w:t>
      </w:r>
      <w:r w:rsidRPr="00404117">
        <w:rPr>
          <w:rFonts w:ascii="Verdana" w:hAnsi="Verdana" w:eastAsia="Calibri"/>
          <w:i/>
          <w:iCs/>
          <w:kern w:val="2"/>
          <w:sz w:val="18"/>
          <w:szCs w:val="22"/>
          <w:lang w:eastAsia="en-US"/>
          <w14:ligatures w14:val="standardContextual"/>
        </w:rPr>
        <w:t xml:space="preserve">Impact Assessment, </w:t>
      </w:r>
      <w:r w:rsidRPr="00404117">
        <w:rPr>
          <w:rFonts w:ascii="Verdana" w:hAnsi="Verdana" w:eastAsia="Calibri"/>
          <w:kern w:val="2"/>
          <w:sz w:val="18"/>
          <w:szCs w:val="22"/>
          <w:lang w:eastAsia="en-US"/>
          <w14:ligatures w14:val="standardContextual"/>
        </w:rPr>
        <w:t xml:space="preserve">veelal </w:t>
      </w:r>
      <w:proofErr w:type="spellStart"/>
      <w:r w:rsidRPr="00404117">
        <w:rPr>
          <w:rFonts w:ascii="Verdana" w:hAnsi="Verdana" w:eastAsia="Calibri"/>
          <w:kern w:val="2"/>
          <w:sz w:val="18"/>
          <w:szCs w:val="22"/>
          <w:lang w:eastAsia="en-US"/>
          <w14:ligatures w14:val="standardContextual"/>
        </w:rPr>
        <w:t>geserviced</w:t>
      </w:r>
      <w:proofErr w:type="spellEnd"/>
      <w:r w:rsidRPr="00404117">
        <w:rPr>
          <w:rFonts w:ascii="Verdana" w:hAnsi="Verdana" w:eastAsia="Calibri"/>
          <w:kern w:val="2"/>
          <w:sz w:val="18"/>
          <w:szCs w:val="22"/>
          <w:lang w:eastAsia="en-US"/>
          <w14:ligatures w14:val="standardContextual"/>
        </w:rPr>
        <w:t xml:space="preserve"> door dergelijke externe bedrijven.</w:t>
      </w:r>
      <w:r w:rsidRPr="00404117">
        <w:rPr>
          <w:rFonts w:ascii="Verdana" w:hAnsi="Verdana" w:eastAsia="Calibri"/>
          <w:kern w:val="2"/>
          <w:sz w:val="18"/>
          <w:szCs w:val="22"/>
          <w:vertAlign w:val="superscript"/>
          <w:lang w:eastAsia="en-US"/>
          <w14:ligatures w14:val="standardContextual"/>
        </w:rPr>
        <w:footnoteReference w:id="16"/>
      </w:r>
    </w:p>
    <w:p w:rsidRPr="00404117" w:rsidR="00404117" w:rsidP="008D1814" w:rsidRDefault="00404117" w14:paraId="7E6D1E52" w14:textId="77777777">
      <w:pPr>
        <w:spacing w:after="160" w:line="276" w:lineRule="auto"/>
        <w:rPr>
          <w:rFonts w:ascii="Verdana" w:hAnsi="Verdana" w:eastAsia="Calibri"/>
          <w:kern w:val="2"/>
          <w:sz w:val="18"/>
          <w:szCs w:val="22"/>
          <w:lang w:eastAsia="en-US"/>
          <w14:ligatures w14:val="standardContextual"/>
        </w:rPr>
      </w:pPr>
      <w:r w:rsidRPr="00404117">
        <w:rPr>
          <w:rFonts w:ascii="Verdana" w:hAnsi="Verdana" w:eastAsia="Calibri"/>
          <w:i/>
          <w:iCs/>
          <w:kern w:val="2"/>
          <w:sz w:val="18"/>
          <w:szCs w:val="18"/>
          <w:lang w:eastAsia="en-US"/>
          <w14:ligatures w14:val="standardContextual"/>
        </w:rPr>
        <w:t>Tenslotte vragen deze leden hoe afnemers van krediet concreet (beter) worden beschermd door de richtlijn? Kan de regering concrete voorbeelden geven van de situatie vóór en na implementatie?</w:t>
      </w:r>
    </w:p>
    <w:p w:rsidRPr="00404117" w:rsidR="00404117" w:rsidP="008D1814" w:rsidRDefault="00404117" w14:paraId="3B31214E" w14:textId="77777777">
      <w:pPr>
        <w:spacing w:after="160" w:line="276" w:lineRule="auto"/>
        <w:rPr>
          <w:rFonts w:ascii="Verdana" w:hAnsi="Verdana" w:eastAsia="Calibri"/>
          <w:kern w:val="2"/>
          <w:sz w:val="18"/>
          <w:szCs w:val="22"/>
          <w:lang w:eastAsia="en-US"/>
          <w14:ligatures w14:val="standardContextual"/>
        </w:rPr>
      </w:pPr>
      <w:r w:rsidRPr="00404117">
        <w:rPr>
          <w:rFonts w:ascii="Verdana" w:hAnsi="Verdana" w:eastAsia="Calibri"/>
          <w:kern w:val="2"/>
          <w:sz w:val="18"/>
          <w:szCs w:val="22"/>
          <w:lang w:eastAsia="en-US"/>
          <w14:ligatures w14:val="standardContextual"/>
        </w:rPr>
        <w:t xml:space="preserve">De richtlijn heeft tot doel secundaire markten voor niet-renderende kredieten te stimuleren en tegelijkertijd bescherming van de betrokken kredietnemers te waarborgen. De bescherming van kredietnemers gebeurt onder meer door </w:t>
      </w:r>
      <w:proofErr w:type="spellStart"/>
      <w:r w:rsidRPr="00404117">
        <w:rPr>
          <w:rFonts w:ascii="Verdana" w:hAnsi="Verdana" w:eastAsia="Calibri"/>
          <w:kern w:val="2"/>
          <w:sz w:val="18"/>
          <w:szCs w:val="22"/>
          <w:lang w:eastAsia="en-US"/>
          <w14:ligatures w14:val="standardContextual"/>
        </w:rPr>
        <w:t>kredietservicers</w:t>
      </w:r>
      <w:proofErr w:type="spellEnd"/>
      <w:r w:rsidRPr="00404117">
        <w:rPr>
          <w:rFonts w:ascii="Verdana" w:hAnsi="Verdana" w:eastAsia="Calibri"/>
          <w:kern w:val="2"/>
          <w:sz w:val="18"/>
          <w:szCs w:val="22"/>
          <w:lang w:eastAsia="en-US"/>
          <w14:ligatures w14:val="standardContextual"/>
        </w:rPr>
        <w:t xml:space="preserve"> en </w:t>
      </w:r>
      <w:proofErr w:type="spellStart"/>
      <w:r w:rsidRPr="00404117">
        <w:rPr>
          <w:rFonts w:ascii="Verdana" w:hAnsi="Verdana" w:eastAsia="Calibri"/>
          <w:kern w:val="2"/>
          <w:sz w:val="18"/>
          <w:szCs w:val="22"/>
          <w:lang w:eastAsia="en-US"/>
          <w14:ligatures w14:val="standardContextual"/>
        </w:rPr>
        <w:t>kredietservicingaanbieders</w:t>
      </w:r>
      <w:proofErr w:type="spellEnd"/>
      <w:r w:rsidRPr="00404117">
        <w:rPr>
          <w:rFonts w:ascii="Verdana" w:hAnsi="Verdana" w:eastAsia="Calibri"/>
          <w:kern w:val="2"/>
          <w:sz w:val="18"/>
          <w:szCs w:val="22"/>
          <w:lang w:eastAsia="en-US"/>
          <w14:ligatures w14:val="standardContextual"/>
        </w:rPr>
        <w:t xml:space="preserve"> te verplichten om informatie te verschaffen aan een kredietnemer bij de overdracht van (de rechten van) een niet-renderende kredietovereenkomst, de verplichting om steeds een </w:t>
      </w:r>
      <w:proofErr w:type="spellStart"/>
      <w:r w:rsidRPr="00404117">
        <w:rPr>
          <w:rFonts w:ascii="Verdana" w:hAnsi="Verdana" w:eastAsia="Calibri"/>
          <w:kern w:val="2"/>
          <w:sz w:val="18"/>
          <w:szCs w:val="22"/>
          <w:lang w:eastAsia="en-US"/>
          <w14:ligatures w14:val="standardContextual"/>
        </w:rPr>
        <w:t>kredietservicer</w:t>
      </w:r>
      <w:proofErr w:type="spellEnd"/>
      <w:r w:rsidRPr="00404117">
        <w:rPr>
          <w:rFonts w:ascii="Verdana" w:hAnsi="Verdana" w:eastAsia="Calibri"/>
          <w:kern w:val="2"/>
          <w:sz w:val="18"/>
          <w:szCs w:val="22"/>
          <w:lang w:eastAsia="en-US"/>
          <w14:ligatures w14:val="standardContextual"/>
        </w:rPr>
        <w:t xml:space="preserve">, bank of aanbieder van krediet aan te wijzen voor het </w:t>
      </w:r>
      <w:proofErr w:type="spellStart"/>
      <w:r w:rsidRPr="00404117">
        <w:rPr>
          <w:rFonts w:ascii="Verdana" w:hAnsi="Verdana" w:eastAsia="Calibri"/>
          <w:kern w:val="2"/>
          <w:sz w:val="18"/>
          <w:szCs w:val="22"/>
          <w:lang w:eastAsia="en-US"/>
          <w14:ligatures w14:val="standardContextual"/>
        </w:rPr>
        <w:t>servicen</w:t>
      </w:r>
      <w:proofErr w:type="spellEnd"/>
      <w:r w:rsidRPr="00404117">
        <w:rPr>
          <w:rFonts w:ascii="Verdana" w:hAnsi="Verdana" w:eastAsia="Calibri"/>
          <w:kern w:val="2"/>
          <w:sz w:val="18"/>
          <w:szCs w:val="22"/>
          <w:lang w:eastAsia="en-US"/>
          <w14:ligatures w14:val="standardContextual"/>
        </w:rPr>
        <w:t xml:space="preserve"> van de niet-renderende kredietovereenkomst indien de kredietnemer een consument is en de introductie van respijtmaatregelen bij betalingsachterstanden.</w:t>
      </w:r>
    </w:p>
    <w:p w:rsidR="00404117" w:rsidP="008D1814" w:rsidRDefault="00404117" w14:paraId="66D78E5E" w14:textId="77777777">
      <w:pPr>
        <w:spacing w:after="160" w:line="276" w:lineRule="auto"/>
        <w:rPr>
          <w:rFonts w:ascii="Verdana" w:hAnsi="Verdana" w:eastAsia="Calibri"/>
          <w:kern w:val="2"/>
          <w:sz w:val="18"/>
          <w:szCs w:val="18"/>
          <w:lang w:eastAsia="en-US"/>
          <w14:ligatures w14:val="standardContextual"/>
        </w:rPr>
      </w:pPr>
      <w:r w:rsidRPr="00404117">
        <w:rPr>
          <w:rFonts w:ascii="Verdana" w:hAnsi="Verdana" w:eastAsia="Calibri"/>
          <w:kern w:val="2"/>
          <w:sz w:val="18"/>
          <w:szCs w:val="18"/>
          <w:lang w:eastAsia="en-US"/>
          <w14:ligatures w14:val="standardContextual"/>
        </w:rPr>
        <w:t>Wat betreft dit laatste bevat de richtlijn een belangrijke maatregel die na implementatie kan bijdragen aan het voorkomen van problematische schulden indien een consument betalingsverplichtingen in het kader van een kredietovereenkomst (consumptief of hypothecair krediet) niet nakomt. Ter implementatie van de artikelen 27 en 28 van de richtlijn,</w:t>
      </w:r>
      <w:r w:rsidRPr="00404117">
        <w:rPr>
          <w:rFonts w:ascii="Verdana" w:hAnsi="Verdana" w:eastAsia="Calibri"/>
          <w:kern w:val="2"/>
          <w:sz w:val="18"/>
          <w:szCs w:val="22"/>
          <w:lang w:eastAsia="en-US"/>
          <w14:ligatures w14:val="standardContextual"/>
        </w:rPr>
        <w:t xml:space="preserve"> bepaalt </w:t>
      </w:r>
      <w:r w:rsidRPr="00404117">
        <w:rPr>
          <w:rFonts w:ascii="Verdana" w:hAnsi="Verdana" w:eastAsia="Calibri"/>
          <w:kern w:val="2"/>
          <w:sz w:val="18"/>
          <w:szCs w:val="18"/>
          <w:lang w:eastAsia="en-US"/>
          <w14:ligatures w14:val="standardContextual"/>
        </w:rPr>
        <w:t xml:space="preserve">het voorgestelde artikel 4:35a </w:t>
      </w:r>
      <w:proofErr w:type="spellStart"/>
      <w:r w:rsidRPr="00404117">
        <w:rPr>
          <w:rFonts w:ascii="Verdana" w:hAnsi="Verdana" w:eastAsia="Calibri"/>
          <w:kern w:val="2"/>
          <w:sz w:val="18"/>
          <w:szCs w:val="18"/>
          <w:lang w:eastAsia="en-US"/>
          <w14:ligatures w14:val="standardContextual"/>
        </w:rPr>
        <w:t>Wft</w:t>
      </w:r>
      <w:proofErr w:type="spellEnd"/>
      <w:r w:rsidRPr="00404117">
        <w:rPr>
          <w:rFonts w:ascii="Verdana" w:hAnsi="Verdana" w:eastAsia="Calibri"/>
          <w:kern w:val="2"/>
          <w:sz w:val="18"/>
          <w:szCs w:val="18"/>
          <w:lang w:eastAsia="en-US"/>
          <w14:ligatures w14:val="standardContextual"/>
        </w:rPr>
        <w:t xml:space="preserve"> dat een aanbieder van krediet beschikt over een adequaat beleid en adequate procedures waarin is vastgelegd hoe wordt omgegaan met betalingsachterstanden inzake kredietovereenkomsten met consumenten, en dat deze, waar passend, respijtmaatregelen treft. Op grond van de artikelen 7:70a en 7:128aa BW rust op een kredietgever de verplichting om te onderzoeken of door het treffen van een respijtmaatregel het inleiden van een incasso- of invorderingsprocedure kan worden vermeden. Het kan daarbij gaan om een verlenging van de looptijd van de kredietovereenkomst of een gedeeltelijke kwijtschelding van het door de consument verschuldigde bedrag.</w:t>
      </w:r>
    </w:p>
    <w:p w:rsidRPr="00404117" w:rsidR="006510C9" w:rsidP="008D1814" w:rsidRDefault="006510C9" w14:paraId="718A6AC1" w14:textId="77777777">
      <w:pPr>
        <w:spacing w:after="160" w:line="276" w:lineRule="auto"/>
        <w:rPr>
          <w:rFonts w:ascii="Verdana" w:hAnsi="Verdana" w:eastAsia="Calibri"/>
          <w:kern w:val="2"/>
          <w:sz w:val="18"/>
          <w:szCs w:val="18"/>
          <w:lang w:eastAsia="en-US"/>
          <w14:ligatures w14:val="standardContextual"/>
        </w:rPr>
      </w:pPr>
    </w:p>
    <w:p w:rsidRPr="00404117" w:rsidR="00404117" w:rsidP="008D1814" w:rsidRDefault="003E43DC" w14:paraId="767D8E9A" w14:textId="46921BD9">
      <w:pPr>
        <w:spacing w:after="160" w:line="276" w:lineRule="auto"/>
        <w:rPr>
          <w:rFonts w:ascii="Verdana" w:hAnsi="Verdana" w:eastAsia="Calibri"/>
          <w:b/>
          <w:bCs/>
          <w:i/>
          <w:iCs/>
          <w:kern w:val="2"/>
          <w:sz w:val="18"/>
          <w:szCs w:val="22"/>
          <w:lang w:eastAsia="en-US"/>
          <w14:ligatures w14:val="standardContextual"/>
        </w:rPr>
      </w:pPr>
      <w:r w:rsidRPr="003E43DC">
        <w:rPr>
          <w:rFonts w:ascii="Verdana" w:hAnsi="Verdana" w:eastAsia="Calibri"/>
          <w:b/>
          <w:bCs/>
          <w:i/>
          <w:iCs/>
          <w:kern w:val="2"/>
          <w:sz w:val="18"/>
          <w:szCs w:val="22"/>
          <w:lang w:eastAsia="en-US"/>
          <w14:ligatures w14:val="standardContextual"/>
        </w:rPr>
        <w:t>§ 7. Uitvoering</w:t>
      </w:r>
    </w:p>
    <w:p w:rsidRPr="00404117" w:rsidR="00404117" w:rsidP="008D1814" w:rsidRDefault="00404117" w14:paraId="49D49DB6" w14:textId="77777777">
      <w:pPr>
        <w:spacing w:after="160" w:line="276" w:lineRule="auto"/>
        <w:rPr>
          <w:rFonts w:ascii="Verdana" w:hAnsi="Verdana" w:eastAsia="Calibri"/>
          <w:i/>
          <w:iCs/>
          <w:kern w:val="2"/>
          <w:sz w:val="18"/>
          <w:szCs w:val="22"/>
          <w:lang w:eastAsia="en-US"/>
          <w14:ligatures w14:val="standardContextual"/>
        </w:rPr>
      </w:pPr>
      <w:r w:rsidRPr="00404117">
        <w:rPr>
          <w:rFonts w:ascii="Verdana" w:hAnsi="Verdana" w:eastAsia="Calibri"/>
          <w:i/>
          <w:iCs/>
          <w:kern w:val="2"/>
          <w:sz w:val="18"/>
          <w:szCs w:val="22"/>
          <w:lang w:eastAsia="en-US"/>
          <w14:ligatures w14:val="standardContextual"/>
        </w:rPr>
        <w:t xml:space="preserve">De leden van de VVD-fractie vinden uitvoerbaarheid van regelgeving cruciaal. De Autoriteit Financiële Markten (AFM) geeft aan dat het toezicht op ondernemingen die zakelijke niet-renderende kredietovereenkomsten </w:t>
      </w:r>
      <w:proofErr w:type="spellStart"/>
      <w:r w:rsidRPr="00404117">
        <w:rPr>
          <w:rFonts w:ascii="Verdana" w:hAnsi="Verdana" w:eastAsia="Calibri"/>
          <w:i/>
          <w:iCs/>
          <w:kern w:val="2"/>
          <w:sz w:val="18"/>
          <w:szCs w:val="22"/>
          <w:lang w:eastAsia="en-US"/>
          <w14:ligatures w14:val="standardContextual"/>
        </w:rPr>
        <w:t>servicen</w:t>
      </w:r>
      <w:proofErr w:type="spellEnd"/>
      <w:r w:rsidRPr="00404117">
        <w:rPr>
          <w:rFonts w:ascii="Verdana" w:hAnsi="Verdana" w:eastAsia="Calibri"/>
          <w:i/>
          <w:iCs/>
          <w:kern w:val="2"/>
          <w:sz w:val="18"/>
          <w:szCs w:val="22"/>
          <w:lang w:eastAsia="en-US"/>
          <w14:ligatures w14:val="standardContextual"/>
        </w:rPr>
        <w:t xml:space="preserve"> niet goed uitvoerbaar is. Wat is de reden dat het niet goed uitvoerbaar is? En wat zijn de gevolgen van het beperkte toezicht door de AFM?</w:t>
      </w:r>
    </w:p>
    <w:p w:rsidRPr="00404117" w:rsidR="00404117" w:rsidP="008D1814" w:rsidRDefault="00404117" w14:paraId="7CB31B04" w14:textId="77777777">
      <w:pPr>
        <w:spacing w:after="160" w:line="276" w:lineRule="auto"/>
        <w:rPr>
          <w:rFonts w:ascii="Verdana" w:hAnsi="Verdana" w:eastAsia="Calibri"/>
          <w:kern w:val="2"/>
          <w:sz w:val="18"/>
          <w:szCs w:val="22"/>
          <w:lang w:eastAsia="en-US"/>
          <w14:ligatures w14:val="standardContextual"/>
        </w:rPr>
      </w:pPr>
      <w:r w:rsidRPr="00404117">
        <w:rPr>
          <w:rFonts w:ascii="Verdana" w:hAnsi="Verdana" w:eastAsia="Calibri"/>
          <w:kern w:val="2"/>
          <w:sz w:val="18"/>
          <w:szCs w:val="22"/>
          <w:lang w:eastAsia="en-US"/>
          <w14:ligatures w14:val="standardContextual"/>
        </w:rPr>
        <w:t xml:space="preserve">De AFM uit in haar uitvoerbaarheids- en handhaafbaarheidstoets met betrekking tot het voorstel van de Implementatiewet richtlijn </w:t>
      </w:r>
      <w:proofErr w:type="spellStart"/>
      <w:r w:rsidRPr="00404117">
        <w:rPr>
          <w:rFonts w:ascii="Verdana" w:hAnsi="Verdana" w:eastAsia="Calibri"/>
          <w:kern w:val="2"/>
          <w:sz w:val="18"/>
          <w:szCs w:val="22"/>
          <w:lang w:eastAsia="en-US"/>
          <w14:ligatures w14:val="standardContextual"/>
        </w:rPr>
        <w:t>kredietservicers</w:t>
      </w:r>
      <w:proofErr w:type="spellEnd"/>
      <w:r w:rsidRPr="00404117">
        <w:rPr>
          <w:rFonts w:ascii="Verdana" w:hAnsi="Verdana" w:eastAsia="Calibri"/>
          <w:kern w:val="2"/>
          <w:sz w:val="18"/>
          <w:szCs w:val="22"/>
          <w:lang w:eastAsia="en-US"/>
          <w14:ligatures w14:val="standardContextual"/>
        </w:rPr>
        <w:t xml:space="preserve"> en kredietkopers enige zorgen met betrekking tot de uitvoerbaarheid van het voorstel van wet. Die zorgen houden verband met het toezicht op de zakelijke kredietverlening door banken in Nederland. Dat toezicht valt buiten het toezichtmandaat van de AFM. Op grond van het voorstel van wet, dat uitsluitend strekt tot implementatie van de richtlijn, is de AFM enkel verantwoordelijk voor het toezicht op de markt voor niet-renderende zakelijk kredietovereenkomsten die reeds zijn overgedragen aan een kredietkoper (de “achterkant” van de markt voor zakelijke kredietverlening). Dit betekent dat de AFM weliswaar toezicht kan houden op de in het wetsvoorstel opgenomen wettelijke voorschriften en dat de AFM handhavend kan optreden indien deze voorschriften niet worden nageleefd, maar dat AFM - anders dan bij de kredietverlening aan consumenten - niet kan sturen op het voorkomen van problemen bij de zakelijke kredietverlening of bij het beheer van zakelijke kredieten. Hierdoor is, naar het oordeel van de AFM, een zorgvuldige omgang met in betalingsproblemen gekomen zakelijke kredietnemers niet voldoende geborgd. Voor de volledigheid wordt opgemerkt dat banken die lid zijn van de Nederlandse Vereniging van Banken zich moeten houden aan de Gedragscode </w:t>
      </w:r>
      <w:proofErr w:type="spellStart"/>
      <w:r w:rsidRPr="00404117">
        <w:rPr>
          <w:rFonts w:ascii="Verdana" w:hAnsi="Verdana" w:eastAsia="Calibri"/>
          <w:kern w:val="2"/>
          <w:sz w:val="18"/>
          <w:szCs w:val="22"/>
          <w:lang w:eastAsia="en-US"/>
          <w14:ligatures w14:val="standardContextual"/>
        </w:rPr>
        <w:t>Kleinzakelijke</w:t>
      </w:r>
      <w:proofErr w:type="spellEnd"/>
      <w:r w:rsidRPr="00404117">
        <w:rPr>
          <w:rFonts w:ascii="Verdana" w:hAnsi="Verdana" w:eastAsia="Calibri"/>
          <w:kern w:val="2"/>
          <w:sz w:val="18"/>
          <w:szCs w:val="22"/>
          <w:lang w:eastAsia="en-US"/>
          <w14:ligatures w14:val="standardContextual"/>
        </w:rPr>
        <w:t xml:space="preserve"> Financiering. Deze gedragscode geldt bij het aanbieden van krediet aan </w:t>
      </w:r>
      <w:proofErr w:type="spellStart"/>
      <w:r w:rsidRPr="00404117">
        <w:rPr>
          <w:rFonts w:ascii="Verdana" w:hAnsi="Verdana" w:eastAsia="Calibri"/>
          <w:kern w:val="2"/>
          <w:sz w:val="18"/>
          <w:szCs w:val="22"/>
          <w:lang w:eastAsia="en-US"/>
          <w14:ligatures w14:val="standardContextual"/>
        </w:rPr>
        <w:t>kleinzakelijke</w:t>
      </w:r>
      <w:proofErr w:type="spellEnd"/>
      <w:r w:rsidRPr="00404117">
        <w:rPr>
          <w:rFonts w:ascii="Verdana" w:hAnsi="Verdana" w:eastAsia="Calibri"/>
          <w:kern w:val="2"/>
          <w:sz w:val="18"/>
          <w:szCs w:val="22"/>
          <w:lang w:eastAsia="en-US"/>
          <w14:ligatures w14:val="standardContextual"/>
        </w:rPr>
        <w:t xml:space="preserve"> ondernemers en bevat ook voorschriften over het bijzonder beheer van de financiering van een </w:t>
      </w:r>
      <w:proofErr w:type="spellStart"/>
      <w:r w:rsidRPr="00404117">
        <w:rPr>
          <w:rFonts w:ascii="Verdana" w:hAnsi="Verdana" w:eastAsia="Calibri"/>
          <w:kern w:val="2"/>
          <w:sz w:val="18"/>
          <w:szCs w:val="22"/>
          <w:lang w:eastAsia="en-US"/>
          <w14:ligatures w14:val="standardContextual"/>
        </w:rPr>
        <w:t>kleinzakelijke</w:t>
      </w:r>
      <w:proofErr w:type="spellEnd"/>
      <w:r w:rsidRPr="00404117">
        <w:rPr>
          <w:rFonts w:ascii="Verdana" w:hAnsi="Verdana" w:eastAsia="Calibri"/>
          <w:kern w:val="2"/>
          <w:sz w:val="18"/>
          <w:szCs w:val="22"/>
          <w:lang w:eastAsia="en-US"/>
          <w14:ligatures w14:val="standardContextual"/>
        </w:rPr>
        <w:t xml:space="preserve"> klant indien deze dreigt niet aan zijn betalingsverplichtingen te kunnen voldoen.</w:t>
      </w:r>
      <w:r w:rsidRPr="00404117">
        <w:rPr>
          <w:rFonts w:ascii="Verdana" w:hAnsi="Verdana" w:eastAsia="Calibri"/>
          <w:kern w:val="2"/>
          <w:sz w:val="18"/>
          <w:szCs w:val="22"/>
          <w:vertAlign w:val="superscript"/>
          <w:lang w:eastAsia="en-US"/>
          <w14:ligatures w14:val="standardContextual"/>
        </w:rPr>
        <w:footnoteReference w:id="17"/>
      </w:r>
    </w:p>
    <w:p w:rsidRPr="00404117" w:rsidR="003E43DC" w:rsidP="008D1814" w:rsidRDefault="00404117" w14:paraId="64BCF64E" w14:textId="404200C0">
      <w:pPr>
        <w:spacing w:after="160" w:line="276" w:lineRule="auto"/>
        <w:rPr>
          <w:rFonts w:ascii="Verdana" w:hAnsi="Verdana" w:eastAsia="Calibri" w:cs="Aptos"/>
          <w:i/>
          <w:iCs/>
          <w:sz w:val="18"/>
          <w:szCs w:val="18"/>
          <w:lang w:eastAsia="en-US"/>
          <w14:ligatures w14:val="standardContextual"/>
        </w:rPr>
      </w:pPr>
      <w:r w:rsidRPr="00404117">
        <w:rPr>
          <w:rFonts w:ascii="Verdana" w:hAnsi="Verdana" w:eastAsia="Calibri" w:cs="Aptos"/>
          <w:i/>
          <w:iCs/>
          <w:sz w:val="18"/>
          <w:szCs w:val="18"/>
          <w:lang w:eastAsia="en-US"/>
          <w14:ligatures w14:val="standardContextual"/>
        </w:rPr>
        <w:t>De leden van de VVD-fractie zijn in brede zin kritisch op de ongebreidelde stijging van de toezichtkosten. Hoe wordt dat in dit geval geregeld? Hoeveel toezichtkosten gaat de AFM maken en wat betekent dat voor de toezichtkosten per onderneming, aangezien het aantal vergunningaanvragen vooralsnog laag wordt ingeschat (tussen de vijf en twintig)? Er wordt nog bezien of aanpassing van het kostenkader noodzakelijk is constateren deze leden. Wat wordt daar precies mee bedoeld?</w:t>
      </w:r>
    </w:p>
    <w:p w:rsidRPr="00404117" w:rsidR="00404117" w:rsidP="008D1814" w:rsidRDefault="00404117" w14:paraId="4459B6F4" w14:textId="00FAB37B">
      <w:pPr>
        <w:spacing w:after="160" w:line="276" w:lineRule="auto"/>
        <w:rPr>
          <w:rFonts w:ascii="Verdana" w:hAnsi="Verdana" w:eastAsia="Calibri" w:cs="Aptos"/>
          <w:sz w:val="18"/>
          <w:szCs w:val="18"/>
          <w:lang w:eastAsia="en-US"/>
          <w14:ligatures w14:val="standardContextual"/>
        </w:rPr>
      </w:pPr>
      <w:r w:rsidRPr="00404117">
        <w:rPr>
          <w:rFonts w:ascii="Verdana" w:hAnsi="Verdana" w:eastAsia="Calibri" w:cs="Aptos"/>
          <w:sz w:val="18"/>
          <w:szCs w:val="18"/>
          <w:lang w:eastAsia="en-US"/>
          <w14:ligatures w14:val="standardContextual"/>
        </w:rPr>
        <w:t>Het kostenkader waarop de vraag van de leden van de VVD-fractie doelt is inmiddels aangepast.</w:t>
      </w:r>
      <w:r w:rsidR="003E43DC">
        <w:rPr>
          <w:rStyle w:val="Voetnootmarkering"/>
          <w:rFonts w:ascii="Verdana" w:hAnsi="Verdana" w:eastAsia="Calibri" w:cs="Aptos"/>
          <w:sz w:val="18"/>
          <w:szCs w:val="18"/>
          <w:lang w:eastAsia="en-US"/>
          <w14:ligatures w14:val="standardContextual"/>
        </w:rPr>
        <w:footnoteReference w:id="18"/>
      </w:r>
      <w:r w:rsidRPr="00404117">
        <w:rPr>
          <w:rFonts w:ascii="Verdana" w:hAnsi="Verdana" w:eastAsia="Calibri" w:cs="Aptos"/>
          <w:sz w:val="18"/>
          <w:szCs w:val="18"/>
          <w:lang w:eastAsia="en-US"/>
          <w14:ligatures w14:val="standardContextual"/>
        </w:rPr>
        <w:t xml:space="preserve"> In het aangepaste kostenkader 2025-2028 </w:t>
      </w:r>
      <w:r w:rsidRPr="00404117">
        <w:rPr>
          <w:rFonts w:ascii="Verdana" w:hAnsi="Verdana" w:eastAsia="Calibri"/>
          <w:kern w:val="2"/>
          <w:sz w:val="18"/>
          <w:szCs w:val="22"/>
          <w:lang w:eastAsia="en-US"/>
          <w14:ligatures w14:val="standardContextual"/>
        </w:rPr>
        <w:t xml:space="preserve">heeft de AFM structureel € 680.000 (prijspeil 2024) begrotingsruimte gekregen voor het toezicht op de richtlijn </w:t>
      </w:r>
      <w:proofErr w:type="spellStart"/>
      <w:r w:rsidRPr="00404117">
        <w:rPr>
          <w:rFonts w:ascii="Verdana" w:hAnsi="Verdana" w:eastAsia="Calibri"/>
          <w:kern w:val="2"/>
          <w:sz w:val="18"/>
          <w:szCs w:val="22"/>
          <w:lang w:eastAsia="en-US"/>
          <w14:ligatures w14:val="standardContextual"/>
        </w:rPr>
        <w:t>kredietservicers</w:t>
      </w:r>
      <w:proofErr w:type="spellEnd"/>
      <w:r w:rsidRPr="00404117">
        <w:rPr>
          <w:rFonts w:ascii="Verdana" w:hAnsi="Verdana" w:eastAsia="Calibri"/>
          <w:kern w:val="2"/>
          <w:sz w:val="18"/>
          <w:szCs w:val="22"/>
          <w:lang w:eastAsia="en-US"/>
          <w14:ligatures w14:val="standardContextual"/>
        </w:rPr>
        <w:t xml:space="preserve"> en kredietkopers. Daarmee kan de AFM 4 fte aannemen. Deze medewerkers houden zich onder meer bezig met het toezicht op </w:t>
      </w:r>
      <w:proofErr w:type="spellStart"/>
      <w:r w:rsidRPr="00404117">
        <w:rPr>
          <w:rFonts w:ascii="Verdana" w:hAnsi="Verdana" w:eastAsia="Calibri"/>
          <w:kern w:val="2"/>
          <w:sz w:val="18"/>
          <w:szCs w:val="22"/>
          <w:lang w:eastAsia="en-US"/>
          <w14:ligatures w14:val="standardContextual"/>
        </w:rPr>
        <w:t>kredietservicers</w:t>
      </w:r>
      <w:proofErr w:type="spellEnd"/>
      <w:r w:rsidRPr="00404117">
        <w:rPr>
          <w:rFonts w:ascii="Verdana" w:hAnsi="Verdana" w:eastAsia="Calibri"/>
          <w:kern w:val="2"/>
          <w:sz w:val="18"/>
          <w:szCs w:val="22"/>
          <w:lang w:eastAsia="en-US"/>
          <w14:ligatures w14:val="standardContextual"/>
        </w:rPr>
        <w:t xml:space="preserve"> en op zakelijke niet-renderende kredietovereenkomsten. Dit zijn nieuwe doelgroepen voor de AFM.</w:t>
      </w:r>
    </w:p>
    <w:p w:rsidRPr="00404117" w:rsidR="00404117" w:rsidP="008D1814" w:rsidRDefault="00404117" w14:paraId="041ACBA6" w14:textId="20553C65">
      <w:pPr>
        <w:spacing w:after="160" w:line="276" w:lineRule="auto"/>
        <w:rPr>
          <w:rFonts w:ascii="Verdana" w:hAnsi="Verdana" w:eastAsia="Calibri"/>
          <w:kern w:val="2"/>
          <w:sz w:val="18"/>
          <w:szCs w:val="22"/>
          <w:lang w:eastAsia="en-US"/>
          <w14:ligatures w14:val="standardContextual"/>
        </w:rPr>
      </w:pPr>
      <w:r w:rsidRPr="00404117">
        <w:rPr>
          <w:rFonts w:ascii="Verdana" w:hAnsi="Verdana" w:eastAsia="Calibri"/>
          <w:kern w:val="2"/>
          <w:sz w:val="18"/>
          <w:szCs w:val="22"/>
          <w:lang w:eastAsia="en-US"/>
          <w14:ligatures w14:val="standardContextual"/>
        </w:rPr>
        <w:t xml:space="preserve">Deze extra toezichtkosten worden doorberekend aan de toezichtcategorieën op wie het toezicht is gericht, op basis van de herziene procentuele verdeling in het Besluit bekostiging financieel toezicht 2019 (Stb. 2025, 28). Dat de AFM 4 fte begrotingsruimte heeft gekregen, betekent niet noodzakelijkerwijs dat de AFM 4 fte inzet voor het toezicht op de voorschriften ter implementatie van de richtlijn </w:t>
      </w:r>
      <w:proofErr w:type="spellStart"/>
      <w:r w:rsidRPr="00404117">
        <w:rPr>
          <w:rFonts w:ascii="Verdana" w:hAnsi="Verdana" w:eastAsia="Calibri"/>
          <w:kern w:val="2"/>
          <w:sz w:val="18"/>
          <w:szCs w:val="22"/>
          <w:lang w:eastAsia="en-US"/>
          <w14:ligatures w14:val="standardContextual"/>
        </w:rPr>
        <w:t>kredietservicers</w:t>
      </w:r>
      <w:proofErr w:type="spellEnd"/>
      <w:r w:rsidRPr="00404117">
        <w:rPr>
          <w:rFonts w:ascii="Verdana" w:hAnsi="Verdana" w:eastAsia="Calibri"/>
          <w:kern w:val="2"/>
          <w:sz w:val="18"/>
          <w:szCs w:val="22"/>
          <w:lang w:eastAsia="en-US"/>
          <w14:ligatures w14:val="standardContextual"/>
        </w:rPr>
        <w:t xml:space="preserve"> en kredietkopers. Als het opportuun is om het toezicht op of af te schalen, dan kan de AFM daar zelfstandig keuzes in maken binnen het maximum voor haar gehele begroting, op </w:t>
      </w:r>
      <w:proofErr w:type="spellStart"/>
      <w:r w:rsidRPr="00404117">
        <w:rPr>
          <w:rFonts w:ascii="Verdana" w:hAnsi="Verdana" w:eastAsia="Calibri"/>
          <w:kern w:val="2"/>
          <w:sz w:val="18"/>
          <w:szCs w:val="22"/>
          <w:lang w:eastAsia="en-US"/>
          <w14:ligatures w14:val="standardContextual"/>
        </w:rPr>
        <w:t>risicogebaseerde</w:t>
      </w:r>
      <w:proofErr w:type="spellEnd"/>
      <w:r w:rsidRPr="00404117">
        <w:rPr>
          <w:rFonts w:ascii="Verdana" w:hAnsi="Verdana" w:eastAsia="Calibri"/>
          <w:kern w:val="2"/>
          <w:sz w:val="18"/>
          <w:szCs w:val="22"/>
          <w:lang w:eastAsia="en-US"/>
          <w14:ligatures w14:val="standardContextual"/>
        </w:rPr>
        <w:t xml:space="preserve"> wijze.</w:t>
      </w:r>
    </w:p>
    <w:p w:rsidRPr="00404117" w:rsidR="00404117" w:rsidP="008D1814" w:rsidRDefault="00404117" w14:paraId="1303582E" w14:textId="77777777">
      <w:pPr>
        <w:spacing w:after="160" w:line="276" w:lineRule="auto"/>
        <w:rPr>
          <w:rFonts w:ascii="Verdana" w:hAnsi="Verdana" w:eastAsia="Calibri"/>
          <w:i/>
          <w:iCs/>
          <w:kern w:val="2"/>
          <w:sz w:val="18"/>
          <w:szCs w:val="22"/>
          <w:lang w:eastAsia="en-US"/>
          <w14:ligatures w14:val="standardContextual"/>
        </w:rPr>
      </w:pPr>
      <w:r w:rsidRPr="00404117">
        <w:rPr>
          <w:rFonts w:ascii="Verdana" w:hAnsi="Verdana" w:eastAsia="Calibri"/>
          <w:i/>
          <w:iCs/>
          <w:kern w:val="2"/>
          <w:sz w:val="18"/>
          <w:szCs w:val="22"/>
          <w:lang w:eastAsia="en-US"/>
          <w14:ligatures w14:val="standardContextual"/>
        </w:rPr>
        <w:t>De leden van de VVD-fractie constateren dat er bij de regeldrukkosten vooral wordt ingegaan op bijvoorbeeld het aanvragen van een vergunning. Ondernemingen zullen echter ook gewoon de zaken uit de wet- en regelgeving moeten uitvoeren. In hoeverre is daar een inschatting van te maken? In hoeverre wordt dat meegenomen in de regeldrukkosten?</w:t>
      </w:r>
    </w:p>
    <w:p w:rsidRPr="00404117" w:rsidR="00404117" w:rsidP="008D1814" w:rsidRDefault="00404117" w14:paraId="6693FC08" w14:textId="2CC41F6C">
      <w:pPr>
        <w:spacing w:after="160" w:line="276" w:lineRule="auto"/>
        <w:rPr>
          <w:rFonts w:ascii="Verdana" w:hAnsi="Verdana" w:eastAsia="Calibri"/>
          <w:kern w:val="2"/>
          <w:sz w:val="18"/>
          <w:szCs w:val="22"/>
          <w:lang w:eastAsia="en-US"/>
          <w14:ligatures w14:val="standardContextual"/>
        </w:rPr>
      </w:pPr>
      <w:r w:rsidRPr="00404117">
        <w:rPr>
          <w:rFonts w:ascii="Verdana" w:hAnsi="Verdana" w:eastAsia="Calibri"/>
          <w:kern w:val="2"/>
          <w:sz w:val="18"/>
          <w:szCs w:val="22"/>
          <w:lang w:eastAsia="en-US"/>
          <w14:ligatures w14:val="standardContextual"/>
        </w:rPr>
        <w:t>In paragraaf 8 (Gevolgen van het wetsvoorstel) van de Memorie van Toelichting wordt ingegaan op de regeldrukeffecten van het onderhavige wetsvoorstel.</w:t>
      </w:r>
      <w:r w:rsidRPr="00404117">
        <w:rPr>
          <w:rFonts w:ascii="Verdana" w:hAnsi="Verdana" w:eastAsia="Calibri"/>
          <w:kern w:val="2"/>
          <w:sz w:val="18"/>
          <w:szCs w:val="22"/>
          <w:vertAlign w:val="superscript"/>
          <w:lang w:eastAsia="en-US"/>
          <w14:ligatures w14:val="standardContextual"/>
        </w:rPr>
        <w:footnoteReference w:id="19"/>
      </w:r>
      <w:r w:rsidRPr="00404117">
        <w:rPr>
          <w:rFonts w:ascii="Verdana" w:hAnsi="Verdana" w:eastAsia="Calibri"/>
          <w:kern w:val="2"/>
          <w:sz w:val="18"/>
          <w:szCs w:val="22"/>
          <w:lang w:eastAsia="en-US"/>
          <w14:ligatures w14:val="standardContextual"/>
        </w:rPr>
        <w:t xml:space="preserve"> In die paragraaf wordt niet alleen aandacht besteed op de eenmalige regeldrukkosten die samenhangen met de aanvraag van een vergunning voor het in Nederland uitoefenen van het bedrijf van </w:t>
      </w:r>
      <w:proofErr w:type="spellStart"/>
      <w:r w:rsidRPr="00404117">
        <w:rPr>
          <w:rFonts w:ascii="Verdana" w:hAnsi="Verdana" w:eastAsia="Calibri"/>
          <w:kern w:val="2"/>
          <w:sz w:val="18"/>
          <w:szCs w:val="22"/>
          <w:lang w:eastAsia="en-US"/>
          <w14:ligatures w14:val="standardContextual"/>
        </w:rPr>
        <w:t>kredietservicer</w:t>
      </w:r>
      <w:proofErr w:type="spellEnd"/>
      <w:r w:rsidRPr="00404117">
        <w:rPr>
          <w:rFonts w:ascii="Verdana" w:hAnsi="Verdana" w:eastAsia="Calibri"/>
          <w:kern w:val="2"/>
          <w:sz w:val="18"/>
          <w:szCs w:val="22"/>
          <w:lang w:eastAsia="en-US"/>
          <w14:ligatures w14:val="standardContextual"/>
        </w:rPr>
        <w:t xml:space="preserve">, maar wordt ook een inschatting gemaakt van de uit het wetsvoorstel voortvloeiende incidentele regeldrukkosten alsmede van de kosten die samenhangen met het doorlopend toezicht waarmee </w:t>
      </w:r>
      <w:proofErr w:type="spellStart"/>
      <w:r w:rsidRPr="00404117">
        <w:rPr>
          <w:rFonts w:ascii="Verdana" w:hAnsi="Verdana" w:eastAsia="Calibri"/>
          <w:kern w:val="2"/>
          <w:sz w:val="18"/>
          <w:szCs w:val="22"/>
          <w:lang w:eastAsia="en-US"/>
          <w14:ligatures w14:val="standardContextual"/>
        </w:rPr>
        <w:t>kredietservicers</w:t>
      </w:r>
      <w:proofErr w:type="spellEnd"/>
      <w:r w:rsidRPr="00404117">
        <w:rPr>
          <w:rFonts w:ascii="Verdana" w:hAnsi="Verdana" w:eastAsia="Calibri"/>
          <w:kern w:val="2"/>
          <w:sz w:val="18"/>
          <w:szCs w:val="22"/>
          <w:lang w:eastAsia="en-US"/>
          <w14:ligatures w14:val="standardContextual"/>
        </w:rPr>
        <w:t xml:space="preserve"> respectievelijk kredietkopers, banken en aanbieders van krediet (zullen) worden geconfronteerd. Voorts wordt in het Implementatiebesluit richtlijn </w:t>
      </w:r>
      <w:proofErr w:type="spellStart"/>
      <w:r w:rsidRPr="00404117">
        <w:rPr>
          <w:rFonts w:ascii="Verdana" w:hAnsi="Verdana" w:eastAsia="Calibri"/>
          <w:kern w:val="2"/>
          <w:sz w:val="18"/>
          <w:szCs w:val="22"/>
          <w:lang w:eastAsia="en-US"/>
          <w14:ligatures w14:val="standardContextual"/>
        </w:rPr>
        <w:t>kredietservicers</w:t>
      </w:r>
      <w:proofErr w:type="spellEnd"/>
      <w:r w:rsidRPr="00404117">
        <w:rPr>
          <w:rFonts w:ascii="Verdana" w:hAnsi="Verdana" w:eastAsia="Calibri"/>
          <w:kern w:val="2"/>
          <w:sz w:val="18"/>
          <w:szCs w:val="22"/>
          <w:lang w:eastAsia="en-US"/>
          <w14:ligatures w14:val="standardContextual"/>
        </w:rPr>
        <w:t xml:space="preserve"> en kredietkopers nader ingegaan op incidentele regeldrukkosten die voortvloeien uit de in dat besluit opgenomen informatieverplichtingen en inhoudelijke verplichtingen. Op 11 maart 2025 is de internetconsultatie van het ontwerp implementatiebesluit gestart. </w:t>
      </w:r>
    </w:p>
    <w:p w:rsidRPr="00404117" w:rsidR="00404117" w:rsidP="008D1814" w:rsidRDefault="00404117" w14:paraId="5638A81B" w14:textId="77777777">
      <w:pPr>
        <w:spacing w:after="160" w:line="276" w:lineRule="auto"/>
        <w:rPr>
          <w:rFonts w:ascii="Verdana" w:hAnsi="Verdana" w:eastAsia="Calibri"/>
          <w:i/>
          <w:iCs/>
          <w:kern w:val="2"/>
          <w:sz w:val="18"/>
          <w:szCs w:val="22"/>
          <w:lang w:eastAsia="en-US"/>
          <w14:ligatures w14:val="standardContextual"/>
        </w:rPr>
      </w:pPr>
      <w:r w:rsidRPr="00404117">
        <w:rPr>
          <w:rFonts w:ascii="Verdana" w:hAnsi="Verdana" w:eastAsia="Calibri"/>
          <w:i/>
          <w:iCs/>
          <w:kern w:val="2"/>
          <w:sz w:val="18"/>
          <w:szCs w:val="22"/>
          <w:lang w:eastAsia="en-US"/>
          <w14:ligatures w14:val="standardContextual"/>
        </w:rPr>
        <w:t>In elk wetsvoorstel staan de administratieve lasten en regeldrukkosten opgenomen. Hoe vaak wordt gecheckt of dit in de praktijk ook zo uitpakt?</w:t>
      </w:r>
    </w:p>
    <w:p w:rsidRPr="00404117" w:rsidR="00404117" w:rsidP="008D1814" w:rsidRDefault="00404117" w14:paraId="5696058C" w14:textId="77777777">
      <w:pPr>
        <w:spacing w:after="160" w:line="276" w:lineRule="auto"/>
        <w:rPr>
          <w:rFonts w:ascii="Verdana" w:hAnsi="Verdana" w:eastAsia="Calibri"/>
          <w:b/>
          <w:bCs/>
          <w:kern w:val="2"/>
          <w:sz w:val="18"/>
          <w:szCs w:val="22"/>
          <w:lang w:eastAsia="en-US"/>
          <w14:ligatures w14:val="standardContextual"/>
        </w:rPr>
      </w:pPr>
      <w:r w:rsidRPr="00404117">
        <w:rPr>
          <w:rFonts w:ascii="Verdana" w:hAnsi="Verdana" w:eastAsia="Calibri"/>
          <w:kern w:val="2"/>
          <w:sz w:val="18"/>
          <w:szCs w:val="18"/>
          <w:lang w:eastAsia="en-US"/>
          <w14:ligatures w14:val="standardContextual"/>
        </w:rPr>
        <w:t xml:space="preserve">Er wordt niet standaard nagegaan of de in de memorie van toelichting bij een wetsvoorstel opgenomen berekening van administratieve lasten en regeldrukkosten overeenkomt met de – als gevolg van het wetsvoorstel – daadwerkelijk gerealiseerde administratieve lasten en regeldrukkosten. </w:t>
      </w:r>
    </w:p>
    <w:p w:rsidRPr="00404117" w:rsidR="00404117" w:rsidP="008D1814" w:rsidRDefault="00404117" w14:paraId="545FC1B8" w14:textId="77777777">
      <w:pPr>
        <w:spacing w:after="160" w:line="276" w:lineRule="auto"/>
        <w:rPr>
          <w:rFonts w:ascii="Verdana" w:hAnsi="Verdana" w:eastAsia="Calibri"/>
          <w:i/>
          <w:iCs/>
          <w:kern w:val="2"/>
          <w:sz w:val="18"/>
          <w:szCs w:val="22"/>
          <w:lang w:eastAsia="en-US"/>
          <w14:ligatures w14:val="standardContextual"/>
        </w:rPr>
      </w:pPr>
    </w:p>
    <w:p w:rsidRPr="00404117" w:rsidR="00404117" w:rsidP="008D1814" w:rsidRDefault="00404117" w14:paraId="7897A554" w14:textId="77777777">
      <w:pPr>
        <w:spacing w:after="160" w:line="276" w:lineRule="auto"/>
        <w:rPr>
          <w:rFonts w:ascii="Verdana" w:hAnsi="Verdana" w:eastAsia="Calibri"/>
          <w:i/>
          <w:iCs/>
          <w:kern w:val="2"/>
          <w:sz w:val="18"/>
          <w:szCs w:val="22"/>
          <w:lang w:eastAsia="en-US"/>
          <w14:ligatures w14:val="standardContextual"/>
        </w:rPr>
      </w:pPr>
      <w:r w:rsidRPr="00404117">
        <w:rPr>
          <w:rFonts w:ascii="Verdana" w:hAnsi="Verdana" w:eastAsia="Calibri"/>
          <w:i/>
          <w:iCs/>
          <w:kern w:val="2"/>
          <w:sz w:val="18"/>
          <w:szCs w:val="22"/>
          <w:lang w:eastAsia="en-US"/>
          <w14:ligatures w14:val="standardContextual"/>
        </w:rPr>
        <w:t xml:space="preserve">De leden van de NSC-fractie vragen of de regering nader kan toelichten of het </w:t>
      </w:r>
      <w:proofErr w:type="spellStart"/>
      <w:r w:rsidRPr="00404117">
        <w:rPr>
          <w:rFonts w:ascii="Verdana" w:hAnsi="Verdana" w:eastAsia="Calibri"/>
          <w:i/>
          <w:iCs/>
          <w:kern w:val="2"/>
          <w:sz w:val="18"/>
          <w:szCs w:val="22"/>
          <w:lang w:eastAsia="en-US"/>
          <w14:ligatures w14:val="standardContextual"/>
        </w:rPr>
        <w:t>toezichtsmandaat</w:t>
      </w:r>
      <w:proofErr w:type="spellEnd"/>
      <w:r w:rsidRPr="00404117">
        <w:rPr>
          <w:rFonts w:ascii="Verdana" w:hAnsi="Verdana" w:eastAsia="Calibri"/>
          <w:i/>
          <w:iCs/>
          <w:kern w:val="2"/>
          <w:sz w:val="18"/>
          <w:szCs w:val="22"/>
          <w:lang w:eastAsia="en-US"/>
          <w14:ligatures w14:val="standardContextual"/>
        </w:rPr>
        <w:t xml:space="preserve"> van de AFM dient te worden aangepast?</w:t>
      </w:r>
    </w:p>
    <w:p w:rsidRPr="00404117" w:rsidR="00404117" w:rsidP="008D1814" w:rsidRDefault="00404117" w14:paraId="7D857C01" w14:textId="7AF62C60">
      <w:pPr>
        <w:spacing w:after="160" w:line="276" w:lineRule="auto"/>
        <w:rPr>
          <w:rFonts w:ascii="Verdana" w:hAnsi="Verdana" w:eastAsia="Calibri"/>
          <w:kern w:val="2"/>
          <w:sz w:val="18"/>
          <w:szCs w:val="22"/>
          <w:lang w:eastAsia="en-US"/>
          <w14:ligatures w14:val="standardContextual"/>
        </w:rPr>
      </w:pPr>
      <w:r w:rsidRPr="00404117">
        <w:rPr>
          <w:rFonts w:ascii="Verdana" w:hAnsi="Verdana" w:eastAsia="Calibri"/>
          <w:kern w:val="2"/>
          <w:sz w:val="18"/>
          <w:szCs w:val="22"/>
          <w:lang w:eastAsia="en-US"/>
          <w14:ligatures w14:val="standardContextual"/>
        </w:rPr>
        <w:t xml:space="preserve">Het toezichtmandaat van de AFM is gebaseerd op artikel 1:25, tweede lid, </w:t>
      </w:r>
      <w:proofErr w:type="spellStart"/>
      <w:r w:rsidRPr="00404117">
        <w:rPr>
          <w:rFonts w:ascii="Verdana" w:hAnsi="Verdana" w:eastAsia="Calibri"/>
          <w:kern w:val="2"/>
          <w:sz w:val="18"/>
          <w:szCs w:val="22"/>
          <w:lang w:eastAsia="en-US"/>
          <w14:ligatures w14:val="standardContextual"/>
        </w:rPr>
        <w:t>Wft</w:t>
      </w:r>
      <w:proofErr w:type="spellEnd"/>
      <w:r w:rsidRPr="00404117">
        <w:rPr>
          <w:rFonts w:ascii="Verdana" w:hAnsi="Verdana" w:eastAsia="Calibri"/>
          <w:kern w:val="2"/>
          <w:sz w:val="18"/>
          <w:szCs w:val="22"/>
          <w:lang w:eastAsia="en-US"/>
          <w14:ligatures w14:val="standardContextual"/>
        </w:rPr>
        <w:t xml:space="preserve">. Dat artikel bepaalt dat de AFM, op grondslag van de </w:t>
      </w:r>
      <w:proofErr w:type="spellStart"/>
      <w:r w:rsidRPr="00404117">
        <w:rPr>
          <w:rFonts w:ascii="Verdana" w:hAnsi="Verdana" w:eastAsia="Calibri"/>
          <w:kern w:val="2"/>
          <w:sz w:val="18"/>
          <w:szCs w:val="22"/>
          <w:lang w:eastAsia="en-US"/>
          <w14:ligatures w14:val="standardContextual"/>
        </w:rPr>
        <w:t>Wft</w:t>
      </w:r>
      <w:proofErr w:type="spellEnd"/>
      <w:r w:rsidRPr="00404117">
        <w:rPr>
          <w:rFonts w:ascii="Verdana" w:hAnsi="Verdana" w:eastAsia="Calibri"/>
          <w:kern w:val="2"/>
          <w:sz w:val="18"/>
          <w:szCs w:val="22"/>
          <w:lang w:eastAsia="en-US"/>
          <w14:ligatures w14:val="standardContextual"/>
        </w:rPr>
        <w:t xml:space="preserve">, tot taak heeft het uitoefenen van gedragstoezicht op financiële markten uit te oefenen en te beslissen omtrent de toelating van financiële ondernemingen tot die markten. Het in artikel 1:25, tweede lid, </w:t>
      </w:r>
      <w:proofErr w:type="spellStart"/>
      <w:r w:rsidRPr="00404117">
        <w:rPr>
          <w:rFonts w:ascii="Verdana" w:hAnsi="Verdana" w:eastAsia="Calibri"/>
          <w:kern w:val="2"/>
          <w:sz w:val="18"/>
          <w:szCs w:val="22"/>
          <w:lang w:eastAsia="en-US"/>
          <w14:ligatures w14:val="standardContextual"/>
        </w:rPr>
        <w:t>Wft</w:t>
      </w:r>
      <w:proofErr w:type="spellEnd"/>
      <w:r w:rsidRPr="00404117">
        <w:rPr>
          <w:rFonts w:ascii="Verdana" w:hAnsi="Verdana" w:eastAsia="Calibri"/>
          <w:kern w:val="2"/>
          <w:sz w:val="18"/>
          <w:szCs w:val="22"/>
          <w:lang w:eastAsia="en-US"/>
          <w14:ligatures w14:val="standardContextual"/>
        </w:rPr>
        <w:t xml:space="preserve"> neergelegde toezichtmandaat van de AFM ziet mede op de bij of krachtens de </w:t>
      </w:r>
      <w:proofErr w:type="spellStart"/>
      <w:r w:rsidRPr="00404117">
        <w:rPr>
          <w:rFonts w:ascii="Verdana" w:hAnsi="Verdana" w:eastAsia="Calibri"/>
          <w:kern w:val="2"/>
          <w:sz w:val="18"/>
          <w:szCs w:val="22"/>
          <w:lang w:eastAsia="en-US"/>
          <w14:ligatures w14:val="standardContextual"/>
        </w:rPr>
        <w:t>Wft</w:t>
      </w:r>
      <w:proofErr w:type="spellEnd"/>
      <w:r w:rsidRPr="00404117">
        <w:rPr>
          <w:rFonts w:ascii="Verdana" w:hAnsi="Verdana" w:eastAsia="Calibri"/>
          <w:kern w:val="2"/>
          <w:sz w:val="18"/>
          <w:szCs w:val="22"/>
          <w:lang w:eastAsia="en-US"/>
          <w14:ligatures w14:val="standardContextual"/>
        </w:rPr>
        <w:t xml:space="preserve"> vastgestelde wettelijke voorschriften die strekken tot implementatie van de richtlijn. Artikel 1:25, tweede lid, </w:t>
      </w:r>
      <w:proofErr w:type="spellStart"/>
      <w:r w:rsidRPr="00404117">
        <w:rPr>
          <w:rFonts w:ascii="Verdana" w:hAnsi="Verdana" w:eastAsia="Calibri"/>
          <w:kern w:val="2"/>
          <w:sz w:val="18"/>
          <w:szCs w:val="22"/>
          <w:lang w:eastAsia="en-US"/>
          <w14:ligatures w14:val="standardContextual"/>
        </w:rPr>
        <w:t>Wft</w:t>
      </w:r>
      <w:proofErr w:type="spellEnd"/>
      <w:r w:rsidRPr="00404117">
        <w:rPr>
          <w:rFonts w:ascii="Verdana" w:hAnsi="Verdana" w:eastAsia="Calibri"/>
          <w:kern w:val="2"/>
          <w:sz w:val="18"/>
          <w:szCs w:val="22"/>
          <w:lang w:eastAsia="en-US"/>
          <w14:ligatures w14:val="standardContextual"/>
        </w:rPr>
        <w:t xml:space="preserve"> behoeft derhalve niet te worden aangepast in verband met de implementatie van die richtlijn in het Nederlandse (nationale) recht.</w:t>
      </w:r>
    </w:p>
    <w:p w:rsidRPr="00404117" w:rsidR="00404117" w:rsidP="008D1814" w:rsidRDefault="00404117" w14:paraId="04F31ECA" w14:textId="77777777">
      <w:pPr>
        <w:spacing w:after="160" w:line="276" w:lineRule="auto"/>
        <w:rPr>
          <w:rFonts w:ascii="Verdana" w:hAnsi="Verdana" w:eastAsia="Calibri" w:cs="Aptos"/>
          <w:i/>
          <w:iCs/>
          <w:sz w:val="18"/>
          <w:szCs w:val="18"/>
          <w:lang w:eastAsia="en-US"/>
          <w14:ligatures w14:val="standardContextual"/>
        </w:rPr>
      </w:pPr>
      <w:r w:rsidRPr="00404117">
        <w:rPr>
          <w:rFonts w:ascii="Verdana" w:hAnsi="Verdana" w:eastAsia="Calibri" w:cs="Aptos"/>
          <w:i/>
          <w:iCs/>
          <w:sz w:val="18"/>
          <w:szCs w:val="18"/>
          <w:lang w:eastAsia="en-US"/>
          <w14:ligatures w14:val="standardContextual"/>
        </w:rPr>
        <w:t xml:space="preserve">De leden van de NSC-fractie vragen voorts of het klopt dat de personeelsformatie van de AFM wordt uitgebreid? Met hoeveel fte wordt dit uitgebreid? Tot hoeveel extra </w:t>
      </w:r>
      <w:proofErr w:type="spellStart"/>
      <w:r w:rsidRPr="00404117">
        <w:rPr>
          <w:rFonts w:ascii="Verdana" w:hAnsi="Verdana" w:eastAsia="Calibri" w:cs="Aptos"/>
          <w:i/>
          <w:iCs/>
          <w:sz w:val="18"/>
          <w:szCs w:val="18"/>
          <w:lang w:eastAsia="en-US"/>
          <w14:ligatures w14:val="standardContextual"/>
        </w:rPr>
        <w:t>toezichtskosten</w:t>
      </w:r>
      <w:proofErr w:type="spellEnd"/>
      <w:r w:rsidRPr="00404117">
        <w:rPr>
          <w:rFonts w:ascii="Verdana" w:hAnsi="Verdana" w:eastAsia="Calibri" w:cs="Aptos"/>
          <w:i/>
          <w:iCs/>
          <w:sz w:val="18"/>
          <w:szCs w:val="18"/>
          <w:lang w:eastAsia="en-US"/>
          <w14:ligatures w14:val="standardContextual"/>
        </w:rPr>
        <w:t xml:space="preserve"> gaat dit leiden? Door wie gaan deze extra </w:t>
      </w:r>
      <w:proofErr w:type="spellStart"/>
      <w:r w:rsidRPr="00404117">
        <w:rPr>
          <w:rFonts w:ascii="Verdana" w:hAnsi="Verdana" w:eastAsia="Calibri" w:cs="Aptos"/>
          <w:i/>
          <w:iCs/>
          <w:sz w:val="18"/>
          <w:szCs w:val="18"/>
          <w:lang w:eastAsia="en-US"/>
          <w14:ligatures w14:val="standardContextual"/>
        </w:rPr>
        <w:t>toezichtskosten</w:t>
      </w:r>
      <w:proofErr w:type="spellEnd"/>
      <w:r w:rsidRPr="00404117">
        <w:rPr>
          <w:rFonts w:ascii="Verdana" w:hAnsi="Verdana" w:eastAsia="Calibri" w:cs="Aptos"/>
          <w:i/>
          <w:iCs/>
          <w:sz w:val="18"/>
          <w:szCs w:val="18"/>
          <w:lang w:eastAsia="en-US"/>
          <w14:ligatures w14:val="standardContextual"/>
        </w:rPr>
        <w:t xml:space="preserve"> worden betaald?</w:t>
      </w:r>
    </w:p>
    <w:p w:rsidRPr="00404117" w:rsidR="00404117" w:rsidP="008D1814" w:rsidRDefault="00404117" w14:paraId="7DF0D890" w14:textId="77777777">
      <w:pPr>
        <w:spacing w:after="160" w:line="276" w:lineRule="auto"/>
        <w:rPr>
          <w:rFonts w:ascii="Verdana" w:hAnsi="Verdana" w:eastAsia="Calibri" w:cs="Aptos"/>
          <w:sz w:val="18"/>
          <w:szCs w:val="18"/>
          <w:lang w:eastAsia="en-US"/>
          <w14:ligatures w14:val="standardContextual"/>
        </w:rPr>
      </w:pPr>
      <w:r w:rsidRPr="00404117">
        <w:rPr>
          <w:rFonts w:ascii="Verdana" w:hAnsi="Verdana" w:eastAsia="Calibri" w:cs="Aptos"/>
          <w:sz w:val="18"/>
          <w:szCs w:val="18"/>
          <w:lang w:eastAsia="en-US"/>
          <w14:ligatures w14:val="standardContextual"/>
        </w:rPr>
        <w:t xml:space="preserve">De AFM heeft in het kostenkader 2025-2028 structureel € 680.000 (prijspeil 2024) begrotingsruimte gekregen voor het toezicht op de richtlijn </w:t>
      </w:r>
      <w:proofErr w:type="spellStart"/>
      <w:r w:rsidRPr="00404117">
        <w:rPr>
          <w:rFonts w:ascii="Verdana" w:hAnsi="Verdana" w:eastAsia="Calibri" w:cs="Aptos"/>
          <w:sz w:val="18"/>
          <w:szCs w:val="18"/>
          <w:lang w:eastAsia="en-US"/>
          <w14:ligatures w14:val="standardContextual"/>
        </w:rPr>
        <w:t>kredietservicers</w:t>
      </w:r>
      <w:proofErr w:type="spellEnd"/>
      <w:r w:rsidRPr="00404117">
        <w:rPr>
          <w:rFonts w:ascii="Verdana" w:hAnsi="Verdana" w:eastAsia="Calibri" w:cs="Aptos"/>
          <w:sz w:val="18"/>
          <w:szCs w:val="18"/>
          <w:lang w:eastAsia="en-US"/>
          <w14:ligatures w14:val="standardContextual"/>
        </w:rPr>
        <w:t xml:space="preserve"> en kredietkopers.</w:t>
      </w:r>
      <w:r w:rsidRPr="00404117">
        <w:rPr>
          <w:rFonts w:ascii="Verdana" w:hAnsi="Verdana" w:eastAsia="Calibri" w:cs="Aptos"/>
          <w:sz w:val="18"/>
          <w:szCs w:val="18"/>
          <w:vertAlign w:val="superscript"/>
          <w:lang w:eastAsia="en-US"/>
          <w14:ligatures w14:val="standardContextual"/>
        </w:rPr>
        <w:footnoteReference w:id="20"/>
      </w:r>
      <w:r w:rsidRPr="00404117">
        <w:rPr>
          <w:rFonts w:ascii="Verdana" w:hAnsi="Verdana" w:eastAsia="Calibri" w:cs="Aptos"/>
          <w:sz w:val="18"/>
          <w:szCs w:val="18"/>
          <w:lang w:eastAsia="en-US"/>
          <w14:ligatures w14:val="standardContextual"/>
        </w:rPr>
        <w:t xml:space="preserve"> Daarmee kan de AFM 4 fte aannemen. Deze medewerkers houden zich onder meer bezig met het toezicht op </w:t>
      </w:r>
      <w:proofErr w:type="spellStart"/>
      <w:r w:rsidRPr="00404117">
        <w:rPr>
          <w:rFonts w:ascii="Verdana" w:hAnsi="Verdana" w:eastAsia="Calibri" w:cs="Aptos"/>
          <w:sz w:val="18"/>
          <w:szCs w:val="18"/>
          <w:lang w:eastAsia="en-US"/>
          <w14:ligatures w14:val="standardContextual"/>
        </w:rPr>
        <w:t>kredietservicers</w:t>
      </w:r>
      <w:proofErr w:type="spellEnd"/>
      <w:r w:rsidRPr="00404117">
        <w:rPr>
          <w:rFonts w:ascii="Verdana" w:hAnsi="Verdana" w:eastAsia="Calibri" w:cs="Aptos"/>
          <w:sz w:val="18"/>
          <w:szCs w:val="18"/>
          <w:lang w:eastAsia="en-US"/>
          <w14:ligatures w14:val="standardContextual"/>
        </w:rPr>
        <w:t xml:space="preserve"> en op zakelijke niet-renderende kredietovereenkomsten. Dit zijn nieuwe doelgroepen voor de AFM.</w:t>
      </w:r>
    </w:p>
    <w:p w:rsidR="00404117" w:rsidP="008D1814" w:rsidRDefault="00404117" w14:paraId="6F8534F1" w14:textId="511168C8">
      <w:pPr>
        <w:spacing w:after="160" w:line="276" w:lineRule="auto"/>
        <w:rPr>
          <w:rFonts w:ascii="Verdana" w:hAnsi="Verdana" w:eastAsia="Calibri" w:cs="Aptos"/>
          <w:sz w:val="18"/>
          <w:szCs w:val="18"/>
          <w:lang w:eastAsia="en-US"/>
          <w14:ligatures w14:val="standardContextual"/>
        </w:rPr>
      </w:pPr>
      <w:r w:rsidRPr="00404117">
        <w:rPr>
          <w:rFonts w:ascii="Verdana" w:hAnsi="Verdana" w:eastAsia="Calibri" w:cs="Aptos"/>
          <w:sz w:val="18"/>
          <w:szCs w:val="18"/>
          <w:lang w:eastAsia="en-US"/>
          <w14:ligatures w14:val="standardContextual"/>
        </w:rPr>
        <w:t>Deze extra toezichtkosten worden doorberekend aan de toezichtcategorieën voor wie het toezicht wordt verricht, op basis van de herziene procentuele verdeling in het Besluit bekostiging financieel toezicht 2019.</w:t>
      </w:r>
      <w:r w:rsidRPr="00404117">
        <w:rPr>
          <w:rFonts w:ascii="Verdana" w:hAnsi="Verdana" w:eastAsia="Calibri" w:cs="Aptos"/>
          <w:sz w:val="18"/>
          <w:szCs w:val="18"/>
          <w:vertAlign w:val="superscript"/>
          <w:lang w:eastAsia="en-US"/>
          <w14:ligatures w14:val="standardContextual"/>
        </w:rPr>
        <w:footnoteReference w:id="21"/>
      </w:r>
      <w:r w:rsidRPr="00404117">
        <w:rPr>
          <w:rFonts w:ascii="Verdana" w:hAnsi="Verdana" w:eastAsia="Calibri" w:cs="Aptos"/>
          <w:sz w:val="18"/>
          <w:szCs w:val="18"/>
          <w:lang w:eastAsia="en-US"/>
          <w14:ligatures w14:val="standardContextual"/>
        </w:rPr>
        <w:t xml:space="preserve"> Dat de AFM 4 fte begrotingsruimte heeft gekregen, betekent niet noodzakelijkerwijs dat de AFM 4 fte inzet voor het toezicht op richtlijn </w:t>
      </w:r>
      <w:proofErr w:type="spellStart"/>
      <w:r w:rsidRPr="00404117">
        <w:rPr>
          <w:rFonts w:ascii="Verdana" w:hAnsi="Verdana" w:eastAsia="Calibri" w:cs="Aptos"/>
          <w:sz w:val="18"/>
          <w:szCs w:val="18"/>
          <w:lang w:eastAsia="en-US"/>
          <w14:ligatures w14:val="standardContextual"/>
        </w:rPr>
        <w:t>kredietservicers</w:t>
      </w:r>
      <w:proofErr w:type="spellEnd"/>
      <w:r w:rsidRPr="00404117">
        <w:rPr>
          <w:rFonts w:ascii="Verdana" w:hAnsi="Verdana" w:eastAsia="Calibri" w:cs="Aptos"/>
          <w:sz w:val="18"/>
          <w:szCs w:val="18"/>
          <w:lang w:eastAsia="en-US"/>
          <w14:ligatures w14:val="standardContextual"/>
        </w:rPr>
        <w:t xml:space="preserve"> en kredietkopers. Als het opportuun is om het toezicht op of af te schalen, dan kan de AFM daar zelfstandig keuzes in maken binnen het maximum voor haar gehele begroting, op </w:t>
      </w:r>
      <w:proofErr w:type="spellStart"/>
      <w:r w:rsidRPr="00404117">
        <w:rPr>
          <w:rFonts w:ascii="Verdana" w:hAnsi="Verdana" w:eastAsia="Calibri" w:cs="Aptos"/>
          <w:sz w:val="18"/>
          <w:szCs w:val="18"/>
          <w:lang w:eastAsia="en-US"/>
          <w14:ligatures w14:val="standardContextual"/>
        </w:rPr>
        <w:t>risicogebaseerde</w:t>
      </w:r>
      <w:proofErr w:type="spellEnd"/>
      <w:r w:rsidRPr="00404117">
        <w:rPr>
          <w:rFonts w:ascii="Verdana" w:hAnsi="Verdana" w:eastAsia="Calibri" w:cs="Aptos"/>
          <w:sz w:val="18"/>
          <w:szCs w:val="18"/>
          <w:lang w:eastAsia="en-US"/>
          <w14:ligatures w14:val="standardContextual"/>
        </w:rPr>
        <w:t xml:space="preserve"> wijze.</w:t>
      </w:r>
    </w:p>
    <w:p w:rsidRPr="00404117" w:rsidR="003E43DC" w:rsidP="008D1814" w:rsidRDefault="003E43DC" w14:paraId="6C38D839" w14:textId="77777777">
      <w:pPr>
        <w:spacing w:after="160" w:line="276" w:lineRule="auto"/>
        <w:rPr>
          <w:rFonts w:ascii="Verdana" w:hAnsi="Verdana" w:eastAsia="Calibri" w:cs="Aptos"/>
          <w:sz w:val="18"/>
          <w:szCs w:val="18"/>
          <w:lang w:eastAsia="en-US"/>
          <w14:ligatures w14:val="standardContextual"/>
        </w:rPr>
      </w:pPr>
    </w:p>
    <w:p w:rsidRPr="00404117" w:rsidR="00404117" w:rsidP="008D1814" w:rsidRDefault="00404117" w14:paraId="644CE49B" w14:textId="77777777">
      <w:pPr>
        <w:spacing w:after="160" w:line="276" w:lineRule="auto"/>
        <w:rPr>
          <w:rFonts w:ascii="Verdana" w:hAnsi="Verdana" w:eastAsia="Calibri"/>
          <w:b/>
          <w:bCs/>
          <w:i/>
          <w:iCs/>
          <w:kern w:val="2"/>
          <w:sz w:val="18"/>
          <w:szCs w:val="18"/>
          <w:lang w:eastAsia="en-US"/>
          <w14:ligatures w14:val="standardContextual"/>
        </w:rPr>
      </w:pPr>
      <w:r w:rsidRPr="00404117">
        <w:rPr>
          <w:rFonts w:ascii="Verdana" w:hAnsi="Verdana" w:eastAsia="Calibri"/>
          <w:b/>
          <w:bCs/>
          <w:i/>
          <w:iCs/>
          <w:kern w:val="2"/>
          <w:sz w:val="18"/>
          <w:szCs w:val="18"/>
          <w:lang w:eastAsia="en-US"/>
          <w14:ligatures w14:val="standardContextual"/>
        </w:rPr>
        <w:t xml:space="preserve">§ 8. Gevolgen van het wetsvoorstel </w:t>
      </w:r>
    </w:p>
    <w:p w:rsidRPr="00404117" w:rsidR="00404117" w:rsidP="008D1814" w:rsidRDefault="00404117" w14:paraId="739C42AE" w14:textId="5BCBE815">
      <w:pPr>
        <w:spacing w:after="160" w:line="276" w:lineRule="auto"/>
        <w:rPr>
          <w:rFonts w:ascii="Verdana" w:hAnsi="Verdana" w:eastAsia="Calibri"/>
          <w:i/>
          <w:iCs/>
          <w:kern w:val="2"/>
          <w:sz w:val="18"/>
          <w:szCs w:val="18"/>
          <w:lang w:eastAsia="en-US"/>
          <w14:ligatures w14:val="standardContextual"/>
        </w:rPr>
      </w:pPr>
      <w:r w:rsidRPr="00404117">
        <w:rPr>
          <w:rFonts w:ascii="Verdana" w:hAnsi="Verdana" w:eastAsia="Calibri"/>
          <w:i/>
          <w:iCs/>
          <w:kern w:val="2"/>
          <w:sz w:val="18"/>
          <w:szCs w:val="18"/>
          <w:lang w:eastAsia="en-US"/>
          <w14:ligatures w14:val="standardContextual"/>
        </w:rPr>
        <w:t xml:space="preserve">De leden van de VVD-fractie constateren dat de richtlijn vooral is ingegeven door de situatie bij de banken. Maar er lijkt slechts beperkt aandacht voor de consumenten met een kredietovereenkomst. Wat zijn de gevolgen voor consumenten en bedrijven van de overdracht van niet-renderende kredietovereenkomsten als banken meer niet-renderende kredietovereenkomsten van de hand gaan doen? </w:t>
      </w:r>
      <w:bookmarkStart w:name="_Hlk191551981" w:id="7"/>
      <w:r w:rsidRPr="00404117">
        <w:rPr>
          <w:rFonts w:ascii="Verdana" w:hAnsi="Verdana" w:eastAsia="Calibri"/>
          <w:i/>
          <w:iCs/>
          <w:kern w:val="2"/>
          <w:sz w:val="18"/>
          <w:szCs w:val="18"/>
          <w:lang w:eastAsia="en-US"/>
          <w14:ligatures w14:val="standardContextual"/>
        </w:rPr>
        <w:t>Bij niet-renderende kredietovereenkomsten gaat het om overeenkomsten met een betalingsachterstand van meer dan 90 dagen. Zou het niet goed zijn als ook wordt ingezet op het voorkomen van die betalingsachterstanden?</w:t>
      </w:r>
    </w:p>
    <w:p w:rsidRPr="00404117" w:rsidR="00404117" w:rsidP="008D1814" w:rsidRDefault="00404117" w14:paraId="4CB7016D" w14:textId="77777777">
      <w:pPr>
        <w:spacing w:after="160" w:line="276" w:lineRule="auto"/>
        <w:rPr>
          <w:rFonts w:ascii="Verdana" w:hAnsi="Verdana" w:eastAsia="Calibri"/>
          <w:kern w:val="2"/>
          <w:sz w:val="18"/>
          <w:szCs w:val="22"/>
          <w:lang w:eastAsia="en-US"/>
          <w14:ligatures w14:val="standardContextual"/>
        </w:rPr>
      </w:pPr>
      <w:r w:rsidRPr="00404117">
        <w:rPr>
          <w:rFonts w:ascii="Verdana" w:hAnsi="Verdana" w:eastAsia="Calibri"/>
          <w:kern w:val="2"/>
          <w:sz w:val="18"/>
          <w:szCs w:val="22"/>
          <w:lang w:eastAsia="en-US"/>
          <w14:ligatures w14:val="standardContextual"/>
        </w:rPr>
        <w:t>De richtlijn heeft tot doel om de ontwikkeling van secundaire markten voor niet-renderende kredietovereenkomsten te bevorderen maar ook om de bescherming van kredietnemers op dit vlak te versterken.</w:t>
      </w:r>
    </w:p>
    <w:p w:rsidRPr="00404117" w:rsidR="00404117" w:rsidP="008D1814" w:rsidRDefault="00404117" w14:paraId="23BE81F3" w14:textId="698487F5">
      <w:pPr>
        <w:spacing w:after="160" w:line="276" w:lineRule="auto"/>
        <w:rPr>
          <w:rFonts w:ascii="Verdana" w:hAnsi="Verdana" w:eastAsia="Calibri"/>
          <w:kern w:val="2"/>
          <w:sz w:val="18"/>
          <w:szCs w:val="18"/>
          <w:lang w:eastAsia="en-US"/>
          <w14:ligatures w14:val="standardContextual"/>
        </w:rPr>
      </w:pPr>
      <w:r w:rsidRPr="00404117">
        <w:rPr>
          <w:rFonts w:ascii="Verdana" w:hAnsi="Verdana" w:eastAsia="Calibri"/>
          <w:kern w:val="2"/>
          <w:sz w:val="18"/>
          <w:szCs w:val="18"/>
          <w:lang w:eastAsia="en-US"/>
          <w14:ligatures w14:val="standardContextual"/>
        </w:rPr>
        <w:t>Meer algemeen wordt in Nederland ingezet op het voorkomen van betalingsachterstanden bij kredietovereenkomsten. Zo moeten kredietaanbieders toetsen of het verantwoord is om een lening aan een consument te verstrekken. Als dat niet verantwoord is, mogen zij deze niet verstrekken. Daarnaast zijn aanbieders verplicht onder voorwaarden bestaande kredieten van een consument bij het Bureau Krediet Registratie (BKR) te controleren en nieuwe kredieten bij BKR te registreren en moeten zij duidelijke, eerlijke en niet-misleidende informatie verstrekken. Ook gelden er regels over de maximaal te betalen rente op een consumptief krediet (momenteel 14%). Daarnaast bevat de richtlijn een verplichting voor aanbieders van krediet om te beschikken over een adequaat beleid en adequate procedures waarin is vastgelegd hoe wordt omgegaan met betalingsachterstanden inzake kredietovereenkomsten met consumenten, en dat deze, waar passend, respijtmaatregelen treffen. Deze verplichting heeft tot doel om te voorkomen dat de financiële positie van een consument verslechtert. Zie</w:t>
      </w:r>
      <w:r w:rsidR="001E6427">
        <w:rPr>
          <w:rFonts w:ascii="Verdana" w:hAnsi="Verdana" w:eastAsia="Calibri"/>
          <w:kern w:val="2"/>
          <w:sz w:val="18"/>
          <w:szCs w:val="18"/>
          <w:lang w:eastAsia="en-US"/>
          <w14:ligatures w14:val="standardContextual"/>
        </w:rPr>
        <w:t xml:space="preserve"> verder</w:t>
      </w:r>
      <w:r w:rsidRPr="00404117">
        <w:rPr>
          <w:rFonts w:ascii="Verdana" w:hAnsi="Verdana" w:eastAsia="Calibri"/>
          <w:kern w:val="2"/>
          <w:sz w:val="18"/>
          <w:szCs w:val="18"/>
          <w:lang w:eastAsia="en-US"/>
          <w14:ligatures w14:val="standardContextual"/>
        </w:rPr>
        <w:t xml:space="preserve"> ook mijn antwoord hierboven op een vraag van de NSC-fractie over de bijdrage van de richtlijn aan de bescherming van kredietnemers. Er wordt bovendien gewerkt aan de implementatie van de herziene Europese Richtlijn consumentenkrediet, waarmee de consumentenbescherming bij krediet verder </w:t>
      </w:r>
      <w:r w:rsidR="001E6427">
        <w:rPr>
          <w:rFonts w:ascii="Verdana" w:hAnsi="Verdana" w:eastAsia="Calibri"/>
          <w:kern w:val="2"/>
          <w:sz w:val="18"/>
          <w:szCs w:val="18"/>
          <w:lang w:eastAsia="en-US"/>
          <w14:ligatures w14:val="standardContextual"/>
        </w:rPr>
        <w:t>wordt</w:t>
      </w:r>
      <w:r w:rsidRPr="00404117">
        <w:rPr>
          <w:rFonts w:ascii="Verdana" w:hAnsi="Verdana" w:eastAsia="Calibri"/>
          <w:kern w:val="2"/>
          <w:sz w:val="18"/>
          <w:szCs w:val="18"/>
          <w:lang w:eastAsia="en-US"/>
          <w14:ligatures w14:val="standardContextual"/>
        </w:rPr>
        <w:t xml:space="preserve"> aangescherpt.</w:t>
      </w:r>
      <w:bookmarkEnd w:id="7"/>
    </w:p>
    <w:p w:rsidRPr="00404117" w:rsidR="00404117" w:rsidP="008D1814" w:rsidRDefault="00404117" w14:paraId="5E8C0877" w14:textId="77777777">
      <w:pPr>
        <w:spacing w:after="160" w:line="276" w:lineRule="auto"/>
        <w:rPr>
          <w:rFonts w:ascii="Verdana" w:hAnsi="Verdana" w:eastAsia="Calibri"/>
          <w:b/>
          <w:bCs/>
          <w:kern w:val="2"/>
          <w:sz w:val="18"/>
          <w:szCs w:val="22"/>
          <w:lang w:eastAsia="en-US"/>
          <w14:ligatures w14:val="standardContextual"/>
        </w:rPr>
      </w:pPr>
    </w:p>
    <w:p w:rsidRPr="00404117" w:rsidR="00404117" w:rsidP="008D1814" w:rsidRDefault="00404117" w14:paraId="3D2D981E" w14:textId="77777777">
      <w:pPr>
        <w:spacing w:after="160" w:line="276" w:lineRule="auto"/>
        <w:rPr>
          <w:rFonts w:ascii="Verdana" w:hAnsi="Verdana" w:eastAsia="Calibri"/>
          <w:b/>
          <w:bCs/>
          <w:i/>
          <w:iCs/>
          <w:kern w:val="2"/>
          <w:sz w:val="18"/>
          <w:szCs w:val="22"/>
          <w:lang w:eastAsia="en-US"/>
          <w14:ligatures w14:val="standardContextual"/>
        </w:rPr>
      </w:pPr>
      <w:r w:rsidRPr="00404117">
        <w:rPr>
          <w:rFonts w:ascii="Verdana" w:hAnsi="Verdana" w:eastAsia="Calibri"/>
          <w:b/>
          <w:bCs/>
          <w:i/>
          <w:iCs/>
          <w:kern w:val="2"/>
          <w:sz w:val="18"/>
          <w:szCs w:val="22"/>
          <w:lang w:eastAsia="en-US"/>
          <w14:ligatures w14:val="standardContextual"/>
        </w:rPr>
        <w:t>§ 9. Inwerkingtreding</w:t>
      </w:r>
    </w:p>
    <w:p w:rsidRPr="00404117" w:rsidR="00404117" w:rsidP="008D1814" w:rsidRDefault="00404117" w14:paraId="19319D67" w14:textId="77777777">
      <w:pPr>
        <w:spacing w:after="160" w:line="276" w:lineRule="auto"/>
        <w:rPr>
          <w:rFonts w:ascii="Verdana" w:hAnsi="Verdana" w:eastAsia="Calibri"/>
          <w:i/>
          <w:iCs/>
          <w:kern w:val="2"/>
          <w:sz w:val="18"/>
          <w:szCs w:val="22"/>
          <w:lang w:eastAsia="en-US"/>
          <w14:ligatures w14:val="standardContextual"/>
        </w:rPr>
      </w:pPr>
      <w:r w:rsidRPr="00404117">
        <w:rPr>
          <w:rFonts w:ascii="Verdana" w:hAnsi="Verdana" w:eastAsia="Calibri"/>
          <w:i/>
          <w:iCs/>
          <w:kern w:val="2"/>
          <w:sz w:val="18"/>
          <w:szCs w:val="22"/>
          <w:lang w:eastAsia="en-US"/>
          <w14:ligatures w14:val="standardContextual"/>
        </w:rPr>
        <w:t xml:space="preserve">De leden van de VVD-fractie en van de NSC-fractie merken op dat de regering in de aangepaste memorie van toelichting stelt dat het belangrijkste gevolg van het niet tijdig implementeren van de richtlijn is dat personen met zetel in Nederland niet kunnen overgaan tot </w:t>
      </w:r>
      <w:proofErr w:type="spellStart"/>
      <w:r w:rsidRPr="00404117">
        <w:rPr>
          <w:rFonts w:ascii="Verdana" w:hAnsi="Verdana" w:eastAsia="Calibri"/>
          <w:i/>
          <w:iCs/>
          <w:kern w:val="2"/>
          <w:sz w:val="18"/>
          <w:szCs w:val="22"/>
          <w:lang w:eastAsia="en-US"/>
          <w14:ligatures w14:val="standardContextual"/>
        </w:rPr>
        <w:t>servicen</w:t>
      </w:r>
      <w:proofErr w:type="spellEnd"/>
      <w:r w:rsidRPr="00404117">
        <w:rPr>
          <w:rFonts w:ascii="Verdana" w:hAnsi="Verdana" w:eastAsia="Calibri"/>
          <w:i/>
          <w:iCs/>
          <w:kern w:val="2"/>
          <w:sz w:val="18"/>
          <w:szCs w:val="22"/>
          <w:lang w:eastAsia="en-US"/>
          <w14:ligatures w14:val="standardContextual"/>
        </w:rPr>
        <w:t xml:space="preserve"> van niet-renderende kredietovereenkomsten in een andere lidstaat. De leden van de VVD-fractie vragen hoeveel personen met een zetel in Nederland nu ook al actief zijn in een andere lidstaat.</w:t>
      </w:r>
    </w:p>
    <w:p w:rsidRPr="00404117" w:rsidR="00404117" w:rsidP="008D1814" w:rsidRDefault="00404117" w14:paraId="3019A1CB" w14:textId="3F48BFBC">
      <w:pPr>
        <w:spacing w:after="160" w:line="276" w:lineRule="auto"/>
        <w:rPr>
          <w:rFonts w:ascii="Verdana" w:hAnsi="Verdana" w:eastAsia="Calibri"/>
          <w:kern w:val="2"/>
          <w:sz w:val="18"/>
          <w:szCs w:val="22"/>
          <w:lang w:eastAsia="en-US"/>
          <w14:ligatures w14:val="standardContextual"/>
        </w:rPr>
      </w:pPr>
      <w:r w:rsidRPr="00404117">
        <w:rPr>
          <w:rFonts w:ascii="Verdana" w:hAnsi="Verdana" w:eastAsia="Calibri"/>
          <w:kern w:val="2"/>
          <w:sz w:val="18"/>
          <w:szCs w:val="22"/>
          <w:lang w:eastAsia="en-US"/>
          <w14:ligatures w14:val="standardContextual"/>
        </w:rPr>
        <w:t xml:space="preserve">Het is om verschillende redenen lastig om in te schatten hoeveel personen zich thans bezighouden met het vanuit Nederland in een andere lidstaat </w:t>
      </w:r>
      <w:proofErr w:type="spellStart"/>
      <w:r w:rsidRPr="00404117">
        <w:rPr>
          <w:rFonts w:ascii="Verdana" w:hAnsi="Verdana" w:eastAsia="Calibri"/>
          <w:kern w:val="2"/>
          <w:sz w:val="18"/>
          <w:szCs w:val="22"/>
          <w:lang w:eastAsia="en-US"/>
          <w14:ligatures w14:val="standardContextual"/>
        </w:rPr>
        <w:t>servicen</w:t>
      </w:r>
      <w:proofErr w:type="spellEnd"/>
      <w:r w:rsidRPr="00404117">
        <w:rPr>
          <w:rFonts w:ascii="Verdana" w:hAnsi="Verdana" w:eastAsia="Calibri"/>
          <w:kern w:val="2"/>
          <w:sz w:val="18"/>
          <w:szCs w:val="22"/>
          <w:lang w:eastAsia="en-US"/>
          <w14:ligatures w14:val="standardContextual"/>
        </w:rPr>
        <w:t xml:space="preserve"> van niet-renderende kredietovereenkomsten in de zin van de richtlijn.  Enerzijds omdat het </w:t>
      </w:r>
      <w:proofErr w:type="spellStart"/>
      <w:r w:rsidRPr="00404117">
        <w:rPr>
          <w:rFonts w:ascii="Verdana" w:hAnsi="Verdana" w:eastAsia="Calibri"/>
          <w:kern w:val="2"/>
          <w:sz w:val="18"/>
          <w:szCs w:val="22"/>
          <w:lang w:eastAsia="en-US"/>
          <w14:ligatures w14:val="standardContextual"/>
        </w:rPr>
        <w:t>servicen</w:t>
      </w:r>
      <w:proofErr w:type="spellEnd"/>
      <w:r w:rsidRPr="00404117">
        <w:rPr>
          <w:rFonts w:ascii="Verdana" w:hAnsi="Verdana" w:eastAsia="Calibri"/>
          <w:kern w:val="2"/>
          <w:sz w:val="18"/>
          <w:szCs w:val="22"/>
          <w:lang w:eastAsia="en-US"/>
          <w14:ligatures w14:val="standardContextual"/>
        </w:rPr>
        <w:t xml:space="preserve"> van zakelijke niet-renderende kredietovereenkomsten thans geen gereguleerde activiteit is zodat </w:t>
      </w:r>
      <w:proofErr w:type="spellStart"/>
      <w:r w:rsidRPr="00404117">
        <w:rPr>
          <w:rFonts w:ascii="Verdana" w:hAnsi="Verdana" w:eastAsia="Calibri"/>
          <w:kern w:val="2"/>
          <w:sz w:val="18"/>
          <w:szCs w:val="22"/>
          <w:lang w:eastAsia="en-US"/>
          <w14:ligatures w14:val="standardContextual"/>
        </w:rPr>
        <w:t>terzake</w:t>
      </w:r>
      <w:proofErr w:type="spellEnd"/>
      <w:r w:rsidRPr="00404117">
        <w:rPr>
          <w:rFonts w:ascii="Verdana" w:hAnsi="Verdana" w:eastAsia="Calibri"/>
          <w:kern w:val="2"/>
          <w:sz w:val="18"/>
          <w:szCs w:val="22"/>
          <w:lang w:eastAsia="en-US"/>
          <w14:ligatures w14:val="standardContextual"/>
        </w:rPr>
        <w:t xml:space="preserve"> geen vergunning-, melding- of registratieplicht geldt en anderzijds omdat in de huidige situatie niet-renderende kredietovereenkomsten kunnen worden beheerd door personen die over verschillende vergunningen (zoals voor het uitoefenen van het bedrijf van bank, kredietaanbieder dan wel bemiddelaar) kunnen beschikken.</w:t>
      </w:r>
    </w:p>
    <w:p w:rsidRPr="00404117" w:rsidR="00404117" w:rsidP="008D1814" w:rsidRDefault="00404117" w14:paraId="6260A98F" w14:textId="77777777">
      <w:pPr>
        <w:spacing w:after="160" w:line="276" w:lineRule="auto"/>
        <w:rPr>
          <w:rFonts w:ascii="Verdana" w:hAnsi="Verdana" w:eastAsia="Calibri"/>
          <w:i/>
          <w:iCs/>
          <w:kern w:val="2"/>
          <w:sz w:val="18"/>
          <w:szCs w:val="22"/>
          <w:lang w:eastAsia="en-US"/>
          <w14:ligatures w14:val="standardContextual"/>
        </w:rPr>
      </w:pPr>
      <w:r w:rsidRPr="00404117">
        <w:rPr>
          <w:rFonts w:ascii="Verdana" w:hAnsi="Verdana" w:eastAsia="Calibri"/>
          <w:i/>
          <w:iCs/>
          <w:kern w:val="2"/>
          <w:sz w:val="18"/>
          <w:szCs w:val="22"/>
          <w:lang w:eastAsia="en-US"/>
          <w14:ligatures w14:val="standardContextual"/>
        </w:rPr>
        <w:t>De leden van de NSC-fractie vragen of de regering signalen heeft ontvangen dat dit tot problemen heeft geleid.</w:t>
      </w:r>
    </w:p>
    <w:p w:rsidRPr="00404117" w:rsidR="00404117" w:rsidP="008D1814" w:rsidRDefault="00404117" w14:paraId="3155B15C" w14:textId="77777777">
      <w:pPr>
        <w:spacing w:after="160" w:line="276" w:lineRule="auto"/>
        <w:rPr>
          <w:rFonts w:ascii="Verdana" w:hAnsi="Verdana" w:eastAsia="Calibri"/>
          <w:kern w:val="2"/>
          <w:sz w:val="18"/>
          <w:szCs w:val="22"/>
          <w:lang w:eastAsia="en-US"/>
          <w14:ligatures w14:val="standardContextual"/>
        </w:rPr>
      </w:pPr>
      <w:r w:rsidRPr="00404117">
        <w:rPr>
          <w:rFonts w:ascii="Verdana" w:hAnsi="Verdana" w:eastAsia="Calibri"/>
          <w:kern w:val="2"/>
          <w:sz w:val="18"/>
          <w:szCs w:val="22"/>
          <w:lang w:eastAsia="en-US"/>
          <w14:ligatures w14:val="standardContextual"/>
        </w:rPr>
        <w:t xml:space="preserve">Ik heb geen signalen ontvangen dat het niet tijdig implementeren van de richtlijn </w:t>
      </w:r>
      <w:proofErr w:type="spellStart"/>
      <w:r w:rsidRPr="00404117">
        <w:rPr>
          <w:rFonts w:ascii="Verdana" w:hAnsi="Verdana" w:eastAsia="Calibri"/>
          <w:kern w:val="2"/>
          <w:sz w:val="18"/>
          <w:szCs w:val="22"/>
          <w:lang w:eastAsia="en-US"/>
          <w14:ligatures w14:val="standardContextual"/>
        </w:rPr>
        <w:t>kredietservicers</w:t>
      </w:r>
      <w:proofErr w:type="spellEnd"/>
      <w:r w:rsidRPr="00404117">
        <w:rPr>
          <w:rFonts w:ascii="Verdana" w:hAnsi="Verdana" w:eastAsia="Calibri"/>
          <w:kern w:val="2"/>
          <w:sz w:val="18"/>
          <w:szCs w:val="22"/>
          <w:lang w:eastAsia="en-US"/>
          <w14:ligatures w14:val="standardContextual"/>
        </w:rPr>
        <w:t xml:space="preserve"> en kredietkopers tot problemen heeft geleid voor personen die reeds vanuit Nederland niet-renderende kredietovereenkomsten in een andere lidstaat </w:t>
      </w:r>
      <w:proofErr w:type="spellStart"/>
      <w:r w:rsidRPr="00404117">
        <w:rPr>
          <w:rFonts w:ascii="Verdana" w:hAnsi="Verdana" w:eastAsia="Calibri"/>
          <w:kern w:val="2"/>
          <w:sz w:val="18"/>
          <w:szCs w:val="22"/>
          <w:lang w:eastAsia="en-US"/>
          <w14:ligatures w14:val="standardContextual"/>
        </w:rPr>
        <w:t>servicen</w:t>
      </w:r>
      <w:proofErr w:type="spellEnd"/>
      <w:r w:rsidRPr="00404117">
        <w:rPr>
          <w:rFonts w:ascii="Verdana" w:hAnsi="Verdana" w:eastAsia="Calibri"/>
          <w:kern w:val="2"/>
          <w:sz w:val="18"/>
          <w:szCs w:val="22"/>
          <w:lang w:eastAsia="en-US"/>
          <w14:ligatures w14:val="standardContextual"/>
        </w:rPr>
        <w:t xml:space="preserve"> of die het voornemen hebben om daartoe over te gaan.</w:t>
      </w:r>
    </w:p>
    <w:p w:rsidRPr="00404117" w:rsidR="00404117" w:rsidP="008D1814" w:rsidRDefault="00404117" w14:paraId="3F81EB2B" w14:textId="77777777">
      <w:pPr>
        <w:spacing w:after="160" w:line="276" w:lineRule="auto"/>
        <w:rPr>
          <w:rFonts w:ascii="Verdana" w:hAnsi="Verdana" w:eastAsia="Calibri"/>
          <w:i/>
          <w:iCs/>
          <w:kern w:val="2"/>
          <w:sz w:val="18"/>
          <w:szCs w:val="18"/>
          <w:lang w:eastAsia="en-US"/>
          <w14:ligatures w14:val="standardContextual"/>
        </w:rPr>
      </w:pPr>
    </w:p>
    <w:p w:rsidRPr="00404117" w:rsidR="00404117" w:rsidP="008D1814" w:rsidRDefault="00404117" w14:paraId="762794CE" w14:textId="77777777">
      <w:pPr>
        <w:spacing w:after="160" w:line="276" w:lineRule="auto"/>
        <w:rPr>
          <w:rFonts w:ascii="Verdana" w:hAnsi="Verdana" w:eastAsia="Calibri"/>
          <w:b/>
          <w:bCs/>
          <w:i/>
          <w:iCs/>
          <w:kern w:val="2"/>
          <w:sz w:val="18"/>
          <w:szCs w:val="18"/>
          <w:lang w:eastAsia="en-US"/>
          <w14:ligatures w14:val="standardContextual"/>
        </w:rPr>
      </w:pPr>
      <w:r w:rsidRPr="00404117">
        <w:rPr>
          <w:rFonts w:ascii="Verdana" w:hAnsi="Verdana" w:eastAsia="Calibri"/>
          <w:b/>
          <w:bCs/>
          <w:i/>
          <w:iCs/>
          <w:kern w:val="2"/>
          <w:sz w:val="18"/>
          <w:szCs w:val="18"/>
          <w:lang w:eastAsia="en-US"/>
          <w14:ligatures w14:val="standardContextual"/>
        </w:rPr>
        <w:t xml:space="preserve">§ 10. Openbare consultatie </w:t>
      </w:r>
    </w:p>
    <w:p w:rsidRPr="00404117" w:rsidR="00404117" w:rsidP="008D1814" w:rsidRDefault="00404117" w14:paraId="678487EA" w14:textId="77777777">
      <w:pPr>
        <w:spacing w:after="160" w:line="276" w:lineRule="auto"/>
        <w:rPr>
          <w:rFonts w:ascii="Verdana" w:hAnsi="Verdana" w:eastAsia="Calibri"/>
          <w:i/>
          <w:iCs/>
          <w:kern w:val="2"/>
          <w:sz w:val="18"/>
          <w:szCs w:val="18"/>
          <w:lang w:eastAsia="en-US"/>
          <w14:ligatures w14:val="standardContextual"/>
        </w:rPr>
      </w:pPr>
      <w:r w:rsidRPr="00404117">
        <w:rPr>
          <w:rFonts w:ascii="Verdana" w:hAnsi="Verdana" w:eastAsia="Calibri"/>
          <w:i/>
          <w:iCs/>
          <w:kern w:val="2"/>
          <w:sz w:val="18"/>
          <w:szCs w:val="18"/>
          <w:lang w:eastAsia="en-US"/>
          <w14:ligatures w14:val="standardContextual"/>
        </w:rPr>
        <w:t>Uit de openbare consultatie van het wetsvoorstel zijn behoorlijk wat reacties gekomen, zo constateren de leden van de VVD-fractie. In hoeverre vindt er een openbare consultatie plaats over de richtlijn zelf? Had een goede openbare consultatie over de richtlijn zelf een aantal van de onduidelijkheden kunnen voorkomen?</w:t>
      </w:r>
    </w:p>
    <w:p w:rsidRPr="00404117" w:rsidR="00404117" w:rsidP="008D1814" w:rsidRDefault="00404117" w14:paraId="703E152C" w14:textId="72648BA5">
      <w:pPr>
        <w:spacing w:after="160" w:line="276" w:lineRule="auto"/>
        <w:rPr>
          <w:rFonts w:ascii="Verdana" w:hAnsi="Verdana" w:eastAsia="Calibri"/>
          <w:kern w:val="2"/>
          <w:sz w:val="18"/>
          <w:szCs w:val="18"/>
          <w:lang w:eastAsia="en-US"/>
          <w14:ligatures w14:val="standardContextual"/>
        </w:rPr>
      </w:pPr>
      <w:r w:rsidRPr="00404117">
        <w:rPr>
          <w:rFonts w:ascii="Verdana" w:hAnsi="Verdana" w:eastAsia="Calibri"/>
          <w:kern w:val="2"/>
          <w:sz w:val="18"/>
          <w:szCs w:val="18"/>
          <w:lang w:eastAsia="en-US"/>
          <w14:ligatures w14:val="standardContextual"/>
        </w:rPr>
        <w:t>De richtlijn heeft het gebruikelijke proces doorlopen. Dat wil zeggen dat de Europese Commissie het richtlijnvoorstel voorzien heeft van een impact assessment en zij in dat kader ook stakeholders heeft geconsulteerd. De Europese Commissie heeft het richtlijnvoorstel in maart 2018 gepubliceerd. Het kabinet heeft het richtlijnvoorstel voorzien van een appreciatie middels het BNC-fiche en deze conform procedure met de Tweede Kamer gedeeld.</w:t>
      </w:r>
      <w:r w:rsidRPr="00404117">
        <w:rPr>
          <w:rFonts w:ascii="Verdana" w:hAnsi="Verdana" w:eastAsia="Calibri"/>
          <w:kern w:val="2"/>
          <w:sz w:val="18"/>
          <w:szCs w:val="18"/>
          <w:vertAlign w:val="superscript"/>
          <w:lang w:eastAsia="en-US"/>
          <w14:ligatures w14:val="standardContextual"/>
        </w:rPr>
        <w:footnoteReference w:id="22"/>
      </w:r>
      <w:r w:rsidRPr="00404117">
        <w:rPr>
          <w:rFonts w:ascii="Verdana" w:hAnsi="Verdana" w:eastAsia="Calibri"/>
          <w:kern w:val="2"/>
          <w:sz w:val="18"/>
          <w:szCs w:val="18"/>
          <w:lang w:eastAsia="en-US"/>
          <w14:ligatures w14:val="standardContextual"/>
        </w:rPr>
        <w:t xml:space="preserve"> Het is niet gebruikelijk dat het ministerie van Financiën daarnaast de door de Europese wetgever vastgestelde richtlijn zelf openbaar consulteert. Het conceptwetsvoorstel ter implementatie van de richtlijn is van 12 juni 2023 tot en met 28 juli 2023 openbaar geconsulteerd. Er zijn acht reacties ontvangen. De consultatiereacties zagen met name op de reikwijdte van de richtlijn en het wetsvoorstel, en de betekenis van het begrip “beheer” in de definitie van “</w:t>
      </w:r>
      <w:proofErr w:type="spellStart"/>
      <w:r w:rsidRPr="00404117">
        <w:rPr>
          <w:rFonts w:ascii="Verdana" w:hAnsi="Verdana" w:eastAsia="Calibri"/>
          <w:kern w:val="2"/>
          <w:sz w:val="18"/>
          <w:szCs w:val="18"/>
          <w:lang w:eastAsia="en-US"/>
          <w14:ligatures w14:val="standardContextual"/>
        </w:rPr>
        <w:t>servicen</w:t>
      </w:r>
      <w:proofErr w:type="spellEnd"/>
      <w:r w:rsidRPr="00404117">
        <w:rPr>
          <w:rFonts w:ascii="Verdana" w:hAnsi="Verdana" w:eastAsia="Calibri"/>
          <w:kern w:val="2"/>
          <w:sz w:val="18"/>
          <w:szCs w:val="18"/>
          <w:lang w:eastAsia="en-US"/>
          <w14:ligatures w14:val="standardContextual"/>
        </w:rPr>
        <w:t xml:space="preserve"> van een niet-renderende kredietovereenkomst”. In paragraaf 10 van de memorie van toelichting op het wetsvoorstel is op deze vragen gereageerd.</w:t>
      </w:r>
      <w:r w:rsidRPr="00404117">
        <w:rPr>
          <w:rFonts w:ascii="Verdana" w:hAnsi="Verdana" w:eastAsia="Calibri"/>
          <w:kern w:val="2"/>
          <w:sz w:val="18"/>
          <w:szCs w:val="18"/>
          <w:vertAlign w:val="superscript"/>
          <w:lang w:eastAsia="en-US"/>
          <w14:ligatures w14:val="standardContextual"/>
        </w:rPr>
        <w:footnoteReference w:id="23"/>
      </w:r>
      <w:r w:rsidRPr="00404117">
        <w:rPr>
          <w:rFonts w:ascii="Verdana" w:hAnsi="Verdana" w:eastAsia="Calibri"/>
          <w:kern w:val="2"/>
          <w:sz w:val="18"/>
          <w:szCs w:val="18"/>
          <w:lang w:eastAsia="en-US"/>
          <w14:ligatures w14:val="standardContextual"/>
        </w:rPr>
        <w:t xml:space="preserve"> </w:t>
      </w:r>
    </w:p>
    <w:p w:rsidRPr="00404117" w:rsidR="00404117" w:rsidP="008D1814" w:rsidRDefault="00404117" w14:paraId="18BF3B4A" w14:textId="77777777">
      <w:pPr>
        <w:spacing w:after="160" w:line="276" w:lineRule="auto"/>
        <w:rPr>
          <w:rFonts w:ascii="Verdana" w:hAnsi="Verdana" w:eastAsia="Calibri"/>
          <w:kern w:val="2"/>
          <w:sz w:val="18"/>
          <w:szCs w:val="18"/>
          <w:lang w:eastAsia="en-US"/>
          <w14:ligatures w14:val="standardContextual"/>
        </w:rPr>
      </w:pPr>
      <w:r w:rsidRPr="00404117">
        <w:rPr>
          <w:rFonts w:ascii="Verdana" w:hAnsi="Verdana" w:eastAsia="Calibri"/>
          <w:i/>
          <w:iCs/>
          <w:kern w:val="2"/>
          <w:sz w:val="18"/>
          <w:szCs w:val="18"/>
          <w:lang w:eastAsia="en-US"/>
          <w14:ligatures w14:val="standardContextual"/>
        </w:rPr>
        <w:t xml:space="preserve">Deze leden zien ook dat er in de consultatieronde een aantal suggesties is gedaan die buiten het bereik van de implementatieopdracht vallen. Daardoor wordt er verder niet op ingegaan. Gaat de regering daarover nog wel in gesprek met de betrokken partijen? Bijvoorbeeld als het gaat om de toegang tot de BRP door kredietservices en </w:t>
      </w:r>
      <w:proofErr w:type="spellStart"/>
      <w:r w:rsidRPr="00404117">
        <w:rPr>
          <w:rFonts w:ascii="Verdana" w:hAnsi="Verdana" w:eastAsia="Calibri"/>
          <w:i/>
          <w:iCs/>
          <w:kern w:val="2"/>
          <w:sz w:val="18"/>
          <w:szCs w:val="18"/>
          <w:lang w:eastAsia="en-US"/>
          <w14:ligatures w14:val="standardContextual"/>
        </w:rPr>
        <w:t>kredietserviceaanbieders</w:t>
      </w:r>
      <w:proofErr w:type="spellEnd"/>
      <w:r w:rsidRPr="00404117">
        <w:rPr>
          <w:rFonts w:ascii="Verdana" w:hAnsi="Verdana" w:eastAsia="Calibri"/>
          <w:i/>
          <w:iCs/>
          <w:kern w:val="2"/>
          <w:sz w:val="18"/>
          <w:szCs w:val="18"/>
          <w:lang w:eastAsia="en-US"/>
          <w14:ligatures w14:val="standardContextual"/>
        </w:rPr>
        <w:t xml:space="preserve"> voor de juiste vaststelling van het adres van een kredietnemer.</w:t>
      </w:r>
    </w:p>
    <w:p w:rsidR="006510C9" w:rsidP="008D1814" w:rsidRDefault="006510C9" w14:paraId="65D8785C" w14:textId="416960B6">
      <w:pPr>
        <w:spacing w:line="276" w:lineRule="auto"/>
        <w:rPr>
          <w:rFonts w:ascii="Verdana" w:hAnsi="Verdana"/>
          <w:sz w:val="18"/>
          <w:szCs w:val="18"/>
        </w:rPr>
      </w:pPr>
      <w:r>
        <w:rPr>
          <w:rFonts w:ascii="Verdana" w:hAnsi="Verdana"/>
          <w:sz w:val="18"/>
          <w:szCs w:val="18"/>
        </w:rPr>
        <w:t xml:space="preserve">Het voorstel van wet strekt enkel tot implementatie van de richtlijn en de toegang tot de basisregistratie personen (BRP) maakt daar geen onderdeel van uit. Het (eventueel) verlenen van toegang van </w:t>
      </w:r>
      <w:proofErr w:type="spellStart"/>
      <w:r>
        <w:rPr>
          <w:rFonts w:ascii="Verdana" w:hAnsi="Verdana"/>
          <w:sz w:val="18"/>
          <w:szCs w:val="18"/>
        </w:rPr>
        <w:t>kredietservicers</w:t>
      </w:r>
      <w:proofErr w:type="spellEnd"/>
      <w:r>
        <w:rPr>
          <w:rFonts w:ascii="Verdana" w:hAnsi="Verdana"/>
          <w:sz w:val="18"/>
          <w:szCs w:val="18"/>
        </w:rPr>
        <w:t xml:space="preserve"> of </w:t>
      </w:r>
      <w:proofErr w:type="spellStart"/>
      <w:r>
        <w:rPr>
          <w:rFonts w:ascii="Verdana" w:hAnsi="Verdana"/>
          <w:sz w:val="18"/>
          <w:szCs w:val="18"/>
        </w:rPr>
        <w:t>kredietservicingaanbieders</w:t>
      </w:r>
      <w:proofErr w:type="spellEnd"/>
      <w:r>
        <w:rPr>
          <w:rFonts w:ascii="Verdana" w:hAnsi="Verdana"/>
          <w:sz w:val="18"/>
          <w:szCs w:val="18"/>
        </w:rPr>
        <w:t xml:space="preserve"> tot de BRP kan daarom niet in het kader van de implementatie van deze richtlijn worden meegenomen. Ik zie overigens ook geen aanleiding om die toegang op een andere wijze mogelijk te maken en daarover met betrokkenen in gesprek te gaan nu vergelijkbare marktpartijen zoals incassobureaus </w:t>
      </w:r>
      <w:r w:rsidR="001E6427">
        <w:rPr>
          <w:rFonts w:ascii="Verdana" w:hAnsi="Verdana"/>
          <w:sz w:val="18"/>
          <w:szCs w:val="18"/>
        </w:rPr>
        <w:t xml:space="preserve">ook </w:t>
      </w:r>
      <w:r>
        <w:rPr>
          <w:rFonts w:ascii="Verdana" w:hAnsi="Verdana"/>
          <w:sz w:val="18"/>
          <w:szCs w:val="18"/>
        </w:rPr>
        <w:t>geen toegang tot de BRP hebben.</w:t>
      </w:r>
    </w:p>
    <w:p w:rsidRPr="00404117" w:rsidR="00404117" w:rsidP="008D1814" w:rsidRDefault="00404117" w14:paraId="1BB75860" w14:textId="77777777">
      <w:pPr>
        <w:spacing w:after="160" w:line="276" w:lineRule="auto"/>
        <w:rPr>
          <w:rFonts w:ascii="Verdana" w:hAnsi="Verdana" w:eastAsia="Calibri"/>
          <w:kern w:val="2"/>
          <w:sz w:val="18"/>
          <w:szCs w:val="18"/>
          <w:lang w:eastAsia="en-US"/>
          <w14:ligatures w14:val="standardContextual"/>
        </w:rPr>
      </w:pPr>
    </w:p>
    <w:p w:rsidRPr="00404117" w:rsidR="00404117" w:rsidP="008D1814" w:rsidRDefault="00404117" w14:paraId="63C60941" w14:textId="77777777">
      <w:pPr>
        <w:spacing w:after="160" w:line="276" w:lineRule="auto"/>
        <w:rPr>
          <w:rFonts w:ascii="Verdana" w:hAnsi="Verdana" w:eastAsia="Calibri"/>
          <w:kern w:val="2"/>
          <w:sz w:val="18"/>
          <w:szCs w:val="22"/>
          <w:lang w:eastAsia="en-US"/>
          <w14:ligatures w14:val="standardContextual"/>
        </w:rPr>
      </w:pPr>
    </w:p>
    <w:p w:rsidR="00404117" w:rsidP="008D1814" w:rsidRDefault="00404117" w14:paraId="577F764F" w14:textId="77777777">
      <w:pPr>
        <w:widowControl w:val="0"/>
        <w:tabs>
          <w:tab w:val="num" w:pos="720"/>
        </w:tabs>
        <w:spacing w:line="276" w:lineRule="auto"/>
        <w:rPr>
          <w:rFonts w:ascii="Verdana" w:hAnsi="Verdana" w:cs="Arial"/>
          <w:sz w:val="18"/>
          <w:szCs w:val="18"/>
        </w:rPr>
      </w:pPr>
    </w:p>
    <w:p w:rsidR="00DB522E" w:rsidP="008D1814" w:rsidRDefault="00DB522E" w14:paraId="6F5F6DE3" w14:textId="77777777">
      <w:pPr>
        <w:widowControl w:val="0"/>
        <w:tabs>
          <w:tab w:val="num" w:pos="720"/>
        </w:tabs>
        <w:spacing w:line="276" w:lineRule="auto"/>
        <w:rPr>
          <w:rFonts w:ascii="Verdana" w:hAnsi="Verdana" w:cs="Arial"/>
          <w:sz w:val="18"/>
          <w:szCs w:val="18"/>
        </w:rPr>
      </w:pPr>
    </w:p>
    <w:p w:rsidR="00DB522E" w:rsidP="008D1814" w:rsidRDefault="00DB522E" w14:paraId="3B079F8A" w14:textId="77777777">
      <w:pPr>
        <w:widowControl w:val="0"/>
        <w:tabs>
          <w:tab w:val="num" w:pos="720"/>
        </w:tabs>
        <w:spacing w:line="276" w:lineRule="auto"/>
        <w:rPr>
          <w:rFonts w:ascii="Verdana" w:hAnsi="Verdana" w:cs="Arial"/>
          <w:sz w:val="18"/>
          <w:szCs w:val="18"/>
        </w:rPr>
      </w:pPr>
    </w:p>
    <w:p w:rsidRPr="007021E8" w:rsidR="00DB522E" w:rsidP="008D1814" w:rsidRDefault="00DB522E" w14:paraId="2E805790" w14:textId="77777777">
      <w:pPr>
        <w:widowControl w:val="0"/>
        <w:tabs>
          <w:tab w:val="num" w:pos="720"/>
        </w:tabs>
        <w:spacing w:line="276" w:lineRule="auto"/>
        <w:rPr>
          <w:rFonts w:ascii="Verdana" w:hAnsi="Verdana" w:cs="Arial"/>
          <w:sz w:val="18"/>
          <w:szCs w:val="18"/>
        </w:rPr>
      </w:pPr>
    </w:p>
    <w:p w:rsidR="00A30F6E" w:rsidP="008D1814" w:rsidRDefault="00EE0056" w14:paraId="0CABEE68" w14:textId="77777777">
      <w:pPr>
        <w:widowControl w:val="0"/>
        <w:tabs>
          <w:tab w:val="num" w:pos="720"/>
        </w:tabs>
        <w:spacing w:line="276" w:lineRule="auto"/>
        <w:rPr>
          <w:rFonts w:ascii="Verdana" w:hAnsi="Verdana" w:cs="Arial"/>
          <w:sz w:val="18"/>
          <w:szCs w:val="18"/>
        </w:rPr>
      </w:pPr>
      <w:r w:rsidRPr="007021E8">
        <w:rPr>
          <w:rFonts w:ascii="Verdana" w:hAnsi="Verdana" w:cs="Arial"/>
          <w:sz w:val="18"/>
          <w:szCs w:val="18"/>
        </w:rPr>
        <w:t>De Minister van Financiën,</w:t>
      </w:r>
    </w:p>
    <w:p w:rsidR="006510C9" w:rsidP="008D1814" w:rsidRDefault="006510C9" w14:paraId="52940AF2" w14:textId="77777777">
      <w:pPr>
        <w:widowControl w:val="0"/>
        <w:tabs>
          <w:tab w:val="num" w:pos="720"/>
        </w:tabs>
        <w:spacing w:line="276" w:lineRule="auto"/>
        <w:rPr>
          <w:rFonts w:ascii="Verdana" w:hAnsi="Verdana" w:cs="Arial"/>
          <w:sz w:val="18"/>
          <w:szCs w:val="18"/>
        </w:rPr>
      </w:pPr>
    </w:p>
    <w:p w:rsidR="006510C9" w:rsidP="008D1814" w:rsidRDefault="006510C9" w14:paraId="5ED03691" w14:textId="77777777">
      <w:pPr>
        <w:widowControl w:val="0"/>
        <w:tabs>
          <w:tab w:val="num" w:pos="720"/>
        </w:tabs>
        <w:spacing w:line="276" w:lineRule="auto"/>
        <w:rPr>
          <w:rFonts w:ascii="Verdana" w:hAnsi="Verdana" w:cs="Arial"/>
          <w:sz w:val="18"/>
          <w:szCs w:val="18"/>
        </w:rPr>
      </w:pPr>
    </w:p>
    <w:p w:rsidR="006510C9" w:rsidP="008D1814" w:rsidRDefault="006510C9" w14:paraId="0EE38264" w14:textId="77777777">
      <w:pPr>
        <w:widowControl w:val="0"/>
        <w:tabs>
          <w:tab w:val="num" w:pos="720"/>
        </w:tabs>
        <w:spacing w:line="276" w:lineRule="auto"/>
        <w:rPr>
          <w:rFonts w:ascii="Verdana" w:hAnsi="Verdana" w:cs="Arial"/>
          <w:sz w:val="18"/>
          <w:szCs w:val="18"/>
        </w:rPr>
      </w:pPr>
    </w:p>
    <w:p w:rsidR="006510C9" w:rsidP="008D1814" w:rsidRDefault="006510C9" w14:paraId="3802BC29" w14:textId="77777777">
      <w:pPr>
        <w:widowControl w:val="0"/>
        <w:tabs>
          <w:tab w:val="num" w:pos="720"/>
        </w:tabs>
        <w:spacing w:line="276" w:lineRule="auto"/>
        <w:rPr>
          <w:rFonts w:ascii="Verdana" w:hAnsi="Verdana" w:cs="Arial"/>
          <w:sz w:val="18"/>
          <w:szCs w:val="18"/>
        </w:rPr>
      </w:pPr>
    </w:p>
    <w:p w:rsidR="006510C9" w:rsidP="008D1814" w:rsidRDefault="006510C9" w14:paraId="0553245F" w14:textId="77777777">
      <w:pPr>
        <w:widowControl w:val="0"/>
        <w:tabs>
          <w:tab w:val="num" w:pos="720"/>
        </w:tabs>
        <w:spacing w:line="276" w:lineRule="auto"/>
        <w:rPr>
          <w:rFonts w:ascii="Verdana" w:hAnsi="Verdana" w:cs="Arial"/>
          <w:sz w:val="18"/>
          <w:szCs w:val="18"/>
        </w:rPr>
      </w:pPr>
    </w:p>
    <w:p w:rsidRPr="007021E8" w:rsidR="006510C9" w:rsidP="008D1814" w:rsidRDefault="006510C9" w14:paraId="5D3FEA60" w14:textId="77E18244">
      <w:pPr>
        <w:widowControl w:val="0"/>
        <w:tabs>
          <w:tab w:val="num" w:pos="720"/>
        </w:tabs>
        <w:spacing w:line="276" w:lineRule="auto"/>
        <w:rPr>
          <w:rFonts w:ascii="Verdana" w:hAnsi="Verdana" w:cs="Arial"/>
          <w:sz w:val="18"/>
          <w:szCs w:val="18"/>
        </w:rPr>
      </w:pPr>
      <w:r>
        <w:rPr>
          <w:rFonts w:ascii="Verdana" w:hAnsi="Verdana" w:cs="Arial"/>
          <w:sz w:val="18"/>
          <w:szCs w:val="18"/>
        </w:rPr>
        <w:t>E. Heinen</w:t>
      </w:r>
    </w:p>
    <w:sectPr w:rsidRPr="007021E8" w:rsidR="006510C9" w:rsidSect="00EE0056">
      <w:footerReference w:type="default" r:id="rId7"/>
      <w:pgSz w:w="11906" w:h="16838"/>
      <w:pgMar w:top="1418" w:right="1418" w:bottom="1418" w:left="3238"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FC483" w14:textId="77777777" w:rsidR="00F5098E" w:rsidRDefault="00F5098E" w:rsidP="00CA7D6D">
      <w:r>
        <w:separator/>
      </w:r>
    </w:p>
  </w:endnote>
  <w:endnote w:type="continuationSeparator" w:id="0">
    <w:p w14:paraId="2083D10F" w14:textId="77777777" w:rsidR="00F5098E" w:rsidRDefault="00F5098E" w:rsidP="00CA7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Italic">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3408E" w14:textId="77777777" w:rsidR="00EA444F" w:rsidRPr="00DB6230" w:rsidRDefault="009A45D2">
    <w:pPr>
      <w:pStyle w:val="Voettekst"/>
      <w:jc w:val="center"/>
      <w:rPr>
        <w:rFonts w:ascii="Verdana" w:hAnsi="Verdana"/>
        <w:sz w:val="18"/>
      </w:rPr>
    </w:pPr>
    <w:r w:rsidRPr="00DB6230">
      <w:rPr>
        <w:rFonts w:ascii="Verdana" w:hAnsi="Verdana"/>
        <w:sz w:val="18"/>
      </w:rPr>
      <w:fldChar w:fldCharType="begin"/>
    </w:r>
    <w:r w:rsidR="00EA444F" w:rsidRPr="00DB6230">
      <w:rPr>
        <w:rFonts w:ascii="Verdana" w:hAnsi="Verdana"/>
        <w:sz w:val="18"/>
      </w:rPr>
      <w:instrText xml:space="preserve"> PAGE   \* MERGEFORMAT </w:instrText>
    </w:r>
    <w:r w:rsidRPr="00DB6230">
      <w:rPr>
        <w:rFonts w:ascii="Verdana" w:hAnsi="Verdana"/>
        <w:sz w:val="18"/>
      </w:rPr>
      <w:fldChar w:fldCharType="separate"/>
    </w:r>
    <w:r w:rsidR="00E4606A">
      <w:rPr>
        <w:rFonts w:ascii="Verdana" w:hAnsi="Verdana"/>
        <w:noProof/>
        <w:sz w:val="18"/>
      </w:rPr>
      <w:t>1</w:t>
    </w:r>
    <w:r w:rsidRPr="00DB6230">
      <w:rPr>
        <w:rFonts w:ascii="Verdana" w:hAnsi="Verdana"/>
        <w:sz w:val="18"/>
      </w:rPr>
      <w:fldChar w:fldCharType="end"/>
    </w:r>
  </w:p>
  <w:p w14:paraId="0F907343" w14:textId="77777777" w:rsidR="00EA444F" w:rsidRDefault="00EA444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5BD03" w14:textId="77777777" w:rsidR="00F5098E" w:rsidRDefault="00F5098E" w:rsidP="00CA7D6D">
      <w:r>
        <w:separator/>
      </w:r>
    </w:p>
  </w:footnote>
  <w:footnote w:type="continuationSeparator" w:id="0">
    <w:p w14:paraId="426908F9" w14:textId="77777777" w:rsidR="00F5098E" w:rsidRDefault="00F5098E" w:rsidP="00CA7D6D">
      <w:r>
        <w:continuationSeparator/>
      </w:r>
    </w:p>
  </w:footnote>
  <w:footnote w:id="1">
    <w:p w14:paraId="3B0AE14E" w14:textId="77777777" w:rsidR="004E1F7D" w:rsidRPr="00F50BE6" w:rsidRDefault="004E1F7D" w:rsidP="004E1F7D">
      <w:pPr>
        <w:pStyle w:val="Voetnoottekst"/>
        <w:rPr>
          <w:rFonts w:ascii="Verdana" w:hAnsi="Verdana"/>
          <w:sz w:val="16"/>
          <w:szCs w:val="16"/>
        </w:rPr>
      </w:pPr>
      <w:r w:rsidRPr="00F50BE6">
        <w:rPr>
          <w:rStyle w:val="Voetnootmarkering"/>
          <w:rFonts w:ascii="Verdana" w:hAnsi="Verdana"/>
          <w:sz w:val="16"/>
          <w:szCs w:val="16"/>
        </w:rPr>
        <w:footnoteRef/>
      </w:r>
      <w:r w:rsidRPr="00F50BE6">
        <w:rPr>
          <w:rFonts w:ascii="Verdana" w:hAnsi="Verdana"/>
          <w:sz w:val="16"/>
          <w:szCs w:val="16"/>
        </w:rPr>
        <w:t xml:space="preserve"> https://eur-lex.europa.eu/legal-content/NL/TXT/PDF/?uri=CELEX:52025DC0047&amp;qid=1740428512710</w:t>
      </w:r>
    </w:p>
  </w:footnote>
  <w:footnote w:id="2">
    <w:p w14:paraId="63007724" w14:textId="0311361F" w:rsidR="008F4C95" w:rsidRPr="004E1F7D" w:rsidRDefault="008F4C95">
      <w:pPr>
        <w:pStyle w:val="Voetnoottekst"/>
        <w:rPr>
          <w:rFonts w:ascii="Verdana" w:hAnsi="Verdana"/>
          <w:sz w:val="16"/>
          <w:szCs w:val="16"/>
        </w:rPr>
      </w:pPr>
      <w:r w:rsidRPr="004E1F7D">
        <w:rPr>
          <w:rStyle w:val="Voetnootmarkering"/>
          <w:rFonts w:ascii="Verdana" w:hAnsi="Verdana"/>
          <w:sz w:val="16"/>
          <w:szCs w:val="16"/>
        </w:rPr>
        <w:footnoteRef/>
      </w:r>
      <w:r w:rsidRPr="004E1F7D">
        <w:rPr>
          <w:rFonts w:ascii="Verdana" w:hAnsi="Verdana"/>
          <w:sz w:val="16"/>
          <w:szCs w:val="16"/>
        </w:rPr>
        <w:t xml:space="preserve"> </w:t>
      </w:r>
      <w:r>
        <w:rPr>
          <w:rFonts w:ascii="Verdana" w:hAnsi="Verdana"/>
          <w:sz w:val="16"/>
          <w:szCs w:val="16"/>
        </w:rPr>
        <w:t>Kamerstukken II</w:t>
      </w:r>
      <w:r w:rsidRPr="008F4C95">
        <w:rPr>
          <w:rFonts w:ascii="Verdana" w:hAnsi="Verdana"/>
          <w:sz w:val="16"/>
          <w:szCs w:val="16"/>
        </w:rPr>
        <w:t>, 2024–2025, 21 109, nr. 26</w:t>
      </w:r>
    </w:p>
  </w:footnote>
  <w:footnote w:id="3">
    <w:p w14:paraId="46AA7F7D" w14:textId="407EDCF8" w:rsidR="00DC0456" w:rsidRPr="00B7506B" w:rsidRDefault="00DC0456">
      <w:pPr>
        <w:pStyle w:val="Voetnoottekst"/>
        <w:rPr>
          <w:rFonts w:ascii="Verdana" w:hAnsi="Verdana"/>
          <w:sz w:val="16"/>
          <w:szCs w:val="16"/>
        </w:rPr>
      </w:pPr>
      <w:r w:rsidRPr="00B7506B">
        <w:rPr>
          <w:rStyle w:val="Voetnootmarkering"/>
          <w:rFonts w:ascii="Verdana" w:hAnsi="Verdana"/>
          <w:sz w:val="16"/>
          <w:szCs w:val="16"/>
        </w:rPr>
        <w:footnoteRef/>
      </w:r>
      <w:r w:rsidRPr="00B7506B">
        <w:rPr>
          <w:rFonts w:ascii="Verdana" w:hAnsi="Verdana"/>
          <w:sz w:val="16"/>
          <w:szCs w:val="16"/>
        </w:rPr>
        <w:t xml:space="preserve"> https://ec.europa.eu/commission/presscorner/api/files/document/print/ en/ip_25_405/IP_25_405_EN.pdf</w:t>
      </w:r>
    </w:p>
  </w:footnote>
  <w:footnote w:id="4">
    <w:p w14:paraId="116022FA" w14:textId="77777777" w:rsidR="00404117" w:rsidRPr="00D74158" w:rsidRDefault="00404117" w:rsidP="00404117">
      <w:pPr>
        <w:pStyle w:val="Voetnoottekst"/>
        <w:rPr>
          <w:rFonts w:ascii="Verdana" w:hAnsi="Verdana"/>
          <w:sz w:val="16"/>
          <w:szCs w:val="16"/>
        </w:rPr>
      </w:pPr>
      <w:r w:rsidRPr="00D74158">
        <w:rPr>
          <w:rStyle w:val="Voetnootmarkering"/>
          <w:rFonts w:ascii="Verdana" w:hAnsi="Verdana"/>
          <w:sz w:val="16"/>
          <w:szCs w:val="16"/>
        </w:rPr>
        <w:footnoteRef/>
      </w:r>
      <w:r w:rsidRPr="00D74158">
        <w:rPr>
          <w:rFonts w:ascii="Verdana" w:hAnsi="Verdana"/>
          <w:sz w:val="16"/>
          <w:szCs w:val="16"/>
        </w:rPr>
        <w:t xml:space="preserve"> Zie het ontwerp Implementatiebesluit richtlijn </w:t>
      </w:r>
      <w:proofErr w:type="spellStart"/>
      <w:r w:rsidRPr="00D74158">
        <w:rPr>
          <w:rFonts w:ascii="Verdana" w:hAnsi="Verdana"/>
          <w:sz w:val="16"/>
          <w:szCs w:val="16"/>
        </w:rPr>
        <w:t>kredietservicers</w:t>
      </w:r>
      <w:proofErr w:type="spellEnd"/>
      <w:r w:rsidRPr="00D74158">
        <w:rPr>
          <w:rFonts w:ascii="Verdana" w:hAnsi="Verdana"/>
          <w:sz w:val="16"/>
          <w:szCs w:val="16"/>
        </w:rPr>
        <w:t xml:space="preserve"> en kredietkopers op https://www.internetconsultatie.nl/besluitkredietservicers/b1.</w:t>
      </w:r>
    </w:p>
  </w:footnote>
  <w:footnote w:id="5">
    <w:p w14:paraId="302A8592" w14:textId="77777777" w:rsidR="00404117" w:rsidRPr="00D74158" w:rsidRDefault="00404117" w:rsidP="00404117">
      <w:pPr>
        <w:pStyle w:val="Voetnoottekst"/>
        <w:rPr>
          <w:rFonts w:ascii="Verdana" w:hAnsi="Verdana"/>
          <w:sz w:val="16"/>
          <w:szCs w:val="16"/>
        </w:rPr>
      </w:pPr>
      <w:r w:rsidRPr="00D74158">
        <w:rPr>
          <w:rStyle w:val="Voetnootmarkering"/>
          <w:rFonts w:ascii="Verdana" w:hAnsi="Verdana"/>
          <w:sz w:val="16"/>
          <w:szCs w:val="16"/>
        </w:rPr>
        <w:footnoteRef/>
      </w:r>
      <w:r w:rsidRPr="00D74158">
        <w:rPr>
          <w:rFonts w:ascii="Verdana" w:hAnsi="Verdana"/>
          <w:sz w:val="16"/>
          <w:szCs w:val="16"/>
        </w:rPr>
        <w:t xml:space="preserve"> Zie het BNC-fiche bij het richtlijnvoorstel, Kamerstukken II 2017/18, 22112, nr. 2550.</w:t>
      </w:r>
    </w:p>
  </w:footnote>
  <w:footnote w:id="6">
    <w:p w14:paraId="6A530715" w14:textId="77777777" w:rsidR="00404117" w:rsidRPr="00D74158" w:rsidRDefault="00404117" w:rsidP="00404117">
      <w:pPr>
        <w:pStyle w:val="Voetnoottekst"/>
        <w:rPr>
          <w:rFonts w:ascii="Verdana" w:hAnsi="Verdana"/>
          <w:sz w:val="16"/>
          <w:szCs w:val="16"/>
        </w:rPr>
      </w:pPr>
      <w:r w:rsidRPr="00D74158">
        <w:rPr>
          <w:rStyle w:val="Voetnootmarkering"/>
          <w:rFonts w:ascii="Verdana" w:hAnsi="Verdana"/>
          <w:sz w:val="16"/>
          <w:szCs w:val="16"/>
        </w:rPr>
        <w:footnoteRef/>
      </w:r>
      <w:r w:rsidRPr="00D74158">
        <w:rPr>
          <w:rFonts w:ascii="Verdana" w:hAnsi="Verdana"/>
          <w:sz w:val="16"/>
          <w:szCs w:val="16"/>
        </w:rPr>
        <w:t xml:space="preserve"> Impact assessment bij het richtlijnvoorstel, SWD(2018) 75 </w:t>
      </w:r>
      <w:proofErr w:type="spellStart"/>
      <w:r w:rsidRPr="00D74158">
        <w:rPr>
          <w:rFonts w:ascii="Verdana" w:hAnsi="Verdana"/>
          <w:sz w:val="16"/>
          <w:szCs w:val="16"/>
        </w:rPr>
        <w:t>final</w:t>
      </w:r>
      <w:proofErr w:type="spellEnd"/>
      <w:r w:rsidRPr="00D74158">
        <w:rPr>
          <w:rFonts w:ascii="Verdana" w:hAnsi="Verdana"/>
          <w:sz w:val="16"/>
          <w:szCs w:val="16"/>
        </w:rPr>
        <w:t xml:space="preserve">, p. 5. </w:t>
      </w:r>
    </w:p>
  </w:footnote>
  <w:footnote w:id="7">
    <w:p w14:paraId="0E4390B1" w14:textId="77777777" w:rsidR="00404117" w:rsidRPr="00A51336" w:rsidRDefault="00404117" w:rsidP="00404117">
      <w:pPr>
        <w:pStyle w:val="Voetnoottekst"/>
        <w:rPr>
          <w:sz w:val="16"/>
          <w:szCs w:val="16"/>
        </w:rPr>
      </w:pPr>
      <w:r w:rsidRPr="00D74158">
        <w:rPr>
          <w:rStyle w:val="Voetnootmarkering"/>
          <w:rFonts w:ascii="Verdana" w:hAnsi="Verdana"/>
          <w:sz w:val="16"/>
          <w:szCs w:val="16"/>
        </w:rPr>
        <w:footnoteRef/>
      </w:r>
      <w:r w:rsidRPr="00D74158">
        <w:rPr>
          <w:rFonts w:ascii="Verdana" w:hAnsi="Verdana"/>
          <w:sz w:val="16"/>
          <w:szCs w:val="16"/>
        </w:rPr>
        <w:t xml:space="preserve"> Impact assessment bij het richtlijnvoorstel, SWD(2018) 75 </w:t>
      </w:r>
      <w:proofErr w:type="spellStart"/>
      <w:r w:rsidRPr="00D74158">
        <w:rPr>
          <w:rFonts w:ascii="Verdana" w:hAnsi="Verdana"/>
          <w:sz w:val="16"/>
          <w:szCs w:val="16"/>
        </w:rPr>
        <w:t>final</w:t>
      </w:r>
      <w:proofErr w:type="spellEnd"/>
      <w:r w:rsidRPr="00D74158">
        <w:rPr>
          <w:rFonts w:ascii="Verdana" w:hAnsi="Verdana"/>
          <w:sz w:val="16"/>
          <w:szCs w:val="16"/>
        </w:rPr>
        <w:t>, p. 13-14.</w:t>
      </w:r>
      <w:r w:rsidRPr="00A51336">
        <w:rPr>
          <w:sz w:val="16"/>
          <w:szCs w:val="16"/>
        </w:rPr>
        <w:t xml:space="preserve"> </w:t>
      </w:r>
    </w:p>
  </w:footnote>
  <w:footnote w:id="8">
    <w:p w14:paraId="51128488" w14:textId="0580C657" w:rsidR="00404117" w:rsidRPr="00244A77" w:rsidRDefault="00404117" w:rsidP="00A64522">
      <w:pPr>
        <w:pStyle w:val="Voetnoottekst"/>
        <w:rPr>
          <w:rFonts w:ascii="Verdana" w:hAnsi="Verdana"/>
          <w:sz w:val="16"/>
          <w:szCs w:val="16"/>
        </w:rPr>
      </w:pPr>
      <w:r w:rsidRPr="00244A77">
        <w:rPr>
          <w:rStyle w:val="Voetnootmarkering"/>
          <w:rFonts w:ascii="Verdana" w:hAnsi="Verdana"/>
          <w:sz w:val="16"/>
          <w:szCs w:val="16"/>
        </w:rPr>
        <w:footnoteRef/>
      </w:r>
      <w:r w:rsidRPr="00244A77">
        <w:rPr>
          <w:rFonts w:ascii="Verdana" w:hAnsi="Verdana"/>
          <w:sz w:val="16"/>
          <w:szCs w:val="16"/>
        </w:rPr>
        <w:t xml:space="preserve"> Non-</w:t>
      </w:r>
      <w:proofErr w:type="spellStart"/>
      <w:r w:rsidRPr="00244A77">
        <w:rPr>
          <w:rFonts w:ascii="Verdana" w:hAnsi="Verdana"/>
          <w:sz w:val="16"/>
          <w:szCs w:val="16"/>
        </w:rPr>
        <w:t>performing</w:t>
      </w:r>
      <w:proofErr w:type="spellEnd"/>
      <w:r w:rsidRPr="00244A77">
        <w:rPr>
          <w:rFonts w:ascii="Verdana" w:hAnsi="Verdana"/>
          <w:sz w:val="16"/>
          <w:szCs w:val="16"/>
        </w:rPr>
        <w:t xml:space="preserve"> </w:t>
      </w:r>
      <w:proofErr w:type="spellStart"/>
      <w:r w:rsidRPr="00244A77">
        <w:rPr>
          <w:rFonts w:ascii="Verdana" w:hAnsi="Verdana"/>
          <w:sz w:val="16"/>
          <w:szCs w:val="16"/>
        </w:rPr>
        <w:t>loans</w:t>
      </w:r>
      <w:proofErr w:type="spellEnd"/>
      <w:r w:rsidRPr="00244A77">
        <w:rPr>
          <w:rFonts w:ascii="Verdana" w:hAnsi="Verdana"/>
          <w:sz w:val="16"/>
          <w:szCs w:val="16"/>
        </w:rPr>
        <w:t xml:space="preserve">, European </w:t>
      </w:r>
      <w:proofErr w:type="spellStart"/>
      <w:r w:rsidRPr="00244A77">
        <w:rPr>
          <w:rFonts w:ascii="Verdana" w:hAnsi="Verdana"/>
          <w:sz w:val="16"/>
          <w:szCs w:val="16"/>
        </w:rPr>
        <w:t>Commission</w:t>
      </w:r>
      <w:proofErr w:type="spellEnd"/>
      <w:r w:rsidRPr="00244A77">
        <w:rPr>
          <w:rFonts w:ascii="Verdana" w:hAnsi="Verdana"/>
          <w:sz w:val="16"/>
          <w:szCs w:val="16"/>
        </w:rPr>
        <w:t>.</w:t>
      </w:r>
      <w:r w:rsidR="00A64522">
        <w:rPr>
          <w:rFonts w:ascii="Verdana" w:hAnsi="Verdana"/>
          <w:sz w:val="16"/>
          <w:szCs w:val="16"/>
        </w:rPr>
        <w:t xml:space="preserve"> </w:t>
      </w:r>
      <w:r w:rsidR="00A64522" w:rsidRPr="00A64522">
        <w:rPr>
          <w:rFonts w:ascii="Verdana" w:hAnsi="Verdana"/>
          <w:sz w:val="16"/>
          <w:szCs w:val="16"/>
        </w:rPr>
        <w:t>https://finance.ec.europa.eu/news/non-performing-loans-2025-02-14_en</w:t>
      </w:r>
      <w:r w:rsidR="00A64522">
        <w:t>.</w:t>
      </w:r>
      <w:r w:rsidR="00A64522" w:rsidRPr="00244A77" w:rsidDel="00A64522">
        <w:rPr>
          <w:rFonts w:ascii="Verdana" w:hAnsi="Verdana"/>
          <w:sz w:val="16"/>
          <w:szCs w:val="16"/>
        </w:rPr>
        <w:t xml:space="preserve"> </w:t>
      </w:r>
    </w:p>
  </w:footnote>
  <w:footnote w:id="9">
    <w:p w14:paraId="4E733204" w14:textId="77777777" w:rsidR="00404117" w:rsidRPr="00244A77" w:rsidRDefault="00404117" w:rsidP="00404117">
      <w:pPr>
        <w:pStyle w:val="Voetnoottekst"/>
        <w:rPr>
          <w:rFonts w:ascii="Verdana" w:hAnsi="Verdana"/>
          <w:sz w:val="16"/>
          <w:szCs w:val="16"/>
        </w:rPr>
      </w:pPr>
      <w:r w:rsidRPr="00244A77">
        <w:rPr>
          <w:rStyle w:val="Voetnootmarkering"/>
          <w:rFonts w:ascii="Verdana" w:hAnsi="Verdana"/>
          <w:sz w:val="16"/>
          <w:szCs w:val="16"/>
        </w:rPr>
        <w:footnoteRef/>
      </w:r>
      <w:r w:rsidRPr="00244A77">
        <w:rPr>
          <w:rFonts w:ascii="Verdana" w:hAnsi="Verdana"/>
          <w:sz w:val="16"/>
          <w:szCs w:val="16"/>
        </w:rPr>
        <w:t xml:space="preserve"> Data over het derde kwartaal 2024, bron: ECB, https://www.bankingsupervision.europa.eu/press/pr/date/2024/html/ssm.pr241220~07001f3345.en.html</w:t>
      </w:r>
    </w:p>
  </w:footnote>
  <w:footnote w:id="10">
    <w:p w14:paraId="3452B0C6" w14:textId="77777777" w:rsidR="00404117" w:rsidRPr="00244A77" w:rsidRDefault="00404117" w:rsidP="00404117">
      <w:pPr>
        <w:pStyle w:val="Voetnoottekst"/>
        <w:rPr>
          <w:rFonts w:ascii="Verdana" w:hAnsi="Verdana"/>
          <w:sz w:val="16"/>
          <w:szCs w:val="16"/>
          <w:lang w:val="en-US"/>
        </w:rPr>
      </w:pPr>
      <w:r w:rsidRPr="00244A77">
        <w:rPr>
          <w:rStyle w:val="Voetnootmarkering"/>
          <w:rFonts w:ascii="Verdana" w:hAnsi="Verdana"/>
          <w:sz w:val="16"/>
          <w:szCs w:val="16"/>
        </w:rPr>
        <w:footnoteRef/>
      </w:r>
      <w:r w:rsidRPr="00244A77">
        <w:rPr>
          <w:rFonts w:ascii="Verdana" w:hAnsi="Verdana"/>
          <w:sz w:val="16"/>
          <w:szCs w:val="16"/>
          <w:lang w:val="en-US"/>
        </w:rPr>
        <w:t xml:space="preserve"> Data over het </w:t>
      </w:r>
      <w:proofErr w:type="spellStart"/>
      <w:r w:rsidRPr="00244A77">
        <w:rPr>
          <w:rFonts w:ascii="Verdana" w:hAnsi="Verdana"/>
          <w:sz w:val="16"/>
          <w:szCs w:val="16"/>
          <w:lang w:val="en-US"/>
        </w:rPr>
        <w:t>derde</w:t>
      </w:r>
      <w:proofErr w:type="spellEnd"/>
      <w:r w:rsidRPr="00244A77">
        <w:rPr>
          <w:rFonts w:ascii="Verdana" w:hAnsi="Verdana"/>
          <w:sz w:val="16"/>
          <w:szCs w:val="16"/>
          <w:lang w:val="en-US"/>
        </w:rPr>
        <w:t xml:space="preserve"> </w:t>
      </w:r>
      <w:proofErr w:type="spellStart"/>
      <w:r w:rsidRPr="00244A77">
        <w:rPr>
          <w:rFonts w:ascii="Verdana" w:hAnsi="Verdana"/>
          <w:sz w:val="16"/>
          <w:szCs w:val="16"/>
          <w:lang w:val="en-US"/>
        </w:rPr>
        <w:t>kwartaal</w:t>
      </w:r>
      <w:proofErr w:type="spellEnd"/>
      <w:r w:rsidRPr="00244A77">
        <w:rPr>
          <w:rFonts w:ascii="Verdana" w:hAnsi="Verdana"/>
          <w:sz w:val="16"/>
          <w:szCs w:val="16"/>
          <w:lang w:val="en-US"/>
        </w:rPr>
        <w:t xml:space="preserve"> 2024, </w:t>
      </w:r>
      <w:proofErr w:type="spellStart"/>
      <w:r w:rsidRPr="00244A77">
        <w:rPr>
          <w:rFonts w:ascii="Verdana" w:hAnsi="Verdana"/>
          <w:sz w:val="16"/>
          <w:szCs w:val="16"/>
          <w:lang w:val="en-US"/>
        </w:rPr>
        <w:t>bron</w:t>
      </w:r>
      <w:proofErr w:type="spellEnd"/>
      <w:r w:rsidRPr="00244A77">
        <w:rPr>
          <w:rFonts w:ascii="Verdana" w:hAnsi="Verdana"/>
          <w:sz w:val="16"/>
          <w:szCs w:val="16"/>
          <w:lang w:val="en-US"/>
        </w:rPr>
        <w:t>: ECB data portal, Gross non-performing loans and advances [% of total gross loans and advances].</w:t>
      </w:r>
    </w:p>
  </w:footnote>
  <w:footnote w:id="11">
    <w:p w14:paraId="6354764B" w14:textId="64D509E2" w:rsidR="00404117" w:rsidRPr="00244A77" w:rsidRDefault="00404117" w:rsidP="00A64522">
      <w:pPr>
        <w:pStyle w:val="Voetnoottekst"/>
        <w:rPr>
          <w:rFonts w:ascii="Verdana" w:hAnsi="Verdana"/>
          <w:sz w:val="16"/>
          <w:szCs w:val="16"/>
          <w:lang w:val="en-US"/>
        </w:rPr>
      </w:pPr>
      <w:r w:rsidRPr="00244A77">
        <w:rPr>
          <w:rStyle w:val="Voetnootmarkering"/>
          <w:rFonts w:ascii="Verdana" w:hAnsi="Verdana"/>
          <w:sz w:val="16"/>
          <w:szCs w:val="16"/>
        </w:rPr>
        <w:footnoteRef/>
      </w:r>
      <w:r w:rsidRPr="00244A77">
        <w:rPr>
          <w:rFonts w:ascii="Verdana" w:hAnsi="Verdana"/>
          <w:sz w:val="16"/>
          <w:szCs w:val="16"/>
          <w:lang w:val="en-US"/>
        </w:rPr>
        <w:t xml:space="preserve"> </w:t>
      </w:r>
      <w:r w:rsidR="00A64522" w:rsidRPr="00A64522">
        <w:rPr>
          <w:rFonts w:ascii="Verdana" w:hAnsi="Verdana"/>
          <w:sz w:val="16"/>
          <w:szCs w:val="16"/>
          <w:lang w:val="en-US"/>
        </w:rPr>
        <w:t>https://www.consilium.europa.eu/en/press/press-releases/2022/06/16/eurogroup-statement-on-the-future-of-the-banking-union-of-16-june-2022/</w:t>
      </w:r>
      <w:r w:rsidR="00A64522">
        <w:rPr>
          <w:rStyle w:val="Hyperlink"/>
          <w:rFonts w:ascii="Verdana" w:hAnsi="Verdana"/>
          <w:sz w:val="16"/>
          <w:szCs w:val="16"/>
          <w:lang w:val="en-US"/>
        </w:rPr>
        <w:t>.</w:t>
      </w:r>
    </w:p>
  </w:footnote>
  <w:footnote w:id="12">
    <w:p w14:paraId="3A4AF755" w14:textId="7A7B3143" w:rsidR="00404117" w:rsidRPr="00244A77" w:rsidRDefault="00404117" w:rsidP="00A64522">
      <w:pPr>
        <w:pStyle w:val="Voetnoottekst"/>
        <w:rPr>
          <w:rFonts w:ascii="Verdana" w:hAnsi="Verdana"/>
          <w:sz w:val="16"/>
          <w:szCs w:val="16"/>
          <w:lang w:val="en-US"/>
        </w:rPr>
      </w:pPr>
      <w:r w:rsidRPr="00244A77">
        <w:rPr>
          <w:rStyle w:val="Voetnootmarkering"/>
          <w:rFonts w:ascii="Verdana" w:hAnsi="Verdana"/>
          <w:sz w:val="16"/>
          <w:szCs w:val="16"/>
        </w:rPr>
        <w:footnoteRef/>
      </w:r>
      <w:r w:rsidRPr="00244A77">
        <w:rPr>
          <w:rFonts w:ascii="Verdana" w:hAnsi="Verdana"/>
          <w:sz w:val="16"/>
          <w:szCs w:val="16"/>
          <w:lang w:val="en-US"/>
        </w:rPr>
        <w:t xml:space="preserve"> </w:t>
      </w:r>
      <w:r w:rsidR="00A64522" w:rsidRPr="00A64522">
        <w:rPr>
          <w:rFonts w:ascii="Verdana" w:hAnsi="Verdana"/>
          <w:sz w:val="16"/>
          <w:szCs w:val="16"/>
          <w:lang w:val="en-US"/>
        </w:rPr>
        <w:t>https://finance.ec.europa.eu/publications/reform-bank-crisis-management-and-deposit-insurance-framework_en</w:t>
      </w:r>
      <w:r w:rsidR="00A64522">
        <w:rPr>
          <w:rFonts w:ascii="Verdana" w:hAnsi="Verdana"/>
          <w:sz w:val="16"/>
          <w:szCs w:val="16"/>
          <w:lang w:val="en-US"/>
        </w:rPr>
        <w:t>.</w:t>
      </w:r>
    </w:p>
    <w:p w14:paraId="68FF5AC8" w14:textId="77777777" w:rsidR="00404117" w:rsidRPr="00404117" w:rsidRDefault="00404117" w:rsidP="00404117">
      <w:pPr>
        <w:pStyle w:val="Voetnoottekst"/>
        <w:rPr>
          <w:lang w:val="en-US"/>
        </w:rPr>
      </w:pPr>
    </w:p>
  </w:footnote>
  <w:footnote w:id="13">
    <w:p w14:paraId="274AA1DE" w14:textId="77777777" w:rsidR="00404117" w:rsidRPr="00244A77" w:rsidRDefault="00404117" w:rsidP="00404117">
      <w:pPr>
        <w:pStyle w:val="Voetnoottekst"/>
        <w:rPr>
          <w:rFonts w:ascii="Verdana" w:hAnsi="Verdana"/>
        </w:rPr>
      </w:pPr>
      <w:r w:rsidRPr="00244A77">
        <w:rPr>
          <w:rStyle w:val="Voetnootmarkering"/>
          <w:rFonts w:ascii="Verdana" w:hAnsi="Verdana"/>
          <w:sz w:val="16"/>
          <w:szCs w:val="16"/>
        </w:rPr>
        <w:footnoteRef/>
      </w:r>
      <w:r w:rsidRPr="00244A77">
        <w:rPr>
          <w:rFonts w:ascii="Verdana" w:hAnsi="Verdana"/>
          <w:sz w:val="16"/>
          <w:szCs w:val="16"/>
        </w:rPr>
        <w:t xml:space="preserve"> Verordening kapitaalvereisten (Verordening (EU) nr. 575/2013) en de Richtlijn kapitaalvereisten (richtlijn 2013/36/EU).</w:t>
      </w:r>
    </w:p>
  </w:footnote>
  <w:footnote w:id="14">
    <w:p w14:paraId="75309B1C" w14:textId="77777777" w:rsidR="00404117" w:rsidRPr="003E43DC" w:rsidRDefault="00404117" w:rsidP="00404117">
      <w:pPr>
        <w:pStyle w:val="Voetnoottekst"/>
        <w:rPr>
          <w:rFonts w:ascii="Verdana" w:hAnsi="Verdana"/>
          <w:sz w:val="16"/>
          <w:szCs w:val="16"/>
        </w:rPr>
      </w:pPr>
      <w:r w:rsidRPr="003E43DC">
        <w:rPr>
          <w:rStyle w:val="Voetnootmarkering"/>
          <w:rFonts w:ascii="Verdana" w:hAnsi="Verdana"/>
          <w:sz w:val="16"/>
          <w:szCs w:val="16"/>
        </w:rPr>
        <w:footnoteRef/>
      </w:r>
      <w:r w:rsidRPr="003E43DC">
        <w:rPr>
          <w:rFonts w:ascii="Verdana" w:hAnsi="Verdana"/>
          <w:sz w:val="16"/>
          <w:szCs w:val="16"/>
        </w:rPr>
        <w:t xml:space="preserve"> Het besluit is te vinden op https://www.internetconsultatie.nl/besluitkredietservicers/b1.</w:t>
      </w:r>
    </w:p>
  </w:footnote>
  <w:footnote w:id="15">
    <w:p w14:paraId="07ACD9A5" w14:textId="77777777" w:rsidR="00404117" w:rsidRPr="003E43DC" w:rsidRDefault="00404117" w:rsidP="00404117">
      <w:pPr>
        <w:pStyle w:val="Voetnoottekst"/>
        <w:rPr>
          <w:rFonts w:ascii="Verdana" w:hAnsi="Verdana"/>
          <w:sz w:val="16"/>
          <w:szCs w:val="16"/>
        </w:rPr>
      </w:pPr>
      <w:r w:rsidRPr="003E43DC">
        <w:rPr>
          <w:rStyle w:val="Voetnootmarkering"/>
          <w:rFonts w:ascii="Verdana" w:hAnsi="Verdana"/>
        </w:rPr>
        <w:footnoteRef/>
      </w:r>
      <w:r w:rsidRPr="003E43DC">
        <w:rPr>
          <w:rFonts w:ascii="Verdana" w:hAnsi="Verdana"/>
        </w:rPr>
        <w:t xml:space="preserve"> </w:t>
      </w:r>
      <w:r w:rsidRPr="003E43DC">
        <w:rPr>
          <w:rFonts w:ascii="Verdana" w:hAnsi="Verdana"/>
          <w:sz w:val="16"/>
          <w:szCs w:val="16"/>
        </w:rPr>
        <w:t xml:space="preserve">Artikel 2, vijfde lid, van de richtlijn is geïmplementeerd in artikel 1:14a. tweede lid, </w:t>
      </w:r>
      <w:proofErr w:type="spellStart"/>
      <w:r w:rsidRPr="003E43DC">
        <w:rPr>
          <w:rFonts w:ascii="Verdana" w:hAnsi="Verdana"/>
          <w:sz w:val="16"/>
          <w:szCs w:val="16"/>
        </w:rPr>
        <w:t>Wft</w:t>
      </w:r>
      <w:proofErr w:type="spellEnd"/>
      <w:r w:rsidRPr="003E43DC">
        <w:rPr>
          <w:rFonts w:ascii="Verdana" w:hAnsi="Verdana"/>
          <w:sz w:val="16"/>
          <w:szCs w:val="16"/>
        </w:rPr>
        <w:t>.</w:t>
      </w:r>
    </w:p>
  </w:footnote>
  <w:footnote w:id="16">
    <w:p w14:paraId="0D263BE7" w14:textId="34A24E84" w:rsidR="00404117" w:rsidRPr="003E43DC" w:rsidRDefault="00404117" w:rsidP="00404117">
      <w:pPr>
        <w:pStyle w:val="Voetnoottekst"/>
        <w:rPr>
          <w:rFonts w:ascii="Verdana" w:hAnsi="Verdana"/>
          <w:sz w:val="16"/>
          <w:szCs w:val="16"/>
          <w:lang w:val="en-US"/>
        </w:rPr>
      </w:pPr>
      <w:r w:rsidRPr="003E43DC">
        <w:rPr>
          <w:rStyle w:val="Voetnootmarkering"/>
          <w:rFonts w:ascii="Verdana" w:hAnsi="Verdana"/>
          <w:sz w:val="16"/>
          <w:szCs w:val="16"/>
        </w:rPr>
        <w:footnoteRef/>
      </w:r>
      <w:r w:rsidRPr="003E43DC">
        <w:rPr>
          <w:rFonts w:ascii="Verdana" w:hAnsi="Verdana"/>
          <w:sz w:val="16"/>
          <w:szCs w:val="16"/>
          <w:lang w:val="en-US"/>
        </w:rPr>
        <w:t xml:space="preserve"> </w:t>
      </w:r>
      <w:proofErr w:type="spellStart"/>
      <w:r w:rsidRPr="003E43DC">
        <w:rPr>
          <w:rFonts w:ascii="Verdana" w:hAnsi="Verdana"/>
          <w:sz w:val="16"/>
          <w:szCs w:val="16"/>
          <w:lang w:val="en-US"/>
        </w:rPr>
        <w:t>Zie</w:t>
      </w:r>
      <w:proofErr w:type="spellEnd"/>
      <w:r w:rsidRPr="003E43DC">
        <w:rPr>
          <w:rFonts w:ascii="Verdana" w:hAnsi="Verdana"/>
          <w:sz w:val="16"/>
          <w:szCs w:val="16"/>
          <w:lang w:val="en-US"/>
        </w:rPr>
        <w:t xml:space="preserve"> Annex 5, </w:t>
      </w:r>
      <w:proofErr w:type="spellStart"/>
      <w:r w:rsidRPr="003E43DC">
        <w:rPr>
          <w:rFonts w:ascii="Verdana" w:hAnsi="Verdana"/>
          <w:sz w:val="16"/>
          <w:szCs w:val="16"/>
          <w:lang w:val="en-US"/>
        </w:rPr>
        <w:t>onder</w:t>
      </w:r>
      <w:proofErr w:type="spellEnd"/>
      <w:r w:rsidRPr="003E43DC">
        <w:rPr>
          <w:rFonts w:ascii="Verdana" w:hAnsi="Verdana"/>
          <w:sz w:val="16"/>
          <w:szCs w:val="16"/>
          <w:lang w:val="en-US"/>
        </w:rPr>
        <w:t xml:space="preserve"> 2, (Nature and size of the Loan servicing market) van het Impact </w:t>
      </w:r>
      <w:proofErr w:type="spellStart"/>
      <w:r w:rsidRPr="003E43DC">
        <w:rPr>
          <w:rFonts w:ascii="Verdana" w:hAnsi="Verdana"/>
          <w:sz w:val="16"/>
          <w:szCs w:val="16"/>
          <w:lang w:val="en-US"/>
        </w:rPr>
        <w:t>Assesment</w:t>
      </w:r>
      <w:proofErr w:type="spellEnd"/>
      <w:r w:rsidR="00AA326E">
        <w:rPr>
          <w:rFonts w:ascii="Verdana" w:hAnsi="Verdana"/>
          <w:sz w:val="16"/>
          <w:szCs w:val="16"/>
          <w:lang w:val="en-US"/>
        </w:rPr>
        <w:t>,</w:t>
      </w:r>
      <w:r w:rsidR="00AA326E" w:rsidRPr="00AA326E">
        <w:rPr>
          <w:rFonts w:ascii="Verdana" w:hAnsi="Verdana"/>
          <w:sz w:val="16"/>
          <w:szCs w:val="16"/>
          <w:lang w:val="en-US"/>
        </w:rPr>
        <w:t xml:space="preserve"> SWD(2018) 75 final</w:t>
      </w:r>
      <w:r w:rsidRPr="00AA326E">
        <w:rPr>
          <w:rFonts w:ascii="Verdana" w:hAnsi="Verdana"/>
          <w:sz w:val="16"/>
          <w:szCs w:val="16"/>
          <w:lang w:val="en-US"/>
        </w:rPr>
        <w:t>.</w:t>
      </w:r>
    </w:p>
  </w:footnote>
  <w:footnote w:id="17">
    <w:p w14:paraId="0ED4BFCC" w14:textId="77777777" w:rsidR="00404117" w:rsidRPr="003E43DC" w:rsidRDefault="00404117" w:rsidP="00404117">
      <w:pPr>
        <w:pStyle w:val="Voetnoottekst"/>
        <w:rPr>
          <w:rFonts w:ascii="Verdana" w:hAnsi="Verdana"/>
          <w:sz w:val="16"/>
          <w:szCs w:val="16"/>
          <w:lang w:val="en-US"/>
        </w:rPr>
      </w:pPr>
      <w:r w:rsidRPr="003E43DC">
        <w:rPr>
          <w:rStyle w:val="Voetnootmarkering"/>
          <w:rFonts w:ascii="Verdana" w:hAnsi="Verdana"/>
          <w:sz w:val="16"/>
          <w:szCs w:val="16"/>
        </w:rPr>
        <w:footnoteRef/>
      </w:r>
      <w:r w:rsidRPr="003E43DC">
        <w:rPr>
          <w:rFonts w:ascii="Verdana" w:hAnsi="Verdana"/>
          <w:sz w:val="16"/>
          <w:szCs w:val="16"/>
          <w:lang w:val="en-US"/>
        </w:rPr>
        <w:t xml:space="preserve"> https://www.nvb.nl/themas/ondernemen/gedragscode-kleinzakelijke-financiering/</w:t>
      </w:r>
    </w:p>
  </w:footnote>
  <w:footnote w:id="18">
    <w:p w14:paraId="6CC0E777" w14:textId="2966C19B" w:rsidR="003E43DC" w:rsidRPr="003E43DC" w:rsidRDefault="003E43DC">
      <w:pPr>
        <w:pStyle w:val="Voetnoottekst"/>
        <w:rPr>
          <w:rFonts w:ascii="Verdana" w:hAnsi="Verdana"/>
          <w:sz w:val="16"/>
          <w:szCs w:val="16"/>
        </w:rPr>
      </w:pPr>
      <w:r w:rsidRPr="003E43DC">
        <w:rPr>
          <w:rStyle w:val="Voetnootmarkering"/>
          <w:rFonts w:ascii="Verdana" w:hAnsi="Verdana"/>
          <w:sz w:val="16"/>
          <w:szCs w:val="16"/>
        </w:rPr>
        <w:footnoteRef/>
      </w:r>
      <w:r w:rsidRPr="003E43DC">
        <w:rPr>
          <w:rFonts w:ascii="Verdana" w:hAnsi="Verdana"/>
          <w:sz w:val="16"/>
          <w:szCs w:val="16"/>
        </w:rPr>
        <w:t xml:space="preserve"> Kamerstukken II 2023/24, 32545, nr. 205.</w:t>
      </w:r>
    </w:p>
  </w:footnote>
  <w:footnote w:id="19">
    <w:p w14:paraId="12CEB567" w14:textId="77777777" w:rsidR="00404117" w:rsidRPr="00406ABA" w:rsidRDefault="00404117" w:rsidP="00404117">
      <w:pPr>
        <w:pStyle w:val="Voetnoottekst"/>
        <w:rPr>
          <w:sz w:val="16"/>
          <w:szCs w:val="16"/>
        </w:rPr>
      </w:pPr>
      <w:r w:rsidRPr="003E43DC">
        <w:rPr>
          <w:rStyle w:val="Voetnootmarkering"/>
          <w:rFonts w:ascii="Verdana" w:hAnsi="Verdana"/>
          <w:sz w:val="16"/>
          <w:szCs w:val="16"/>
        </w:rPr>
        <w:footnoteRef/>
      </w:r>
      <w:r w:rsidRPr="003E43DC">
        <w:rPr>
          <w:rFonts w:ascii="Verdana" w:hAnsi="Verdana"/>
          <w:sz w:val="16"/>
          <w:szCs w:val="16"/>
        </w:rPr>
        <w:t xml:space="preserve"> Kamerstukken II 2024/25, 36664, nr. 3, p. 16-18.</w:t>
      </w:r>
    </w:p>
  </w:footnote>
  <w:footnote w:id="20">
    <w:p w14:paraId="1F11DE0D" w14:textId="77777777" w:rsidR="00404117" w:rsidRPr="003E43DC" w:rsidRDefault="00404117" w:rsidP="00404117">
      <w:pPr>
        <w:pStyle w:val="Voetnoottekst"/>
        <w:rPr>
          <w:rFonts w:ascii="Verdana" w:hAnsi="Verdana"/>
          <w:sz w:val="16"/>
          <w:szCs w:val="16"/>
        </w:rPr>
      </w:pPr>
      <w:r w:rsidRPr="003E43DC">
        <w:rPr>
          <w:rStyle w:val="Voetnootmarkering"/>
          <w:rFonts w:ascii="Verdana" w:hAnsi="Verdana"/>
          <w:sz w:val="16"/>
          <w:szCs w:val="16"/>
        </w:rPr>
        <w:footnoteRef/>
      </w:r>
      <w:r w:rsidRPr="003E43DC">
        <w:rPr>
          <w:rFonts w:ascii="Verdana" w:hAnsi="Verdana"/>
          <w:sz w:val="16"/>
          <w:szCs w:val="16"/>
        </w:rPr>
        <w:t xml:space="preserve"> Kamerstukken II 2023/24, 32 545, nr. 205.</w:t>
      </w:r>
    </w:p>
  </w:footnote>
  <w:footnote w:id="21">
    <w:p w14:paraId="0B8063F4" w14:textId="77777777" w:rsidR="00404117" w:rsidRPr="00E839AE" w:rsidRDefault="00404117" w:rsidP="00404117">
      <w:pPr>
        <w:pStyle w:val="Voetnoottekst"/>
        <w:rPr>
          <w:sz w:val="16"/>
          <w:szCs w:val="16"/>
        </w:rPr>
      </w:pPr>
      <w:r w:rsidRPr="003E43DC">
        <w:rPr>
          <w:rStyle w:val="Voetnootmarkering"/>
          <w:rFonts w:ascii="Verdana" w:hAnsi="Verdana"/>
          <w:sz w:val="16"/>
          <w:szCs w:val="16"/>
        </w:rPr>
        <w:footnoteRef/>
      </w:r>
      <w:r w:rsidRPr="003E43DC">
        <w:rPr>
          <w:rFonts w:ascii="Verdana" w:hAnsi="Verdana"/>
          <w:sz w:val="16"/>
          <w:szCs w:val="16"/>
        </w:rPr>
        <w:t xml:space="preserve"> Stb. 2025, 28.</w:t>
      </w:r>
    </w:p>
  </w:footnote>
  <w:footnote w:id="22">
    <w:p w14:paraId="57874934" w14:textId="77777777" w:rsidR="00404117" w:rsidRPr="006510C9" w:rsidRDefault="00404117" w:rsidP="00404117">
      <w:pPr>
        <w:pStyle w:val="Voetnoottekst"/>
        <w:rPr>
          <w:rFonts w:ascii="Verdana" w:hAnsi="Verdana"/>
          <w:sz w:val="16"/>
          <w:szCs w:val="16"/>
        </w:rPr>
      </w:pPr>
      <w:r w:rsidRPr="006510C9">
        <w:rPr>
          <w:rStyle w:val="Voetnootmarkering"/>
          <w:rFonts w:ascii="Verdana" w:hAnsi="Verdana"/>
          <w:sz w:val="16"/>
          <w:szCs w:val="16"/>
        </w:rPr>
        <w:footnoteRef/>
      </w:r>
      <w:r w:rsidRPr="006510C9">
        <w:rPr>
          <w:rFonts w:ascii="Verdana" w:hAnsi="Verdana"/>
          <w:sz w:val="16"/>
          <w:szCs w:val="16"/>
        </w:rPr>
        <w:t xml:space="preserve"> Kamerstukken II 2017/18, 22112, nr. 2550.</w:t>
      </w:r>
    </w:p>
  </w:footnote>
  <w:footnote w:id="23">
    <w:p w14:paraId="7C102741" w14:textId="77777777" w:rsidR="00404117" w:rsidRPr="006510C9" w:rsidRDefault="00404117" w:rsidP="00404117">
      <w:pPr>
        <w:pStyle w:val="Voetnoottekst"/>
        <w:rPr>
          <w:rFonts w:ascii="Verdana" w:hAnsi="Verdana"/>
          <w:sz w:val="16"/>
          <w:szCs w:val="16"/>
        </w:rPr>
      </w:pPr>
      <w:r w:rsidRPr="006510C9">
        <w:rPr>
          <w:rStyle w:val="Voetnootmarkering"/>
          <w:rFonts w:ascii="Verdana" w:hAnsi="Verdana"/>
          <w:sz w:val="16"/>
          <w:szCs w:val="16"/>
        </w:rPr>
        <w:footnoteRef/>
      </w:r>
      <w:r w:rsidRPr="006510C9">
        <w:rPr>
          <w:rFonts w:ascii="Verdana" w:hAnsi="Verdana"/>
          <w:sz w:val="16"/>
          <w:szCs w:val="16"/>
        </w:rPr>
        <w:t xml:space="preserve"> Kamerstukken II 2024/25, 36664, nr. 3, p. 19-27.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3B95723"/>
    <w:multiLevelType w:val="multilevel"/>
    <w:tmpl w:val="49DDC90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FFFFFF89"/>
    <w:multiLevelType w:val="singleLevel"/>
    <w:tmpl w:val="70723C54"/>
    <w:lvl w:ilvl="0">
      <w:start w:val="1"/>
      <w:numFmt w:val="bullet"/>
      <w:pStyle w:val="Lijstopsomteken"/>
      <w:lvlText w:val=""/>
      <w:lvlJc w:val="left"/>
      <w:pPr>
        <w:tabs>
          <w:tab w:val="num" w:pos="360"/>
        </w:tabs>
        <w:ind w:left="360" w:hanging="360"/>
      </w:pPr>
      <w:rPr>
        <w:rFonts w:ascii="Symbol" w:hAnsi="Symbol" w:hint="default"/>
      </w:rPr>
    </w:lvl>
  </w:abstractNum>
  <w:abstractNum w:abstractNumId="2" w15:restartNumberingAfterBreak="0">
    <w:nsid w:val="01C803E3"/>
    <w:multiLevelType w:val="hybridMultilevel"/>
    <w:tmpl w:val="B0FC63F4"/>
    <w:lvl w:ilvl="0" w:tplc="04130019">
      <w:start w:val="1"/>
      <w:numFmt w:val="lowerLetter"/>
      <w:lvlText w:val="%1."/>
      <w:lvlJc w:val="left"/>
      <w:pPr>
        <w:ind w:left="778" w:hanging="360"/>
      </w:pPr>
    </w:lvl>
    <w:lvl w:ilvl="1" w:tplc="04130019">
      <w:start w:val="1"/>
      <w:numFmt w:val="lowerLetter"/>
      <w:lvlText w:val="%2."/>
      <w:lvlJc w:val="left"/>
      <w:pPr>
        <w:ind w:left="1498" w:hanging="360"/>
      </w:pPr>
    </w:lvl>
    <w:lvl w:ilvl="2" w:tplc="0413001B">
      <w:start w:val="1"/>
      <w:numFmt w:val="lowerRoman"/>
      <w:lvlText w:val="%3."/>
      <w:lvlJc w:val="right"/>
      <w:pPr>
        <w:ind w:left="2218" w:hanging="180"/>
      </w:pPr>
    </w:lvl>
    <w:lvl w:ilvl="3" w:tplc="0413000F" w:tentative="1">
      <w:start w:val="1"/>
      <w:numFmt w:val="decimal"/>
      <w:lvlText w:val="%4."/>
      <w:lvlJc w:val="left"/>
      <w:pPr>
        <w:ind w:left="2938" w:hanging="360"/>
      </w:pPr>
    </w:lvl>
    <w:lvl w:ilvl="4" w:tplc="04130019" w:tentative="1">
      <w:start w:val="1"/>
      <w:numFmt w:val="lowerLetter"/>
      <w:lvlText w:val="%5."/>
      <w:lvlJc w:val="left"/>
      <w:pPr>
        <w:ind w:left="3658" w:hanging="360"/>
      </w:pPr>
    </w:lvl>
    <w:lvl w:ilvl="5" w:tplc="0413001B" w:tentative="1">
      <w:start w:val="1"/>
      <w:numFmt w:val="lowerRoman"/>
      <w:lvlText w:val="%6."/>
      <w:lvlJc w:val="right"/>
      <w:pPr>
        <w:ind w:left="4378" w:hanging="180"/>
      </w:pPr>
    </w:lvl>
    <w:lvl w:ilvl="6" w:tplc="0413000F" w:tentative="1">
      <w:start w:val="1"/>
      <w:numFmt w:val="decimal"/>
      <w:lvlText w:val="%7."/>
      <w:lvlJc w:val="left"/>
      <w:pPr>
        <w:ind w:left="5098" w:hanging="360"/>
      </w:pPr>
    </w:lvl>
    <w:lvl w:ilvl="7" w:tplc="04130019" w:tentative="1">
      <w:start w:val="1"/>
      <w:numFmt w:val="lowerLetter"/>
      <w:lvlText w:val="%8."/>
      <w:lvlJc w:val="left"/>
      <w:pPr>
        <w:ind w:left="5818" w:hanging="360"/>
      </w:pPr>
    </w:lvl>
    <w:lvl w:ilvl="8" w:tplc="0413001B" w:tentative="1">
      <w:start w:val="1"/>
      <w:numFmt w:val="lowerRoman"/>
      <w:lvlText w:val="%9."/>
      <w:lvlJc w:val="right"/>
      <w:pPr>
        <w:ind w:left="6538" w:hanging="180"/>
      </w:pPr>
    </w:lvl>
  </w:abstractNum>
  <w:abstractNum w:abstractNumId="3" w15:restartNumberingAfterBreak="0">
    <w:nsid w:val="05F66678"/>
    <w:multiLevelType w:val="hybridMultilevel"/>
    <w:tmpl w:val="F5D474E4"/>
    <w:lvl w:ilvl="0" w:tplc="4156E17C">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307F24E5"/>
    <w:multiLevelType w:val="hybridMultilevel"/>
    <w:tmpl w:val="8142493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1D329AC"/>
    <w:multiLevelType w:val="hybridMultilevel"/>
    <w:tmpl w:val="61520D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2174E10"/>
    <w:multiLevelType w:val="hybridMultilevel"/>
    <w:tmpl w:val="81143AD2"/>
    <w:lvl w:ilvl="0" w:tplc="7B921F8C">
      <w:start w:val="9"/>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3B514B71"/>
    <w:multiLevelType w:val="hybridMultilevel"/>
    <w:tmpl w:val="40849036"/>
    <w:lvl w:ilvl="0" w:tplc="956AADAC">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4A93330D"/>
    <w:multiLevelType w:val="hybridMultilevel"/>
    <w:tmpl w:val="85488334"/>
    <w:lvl w:ilvl="0" w:tplc="8556BA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3202F26"/>
    <w:multiLevelType w:val="hybridMultilevel"/>
    <w:tmpl w:val="23A00DC4"/>
    <w:lvl w:ilvl="0" w:tplc="16643866">
      <w:start w:val="3"/>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61EC7515"/>
    <w:multiLevelType w:val="hybridMultilevel"/>
    <w:tmpl w:val="E3641564"/>
    <w:lvl w:ilvl="0" w:tplc="315CE730">
      <w:start w:val="1"/>
      <w:numFmt w:val="decimal"/>
      <w:lvlText w:val="%1."/>
      <w:lvlJc w:val="left"/>
      <w:pPr>
        <w:ind w:left="36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1" w15:restartNumberingAfterBreak="0">
    <w:nsid w:val="63132198"/>
    <w:multiLevelType w:val="hybridMultilevel"/>
    <w:tmpl w:val="EF147DCE"/>
    <w:lvl w:ilvl="0" w:tplc="1324AB80">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69CD225F"/>
    <w:multiLevelType w:val="hybridMultilevel"/>
    <w:tmpl w:val="FC3C3396"/>
    <w:lvl w:ilvl="0" w:tplc="ECAE7C4C">
      <w:start w:val="1"/>
      <w:numFmt w:val="lowerLetter"/>
      <w:lvlText w:val="%1)"/>
      <w:lvlJc w:val="left"/>
      <w:pPr>
        <w:ind w:left="36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3" w15:restartNumberingAfterBreak="0">
    <w:nsid w:val="7C966381"/>
    <w:multiLevelType w:val="multilevel"/>
    <w:tmpl w:val="22DE059A"/>
    <w:name w:val="List Bullet"/>
    <w:lvl w:ilvl="0">
      <w:start w:val="1"/>
      <w:numFmt w:val="decimal"/>
      <w:pStyle w:val="NumPar1"/>
      <w:lvlText w:val="%1."/>
      <w:lvlJc w:val="left"/>
      <w:pPr>
        <w:tabs>
          <w:tab w:val="num" w:pos="850"/>
        </w:tabs>
        <w:ind w:left="850" w:hanging="850"/>
      </w:pPr>
      <w:rPr>
        <w:rFonts w:cs="TimesNewRomanItalic"/>
      </w:rPr>
    </w:lvl>
    <w:lvl w:ilvl="1">
      <w:start w:val="1"/>
      <w:numFmt w:val="decimal"/>
      <w:pStyle w:val="NumPar2"/>
      <w:lvlText w:val="%1.%2."/>
      <w:lvlJc w:val="left"/>
      <w:pPr>
        <w:tabs>
          <w:tab w:val="num" w:pos="850"/>
        </w:tabs>
        <w:ind w:left="850" w:hanging="850"/>
      </w:pPr>
      <w:rPr>
        <w:rFonts w:cs="TimesNewRomanItalic"/>
      </w:rPr>
    </w:lvl>
    <w:lvl w:ilvl="2">
      <w:start w:val="1"/>
      <w:numFmt w:val="decimal"/>
      <w:pStyle w:val="NumPar3"/>
      <w:lvlText w:val="%1.%2.%3."/>
      <w:lvlJc w:val="left"/>
      <w:pPr>
        <w:tabs>
          <w:tab w:val="num" w:pos="850"/>
        </w:tabs>
        <w:ind w:left="850" w:hanging="850"/>
      </w:pPr>
      <w:rPr>
        <w:rFonts w:cs="TimesNewRomanItalic"/>
      </w:rPr>
    </w:lvl>
    <w:lvl w:ilvl="3">
      <w:start w:val="1"/>
      <w:numFmt w:val="decimal"/>
      <w:pStyle w:val="NumPar4"/>
      <w:lvlText w:val="%1.%2.%3.%4."/>
      <w:lvlJc w:val="left"/>
      <w:pPr>
        <w:tabs>
          <w:tab w:val="num" w:pos="850"/>
        </w:tabs>
        <w:ind w:left="850" w:hanging="850"/>
      </w:pPr>
      <w:rPr>
        <w:rFonts w:cs="TimesNewRomanItalic"/>
      </w:rPr>
    </w:lvl>
    <w:lvl w:ilvl="4">
      <w:start w:val="1"/>
      <w:numFmt w:val="lowerLetter"/>
      <w:lvlText w:val="(%5)"/>
      <w:lvlJc w:val="left"/>
      <w:pPr>
        <w:tabs>
          <w:tab w:val="num" w:pos="1800"/>
        </w:tabs>
        <w:ind w:left="1800" w:hanging="360"/>
      </w:pPr>
      <w:rPr>
        <w:rFonts w:cs="TimesNewRomanItalic"/>
      </w:rPr>
    </w:lvl>
    <w:lvl w:ilvl="5">
      <w:start w:val="1"/>
      <w:numFmt w:val="lowerRoman"/>
      <w:lvlText w:val="(%6)"/>
      <w:lvlJc w:val="left"/>
      <w:pPr>
        <w:tabs>
          <w:tab w:val="num" w:pos="2160"/>
        </w:tabs>
        <w:ind w:left="2160" w:hanging="360"/>
      </w:pPr>
      <w:rPr>
        <w:rFonts w:cs="TimesNewRomanItalic"/>
      </w:rPr>
    </w:lvl>
    <w:lvl w:ilvl="6">
      <w:start w:val="1"/>
      <w:numFmt w:val="decimal"/>
      <w:lvlText w:val="%7."/>
      <w:lvlJc w:val="left"/>
      <w:pPr>
        <w:tabs>
          <w:tab w:val="num" w:pos="2520"/>
        </w:tabs>
        <w:ind w:left="2520" w:hanging="360"/>
      </w:pPr>
      <w:rPr>
        <w:rFonts w:cs="TimesNewRomanItalic"/>
      </w:rPr>
    </w:lvl>
    <w:lvl w:ilvl="7">
      <w:start w:val="1"/>
      <w:numFmt w:val="lowerLetter"/>
      <w:lvlText w:val="%8."/>
      <w:lvlJc w:val="left"/>
      <w:pPr>
        <w:tabs>
          <w:tab w:val="num" w:pos="2880"/>
        </w:tabs>
        <w:ind w:left="2880" w:hanging="360"/>
      </w:pPr>
      <w:rPr>
        <w:rFonts w:cs="TimesNewRomanItalic"/>
      </w:rPr>
    </w:lvl>
    <w:lvl w:ilvl="8">
      <w:start w:val="1"/>
      <w:numFmt w:val="lowerRoman"/>
      <w:lvlText w:val="%9."/>
      <w:lvlJc w:val="left"/>
      <w:pPr>
        <w:tabs>
          <w:tab w:val="num" w:pos="3240"/>
        </w:tabs>
        <w:ind w:left="3240" w:hanging="360"/>
      </w:pPr>
      <w:rPr>
        <w:rFonts w:cs="TimesNewRomanItalic"/>
      </w:rPr>
    </w:lvl>
  </w:abstractNum>
  <w:abstractNum w:abstractNumId="14" w15:restartNumberingAfterBreak="0">
    <w:nsid w:val="7DA457BC"/>
    <w:multiLevelType w:val="hybridMultilevel"/>
    <w:tmpl w:val="C7B4EBCA"/>
    <w:lvl w:ilvl="0" w:tplc="6BCE3028">
      <w:start w:val="1"/>
      <w:numFmt w:val="lowerLetter"/>
      <w:lvlText w:val="%1."/>
      <w:lvlJc w:val="left"/>
      <w:pPr>
        <w:ind w:left="1800" w:hanging="360"/>
      </w:pPr>
      <w:rPr>
        <w:rFonts w:ascii="Verdana" w:eastAsia="Calibri" w:hAnsi="Verdana" w:cs="Arial" w:hint="default"/>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num w:numId="1" w16cid:durableId="2101020101">
    <w:abstractNumId w:val="1"/>
  </w:num>
  <w:num w:numId="2" w16cid:durableId="6255432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77686015">
    <w:abstractNumId w:val="11"/>
  </w:num>
  <w:num w:numId="4" w16cid:durableId="1200389277">
    <w:abstractNumId w:val="10"/>
  </w:num>
  <w:num w:numId="5" w16cid:durableId="621771480">
    <w:abstractNumId w:val="14"/>
  </w:num>
  <w:num w:numId="6" w16cid:durableId="1245651400">
    <w:abstractNumId w:val="7"/>
  </w:num>
  <w:num w:numId="7" w16cid:durableId="1167549736">
    <w:abstractNumId w:val="6"/>
  </w:num>
  <w:num w:numId="8" w16cid:durableId="927426745">
    <w:abstractNumId w:val="3"/>
  </w:num>
  <w:num w:numId="9" w16cid:durableId="1186361687">
    <w:abstractNumId w:val="9"/>
  </w:num>
  <w:num w:numId="10" w16cid:durableId="1382246539">
    <w:abstractNumId w:val="12"/>
  </w:num>
  <w:num w:numId="11" w16cid:durableId="714037271">
    <w:abstractNumId w:val="3"/>
    <w:lvlOverride w:ilvl="0">
      <w:lvl w:ilvl="0" w:tplc="4156E17C">
        <w:start w:val="1"/>
        <w:numFmt w:val="lowerLetter"/>
        <w:lvlText w:val="%1."/>
        <w:lvlJc w:val="left"/>
        <w:pPr>
          <w:ind w:left="360" w:hanging="360"/>
        </w:pPr>
        <w:rPr>
          <w:rFonts w:hint="default"/>
        </w:rPr>
      </w:lvl>
    </w:lvlOverride>
    <w:lvlOverride w:ilvl="1">
      <w:lvl w:ilvl="1" w:tplc="04130019" w:tentative="1">
        <w:start w:val="1"/>
        <w:numFmt w:val="lowerLetter"/>
        <w:lvlText w:val="%2."/>
        <w:lvlJc w:val="left"/>
        <w:pPr>
          <w:ind w:left="1440" w:hanging="360"/>
        </w:pPr>
      </w:lvl>
    </w:lvlOverride>
    <w:lvlOverride w:ilvl="2">
      <w:lvl w:ilvl="2" w:tplc="0413001B" w:tentative="1">
        <w:start w:val="1"/>
        <w:numFmt w:val="lowerRoman"/>
        <w:lvlText w:val="%3."/>
        <w:lvlJc w:val="right"/>
        <w:pPr>
          <w:ind w:left="2160" w:hanging="180"/>
        </w:pPr>
      </w:lvl>
    </w:lvlOverride>
    <w:lvlOverride w:ilvl="3">
      <w:lvl w:ilvl="3" w:tplc="0413000F" w:tentative="1">
        <w:start w:val="1"/>
        <w:numFmt w:val="decimal"/>
        <w:lvlText w:val="%4."/>
        <w:lvlJc w:val="left"/>
        <w:pPr>
          <w:ind w:left="2880" w:hanging="360"/>
        </w:pPr>
      </w:lvl>
    </w:lvlOverride>
    <w:lvlOverride w:ilvl="4">
      <w:lvl w:ilvl="4" w:tplc="04130019" w:tentative="1">
        <w:start w:val="1"/>
        <w:numFmt w:val="lowerLetter"/>
        <w:lvlText w:val="%5."/>
        <w:lvlJc w:val="left"/>
        <w:pPr>
          <w:ind w:left="3600" w:hanging="360"/>
        </w:pPr>
      </w:lvl>
    </w:lvlOverride>
    <w:lvlOverride w:ilvl="5">
      <w:lvl w:ilvl="5" w:tplc="0413001B" w:tentative="1">
        <w:start w:val="1"/>
        <w:numFmt w:val="lowerRoman"/>
        <w:lvlText w:val="%6."/>
        <w:lvlJc w:val="right"/>
        <w:pPr>
          <w:ind w:left="4320" w:hanging="180"/>
        </w:pPr>
      </w:lvl>
    </w:lvlOverride>
    <w:lvlOverride w:ilvl="6">
      <w:lvl w:ilvl="6" w:tplc="0413000F" w:tentative="1">
        <w:start w:val="1"/>
        <w:numFmt w:val="decimal"/>
        <w:lvlText w:val="%7."/>
        <w:lvlJc w:val="left"/>
        <w:pPr>
          <w:ind w:left="5040" w:hanging="360"/>
        </w:pPr>
      </w:lvl>
    </w:lvlOverride>
    <w:lvlOverride w:ilvl="7">
      <w:lvl w:ilvl="7" w:tplc="04130019" w:tentative="1">
        <w:start w:val="1"/>
        <w:numFmt w:val="lowerLetter"/>
        <w:lvlText w:val="%8."/>
        <w:lvlJc w:val="left"/>
        <w:pPr>
          <w:ind w:left="5760" w:hanging="360"/>
        </w:pPr>
      </w:lvl>
    </w:lvlOverride>
    <w:lvlOverride w:ilvl="8">
      <w:lvl w:ilvl="8" w:tplc="0413001B" w:tentative="1">
        <w:start w:val="1"/>
        <w:numFmt w:val="lowerRoman"/>
        <w:lvlText w:val="%9."/>
        <w:lvlJc w:val="right"/>
        <w:pPr>
          <w:ind w:left="6480" w:hanging="180"/>
        </w:pPr>
      </w:lvl>
    </w:lvlOverride>
  </w:num>
  <w:num w:numId="12" w16cid:durableId="1495953736">
    <w:abstractNumId w:val="9"/>
    <w:lvlOverride w:ilvl="0">
      <w:lvl w:ilvl="0" w:tplc="16643866">
        <w:start w:val="3"/>
        <w:numFmt w:val="lowerLetter"/>
        <w:lvlText w:val="%1."/>
        <w:lvlJc w:val="left"/>
        <w:pPr>
          <w:ind w:left="360" w:hanging="360"/>
        </w:pPr>
        <w:rPr>
          <w:rFonts w:hint="default"/>
        </w:rPr>
      </w:lvl>
    </w:lvlOverride>
    <w:lvlOverride w:ilvl="1">
      <w:lvl w:ilvl="1" w:tplc="04130019" w:tentative="1">
        <w:start w:val="1"/>
        <w:numFmt w:val="lowerLetter"/>
        <w:lvlText w:val="%2."/>
        <w:lvlJc w:val="left"/>
        <w:pPr>
          <w:ind w:left="1440" w:hanging="360"/>
        </w:pPr>
      </w:lvl>
    </w:lvlOverride>
    <w:lvlOverride w:ilvl="2">
      <w:lvl w:ilvl="2" w:tplc="0413001B" w:tentative="1">
        <w:start w:val="1"/>
        <w:numFmt w:val="lowerRoman"/>
        <w:lvlText w:val="%3."/>
        <w:lvlJc w:val="right"/>
        <w:pPr>
          <w:ind w:left="2160" w:hanging="180"/>
        </w:pPr>
      </w:lvl>
    </w:lvlOverride>
    <w:lvlOverride w:ilvl="3">
      <w:lvl w:ilvl="3" w:tplc="0413000F" w:tentative="1">
        <w:start w:val="1"/>
        <w:numFmt w:val="decimal"/>
        <w:lvlText w:val="%4."/>
        <w:lvlJc w:val="left"/>
        <w:pPr>
          <w:ind w:left="2880" w:hanging="360"/>
        </w:pPr>
      </w:lvl>
    </w:lvlOverride>
    <w:lvlOverride w:ilvl="4">
      <w:lvl w:ilvl="4" w:tplc="04130019" w:tentative="1">
        <w:start w:val="1"/>
        <w:numFmt w:val="lowerLetter"/>
        <w:lvlText w:val="%5."/>
        <w:lvlJc w:val="left"/>
        <w:pPr>
          <w:ind w:left="3600" w:hanging="360"/>
        </w:pPr>
      </w:lvl>
    </w:lvlOverride>
    <w:lvlOverride w:ilvl="5">
      <w:lvl w:ilvl="5" w:tplc="0413001B" w:tentative="1">
        <w:start w:val="1"/>
        <w:numFmt w:val="lowerRoman"/>
        <w:lvlText w:val="%6."/>
        <w:lvlJc w:val="right"/>
        <w:pPr>
          <w:ind w:left="4320" w:hanging="180"/>
        </w:pPr>
      </w:lvl>
    </w:lvlOverride>
    <w:lvlOverride w:ilvl="6">
      <w:lvl w:ilvl="6" w:tplc="0413000F" w:tentative="1">
        <w:start w:val="1"/>
        <w:numFmt w:val="decimal"/>
        <w:lvlText w:val="%7."/>
        <w:lvlJc w:val="left"/>
        <w:pPr>
          <w:ind w:left="5040" w:hanging="360"/>
        </w:pPr>
      </w:lvl>
    </w:lvlOverride>
    <w:lvlOverride w:ilvl="7">
      <w:lvl w:ilvl="7" w:tplc="04130019" w:tentative="1">
        <w:start w:val="1"/>
        <w:numFmt w:val="lowerLetter"/>
        <w:lvlText w:val="%8."/>
        <w:lvlJc w:val="left"/>
        <w:pPr>
          <w:ind w:left="5760" w:hanging="360"/>
        </w:pPr>
      </w:lvl>
    </w:lvlOverride>
    <w:lvlOverride w:ilvl="8">
      <w:lvl w:ilvl="8" w:tplc="0413001B" w:tentative="1">
        <w:start w:val="1"/>
        <w:numFmt w:val="lowerRoman"/>
        <w:lvlText w:val="%9."/>
        <w:lvlJc w:val="right"/>
        <w:pPr>
          <w:ind w:left="6480" w:hanging="180"/>
        </w:pPr>
      </w:lvl>
    </w:lvlOverride>
  </w:num>
  <w:num w:numId="13" w16cid:durableId="724261190">
    <w:abstractNumId w:val="8"/>
  </w:num>
  <w:num w:numId="14" w16cid:durableId="1225869049">
    <w:abstractNumId w:val="4"/>
  </w:num>
  <w:num w:numId="15" w16cid:durableId="1614822683">
    <w:abstractNumId w:val="2"/>
  </w:num>
  <w:num w:numId="16" w16cid:durableId="1123233499">
    <w:abstractNumId w:val="5"/>
  </w:num>
  <w:num w:numId="17" w16cid:durableId="918249366">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056"/>
    <w:rsid w:val="00003712"/>
    <w:rsid w:val="00010325"/>
    <w:rsid w:val="00010FBC"/>
    <w:rsid w:val="00012F05"/>
    <w:rsid w:val="0001437F"/>
    <w:rsid w:val="00014925"/>
    <w:rsid w:val="000202AB"/>
    <w:rsid w:val="0002172C"/>
    <w:rsid w:val="00024443"/>
    <w:rsid w:val="00025142"/>
    <w:rsid w:val="0002524E"/>
    <w:rsid w:val="00026C8F"/>
    <w:rsid w:val="00034351"/>
    <w:rsid w:val="00034FC9"/>
    <w:rsid w:val="0003523F"/>
    <w:rsid w:val="00046D51"/>
    <w:rsid w:val="000503AB"/>
    <w:rsid w:val="0005166A"/>
    <w:rsid w:val="00054E3C"/>
    <w:rsid w:val="000575E2"/>
    <w:rsid w:val="00057A79"/>
    <w:rsid w:val="000610C1"/>
    <w:rsid w:val="00061B86"/>
    <w:rsid w:val="0006448C"/>
    <w:rsid w:val="00064EDD"/>
    <w:rsid w:val="00065A2A"/>
    <w:rsid w:val="00065C16"/>
    <w:rsid w:val="00067015"/>
    <w:rsid w:val="0007130F"/>
    <w:rsid w:val="00073441"/>
    <w:rsid w:val="00076564"/>
    <w:rsid w:val="000765D1"/>
    <w:rsid w:val="000773B9"/>
    <w:rsid w:val="00080A6C"/>
    <w:rsid w:val="00082026"/>
    <w:rsid w:val="00082F60"/>
    <w:rsid w:val="000841EF"/>
    <w:rsid w:val="000862E1"/>
    <w:rsid w:val="0008781D"/>
    <w:rsid w:val="00087D5A"/>
    <w:rsid w:val="0009055C"/>
    <w:rsid w:val="0009097E"/>
    <w:rsid w:val="0009315E"/>
    <w:rsid w:val="00094527"/>
    <w:rsid w:val="000A0550"/>
    <w:rsid w:val="000A0A57"/>
    <w:rsid w:val="000A1C98"/>
    <w:rsid w:val="000A3D6D"/>
    <w:rsid w:val="000A3D8E"/>
    <w:rsid w:val="000A46E2"/>
    <w:rsid w:val="000A7B3E"/>
    <w:rsid w:val="000B2AF0"/>
    <w:rsid w:val="000B35D2"/>
    <w:rsid w:val="000B36D2"/>
    <w:rsid w:val="000B3ABD"/>
    <w:rsid w:val="000B4824"/>
    <w:rsid w:val="000C098E"/>
    <w:rsid w:val="000C0E4F"/>
    <w:rsid w:val="000C520B"/>
    <w:rsid w:val="000C57FC"/>
    <w:rsid w:val="000C5CE9"/>
    <w:rsid w:val="000C6404"/>
    <w:rsid w:val="000C6E45"/>
    <w:rsid w:val="000D01AD"/>
    <w:rsid w:val="000D2C35"/>
    <w:rsid w:val="000D2DEE"/>
    <w:rsid w:val="000E0443"/>
    <w:rsid w:val="000E17D5"/>
    <w:rsid w:val="000E1938"/>
    <w:rsid w:val="000E4550"/>
    <w:rsid w:val="000E74D2"/>
    <w:rsid w:val="000F1B7B"/>
    <w:rsid w:val="000F45F9"/>
    <w:rsid w:val="000F4FD8"/>
    <w:rsid w:val="00100C45"/>
    <w:rsid w:val="00102BFB"/>
    <w:rsid w:val="00103137"/>
    <w:rsid w:val="00104A00"/>
    <w:rsid w:val="001052B3"/>
    <w:rsid w:val="001052BA"/>
    <w:rsid w:val="001109EC"/>
    <w:rsid w:val="00110ED7"/>
    <w:rsid w:val="00114730"/>
    <w:rsid w:val="00114A49"/>
    <w:rsid w:val="001156CC"/>
    <w:rsid w:val="00115A48"/>
    <w:rsid w:val="001212D3"/>
    <w:rsid w:val="00121C1B"/>
    <w:rsid w:val="00121D64"/>
    <w:rsid w:val="0012322C"/>
    <w:rsid w:val="00126E5A"/>
    <w:rsid w:val="001308CF"/>
    <w:rsid w:val="0013346B"/>
    <w:rsid w:val="001352A5"/>
    <w:rsid w:val="001366DE"/>
    <w:rsid w:val="00141497"/>
    <w:rsid w:val="0014199E"/>
    <w:rsid w:val="001443FE"/>
    <w:rsid w:val="001450D0"/>
    <w:rsid w:val="001461F3"/>
    <w:rsid w:val="00146574"/>
    <w:rsid w:val="00150BBE"/>
    <w:rsid w:val="00153250"/>
    <w:rsid w:val="00156256"/>
    <w:rsid w:val="00160D7C"/>
    <w:rsid w:val="00161EE8"/>
    <w:rsid w:val="00163A06"/>
    <w:rsid w:val="00165ED2"/>
    <w:rsid w:val="00166CBF"/>
    <w:rsid w:val="0017062D"/>
    <w:rsid w:val="00172495"/>
    <w:rsid w:val="0017270E"/>
    <w:rsid w:val="00174363"/>
    <w:rsid w:val="00174A3F"/>
    <w:rsid w:val="00176614"/>
    <w:rsid w:val="00176F4D"/>
    <w:rsid w:val="00177056"/>
    <w:rsid w:val="00177E16"/>
    <w:rsid w:val="0018055B"/>
    <w:rsid w:val="00180850"/>
    <w:rsid w:val="00184489"/>
    <w:rsid w:val="001850C5"/>
    <w:rsid w:val="00190D6C"/>
    <w:rsid w:val="00192973"/>
    <w:rsid w:val="00195472"/>
    <w:rsid w:val="001A45C8"/>
    <w:rsid w:val="001A7738"/>
    <w:rsid w:val="001B31EB"/>
    <w:rsid w:val="001B3496"/>
    <w:rsid w:val="001B6003"/>
    <w:rsid w:val="001B75E8"/>
    <w:rsid w:val="001C1802"/>
    <w:rsid w:val="001C1C8A"/>
    <w:rsid w:val="001C37BE"/>
    <w:rsid w:val="001D0773"/>
    <w:rsid w:val="001E1405"/>
    <w:rsid w:val="001E17DF"/>
    <w:rsid w:val="001E6427"/>
    <w:rsid w:val="001E79CD"/>
    <w:rsid w:val="001F04B0"/>
    <w:rsid w:val="001F0E50"/>
    <w:rsid w:val="001F4FAA"/>
    <w:rsid w:val="001F6A5B"/>
    <w:rsid w:val="00203AAD"/>
    <w:rsid w:val="002051C9"/>
    <w:rsid w:val="00205280"/>
    <w:rsid w:val="0021016D"/>
    <w:rsid w:val="00210EF5"/>
    <w:rsid w:val="0021725A"/>
    <w:rsid w:val="00221FCA"/>
    <w:rsid w:val="00221FDB"/>
    <w:rsid w:val="00222B0E"/>
    <w:rsid w:val="0022361C"/>
    <w:rsid w:val="00223E06"/>
    <w:rsid w:val="00223FB2"/>
    <w:rsid w:val="002262B5"/>
    <w:rsid w:val="00226993"/>
    <w:rsid w:val="002317E9"/>
    <w:rsid w:val="00231B81"/>
    <w:rsid w:val="00232F2D"/>
    <w:rsid w:val="002341B9"/>
    <w:rsid w:val="00235880"/>
    <w:rsid w:val="00240647"/>
    <w:rsid w:val="00242AC1"/>
    <w:rsid w:val="00243251"/>
    <w:rsid w:val="002436D5"/>
    <w:rsid w:val="002441D6"/>
    <w:rsid w:val="002441F7"/>
    <w:rsid w:val="00244A77"/>
    <w:rsid w:val="0024559D"/>
    <w:rsid w:val="00246084"/>
    <w:rsid w:val="00250CAC"/>
    <w:rsid w:val="00251887"/>
    <w:rsid w:val="00254565"/>
    <w:rsid w:val="00254A1D"/>
    <w:rsid w:val="00261762"/>
    <w:rsid w:val="0026438F"/>
    <w:rsid w:val="00266142"/>
    <w:rsid w:val="00267581"/>
    <w:rsid w:val="00270524"/>
    <w:rsid w:val="00271978"/>
    <w:rsid w:val="0027287F"/>
    <w:rsid w:val="00272896"/>
    <w:rsid w:val="002729FD"/>
    <w:rsid w:val="00272DD6"/>
    <w:rsid w:val="00273241"/>
    <w:rsid w:val="002740A8"/>
    <w:rsid w:val="002802A5"/>
    <w:rsid w:val="00280CC0"/>
    <w:rsid w:val="00281CFD"/>
    <w:rsid w:val="00282F36"/>
    <w:rsid w:val="00283585"/>
    <w:rsid w:val="00285232"/>
    <w:rsid w:val="002855C1"/>
    <w:rsid w:val="00285FA5"/>
    <w:rsid w:val="002910E8"/>
    <w:rsid w:val="00295281"/>
    <w:rsid w:val="00295A08"/>
    <w:rsid w:val="002963EE"/>
    <w:rsid w:val="0029762A"/>
    <w:rsid w:val="002A2364"/>
    <w:rsid w:val="002A4DC8"/>
    <w:rsid w:val="002A52A4"/>
    <w:rsid w:val="002B0566"/>
    <w:rsid w:val="002B14C0"/>
    <w:rsid w:val="002B1630"/>
    <w:rsid w:val="002B30E5"/>
    <w:rsid w:val="002B4B5B"/>
    <w:rsid w:val="002B55D3"/>
    <w:rsid w:val="002B744B"/>
    <w:rsid w:val="002C246B"/>
    <w:rsid w:val="002C4DAD"/>
    <w:rsid w:val="002C530D"/>
    <w:rsid w:val="002C6906"/>
    <w:rsid w:val="002C7D43"/>
    <w:rsid w:val="002D0BE0"/>
    <w:rsid w:val="002D0C8F"/>
    <w:rsid w:val="002D0E4B"/>
    <w:rsid w:val="002D46CD"/>
    <w:rsid w:val="002D75C9"/>
    <w:rsid w:val="002E01C6"/>
    <w:rsid w:val="002E1735"/>
    <w:rsid w:val="002E2AEB"/>
    <w:rsid w:val="002F1571"/>
    <w:rsid w:val="002F25AE"/>
    <w:rsid w:val="002F5603"/>
    <w:rsid w:val="00300C98"/>
    <w:rsid w:val="00302232"/>
    <w:rsid w:val="0030435A"/>
    <w:rsid w:val="0030577F"/>
    <w:rsid w:val="00311E96"/>
    <w:rsid w:val="00312F6B"/>
    <w:rsid w:val="00313594"/>
    <w:rsid w:val="00320FB0"/>
    <w:rsid w:val="00322785"/>
    <w:rsid w:val="003227EA"/>
    <w:rsid w:val="00326290"/>
    <w:rsid w:val="00331660"/>
    <w:rsid w:val="003325B0"/>
    <w:rsid w:val="0033726A"/>
    <w:rsid w:val="00342292"/>
    <w:rsid w:val="0034258F"/>
    <w:rsid w:val="003528FA"/>
    <w:rsid w:val="00353FF0"/>
    <w:rsid w:val="00356228"/>
    <w:rsid w:val="003570BA"/>
    <w:rsid w:val="00357715"/>
    <w:rsid w:val="00357C3C"/>
    <w:rsid w:val="0036159E"/>
    <w:rsid w:val="00363838"/>
    <w:rsid w:val="00363B06"/>
    <w:rsid w:val="00365040"/>
    <w:rsid w:val="003668B6"/>
    <w:rsid w:val="003670EF"/>
    <w:rsid w:val="00371A42"/>
    <w:rsid w:val="00373748"/>
    <w:rsid w:val="00374A0F"/>
    <w:rsid w:val="0037623F"/>
    <w:rsid w:val="00377E5B"/>
    <w:rsid w:val="003843F6"/>
    <w:rsid w:val="00386288"/>
    <w:rsid w:val="00386364"/>
    <w:rsid w:val="00395835"/>
    <w:rsid w:val="0039596A"/>
    <w:rsid w:val="00395FD6"/>
    <w:rsid w:val="00396365"/>
    <w:rsid w:val="003A2702"/>
    <w:rsid w:val="003A2FD2"/>
    <w:rsid w:val="003A4FE5"/>
    <w:rsid w:val="003B0C55"/>
    <w:rsid w:val="003B1BC0"/>
    <w:rsid w:val="003B1FE3"/>
    <w:rsid w:val="003B20EF"/>
    <w:rsid w:val="003B3C8A"/>
    <w:rsid w:val="003B475C"/>
    <w:rsid w:val="003B5C4A"/>
    <w:rsid w:val="003C1B65"/>
    <w:rsid w:val="003C379E"/>
    <w:rsid w:val="003C3E28"/>
    <w:rsid w:val="003C4182"/>
    <w:rsid w:val="003C41E5"/>
    <w:rsid w:val="003D0413"/>
    <w:rsid w:val="003D0942"/>
    <w:rsid w:val="003D508F"/>
    <w:rsid w:val="003D71D4"/>
    <w:rsid w:val="003E38D6"/>
    <w:rsid w:val="003E43DC"/>
    <w:rsid w:val="003E4511"/>
    <w:rsid w:val="003E561F"/>
    <w:rsid w:val="003E6E74"/>
    <w:rsid w:val="003F5F26"/>
    <w:rsid w:val="003F7619"/>
    <w:rsid w:val="003F7E0F"/>
    <w:rsid w:val="0040357F"/>
    <w:rsid w:val="00404117"/>
    <w:rsid w:val="00405DAD"/>
    <w:rsid w:val="00411C72"/>
    <w:rsid w:val="004128D8"/>
    <w:rsid w:val="004131CA"/>
    <w:rsid w:val="00413A61"/>
    <w:rsid w:val="004141C5"/>
    <w:rsid w:val="004162BF"/>
    <w:rsid w:val="0041708D"/>
    <w:rsid w:val="00421018"/>
    <w:rsid w:val="00421C69"/>
    <w:rsid w:val="00421D23"/>
    <w:rsid w:val="00422106"/>
    <w:rsid w:val="00422666"/>
    <w:rsid w:val="004253EA"/>
    <w:rsid w:val="00425B47"/>
    <w:rsid w:val="004264A6"/>
    <w:rsid w:val="00426557"/>
    <w:rsid w:val="004270A0"/>
    <w:rsid w:val="00432DEF"/>
    <w:rsid w:val="00433C66"/>
    <w:rsid w:val="0043564D"/>
    <w:rsid w:val="0043797A"/>
    <w:rsid w:val="00441382"/>
    <w:rsid w:val="00441FA3"/>
    <w:rsid w:val="00444B83"/>
    <w:rsid w:val="0044583D"/>
    <w:rsid w:val="00452580"/>
    <w:rsid w:val="004567D2"/>
    <w:rsid w:val="00457A8E"/>
    <w:rsid w:val="00463763"/>
    <w:rsid w:val="0047197B"/>
    <w:rsid w:val="004723FB"/>
    <w:rsid w:val="00472521"/>
    <w:rsid w:val="004728AC"/>
    <w:rsid w:val="00473BB1"/>
    <w:rsid w:val="004752FD"/>
    <w:rsid w:val="00477D7B"/>
    <w:rsid w:val="00482BB0"/>
    <w:rsid w:val="004836F7"/>
    <w:rsid w:val="00483944"/>
    <w:rsid w:val="004840F8"/>
    <w:rsid w:val="00484ECF"/>
    <w:rsid w:val="00486807"/>
    <w:rsid w:val="00487C4D"/>
    <w:rsid w:val="00492A68"/>
    <w:rsid w:val="00494A2B"/>
    <w:rsid w:val="00496843"/>
    <w:rsid w:val="00496BF1"/>
    <w:rsid w:val="004A079D"/>
    <w:rsid w:val="004A0F83"/>
    <w:rsid w:val="004A40A4"/>
    <w:rsid w:val="004A46EC"/>
    <w:rsid w:val="004A5BFE"/>
    <w:rsid w:val="004A5F03"/>
    <w:rsid w:val="004B06E3"/>
    <w:rsid w:val="004B18B6"/>
    <w:rsid w:val="004B2A83"/>
    <w:rsid w:val="004B4688"/>
    <w:rsid w:val="004C0D40"/>
    <w:rsid w:val="004C2EEF"/>
    <w:rsid w:val="004C33CB"/>
    <w:rsid w:val="004C453B"/>
    <w:rsid w:val="004C46A6"/>
    <w:rsid w:val="004C6858"/>
    <w:rsid w:val="004C6E52"/>
    <w:rsid w:val="004D0A15"/>
    <w:rsid w:val="004D1A59"/>
    <w:rsid w:val="004D31E9"/>
    <w:rsid w:val="004D5372"/>
    <w:rsid w:val="004E0D02"/>
    <w:rsid w:val="004E1D4D"/>
    <w:rsid w:val="004E1EDA"/>
    <w:rsid w:val="004E1F7D"/>
    <w:rsid w:val="004E3F36"/>
    <w:rsid w:val="004E4BA3"/>
    <w:rsid w:val="004F2629"/>
    <w:rsid w:val="004F266A"/>
    <w:rsid w:val="004F3705"/>
    <w:rsid w:val="004F6155"/>
    <w:rsid w:val="004F7158"/>
    <w:rsid w:val="005011F4"/>
    <w:rsid w:val="00503579"/>
    <w:rsid w:val="00507F99"/>
    <w:rsid w:val="00510075"/>
    <w:rsid w:val="005115E4"/>
    <w:rsid w:val="0052160F"/>
    <w:rsid w:val="005242E3"/>
    <w:rsid w:val="0052638F"/>
    <w:rsid w:val="005269F8"/>
    <w:rsid w:val="00527F7B"/>
    <w:rsid w:val="0053066B"/>
    <w:rsid w:val="00533791"/>
    <w:rsid w:val="0053580D"/>
    <w:rsid w:val="005428B6"/>
    <w:rsid w:val="00542FF3"/>
    <w:rsid w:val="0054332F"/>
    <w:rsid w:val="00543707"/>
    <w:rsid w:val="00545950"/>
    <w:rsid w:val="00546359"/>
    <w:rsid w:val="0054698E"/>
    <w:rsid w:val="00546F67"/>
    <w:rsid w:val="00555237"/>
    <w:rsid w:val="00555895"/>
    <w:rsid w:val="005561D8"/>
    <w:rsid w:val="00561D42"/>
    <w:rsid w:val="00563ED1"/>
    <w:rsid w:val="005702EE"/>
    <w:rsid w:val="00572727"/>
    <w:rsid w:val="00572E55"/>
    <w:rsid w:val="00576AC2"/>
    <w:rsid w:val="00580AC4"/>
    <w:rsid w:val="00580F46"/>
    <w:rsid w:val="00583533"/>
    <w:rsid w:val="00586453"/>
    <w:rsid w:val="00591921"/>
    <w:rsid w:val="00595041"/>
    <w:rsid w:val="00596CB0"/>
    <w:rsid w:val="00597CD4"/>
    <w:rsid w:val="005A1284"/>
    <w:rsid w:val="005A4D61"/>
    <w:rsid w:val="005B2720"/>
    <w:rsid w:val="005B38F7"/>
    <w:rsid w:val="005B3E6E"/>
    <w:rsid w:val="005B4AF4"/>
    <w:rsid w:val="005B5417"/>
    <w:rsid w:val="005B6063"/>
    <w:rsid w:val="005B62D0"/>
    <w:rsid w:val="005B6644"/>
    <w:rsid w:val="005C1329"/>
    <w:rsid w:val="005C16B8"/>
    <w:rsid w:val="005C22C5"/>
    <w:rsid w:val="005C24A3"/>
    <w:rsid w:val="005C6A43"/>
    <w:rsid w:val="005D189E"/>
    <w:rsid w:val="005D1B4D"/>
    <w:rsid w:val="005D3DE8"/>
    <w:rsid w:val="005D3E97"/>
    <w:rsid w:val="005D4E37"/>
    <w:rsid w:val="005D55BE"/>
    <w:rsid w:val="005E429D"/>
    <w:rsid w:val="005E4E55"/>
    <w:rsid w:val="005E67E8"/>
    <w:rsid w:val="005F0163"/>
    <w:rsid w:val="005F7A68"/>
    <w:rsid w:val="005F7B86"/>
    <w:rsid w:val="005F7BFF"/>
    <w:rsid w:val="00600207"/>
    <w:rsid w:val="00600E47"/>
    <w:rsid w:val="006017D0"/>
    <w:rsid w:val="0060273A"/>
    <w:rsid w:val="00606CE1"/>
    <w:rsid w:val="0061790C"/>
    <w:rsid w:val="006218E7"/>
    <w:rsid w:val="00621B20"/>
    <w:rsid w:val="0062478E"/>
    <w:rsid w:val="006277D3"/>
    <w:rsid w:val="00630E9A"/>
    <w:rsid w:val="0063393A"/>
    <w:rsid w:val="0063456C"/>
    <w:rsid w:val="006365AD"/>
    <w:rsid w:val="006420E2"/>
    <w:rsid w:val="006421E1"/>
    <w:rsid w:val="006510C9"/>
    <w:rsid w:val="00651310"/>
    <w:rsid w:val="00652250"/>
    <w:rsid w:val="0065341E"/>
    <w:rsid w:val="00655CDB"/>
    <w:rsid w:val="00657177"/>
    <w:rsid w:val="0066055D"/>
    <w:rsid w:val="00662115"/>
    <w:rsid w:val="00666B7F"/>
    <w:rsid w:val="006707E9"/>
    <w:rsid w:val="00670F57"/>
    <w:rsid w:val="0067128C"/>
    <w:rsid w:val="00672E45"/>
    <w:rsid w:val="00674D57"/>
    <w:rsid w:val="0068139B"/>
    <w:rsid w:val="00682118"/>
    <w:rsid w:val="0068214B"/>
    <w:rsid w:val="00682469"/>
    <w:rsid w:val="00685966"/>
    <w:rsid w:val="006906D2"/>
    <w:rsid w:val="006910DF"/>
    <w:rsid w:val="0069160F"/>
    <w:rsid w:val="006941EF"/>
    <w:rsid w:val="00695237"/>
    <w:rsid w:val="00695DEA"/>
    <w:rsid w:val="006971EE"/>
    <w:rsid w:val="006A0887"/>
    <w:rsid w:val="006A09BB"/>
    <w:rsid w:val="006A2FBE"/>
    <w:rsid w:val="006A7593"/>
    <w:rsid w:val="006B362A"/>
    <w:rsid w:val="006B4CB2"/>
    <w:rsid w:val="006B58FE"/>
    <w:rsid w:val="006B7BD9"/>
    <w:rsid w:val="006C665D"/>
    <w:rsid w:val="006C66BB"/>
    <w:rsid w:val="006C70E5"/>
    <w:rsid w:val="006C7C6A"/>
    <w:rsid w:val="006D2229"/>
    <w:rsid w:val="006D306B"/>
    <w:rsid w:val="006D38AE"/>
    <w:rsid w:val="006D4387"/>
    <w:rsid w:val="006D7917"/>
    <w:rsid w:val="006E1670"/>
    <w:rsid w:val="006E4FAB"/>
    <w:rsid w:val="006E65BD"/>
    <w:rsid w:val="006E732F"/>
    <w:rsid w:val="006E7783"/>
    <w:rsid w:val="006F02C4"/>
    <w:rsid w:val="006F1467"/>
    <w:rsid w:val="006F344E"/>
    <w:rsid w:val="006F3E78"/>
    <w:rsid w:val="00700EDD"/>
    <w:rsid w:val="007021E8"/>
    <w:rsid w:val="0070450E"/>
    <w:rsid w:val="007070D1"/>
    <w:rsid w:val="00707276"/>
    <w:rsid w:val="00710770"/>
    <w:rsid w:val="0071103C"/>
    <w:rsid w:val="00711832"/>
    <w:rsid w:val="00711A22"/>
    <w:rsid w:val="0071474C"/>
    <w:rsid w:val="007160F6"/>
    <w:rsid w:val="00716337"/>
    <w:rsid w:val="007168E8"/>
    <w:rsid w:val="00716CCC"/>
    <w:rsid w:val="00722843"/>
    <w:rsid w:val="007244A9"/>
    <w:rsid w:val="007248A2"/>
    <w:rsid w:val="00730FC1"/>
    <w:rsid w:val="00733CB4"/>
    <w:rsid w:val="007342D6"/>
    <w:rsid w:val="007425A0"/>
    <w:rsid w:val="00742E90"/>
    <w:rsid w:val="0074383D"/>
    <w:rsid w:val="00743DDB"/>
    <w:rsid w:val="007449F1"/>
    <w:rsid w:val="00744AB2"/>
    <w:rsid w:val="00751F5D"/>
    <w:rsid w:val="00753016"/>
    <w:rsid w:val="007547C6"/>
    <w:rsid w:val="00755F4D"/>
    <w:rsid w:val="007577A8"/>
    <w:rsid w:val="00763F83"/>
    <w:rsid w:val="007651D4"/>
    <w:rsid w:val="00766C00"/>
    <w:rsid w:val="00766E75"/>
    <w:rsid w:val="00781F69"/>
    <w:rsid w:val="0078257F"/>
    <w:rsid w:val="00782BEC"/>
    <w:rsid w:val="00785159"/>
    <w:rsid w:val="00785B76"/>
    <w:rsid w:val="00786589"/>
    <w:rsid w:val="007907D8"/>
    <w:rsid w:val="00791773"/>
    <w:rsid w:val="00794EE7"/>
    <w:rsid w:val="007A228F"/>
    <w:rsid w:val="007A2479"/>
    <w:rsid w:val="007A7863"/>
    <w:rsid w:val="007B31F6"/>
    <w:rsid w:val="007C26AF"/>
    <w:rsid w:val="007C276F"/>
    <w:rsid w:val="007D0CEB"/>
    <w:rsid w:val="007D573F"/>
    <w:rsid w:val="007D69A5"/>
    <w:rsid w:val="007D6B56"/>
    <w:rsid w:val="007E22F9"/>
    <w:rsid w:val="007E6E76"/>
    <w:rsid w:val="007F501B"/>
    <w:rsid w:val="007F676D"/>
    <w:rsid w:val="007F7FEB"/>
    <w:rsid w:val="00801428"/>
    <w:rsid w:val="00801DD5"/>
    <w:rsid w:val="008024D9"/>
    <w:rsid w:val="00806A26"/>
    <w:rsid w:val="008164CF"/>
    <w:rsid w:val="008177A9"/>
    <w:rsid w:val="00822171"/>
    <w:rsid w:val="00822C11"/>
    <w:rsid w:val="008231F5"/>
    <w:rsid w:val="00825986"/>
    <w:rsid w:val="00825B26"/>
    <w:rsid w:val="00830BB1"/>
    <w:rsid w:val="00832099"/>
    <w:rsid w:val="00832410"/>
    <w:rsid w:val="0083343E"/>
    <w:rsid w:val="00833491"/>
    <w:rsid w:val="00835653"/>
    <w:rsid w:val="008369FB"/>
    <w:rsid w:val="008418C9"/>
    <w:rsid w:val="00841BFC"/>
    <w:rsid w:val="00841F5B"/>
    <w:rsid w:val="00842FF6"/>
    <w:rsid w:val="008454FB"/>
    <w:rsid w:val="00845EB2"/>
    <w:rsid w:val="008534AC"/>
    <w:rsid w:val="00855DD1"/>
    <w:rsid w:val="00856624"/>
    <w:rsid w:val="00856A8D"/>
    <w:rsid w:val="00856F48"/>
    <w:rsid w:val="0086291C"/>
    <w:rsid w:val="00865A01"/>
    <w:rsid w:val="00865FC0"/>
    <w:rsid w:val="00867207"/>
    <w:rsid w:val="008743CF"/>
    <w:rsid w:val="008761AE"/>
    <w:rsid w:val="00881DAC"/>
    <w:rsid w:val="0089185D"/>
    <w:rsid w:val="00891F7F"/>
    <w:rsid w:val="00892CB8"/>
    <w:rsid w:val="00893B5A"/>
    <w:rsid w:val="00895890"/>
    <w:rsid w:val="008958CD"/>
    <w:rsid w:val="00896B92"/>
    <w:rsid w:val="008971AE"/>
    <w:rsid w:val="0089724F"/>
    <w:rsid w:val="008A29C3"/>
    <w:rsid w:val="008A553C"/>
    <w:rsid w:val="008A5BD8"/>
    <w:rsid w:val="008A6498"/>
    <w:rsid w:val="008B00CA"/>
    <w:rsid w:val="008B0B30"/>
    <w:rsid w:val="008B0DD2"/>
    <w:rsid w:val="008B18BE"/>
    <w:rsid w:val="008B2CA4"/>
    <w:rsid w:val="008B2CBC"/>
    <w:rsid w:val="008B4572"/>
    <w:rsid w:val="008B664C"/>
    <w:rsid w:val="008B7374"/>
    <w:rsid w:val="008C1C43"/>
    <w:rsid w:val="008C2B74"/>
    <w:rsid w:val="008C46D6"/>
    <w:rsid w:val="008C7208"/>
    <w:rsid w:val="008C7866"/>
    <w:rsid w:val="008C7F24"/>
    <w:rsid w:val="008D16B3"/>
    <w:rsid w:val="008D1814"/>
    <w:rsid w:val="008D1BCC"/>
    <w:rsid w:val="008D2A64"/>
    <w:rsid w:val="008D5C1A"/>
    <w:rsid w:val="008D5E5D"/>
    <w:rsid w:val="008E09E8"/>
    <w:rsid w:val="008E0A4C"/>
    <w:rsid w:val="008E23D3"/>
    <w:rsid w:val="008E282C"/>
    <w:rsid w:val="008E2B7D"/>
    <w:rsid w:val="008E6716"/>
    <w:rsid w:val="008F089D"/>
    <w:rsid w:val="008F134D"/>
    <w:rsid w:val="008F4C95"/>
    <w:rsid w:val="008F68B7"/>
    <w:rsid w:val="008F6B7E"/>
    <w:rsid w:val="008F6C1A"/>
    <w:rsid w:val="009033A7"/>
    <w:rsid w:val="00903A18"/>
    <w:rsid w:val="00904431"/>
    <w:rsid w:val="009061DB"/>
    <w:rsid w:val="009066CF"/>
    <w:rsid w:val="009072FD"/>
    <w:rsid w:val="00907629"/>
    <w:rsid w:val="009104EC"/>
    <w:rsid w:val="00911271"/>
    <w:rsid w:val="00916A02"/>
    <w:rsid w:val="009226F0"/>
    <w:rsid w:val="00924B13"/>
    <w:rsid w:val="00926245"/>
    <w:rsid w:val="00927BB1"/>
    <w:rsid w:val="00932D99"/>
    <w:rsid w:val="00936B93"/>
    <w:rsid w:val="00940541"/>
    <w:rsid w:val="0094128E"/>
    <w:rsid w:val="00941A2F"/>
    <w:rsid w:val="0094248C"/>
    <w:rsid w:val="00944214"/>
    <w:rsid w:val="00946373"/>
    <w:rsid w:val="009469B5"/>
    <w:rsid w:val="00950C39"/>
    <w:rsid w:val="00957086"/>
    <w:rsid w:val="009609AE"/>
    <w:rsid w:val="009630CB"/>
    <w:rsid w:val="00964F68"/>
    <w:rsid w:val="009656DA"/>
    <w:rsid w:val="0097053E"/>
    <w:rsid w:val="00971E2E"/>
    <w:rsid w:val="00971FBC"/>
    <w:rsid w:val="00971FDE"/>
    <w:rsid w:val="009749A3"/>
    <w:rsid w:val="009753FC"/>
    <w:rsid w:val="0098052C"/>
    <w:rsid w:val="009807C7"/>
    <w:rsid w:val="009826BC"/>
    <w:rsid w:val="0098295A"/>
    <w:rsid w:val="0098703A"/>
    <w:rsid w:val="0099348A"/>
    <w:rsid w:val="00993AE6"/>
    <w:rsid w:val="00994AF5"/>
    <w:rsid w:val="009A3429"/>
    <w:rsid w:val="009A3E5D"/>
    <w:rsid w:val="009A45D2"/>
    <w:rsid w:val="009B0571"/>
    <w:rsid w:val="009B062D"/>
    <w:rsid w:val="009B4119"/>
    <w:rsid w:val="009B55E7"/>
    <w:rsid w:val="009C1CD3"/>
    <w:rsid w:val="009C3347"/>
    <w:rsid w:val="009C5FB5"/>
    <w:rsid w:val="009C7917"/>
    <w:rsid w:val="009D0E84"/>
    <w:rsid w:val="009D236E"/>
    <w:rsid w:val="009D39FF"/>
    <w:rsid w:val="009D4FAD"/>
    <w:rsid w:val="009D59B4"/>
    <w:rsid w:val="009E13E7"/>
    <w:rsid w:val="009E2A99"/>
    <w:rsid w:val="009E3FAE"/>
    <w:rsid w:val="009E49B6"/>
    <w:rsid w:val="009E5B68"/>
    <w:rsid w:val="009F21F8"/>
    <w:rsid w:val="009F268F"/>
    <w:rsid w:val="009F33CC"/>
    <w:rsid w:val="009F59D9"/>
    <w:rsid w:val="009F67EA"/>
    <w:rsid w:val="009F775A"/>
    <w:rsid w:val="00A02C95"/>
    <w:rsid w:val="00A03333"/>
    <w:rsid w:val="00A03A20"/>
    <w:rsid w:val="00A05C56"/>
    <w:rsid w:val="00A06135"/>
    <w:rsid w:val="00A062F0"/>
    <w:rsid w:val="00A11198"/>
    <w:rsid w:val="00A1138E"/>
    <w:rsid w:val="00A12696"/>
    <w:rsid w:val="00A12A63"/>
    <w:rsid w:val="00A12F21"/>
    <w:rsid w:val="00A14CCC"/>
    <w:rsid w:val="00A14EB8"/>
    <w:rsid w:val="00A16B46"/>
    <w:rsid w:val="00A17D61"/>
    <w:rsid w:val="00A22AC7"/>
    <w:rsid w:val="00A2326D"/>
    <w:rsid w:val="00A23AAC"/>
    <w:rsid w:val="00A23D6F"/>
    <w:rsid w:val="00A24389"/>
    <w:rsid w:val="00A259F5"/>
    <w:rsid w:val="00A25E85"/>
    <w:rsid w:val="00A25F4D"/>
    <w:rsid w:val="00A26BBD"/>
    <w:rsid w:val="00A30F6E"/>
    <w:rsid w:val="00A3587B"/>
    <w:rsid w:val="00A36DB7"/>
    <w:rsid w:val="00A4412B"/>
    <w:rsid w:val="00A453B7"/>
    <w:rsid w:val="00A47D4A"/>
    <w:rsid w:val="00A500C3"/>
    <w:rsid w:val="00A50361"/>
    <w:rsid w:val="00A53A69"/>
    <w:rsid w:val="00A54375"/>
    <w:rsid w:val="00A558BB"/>
    <w:rsid w:val="00A57CA9"/>
    <w:rsid w:val="00A602EA"/>
    <w:rsid w:val="00A60DAE"/>
    <w:rsid w:val="00A64522"/>
    <w:rsid w:val="00A66114"/>
    <w:rsid w:val="00A6646F"/>
    <w:rsid w:val="00A67D22"/>
    <w:rsid w:val="00A72BAD"/>
    <w:rsid w:val="00A7304C"/>
    <w:rsid w:val="00A73298"/>
    <w:rsid w:val="00A76A40"/>
    <w:rsid w:val="00A7748E"/>
    <w:rsid w:val="00A813A6"/>
    <w:rsid w:val="00A8774C"/>
    <w:rsid w:val="00A87D08"/>
    <w:rsid w:val="00A94322"/>
    <w:rsid w:val="00A94B08"/>
    <w:rsid w:val="00AA00B0"/>
    <w:rsid w:val="00AA311E"/>
    <w:rsid w:val="00AA326E"/>
    <w:rsid w:val="00AA33DB"/>
    <w:rsid w:val="00AA5631"/>
    <w:rsid w:val="00AA578F"/>
    <w:rsid w:val="00AA5A9F"/>
    <w:rsid w:val="00AA66B3"/>
    <w:rsid w:val="00AA6C44"/>
    <w:rsid w:val="00AA6FBE"/>
    <w:rsid w:val="00AA70DB"/>
    <w:rsid w:val="00AB4F02"/>
    <w:rsid w:val="00AB64D1"/>
    <w:rsid w:val="00AB6F14"/>
    <w:rsid w:val="00AB7804"/>
    <w:rsid w:val="00AC4682"/>
    <w:rsid w:val="00AC6BB8"/>
    <w:rsid w:val="00AC7CDA"/>
    <w:rsid w:val="00AD0B8F"/>
    <w:rsid w:val="00AD1429"/>
    <w:rsid w:val="00AD357F"/>
    <w:rsid w:val="00AD736C"/>
    <w:rsid w:val="00AE3A78"/>
    <w:rsid w:val="00AF399F"/>
    <w:rsid w:val="00AF4813"/>
    <w:rsid w:val="00AF4A52"/>
    <w:rsid w:val="00B00602"/>
    <w:rsid w:val="00B06DEF"/>
    <w:rsid w:val="00B13B16"/>
    <w:rsid w:val="00B143B0"/>
    <w:rsid w:val="00B1762D"/>
    <w:rsid w:val="00B20B02"/>
    <w:rsid w:val="00B22D38"/>
    <w:rsid w:val="00B2373D"/>
    <w:rsid w:val="00B23964"/>
    <w:rsid w:val="00B24951"/>
    <w:rsid w:val="00B2536A"/>
    <w:rsid w:val="00B25F3A"/>
    <w:rsid w:val="00B30AC5"/>
    <w:rsid w:val="00B31347"/>
    <w:rsid w:val="00B331DB"/>
    <w:rsid w:val="00B42DAD"/>
    <w:rsid w:val="00B4558E"/>
    <w:rsid w:val="00B522BD"/>
    <w:rsid w:val="00B527F1"/>
    <w:rsid w:val="00B52C7B"/>
    <w:rsid w:val="00B535B2"/>
    <w:rsid w:val="00B5654A"/>
    <w:rsid w:val="00B579FA"/>
    <w:rsid w:val="00B61A2F"/>
    <w:rsid w:val="00B61D72"/>
    <w:rsid w:val="00B62A86"/>
    <w:rsid w:val="00B63707"/>
    <w:rsid w:val="00B651C0"/>
    <w:rsid w:val="00B658A2"/>
    <w:rsid w:val="00B66463"/>
    <w:rsid w:val="00B669F7"/>
    <w:rsid w:val="00B71A08"/>
    <w:rsid w:val="00B71E0D"/>
    <w:rsid w:val="00B73059"/>
    <w:rsid w:val="00B7506B"/>
    <w:rsid w:val="00B8011B"/>
    <w:rsid w:val="00B83B5A"/>
    <w:rsid w:val="00B90895"/>
    <w:rsid w:val="00B90F77"/>
    <w:rsid w:val="00B931A3"/>
    <w:rsid w:val="00B93B57"/>
    <w:rsid w:val="00B95105"/>
    <w:rsid w:val="00B9557E"/>
    <w:rsid w:val="00BA2714"/>
    <w:rsid w:val="00BA7E52"/>
    <w:rsid w:val="00BB02E1"/>
    <w:rsid w:val="00BB328F"/>
    <w:rsid w:val="00BB5F1B"/>
    <w:rsid w:val="00BB6764"/>
    <w:rsid w:val="00BB7430"/>
    <w:rsid w:val="00BC07AA"/>
    <w:rsid w:val="00BC0C0B"/>
    <w:rsid w:val="00BC17E5"/>
    <w:rsid w:val="00BD0E06"/>
    <w:rsid w:val="00BD2C2F"/>
    <w:rsid w:val="00BD47C4"/>
    <w:rsid w:val="00BD4F4D"/>
    <w:rsid w:val="00BD650F"/>
    <w:rsid w:val="00BE0191"/>
    <w:rsid w:val="00BE442E"/>
    <w:rsid w:val="00BE6BA6"/>
    <w:rsid w:val="00BE7995"/>
    <w:rsid w:val="00BF0D37"/>
    <w:rsid w:val="00BF3141"/>
    <w:rsid w:val="00BF4263"/>
    <w:rsid w:val="00BF4B76"/>
    <w:rsid w:val="00BF621F"/>
    <w:rsid w:val="00C04EFF"/>
    <w:rsid w:val="00C10C8A"/>
    <w:rsid w:val="00C1106F"/>
    <w:rsid w:val="00C12BD4"/>
    <w:rsid w:val="00C14C32"/>
    <w:rsid w:val="00C1506F"/>
    <w:rsid w:val="00C16F64"/>
    <w:rsid w:val="00C22FF8"/>
    <w:rsid w:val="00C238DB"/>
    <w:rsid w:val="00C3218E"/>
    <w:rsid w:val="00C323DC"/>
    <w:rsid w:val="00C33CC9"/>
    <w:rsid w:val="00C34536"/>
    <w:rsid w:val="00C44462"/>
    <w:rsid w:val="00C50552"/>
    <w:rsid w:val="00C50C63"/>
    <w:rsid w:val="00C560AD"/>
    <w:rsid w:val="00C56CE7"/>
    <w:rsid w:val="00C57FC5"/>
    <w:rsid w:val="00C61EAD"/>
    <w:rsid w:val="00C63503"/>
    <w:rsid w:val="00C644D1"/>
    <w:rsid w:val="00C648FF"/>
    <w:rsid w:val="00C6587A"/>
    <w:rsid w:val="00C71816"/>
    <w:rsid w:val="00C71900"/>
    <w:rsid w:val="00C74536"/>
    <w:rsid w:val="00C76D37"/>
    <w:rsid w:val="00C76D8F"/>
    <w:rsid w:val="00C77F65"/>
    <w:rsid w:val="00C83820"/>
    <w:rsid w:val="00C8633F"/>
    <w:rsid w:val="00C867D5"/>
    <w:rsid w:val="00C87023"/>
    <w:rsid w:val="00C87D61"/>
    <w:rsid w:val="00C91383"/>
    <w:rsid w:val="00C92DAD"/>
    <w:rsid w:val="00C96B33"/>
    <w:rsid w:val="00CA370C"/>
    <w:rsid w:val="00CA56B4"/>
    <w:rsid w:val="00CA6953"/>
    <w:rsid w:val="00CA7D6D"/>
    <w:rsid w:val="00CB099A"/>
    <w:rsid w:val="00CB1622"/>
    <w:rsid w:val="00CB19DD"/>
    <w:rsid w:val="00CB3A3B"/>
    <w:rsid w:val="00CB49E0"/>
    <w:rsid w:val="00CB4A3B"/>
    <w:rsid w:val="00CB4C90"/>
    <w:rsid w:val="00CC6A52"/>
    <w:rsid w:val="00CC7354"/>
    <w:rsid w:val="00CC79B6"/>
    <w:rsid w:val="00CD23B0"/>
    <w:rsid w:val="00CD3CEA"/>
    <w:rsid w:val="00CD7BEF"/>
    <w:rsid w:val="00CE1C78"/>
    <w:rsid w:val="00CE23BB"/>
    <w:rsid w:val="00CE6C42"/>
    <w:rsid w:val="00CE6E98"/>
    <w:rsid w:val="00CF0B87"/>
    <w:rsid w:val="00CF35EC"/>
    <w:rsid w:val="00D02E52"/>
    <w:rsid w:val="00D03249"/>
    <w:rsid w:val="00D061AD"/>
    <w:rsid w:val="00D10C90"/>
    <w:rsid w:val="00D14991"/>
    <w:rsid w:val="00D16C0D"/>
    <w:rsid w:val="00D17968"/>
    <w:rsid w:val="00D21427"/>
    <w:rsid w:val="00D225CA"/>
    <w:rsid w:val="00D22B25"/>
    <w:rsid w:val="00D23E84"/>
    <w:rsid w:val="00D24464"/>
    <w:rsid w:val="00D265B6"/>
    <w:rsid w:val="00D276C8"/>
    <w:rsid w:val="00D27E1E"/>
    <w:rsid w:val="00D3384B"/>
    <w:rsid w:val="00D35905"/>
    <w:rsid w:val="00D35C63"/>
    <w:rsid w:val="00D371FD"/>
    <w:rsid w:val="00D37F46"/>
    <w:rsid w:val="00D40CA9"/>
    <w:rsid w:val="00D41AEE"/>
    <w:rsid w:val="00D41C10"/>
    <w:rsid w:val="00D41C88"/>
    <w:rsid w:val="00D4592C"/>
    <w:rsid w:val="00D470F5"/>
    <w:rsid w:val="00D47566"/>
    <w:rsid w:val="00D51313"/>
    <w:rsid w:val="00D521A8"/>
    <w:rsid w:val="00D52246"/>
    <w:rsid w:val="00D54251"/>
    <w:rsid w:val="00D6438B"/>
    <w:rsid w:val="00D643F3"/>
    <w:rsid w:val="00D65D1F"/>
    <w:rsid w:val="00D67800"/>
    <w:rsid w:val="00D67EE3"/>
    <w:rsid w:val="00D72FC1"/>
    <w:rsid w:val="00D73F8C"/>
    <w:rsid w:val="00D74158"/>
    <w:rsid w:val="00D742F0"/>
    <w:rsid w:val="00D7488F"/>
    <w:rsid w:val="00D75EAC"/>
    <w:rsid w:val="00D81A2A"/>
    <w:rsid w:val="00D859A1"/>
    <w:rsid w:val="00D930D3"/>
    <w:rsid w:val="00D962C1"/>
    <w:rsid w:val="00D969BB"/>
    <w:rsid w:val="00D97029"/>
    <w:rsid w:val="00DA444E"/>
    <w:rsid w:val="00DA773F"/>
    <w:rsid w:val="00DB08CD"/>
    <w:rsid w:val="00DB37DB"/>
    <w:rsid w:val="00DB522E"/>
    <w:rsid w:val="00DB6230"/>
    <w:rsid w:val="00DB780E"/>
    <w:rsid w:val="00DC01DE"/>
    <w:rsid w:val="00DC0456"/>
    <w:rsid w:val="00DD06A0"/>
    <w:rsid w:val="00DD0F98"/>
    <w:rsid w:val="00DD329C"/>
    <w:rsid w:val="00DD3651"/>
    <w:rsid w:val="00DE03F0"/>
    <w:rsid w:val="00DE16A9"/>
    <w:rsid w:val="00DE27D9"/>
    <w:rsid w:val="00DE2910"/>
    <w:rsid w:val="00DE2E24"/>
    <w:rsid w:val="00DE436E"/>
    <w:rsid w:val="00DE5A8F"/>
    <w:rsid w:val="00DF0559"/>
    <w:rsid w:val="00DF1295"/>
    <w:rsid w:val="00DF19A4"/>
    <w:rsid w:val="00DF202A"/>
    <w:rsid w:val="00DF2238"/>
    <w:rsid w:val="00DF413B"/>
    <w:rsid w:val="00E013EC"/>
    <w:rsid w:val="00E055D7"/>
    <w:rsid w:val="00E057D3"/>
    <w:rsid w:val="00E07066"/>
    <w:rsid w:val="00E07FEA"/>
    <w:rsid w:val="00E110A1"/>
    <w:rsid w:val="00E14150"/>
    <w:rsid w:val="00E165B0"/>
    <w:rsid w:val="00E176D8"/>
    <w:rsid w:val="00E22864"/>
    <w:rsid w:val="00E23212"/>
    <w:rsid w:val="00E2370A"/>
    <w:rsid w:val="00E32B82"/>
    <w:rsid w:val="00E32F5C"/>
    <w:rsid w:val="00E4221A"/>
    <w:rsid w:val="00E422CE"/>
    <w:rsid w:val="00E42BE8"/>
    <w:rsid w:val="00E4606A"/>
    <w:rsid w:val="00E51873"/>
    <w:rsid w:val="00E53EC3"/>
    <w:rsid w:val="00E558E8"/>
    <w:rsid w:val="00E61448"/>
    <w:rsid w:val="00E61D89"/>
    <w:rsid w:val="00E6389B"/>
    <w:rsid w:val="00E65357"/>
    <w:rsid w:val="00E66C22"/>
    <w:rsid w:val="00E671C2"/>
    <w:rsid w:val="00E74652"/>
    <w:rsid w:val="00E757B0"/>
    <w:rsid w:val="00E76D0E"/>
    <w:rsid w:val="00E83C93"/>
    <w:rsid w:val="00E86456"/>
    <w:rsid w:val="00E87F02"/>
    <w:rsid w:val="00E906F9"/>
    <w:rsid w:val="00E963F9"/>
    <w:rsid w:val="00EA1BB8"/>
    <w:rsid w:val="00EA1E30"/>
    <w:rsid w:val="00EA2F26"/>
    <w:rsid w:val="00EA444F"/>
    <w:rsid w:val="00EA5DDA"/>
    <w:rsid w:val="00EB4694"/>
    <w:rsid w:val="00EB6044"/>
    <w:rsid w:val="00EB6B47"/>
    <w:rsid w:val="00EC3656"/>
    <w:rsid w:val="00EC795B"/>
    <w:rsid w:val="00ED0E76"/>
    <w:rsid w:val="00ED22C0"/>
    <w:rsid w:val="00ED656C"/>
    <w:rsid w:val="00ED66F7"/>
    <w:rsid w:val="00EE0056"/>
    <w:rsid w:val="00EE2D06"/>
    <w:rsid w:val="00EE2EAB"/>
    <w:rsid w:val="00EE3E5F"/>
    <w:rsid w:val="00EE5D19"/>
    <w:rsid w:val="00EE6D22"/>
    <w:rsid w:val="00EE7BBC"/>
    <w:rsid w:val="00EF40F5"/>
    <w:rsid w:val="00EF468C"/>
    <w:rsid w:val="00EF4A1F"/>
    <w:rsid w:val="00EF613C"/>
    <w:rsid w:val="00F034BC"/>
    <w:rsid w:val="00F052D6"/>
    <w:rsid w:val="00F05760"/>
    <w:rsid w:val="00F06EA5"/>
    <w:rsid w:val="00F06EB4"/>
    <w:rsid w:val="00F07BFB"/>
    <w:rsid w:val="00F12BB7"/>
    <w:rsid w:val="00F12D54"/>
    <w:rsid w:val="00F13288"/>
    <w:rsid w:val="00F13944"/>
    <w:rsid w:val="00F145AA"/>
    <w:rsid w:val="00F217E9"/>
    <w:rsid w:val="00F222ED"/>
    <w:rsid w:val="00F24DF3"/>
    <w:rsid w:val="00F304FF"/>
    <w:rsid w:val="00F32BBF"/>
    <w:rsid w:val="00F33C07"/>
    <w:rsid w:val="00F354E0"/>
    <w:rsid w:val="00F45211"/>
    <w:rsid w:val="00F5098E"/>
    <w:rsid w:val="00F50B39"/>
    <w:rsid w:val="00F50BFA"/>
    <w:rsid w:val="00F51A6E"/>
    <w:rsid w:val="00F53327"/>
    <w:rsid w:val="00F53B32"/>
    <w:rsid w:val="00F55DE6"/>
    <w:rsid w:val="00F6221A"/>
    <w:rsid w:val="00F63F35"/>
    <w:rsid w:val="00F648B8"/>
    <w:rsid w:val="00F65FD0"/>
    <w:rsid w:val="00F66E2E"/>
    <w:rsid w:val="00F737E5"/>
    <w:rsid w:val="00F74B42"/>
    <w:rsid w:val="00F7591E"/>
    <w:rsid w:val="00F80CDD"/>
    <w:rsid w:val="00F84236"/>
    <w:rsid w:val="00F853B8"/>
    <w:rsid w:val="00F913DE"/>
    <w:rsid w:val="00F931FB"/>
    <w:rsid w:val="00FA0A27"/>
    <w:rsid w:val="00FA14D3"/>
    <w:rsid w:val="00FA3AED"/>
    <w:rsid w:val="00FA495A"/>
    <w:rsid w:val="00FA7CE5"/>
    <w:rsid w:val="00FB058E"/>
    <w:rsid w:val="00FB0D25"/>
    <w:rsid w:val="00FB0DFF"/>
    <w:rsid w:val="00FB1D0D"/>
    <w:rsid w:val="00FB2540"/>
    <w:rsid w:val="00FB6A5D"/>
    <w:rsid w:val="00FB6E1B"/>
    <w:rsid w:val="00FB70F9"/>
    <w:rsid w:val="00FC1A39"/>
    <w:rsid w:val="00FC4060"/>
    <w:rsid w:val="00FC7259"/>
    <w:rsid w:val="00FC7AB1"/>
    <w:rsid w:val="00FC7EA9"/>
    <w:rsid w:val="00FD0387"/>
    <w:rsid w:val="00FD0D7E"/>
    <w:rsid w:val="00FD611B"/>
    <w:rsid w:val="00FD653F"/>
    <w:rsid w:val="00FD69CC"/>
    <w:rsid w:val="00FE33B2"/>
    <w:rsid w:val="00FE4CD0"/>
    <w:rsid w:val="00FF1CE6"/>
    <w:rsid w:val="00FF38F9"/>
    <w:rsid w:val="00FF3E8D"/>
    <w:rsid w:val="00FF442F"/>
    <w:rsid w:val="00FF649C"/>
    <w:rsid w:val="00FF7D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F906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E0056"/>
    <w:rPr>
      <w:rFonts w:ascii="Times New Roman" w:eastAsia="Times New Roman" w:hAnsi="Times New Roman"/>
      <w:sz w:val="24"/>
      <w:szCs w:val="24"/>
    </w:rPr>
  </w:style>
  <w:style w:type="paragraph" w:styleId="Kop1">
    <w:name w:val="heading 1"/>
    <w:basedOn w:val="Standaard"/>
    <w:next w:val="Standaard"/>
    <w:link w:val="Kop1Char"/>
    <w:qFormat/>
    <w:rsid w:val="00CA7D6D"/>
    <w:pPr>
      <w:keepNext/>
      <w:spacing w:line="360" w:lineRule="auto"/>
      <w:outlineLvl w:val="0"/>
    </w:pPr>
    <w:rPr>
      <w:b/>
      <w:lang w:val="nl"/>
    </w:rPr>
  </w:style>
  <w:style w:type="paragraph" w:styleId="Kop2">
    <w:name w:val="heading 2"/>
    <w:basedOn w:val="Standaard"/>
    <w:next w:val="Standaard"/>
    <w:link w:val="Kop2Char"/>
    <w:qFormat/>
    <w:rsid w:val="00CA7D6D"/>
    <w:pPr>
      <w:keepNext/>
      <w:spacing w:before="240" w:after="60"/>
      <w:outlineLvl w:val="1"/>
    </w:pPr>
    <w:rPr>
      <w:rFonts w:ascii="Arial" w:hAnsi="Arial" w:cs="Arial"/>
      <w:b/>
      <w:bCs/>
      <w:i/>
      <w:iCs/>
      <w:sz w:val="28"/>
      <w:szCs w:val="28"/>
    </w:rPr>
  </w:style>
  <w:style w:type="paragraph" w:styleId="Kop3">
    <w:name w:val="heading 3"/>
    <w:basedOn w:val="Standaard"/>
    <w:next w:val="Standaard"/>
    <w:link w:val="Kop3Char"/>
    <w:qFormat/>
    <w:rsid w:val="00CA7D6D"/>
    <w:pPr>
      <w:keepNext/>
      <w:spacing w:before="240" w:after="60"/>
      <w:outlineLvl w:val="2"/>
    </w:pPr>
    <w:rPr>
      <w:rFonts w:ascii="Arial" w:hAnsi="Arial" w:cs="Arial"/>
      <w:b/>
      <w:bCs/>
      <w:sz w:val="26"/>
      <w:szCs w:val="26"/>
    </w:rPr>
  </w:style>
  <w:style w:type="paragraph" w:styleId="Kop4">
    <w:name w:val="heading 4"/>
    <w:basedOn w:val="Standaard"/>
    <w:next w:val="Standaard"/>
    <w:link w:val="Kop4Char"/>
    <w:qFormat/>
    <w:rsid w:val="00CA7D6D"/>
    <w:pPr>
      <w:keepNext/>
      <w:spacing w:before="240" w:after="60"/>
      <w:outlineLvl w:val="3"/>
    </w:pPr>
    <w:rPr>
      <w:b/>
      <w:bCs/>
      <w:sz w:val="28"/>
      <w:szCs w:val="28"/>
    </w:rPr>
  </w:style>
  <w:style w:type="paragraph" w:styleId="Kop5">
    <w:name w:val="heading 5"/>
    <w:basedOn w:val="Standaard"/>
    <w:next w:val="Standaard"/>
    <w:link w:val="Kop5Char"/>
    <w:qFormat/>
    <w:rsid w:val="00CA7D6D"/>
    <w:pPr>
      <w:spacing w:before="240" w:after="60"/>
      <w:outlineLvl w:val="4"/>
    </w:pPr>
    <w:rPr>
      <w:b/>
      <w:bCs/>
      <w:i/>
      <w:i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CA7D6D"/>
    <w:rPr>
      <w:rFonts w:ascii="Times New Roman" w:eastAsia="Times New Roman" w:hAnsi="Times New Roman"/>
      <w:b/>
      <w:sz w:val="24"/>
      <w:szCs w:val="24"/>
      <w:lang w:val="nl"/>
    </w:rPr>
  </w:style>
  <w:style w:type="character" w:customStyle="1" w:styleId="Kop2Char">
    <w:name w:val="Kop 2 Char"/>
    <w:basedOn w:val="Standaardalinea-lettertype"/>
    <w:link w:val="Kop2"/>
    <w:rsid w:val="00CA7D6D"/>
    <w:rPr>
      <w:rFonts w:ascii="Arial" w:eastAsia="Times New Roman" w:hAnsi="Arial" w:cs="Arial"/>
      <w:b/>
      <w:bCs/>
      <w:i/>
      <w:iCs/>
      <w:sz w:val="28"/>
      <w:szCs w:val="28"/>
    </w:rPr>
  </w:style>
  <w:style w:type="character" w:customStyle="1" w:styleId="Kop3Char">
    <w:name w:val="Kop 3 Char"/>
    <w:basedOn w:val="Standaardalinea-lettertype"/>
    <w:link w:val="Kop3"/>
    <w:rsid w:val="00CA7D6D"/>
    <w:rPr>
      <w:rFonts w:ascii="Arial" w:eastAsia="Times New Roman" w:hAnsi="Arial" w:cs="Arial"/>
      <w:b/>
      <w:bCs/>
      <w:sz w:val="26"/>
      <w:szCs w:val="26"/>
    </w:rPr>
  </w:style>
  <w:style w:type="character" w:customStyle="1" w:styleId="Kop4Char">
    <w:name w:val="Kop 4 Char"/>
    <w:basedOn w:val="Standaardalinea-lettertype"/>
    <w:link w:val="Kop4"/>
    <w:rsid w:val="00CA7D6D"/>
    <w:rPr>
      <w:rFonts w:ascii="Times New Roman" w:eastAsia="Times New Roman" w:hAnsi="Times New Roman"/>
      <w:b/>
      <w:bCs/>
      <w:sz w:val="28"/>
      <w:szCs w:val="28"/>
    </w:rPr>
  </w:style>
  <w:style w:type="character" w:customStyle="1" w:styleId="Kop5Char">
    <w:name w:val="Kop 5 Char"/>
    <w:basedOn w:val="Standaardalinea-lettertype"/>
    <w:link w:val="Kop5"/>
    <w:rsid w:val="00CA7D6D"/>
    <w:rPr>
      <w:rFonts w:ascii="Times New Roman" w:eastAsia="Times New Roman" w:hAnsi="Times New Roman"/>
      <w:b/>
      <w:bCs/>
      <w:i/>
      <w:iCs/>
      <w:sz w:val="26"/>
      <w:szCs w:val="26"/>
    </w:rPr>
  </w:style>
  <w:style w:type="paragraph" w:styleId="Normaalweb">
    <w:name w:val="Normal (Web)"/>
    <w:basedOn w:val="Standaard"/>
    <w:uiPriority w:val="99"/>
    <w:rsid w:val="00EE0056"/>
    <w:pPr>
      <w:spacing w:before="100" w:beforeAutospacing="1" w:after="100" w:afterAutospacing="1"/>
    </w:pPr>
  </w:style>
  <w:style w:type="character" w:customStyle="1" w:styleId="VoetnoottekstChar">
    <w:name w:val="Voetnoottekst Char"/>
    <w:basedOn w:val="Standaardalinea-lettertype"/>
    <w:link w:val="Voetnoottekst"/>
    <w:uiPriority w:val="99"/>
    <w:rsid w:val="00EE0056"/>
    <w:rPr>
      <w:rFonts w:ascii="Times New Roman" w:eastAsia="Times New Roman" w:hAnsi="Times New Roman"/>
    </w:rPr>
  </w:style>
  <w:style w:type="paragraph" w:styleId="Voetnoottekst">
    <w:name w:val="footnote text"/>
    <w:basedOn w:val="Standaard"/>
    <w:link w:val="VoetnoottekstChar"/>
    <w:uiPriority w:val="99"/>
    <w:rsid w:val="00EE0056"/>
    <w:rPr>
      <w:sz w:val="22"/>
      <w:szCs w:val="22"/>
      <w:lang w:eastAsia="en-US"/>
    </w:rPr>
  </w:style>
  <w:style w:type="character" w:customStyle="1" w:styleId="VoetnoottekstChar1">
    <w:name w:val="Voetnoottekst Char1"/>
    <w:basedOn w:val="Standaardalinea-lettertype"/>
    <w:uiPriority w:val="99"/>
    <w:semiHidden/>
    <w:rsid w:val="00EE0056"/>
    <w:rPr>
      <w:rFonts w:ascii="Times New Roman" w:eastAsia="Times New Roman" w:hAnsi="Times New Roman" w:cs="Times New Roman"/>
      <w:sz w:val="20"/>
      <w:szCs w:val="20"/>
      <w:lang w:eastAsia="nl-NL"/>
    </w:rPr>
  </w:style>
  <w:style w:type="paragraph" w:styleId="Geenafstand">
    <w:name w:val="No Spacing"/>
    <w:uiPriority w:val="1"/>
    <w:qFormat/>
    <w:rsid w:val="00EE0056"/>
    <w:rPr>
      <w:rFonts w:ascii="Verdana" w:hAnsi="Verdana"/>
      <w:sz w:val="18"/>
      <w:szCs w:val="22"/>
      <w:lang w:eastAsia="en-US"/>
    </w:rPr>
  </w:style>
  <w:style w:type="character" w:customStyle="1" w:styleId="KoptekstChar">
    <w:name w:val="Koptekst Char"/>
    <w:basedOn w:val="Standaardalinea-lettertype"/>
    <w:link w:val="Koptekst"/>
    <w:rsid w:val="00CA7D6D"/>
    <w:rPr>
      <w:rFonts w:ascii="Times New Roman" w:eastAsia="Times New Roman" w:hAnsi="Times New Roman"/>
      <w:sz w:val="24"/>
      <w:szCs w:val="24"/>
    </w:rPr>
  </w:style>
  <w:style w:type="paragraph" w:styleId="Koptekst">
    <w:name w:val="header"/>
    <w:basedOn w:val="Standaard"/>
    <w:link w:val="KoptekstChar"/>
    <w:rsid w:val="00CA7D6D"/>
    <w:pPr>
      <w:tabs>
        <w:tab w:val="center" w:pos="4536"/>
        <w:tab w:val="right" w:pos="9072"/>
      </w:tabs>
    </w:pPr>
  </w:style>
  <w:style w:type="character" w:customStyle="1" w:styleId="KoptekstChar1">
    <w:name w:val="Koptekst Char1"/>
    <w:basedOn w:val="Standaardalinea-lettertype"/>
    <w:uiPriority w:val="99"/>
    <w:semiHidden/>
    <w:rsid w:val="00CA7D6D"/>
    <w:rPr>
      <w:rFonts w:ascii="Times New Roman" w:eastAsia="Times New Roman" w:hAnsi="Times New Roman"/>
      <w:sz w:val="24"/>
      <w:szCs w:val="24"/>
    </w:rPr>
  </w:style>
  <w:style w:type="character" w:customStyle="1" w:styleId="VoettekstChar">
    <w:name w:val="Voettekst Char"/>
    <w:basedOn w:val="Standaardalinea-lettertype"/>
    <w:link w:val="Voettekst"/>
    <w:uiPriority w:val="99"/>
    <w:rsid w:val="00CA7D6D"/>
    <w:rPr>
      <w:rFonts w:ascii="Times New Roman" w:eastAsia="Times New Roman" w:hAnsi="Times New Roman"/>
      <w:sz w:val="24"/>
      <w:szCs w:val="24"/>
    </w:rPr>
  </w:style>
  <w:style w:type="paragraph" w:styleId="Voettekst">
    <w:name w:val="footer"/>
    <w:basedOn w:val="Standaard"/>
    <w:link w:val="VoettekstChar"/>
    <w:uiPriority w:val="99"/>
    <w:rsid w:val="00CA7D6D"/>
    <w:pPr>
      <w:tabs>
        <w:tab w:val="center" w:pos="4536"/>
        <w:tab w:val="right" w:pos="9072"/>
      </w:tabs>
    </w:pPr>
  </w:style>
  <w:style w:type="character" w:customStyle="1" w:styleId="VoettekstChar1">
    <w:name w:val="Voettekst Char1"/>
    <w:basedOn w:val="Standaardalinea-lettertype"/>
    <w:uiPriority w:val="99"/>
    <w:semiHidden/>
    <w:rsid w:val="00CA7D6D"/>
    <w:rPr>
      <w:rFonts w:ascii="Times New Roman" w:eastAsia="Times New Roman" w:hAnsi="Times New Roman"/>
      <w:sz w:val="24"/>
      <w:szCs w:val="24"/>
    </w:rPr>
  </w:style>
  <w:style w:type="character" w:customStyle="1" w:styleId="BallontekstChar">
    <w:name w:val="Ballontekst Char"/>
    <w:basedOn w:val="Standaardalinea-lettertype"/>
    <w:link w:val="Ballontekst"/>
    <w:semiHidden/>
    <w:rsid w:val="00CA7D6D"/>
    <w:rPr>
      <w:rFonts w:ascii="Tahoma" w:eastAsia="Times New Roman" w:hAnsi="Tahoma" w:cs="Tahoma"/>
      <w:sz w:val="16"/>
      <w:szCs w:val="16"/>
    </w:rPr>
  </w:style>
  <w:style w:type="paragraph" w:styleId="Ballontekst">
    <w:name w:val="Balloon Text"/>
    <w:basedOn w:val="Standaard"/>
    <w:link w:val="BallontekstChar"/>
    <w:semiHidden/>
    <w:rsid w:val="00CA7D6D"/>
    <w:rPr>
      <w:rFonts w:ascii="Tahoma" w:hAnsi="Tahoma" w:cs="Tahoma"/>
      <w:sz w:val="16"/>
      <w:szCs w:val="16"/>
    </w:rPr>
  </w:style>
  <w:style w:type="character" w:customStyle="1" w:styleId="Nadrukvet">
    <w:name w:val="Nadruk (vet)"/>
    <w:rsid w:val="00CA7D6D"/>
    <w:rPr>
      <w:b/>
    </w:rPr>
  </w:style>
  <w:style w:type="paragraph" w:customStyle="1" w:styleId="Plattetekstrechts">
    <w:name w:val="Platte tekst (rechts)"/>
    <w:uiPriority w:val="99"/>
    <w:rsid w:val="00CA7D6D"/>
    <w:pPr>
      <w:widowControl w:val="0"/>
      <w:autoSpaceDE w:val="0"/>
      <w:autoSpaceDN w:val="0"/>
      <w:adjustRightInd w:val="0"/>
      <w:jc w:val="right"/>
    </w:pPr>
    <w:rPr>
      <w:rFonts w:ascii="Arial" w:eastAsia="Times New Roman" w:hAnsi="Arial" w:cs="Arial"/>
    </w:rPr>
  </w:style>
  <w:style w:type="paragraph" w:customStyle="1" w:styleId="Onderdeelvaneenlijstdiepte1">
    <w:name w:val="Onderdeel van een lijst (diepte 1)"/>
    <w:rsid w:val="00CA7D6D"/>
    <w:pPr>
      <w:widowControl w:val="0"/>
      <w:autoSpaceDE w:val="0"/>
      <w:autoSpaceDN w:val="0"/>
      <w:adjustRightInd w:val="0"/>
      <w:ind w:left="960" w:hanging="320"/>
    </w:pPr>
    <w:rPr>
      <w:rFonts w:ascii="Arial" w:eastAsia="Times New Roman" w:hAnsi="Arial" w:cs="Arial"/>
    </w:rPr>
  </w:style>
  <w:style w:type="character" w:styleId="Hyperlink">
    <w:name w:val="Hyperlink"/>
    <w:basedOn w:val="Standaardalinea-lettertype"/>
    <w:rsid w:val="00CA7D6D"/>
    <w:rPr>
      <w:color w:val="0000FF"/>
      <w:u w:val="single"/>
    </w:rPr>
  </w:style>
  <w:style w:type="character" w:customStyle="1" w:styleId="TekstopmerkingChar">
    <w:name w:val="Tekst opmerking Char"/>
    <w:basedOn w:val="Standaardalinea-lettertype"/>
    <w:link w:val="Tekstopmerking"/>
    <w:uiPriority w:val="99"/>
    <w:semiHidden/>
    <w:rsid w:val="00CA7D6D"/>
    <w:rPr>
      <w:rFonts w:ascii="Times New Roman" w:eastAsia="Times New Roman" w:hAnsi="Times New Roman"/>
    </w:rPr>
  </w:style>
  <w:style w:type="paragraph" w:styleId="Tekstopmerking">
    <w:name w:val="annotation text"/>
    <w:basedOn w:val="Standaard"/>
    <w:link w:val="TekstopmerkingChar"/>
    <w:uiPriority w:val="99"/>
    <w:semiHidden/>
    <w:rsid w:val="00CA7D6D"/>
    <w:rPr>
      <w:sz w:val="20"/>
      <w:szCs w:val="20"/>
    </w:rPr>
  </w:style>
  <w:style w:type="character" w:customStyle="1" w:styleId="TekstopmerkingChar1">
    <w:name w:val="Tekst opmerking Char1"/>
    <w:basedOn w:val="Standaardalinea-lettertype"/>
    <w:uiPriority w:val="99"/>
    <w:semiHidden/>
    <w:rsid w:val="00CA7D6D"/>
    <w:rPr>
      <w:rFonts w:ascii="Times New Roman" w:eastAsia="Times New Roman" w:hAnsi="Times New Roman"/>
    </w:rPr>
  </w:style>
  <w:style w:type="character" w:customStyle="1" w:styleId="OnderwerpvanopmerkingChar">
    <w:name w:val="Onderwerp van opmerking Char"/>
    <w:basedOn w:val="TekstopmerkingChar"/>
    <w:link w:val="Onderwerpvanopmerking"/>
    <w:semiHidden/>
    <w:rsid w:val="00CA7D6D"/>
    <w:rPr>
      <w:rFonts w:ascii="Times New Roman" w:eastAsia="Times New Roman" w:hAnsi="Times New Roman"/>
      <w:b/>
      <w:bCs/>
    </w:rPr>
  </w:style>
  <w:style w:type="paragraph" w:styleId="Onderwerpvanopmerking">
    <w:name w:val="annotation subject"/>
    <w:basedOn w:val="Tekstopmerking"/>
    <w:next w:val="Tekstopmerking"/>
    <w:link w:val="OnderwerpvanopmerkingChar"/>
    <w:semiHidden/>
    <w:rsid w:val="00CA7D6D"/>
    <w:rPr>
      <w:b/>
      <w:bCs/>
    </w:rPr>
  </w:style>
  <w:style w:type="character" w:customStyle="1" w:styleId="OnderwerpvanopmerkingChar1">
    <w:name w:val="Onderwerp van opmerking Char1"/>
    <w:basedOn w:val="TekstopmerkingChar1"/>
    <w:uiPriority w:val="99"/>
    <w:semiHidden/>
    <w:rsid w:val="00CA7D6D"/>
    <w:rPr>
      <w:rFonts w:ascii="Times New Roman" w:eastAsia="Times New Roman" w:hAnsi="Times New Roman"/>
      <w:b/>
      <w:bCs/>
    </w:rPr>
  </w:style>
  <w:style w:type="character" w:customStyle="1" w:styleId="Nadrukcursief">
    <w:name w:val="Nadruk (cursief)"/>
    <w:rsid w:val="00CA7D6D"/>
    <w:rPr>
      <w:i/>
      <w:iCs/>
    </w:rPr>
  </w:style>
  <w:style w:type="character" w:customStyle="1" w:styleId="PlattetekstChar">
    <w:name w:val="Platte tekst Char"/>
    <w:basedOn w:val="Standaardalinea-lettertype"/>
    <w:link w:val="Plattetekst"/>
    <w:rsid w:val="00CA7D6D"/>
    <w:rPr>
      <w:rFonts w:ascii="Arial" w:eastAsia="Times New Roman" w:hAnsi="Arial"/>
    </w:rPr>
  </w:style>
  <w:style w:type="paragraph" w:styleId="Plattetekst">
    <w:name w:val="Body Text"/>
    <w:basedOn w:val="Standaard"/>
    <w:link w:val="PlattetekstChar"/>
    <w:rsid w:val="00CA7D6D"/>
    <w:pPr>
      <w:tabs>
        <w:tab w:val="left" w:pos="1418"/>
        <w:tab w:val="left" w:pos="2835"/>
        <w:tab w:val="left" w:pos="4253"/>
        <w:tab w:val="left" w:pos="5670"/>
      </w:tabs>
      <w:suppressAutoHyphens/>
      <w:spacing w:line="360" w:lineRule="auto"/>
    </w:pPr>
    <w:rPr>
      <w:rFonts w:ascii="Arial" w:hAnsi="Arial"/>
      <w:sz w:val="20"/>
      <w:szCs w:val="20"/>
    </w:rPr>
  </w:style>
  <w:style w:type="character" w:customStyle="1" w:styleId="PlattetekstChar1">
    <w:name w:val="Platte tekst Char1"/>
    <w:basedOn w:val="Standaardalinea-lettertype"/>
    <w:uiPriority w:val="99"/>
    <w:semiHidden/>
    <w:rsid w:val="00CA7D6D"/>
    <w:rPr>
      <w:rFonts w:ascii="Times New Roman" w:eastAsia="Times New Roman" w:hAnsi="Times New Roman"/>
      <w:sz w:val="24"/>
      <w:szCs w:val="24"/>
    </w:rPr>
  </w:style>
  <w:style w:type="character" w:styleId="Zwaar">
    <w:name w:val="Strong"/>
    <w:basedOn w:val="Standaardalinea-lettertype"/>
    <w:qFormat/>
    <w:rsid w:val="00CA7D6D"/>
    <w:rPr>
      <w:b/>
      <w:bCs/>
    </w:rPr>
  </w:style>
  <w:style w:type="paragraph" w:styleId="Lijstopsomteken">
    <w:name w:val="List Bullet"/>
    <w:basedOn w:val="Standaard"/>
    <w:autoRedefine/>
    <w:rsid w:val="00CA7D6D"/>
    <w:pPr>
      <w:numPr>
        <w:numId w:val="1"/>
      </w:numPr>
    </w:pPr>
  </w:style>
  <w:style w:type="paragraph" w:customStyle="1" w:styleId="CharChar3">
    <w:name w:val="Char Char3"/>
    <w:basedOn w:val="Standaard"/>
    <w:rsid w:val="00CA7D6D"/>
    <w:pPr>
      <w:spacing w:after="160" w:line="240" w:lineRule="exact"/>
    </w:pPr>
    <w:rPr>
      <w:rFonts w:ascii="Tahoma" w:hAnsi="Tahoma"/>
      <w:sz w:val="20"/>
      <w:szCs w:val="20"/>
      <w:lang w:val="en-US" w:eastAsia="en-US"/>
    </w:rPr>
  </w:style>
  <w:style w:type="paragraph" w:customStyle="1" w:styleId="Default">
    <w:name w:val="Default"/>
    <w:rsid w:val="00CA7D6D"/>
    <w:pPr>
      <w:autoSpaceDE w:val="0"/>
      <w:autoSpaceDN w:val="0"/>
      <w:adjustRightInd w:val="0"/>
    </w:pPr>
    <w:rPr>
      <w:rFonts w:ascii="EUAlbertina" w:eastAsia="Times New Roman" w:hAnsi="EUAlbertina" w:cs="EUAlbertina"/>
      <w:color w:val="000000"/>
      <w:sz w:val="24"/>
      <w:szCs w:val="24"/>
    </w:rPr>
  </w:style>
  <w:style w:type="paragraph" w:customStyle="1" w:styleId="NumPar1">
    <w:name w:val="NumPar 1"/>
    <w:basedOn w:val="Standaard"/>
    <w:next w:val="Standaard"/>
    <w:rsid w:val="00CA7D6D"/>
    <w:pPr>
      <w:numPr>
        <w:numId w:val="2"/>
      </w:numPr>
      <w:spacing w:before="120" w:after="120"/>
      <w:jc w:val="both"/>
    </w:pPr>
    <w:rPr>
      <w:lang w:eastAsia="de-DE"/>
    </w:rPr>
  </w:style>
  <w:style w:type="paragraph" w:customStyle="1" w:styleId="NumPar2">
    <w:name w:val="NumPar 2"/>
    <w:basedOn w:val="Standaard"/>
    <w:next w:val="Standaard"/>
    <w:rsid w:val="00CA7D6D"/>
    <w:pPr>
      <w:numPr>
        <w:ilvl w:val="1"/>
        <w:numId w:val="2"/>
      </w:numPr>
      <w:spacing w:before="120" w:after="120"/>
      <w:jc w:val="both"/>
    </w:pPr>
    <w:rPr>
      <w:lang w:eastAsia="de-DE"/>
    </w:rPr>
  </w:style>
  <w:style w:type="paragraph" w:customStyle="1" w:styleId="NumPar3">
    <w:name w:val="NumPar 3"/>
    <w:basedOn w:val="Standaard"/>
    <w:next w:val="Standaard"/>
    <w:rsid w:val="00CA7D6D"/>
    <w:pPr>
      <w:numPr>
        <w:ilvl w:val="2"/>
        <w:numId w:val="2"/>
      </w:numPr>
      <w:spacing w:before="120" w:after="120"/>
      <w:jc w:val="both"/>
    </w:pPr>
    <w:rPr>
      <w:lang w:eastAsia="de-DE"/>
    </w:rPr>
  </w:style>
  <w:style w:type="paragraph" w:customStyle="1" w:styleId="NumPar4">
    <w:name w:val="NumPar 4"/>
    <w:basedOn w:val="Standaard"/>
    <w:next w:val="Standaard"/>
    <w:rsid w:val="00CA7D6D"/>
    <w:pPr>
      <w:numPr>
        <w:ilvl w:val="3"/>
        <w:numId w:val="2"/>
      </w:numPr>
      <w:spacing w:before="120" w:after="120"/>
      <w:jc w:val="both"/>
    </w:pPr>
    <w:rPr>
      <w:lang w:eastAsia="de-DE"/>
    </w:rPr>
  </w:style>
  <w:style w:type="paragraph" w:customStyle="1" w:styleId="Kopartikel">
    <w:name w:val="Kop (artikel)"/>
    <w:rsid w:val="00CA7D6D"/>
    <w:pPr>
      <w:widowControl w:val="0"/>
      <w:autoSpaceDE w:val="0"/>
      <w:autoSpaceDN w:val="0"/>
      <w:adjustRightInd w:val="0"/>
      <w:spacing w:after="240"/>
    </w:pPr>
    <w:rPr>
      <w:rFonts w:ascii="Arial" w:eastAsia="Times New Roman" w:hAnsi="Arial" w:cs="Arial"/>
      <w:b/>
      <w:bCs/>
    </w:rPr>
  </w:style>
  <w:style w:type="paragraph" w:customStyle="1" w:styleId="Parlementair">
    <w:name w:val="Parlementair"/>
    <w:rsid w:val="00CA7D6D"/>
    <w:pPr>
      <w:widowControl w:val="0"/>
      <w:autoSpaceDE w:val="0"/>
      <w:autoSpaceDN w:val="0"/>
      <w:adjustRightInd w:val="0"/>
      <w:spacing w:after="240"/>
      <w:jc w:val="right"/>
    </w:pPr>
    <w:rPr>
      <w:rFonts w:ascii="Arial" w:eastAsia="Times New Roman" w:hAnsi="Arial" w:cs="Arial"/>
      <w:i/>
      <w:iCs/>
      <w:sz w:val="16"/>
      <w:szCs w:val="16"/>
    </w:rPr>
  </w:style>
  <w:style w:type="paragraph" w:styleId="Lijstalinea">
    <w:name w:val="List Paragraph"/>
    <w:basedOn w:val="Standaard"/>
    <w:uiPriority w:val="34"/>
    <w:qFormat/>
    <w:rsid w:val="00CA7D6D"/>
    <w:pPr>
      <w:spacing w:after="200" w:line="276" w:lineRule="auto"/>
      <w:ind w:left="720"/>
      <w:contextualSpacing/>
    </w:pPr>
    <w:rPr>
      <w:rFonts w:ascii="Verdana" w:eastAsia="Calibri" w:hAnsi="Verdana"/>
      <w:sz w:val="18"/>
      <w:szCs w:val="22"/>
      <w:lang w:eastAsia="en-US"/>
    </w:rPr>
  </w:style>
  <w:style w:type="paragraph" w:customStyle="1" w:styleId="1CharCharChar">
    <w:name w:val="1 Char Char Char"/>
    <w:basedOn w:val="Standaard"/>
    <w:rsid w:val="00CA7D6D"/>
    <w:pPr>
      <w:widowControl w:val="0"/>
      <w:tabs>
        <w:tab w:val="left" w:pos="540"/>
        <w:tab w:val="left" w:pos="1260"/>
        <w:tab w:val="left" w:pos="1800"/>
      </w:tabs>
      <w:spacing w:before="240" w:after="160" w:line="240" w:lineRule="exact"/>
    </w:pPr>
    <w:rPr>
      <w:rFonts w:ascii="Verdana" w:eastAsia="SimSun" w:hAnsi="Verdana"/>
      <w:sz w:val="22"/>
      <w:szCs w:val="20"/>
      <w:lang w:val="en-GB" w:eastAsia="zh-CN"/>
    </w:rPr>
  </w:style>
  <w:style w:type="paragraph" w:customStyle="1" w:styleId="Opmaakprofiel1">
    <w:name w:val="Opmaakprofiel1"/>
    <w:basedOn w:val="Standaard"/>
    <w:rsid w:val="00CA7D6D"/>
    <w:pPr>
      <w:spacing w:line="360" w:lineRule="auto"/>
      <w:ind w:firstLine="708"/>
    </w:pPr>
  </w:style>
  <w:style w:type="character" w:styleId="Paginanummer">
    <w:name w:val="page number"/>
    <w:basedOn w:val="Standaardalinea-lettertype"/>
    <w:rsid w:val="00CA7D6D"/>
  </w:style>
  <w:style w:type="character" w:customStyle="1" w:styleId="lidnr">
    <w:name w:val="lidnr"/>
    <w:basedOn w:val="Standaardalinea-lettertype"/>
    <w:rsid w:val="00CA7D6D"/>
  </w:style>
  <w:style w:type="character" w:customStyle="1" w:styleId="ol">
    <w:name w:val="ol"/>
    <w:basedOn w:val="Standaardalinea-lettertype"/>
    <w:rsid w:val="00CA7D6D"/>
  </w:style>
  <w:style w:type="character" w:styleId="Voetnootmarkering">
    <w:name w:val="footnote reference"/>
    <w:basedOn w:val="Standaardalinea-lettertype"/>
    <w:uiPriority w:val="99"/>
    <w:rsid w:val="00CA7D6D"/>
    <w:rPr>
      <w:vertAlign w:val="superscript"/>
    </w:rPr>
  </w:style>
  <w:style w:type="character" w:styleId="GevolgdeHyperlink">
    <w:name w:val="FollowedHyperlink"/>
    <w:basedOn w:val="Standaardalinea-lettertype"/>
    <w:rsid w:val="00CA7D6D"/>
    <w:rPr>
      <w:color w:val="800080"/>
      <w:u w:val="single"/>
    </w:rPr>
  </w:style>
  <w:style w:type="paragraph" w:styleId="Lijst">
    <w:name w:val="List"/>
    <w:basedOn w:val="Standaard"/>
    <w:rsid w:val="00CA7D6D"/>
    <w:pPr>
      <w:ind w:left="283" w:hanging="283"/>
    </w:pPr>
  </w:style>
  <w:style w:type="paragraph" w:styleId="Lijst2">
    <w:name w:val="List 2"/>
    <w:basedOn w:val="Standaard"/>
    <w:rsid w:val="00CA7D6D"/>
    <w:pPr>
      <w:ind w:left="566" w:hanging="283"/>
    </w:pPr>
  </w:style>
  <w:style w:type="paragraph" w:styleId="Lijstvoortzetting">
    <w:name w:val="List Continue"/>
    <w:basedOn w:val="Standaard"/>
    <w:rsid w:val="00CA7D6D"/>
    <w:pPr>
      <w:spacing w:after="120"/>
      <w:ind w:left="283"/>
    </w:pPr>
  </w:style>
  <w:style w:type="paragraph" w:styleId="Lijstvoortzetting2">
    <w:name w:val="List Continue 2"/>
    <w:basedOn w:val="Standaard"/>
    <w:rsid w:val="00CA7D6D"/>
    <w:pPr>
      <w:spacing w:after="120"/>
      <w:ind w:left="566"/>
    </w:pPr>
  </w:style>
  <w:style w:type="paragraph" w:customStyle="1" w:styleId="CharChar1">
    <w:name w:val="Char Char1"/>
    <w:basedOn w:val="Standaard"/>
    <w:rsid w:val="00CA7D6D"/>
    <w:pPr>
      <w:spacing w:after="160" w:line="240" w:lineRule="exact"/>
    </w:pPr>
    <w:rPr>
      <w:rFonts w:ascii="Arial" w:hAnsi="Arial" w:cs="Arial"/>
      <w:sz w:val="20"/>
      <w:szCs w:val="20"/>
      <w:lang w:val="en-US" w:eastAsia="en-US"/>
    </w:rPr>
  </w:style>
  <w:style w:type="paragraph" w:styleId="Inhopg2">
    <w:name w:val="toc 2"/>
    <w:basedOn w:val="Standaard"/>
    <w:next w:val="Standaard"/>
    <w:rsid w:val="00CA7D6D"/>
    <w:pPr>
      <w:suppressAutoHyphens/>
      <w:spacing w:before="120" w:after="120"/>
      <w:ind w:left="240"/>
      <w:jc w:val="both"/>
    </w:pPr>
    <w:rPr>
      <w:szCs w:val="20"/>
      <w:lang w:val="en-GB" w:eastAsia="ar-SA"/>
    </w:rPr>
  </w:style>
  <w:style w:type="paragraph" w:customStyle="1" w:styleId="Typedudocument">
    <w:name w:val="Type du document"/>
    <w:basedOn w:val="Standaard"/>
    <w:next w:val="Standaard"/>
    <w:rsid w:val="00CA7D6D"/>
    <w:pPr>
      <w:spacing w:before="360"/>
      <w:jc w:val="center"/>
    </w:pPr>
    <w:rPr>
      <w:b/>
      <w:lang w:eastAsia="de-DE"/>
    </w:rPr>
  </w:style>
  <w:style w:type="paragraph" w:customStyle="1" w:styleId="mtop">
    <w:name w:val="mtop"/>
    <w:basedOn w:val="Standaard"/>
    <w:rsid w:val="00CA7D6D"/>
    <w:pPr>
      <w:spacing w:before="100" w:beforeAutospacing="1" w:after="100" w:afterAutospacing="1"/>
    </w:pPr>
  </w:style>
  <w:style w:type="character" w:customStyle="1" w:styleId="staatscourantkop2">
    <w:name w:val="staatscourant_kop2"/>
    <w:basedOn w:val="Standaardalinea-lettertype"/>
    <w:rsid w:val="00CA7D6D"/>
    <w:rPr>
      <w:b/>
      <w:bCs/>
      <w:color w:val="E67C00"/>
      <w:sz w:val="31"/>
      <w:szCs w:val="31"/>
    </w:rPr>
  </w:style>
  <w:style w:type="paragraph" w:styleId="Tekstzonderopmaak">
    <w:name w:val="Plain Text"/>
    <w:basedOn w:val="Standaard"/>
    <w:link w:val="TekstzonderopmaakChar"/>
    <w:uiPriority w:val="99"/>
    <w:unhideWhenUsed/>
    <w:rsid w:val="00CA7D6D"/>
    <w:rPr>
      <w:rFonts w:ascii="Verdana" w:eastAsia="Calibri" w:hAnsi="Verdana"/>
      <w:sz w:val="20"/>
      <w:szCs w:val="21"/>
      <w:lang w:eastAsia="en-US"/>
    </w:rPr>
  </w:style>
  <w:style w:type="character" w:customStyle="1" w:styleId="TekstzonderopmaakChar">
    <w:name w:val="Tekst zonder opmaak Char"/>
    <w:basedOn w:val="Standaardalinea-lettertype"/>
    <w:link w:val="Tekstzonderopmaak"/>
    <w:uiPriority w:val="99"/>
    <w:rsid w:val="00CA7D6D"/>
    <w:rPr>
      <w:rFonts w:ascii="Verdana" w:hAnsi="Verdana"/>
      <w:szCs w:val="21"/>
      <w:lang w:eastAsia="en-US"/>
    </w:rPr>
  </w:style>
  <w:style w:type="paragraph" w:styleId="Lijst3">
    <w:name w:val="List 3"/>
    <w:basedOn w:val="Standaard"/>
    <w:uiPriority w:val="99"/>
    <w:unhideWhenUsed/>
    <w:rsid w:val="00CA7D6D"/>
    <w:pPr>
      <w:ind w:left="849" w:hanging="283"/>
      <w:contextualSpacing/>
    </w:pPr>
  </w:style>
  <w:style w:type="paragraph" w:customStyle="1" w:styleId="Geenafstand1">
    <w:name w:val="Geen afstand1"/>
    <w:rsid w:val="005F7A68"/>
    <w:rPr>
      <w:rFonts w:eastAsia="Times New Roman"/>
      <w:sz w:val="22"/>
      <w:szCs w:val="22"/>
      <w:lang w:eastAsia="en-US"/>
    </w:rPr>
  </w:style>
  <w:style w:type="character" w:styleId="Verwijzingopmerking">
    <w:name w:val="annotation reference"/>
    <w:basedOn w:val="Standaardalinea-lettertype"/>
    <w:uiPriority w:val="99"/>
    <w:semiHidden/>
    <w:rsid w:val="00832099"/>
    <w:rPr>
      <w:sz w:val="16"/>
      <w:szCs w:val="16"/>
    </w:rPr>
  </w:style>
  <w:style w:type="paragraph" w:styleId="Plattetekst2">
    <w:name w:val="Body Text 2"/>
    <w:basedOn w:val="Standaard"/>
    <w:link w:val="Plattetekst2Char"/>
    <w:uiPriority w:val="99"/>
    <w:semiHidden/>
    <w:unhideWhenUsed/>
    <w:rsid w:val="007A7863"/>
    <w:pPr>
      <w:spacing w:after="120" w:line="480" w:lineRule="auto"/>
    </w:pPr>
  </w:style>
  <w:style w:type="character" w:customStyle="1" w:styleId="Plattetekst2Char">
    <w:name w:val="Platte tekst 2 Char"/>
    <w:basedOn w:val="Standaardalinea-lettertype"/>
    <w:link w:val="Plattetekst2"/>
    <w:uiPriority w:val="99"/>
    <w:semiHidden/>
    <w:rsid w:val="007A7863"/>
    <w:rPr>
      <w:rFonts w:ascii="Times New Roman" w:eastAsia="Times New Roman" w:hAnsi="Times New Roman"/>
      <w:sz w:val="24"/>
      <w:szCs w:val="24"/>
    </w:rPr>
  </w:style>
  <w:style w:type="paragraph" w:customStyle="1" w:styleId="Plattetekstmidden">
    <w:name w:val="Platte tekst (midden)"/>
    <w:rsid w:val="007A7863"/>
    <w:pPr>
      <w:widowControl w:val="0"/>
      <w:autoSpaceDE w:val="0"/>
      <w:autoSpaceDN w:val="0"/>
      <w:adjustRightInd w:val="0"/>
      <w:spacing w:after="240"/>
      <w:jc w:val="center"/>
    </w:pPr>
    <w:rPr>
      <w:rFonts w:ascii="Arial" w:eastAsia="Times New Roman" w:hAnsi="Arial" w:cs="Arial"/>
    </w:rPr>
  </w:style>
  <w:style w:type="character" w:customStyle="1" w:styleId="st1">
    <w:name w:val="st1"/>
    <w:basedOn w:val="Standaardalinea-lettertype"/>
    <w:rsid w:val="007168E8"/>
  </w:style>
  <w:style w:type="paragraph" w:styleId="Revisie">
    <w:name w:val="Revision"/>
    <w:hidden/>
    <w:uiPriority w:val="99"/>
    <w:semiHidden/>
    <w:rsid w:val="00A73298"/>
    <w:rPr>
      <w:rFonts w:ascii="Times New Roman" w:eastAsia="Times New Roman" w:hAnsi="Times New Roman"/>
      <w:sz w:val="24"/>
      <w:szCs w:val="24"/>
    </w:rPr>
  </w:style>
  <w:style w:type="paragraph" w:customStyle="1" w:styleId="CM1">
    <w:name w:val="CM1"/>
    <w:basedOn w:val="Standaard"/>
    <w:next w:val="Standaard"/>
    <w:uiPriority w:val="99"/>
    <w:rsid w:val="00E07FEA"/>
    <w:pPr>
      <w:autoSpaceDE w:val="0"/>
      <w:autoSpaceDN w:val="0"/>
      <w:adjustRightInd w:val="0"/>
    </w:pPr>
    <w:rPr>
      <w:rFonts w:ascii="EUAlbertina" w:eastAsia="Calibri" w:hAnsi="EUAlbertina"/>
    </w:rPr>
  </w:style>
  <w:style w:type="character" w:styleId="Onopgelostemelding">
    <w:name w:val="Unresolved Mention"/>
    <w:basedOn w:val="Standaardalinea-lettertype"/>
    <w:uiPriority w:val="99"/>
    <w:semiHidden/>
    <w:unhideWhenUsed/>
    <w:rsid w:val="008F4C95"/>
    <w:rPr>
      <w:color w:val="605E5C"/>
      <w:shd w:val="clear" w:color="auto" w:fill="E1DFDD"/>
    </w:rPr>
  </w:style>
  <w:style w:type="numbering" w:customStyle="1" w:styleId="Lijstmetopsommingstekens">
    <w:name w:val="Lijst met opsommingstekens"/>
    <w:rsid w:val="004E1F7D"/>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80378">
      <w:bodyDiv w:val="1"/>
      <w:marLeft w:val="0"/>
      <w:marRight w:val="0"/>
      <w:marTop w:val="0"/>
      <w:marBottom w:val="0"/>
      <w:divBdr>
        <w:top w:val="none" w:sz="0" w:space="0" w:color="auto"/>
        <w:left w:val="none" w:sz="0" w:space="0" w:color="auto"/>
        <w:bottom w:val="none" w:sz="0" w:space="0" w:color="auto"/>
        <w:right w:val="none" w:sz="0" w:space="0" w:color="auto"/>
      </w:divBdr>
    </w:div>
    <w:div w:id="219949713">
      <w:bodyDiv w:val="1"/>
      <w:marLeft w:val="0"/>
      <w:marRight w:val="0"/>
      <w:marTop w:val="0"/>
      <w:marBottom w:val="0"/>
      <w:divBdr>
        <w:top w:val="none" w:sz="0" w:space="0" w:color="auto"/>
        <w:left w:val="none" w:sz="0" w:space="0" w:color="auto"/>
        <w:bottom w:val="none" w:sz="0" w:space="0" w:color="auto"/>
        <w:right w:val="none" w:sz="0" w:space="0" w:color="auto"/>
      </w:divBdr>
    </w:div>
    <w:div w:id="557207000">
      <w:bodyDiv w:val="1"/>
      <w:marLeft w:val="0"/>
      <w:marRight w:val="0"/>
      <w:marTop w:val="0"/>
      <w:marBottom w:val="0"/>
      <w:divBdr>
        <w:top w:val="none" w:sz="0" w:space="0" w:color="auto"/>
        <w:left w:val="none" w:sz="0" w:space="0" w:color="auto"/>
        <w:bottom w:val="none" w:sz="0" w:space="0" w:color="auto"/>
        <w:right w:val="none" w:sz="0" w:space="0" w:color="auto"/>
      </w:divBdr>
    </w:div>
    <w:div w:id="1044252451">
      <w:bodyDiv w:val="1"/>
      <w:marLeft w:val="0"/>
      <w:marRight w:val="0"/>
      <w:marTop w:val="0"/>
      <w:marBottom w:val="0"/>
      <w:divBdr>
        <w:top w:val="none" w:sz="0" w:space="0" w:color="auto"/>
        <w:left w:val="none" w:sz="0" w:space="0" w:color="auto"/>
        <w:bottom w:val="none" w:sz="0" w:space="0" w:color="auto"/>
        <w:right w:val="none" w:sz="0" w:space="0" w:color="auto"/>
      </w:divBdr>
    </w:div>
    <w:div w:id="1050180515">
      <w:bodyDiv w:val="1"/>
      <w:marLeft w:val="0"/>
      <w:marRight w:val="0"/>
      <w:marTop w:val="0"/>
      <w:marBottom w:val="0"/>
      <w:divBdr>
        <w:top w:val="none" w:sz="0" w:space="0" w:color="auto"/>
        <w:left w:val="none" w:sz="0" w:space="0" w:color="auto"/>
        <w:bottom w:val="none" w:sz="0" w:space="0" w:color="auto"/>
        <w:right w:val="none" w:sz="0" w:space="0" w:color="auto"/>
      </w:divBdr>
    </w:div>
    <w:div w:id="1575628871">
      <w:bodyDiv w:val="1"/>
      <w:marLeft w:val="0"/>
      <w:marRight w:val="0"/>
      <w:marTop w:val="0"/>
      <w:marBottom w:val="0"/>
      <w:divBdr>
        <w:top w:val="none" w:sz="0" w:space="0" w:color="auto"/>
        <w:left w:val="none" w:sz="0" w:space="0" w:color="auto"/>
        <w:bottom w:val="none" w:sz="0" w:space="0" w:color="auto"/>
        <w:right w:val="none" w:sz="0" w:space="0" w:color="auto"/>
      </w:divBdr>
    </w:div>
    <w:div w:id="192977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18</ap:Pages>
  <ap:Words>8730</ap:Words>
  <ap:Characters>48020</ap:Characters>
  <ap:DocSecurity>0</ap:DocSecurity>
  <ap:Lines>400</ap:Lines>
  <ap:Paragraphs>113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56637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2025-04-02T15:16:00.0000000Z</dcterms:created>
  <dcterms:modified xsi:type="dcterms:W3CDTF">2025-04-02T15:16:00.0000000Z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00fede-0e59-47ad-af95-4e63bbdb932d_Enabled">
    <vt:lpwstr>true</vt:lpwstr>
  </property>
  <property fmtid="{D5CDD505-2E9C-101B-9397-08002B2CF9AE}" pid="3" name="MSIP_Label_6800fede-0e59-47ad-af95-4e63bbdb932d_SetDate">
    <vt:lpwstr>2024-06-27T15:26:16Z</vt:lpwstr>
  </property>
  <property fmtid="{D5CDD505-2E9C-101B-9397-08002B2CF9AE}" pid="4" name="MSIP_Label_6800fede-0e59-47ad-af95-4e63bbdb932d_Method">
    <vt:lpwstr>Standard</vt:lpwstr>
  </property>
  <property fmtid="{D5CDD505-2E9C-101B-9397-08002B2CF9AE}" pid="5" name="MSIP_Label_6800fede-0e59-47ad-af95-4e63bbdb932d_Name">
    <vt:lpwstr>FIN-DGGT-Rijksoverheid</vt:lpwstr>
  </property>
  <property fmtid="{D5CDD505-2E9C-101B-9397-08002B2CF9AE}" pid="6" name="MSIP_Label_6800fede-0e59-47ad-af95-4e63bbdb932d_SiteId">
    <vt:lpwstr>84712536-f524-40a0-913b-5d25ba502732</vt:lpwstr>
  </property>
  <property fmtid="{D5CDD505-2E9C-101B-9397-08002B2CF9AE}" pid="7" name="MSIP_Label_6800fede-0e59-47ad-af95-4e63bbdb932d_ActionId">
    <vt:lpwstr>a97a17e1-1602-4526-8083-488e4790d109</vt:lpwstr>
  </property>
  <property fmtid="{D5CDD505-2E9C-101B-9397-08002B2CF9AE}" pid="8" name="MSIP_Label_6800fede-0e59-47ad-af95-4e63bbdb932d_ContentBits">
    <vt:lpwstr>0</vt:lpwstr>
  </property>
</Properties>
</file>