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2025Z06378</w:t>
        <w:br/>
      </w:r>
      <w:proofErr w:type="spellEnd"/>
    </w:p>
    <w:p>
      <w:pPr>
        <w:pStyle w:val="Normal"/>
        <w:rPr>
          <w:b w:val="1"/>
          <w:bCs w:val="1"/>
        </w:rPr>
      </w:pPr>
      <w:r w:rsidR="250AE766">
        <w:rPr>
          <w:b w:val="0"/>
          <w:bCs w:val="0"/>
        </w:rPr>
        <w:t>(ingezonden 3 april 2025)</w:t>
        <w:br/>
      </w:r>
    </w:p>
    <w:p>
      <w:r>
        <w:t xml:space="preserve">Vragen van het lid Van Houwelingen (FVD) aan de minister van Defensie over ‘concrete weerbaarheidsdoelen’.</w:t>
      </w:r>
      <w:r>
        <w:br/>
      </w:r>
    </w:p>
    <w:p>
      <w:r>
        <w:t xml:space="preserve"> </w:t>
      </w:r>
      <w:r>
        <w:br/>
      </w:r>
    </w:p>
    <w:p>
      <w:pPr>
        <w:pStyle w:val="ListParagraph"/>
        <w:numPr>
          <w:ilvl w:val="0"/>
          <w:numId w:val="100474130"/>
        </w:numPr>
        <w:ind w:left="360"/>
      </w:pPr>
      <w:r>
        <w:t>Bent u bekend met de bewering van de heer Ten Haaf, (2 april 2025, rond vijf minuten over drie in de middag) in de Tweede Kamer tijdens een technische briefing over het AIV advies ‘Hybride dreigingen en maatschappelijke weerbaarheid’, dat de AIV de ‘concrete weerbaarheidsdoelen’ (‘resilience objectives’, voortvloeiend uit de NAVO-top in Vilnius van juli 2023) heeft kunnen inzien? [1]</w:t>
      </w:r>
      <w:r>
        <w:br/>
      </w:r>
    </w:p>
    <w:p>
      <w:pPr>
        <w:pStyle w:val="ListParagraph"/>
        <w:numPr>
          <w:ilvl w:val="0"/>
          <w:numId w:val="100474130"/>
        </w:numPr>
        <w:ind w:left="360"/>
      </w:pPr>
      <w:r>
        <w:t>Is het correct dat indien de AIV deze ‘concrete weerbaarheidsdoelen’ heeft kunnen inzien de Tweede Kamer (logischerwijs) ook van deze ‘concrete weerbaarheidsdoelen’ kennis zou moeten kunnen nemen? Indien dat niet het geval is, waarom niet?</w:t>
      </w:r>
      <w:r>
        <w:br/>
      </w:r>
    </w:p>
    <w:p>
      <w:pPr>
        <w:pStyle w:val="ListParagraph"/>
        <w:numPr>
          <w:ilvl w:val="0"/>
          <w:numId w:val="100474130"/>
        </w:numPr>
        <w:ind w:left="360"/>
      </w:pPr>
      <w:r>
        <w:t>Indien dat wel het geval is, kunt u deze ‘concrete weerbaarheidsdoelen’ zo spoedig mogelijk naar de Tweede Kamer sturen?</w:t>
      </w:r>
      <w:r>
        <w:br/>
      </w:r>
    </w:p>
    <w:p>
      <w:r>
        <w:t xml:space="preserve"> </w:t>
      </w:r>
      <w:r>
        <w:br/>
      </w:r>
    </w:p>
    <w:p>
      <w:r>
        <w:t xml:space="preserve">[1] DebatDirect, 2 april 2025, Briefing AIV advies ‘Hybride dreigingen en maatschappelijke weerbaarheid', (https://debatdirect.tweedekamer.nl/2025-04-02/defensie/thorbeckezaal/aiv-advies-hybride-dreigingen-en-maatschappelijke-weerbaarheid-14-15/onderwerp)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10">
    <w:abstractNumId w:val="100474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