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710AA" w:rsidR="00B06701" w:rsidP="000A51D0" w:rsidRDefault="00F153FF" w14:paraId="3D2971EA" w14:textId="17DB166C">
      <w:pPr>
        <w:spacing w:after="0" w:line="240" w:lineRule="auto"/>
        <w:rPr>
          <w:b/>
          <w:bCs/>
          <w:color w:val="211D1F"/>
          <w:lang w:val="nl-NL"/>
        </w:rPr>
      </w:pPr>
      <w:bookmarkStart w:name="_GoBack" w:id="0"/>
      <w:bookmarkEnd w:id="0"/>
      <w:r w:rsidRPr="002710AA">
        <w:rPr>
          <w:b/>
          <w:bCs/>
          <w:lang w:val="nl-NL"/>
        </w:rPr>
        <w:t xml:space="preserve">BIJLAGE - Beleidsreactie inspectiebrief </w:t>
      </w:r>
      <w:r w:rsidR="00EB783E">
        <w:rPr>
          <w:b/>
          <w:bCs/>
          <w:lang w:val="nl-NL"/>
        </w:rPr>
        <w:t>JJI</w:t>
      </w:r>
      <w:r w:rsidRPr="002710AA" w:rsidR="000E2023">
        <w:rPr>
          <w:b/>
          <w:bCs/>
          <w:lang w:val="nl-NL"/>
        </w:rPr>
        <w:t xml:space="preserve"> </w:t>
      </w:r>
      <w:r w:rsidRPr="002710AA">
        <w:rPr>
          <w:b/>
          <w:bCs/>
          <w:lang w:val="nl-NL"/>
        </w:rPr>
        <w:t xml:space="preserve">De Haven en VSO </w:t>
      </w:r>
      <w:r w:rsidRPr="002710AA">
        <w:rPr>
          <w:b/>
          <w:bCs/>
          <w:color w:val="211D1F"/>
          <w:lang w:val="nl-NL"/>
        </w:rPr>
        <w:t>Veenhuizen</w:t>
      </w:r>
    </w:p>
    <w:p w:rsidRPr="002710AA" w:rsidR="000A51D0" w:rsidP="000A51D0" w:rsidRDefault="000A51D0" w14:paraId="5CB14870" w14:textId="77777777">
      <w:pPr>
        <w:spacing w:after="0" w:line="240" w:lineRule="auto"/>
        <w:rPr>
          <w:b/>
          <w:bCs/>
          <w:color w:val="211D1F"/>
          <w:lang w:val="nl-NL"/>
        </w:rPr>
      </w:pPr>
    </w:p>
    <w:tbl>
      <w:tblPr>
        <w:tblStyle w:val="Tabelraster"/>
        <w:tblW w:w="9634" w:type="dxa"/>
        <w:tblInd w:w="-289" w:type="dxa"/>
        <w:tblLook w:val="04A0" w:firstRow="1" w:lastRow="0" w:firstColumn="1" w:lastColumn="0" w:noHBand="0" w:noVBand="1"/>
      </w:tblPr>
      <w:tblGrid>
        <w:gridCol w:w="3686"/>
        <w:gridCol w:w="5948"/>
      </w:tblGrid>
      <w:tr w:rsidRPr="00FC30E9" w:rsidR="00F153FF" w:rsidTr="005F097E" w14:paraId="7B4FE345" w14:textId="77777777">
        <w:tc>
          <w:tcPr>
            <w:tcW w:w="9634" w:type="dxa"/>
            <w:gridSpan w:val="2"/>
          </w:tcPr>
          <w:p w:rsidRPr="002710AA" w:rsidR="00F153FF" w:rsidP="00B4776C" w:rsidRDefault="00F153FF" w14:paraId="12B31596" w14:textId="3631CE57">
            <w:pPr>
              <w:pStyle w:val="Default"/>
              <w:spacing w:before="120" w:after="120"/>
              <w:rPr>
                <w:b/>
                <w:bCs/>
                <w:sz w:val="18"/>
                <w:szCs w:val="18"/>
              </w:rPr>
            </w:pPr>
            <w:r w:rsidRPr="002710AA">
              <w:rPr>
                <w:b/>
                <w:bCs/>
                <w:sz w:val="18"/>
                <w:szCs w:val="18"/>
              </w:rPr>
              <w:t>Aanbeveling 1: Draag zorg voor een veilig en gezond pedagogisch leef- en behandelklimaat</w:t>
            </w:r>
          </w:p>
        </w:tc>
      </w:tr>
      <w:tr w:rsidRPr="00FC30E9" w:rsidR="00F153FF" w:rsidTr="00B4776C" w14:paraId="4CA1CD44" w14:textId="77777777">
        <w:tc>
          <w:tcPr>
            <w:tcW w:w="3686" w:type="dxa"/>
          </w:tcPr>
          <w:p w:rsidRPr="002710AA" w:rsidR="00F153FF" w:rsidP="00B4776C" w:rsidRDefault="00F153FF" w14:paraId="42CECEB8" w14:textId="77777777">
            <w:pPr>
              <w:pStyle w:val="Default"/>
              <w:spacing w:before="120" w:after="120"/>
              <w:rPr>
                <w:sz w:val="18"/>
                <w:szCs w:val="18"/>
              </w:rPr>
            </w:pPr>
            <w:r w:rsidRPr="002710AA">
              <w:rPr>
                <w:sz w:val="18"/>
                <w:szCs w:val="18"/>
              </w:rPr>
              <w:t xml:space="preserve">1.1 Continueer de gefaseerde instroom van jongeren, inclusief heldere afspraken hierover voorafgaand aan de plaatsingen. </w:t>
            </w:r>
          </w:p>
        </w:tc>
        <w:tc>
          <w:tcPr>
            <w:tcW w:w="5948" w:type="dxa"/>
          </w:tcPr>
          <w:p w:rsidRPr="002710AA" w:rsidR="00F153FF" w:rsidP="00B4776C" w:rsidRDefault="00F153FF" w14:paraId="12DD3E0A" w14:textId="5FF9A344">
            <w:pPr>
              <w:spacing w:before="120" w:after="120"/>
              <w:rPr>
                <w:szCs w:val="18"/>
                <w:lang w:val="nl-NL"/>
              </w:rPr>
            </w:pPr>
            <w:r w:rsidRPr="002710AA">
              <w:rPr>
                <w:b/>
                <w:bCs/>
                <w:szCs w:val="18"/>
                <w:lang w:val="nl-NL"/>
              </w:rPr>
              <w:t>Aanbeveling opgevolgd:</w:t>
            </w:r>
            <w:r w:rsidRPr="002710AA">
              <w:rPr>
                <w:szCs w:val="18"/>
                <w:lang w:val="nl-NL"/>
              </w:rPr>
              <w:t xml:space="preserve"> De instroom wordt gefaseerd gecontinueerd. Bij het openen van een nieuwe groep maken de </w:t>
            </w:r>
            <w:r w:rsidR="00C87FAD">
              <w:rPr>
                <w:szCs w:val="18"/>
                <w:lang w:val="nl-NL"/>
              </w:rPr>
              <w:t>JJI</w:t>
            </w:r>
            <w:r w:rsidRPr="002710AA">
              <w:rPr>
                <w:szCs w:val="18"/>
                <w:lang w:val="nl-NL"/>
              </w:rPr>
              <w:t xml:space="preserve"> en de Divisie Individuele Zaken van de DJI afspraken op maat.</w:t>
            </w:r>
          </w:p>
        </w:tc>
      </w:tr>
      <w:tr w:rsidRPr="00FC30E9" w:rsidR="00F153FF" w:rsidTr="00B4776C" w14:paraId="7010E569" w14:textId="77777777">
        <w:tc>
          <w:tcPr>
            <w:tcW w:w="3686" w:type="dxa"/>
          </w:tcPr>
          <w:p w:rsidRPr="002710AA" w:rsidR="00F153FF" w:rsidP="00B4776C" w:rsidRDefault="00F153FF" w14:paraId="764C760D" w14:textId="77777777">
            <w:pPr>
              <w:pStyle w:val="Default"/>
              <w:spacing w:before="120" w:after="120"/>
              <w:rPr>
                <w:sz w:val="18"/>
                <w:szCs w:val="18"/>
              </w:rPr>
            </w:pPr>
            <w:r w:rsidRPr="002710AA">
              <w:rPr>
                <w:sz w:val="18"/>
                <w:szCs w:val="18"/>
              </w:rPr>
              <w:t>1.2 De directies signaleren tijdig kwetsbaarheid en risico’s en uiten op tijd hun zorgen bij DJI als de situatie niet haalbaar of houdbaar dreigt te worden.</w:t>
            </w:r>
          </w:p>
          <w:p w:rsidRPr="002710AA" w:rsidR="00F153FF" w:rsidP="00B4776C" w:rsidRDefault="00F153FF" w14:paraId="6E59D472" w14:textId="77777777">
            <w:pPr>
              <w:pStyle w:val="Default"/>
              <w:spacing w:before="120" w:after="120"/>
              <w:rPr>
                <w:sz w:val="18"/>
                <w:szCs w:val="18"/>
              </w:rPr>
            </w:pPr>
          </w:p>
        </w:tc>
        <w:tc>
          <w:tcPr>
            <w:tcW w:w="5948" w:type="dxa"/>
          </w:tcPr>
          <w:p w:rsidRPr="002710AA" w:rsidR="00F153FF" w:rsidP="00B4776C" w:rsidRDefault="00F153FF" w14:paraId="0737FFD8" w14:textId="2458982F">
            <w:pPr>
              <w:autoSpaceDE w:val="0"/>
              <w:adjustRightInd w:val="0"/>
              <w:spacing w:before="120" w:after="120"/>
              <w:rPr>
                <w:szCs w:val="18"/>
                <w:lang w:val="nl-NL"/>
              </w:rPr>
            </w:pPr>
            <w:r w:rsidRPr="002710AA">
              <w:rPr>
                <w:b/>
                <w:bCs/>
                <w:szCs w:val="18"/>
                <w:lang w:val="nl-NL"/>
              </w:rPr>
              <w:t>Aanbeveling opgevolgd:</w:t>
            </w:r>
            <w:r w:rsidRPr="002710AA">
              <w:rPr>
                <w:szCs w:val="18"/>
                <w:lang w:val="nl-NL"/>
              </w:rPr>
              <w:t xml:space="preserve"> De directie van De Haven onderschrijft het belang van het onderscheid tussen het detentieregime van de PI en de </w:t>
            </w:r>
            <w:r w:rsidR="00C87FAD">
              <w:rPr>
                <w:szCs w:val="18"/>
                <w:lang w:val="nl-NL"/>
              </w:rPr>
              <w:t>JJI</w:t>
            </w:r>
            <w:r w:rsidRPr="002710AA">
              <w:rPr>
                <w:szCs w:val="18"/>
                <w:lang w:val="nl-NL"/>
              </w:rPr>
              <w:t xml:space="preserve"> en acteert daarop. Zo bestaat binnen De Haven een aparte directie voor de </w:t>
            </w:r>
            <w:r w:rsidR="00C87FAD">
              <w:rPr>
                <w:szCs w:val="18"/>
                <w:lang w:val="nl-NL"/>
              </w:rPr>
              <w:t>JJI</w:t>
            </w:r>
            <w:r w:rsidRPr="002710AA">
              <w:rPr>
                <w:szCs w:val="18"/>
                <w:lang w:val="nl-NL"/>
              </w:rPr>
              <w:t xml:space="preserve">, die valt onder de verantwoordelijkheid van de divisiedirecteur Forensische Zorg/Justitiële Jeugdinrichtingen van de DJI. Op deze manier worden de belangen van de jongeren goed vertegenwoordigd. Daarnaast komen jongeren </w:t>
            </w:r>
            <w:r w:rsidRPr="002710AA">
              <w:rPr>
                <w:i/>
                <w:iCs/>
                <w:szCs w:val="18"/>
                <w:lang w:val="nl-NL"/>
              </w:rPr>
              <w:t>alleen</w:t>
            </w:r>
            <w:r w:rsidRPr="002710AA">
              <w:rPr>
                <w:szCs w:val="18"/>
                <w:lang w:val="nl-NL"/>
              </w:rPr>
              <w:t xml:space="preserve"> in aanraking met personeel dat is getraind in de YOUTURN-methodiek, en dus bekend is met de pedagogische benadering van deze doelgroep.</w:t>
            </w:r>
          </w:p>
          <w:p w:rsidRPr="002710AA" w:rsidR="00F153FF" w:rsidP="00B4776C" w:rsidRDefault="00F153FF" w14:paraId="0A5EC0A3" w14:textId="3555CA6B">
            <w:pPr>
              <w:autoSpaceDE w:val="0"/>
              <w:adjustRightInd w:val="0"/>
              <w:spacing w:before="120" w:after="120"/>
              <w:rPr>
                <w:color w:val="4472C4" w:themeColor="accent5"/>
                <w:szCs w:val="18"/>
                <w:lang w:val="nl-NL"/>
              </w:rPr>
            </w:pPr>
            <w:r w:rsidRPr="002710AA">
              <w:rPr>
                <w:szCs w:val="18"/>
                <w:lang w:val="nl-NL"/>
              </w:rPr>
              <w:t xml:space="preserve">De </w:t>
            </w:r>
            <w:r w:rsidR="00C87FAD">
              <w:rPr>
                <w:szCs w:val="18"/>
                <w:lang w:val="nl-NL"/>
              </w:rPr>
              <w:t>JJI</w:t>
            </w:r>
            <w:r w:rsidRPr="002710AA">
              <w:rPr>
                <w:szCs w:val="18"/>
                <w:lang w:val="nl-NL"/>
              </w:rPr>
              <w:t xml:space="preserve"> beperkt risico’s die voortkomen uit de onervarenheid van medewerkers door een meerjarig opleidingsplan, begeleiding van medewerkers in dagelijkse processen door een ervaren methodiekcoach, een ervaren afdelingshoofd die zich inzet voor het operationele proces en de begeleiding van de medewerkers en ‘coaching on the job’ door een ervaren GZ-psycholoog uit </w:t>
            </w:r>
            <w:r w:rsidR="00C87FAD">
              <w:rPr>
                <w:szCs w:val="18"/>
                <w:lang w:val="nl-NL"/>
              </w:rPr>
              <w:t>de JJI-sector</w:t>
            </w:r>
            <w:r w:rsidRPr="002710AA">
              <w:rPr>
                <w:szCs w:val="18"/>
                <w:lang w:val="nl-NL"/>
              </w:rPr>
              <w:t>.</w:t>
            </w:r>
          </w:p>
        </w:tc>
      </w:tr>
      <w:tr w:rsidRPr="00FC30E9" w:rsidR="00F153FF" w:rsidTr="00B4776C" w14:paraId="03B983B5" w14:textId="77777777">
        <w:tc>
          <w:tcPr>
            <w:tcW w:w="3686" w:type="dxa"/>
          </w:tcPr>
          <w:p w:rsidRPr="002710AA" w:rsidR="00F153FF" w:rsidP="00B4776C" w:rsidRDefault="00F153FF" w14:paraId="533DCFD3" w14:textId="77777777">
            <w:pPr>
              <w:pStyle w:val="Default"/>
              <w:spacing w:before="120" w:after="120"/>
              <w:rPr>
                <w:sz w:val="18"/>
                <w:szCs w:val="18"/>
              </w:rPr>
            </w:pPr>
            <w:r w:rsidRPr="002710AA">
              <w:rPr>
                <w:sz w:val="18"/>
                <w:szCs w:val="18"/>
              </w:rPr>
              <w:t xml:space="preserve">1.3 Werkinstructies, protocollen en het behandelbeleid zijn specifiek uitgewerkt voor JJI De Haven met duidelijke kaders én ruimte voor maatwerk. </w:t>
            </w:r>
          </w:p>
        </w:tc>
        <w:tc>
          <w:tcPr>
            <w:tcW w:w="5948" w:type="dxa"/>
          </w:tcPr>
          <w:p w:rsidRPr="002710AA" w:rsidR="00F153FF" w:rsidP="00B4776C" w:rsidRDefault="00F153FF" w14:paraId="055AB409" w14:textId="76F2932B">
            <w:pPr>
              <w:autoSpaceDE w:val="0"/>
              <w:adjustRightInd w:val="0"/>
              <w:spacing w:before="120" w:after="120"/>
              <w:rPr>
                <w:szCs w:val="18"/>
                <w:lang w:val="nl-NL"/>
              </w:rPr>
            </w:pPr>
            <w:r w:rsidRPr="002710AA">
              <w:rPr>
                <w:b/>
                <w:bCs/>
                <w:szCs w:val="18"/>
                <w:lang w:val="nl-NL"/>
              </w:rPr>
              <w:t>Aanbeveling opgevolgd:</w:t>
            </w:r>
            <w:r w:rsidRPr="002710AA">
              <w:rPr>
                <w:szCs w:val="18"/>
                <w:lang w:val="nl-NL"/>
              </w:rPr>
              <w:t xml:space="preserve"> Er zijn inmiddels behandelprogramma’s opgesteld voor de kortverblijfafdeling, de langverblijfafdeling, en voor jongeren met een lichtverstandelijke beperking specifiek voor JJI de Haven. </w:t>
            </w:r>
          </w:p>
        </w:tc>
      </w:tr>
      <w:tr w:rsidRPr="00FC30E9" w:rsidR="00F153FF" w:rsidTr="00B4776C" w14:paraId="3EBB9CC8" w14:textId="77777777">
        <w:trPr>
          <w:trHeight w:val="3458"/>
        </w:trPr>
        <w:tc>
          <w:tcPr>
            <w:tcW w:w="3686" w:type="dxa"/>
          </w:tcPr>
          <w:p w:rsidRPr="002710AA" w:rsidR="00496574" w:rsidP="00B4776C" w:rsidRDefault="00F153FF" w14:paraId="395CCB41" w14:textId="0430A01A">
            <w:pPr>
              <w:pStyle w:val="Default"/>
              <w:spacing w:before="120" w:after="120"/>
              <w:rPr>
                <w:sz w:val="18"/>
                <w:szCs w:val="18"/>
              </w:rPr>
            </w:pPr>
            <w:r w:rsidRPr="002710AA">
              <w:rPr>
                <w:sz w:val="18"/>
                <w:szCs w:val="18"/>
              </w:rPr>
              <w:t>1.4 Zorg en risico-signalen over jongeren zijn makkelijk vindbaar voor zowel JJI-medewerkers als docenten die in contact staan met jongeren, zodat deze tijdig bij elkaar komen door</w:t>
            </w:r>
            <w:r w:rsidRPr="002710AA" w:rsidR="00496574">
              <w:rPr>
                <w:sz w:val="18"/>
                <w:szCs w:val="18"/>
              </w:rPr>
              <w:t>:</w:t>
            </w:r>
            <w:r w:rsidRPr="002710AA">
              <w:rPr>
                <w:sz w:val="18"/>
                <w:szCs w:val="18"/>
              </w:rPr>
              <w:t xml:space="preserve"> </w:t>
            </w:r>
          </w:p>
          <w:p w:rsidRPr="002710AA" w:rsidR="00496574" w:rsidP="00B4776C" w:rsidRDefault="00F153FF" w14:paraId="4EBC4333" w14:textId="77777777">
            <w:pPr>
              <w:pStyle w:val="Default"/>
              <w:spacing w:before="120" w:after="120"/>
              <w:rPr>
                <w:sz w:val="18"/>
                <w:szCs w:val="18"/>
              </w:rPr>
            </w:pPr>
            <w:r w:rsidRPr="002710AA">
              <w:rPr>
                <w:sz w:val="18"/>
                <w:szCs w:val="18"/>
              </w:rPr>
              <w:t xml:space="preserve">a) goede afspraken te maken over hoe, wanneer, door wie en waar gerapporteerd wordt;  </w:t>
            </w:r>
          </w:p>
          <w:p w:rsidRPr="002710AA" w:rsidR="00496574" w:rsidP="00B4776C" w:rsidRDefault="00F153FF" w14:paraId="47AAF2C7" w14:textId="77777777">
            <w:pPr>
              <w:pStyle w:val="Default"/>
              <w:spacing w:before="120" w:after="120"/>
              <w:rPr>
                <w:sz w:val="18"/>
                <w:szCs w:val="18"/>
              </w:rPr>
            </w:pPr>
            <w:r w:rsidRPr="002710AA">
              <w:rPr>
                <w:sz w:val="18"/>
                <w:szCs w:val="18"/>
              </w:rPr>
              <w:t xml:space="preserve">b) een heldere overlegstructuur te hebben waar welke signalen wanneer en met wie besproken worden; </w:t>
            </w:r>
          </w:p>
          <w:p w:rsidRPr="002710AA" w:rsidR="00F153FF" w:rsidP="00B4776C" w:rsidRDefault="00F153FF" w14:paraId="7FC2BC2C" w14:textId="276ACF99">
            <w:pPr>
              <w:pStyle w:val="Default"/>
              <w:spacing w:before="120" w:after="120"/>
              <w:rPr>
                <w:sz w:val="18"/>
                <w:szCs w:val="18"/>
              </w:rPr>
            </w:pPr>
            <w:r w:rsidRPr="002710AA">
              <w:rPr>
                <w:sz w:val="18"/>
                <w:szCs w:val="18"/>
              </w:rPr>
              <w:t xml:space="preserve">c) </w:t>
            </w:r>
            <w:bookmarkStart w:name="_Hlk191394159" w:id="1"/>
            <w:r w:rsidRPr="002710AA">
              <w:rPr>
                <w:sz w:val="18"/>
                <w:szCs w:val="18"/>
              </w:rPr>
              <w:t xml:space="preserve">in samenwerking met de andere (R)JJI’s - toe te werken naar één multidisciplinair registratie- en rapportagesysteem. </w:t>
            </w:r>
            <w:bookmarkEnd w:id="1"/>
          </w:p>
        </w:tc>
        <w:tc>
          <w:tcPr>
            <w:tcW w:w="5948" w:type="dxa"/>
          </w:tcPr>
          <w:p w:rsidRPr="00B4776C" w:rsidR="00F153FF" w:rsidP="00B4776C" w:rsidRDefault="00A90AE8" w14:paraId="09476CE4" w14:textId="719040F9">
            <w:pPr>
              <w:spacing w:before="120" w:after="120"/>
              <w:rPr>
                <w:szCs w:val="18"/>
                <w:lang w:val="nl-NL"/>
              </w:rPr>
            </w:pPr>
            <w:r w:rsidRPr="002710AA">
              <w:rPr>
                <w:b/>
                <w:bCs/>
                <w:szCs w:val="18"/>
                <w:lang w:val="nl-NL"/>
              </w:rPr>
              <w:t>A</w:t>
            </w:r>
            <w:r w:rsidRPr="002710AA" w:rsidR="00F153FF">
              <w:rPr>
                <w:b/>
                <w:bCs/>
                <w:szCs w:val="18"/>
                <w:lang w:val="nl-NL"/>
              </w:rPr>
              <w:t xml:space="preserve">anbevelingen </w:t>
            </w:r>
            <w:r w:rsidRPr="002710AA">
              <w:rPr>
                <w:b/>
                <w:bCs/>
                <w:szCs w:val="18"/>
                <w:lang w:val="nl-NL"/>
              </w:rPr>
              <w:t xml:space="preserve">a en b </w:t>
            </w:r>
            <w:r w:rsidRPr="002710AA" w:rsidR="00F153FF">
              <w:rPr>
                <w:b/>
                <w:bCs/>
                <w:szCs w:val="18"/>
                <w:lang w:val="nl-NL"/>
              </w:rPr>
              <w:t>opgevolgd</w:t>
            </w:r>
            <w:r w:rsidRPr="002710AA" w:rsidR="00F153FF">
              <w:rPr>
                <w:szCs w:val="18"/>
                <w:lang w:val="nl-NL"/>
              </w:rPr>
              <w:t xml:space="preserve">: Er is een heldere overlegstructuur opgezet met vaste overdrachtsmomenten tussen de verschillende disciplines van de </w:t>
            </w:r>
            <w:r w:rsidR="00C87FAD">
              <w:rPr>
                <w:szCs w:val="18"/>
                <w:lang w:val="nl-NL"/>
              </w:rPr>
              <w:t>JJI</w:t>
            </w:r>
            <w:r w:rsidRPr="002710AA" w:rsidR="00F153FF">
              <w:rPr>
                <w:szCs w:val="18"/>
                <w:lang w:val="nl-NL"/>
              </w:rPr>
              <w:t xml:space="preserve"> en tussen de </w:t>
            </w:r>
            <w:r w:rsidR="00C87FAD">
              <w:rPr>
                <w:szCs w:val="18"/>
                <w:lang w:val="nl-NL"/>
              </w:rPr>
              <w:t>JJI</w:t>
            </w:r>
            <w:r w:rsidRPr="002710AA" w:rsidR="00F153FF">
              <w:rPr>
                <w:szCs w:val="18"/>
                <w:lang w:val="nl-NL"/>
              </w:rPr>
              <w:t xml:space="preserve"> en de school.</w:t>
            </w:r>
          </w:p>
          <w:p w:rsidRPr="002710AA" w:rsidR="00F153FF" w:rsidP="00B4776C" w:rsidRDefault="00026D92" w14:paraId="14290C25" w14:textId="36BB87B7">
            <w:pPr>
              <w:autoSpaceDE w:val="0"/>
              <w:adjustRightInd w:val="0"/>
              <w:spacing w:before="120" w:after="120"/>
              <w:rPr>
                <w:szCs w:val="18"/>
                <w:lang w:val="nl-NL"/>
              </w:rPr>
            </w:pPr>
            <w:r w:rsidRPr="002710AA">
              <w:rPr>
                <w:b/>
                <w:bCs/>
                <w:szCs w:val="18"/>
                <w:lang w:val="nl-NL"/>
              </w:rPr>
              <w:t xml:space="preserve">Wijze van opvolging aanbeveling </w:t>
            </w:r>
            <w:r w:rsidRPr="002710AA" w:rsidR="00F153FF">
              <w:rPr>
                <w:b/>
                <w:bCs/>
                <w:szCs w:val="18"/>
                <w:lang w:val="nl-NL"/>
              </w:rPr>
              <w:t>c</w:t>
            </w:r>
            <w:r w:rsidRPr="002710AA">
              <w:rPr>
                <w:b/>
                <w:bCs/>
                <w:szCs w:val="18"/>
                <w:lang w:val="nl-NL"/>
              </w:rPr>
              <w:t xml:space="preserve"> volgt vóór de zomer:</w:t>
            </w:r>
            <w:r w:rsidRPr="002710AA" w:rsidR="00F153FF">
              <w:rPr>
                <w:szCs w:val="18"/>
                <w:lang w:val="nl-NL"/>
              </w:rPr>
              <w:t xml:space="preserve"> Deze </w:t>
            </w:r>
            <w:r w:rsidRPr="002710AA" w:rsidR="002710AA">
              <w:rPr>
                <w:szCs w:val="18"/>
                <w:lang w:val="nl-NL"/>
              </w:rPr>
              <w:t>aanbeveling</w:t>
            </w:r>
            <w:r w:rsidRPr="002710AA" w:rsidR="00F153FF">
              <w:rPr>
                <w:szCs w:val="18"/>
                <w:lang w:val="nl-NL"/>
              </w:rPr>
              <w:t xml:space="preserve"> is in lijn met de aanbeveling uit het rapport van de Onderwijsraad over het onderwijs in de justitiële inrichtingen</w:t>
            </w:r>
            <w:r w:rsidRPr="002710AA" w:rsidR="00F153FF">
              <w:rPr>
                <w:rStyle w:val="Voetnootmarkering"/>
                <w:szCs w:val="18"/>
                <w:lang w:val="nl-NL"/>
              </w:rPr>
              <w:footnoteReference w:id="1"/>
            </w:r>
            <w:r w:rsidRPr="002710AA" w:rsidR="00F153FF">
              <w:rPr>
                <w:szCs w:val="18"/>
                <w:lang w:val="nl-NL"/>
              </w:rPr>
              <w:t xml:space="preserve"> om informatie-, monitorings- en verantwoordingssystemen beter op elkaar af te stemmen en zo mogelijk in alle jeugdinrichtingen te komen tot één gemeenschappelijk systeem met de daaraan verbonden school. </w:t>
            </w:r>
            <w:bookmarkStart w:name="_Hlk191394225" w:id="2"/>
            <w:r w:rsidRPr="002710AA" w:rsidR="00F153FF">
              <w:rPr>
                <w:szCs w:val="18"/>
                <w:lang w:val="nl-NL"/>
              </w:rPr>
              <w:t xml:space="preserve">In de beleidsreactie op dit rapport van de Onderwijsraad – die ik </w:t>
            </w:r>
            <w:r w:rsidRPr="00FC30E9" w:rsidR="00F153FF">
              <w:rPr>
                <w:szCs w:val="18"/>
                <w:lang w:val="nl-NL"/>
              </w:rPr>
              <w:t>vóór de zomer</w:t>
            </w:r>
            <w:r w:rsidRPr="00FC30E9" w:rsidR="000E2023">
              <w:rPr>
                <w:szCs w:val="18"/>
                <w:lang w:val="nl-NL"/>
              </w:rPr>
              <w:t>,</w:t>
            </w:r>
            <w:r w:rsidRPr="000E2023" w:rsidR="000E2023">
              <w:rPr>
                <w:szCs w:val="18"/>
                <w:lang w:val="nl-NL"/>
              </w:rPr>
              <w:t xml:space="preserve"> samen met de staatssecretaris van Onderwijs, Cultuur en Wetenschap, </w:t>
            </w:r>
            <w:r w:rsidRPr="002710AA" w:rsidR="00F153FF">
              <w:rPr>
                <w:szCs w:val="18"/>
                <w:lang w:val="nl-NL"/>
              </w:rPr>
              <w:t>aan uw Kamer toezend – zal ik inhoudelijk op dit punt reageren.</w:t>
            </w:r>
          </w:p>
          <w:bookmarkEnd w:id="2"/>
          <w:p w:rsidRPr="002710AA" w:rsidR="00F153FF" w:rsidP="00B4776C" w:rsidRDefault="00F153FF" w14:paraId="05C3AC74" w14:textId="77777777">
            <w:pPr>
              <w:spacing w:before="120" w:after="120"/>
              <w:rPr>
                <w:szCs w:val="18"/>
                <w:lang w:val="nl-NL"/>
              </w:rPr>
            </w:pPr>
          </w:p>
        </w:tc>
      </w:tr>
      <w:tr w:rsidRPr="002710AA" w:rsidR="00F153FF" w:rsidTr="00B4776C" w14:paraId="7D6A1CBE" w14:textId="77777777">
        <w:tc>
          <w:tcPr>
            <w:tcW w:w="3686" w:type="dxa"/>
          </w:tcPr>
          <w:p w:rsidRPr="002710AA" w:rsidR="00F153FF" w:rsidP="00B4776C" w:rsidRDefault="00F153FF" w14:paraId="3E7A78CD" w14:textId="77777777">
            <w:pPr>
              <w:spacing w:before="120" w:after="120"/>
              <w:rPr>
                <w:szCs w:val="18"/>
                <w:lang w:val="nl-NL"/>
              </w:rPr>
            </w:pPr>
            <w:r w:rsidRPr="002710AA">
              <w:rPr>
                <w:szCs w:val="18"/>
                <w:lang w:val="nl-NL"/>
              </w:rPr>
              <w:t>1.5 Realiseer de geplande aanpassingen aan de inrichting ter bevordering van de huiselijke sfeer op korte termijn.</w:t>
            </w:r>
          </w:p>
        </w:tc>
        <w:tc>
          <w:tcPr>
            <w:tcW w:w="5948" w:type="dxa"/>
          </w:tcPr>
          <w:p w:rsidRPr="002710AA" w:rsidR="00F153FF" w:rsidP="00B4776C" w:rsidRDefault="00F153FF" w14:paraId="723F31E5" w14:textId="160ACCD4">
            <w:pPr>
              <w:spacing w:before="120" w:after="120"/>
              <w:rPr>
                <w:b/>
                <w:bCs/>
                <w:szCs w:val="18"/>
                <w:lang w:val="nl-NL"/>
              </w:rPr>
            </w:pPr>
            <w:r w:rsidRPr="002710AA">
              <w:rPr>
                <w:b/>
                <w:bCs/>
                <w:szCs w:val="18"/>
                <w:lang w:val="nl-NL"/>
              </w:rPr>
              <w:t>Aanbeveling opgevolgd</w:t>
            </w:r>
          </w:p>
        </w:tc>
      </w:tr>
      <w:tr w:rsidRPr="00FC30E9" w:rsidR="00F153FF" w:rsidTr="005F097E" w14:paraId="1FF820F3" w14:textId="77777777">
        <w:tc>
          <w:tcPr>
            <w:tcW w:w="9634" w:type="dxa"/>
            <w:gridSpan w:val="2"/>
          </w:tcPr>
          <w:p w:rsidRPr="002710AA" w:rsidR="00F153FF" w:rsidP="00B4776C" w:rsidRDefault="00F153FF" w14:paraId="52E7C186" w14:textId="2FC5AB23">
            <w:pPr>
              <w:spacing w:before="120" w:after="120"/>
              <w:rPr>
                <w:szCs w:val="18"/>
                <w:lang w:val="nl-NL"/>
              </w:rPr>
            </w:pPr>
            <w:r w:rsidRPr="002710AA">
              <w:rPr>
                <w:b/>
                <w:bCs/>
                <w:szCs w:val="18"/>
                <w:lang w:val="nl-NL"/>
              </w:rPr>
              <w:lastRenderedPageBreak/>
              <w:t xml:space="preserve">Aanbeveling 2: </w:t>
            </w:r>
            <w:r w:rsidRPr="00B7411A">
              <w:rPr>
                <w:b/>
                <w:bCs/>
                <w:szCs w:val="18"/>
                <w:lang w:val="nl-NL"/>
              </w:rPr>
              <w:t>Draag zorg voor een volledig onderwijsaanbod en bijbehorende faciliteiten,</w:t>
            </w:r>
            <w:r w:rsidRPr="002710AA">
              <w:rPr>
                <w:b/>
                <w:bCs/>
                <w:szCs w:val="18"/>
                <w:lang w:val="nl-NL"/>
              </w:rPr>
              <w:t xml:space="preserve"> </w:t>
            </w:r>
            <w:r w:rsidRPr="00B7411A">
              <w:rPr>
                <w:b/>
                <w:bCs/>
                <w:szCs w:val="18"/>
                <w:lang w:val="nl-NL"/>
              </w:rPr>
              <w:t>met oog op de komst van de jongeren voor de langverblijfgroepen</w:t>
            </w:r>
          </w:p>
        </w:tc>
      </w:tr>
      <w:tr w:rsidRPr="00FC30E9" w:rsidR="00F153FF" w:rsidTr="00B4776C" w14:paraId="655613C6" w14:textId="77777777">
        <w:trPr>
          <w:trHeight w:val="1975"/>
        </w:trPr>
        <w:tc>
          <w:tcPr>
            <w:tcW w:w="3686" w:type="dxa"/>
          </w:tcPr>
          <w:p w:rsidRPr="002710AA" w:rsidR="00A90AE8" w:rsidP="00B4776C" w:rsidRDefault="00A90AE8" w14:paraId="0C489527" w14:textId="47353699">
            <w:pPr>
              <w:pStyle w:val="Default"/>
              <w:spacing w:before="120" w:after="120"/>
              <w:rPr>
                <w:sz w:val="18"/>
                <w:szCs w:val="18"/>
              </w:rPr>
            </w:pPr>
            <w:r w:rsidRPr="002710AA">
              <w:rPr>
                <w:sz w:val="18"/>
                <w:szCs w:val="18"/>
              </w:rPr>
              <w:t xml:space="preserve">2.1 </w:t>
            </w:r>
            <w:r w:rsidRPr="002710AA" w:rsidR="00F153FF">
              <w:rPr>
                <w:sz w:val="18"/>
                <w:szCs w:val="18"/>
              </w:rPr>
              <w:t>Zorg dat er een onderwijsaanbod beschikbaar komt voor een vijfdaagse schoolweek. De school en JJI werken, waar nodig, samen om dit te realiseren.</w:t>
            </w:r>
          </w:p>
          <w:p w:rsidRPr="002710AA" w:rsidR="00F153FF" w:rsidP="00B4776C" w:rsidRDefault="00F153FF" w14:paraId="6E3C5F65" w14:textId="64E59085">
            <w:pPr>
              <w:pStyle w:val="Default"/>
              <w:spacing w:before="120" w:after="120"/>
              <w:rPr>
                <w:sz w:val="18"/>
                <w:szCs w:val="18"/>
              </w:rPr>
            </w:pPr>
          </w:p>
        </w:tc>
        <w:tc>
          <w:tcPr>
            <w:tcW w:w="5948" w:type="dxa"/>
          </w:tcPr>
          <w:p w:rsidRPr="002710AA" w:rsidR="00A90AE8" w:rsidP="00B4776C" w:rsidRDefault="00F153FF" w14:paraId="4AACE18F" w14:textId="6F7635F1">
            <w:pPr>
              <w:autoSpaceDE w:val="0"/>
              <w:adjustRightInd w:val="0"/>
              <w:spacing w:before="120" w:after="120"/>
              <w:rPr>
                <w:rFonts w:cs="Verdana"/>
                <w:lang w:val="nl-NL"/>
              </w:rPr>
            </w:pPr>
            <w:r w:rsidRPr="002710AA">
              <w:rPr>
                <w:b/>
                <w:bCs/>
                <w:lang w:val="nl-NL"/>
              </w:rPr>
              <w:t>Opvolging van aanbeveling in uitvoering:</w:t>
            </w:r>
            <w:r w:rsidRPr="002710AA">
              <w:rPr>
                <w:lang w:val="nl-NL"/>
              </w:rPr>
              <w:t xml:space="preserve"> Het plan en de middelen om te komen tot een volledig onderwijsaanbod </w:t>
            </w:r>
            <w:r w:rsidRPr="002710AA" w:rsidR="001B4A7F">
              <w:rPr>
                <w:lang w:val="nl-NL"/>
              </w:rPr>
              <w:t xml:space="preserve">zijn </w:t>
            </w:r>
            <w:r w:rsidRPr="002710AA">
              <w:rPr>
                <w:lang w:val="nl-NL"/>
              </w:rPr>
              <w:t xml:space="preserve">inmiddels gereed. Naar verwachting zal het onderwijsaanbod rond de zomer in </w:t>
            </w:r>
            <w:r w:rsidRPr="002710AA">
              <w:rPr>
                <w:rFonts w:cs="Verdana"/>
                <w:lang w:val="nl-NL"/>
              </w:rPr>
              <w:t>een vijfdaagse schoolweek kunnen voorzien. Verder wordt bij de plaatsing van jongeren in De Haven rekening gehouden met het nog onvolledige onderwijsaanbod. Dit houdt in dat wordt geprobeerd een jongere ergens anders te plaatsen in het geval het in De Haven beschikbare onderwijsaanbod voor de betreffende jongere ontoereikend is.</w:t>
            </w:r>
          </w:p>
        </w:tc>
      </w:tr>
      <w:tr w:rsidRPr="00FC30E9" w:rsidR="001B4A7F" w:rsidTr="00B4776C" w14:paraId="543DFA39" w14:textId="77777777">
        <w:trPr>
          <w:trHeight w:val="2880"/>
        </w:trPr>
        <w:tc>
          <w:tcPr>
            <w:tcW w:w="3686" w:type="dxa"/>
          </w:tcPr>
          <w:p w:rsidRPr="002710AA" w:rsidR="00496574" w:rsidP="00B4776C" w:rsidRDefault="001B4A7F" w14:paraId="6D16653B" w14:textId="77777777">
            <w:pPr>
              <w:pStyle w:val="Default"/>
              <w:spacing w:before="120" w:after="120"/>
              <w:rPr>
                <w:sz w:val="18"/>
                <w:szCs w:val="18"/>
              </w:rPr>
            </w:pPr>
            <w:r w:rsidRPr="002710AA">
              <w:rPr>
                <w:sz w:val="18"/>
                <w:szCs w:val="18"/>
              </w:rPr>
              <w:t>2.3 Bereid de komst van de jongeren voor de langverblijfgroepen voor door</w:t>
            </w:r>
            <w:r w:rsidRPr="002710AA" w:rsidR="00496574">
              <w:rPr>
                <w:sz w:val="18"/>
                <w:szCs w:val="18"/>
              </w:rPr>
              <w:t>:</w:t>
            </w:r>
            <w:r w:rsidRPr="002710AA">
              <w:rPr>
                <w:sz w:val="18"/>
                <w:szCs w:val="18"/>
              </w:rPr>
              <w:t xml:space="preserve"> </w:t>
            </w:r>
          </w:p>
          <w:p w:rsidRPr="002710AA" w:rsidR="00496574" w:rsidP="00B4776C" w:rsidRDefault="001B4A7F" w14:paraId="36D78CFC" w14:textId="77777777">
            <w:pPr>
              <w:pStyle w:val="Default"/>
              <w:spacing w:before="120" w:after="120"/>
              <w:rPr>
                <w:sz w:val="18"/>
                <w:szCs w:val="18"/>
              </w:rPr>
            </w:pPr>
            <w:r w:rsidRPr="002710AA">
              <w:rPr>
                <w:sz w:val="18"/>
                <w:szCs w:val="18"/>
              </w:rPr>
              <w:t xml:space="preserve">a) in samenwerking met de JJI te regelen dat een vorm van praktijkvakken gegeven kan worden, </w:t>
            </w:r>
          </w:p>
          <w:p w:rsidRPr="002710AA" w:rsidR="00496574" w:rsidP="00B4776C" w:rsidRDefault="001B4A7F" w14:paraId="23F88D10" w14:textId="77777777">
            <w:pPr>
              <w:pStyle w:val="Default"/>
              <w:spacing w:before="120" w:after="120"/>
              <w:rPr>
                <w:sz w:val="18"/>
                <w:szCs w:val="18"/>
              </w:rPr>
            </w:pPr>
            <w:r w:rsidRPr="002710AA">
              <w:rPr>
                <w:sz w:val="18"/>
                <w:szCs w:val="18"/>
              </w:rPr>
              <w:t xml:space="preserve">b) zorg te dragen voor in omgang met de doelgroep geëquipeerde docenten, </w:t>
            </w:r>
          </w:p>
          <w:p w:rsidRPr="002710AA" w:rsidR="001B4A7F" w:rsidP="00B4776C" w:rsidRDefault="001B4A7F" w14:paraId="25480E30" w14:textId="06486FE0">
            <w:pPr>
              <w:pStyle w:val="Default"/>
              <w:spacing w:before="120" w:after="120"/>
              <w:rPr>
                <w:sz w:val="18"/>
                <w:szCs w:val="18"/>
              </w:rPr>
            </w:pPr>
            <w:r w:rsidRPr="002710AA">
              <w:rPr>
                <w:sz w:val="18"/>
                <w:szCs w:val="18"/>
              </w:rPr>
              <w:t>c) ten minste een samenwerking met de aanpalende mbo-instelling te formaliseren.</w:t>
            </w:r>
          </w:p>
        </w:tc>
        <w:tc>
          <w:tcPr>
            <w:tcW w:w="5948" w:type="dxa"/>
          </w:tcPr>
          <w:p w:rsidRPr="00B4776C" w:rsidR="00026D92" w:rsidP="00B4776C" w:rsidRDefault="00026D92" w14:paraId="51FE9EBC" w14:textId="20397090">
            <w:pPr>
              <w:autoSpaceDE w:val="0"/>
              <w:adjustRightInd w:val="0"/>
              <w:spacing w:before="120" w:after="120"/>
              <w:rPr>
                <w:color w:val="FF0000"/>
                <w:lang w:val="nl-NL"/>
              </w:rPr>
            </w:pPr>
            <w:r w:rsidRPr="002710AA">
              <w:rPr>
                <w:b/>
                <w:bCs/>
                <w:lang w:val="nl-NL"/>
              </w:rPr>
              <w:t>Opvolging van aanbeveling a in uitvoering:</w:t>
            </w:r>
            <w:r w:rsidRPr="002710AA">
              <w:rPr>
                <w:lang w:val="nl-NL"/>
              </w:rPr>
              <w:t xml:space="preserve"> De school beschikt over voldoende docenten met onderwijsbevoegdheid, </w:t>
            </w:r>
            <w:r w:rsidRPr="002710AA">
              <w:rPr>
                <w:rFonts w:cs="Verdana"/>
                <w:lang w:val="nl-NL"/>
              </w:rPr>
              <w:t xml:space="preserve">maar de huisvesting bemoeilijkt het bieden van praktijkvakken. </w:t>
            </w:r>
            <w:r w:rsidRPr="002710AA">
              <w:rPr>
                <w:lang w:val="nl-NL"/>
              </w:rPr>
              <w:t xml:space="preserve">Zoals in de bevindingbrief is vermeld heeft de DJI de goedkeuring voor de benodigde verbouwing getekend waardoor het bieden van praktijkvakken rond de zomer van dit jaar wel mogelijk wordt. </w:t>
            </w:r>
            <w:r w:rsidRPr="002710AA">
              <w:rPr>
                <w:rFonts w:cs="Verdana"/>
                <w:lang w:val="nl-NL"/>
              </w:rPr>
              <w:t xml:space="preserve">In de tussentijd wordt maatwerk qua </w:t>
            </w:r>
            <w:r w:rsidRPr="002710AA" w:rsidR="000E2023">
              <w:rPr>
                <w:rFonts w:cs="Verdana"/>
                <w:lang w:val="nl-NL"/>
              </w:rPr>
              <w:t>praktijk</w:t>
            </w:r>
            <w:r w:rsidR="000E2023">
              <w:rPr>
                <w:rFonts w:cs="Verdana"/>
                <w:lang w:val="nl-NL"/>
              </w:rPr>
              <w:t xml:space="preserve">vakken </w:t>
            </w:r>
            <w:r w:rsidRPr="002710AA">
              <w:rPr>
                <w:rFonts w:cs="Verdana"/>
                <w:lang w:val="nl-NL"/>
              </w:rPr>
              <w:t>toegepast.</w:t>
            </w:r>
          </w:p>
          <w:p w:rsidRPr="002710AA" w:rsidR="00026D92" w:rsidP="00B4776C" w:rsidRDefault="00026D92" w14:paraId="4C481994" w14:textId="1C624348">
            <w:pPr>
              <w:autoSpaceDE w:val="0"/>
              <w:adjustRightInd w:val="0"/>
              <w:spacing w:before="120" w:after="120"/>
              <w:rPr>
                <w:lang w:val="nl-NL"/>
              </w:rPr>
            </w:pPr>
            <w:r w:rsidRPr="002710AA">
              <w:rPr>
                <w:b/>
                <w:bCs/>
                <w:lang w:val="nl-NL"/>
              </w:rPr>
              <w:t>Opvolging van aanbeveling b in uitvoering:</w:t>
            </w:r>
            <w:r w:rsidRPr="002710AA">
              <w:rPr>
                <w:lang w:val="nl-NL"/>
              </w:rPr>
              <w:t xml:space="preserve"> De medewerkers van de school ontvangen trainingen vanuit de school en vanuit de </w:t>
            </w:r>
            <w:r w:rsidR="00C87FAD">
              <w:rPr>
                <w:lang w:val="nl-NL"/>
              </w:rPr>
              <w:t>JJI</w:t>
            </w:r>
            <w:r w:rsidRPr="002710AA">
              <w:rPr>
                <w:lang w:val="nl-NL"/>
              </w:rPr>
              <w:t>. Zo krijgen zij trainingen in weerbaarheid en forensische scherpte en worden zij geschoold in de YOUTURN-methodiek.</w:t>
            </w:r>
          </w:p>
          <w:p w:rsidRPr="002710AA" w:rsidR="001B4A7F" w:rsidP="00B4776C" w:rsidRDefault="00026D92" w14:paraId="58551CC8" w14:textId="569FFBFC">
            <w:pPr>
              <w:autoSpaceDE w:val="0"/>
              <w:adjustRightInd w:val="0"/>
              <w:spacing w:before="120" w:after="120"/>
              <w:rPr>
                <w:lang w:val="nl-NL"/>
              </w:rPr>
            </w:pPr>
            <w:r w:rsidRPr="002710AA">
              <w:rPr>
                <w:b/>
                <w:bCs/>
                <w:lang w:val="nl-NL"/>
              </w:rPr>
              <w:t>Opvolging van aanbeveling c in uitvoering:</w:t>
            </w:r>
            <w:r w:rsidRPr="002710AA">
              <w:rPr>
                <w:lang w:val="nl-NL"/>
              </w:rPr>
              <w:t xml:space="preserve"> Het ministerie van Onderwijs Cultuur en Wetenschap heeft recentelijk een mbo-coördinator aangesteld die ondersteuning kan bieden bij het realiseren van een dergelijke samenwerking. </w:t>
            </w:r>
            <w:r w:rsidRPr="002710AA">
              <w:rPr>
                <w:rFonts w:cs="Verdana"/>
                <w:lang w:val="nl-NL"/>
              </w:rPr>
              <w:t xml:space="preserve">De </w:t>
            </w:r>
            <w:r w:rsidR="00C87FAD">
              <w:rPr>
                <w:rFonts w:cs="Verdana"/>
                <w:lang w:val="nl-NL"/>
              </w:rPr>
              <w:t>JJI</w:t>
            </w:r>
            <w:r w:rsidRPr="002710AA">
              <w:rPr>
                <w:rFonts w:cs="Verdana"/>
                <w:lang w:val="nl-NL"/>
              </w:rPr>
              <w:t xml:space="preserve"> voert verkennende gesprekken met het Terra college om </w:t>
            </w:r>
            <w:r w:rsidRPr="002710AA" w:rsidR="000E2023">
              <w:rPr>
                <w:rFonts w:cs="Verdana"/>
                <w:lang w:val="nl-NL"/>
              </w:rPr>
              <w:t>praktijk</w:t>
            </w:r>
            <w:r w:rsidR="000E2023">
              <w:rPr>
                <w:rFonts w:cs="Verdana"/>
                <w:lang w:val="nl-NL"/>
              </w:rPr>
              <w:t>vakken</w:t>
            </w:r>
            <w:r w:rsidRPr="002710AA" w:rsidR="000E2023">
              <w:rPr>
                <w:rFonts w:cs="Verdana"/>
                <w:lang w:val="nl-NL"/>
              </w:rPr>
              <w:t xml:space="preserve"> </w:t>
            </w:r>
            <w:r w:rsidRPr="002710AA">
              <w:rPr>
                <w:rFonts w:cs="Verdana"/>
                <w:lang w:val="nl-NL"/>
              </w:rPr>
              <w:t xml:space="preserve">te bieden in de groenvoorziening, waarbij certificaten kunnen worden behaald. </w:t>
            </w:r>
          </w:p>
        </w:tc>
      </w:tr>
      <w:tr w:rsidRPr="00FC30E9" w:rsidR="001B4A7F" w:rsidTr="00B4776C" w14:paraId="7ECB5E17" w14:textId="77777777">
        <w:trPr>
          <w:trHeight w:val="1158"/>
        </w:trPr>
        <w:tc>
          <w:tcPr>
            <w:tcW w:w="3686" w:type="dxa"/>
          </w:tcPr>
          <w:p w:rsidRPr="002710AA" w:rsidR="001B4A7F" w:rsidP="00B4776C" w:rsidRDefault="001B4A7F" w14:paraId="6C9C6893" w14:textId="60497370">
            <w:pPr>
              <w:pStyle w:val="Default"/>
              <w:spacing w:before="120" w:after="120"/>
              <w:rPr>
                <w:sz w:val="18"/>
                <w:szCs w:val="18"/>
              </w:rPr>
            </w:pPr>
            <w:r w:rsidRPr="002710AA">
              <w:rPr>
                <w:sz w:val="18"/>
                <w:szCs w:val="18"/>
              </w:rPr>
              <w:t>3.3 De schooldirectie brengt de urgentie van de geschetste onduidelijkheid over financiering blijvend onder de aandacht van de daartoe verantwoordelijken.</w:t>
            </w:r>
          </w:p>
        </w:tc>
        <w:tc>
          <w:tcPr>
            <w:tcW w:w="5948" w:type="dxa"/>
          </w:tcPr>
          <w:p w:rsidRPr="002710AA" w:rsidR="001B4A7F" w:rsidP="00B4776C" w:rsidRDefault="002710AA" w14:paraId="4764BD9F" w14:textId="63A7AFE2">
            <w:pPr>
              <w:spacing w:before="120" w:after="120"/>
              <w:rPr>
                <w:szCs w:val="18"/>
                <w:lang w:val="nl-NL"/>
              </w:rPr>
            </w:pPr>
            <w:r w:rsidRPr="002710AA">
              <w:rPr>
                <w:b/>
                <w:bCs/>
                <w:lang w:val="nl-NL"/>
              </w:rPr>
              <w:t>Opvolging van aanbeveling c in uitvoering:</w:t>
            </w:r>
            <w:r w:rsidRPr="002710AA">
              <w:rPr>
                <w:lang w:val="nl-NL"/>
              </w:rPr>
              <w:t xml:space="preserve"> </w:t>
            </w:r>
            <w:r w:rsidRPr="002710AA">
              <w:rPr>
                <w:rFonts w:cs="Verdana"/>
                <w:lang w:val="nl-NL"/>
              </w:rPr>
              <w:t>Gezien de bijzondere situatie en de snelheid waarmee de school is opgestart,</w:t>
            </w:r>
            <w:r w:rsidRPr="002710AA">
              <w:rPr>
                <w:lang w:val="nl-NL"/>
              </w:rPr>
              <w:t xml:space="preserve"> is er nog onduidelijkheid over de bekostiging van 2024. Hierover voeren de school, de gemeente, de DJI en OCW nog nadere gesprekken. </w:t>
            </w:r>
            <w:r w:rsidRPr="002710AA" w:rsidR="001B4A7F">
              <w:rPr>
                <w:lang w:val="nl-NL"/>
              </w:rPr>
              <w:t>Voor de bekostiging van 2025 is de reguliere procedure doorlopen waardoor deze toereikend zou moeten zijn.</w:t>
            </w:r>
          </w:p>
        </w:tc>
      </w:tr>
      <w:tr w:rsidRPr="00FC30E9" w:rsidR="00A90AE8" w:rsidTr="005F097E" w14:paraId="3194652C" w14:textId="77777777">
        <w:tc>
          <w:tcPr>
            <w:tcW w:w="9634" w:type="dxa"/>
            <w:gridSpan w:val="2"/>
          </w:tcPr>
          <w:p w:rsidRPr="002710AA" w:rsidR="00A90AE8" w:rsidP="00B4776C" w:rsidRDefault="00A90AE8" w14:paraId="4D0AC780" w14:textId="40FC7573">
            <w:pPr>
              <w:autoSpaceDE w:val="0"/>
              <w:adjustRightInd w:val="0"/>
              <w:spacing w:before="120" w:after="120"/>
              <w:rPr>
                <w:b/>
                <w:bCs/>
                <w:lang w:val="nl-NL"/>
              </w:rPr>
            </w:pPr>
            <w:r w:rsidRPr="002710AA">
              <w:rPr>
                <w:b/>
                <w:bCs/>
                <w:lang w:val="nl-NL"/>
              </w:rPr>
              <w:t xml:space="preserve">Aanbeveling 3: </w:t>
            </w:r>
            <w:r w:rsidRPr="002710AA">
              <w:rPr>
                <w:b/>
                <w:bCs/>
                <w:szCs w:val="18"/>
                <w:lang w:val="nl-NL"/>
              </w:rPr>
              <w:t>Draag zorg voor voldoende waarborgen voor de rechtspositie van de jongeren</w:t>
            </w:r>
          </w:p>
        </w:tc>
      </w:tr>
      <w:tr w:rsidRPr="002710AA" w:rsidR="00F153FF" w:rsidTr="00B4776C" w14:paraId="2722C7F6" w14:textId="77777777">
        <w:trPr>
          <w:trHeight w:val="542"/>
        </w:trPr>
        <w:tc>
          <w:tcPr>
            <w:tcW w:w="3686" w:type="dxa"/>
          </w:tcPr>
          <w:p w:rsidRPr="002710AA" w:rsidR="00F153FF" w:rsidP="00B4776C" w:rsidRDefault="00A90AE8" w14:paraId="7A6088A3" w14:textId="759025D0">
            <w:pPr>
              <w:pStyle w:val="Default"/>
              <w:spacing w:before="120" w:after="120"/>
              <w:rPr>
                <w:sz w:val="18"/>
                <w:szCs w:val="18"/>
              </w:rPr>
            </w:pPr>
            <w:r w:rsidRPr="002710AA">
              <w:rPr>
                <w:sz w:val="18"/>
                <w:szCs w:val="18"/>
              </w:rPr>
              <w:t>3.1 Zorg dat e</w:t>
            </w:r>
            <w:r w:rsidRPr="002710AA" w:rsidR="00F153FF">
              <w:rPr>
                <w:sz w:val="18"/>
                <w:szCs w:val="18"/>
              </w:rPr>
              <w:t xml:space="preserve">en eigenstandige </w:t>
            </w:r>
            <w:r w:rsidRPr="002710AA" w:rsidR="000A51D0">
              <w:rPr>
                <w:sz w:val="18"/>
                <w:szCs w:val="18"/>
              </w:rPr>
              <w:t>commissie van toezicht</w:t>
            </w:r>
            <w:r w:rsidRPr="002710AA" w:rsidR="00F153FF">
              <w:rPr>
                <w:sz w:val="18"/>
                <w:szCs w:val="18"/>
              </w:rPr>
              <w:t xml:space="preserve"> voor JJI De Haven wordt ingesteld</w:t>
            </w:r>
            <w:r w:rsidRPr="002710AA">
              <w:rPr>
                <w:sz w:val="18"/>
                <w:szCs w:val="18"/>
              </w:rPr>
              <w:t>.</w:t>
            </w:r>
          </w:p>
        </w:tc>
        <w:tc>
          <w:tcPr>
            <w:tcW w:w="5948" w:type="dxa"/>
          </w:tcPr>
          <w:p w:rsidRPr="002710AA" w:rsidR="00F153FF" w:rsidP="00B4776C" w:rsidRDefault="001B4A7F" w14:paraId="5727A647" w14:textId="63768E35">
            <w:pPr>
              <w:autoSpaceDE w:val="0"/>
              <w:adjustRightInd w:val="0"/>
              <w:spacing w:before="120" w:after="120"/>
              <w:rPr>
                <w:szCs w:val="18"/>
                <w:lang w:val="nl-NL"/>
              </w:rPr>
            </w:pPr>
            <w:r w:rsidRPr="002710AA">
              <w:rPr>
                <w:b/>
                <w:bCs/>
                <w:szCs w:val="18"/>
                <w:lang w:val="nl-NL"/>
              </w:rPr>
              <w:t>Aanbeveling opgevolgd</w:t>
            </w:r>
          </w:p>
        </w:tc>
      </w:tr>
      <w:tr w:rsidRPr="002710AA" w:rsidR="001B4A7F" w:rsidTr="00B4776C" w14:paraId="2A2088D0" w14:textId="77777777">
        <w:trPr>
          <w:trHeight w:val="1347"/>
        </w:trPr>
        <w:tc>
          <w:tcPr>
            <w:tcW w:w="3686" w:type="dxa"/>
          </w:tcPr>
          <w:p w:rsidRPr="002710AA" w:rsidR="001B4A7F" w:rsidP="00B4776C" w:rsidRDefault="001B4A7F" w14:paraId="40E0DBF4" w14:textId="5E2104C9">
            <w:pPr>
              <w:pStyle w:val="Default"/>
              <w:spacing w:before="120" w:after="120"/>
              <w:rPr>
                <w:sz w:val="18"/>
                <w:szCs w:val="18"/>
              </w:rPr>
            </w:pPr>
            <w:r w:rsidRPr="002710AA">
              <w:rPr>
                <w:sz w:val="18"/>
                <w:szCs w:val="18"/>
              </w:rPr>
              <w:t>3.2 Zorg voor voldoende zichtbare en toegankelijke klachtenbrievenbussen binnen JJI De Haven waar jongeren – zonder tussenkomst van groepsleiding – een klacht kunnen indienen.</w:t>
            </w:r>
          </w:p>
        </w:tc>
        <w:tc>
          <w:tcPr>
            <w:tcW w:w="5948" w:type="dxa"/>
          </w:tcPr>
          <w:p w:rsidRPr="002710AA" w:rsidR="001B4A7F" w:rsidP="00B4776C" w:rsidRDefault="001B4A7F" w14:paraId="0D6300C0" w14:textId="36079486">
            <w:pPr>
              <w:autoSpaceDE w:val="0"/>
              <w:adjustRightInd w:val="0"/>
              <w:spacing w:before="120" w:after="120"/>
              <w:rPr>
                <w:rFonts w:cs="Verdana"/>
                <w:lang w:val="nl-NL"/>
              </w:rPr>
            </w:pPr>
            <w:r w:rsidRPr="002710AA">
              <w:rPr>
                <w:b/>
                <w:bCs/>
                <w:szCs w:val="18"/>
                <w:lang w:val="nl-NL"/>
              </w:rPr>
              <w:t>Aanbeveling opgevolgd</w:t>
            </w:r>
          </w:p>
        </w:tc>
      </w:tr>
      <w:tr w:rsidRPr="00FC30E9" w:rsidR="001B4A7F" w:rsidTr="00B4776C" w14:paraId="66BB42EF" w14:textId="77777777">
        <w:trPr>
          <w:trHeight w:val="688"/>
        </w:trPr>
        <w:tc>
          <w:tcPr>
            <w:tcW w:w="3686" w:type="dxa"/>
          </w:tcPr>
          <w:p w:rsidRPr="002710AA" w:rsidR="001B4A7F" w:rsidP="00B4776C" w:rsidRDefault="001B4A7F" w14:paraId="37CA5CD2" w14:textId="77777777">
            <w:pPr>
              <w:pStyle w:val="Default"/>
              <w:spacing w:before="120" w:after="120"/>
              <w:rPr>
                <w:sz w:val="18"/>
                <w:szCs w:val="18"/>
              </w:rPr>
            </w:pPr>
            <w:r w:rsidRPr="002710AA">
              <w:rPr>
                <w:sz w:val="18"/>
                <w:szCs w:val="18"/>
              </w:rPr>
              <w:t>3.3 Stel een jongerenraad in, ongeacht het aantal verblijvende jongeren.</w:t>
            </w:r>
          </w:p>
        </w:tc>
        <w:tc>
          <w:tcPr>
            <w:tcW w:w="5948" w:type="dxa"/>
          </w:tcPr>
          <w:p w:rsidRPr="001B4A7F" w:rsidR="001B4A7F" w:rsidP="00B4776C" w:rsidRDefault="001B4A7F" w14:paraId="6957C206" w14:textId="0E307F7E">
            <w:pPr>
              <w:autoSpaceDE w:val="0"/>
              <w:adjustRightInd w:val="0"/>
              <w:spacing w:before="120" w:after="120"/>
              <w:rPr>
                <w:rFonts w:cs="Verdana"/>
                <w:lang w:val="nl-NL"/>
              </w:rPr>
            </w:pPr>
            <w:r w:rsidRPr="002710AA">
              <w:rPr>
                <w:b/>
                <w:bCs/>
                <w:szCs w:val="18"/>
                <w:lang w:val="nl-NL"/>
              </w:rPr>
              <w:t xml:space="preserve">Aanbeveling opgevolgd: </w:t>
            </w:r>
            <w:r w:rsidRPr="002710AA">
              <w:rPr>
                <w:szCs w:val="18"/>
                <w:lang w:val="nl-NL"/>
              </w:rPr>
              <w:t xml:space="preserve">Er </w:t>
            </w:r>
            <w:r w:rsidRPr="002710AA">
              <w:rPr>
                <w:rFonts w:cs="Verdana"/>
                <w:lang w:val="nl-NL"/>
              </w:rPr>
              <w:t>vindt eenmaal per vier weken een jongerenraad plaats, zij het met een wisselende opkomst gelet op de lage populatie.</w:t>
            </w:r>
            <w:r w:rsidRPr="001B4A7F">
              <w:rPr>
                <w:rFonts w:cs="Verdana"/>
                <w:lang w:val="nl-NL"/>
              </w:rPr>
              <w:t xml:space="preserve"> </w:t>
            </w:r>
          </w:p>
        </w:tc>
      </w:tr>
    </w:tbl>
    <w:p w:rsidRPr="001B4A7F" w:rsidR="00F153FF" w:rsidP="000A51D0" w:rsidRDefault="00F153FF" w14:paraId="51E9D592" w14:textId="77777777">
      <w:pPr>
        <w:spacing w:after="0" w:line="240" w:lineRule="auto"/>
        <w:rPr>
          <w:lang w:val="nl-NL"/>
        </w:rPr>
      </w:pPr>
    </w:p>
    <w:sectPr w:rsidRPr="001B4A7F" w:rsidR="00F153FF"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D0430" w14:textId="77777777" w:rsidR="00771567" w:rsidRDefault="00771567" w:rsidP="00951A07">
      <w:pPr>
        <w:spacing w:after="0" w:line="240" w:lineRule="auto"/>
      </w:pPr>
      <w:r>
        <w:separator/>
      </w:r>
    </w:p>
  </w:endnote>
  <w:endnote w:type="continuationSeparator" w:id="0">
    <w:p w14:paraId="235F9ECA" w14:textId="77777777" w:rsidR="00771567" w:rsidRDefault="00771567" w:rsidP="00951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DE07C" w14:textId="77777777" w:rsidR="00771567" w:rsidRDefault="00771567" w:rsidP="00951A07">
      <w:pPr>
        <w:spacing w:after="0" w:line="240" w:lineRule="auto"/>
      </w:pPr>
      <w:r>
        <w:separator/>
      </w:r>
    </w:p>
  </w:footnote>
  <w:footnote w:type="continuationSeparator" w:id="0">
    <w:p w14:paraId="0CB53F65" w14:textId="77777777" w:rsidR="00771567" w:rsidRDefault="00771567" w:rsidP="00951A07">
      <w:pPr>
        <w:spacing w:after="0" w:line="240" w:lineRule="auto"/>
      </w:pPr>
      <w:r>
        <w:continuationSeparator/>
      </w:r>
    </w:p>
  </w:footnote>
  <w:footnote w:id="1">
    <w:p w14:paraId="6C205737" w14:textId="77777777" w:rsidR="00F153FF" w:rsidRPr="00313759" w:rsidRDefault="00F153FF" w:rsidP="00F153FF">
      <w:pPr>
        <w:pStyle w:val="Voetnoottekst"/>
        <w:rPr>
          <w:sz w:val="16"/>
          <w:szCs w:val="16"/>
        </w:rPr>
      </w:pPr>
      <w:r w:rsidRPr="00313759">
        <w:rPr>
          <w:rStyle w:val="Voetnootmarkering"/>
          <w:sz w:val="16"/>
          <w:szCs w:val="16"/>
        </w:rPr>
        <w:footnoteRef/>
      </w:r>
      <w:r w:rsidRPr="00313759">
        <w:rPr>
          <w:sz w:val="16"/>
          <w:szCs w:val="16"/>
        </w:rPr>
        <w:t xml:space="preserve"> </w:t>
      </w:r>
      <w:r>
        <w:rPr>
          <w:sz w:val="16"/>
          <w:szCs w:val="16"/>
        </w:rPr>
        <w:t xml:space="preserve">Rapport van de Onderwijsraad </w:t>
      </w:r>
      <w:hyperlink r:id="rId1" w:history="1">
        <w:r w:rsidRPr="002F0DE7">
          <w:rPr>
            <w:rStyle w:val="Hyperlink"/>
            <w:sz w:val="16"/>
            <w:szCs w:val="16"/>
          </w:rPr>
          <w:t>‘Onderwijs in justitiële inrichtingen’</w:t>
        </w:r>
      </w:hyperlink>
      <w:r>
        <w:rPr>
          <w:sz w:val="16"/>
          <w:szCs w:val="16"/>
        </w:rPr>
        <w:t xml:space="preserve"> van februari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6301"/>
    <w:multiLevelType w:val="multilevel"/>
    <w:tmpl w:val="C33C61D4"/>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553E51"/>
    <w:multiLevelType w:val="multilevel"/>
    <w:tmpl w:val="E45E75C2"/>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983F00"/>
    <w:multiLevelType w:val="hybridMultilevel"/>
    <w:tmpl w:val="6DDC1C1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AF5864"/>
    <w:multiLevelType w:val="multilevel"/>
    <w:tmpl w:val="78106DFC"/>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B7B6E19"/>
    <w:multiLevelType w:val="hybridMultilevel"/>
    <w:tmpl w:val="29DC68BA"/>
    <w:lvl w:ilvl="0" w:tplc="140EC0E4">
      <w:start w:val="1"/>
      <w:numFmt w:val="lowerLetter"/>
      <w:lvlText w:val="%1."/>
      <w:lvlJc w:val="left"/>
      <w:pPr>
        <w:ind w:left="720" w:hanging="360"/>
      </w:pPr>
      <w:rPr>
        <w:rFonts w:ascii="Verdana" w:eastAsiaTheme="minorHAnsi" w:hAnsi="Verdana" w:cs="Verdana"/>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59A2E77"/>
    <w:multiLevelType w:val="multilevel"/>
    <w:tmpl w:val="A0B48014"/>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6BD47FA"/>
    <w:multiLevelType w:val="hybridMultilevel"/>
    <w:tmpl w:val="EB9681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E122DB0"/>
    <w:multiLevelType w:val="hybridMultilevel"/>
    <w:tmpl w:val="2E0015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5583D4F"/>
    <w:multiLevelType w:val="hybridMultilevel"/>
    <w:tmpl w:val="1F0C5090"/>
    <w:lvl w:ilvl="0" w:tplc="F7F2AC9E">
      <w:start w:val="1"/>
      <w:numFmt w:val="lowerLetter"/>
      <w:lvlText w:val="%1."/>
      <w:lvlJc w:val="left"/>
      <w:pPr>
        <w:ind w:left="720" w:hanging="360"/>
      </w:pPr>
      <w:rPr>
        <w:rFonts w:ascii="Verdana" w:eastAsiaTheme="minorHAnsi" w:hAnsi="Verdana" w:cs="Verdana"/>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D343E23"/>
    <w:multiLevelType w:val="multilevel"/>
    <w:tmpl w:val="E758B05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35606E1"/>
    <w:multiLevelType w:val="hybridMultilevel"/>
    <w:tmpl w:val="D5F6C4CA"/>
    <w:lvl w:ilvl="0" w:tplc="7C7632B0">
      <w:numFmt w:val="bullet"/>
      <w:lvlText w:val=""/>
      <w:lvlJc w:val="left"/>
      <w:pPr>
        <w:ind w:left="720" w:hanging="360"/>
      </w:pPr>
      <w:rPr>
        <w:rFonts w:ascii="Symbol" w:eastAsiaTheme="minorHAnsi" w:hAnsi="Symbo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E085D6D"/>
    <w:multiLevelType w:val="hybridMultilevel"/>
    <w:tmpl w:val="B7060A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76C1F5B"/>
    <w:multiLevelType w:val="hybridMultilevel"/>
    <w:tmpl w:val="122C94F8"/>
    <w:lvl w:ilvl="0" w:tplc="D5B6485A">
      <w:numFmt w:val="bullet"/>
      <w:lvlText w:val=""/>
      <w:lvlJc w:val="left"/>
      <w:pPr>
        <w:ind w:left="720" w:hanging="360"/>
      </w:pPr>
      <w:rPr>
        <w:rFonts w:ascii="Symbol" w:eastAsiaTheme="minorHAnsi" w:hAnsi="Symbo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22B4A01"/>
    <w:multiLevelType w:val="hybridMultilevel"/>
    <w:tmpl w:val="F512799A"/>
    <w:lvl w:ilvl="0" w:tplc="0764E036">
      <w:numFmt w:val="bullet"/>
      <w:lvlText w:val=""/>
      <w:lvlJc w:val="left"/>
      <w:pPr>
        <w:ind w:left="720" w:hanging="360"/>
      </w:pPr>
      <w:rPr>
        <w:rFonts w:ascii="Symbol" w:eastAsiaTheme="minorHAnsi" w:hAnsi="Symbo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68434C1"/>
    <w:multiLevelType w:val="multilevel"/>
    <w:tmpl w:val="2FDEA598"/>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8960D9E"/>
    <w:multiLevelType w:val="hybridMultilevel"/>
    <w:tmpl w:val="0C04659C"/>
    <w:lvl w:ilvl="0" w:tplc="41466C24">
      <w:numFmt w:val="bullet"/>
      <w:lvlText w:val=""/>
      <w:lvlJc w:val="left"/>
      <w:pPr>
        <w:ind w:left="720" w:hanging="360"/>
      </w:pPr>
      <w:rPr>
        <w:rFonts w:ascii="Symbol" w:eastAsiaTheme="minorHAnsi" w:hAnsi="Symbo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EB70987"/>
    <w:multiLevelType w:val="multilevel"/>
    <w:tmpl w:val="80EA1D08"/>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15"/>
  </w:num>
  <w:num w:numId="3">
    <w:abstractNumId w:val="12"/>
  </w:num>
  <w:num w:numId="4">
    <w:abstractNumId w:val="13"/>
  </w:num>
  <w:num w:numId="5">
    <w:abstractNumId w:val="4"/>
  </w:num>
  <w:num w:numId="6">
    <w:abstractNumId w:val="10"/>
  </w:num>
  <w:num w:numId="7">
    <w:abstractNumId w:val="14"/>
  </w:num>
  <w:num w:numId="8">
    <w:abstractNumId w:val="7"/>
  </w:num>
  <w:num w:numId="9">
    <w:abstractNumId w:val="16"/>
  </w:num>
  <w:num w:numId="10">
    <w:abstractNumId w:val="5"/>
  </w:num>
  <w:num w:numId="11">
    <w:abstractNumId w:val="11"/>
  </w:num>
  <w:num w:numId="12">
    <w:abstractNumId w:val="6"/>
  </w:num>
  <w:num w:numId="13">
    <w:abstractNumId w:val="0"/>
  </w:num>
  <w:num w:numId="14">
    <w:abstractNumId w:val="2"/>
  </w:num>
  <w:num w:numId="15">
    <w:abstractNumId w:val="9"/>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A07"/>
    <w:rsid w:val="00026D92"/>
    <w:rsid w:val="000A51D0"/>
    <w:rsid w:val="000E2023"/>
    <w:rsid w:val="001B4A7F"/>
    <w:rsid w:val="001E6A24"/>
    <w:rsid w:val="002710AA"/>
    <w:rsid w:val="003D19A2"/>
    <w:rsid w:val="00407C52"/>
    <w:rsid w:val="00496574"/>
    <w:rsid w:val="004B378C"/>
    <w:rsid w:val="00532685"/>
    <w:rsid w:val="005F097E"/>
    <w:rsid w:val="00726433"/>
    <w:rsid w:val="00771567"/>
    <w:rsid w:val="00854B0B"/>
    <w:rsid w:val="008817D4"/>
    <w:rsid w:val="00940BEF"/>
    <w:rsid w:val="00951A07"/>
    <w:rsid w:val="00952E43"/>
    <w:rsid w:val="00973377"/>
    <w:rsid w:val="00994A8A"/>
    <w:rsid w:val="00A310B3"/>
    <w:rsid w:val="00A90AE8"/>
    <w:rsid w:val="00AC1E4C"/>
    <w:rsid w:val="00AC4AB2"/>
    <w:rsid w:val="00B06701"/>
    <w:rsid w:val="00B141E8"/>
    <w:rsid w:val="00B4776C"/>
    <w:rsid w:val="00B7411A"/>
    <w:rsid w:val="00C05D06"/>
    <w:rsid w:val="00C75515"/>
    <w:rsid w:val="00C87FAD"/>
    <w:rsid w:val="00EB783E"/>
    <w:rsid w:val="00F153FF"/>
    <w:rsid w:val="00F37A70"/>
    <w:rsid w:val="00FC3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787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51A07"/>
  </w:style>
  <w:style w:type="paragraph" w:styleId="Kop1">
    <w:name w:val="heading 1"/>
    <w:basedOn w:val="Standaard"/>
    <w:next w:val="Standaard"/>
    <w:link w:val="Kop1Char"/>
    <w:uiPriority w:val="9"/>
    <w:qFormat/>
    <w:rsid w:val="00951A0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951A0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951A0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951A0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951A07"/>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951A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951A07"/>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951A07"/>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951A07"/>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1A07"/>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951A07"/>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951A07"/>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951A07"/>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951A07"/>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951A07"/>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951A07"/>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951A07"/>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951A07"/>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951A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1A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1A0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1A07"/>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951A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1A07"/>
    <w:rPr>
      <w:i/>
      <w:iCs/>
      <w:color w:val="404040" w:themeColor="text1" w:themeTint="BF"/>
    </w:rPr>
  </w:style>
  <w:style w:type="paragraph" w:styleId="Lijstalinea">
    <w:name w:val="List Paragraph"/>
    <w:basedOn w:val="Standaard"/>
    <w:uiPriority w:val="34"/>
    <w:qFormat/>
    <w:rsid w:val="00951A07"/>
    <w:pPr>
      <w:ind w:left="720"/>
      <w:contextualSpacing/>
    </w:pPr>
  </w:style>
  <w:style w:type="character" w:styleId="Intensievebenadrukking">
    <w:name w:val="Intense Emphasis"/>
    <w:basedOn w:val="Standaardalinea-lettertype"/>
    <w:uiPriority w:val="21"/>
    <w:qFormat/>
    <w:rsid w:val="00951A07"/>
    <w:rPr>
      <w:i/>
      <w:iCs/>
      <w:color w:val="2E74B5" w:themeColor="accent1" w:themeShade="BF"/>
    </w:rPr>
  </w:style>
  <w:style w:type="paragraph" w:styleId="Duidelijkcitaat">
    <w:name w:val="Intense Quote"/>
    <w:basedOn w:val="Standaard"/>
    <w:next w:val="Standaard"/>
    <w:link w:val="DuidelijkcitaatChar"/>
    <w:uiPriority w:val="30"/>
    <w:qFormat/>
    <w:rsid w:val="00951A0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951A07"/>
    <w:rPr>
      <w:i/>
      <w:iCs/>
      <w:color w:val="2E74B5" w:themeColor="accent1" w:themeShade="BF"/>
    </w:rPr>
  </w:style>
  <w:style w:type="character" w:styleId="Intensieveverwijzing">
    <w:name w:val="Intense Reference"/>
    <w:basedOn w:val="Standaardalinea-lettertype"/>
    <w:uiPriority w:val="32"/>
    <w:qFormat/>
    <w:rsid w:val="00951A07"/>
    <w:rPr>
      <w:b/>
      <w:bCs/>
      <w:smallCaps/>
      <w:color w:val="2E74B5" w:themeColor="accent1" w:themeShade="BF"/>
      <w:spacing w:val="5"/>
    </w:rPr>
  </w:style>
  <w:style w:type="table" w:styleId="Tabelraster">
    <w:name w:val="Table Grid"/>
    <w:basedOn w:val="Standaardtabel"/>
    <w:uiPriority w:val="39"/>
    <w:rsid w:val="00951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1A07"/>
    <w:pPr>
      <w:autoSpaceDE w:val="0"/>
      <w:autoSpaceDN w:val="0"/>
      <w:adjustRightInd w:val="0"/>
      <w:spacing w:after="0" w:line="240" w:lineRule="auto"/>
    </w:pPr>
    <w:rPr>
      <w:rFonts w:cs="Verdana"/>
      <w:color w:val="000000"/>
      <w:kern w:val="0"/>
      <w:sz w:val="24"/>
      <w:szCs w:val="24"/>
      <w:lang w:val="nl-NL"/>
    </w:rPr>
  </w:style>
  <w:style w:type="paragraph" w:styleId="Voetnoottekst">
    <w:name w:val="footnote text"/>
    <w:basedOn w:val="Standaard"/>
    <w:link w:val="VoetnoottekstChar"/>
    <w:uiPriority w:val="99"/>
    <w:semiHidden/>
    <w:unhideWhenUsed/>
    <w:rsid w:val="00951A07"/>
    <w:pPr>
      <w:autoSpaceDN w:val="0"/>
      <w:spacing w:after="0" w:line="240" w:lineRule="auto"/>
      <w:textAlignment w:val="baseline"/>
    </w:pPr>
    <w:rPr>
      <w:rFonts w:eastAsia="DejaVu Sans" w:cs="Lohit Hindi"/>
      <w:color w:val="000000"/>
      <w:kern w:val="0"/>
      <w:sz w:val="20"/>
      <w:szCs w:val="20"/>
      <w:lang w:val="nl-NL" w:eastAsia="nl-NL"/>
      <w14:ligatures w14:val="none"/>
    </w:rPr>
  </w:style>
  <w:style w:type="character" w:customStyle="1" w:styleId="VoetnoottekstChar">
    <w:name w:val="Voetnoottekst Char"/>
    <w:basedOn w:val="Standaardalinea-lettertype"/>
    <w:link w:val="Voetnoottekst"/>
    <w:uiPriority w:val="99"/>
    <w:semiHidden/>
    <w:rsid w:val="00951A07"/>
    <w:rPr>
      <w:rFonts w:eastAsia="DejaVu Sans" w:cs="Lohit Hindi"/>
      <w:color w:val="000000"/>
      <w:kern w:val="0"/>
      <w:sz w:val="20"/>
      <w:szCs w:val="20"/>
      <w:lang w:val="nl-NL" w:eastAsia="nl-NL"/>
      <w14:ligatures w14:val="none"/>
    </w:rPr>
  </w:style>
  <w:style w:type="character" w:styleId="Voetnootmarkering">
    <w:name w:val="footnote reference"/>
    <w:basedOn w:val="Standaardalinea-lettertype"/>
    <w:uiPriority w:val="99"/>
    <w:semiHidden/>
    <w:unhideWhenUsed/>
    <w:rsid w:val="00951A07"/>
    <w:rPr>
      <w:vertAlign w:val="superscript"/>
    </w:rPr>
  </w:style>
  <w:style w:type="character" w:styleId="Verwijzingopmerking">
    <w:name w:val="annotation reference"/>
    <w:basedOn w:val="Standaardalinea-lettertype"/>
    <w:uiPriority w:val="99"/>
    <w:semiHidden/>
    <w:unhideWhenUsed/>
    <w:rsid w:val="00951A07"/>
    <w:rPr>
      <w:sz w:val="16"/>
      <w:szCs w:val="16"/>
    </w:rPr>
  </w:style>
  <w:style w:type="paragraph" w:styleId="Tekstopmerking">
    <w:name w:val="annotation text"/>
    <w:basedOn w:val="Standaard"/>
    <w:link w:val="TekstopmerkingChar"/>
    <w:uiPriority w:val="99"/>
    <w:unhideWhenUsed/>
    <w:rsid w:val="00951A07"/>
    <w:pPr>
      <w:autoSpaceDN w:val="0"/>
      <w:spacing w:after="0" w:line="240" w:lineRule="auto"/>
      <w:textAlignment w:val="baseline"/>
    </w:pPr>
    <w:rPr>
      <w:rFonts w:eastAsia="DejaVu Sans" w:cs="Lohit Hindi"/>
      <w:color w:val="000000"/>
      <w:kern w:val="0"/>
      <w:sz w:val="20"/>
      <w:szCs w:val="20"/>
      <w:lang w:val="nl-NL" w:eastAsia="nl-NL"/>
      <w14:ligatures w14:val="none"/>
    </w:rPr>
  </w:style>
  <w:style w:type="character" w:customStyle="1" w:styleId="TekstopmerkingChar">
    <w:name w:val="Tekst opmerking Char"/>
    <w:basedOn w:val="Standaardalinea-lettertype"/>
    <w:link w:val="Tekstopmerking"/>
    <w:uiPriority w:val="99"/>
    <w:rsid w:val="00951A07"/>
    <w:rPr>
      <w:rFonts w:eastAsia="DejaVu Sans" w:cs="Lohit Hindi"/>
      <w:color w:val="000000"/>
      <w:kern w:val="0"/>
      <w:sz w:val="20"/>
      <w:szCs w:val="20"/>
      <w:lang w:val="nl-NL" w:eastAsia="nl-NL"/>
      <w14:ligatures w14:val="none"/>
    </w:rPr>
  </w:style>
  <w:style w:type="character" w:styleId="Hyperlink">
    <w:name w:val="Hyperlink"/>
    <w:basedOn w:val="Standaardalinea-lettertype"/>
    <w:uiPriority w:val="99"/>
    <w:unhideWhenUsed/>
    <w:rsid w:val="00951A07"/>
    <w:rPr>
      <w:color w:val="0563C1" w:themeColor="hyperlink"/>
      <w:u w:val="single"/>
    </w:rPr>
  </w:style>
  <w:style w:type="paragraph" w:styleId="Revisie">
    <w:name w:val="Revision"/>
    <w:hidden/>
    <w:uiPriority w:val="99"/>
    <w:semiHidden/>
    <w:rsid w:val="00C87FAD"/>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0E2023"/>
    <w:pPr>
      <w:autoSpaceDN/>
      <w:spacing w:after="160"/>
      <w:textAlignment w:val="auto"/>
    </w:pPr>
    <w:rPr>
      <w:rFonts w:eastAsiaTheme="minorHAnsi" w:cstheme="minorBidi"/>
      <w:b/>
      <w:bCs/>
      <w:color w:val="auto"/>
      <w:kern w:val="2"/>
      <w:lang w:val="en-US"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0E2023"/>
    <w:rPr>
      <w:rFonts w:eastAsia="DejaVu Sans" w:cs="Lohit Hindi"/>
      <w:b/>
      <w:bCs/>
      <w:color w:val="000000"/>
      <w:kern w:val="0"/>
      <w:sz w:val="20"/>
      <w:szCs w:val="20"/>
      <w:lang w:val="nl-NL" w:eastAsia="nl-NL"/>
      <w14:ligatures w14:val="none"/>
    </w:rPr>
  </w:style>
  <w:style w:type="character" w:styleId="GevolgdeHyperlink">
    <w:name w:val="FollowedHyperlink"/>
    <w:basedOn w:val="Standaardalinea-lettertype"/>
    <w:uiPriority w:val="99"/>
    <w:semiHidden/>
    <w:unhideWhenUsed/>
    <w:rsid w:val="00952E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onderwijsraad.nl/publicaties/adviezen/2025/02/11/onderwijs-in-justitiele-jeugdinrichting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1030</ap:Words>
  <ap:Characters>5669</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2025-04-03T15:19:00.0000000Z</dcterms:created>
  <dcterms:modified xsi:type="dcterms:W3CDTF">2025-04-03T15:19:00.0000000Z</dcterms:modified>
  <version/>
  <category/>
</coreProperties>
</file>