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4B8D" w:rsidP="00BE452D" w:rsidRDefault="00416206" w14:paraId="7780C7B5" w14:textId="77777777">
      <w:pPr>
        <w:spacing w:line="276" w:lineRule="auto"/>
      </w:pPr>
      <w:r>
        <w:t>Geachte voorzitter,</w:t>
      </w:r>
    </w:p>
    <w:p w:rsidR="006D4B8D" w:rsidP="00BE452D" w:rsidRDefault="006D4B8D" w14:paraId="7780C7B6" w14:textId="77777777">
      <w:pPr>
        <w:spacing w:line="276" w:lineRule="auto"/>
      </w:pPr>
    </w:p>
    <w:p w:rsidR="007113C7" w:rsidP="00BE452D" w:rsidRDefault="007113C7" w14:paraId="0D58B2A0" w14:textId="32F058C3">
      <w:pPr>
        <w:spacing w:line="276" w:lineRule="auto"/>
      </w:pPr>
      <w:r>
        <w:t xml:space="preserve">Hierbij stuur ik u, mede namens de minister van Financiën, de Geannoteerde Agenda over de inzet van het Koninkrijk der Nederlanden voor de Jaarvergadering van de Wereldbank. Deze vindt van 21 tot en met 26 april </w:t>
      </w:r>
      <w:r w:rsidR="00444636">
        <w:t xml:space="preserve">2025 </w:t>
      </w:r>
      <w:r>
        <w:t>plaats in Washington DC.</w:t>
      </w:r>
    </w:p>
    <w:p w:rsidR="007113C7" w:rsidP="00BE452D" w:rsidRDefault="007113C7" w14:paraId="7366195B" w14:textId="77777777">
      <w:pPr>
        <w:spacing w:line="276" w:lineRule="auto"/>
      </w:pPr>
    </w:p>
    <w:p w:rsidR="007113C7" w:rsidP="00BE452D" w:rsidRDefault="007113C7" w14:paraId="294B839B" w14:textId="75C2AEEE">
      <w:pPr>
        <w:spacing w:line="276" w:lineRule="auto"/>
      </w:pPr>
      <w:r>
        <w:t xml:space="preserve">De zitting van het </w:t>
      </w:r>
      <w:r w:rsidRPr="007113C7">
        <w:rPr>
          <w:i/>
          <w:iCs/>
        </w:rPr>
        <w:t>Development Committee</w:t>
      </w:r>
      <w:r>
        <w:t xml:space="preserve"> op 24 april staat in het teken van werkgelegenheid.</w:t>
      </w:r>
      <w:r w:rsidRPr="007113C7">
        <w:t xml:space="preserve"> </w:t>
      </w:r>
      <w:r w:rsidR="00416206">
        <w:t>Volgens de Wereldbank zullen in opkomende economieën in het komend decennium 1,</w:t>
      </w:r>
      <w:r w:rsidRPr="007113C7" w:rsidR="00416206">
        <w:t>2 miljard jongeren</w:t>
      </w:r>
      <w:r w:rsidRPr="007113C7">
        <w:t xml:space="preserve"> naar werk zoeken, terwijl </w:t>
      </w:r>
      <w:r w:rsidR="00416206">
        <w:t xml:space="preserve">de schatting is dat er </w:t>
      </w:r>
      <w:r w:rsidRPr="007113C7">
        <w:t xml:space="preserve">slechts 420 miljoen banen worden gecreëerd. De </w:t>
      </w:r>
      <w:r>
        <w:t>Wereldbank wil</w:t>
      </w:r>
      <w:r w:rsidRPr="007113C7">
        <w:t xml:space="preserve"> deze kloof dichten via publiek en private sector-investeringen en hervormingen die ondernemerschap en (internationale) investeringen stimuleren.</w:t>
      </w:r>
      <w:r>
        <w:t xml:space="preserve"> Het Koninkrijk verwelkomt deze focus, </w:t>
      </w:r>
      <w:r w:rsidRPr="007113C7">
        <w:t>in lijn met de Nederlandse belangen zoals uiteengezet in de Beleidsbrief Ontwikkelingshulp</w:t>
      </w:r>
      <w:r>
        <w:t xml:space="preserve">.  </w:t>
      </w:r>
    </w:p>
    <w:p w:rsidR="007113C7" w:rsidP="00BE452D" w:rsidRDefault="007113C7" w14:paraId="3604FD94" w14:textId="77777777">
      <w:pPr>
        <w:spacing w:line="276" w:lineRule="auto"/>
      </w:pPr>
    </w:p>
    <w:p w:rsidR="007113C7" w:rsidP="00BE452D" w:rsidRDefault="00444636" w14:paraId="1E79DF94" w14:textId="2DD7844C">
      <w:pPr>
        <w:spacing w:line="276" w:lineRule="auto"/>
      </w:pPr>
      <w:r>
        <w:t>Naast het</w:t>
      </w:r>
      <w:r w:rsidR="007113C7">
        <w:t xml:space="preserve"> </w:t>
      </w:r>
      <w:r w:rsidRPr="007113C7" w:rsidR="007113C7">
        <w:rPr>
          <w:i/>
          <w:iCs/>
        </w:rPr>
        <w:t>Development Committee</w:t>
      </w:r>
      <w:r w:rsidR="007113C7">
        <w:t xml:space="preserve"> vind</w:t>
      </w:r>
      <w:r>
        <w:t>t</w:t>
      </w:r>
      <w:r w:rsidR="007113C7">
        <w:t xml:space="preserve"> er een rondetafelconferentie plaats over de wederopbouw van Oekraïne en </w:t>
      </w:r>
      <w:r>
        <w:t xml:space="preserve">zal </w:t>
      </w:r>
      <w:r w:rsidR="007113C7">
        <w:t>het eindrapport van de 21</w:t>
      </w:r>
      <w:r w:rsidRPr="007113C7" w:rsidR="007113C7">
        <w:rPr>
          <w:vertAlign w:val="superscript"/>
        </w:rPr>
        <w:t>ste</w:t>
      </w:r>
      <w:r w:rsidR="007113C7">
        <w:t xml:space="preserve"> middelenaanvulling van de International Development Association (IDA21)</w:t>
      </w:r>
      <w:r>
        <w:t xml:space="preserve"> worden goedgekeurd</w:t>
      </w:r>
      <w:r w:rsidR="007113C7">
        <w:t>.</w:t>
      </w:r>
      <w:r>
        <w:t xml:space="preserve"> </w:t>
      </w:r>
    </w:p>
    <w:p w:rsidR="007113C7" w:rsidP="00BE452D" w:rsidRDefault="007113C7" w14:paraId="604B7BDF" w14:textId="77777777">
      <w:pPr>
        <w:spacing w:line="276" w:lineRule="auto"/>
      </w:pPr>
    </w:p>
    <w:p w:rsidR="006D4B8D" w:rsidRDefault="006D4B8D" w14:paraId="7780C7B8"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6D4B8D" w14:paraId="7780C7BB" w14:textId="77777777">
        <w:tc>
          <w:tcPr>
            <w:tcW w:w="3620" w:type="dxa"/>
          </w:tcPr>
          <w:p w:rsidR="006D4B8D" w:rsidRDefault="00416206" w14:paraId="7780C7B9" w14:textId="6BDE8D3A">
            <w:r>
              <w:t>De minister voor Buitenlandse Handel</w:t>
            </w:r>
            <w:r>
              <w:br/>
              <w:t>en Ontwikkelingshulp</w:t>
            </w:r>
            <w:r w:rsidR="00DC4152">
              <w:t>,</w:t>
            </w:r>
            <w:r>
              <w:br/>
            </w:r>
            <w:r>
              <w:br/>
            </w:r>
            <w:r>
              <w:br/>
            </w:r>
            <w:r>
              <w:br/>
            </w:r>
            <w:r>
              <w:br/>
            </w:r>
            <w:r>
              <w:br/>
              <w:t>Reinette Klever</w:t>
            </w:r>
          </w:p>
        </w:tc>
        <w:tc>
          <w:tcPr>
            <w:tcW w:w="3921" w:type="dxa"/>
          </w:tcPr>
          <w:p w:rsidR="006D4B8D" w:rsidRDefault="006D4B8D" w14:paraId="7780C7BA" w14:textId="77777777"/>
        </w:tc>
      </w:tr>
    </w:tbl>
    <w:p w:rsidR="006D4B8D" w:rsidRDefault="006D4B8D" w14:paraId="7780C7BC" w14:textId="77777777"/>
    <w:sectPr w:rsidR="006D4B8D">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64209" w14:textId="77777777" w:rsidR="00606ECE" w:rsidRDefault="00606ECE">
      <w:pPr>
        <w:spacing w:line="240" w:lineRule="auto"/>
      </w:pPr>
      <w:r>
        <w:separator/>
      </w:r>
    </w:p>
  </w:endnote>
  <w:endnote w:type="continuationSeparator" w:id="0">
    <w:p w14:paraId="622402B8" w14:textId="77777777" w:rsidR="00606ECE" w:rsidRDefault="00606E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B60C" w14:textId="77777777" w:rsidR="0075775A" w:rsidRDefault="00757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1C1F" w14:textId="77777777" w:rsidR="0075775A" w:rsidRDefault="00757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BFA55" w14:textId="77777777" w:rsidR="0075775A" w:rsidRDefault="00757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3CB55" w14:textId="77777777" w:rsidR="00606ECE" w:rsidRDefault="00606ECE">
      <w:pPr>
        <w:spacing w:line="240" w:lineRule="auto"/>
      </w:pPr>
      <w:r>
        <w:separator/>
      </w:r>
    </w:p>
  </w:footnote>
  <w:footnote w:type="continuationSeparator" w:id="0">
    <w:p w14:paraId="14EEB244" w14:textId="77777777" w:rsidR="00606ECE" w:rsidRDefault="00606E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D2A5" w14:textId="77777777" w:rsidR="0075775A" w:rsidRDefault="00757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C7BD" w14:textId="77777777" w:rsidR="006D4B8D" w:rsidRDefault="00416206">
    <w:r>
      <w:rPr>
        <w:noProof/>
      </w:rPr>
      <mc:AlternateContent>
        <mc:Choice Requires="wps">
          <w:drawing>
            <wp:anchor distT="0" distB="0" distL="0" distR="0" simplePos="1" relativeHeight="251652608" behindDoc="0" locked="1" layoutInCell="1" allowOverlap="1" wp14:anchorId="7780C7C1" wp14:editId="7780C7C2">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80C7F0" w14:textId="77777777" w:rsidR="006D4B8D" w:rsidRDefault="00416206">
                          <w:pPr>
                            <w:pStyle w:val="Referentiegegevensbold"/>
                          </w:pPr>
                          <w:r>
                            <w:t>Ministerie van Buitenlandse Zaken</w:t>
                          </w:r>
                        </w:p>
                        <w:p w14:paraId="7780C7F1" w14:textId="77777777" w:rsidR="006D4B8D" w:rsidRDefault="006D4B8D">
                          <w:pPr>
                            <w:pStyle w:val="WitregelW2"/>
                          </w:pPr>
                        </w:p>
                        <w:p w14:paraId="7780C7F2" w14:textId="77777777" w:rsidR="006D4B8D" w:rsidRDefault="00416206">
                          <w:pPr>
                            <w:pStyle w:val="Referentiegegevensbold"/>
                          </w:pPr>
                          <w:r>
                            <w:t>Onze referentie</w:t>
                          </w:r>
                        </w:p>
                        <w:p w14:paraId="7780C7F3" w14:textId="77777777" w:rsidR="006D4B8D" w:rsidRDefault="00416206">
                          <w:pPr>
                            <w:pStyle w:val="Referentiegegevens"/>
                          </w:pPr>
                          <w:r>
                            <w:t>BZ2514714</w:t>
                          </w:r>
                        </w:p>
                      </w:txbxContent>
                    </wps:txbx>
                    <wps:bodyPr vert="horz" wrap="square" lIns="0" tIns="0" rIns="0" bIns="0" anchor="t" anchorCtr="0"/>
                  </wps:wsp>
                </a:graphicData>
              </a:graphic>
            </wp:anchor>
          </w:drawing>
        </mc:Choice>
        <mc:Fallback>
          <w:pict>
            <v:shapetype w14:anchorId="7780C7C1"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780C7F0" w14:textId="77777777" w:rsidR="006D4B8D" w:rsidRDefault="00416206">
                    <w:pPr>
                      <w:pStyle w:val="Referentiegegevensbold"/>
                    </w:pPr>
                    <w:r>
                      <w:t>Ministerie van Buitenlandse Zaken</w:t>
                    </w:r>
                  </w:p>
                  <w:p w14:paraId="7780C7F1" w14:textId="77777777" w:rsidR="006D4B8D" w:rsidRDefault="006D4B8D">
                    <w:pPr>
                      <w:pStyle w:val="WitregelW2"/>
                    </w:pPr>
                  </w:p>
                  <w:p w14:paraId="7780C7F2" w14:textId="77777777" w:rsidR="006D4B8D" w:rsidRDefault="00416206">
                    <w:pPr>
                      <w:pStyle w:val="Referentiegegevensbold"/>
                    </w:pPr>
                    <w:r>
                      <w:t>Onze referentie</w:t>
                    </w:r>
                  </w:p>
                  <w:p w14:paraId="7780C7F3" w14:textId="77777777" w:rsidR="006D4B8D" w:rsidRDefault="00416206">
                    <w:pPr>
                      <w:pStyle w:val="Referentiegegevens"/>
                    </w:pPr>
                    <w:r>
                      <w:t>BZ2514714</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7780C7C3" wp14:editId="7780C7C4">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780C7F4" w14:textId="77777777" w:rsidR="006D4B8D" w:rsidRDefault="00416206">
                          <w:pPr>
                            <w:pStyle w:val="Rubricering"/>
                          </w:pPr>
                          <w:r>
                            <w:t>ONGERUBRICEERD / GEEN MERKING</w:t>
                          </w:r>
                        </w:p>
                      </w:txbxContent>
                    </wps:txbx>
                    <wps:bodyPr vert="horz" wrap="square" lIns="0" tIns="0" rIns="0" bIns="0" anchor="t" anchorCtr="0"/>
                  </wps:wsp>
                </a:graphicData>
              </a:graphic>
            </wp:anchor>
          </w:drawing>
        </mc:Choice>
        <mc:Fallback>
          <w:pict>
            <v:shape w14:anchorId="7780C7C3"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780C7F4" w14:textId="77777777" w:rsidR="006D4B8D" w:rsidRDefault="00416206">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7780C7C5" wp14:editId="7780C7C6">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780C801" w14:textId="77777777" w:rsidR="00416206" w:rsidRDefault="00416206"/>
                      </w:txbxContent>
                    </wps:txbx>
                    <wps:bodyPr vert="horz" wrap="square" lIns="0" tIns="0" rIns="0" bIns="0" anchor="t" anchorCtr="0"/>
                  </wps:wsp>
                </a:graphicData>
              </a:graphic>
            </wp:anchor>
          </w:drawing>
        </mc:Choice>
        <mc:Fallback>
          <w:pict>
            <v:shape w14:anchorId="7780C7C5"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780C801" w14:textId="77777777" w:rsidR="00416206" w:rsidRDefault="0041620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C7BF" w14:textId="6D244972" w:rsidR="006D4B8D" w:rsidRDefault="00416206">
    <w:pPr>
      <w:spacing w:after="7131" w:line="14" w:lineRule="exact"/>
    </w:pPr>
    <w:r>
      <w:rPr>
        <w:noProof/>
      </w:rPr>
      <mc:AlternateContent>
        <mc:Choice Requires="wps">
          <w:drawing>
            <wp:anchor distT="0" distB="0" distL="0" distR="0" simplePos="0" relativeHeight="251655680" behindDoc="0" locked="1" layoutInCell="1" allowOverlap="1" wp14:anchorId="7780C7C7" wp14:editId="7780C7C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780C7F5" w14:textId="77777777" w:rsidR="00416206" w:rsidRDefault="00416206"/>
                      </w:txbxContent>
                    </wps:txbx>
                    <wps:bodyPr vert="horz" wrap="square" lIns="0" tIns="0" rIns="0" bIns="0" anchor="t" anchorCtr="0"/>
                  </wps:wsp>
                </a:graphicData>
              </a:graphic>
            </wp:anchor>
          </w:drawing>
        </mc:Choice>
        <mc:Fallback>
          <w:pict>
            <v:shapetype w14:anchorId="7780C7C7"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780C7F5" w14:textId="77777777" w:rsidR="00416206" w:rsidRDefault="00416206"/>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780C7C9" wp14:editId="7780C7C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80C7D8" w14:textId="77777777" w:rsidR="006D4B8D" w:rsidRDefault="0041620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780C7C9"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780C7D8" w14:textId="77777777" w:rsidR="006D4B8D" w:rsidRDefault="0041620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780C7CB" wp14:editId="7780C7C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E664CA2" w14:textId="313D3BAA" w:rsidR="00DC4152" w:rsidRDefault="00DC4152" w:rsidP="00DC4152">
                          <w:r>
                            <w:t>Datum</w:t>
                          </w:r>
                          <w:r w:rsidR="00BE452D">
                            <w:t xml:space="preserve"> 4 </w:t>
                          </w:r>
                          <w:r>
                            <w:t>april 2025</w:t>
                          </w:r>
                        </w:p>
                        <w:p w14:paraId="779FECB1" w14:textId="0A806AF4" w:rsidR="00DC4152" w:rsidRDefault="00DC4152" w:rsidP="00DC4152">
                          <w:r>
                            <w:t>Betreft Geannoteerde agenda met de inzet voor de Voorjaarsvergadering van de Wereldbank 2025</w:t>
                          </w:r>
                        </w:p>
                        <w:p w14:paraId="7780C7E1" w14:textId="77777777" w:rsidR="006D4B8D" w:rsidRDefault="006D4B8D"/>
                        <w:p w14:paraId="7780C7E2" w14:textId="77777777" w:rsidR="006D4B8D" w:rsidRDefault="006D4B8D"/>
                      </w:txbxContent>
                    </wps:txbx>
                    <wps:bodyPr vert="horz" wrap="square" lIns="0" tIns="0" rIns="0" bIns="0" anchor="t" anchorCtr="0"/>
                  </wps:wsp>
                </a:graphicData>
              </a:graphic>
            </wp:anchor>
          </w:drawing>
        </mc:Choice>
        <mc:Fallback>
          <w:pict>
            <v:shape w14:anchorId="7780C7CB"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7E664CA2" w14:textId="313D3BAA" w:rsidR="00DC4152" w:rsidRDefault="00DC4152" w:rsidP="00DC4152">
                    <w:r>
                      <w:t>Datum</w:t>
                    </w:r>
                    <w:r w:rsidR="00BE452D">
                      <w:t xml:space="preserve"> 4 </w:t>
                    </w:r>
                    <w:r>
                      <w:t>april 2025</w:t>
                    </w:r>
                  </w:p>
                  <w:p w14:paraId="779FECB1" w14:textId="0A806AF4" w:rsidR="00DC4152" w:rsidRDefault="00DC4152" w:rsidP="00DC4152">
                    <w:r>
                      <w:t>Betreft Geannoteerde agenda met de inzet voor de Voorjaarsvergadering van de Wereldbank 2025</w:t>
                    </w:r>
                  </w:p>
                  <w:p w14:paraId="7780C7E1" w14:textId="77777777" w:rsidR="006D4B8D" w:rsidRDefault="006D4B8D"/>
                  <w:p w14:paraId="7780C7E2" w14:textId="77777777" w:rsidR="006D4B8D" w:rsidRDefault="006D4B8D"/>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780C7CD" wp14:editId="123D09F5">
              <wp:simplePos x="0" y="0"/>
              <wp:positionH relativeFrom="page">
                <wp:posOffset>5924550</wp:posOffset>
              </wp:positionH>
              <wp:positionV relativeFrom="page">
                <wp:posOffset>1962150</wp:posOffset>
              </wp:positionV>
              <wp:extent cx="14287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p w14:paraId="7780C7E3" w14:textId="77777777" w:rsidR="006D4B8D" w:rsidRDefault="00416206">
                          <w:pPr>
                            <w:pStyle w:val="Referentiegegevensbold"/>
                          </w:pPr>
                          <w:r>
                            <w:t>Ministerie van Buitenlandse Zaken</w:t>
                          </w:r>
                        </w:p>
                        <w:p w14:paraId="7442EBDE" w14:textId="77777777" w:rsidR="007113C7" w:rsidRDefault="007113C7">
                          <w:pPr>
                            <w:pStyle w:val="Referentiegegevens"/>
                          </w:pPr>
                          <w:r>
                            <w:t>Rijnstraat 8</w:t>
                          </w:r>
                        </w:p>
                        <w:p w14:paraId="15C6AB55" w14:textId="77777777" w:rsidR="007113C7" w:rsidRPr="00DC4152" w:rsidRDefault="007113C7">
                          <w:pPr>
                            <w:pStyle w:val="Referentiegegevens"/>
                            <w:rPr>
                              <w:lang w:val="da-DK"/>
                            </w:rPr>
                          </w:pPr>
                          <w:r w:rsidRPr="00DC4152">
                            <w:rPr>
                              <w:lang w:val="da-DK"/>
                            </w:rPr>
                            <w:t>2515 XP Den Haag</w:t>
                          </w:r>
                        </w:p>
                        <w:p w14:paraId="0E92549D" w14:textId="77777777" w:rsidR="007113C7" w:rsidRPr="00DC4152" w:rsidRDefault="007113C7" w:rsidP="007113C7">
                          <w:pPr>
                            <w:pStyle w:val="Referentiegegevens"/>
                            <w:rPr>
                              <w:lang w:val="da-DK"/>
                            </w:rPr>
                          </w:pPr>
                          <w:r w:rsidRPr="00DC4152">
                            <w:rPr>
                              <w:lang w:val="da-DK"/>
                            </w:rPr>
                            <w:t xml:space="preserve">Postbus 20061 </w:t>
                          </w:r>
                        </w:p>
                        <w:p w14:paraId="390B1E24" w14:textId="0748CAA2" w:rsidR="007113C7" w:rsidRPr="00DC4152" w:rsidRDefault="007113C7" w:rsidP="007113C7">
                          <w:pPr>
                            <w:pStyle w:val="Referentiegegevens"/>
                            <w:rPr>
                              <w:lang w:val="da-DK"/>
                            </w:rPr>
                          </w:pPr>
                          <w:r w:rsidRPr="00DC4152">
                            <w:rPr>
                              <w:lang w:val="da-DK"/>
                            </w:rPr>
                            <w:t>Nederland</w:t>
                          </w:r>
                        </w:p>
                        <w:p w14:paraId="7780C7E6" w14:textId="77777777" w:rsidR="006D4B8D" w:rsidRPr="00DC4152" w:rsidRDefault="00416206">
                          <w:pPr>
                            <w:pStyle w:val="Referentiegegevens"/>
                            <w:rPr>
                              <w:lang w:val="da-DK"/>
                            </w:rPr>
                          </w:pPr>
                          <w:r w:rsidRPr="00DC4152">
                            <w:rPr>
                              <w:lang w:val="da-DK"/>
                            </w:rPr>
                            <w:t>www.minbuza.nl</w:t>
                          </w:r>
                        </w:p>
                        <w:p w14:paraId="7780C7E7" w14:textId="77777777" w:rsidR="006D4B8D" w:rsidRPr="00DC4152" w:rsidRDefault="006D4B8D">
                          <w:pPr>
                            <w:pStyle w:val="WitregelW2"/>
                            <w:rPr>
                              <w:lang w:val="da-DK"/>
                            </w:rPr>
                          </w:pPr>
                        </w:p>
                        <w:p w14:paraId="7780C7E8" w14:textId="77777777" w:rsidR="006D4B8D" w:rsidRPr="00BE452D" w:rsidRDefault="00416206">
                          <w:pPr>
                            <w:pStyle w:val="Referentiegegevensbold"/>
                          </w:pPr>
                          <w:r w:rsidRPr="00BE452D">
                            <w:t>Onze referentie</w:t>
                          </w:r>
                        </w:p>
                        <w:p w14:paraId="7780C7E9" w14:textId="77777777" w:rsidR="006D4B8D" w:rsidRDefault="00416206">
                          <w:pPr>
                            <w:pStyle w:val="Referentiegegevens"/>
                          </w:pPr>
                          <w:r>
                            <w:t>BZ2514714</w:t>
                          </w:r>
                        </w:p>
                        <w:p w14:paraId="52C0D458" w14:textId="77777777" w:rsidR="007113C7" w:rsidRPr="007113C7" w:rsidRDefault="007113C7" w:rsidP="007113C7"/>
                        <w:p w14:paraId="7780C7EA" w14:textId="77777777" w:rsidR="006D4B8D" w:rsidRDefault="006D4B8D">
                          <w:pPr>
                            <w:pStyle w:val="WitregelW1"/>
                          </w:pPr>
                        </w:p>
                        <w:p w14:paraId="7780C7EB" w14:textId="77777777" w:rsidR="006D4B8D" w:rsidRDefault="00416206">
                          <w:pPr>
                            <w:pStyle w:val="Referentiegegevensbold"/>
                          </w:pPr>
                          <w:r>
                            <w:t>Bijlage(n)</w:t>
                          </w:r>
                        </w:p>
                        <w:p w14:paraId="7780C7EC" w14:textId="14721773" w:rsidR="006D4B8D" w:rsidRDefault="007113C7">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7780C7CD" id="41b10cd4-80a4-11ea-b356-6230a4311406" o:spid="_x0000_s1032" type="#_x0000_t202" style="position:absolute;margin-left:466.5pt;margin-top:154.5pt;width:112.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" filled="f" stroked="f">
              <v:textbox inset="0,0,0,0">
                <w:txbxContent>
                  <w:p w14:paraId="7780C7E3" w14:textId="77777777" w:rsidR="006D4B8D" w:rsidRDefault="00416206">
                    <w:pPr>
                      <w:pStyle w:val="Referentiegegevensbold"/>
                    </w:pPr>
                    <w:r>
                      <w:t>Ministerie van Buitenlandse Zaken</w:t>
                    </w:r>
                  </w:p>
                  <w:p w14:paraId="7442EBDE" w14:textId="77777777" w:rsidR="007113C7" w:rsidRDefault="007113C7">
                    <w:pPr>
                      <w:pStyle w:val="Referentiegegevens"/>
                    </w:pPr>
                    <w:r>
                      <w:t>Rijnstraat 8</w:t>
                    </w:r>
                  </w:p>
                  <w:p w14:paraId="15C6AB55" w14:textId="77777777" w:rsidR="007113C7" w:rsidRPr="00DC4152" w:rsidRDefault="007113C7">
                    <w:pPr>
                      <w:pStyle w:val="Referentiegegevens"/>
                      <w:rPr>
                        <w:lang w:val="da-DK"/>
                      </w:rPr>
                    </w:pPr>
                    <w:r w:rsidRPr="00DC4152">
                      <w:rPr>
                        <w:lang w:val="da-DK"/>
                      </w:rPr>
                      <w:t>2515 XP Den Haag</w:t>
                    </w:r>
                  </w:p>
                  <w:p w14:paraId="0E92549D" w14:textId="77777777" w:rsidR="007113C7" w:rsidRPr="00DC4152" w:rsidRDefault="007113C7" w:rsidP="007113C7">
                    <w:pPr>
                      <w:pStyle w:val="Referentiegegevens"/>
                      <w:rPr>
                        <w:lang w:val="da-DK"/>
                      </w:rPr>
                    </w:pPr>
                    <w:r w:rsidRPr="00DC4152">
                      <w:rPr>
                        <w:lang w:val="da-DK"/>
                      </w:rPr>
                      <w:t xml:space="preserve">Postbus 20061 </w:t>
                    </w:r>
                  </w:p>
                  <w:p w14:paraId="390B1E24" w14:textId="0748CAA2" w:rsidR="007113C7" w:rsidRPr="00DC4152" w:rsidRDefault="007113C7" w:rsidP="007113C7">
                    <w:pPr>
                      <w:pStyle w:val="Referentiegegevens"/>
                      <w:rPr>
                        <w:lang w:val="da-DK"/>
                      </w:rPr>
                    </w:pPr>
                    <w:r w:rsidRPr="00DC4152">
                      <w:rPr>
                        <w:lang w:val="da-DK"/>
                      </w:rPr>
                      <w:t>Nederland</w:t>
                    </w:r>
                  </w:p>
                  <w:p w14:paraId="7780C7E6" w14:textId="77777777" w:rsidR="006D4B8D" w:rsidRPr="00DC4152" w:rsidRDefault="00416206">
                    <w:pPr>
                      <w:pStyle w:val="Referentiegegevens"/>
                      <w:rPr>
                        <w:lang w:val="da-DK"/>
                      </w:rPr>
                    </w:pPr>
                    <w:r w:rsidRPr="00DC4152">
                      <w:rPr>
                        <w:lang w:val="da-DK"/>
                      </w:rPr>
                      <w:t>www.minbuza.nl</w:t>
                    </w:r>
                  </w:p>
                  <w:p w14:paraId="7780C7E7" w14:textId="77777777" w:rsidR="006D4B8D" w:rsidRPr="00DC4152" w:rsidRDefault="006D4B8D">
                    <w:pPr>
                      <w:pStyle w:val="WitregelW2"/>
                      <w:rPr>
                        <w:lang w:val="da-DK"/>
                      </w:rPr>
                    </w:pPr>
                  </w:p>
                  <w:p w14:paraId="7780C7E8" w14:textId="77777777" w:rsidR="006D4B8D" w:rsidRPr="00BE452D" w:rsidRDefault="00416206">
                    <w:pPr>
                      <w:pStyle w:val="Referentiegegevensbold"/>
                    </w:pPr>
                    <w:r w:rsidRPr="00BE452D">
                      <w:t>Onze referentie</w:t>
                    </w:r>
                  </w:p>
                  <w:p w14:paraId="7780C7E9" w14:textId="77777777" w:rsidR="006D4B8D" w:rsidRDefault="00416206">
                    <w:pPr>
                      <w:pStyle w:val="Referentiegegevens"/>
                    </w:pPr>
                    <w:r>
                      <w:t>BZ2514714</w:t>
                    </w:r>
                  </w:p>
                  <w:p w14:paraId="52C0D458" w14:textId="77777777" w:rsidR="007113C7" w:rsidRPr="007113C7" w:rsidRDefault="007113C7" w:rsidP="007113C7"/>
                  <w:p w14:paraId="7780C7EA" w14:textId="77777777" w:rsidR="006D4B8D" w:rsidRDefault="006D4B8D">
                    <w:pPr>
                      <w:pStyle w:val="WitregelW1"/>
                    </w:pPr>
                  </w:p>
                  <w:p w14:paraId="7780C7EB" w14:textId="77777777" w:rsidR="006D4B8D" w:rsidRDefault="00416206">
                    <w:pPr>
                      <w:pStyle w:val="Referentiegegevensbold"/>
                    </w:pPr>
                    <w:r>
                      <w:t>Bijlage(n)</w:t>
                    </w:r>
                  </w:p>
                  <w:p w14:paraId="7780C7EC" w14:textId="14721773" w:rsidR="006D4B8D" w:rsidRDefault="007113C7">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780C7D1" wp14:editId="24228ED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780C7FB" w14:textId="77777777" w:rsidR="00416206" w:rsidRDefault="00416206"/>
                      </w:txbxContent>
                    </wps:txbx>
                    <wps:bodyPr vert="horz" wrap="square" lIns="0" tIns="0" rIns="0" bIns="0" anchor="t" anchorCtr="0"/>
                  </wps:wsp>
                </a:graphicData>
              </a:graphic>
            </wp:anchor>
          </w:drawing>
        </mc:Choice>
        <mc:Fallback>
          <w:pict>
            <v:shape w14:anchorId="7780C7D1"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7780C7FB" w14:textId="77777777" w:rsidR="00416206" w:rsidRDefault="00416206"/>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780C7D3" wp14:editId="7780C7D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80C7EE" w14:textId="77777777" w:rsidR="006D4B8D" w:rsidRDefault="00416206">
                          <w:pPr>
                            <w:spacing w:line="240" w:lineRule="auto"/>
                          </w:pPr>
                          <w:r>
                            <w:rPr>
                              <w:noProof/>
                            </w:rPr>
                            <w:drawing>
                              <wp:inline distT="0" distB="0" distL="0" distR="0" wp14:anchorId="7780C7F5" wp14:editId="7780C7F6">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80C7D3"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780C7EE" w14:textId="77777777" w:rsidR="006D4B8D" w:rsidRDefault="00416206">
                    <w:pPr>
                      <w:spacing w:line="240" w:lineRule="auto"/>
                    </w:pPr>
                    <w:r>
                      <w:rPr>
                        <w:noProof/>
                      </w:rPr>
                      <w:drawing>
                        <wp:inline distT="0" distB="0" distL="0" distR="0" wp14:anchorId="7780C7F5" wp14:editId="7780C7F6">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780C7D5" wp14:editId="7780C7D6">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80C7EF" w14:textId="77777777" w:rsidR="006D4B8D" w:rsidRDefault="00416206">
                          <w:pPr>
                            <w:spacing w:line="240" w:lineRule="auto"/>
                          </w:pPr>
                          <w:r>
                            <w:rPr>
                              <w:noProof/>
                            </w:rPr>
                            <w:drawing>
                              <wp:inline distT="0" distB="0" distL="0" distR="0" wp14:anchorId="7780C7F7" wp14:editId="7780C7F8">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80C7D5"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780C7EF" w14:textId="77777777" w:rsidR="006D4B8D" w:rsidRDefault="00416206">
                    <w:pPr>
                      <w:spacing w:line="240" w:lineRule="auto"/>
                    </w:pPr>
                    <w:r>
                      <w:rPr>
                        <w:noProof/>
                      </w:rPr>
                      <w:drawing>
                        <wp:inline distT="0" distB="0" distL="0" distR="0" wp14:anchorId="7780C7F7" wp14:editId="7780C7F8">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C8056A"/>
    <w:multiLevelType w:val="multilevel"/>
    <w:tmpl w:val="DA723B8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E22BE15A"/>
    <w:multiLevelType w:val="multilevel"/>
    <w:tmpl w:val="1A98FEB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6078192"/>
    <w:multiLevelType w:val="multilevel"/>
    <w:tmpl w:val="7AFA0F4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A3AAC0C"/>
    <w:multiLevelType w:val="multilevel"/>
    <w:tmpl w:val="CC8E782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B3F1DBB"/>
    <w:multiLevelType w:val="multilevel"/>
    <w:tmpl w:val="78DA34D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5828545">
    <w:abstractNumId w:val="0"/>
  </w:num>
  <w:num w:numId="2" w16cid:durableId="230504550">
    <w:abstractNumId w:val="2"/>
  </w:num>
  <w:num w:numId="3" w16cid:durableId="807666644">
    <w:abstractNumId w:val="3"/>
  </w:num>
  <w:num w:numId="4" w16cid:durableId="391660019">
    <w:abstractNumId w:val="1"/>
  </w:num>
  <w:num w:numId="5" w16cid:durableId="32198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B8D"/>
    <w:rsid w:val="003E5374"/>
    <w:rsid w:val="00412524"/>
    <w:rsid w:val="00416206"/>
    <w:rsid w:val="00444636"/>
    <w:rsid w:val="005D67A2"/>
    <w:rsid w:val="00606ECE"/>
    <w:rsid w:val="006D4B8D"/>
    <w:rsid w:val="007113C7"/>
    <w:rsid w:val="0075775A"/>
    <w:rsid w:val="00863D4E"/>
    <w:rsid w:val="0090210C"/>
    <w:rsid w:val="00B04061"/>
    <w:rsid w:val="00BE452D"/>
    <w:rsid w:val="00DB49D7"/>
    <w:rsid w:val="00DB7E59"/>
    <w:rsid w:val="00DC4152"/>
    <w:rsid w:val="00DE15FA"/>
    <w:rsid w:val="00F71B20"/>
    <w:rsid w:val="00FA1FE3"/>
    <w:rsid w:val="00FD02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0C7B5"/>
  <w15:docId w15:val="{78913F71-83BA-4366-9206-BA706332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en-US" w:eastAsia="en-US"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lang w:val="nl-NL"/>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lang w:val="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lang w:val="nl-NL"/>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113C7"/>
    <w:pPr>
      <w:tabs>
        <w:tab w:val="center" w:pos="4680"/>
        <w:tab w:val="right" w:pos="9360"/>
      </w:tabs>
      <w:spacing w:line="240" w:lineRule="auto"/>
    </w:pPr>
  </w:style>
  <w:style w:type="character" w:customStyle="1" w:styleId="HeaderChar">
    <w:name w:val="Header Char"/>
    <w:basedOn w:val="DefaultParagraphFont"/>
    <w:link w:val="Header"/>
    <w:uiPriority w:val="99"/>
    <w:rsid w:val="007113C7"/>
    <w:rPr>
      <w:rFonts w:ascii="Verdana" w:hAnsi="Verdana"/>
      <w:color w:val="000000"/>
      <w:sz w:val="18"/>
      <w:szCs w:val="18"/>
      <w:lang w:val="nl-NL"/>
    </w:rPr>
  </w:style>
  <w:style w:type="paragraph" w:styleId="Footer">
    <w:name w:val="footer"/>
    <w:basedOn w:val="Normal"/>
    <w:link w:val="FooterChar"/>
    <w:uiPriority w:val="99"/>
    <w:unhideWhenUsed/>
    <w:rsid w:val="007113C7"/>
    <w:pPr>
      <w:tabs>
        <w:tab w:val="center" w:pos="4680"/>
        <w:tab w:val="right" w:pos="9360"/>
      </w:tabs>
      <w:spacing w:line="240" w:lineRule="auto"/>
    </w:pPr>
  </w:style>
  <w:style w:type="character" w:customStyle="1" w:styleId="FooterChar">
    <w:name w:val="Footer Char"/>
    <w:basedOn w:val="DefaultParagraphFont"/>
    <w:link w:val="Footer"/>
    <w:uiPriority w:val="99"/>
    <w:rsid w:val="007113C7"/>
    <w:rPr>
      <w:rFonts w:ascii="Verdana" w:hAnsi="Verdana"/>
      <w:color w:val="000000"/>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179</ap:Words>
  <ap:Characters>986</ap:Characters>
  <ap:DocSecurity>0</ap:DocSecurity>
  <ap:Lines>8</ap:Lines>
  <ap:Paragraphs>2</ap:Paragraphs>
  <ap:ScaleCrop>false</ap:ScaleCrop>
  <ap:HeadingPairs>
    <vt:vector baseType="variant" size="2">
      <vt:variant>
        <vt:lpstr>Title</vt:lpstr>
      </vt:variant>
      <vt:variant>
        <vt:i4>1</vt:i4>
      </vt:variant>
    </vt:vector>
  </ap:HeadingPairs>
  <ap:TitlesOfParts>
    <vt:vector baseType="lpstr" size="1">
      <vt:lpstr>Kamerbrief geannoteerde agenda Voorjaarsvergadering Wereldbank 2025</vt:lpstr>
    </vt:vector>
  </ap:TitlesOfParts>
  <ap:LinksUpToDate>false</ap:LinksUpToDate>
  <ap:CharactersWithSpaces>1163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2025-04-01T11:15:00.0000000Z</dcterms:created>
  <dcterms:modified xsi:type="dcterms:W3CDTF">2025-04-04T09:01:00.0000000Z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9eb6dd48-3f5e-4ecc-aa16-24d109aa3b9f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