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EDB" w:rsidRDefault="00E83EDB" w14:paraId="412E219A" w14:textId="77777777">
      <w:bookmarkStart w:name="_GoBack" w:id="0"/>
      <w:bookmarkEnd w:id="0"/>
    </w:p>
    <w:p w:rsidR="00E83EDB" w:rsidRDefault="00E83EDB" w14:paraId="24C1CC4D" w14:textId="77777777"/>
    <w:p w:rsidRPr="001628D8" w:rsidR="003C6CF5" w:rsidRDefault="00C45537" w14:paraId="67A64C27" w14:textId="21CBDBF3">
      <w:r w:rsidRPr="001628D8">
        <w:t xml:space="preserve">Op 18 november 2024 hebben </w:t>
      </w:r>
      <w:r w:rsidRPr="001628D8" w:rsidR="00734F9F">
        <w:t>wij</w:t>
      </w:r>
      <w:r w:rsidRPr="001628D8">
        <w:t xml:space="preserve"> uw Kamer </w:t>
      </w:r>
      <w:r w:rsidRPr="001628D8" w:rsidR="00734F9F">
        <w:t xml:space="preserve">per brief </w:t>
      </w:r>
      <w:r w:rsidRPr="001628D8">
        <w:t xml:space="preserve">geïnformeerd over de planning voor de invoering van de gratis betalingsherinnering (hierna: ‘betalingsherinnering’) </w:t>
      </w:r>
      <w:r w:rsidRPr="001628D8" w:rsidR="00A85F95">
        <w:t xml:space="preserve">bij </w:t>
      </w:r>
      <w:r w:rsidRPr="001628D8">
        <w:t>het Centraal Justitieel Incassobureau (hierna: ‘CJIB’).</w:t>
      </w:r>
      <w:r w:rsidRPr="001628D8" w:rsidR="00680D36">
        <w:rPr>
          <w:rStyle w:val="Voetnootmarkering"/>
        </w:rPr>
        <w:footnoteReference w:id="1"/>
      </w:r>
      <w:r w:rsidRPr="001628D8">
        <w:t xml:space="preserve"> In deze brief hebben wij toegezegd uw Kamer uiterlijk in het eerste kwartaal van 2025 te informeren over (i) de nadere uitwerking van de betalingsherinnering, (ii) de uitwerking van de mogelijkheid voor het CJIB om ophogingen bij </w:t>
      </w:r>
      <w:r w:rsidRPr="001628D8" w:rsidR="00E94FE8">
        <w:t>boetes op grond van de Wet administratiefrechtelijke handhaving verkeersvoorschriften (hierna: ‘Wahv’)</w:t>
      </w:r>
      <w:r w:rsidRPr="001628D8">
        <w:t xml:space="preserve"> kwijt te kunnen schelden; en (iii) de uitwerking van de motie Palmen over verlaging van de ophogingenpercentages</w:t>
      </w:r>
      <w:r w:rsidRPr="001628D8" w:rsidR="00850E08">
        <w:t xml:space="preserve"> en de daarmee gemoeide kosten</w:t>
      </w:r>
      <w:r w:rsidRPr="001628D8">
        <w:t xml:space="preserve">. </w:t>
      </w:r>
    </w:p>
    <w:p w:rsidRPr="001628D8" w:rsidR="003C6CF5" w:rsidRDefault="003C6CF5" w14:paraId="137B6E32" w14:textId="77777777"/>
    <w:p w:rsidRPr="001628D8" w:rsidR="00C45537" w:rsidRDefault="00E7777F" w14:paraId="0B3712B7" w14:textId="374C42D6">
      <w:r w:rsidRPr="001628D8">
        <w:t>Met</w:t>
      </w:r>
      <w:r w:rsidRPr="001628D8" w:rsidR="00C45537">
        <w:t xml:space="preserve"> deze brief informeren wij uw Kamer over deze onderwerpen. </w:t>
      </w:r>
      <w:r w:rsidRPr="001628D8" w:rsidR="000F6182">
        <w:t>Daarnaast</w:t>
      </w:r>
      <w:r w:rsidRPr="001628D8" w:rsidR="00C45537">
        <w:t xml:space="preserve"> staan we in deze brief stil bij</w:t>
      </w:r>
      <w:r w:rsidRPr="001628D8" w:rsidR="00D778D7">
        <w:t xml:space="preserve"> een tweetal toezeggingen die</w:t>
      </w:r>
      <w:r w:rsidRPr="001628D8" w:rsidR="00C45537">
        <w:t xml:space="preserve"> tijdens het commissiedebat Strafrechtelijke Onderwerpen op </w:t>
      </w:r>
      <w:r w:rsidRPr="001628D8" w:rsidR="00995783">
        <w:t>4 september 2024</w:t>
      </w:r>
      <w:r w:rsidRPr="001628D8" w:rsidR="00C45537">
        <w:t xml:space="preserve"> </w:t>
      </w:r>
      <w:r w:rsidRPr="001628D8" w:rsidR="00D70799">
        <w:t>zijn</w:t>
      </w:r>
      <w:r w:rsidRPr="001628D8" w:rsidR="00C45537">
        <w:t xml:space="preserve"> gedaan </w:t>
      </w:r>
      <w:r w:rsidRPr="001628D8" w:rsidR="00D778D7">
        <w:t>over</w:t>
      </w:r>
      <w:r w:rsidRPr="001628D8" w:rsidR="00C45537">
        <w:t xml:space="preserve"> </w:t>
      </w:r>
      <w:r w:rsidRPr="001628D8" w:rsidR="008F406A">
        <w:t xml:space="preserve">(iv) </w:t>
      </w:r>
      <w:r w:rsidRPr="001628D8" w:rsidR="00995783">
        <w:t xml:space="preserve">de suggestie voor invoering van een digitaal portaal voor </w:t>
      </w:r>
      <w:r w:rsidRPr="001628D8" w:rsidR="008E48A9">
        <w:t xml:space="preserve">de verzending van </w:t>
      </w:r>
      <w:r w:rsidRPr="001628D8" w:rsidR="00995783">
        <w:t>Wahv-boetes</w:t>
      </w:r>
      <w:r w:rsidRPr="001628D8" w:rsidR="00D778D7">
        <w:t xml:space="preserve"> en</w:t>
      </w:r>
      <w:r w:rsidRPr="001628D8" w:rsidR="008F406A">
        <w:t xml:space="preserve"> (v)</w:t>
      </w:r>
      <w:r w:rsidRPr="001628D8" w:rsidR="00D778D7">
        <w:t xml:space="preserve"> de vraag of de gijzelingsmaatregel bij de executie van de schadevergoedingsmaatregel mogelijk moet blijven zonder tussenkomst van de rechter</w:t>
      </w:r>
      <w:r w:rsidRPr="001628D8" w:rsidR="00995783">
        <w:t>.</w:t>
      </w:r>
    </w:p>
    <w:p w:rsidRPr="001628D8" w:rsidR="00C45537" w:rsidRDefault="00C45537" w14:paraId="530F704A" w14:textId="77777777"/>
    <w:p w:rsidRPr="001628D8" w:rsidR="00C45537" w:rsidP="0024276E" w:rsidRDefault="0024276E" w14:paraId="57ACC1BD" w14:textId="1F469A15">
      <w:pPr>
        <w:rPr>
          <w:i/>
          <w:iCs/>
        </w:rPr>
      </w:pPr>
      <w:r w:rsidRPr="001628D8">
        <w:rPr>
          <w:i/>
          <w:iCs/>
        </w:rPr>
        <w:t>(i) D</w:t>
      </w:r>
      <w:r w:rsidRPr="001628D8" w:rsidR="00C45537">
        <w:rPr>
          <w:i/>
          <w:iCs/>
        </w:rPr>
        <w:t>e betalingsherinnering</w:t>
      </w:r>
    </w:p>
    <w:p w:rsidRPr="001628D8" w:rsidR="00D94CF3" w:rsidRDefault="0024276E" w14:paraId="4B381139" w14:textId="254F2697">
      <w:r w:rsidRPr="001628D8">
        <w:t>In de brief van 18 november 2024 hebben we aangegeven dat de invoering van een betalingsherinnering nadere uitwerking vereist. De afgelopen tijd is samen met het CJIB aan deze uitwerking gewerkt</w:t>
      </w:r>
      <w:r w:rsidRPr="001628D8" w:rsidR="00D22B36">
        <w:t xml:space="preserve"> en zijn belangrijke stappen gezet</w:t>
      </w:r>
      <w:r w:rsidRPr="001628D8">
        <w:t xml:space="preserve">. Zo is besloten de betalingsherinnering na afloop van de initiële </w:t>
      </w:r>
      <w:r w:rsidRPr="001628D8" w:rsidR="00734F9F">
        <w:t xml:space="preserve">betaaltermijn </w:t>
      </w:r>
      <w:r w:rsidRPr="001628D8">
        <w:t>te sturen.</w:t>
      </w:r>
      <w:r w:rsidRPr="001628D8" w:rsidR="00EB44D0">
        <w:t xml:space="preserve"> Voor Wahv-boetes gaat het daarbij om de betaaltermijn van acht weken en voor strafrechtelijke geldelijke sancties doorgaans om een betaaltermijn van dertig dagen.</w:t>
      </w:r>
      <w:r w:rsidRPr="001628D8" w:rsidR="007C3E9F">
        <w:rPr>
          <w:rStyle w:val="Voetnootmarkering"/>
        </w:rPr>
        <w:footnoteReference w:id="2"/>
      </w:r>
      <w:r w:rsidRPr="001628D8" w:rsidR="00E7777F">
        <w:t xml:space="preserve"> </w:t>
      </w:r>
    </w:p>
    <w:p w:rsidRPr="001628D8" w:rsidR="003C6CF5" w:rsidRDefault="003C6CF5" w14:paraId="6DEF1B1C" w14:textId="77777777"/>
    <w:p w:rsidRPr="001628D8" w:rsidR="00901400" w:rsidRDefault="00EB44D0" w14:paraId="6ECA1419" w14:textId="013F215A">
      <w:r w:rsidRPr="001628D8">
        <w:t>Uit gegevens van het CJIB blijkt dat veel mensen hun Wahv-boete(s) betalen in de laatste twee weken van de oorspronkelijke betaaltermijn</w:t>
      </w:r>
      <w:r w:rsidRPr="001628D8" w:rsidR="00110526">
        <w:t xml:space="preserve"> van acht weken</w:t>
      </w:r>
      <w:r w:rsidRPr="001628D8">
        <w:t xml:space="preserve">. Om te voorkomen dat de betalingsherinnering </w:t>
      </w:r>
      <w:r w:rsidRPr="001628D8" w:rsidR="000F6182">
        <w:t xml:space="preserve">onnodig </w:t>
      </w:r>
      <w:r w:rsidRPr="001628D8" w:rsidR="00734F9F">
        <w:t>wordt verstuurd,</w:t>
      </w:r>
      <w:r w:rsidRPr="001628D8">
        <w:t xml:space="preserve"> is besloten deze </w:t>
      </w:r>
      <w:r w:rsidRPr="001628D8">
        <w:lastRenderedPageBreak/>
        <w:t xml:space="preserve">pas na afloop van de oorspronkelijke betaaltermijn te sturen. Zo wordt de doelgroep van mensen die vergeten tijdig te betalen het beste bereikt. </w:t>
      </w:r>
    </w:p>
    <w:p w:rsidRPr="001628D8" w:rsidR="003C5828" w:rsidP="003C5828" w:rsidRDefault="00E7777F" w14:paraId="3DDA4318" w14:textId="03E8F2F9">
      <w:r w:rsidRPr="001628D8">
        <w:t>Het na</w:t>
      </w:r>
      <w:r w:rsidRPr="001628D8" w:rsidR="00961B28">
        <w:t xml:space="preserve"> afloop</w:t>
      </w:r>
      <w:r w:rsidRPr="001628D8">
        <w:t xml:space="preserve"> van de betaaltermijn versturen van een herinnering</w:t>
      </w:r>
      <w:r w:rsidRPr="001628D8" w:rsidR="00901400">
        <w:t xml:space="preserve"> voor Wahv-boetes</w:t>
      </w:r>
      <w:r w:rsidRPr="001628D8">
        <w:t xml:space="preserve"> vereist</w:t>
      </w:r>
      <w:r w:rsidRPr="001628D8" w:rsidR="0024276E">
        <w:t xml:space="preserve"> </w:t>
      </w:r>
      <w:r w:rsidRPr="001628D8" w:rsidR="001D68A4">
        <w:t>wijziging van de Wahv</w:t>
      </w:r>
      <w:r w:rsidRPr="001628D8" w:rsidR="0024276E">
        <w:t>.</w:t>
      </w:r>
      <w:r w:rsidRPr="001628D8">
        <w:t xml:space="preserve"> In d</w:t>
      </w:r>
      <w:r w:rsidRPr="001628D8" w:rsidR="001D68A4">
        <w:t xml:space="preserve">eze wet </w:t>
      </w:r>
      <w:r w:rsidRPr="001628D8">
        <w:t xml:space="preserve">is namelijk bepaald dat van rechtswege ophogingen intreden als niet tijdig </w:t>
      </w:r>
      <w:r w:rsidRPr="001628D8" w:rsidR="00E62DD1">
        <w:t>is</w:t>
      </w:r>
      <w:r w:rsidRPr="001628D8">
        <w:t xml:space="preserve"> betaald.</w:t>
      </w:r>
      <w:r w:rsidRPr="001628D8" w:rsidR="0024276E">
        <w:t xml:space="preserve"> Omdat wetswijziging de nodige tijd kost, hebben we besloten</w:t>
      </w:r>
      <w:r w:rsidRPr="001628D8" w:rsidR="00734F9F">
        <w:t xml:space="preserve"> om, zodra de middelen beschikbaar zijn,</w:t>
      </w:r>
      <w:r w:rsidRPr="001628D8" w:rsidR="0024276E">
        <w:t xml:space="preserve"> vooruitlopend op</w:t>
      </w:r>
      <w:r w:rsidRPr="001628D8" w:rsidR="00734F9F">
        <w:t xml:space="preserve"> de</w:t>
      </w:r>
      <w:r w:rsidRPr="001628D8" w:rsidR="0024276E">
        <w:t xml:space="preserve"> wetswijziging alvast te st</w:t>
      </w:r>
      <w:r w:rsidRPr="001628D8">
        <w:t>arten</w:t>
      </w:r>
      <w:r w:rsidRPr="001628D8" w:rsidR="0024276E">
        <w:t xml:space="preserve"> met het versturen van een betalingsherinnering voor Wahv-sancties na afloop van de</w:t>
      </w:r>
      <w:r w:rsidRPr="001628D8">
        <w:t xml:space="preserve"> betaaltermijn</w:t>
      </w:r>
      <w:r w:rsidRPr="001628D8" w:rsidR="0024276E">
        <w:t>.</w:t>
      </w:r>
      <w:r w:rsidRPr="001628D8" w:rsidR="006D00F7">
        <w:t xml:space="preserve"> </w:t>
      </w:r>
      <w:r w:rsidRPr="001628D8" w:rsidR="003C5828">
        <w:t>Het CJIB start hier 1 juli 2026 mee. Het CJIB benut het komende jaar voor de voorbereiding van de nodige aanpassingen in ICT en bedrijfsvoering. Samen met het CJIB is gekeken of het mogelijk is om eerder dan 1 juli 2026 te starten met het versturen van de betalingsherinnering. Hiervoor is echter 19 miljoen nodig om de verminderde ontvangsten en de ontwikkel- en exploitatiekosten op te vangen. Dekking hiervoor ontbreekt. Voor 2026 is 10 miljoen euro</w:t>
      </w:r>
      <w:bookmarkStart w:name="_ftnref1" w:id="1"/>
      <w:bookmarkEnd w:id="1"/>
      <w:r w:rsidRPr="001628D8" w:rsidR="003C5828">
        <w:t> beschikbaar.</w:t>
      </w:r>
      <w:r w:rsidRPr="001628D8" w:rsidR="001628D8">
        <w:rPr>
          <w:rStyle w:val="Voetnootmarkering"/>
        </w:rPr>
        <w:footnoteReference w:id="3"/>
      </w:r>
      <w:r w:rsidRPr="001628D8" w:rsidR="003C5828">
        <w:t xml:space="preserve"> Dit is nodig voor de ICT-ontwikkelkosten (3 miljoen euro) van de toekomstbestendige ICT- voorziening, exploitatiekosten (4 miljoen euro) en de verminderde ontvangsten voor een half jaar (3 miljoen euro). Eerder starten zou betekenen dat in de loop van het jaar weer moet worden gestopt met het versturen van een betalingsherinnering, omdat er geen beschikbare middelen meer zijn. Dit is onwenselijk en onzorgvuldig. Daarnaast zou om deze versnelling mogelijk te maken een tijdelijke ICT-voorziening moeten worden gebouwd vooruitlopend op de toekomstbestendige ICT-voorziening die in juli 2026 gereed zal zijn. Deze extra kosten voor de tijdelijke voorziening (ca. 0,5</w:t>
      </w:r>
      <w:r w:rsidRPr="001628D8" w:rsidR="00B23F25">
        <w:t xml:space="preserve"> </w:t>
      </w:r>
      <w:r w:rsidRPr="001628D8" w:rsidR="003C5828">
        <w:t>miljoen euro) kunnen niet gedekt worden uit de beschikbare 10 miljoen. Het bouwen van twee systemen is inefficiënt. Eerdere invoering is dus helaas niet mogelijk.</w:t>
      </w:r>
    </w:p>
    <w:p w:rsidRPr="001628D8" w:rsidR="003C5828" w:rsidRDefault="003C5828" w14:paraId="290BD2A9" w14:textId="77777777"/>
    <w:p w:rsidRPr="001628D8" w:rsidR="000E2143" w:rsidRDefault="00F47F69" w14:paraId="2AB538A3" w14:textId="4BC17BF0">
      <w:r w:rsidRPr="001628D8">
        <w:t>Ook bij</w:t>
      </w:r>
      <w:r w:rsidRPr="001628D8" w:rsidR="00734F9F">
        <w:t xml:space="preserve"> de strafrechtelijke geldelijke sancties </w:t>
      </w:r>
      <w:r w:rsidRPr="001628D8">
        <w:t xml:space="preserve">wordt het </w:t>
      </w:r>
      <w:r w:rsidRPr="001628D8" w:rsidR="00734F9F">
        <w:t xml:space="preserve">mogelijk gemaakt dat een betalingsherinnering </w:t>
      </w:r>
      <w:r w:rsidRPr="001628D8">
        <w:t>wordt</w:t>
      </w:r>
      <w:r w:rsidRPr="001628D8" w:rsidR="00734F9F">
        <w:t xml:space="preserve"> verstuurd voordat ophogingen intre</w:t>
      </w:r>
      <w:r w:rsidRPr="001628D8" w:rsidR="00A85F95">
        <w:t>d</w:t>
      </w:r>
      <w:r w:rsidRPr="001628D8" w:rsidR="00734F9F">
        <w:t>en.</w:t>
      </w:r>
      <w:r w:rsidRPr="001628D8" w:rsidR="00EB44D0">
        <w:t xml:space="preserve"> </w:t>
      </w:r>
      <w:r w:rsidRPr="001628D8" w:rsidR="006D00F7">
        <w:t>Hiermee starten we zo spoedig mogelijk</w:t>
      </w:r>
      <w:r w:rsidRPr="001628D8" w:rsidR="00A85F95">
        <w:t xml:space="preserve"> na </w:t>
      </w:r>
      <w:r w:rsidRPr="001628D8">
        <w:t xml:space="preserve">1 juli </w:t>
      </w:r>
      <w:r w:rsidRPr="001628D8" w:rsidR="00A85F95">
        <w:t>2026</w:t>
      </w:r>
      <w:r w:rsidRPr="001628D8" w:rsidR="002E49FB">
        <w:t xml:space="preserve">. </w:t>
      </w:r>
      <w:r w:rsidRPr="001628D8" w:rsidR="00901400">
        <w:t>Tot slot is besloten dat de</w:t>
      </w:r>
      <w:r w:rsidRPr="001628D8" w:rsidR="00734F9F">
        <w:t xml:space="preserve"> (aanvullende)</w:t>
      </w:r>
      <w:r w:rsidRPr="001628D8" w:rsidR="00901400">
        <w:t xml:space="preserve"> betaaltermijn die bij de betalingsherinnering zal worden gegeven twee weken zal bedragen.</w:t>
      </w:r>
      <w:r w:rsidRPr="001628D8" w:rsidR="001D68A4">
        <w:t xml:space="preserve"> </w:t>
      </w:r>
    </w:p>
    <w:p w:rsidRPr="001628D8" w:rsidR="0024276E" w:rsidRDefault="0024276E" w14:paraId="4D5A6BA4" w14:textId="59145F90">
      <w:r w:rsidRPr="001628D8">
        <w:t xml:space="preserve">  </w:t>
      </w:r>
    </w:p>
    <w:p w:rsidRPr="001628D8" w:rsidR="00C45537" w:rsidRDefault="0024276E" w14:paraId="59D01072" w14:textId="419D6B9C">
      <w:pPr>
        <w:rPr>
          <w:i/>
          <w:iCs/>
        </w:rPr>
      </w:pPr>
      <w:r w:rsidRPr="001628D8">
        <w:rPr>
          <w:i/>
          <w:iCs/>
        </w:rPr>
        <w:t xml:space="preserve">(ii) </w:t>
      </w:r>
      <w:r w:rsidRPr="001628D8" w:rsidR="00C45537">
        <w:rPr>
          <w:i/>
          <w:iCs/>
        </w:rPr>
        <w:t>Kwijtschelding ophogingen Wahv-boetes</w:t>
      </w:r>
    </w:p>
    <w:p w:rsidRPr="001628D8" w:rsidR="00F84BB6" w:rsidRDefault="00F84BB6" w14:paraId="476618D4" w14:textId="7C1A382E">
      <w:r w:rsidRPr="001628D8">
        <w:t xml:space="preserve">Het CJIB heeft de afgelopen jaren grote stappen gezet richting een meer persoonsgerichte inning. </w:t>
      </w:r>
      <w:r w:rsidRPr="001628D8" w:rsidR="00B16A01">
        <w:t>Er</w:t>
      </w:r>
      <w:r w:rsidRPr="001628D8" w:rsidR="00110526">
        <w:t xml:space="preserve"> zijn</w:t>
      </w:r>
      <w:r w:rsidRPr="001628D8">
        <w:t xml:space="preserve"> steeds meer mogelijkheden tot het leveren van </w:t>
      </w:r>
      <w:r w:rsidRPr="001628D8" w:rsidR="00A85F95">
        <w:t xml:space="preserve">dienstverlening op maat </w:t>
      </w:r>
      <w:r w:rsidRPr="001628D8">
        <w:t>ontwikkeld</w:t>
      </w:r>
      <w:r w:rsidRPr="001628D8" w:rsidR="00110526">
        <w:t>. Soms komt</w:t>
      </w:r>
      <w:r w:rsidRPr="001628D8" w:rsidR="000C0D1D">
        <w:t xml:space="preserve"> het CJIB</w:t>
      </w:r>
      <w:r w:rsidRPr="001628D8" w:rsidR="00110526">
        <w:t xml:space="preserve"> echter</w:t>
      </w:r>
      <w:r w:rsidRPr="001628D8" w:rsidR="000C0D1D">
        <w:t xml:space="preserve"> in contact</w:t>
      </w:r>
      <w:r w:rsidRPr="001628D8">
        <w:t xml:space="preserve"> met mensen voor wie de huidige mogelijkheden tot het leveren van maatwerk </w:t>
      </w:r>
      <w:r w:rsidRPr="001628D8" w:rsidR="00110526">
        <w:t xml:space="preserve">niet passend </w:t>
      </w:r>
      <w:r w:rsidRPr="001628D8">
        <w:t xml:space="preserve">zijn. Het gaat dan bijvoorbeeld om mensen voor wie het door een samenloop van </w:t>
      </w:r>
      <w:r w:rsidRPr="001628D8" w:rsidR="00A85F95">
        <w:t>uitzonderlijke</w:t>
      </w:r>
      <w:r w:rsidRPr="001628D8">
        <w:t xml:space="preserve"> omstandigheden onmogelijk was de Wahv-boete(s) tijdig te betalen en zo </w:t>
      </w:r>
      <w:r w:rsidRPr="001628D8" w:rsidR="000C0D1D">
        <w:t xml:space="preserve">de </w:t>
      </w:r>
      <w:r w:rsidRPr="001628D8">
        <w:t>ophogingen te voorkomen. Het CJIB zal</w:t>
      </w:r>
      <w:r w:rsidRPr="001628D8" w:rsidR="000C0D1D">
        <w:t xml:space="preserve"> daarom</w:t>
      </w:r>
      <w:r w:rsidRPr="001628D8">
        <w:t xml:space="preserve"> beter in staat worden gesteld deze mensen te helpen door de ophogingen</w:t>
      </w:r>
      <w:r w:rsidRPr="001628D8" w:rsidR="00EB44D0">
        <w:t xml:space="preserve"> op grond van de artikelen 23 en 25 van de Wahv</w:t>
      </w:r>
      <w:r w:rsidRPr="001628D8">
        <w:t xml:space="preserve"> kwijt te kunnen schelden. </w:t>
      </w:r>
    </w:p>
    <w:p w:rsidRPr="001628D8" w:rsidR="00F84BB6" w:rsidRDefault="00F84BB6" w14:paraId="1A7BAAD4" w14:textId="46A8738F">
      <w:r w:rsidRPr="001628D8">
        <w:t xml:space="preserve"> </w:t>
      </w:r>
    </w:p>
    <w:p w:rsidRPr="001628D8" w:rsidR="00CB5C4E" w:rsidRDefault="00995783" w14:paraId="16DE3AE3" w14:textId="313AD161">
      <w:r w:rsidRPr="001628D8">
        <w:t>Het gaat</w:t>
      </w:r>
      <w:r w:rsidRPr="001628D8" w:rsidR="00F84BB6">
        <w:t xml:space="preserve"> daarbij</w:t>
      </w:r>
      <w:r w:rsidRPr="001628D8">
        <w:t xml:space="preserve"> om twee typen van elkaar te onderscheiden situaties: overmacht en </w:t>
      </w:r>
      <w:r w:rsidRPr="001628D8" w:rsidR="00EB44D0">
        <w:t xml:space="preserve">onevenredig </w:t>
      </w:r>
      <w:r w:rsidRPr="001628D8">
        <w:t>hardvochtige effecten</w:t>
      </w:r>
      <w:r w:rsidRPr="001628D8" w:rsidR="00EB44D0">
        <w:t xml:space="preserve"> van de ophogingen</w:t>
      </w:r>
      <w:r w:rsidRPr="001628D8">
        <w:t>. Bij overmacht is de</w:t>
      </w:r>
      <w:r w:rsidR="00E83EDB">
        <w:t xml:space="preserve"> </w:t>
      </w:r>
      <w:r w:rsidRPr="001628D8">
        <w:t xml:space="preserve">betrokkene </w:t>
      </w:r>
      <w:r w:rsidRPr="001628D8" w:rsidR="00EB44D0">
        <w:t xml:space="preserve">aantoonbaar </w:t>
      </w:r>
      <w:r w:rsidRPr="001628D8">
        <w:t xml:space="preserve">niet verwijtbaar in verzuim geweest bij het niet </w:t>
      </w:r>
      <w:r w:rsidRPr="001628D8" w:rsidR="00B16A01">
        <w:t xml:space="preserve">tijdig </w:t>
      </w:r>
      <w:r w:rsidRPr="001628D8">
        <w:t>betalen van de Wahv-boete</w:t>
      </w:r>
      <w:r w:rsidRPr="001628D8" w:rsidR="00F84BB6">
        <w:t>(s)</w:t>
      </w:r>
      <w:r w:rsidRPr="001628D8">
        <w:t>.</w:t>
      </w:r>
      <w:r w:rsidRPr="001628D8" w:rsidR="00EB44D0">
        <w:t xml:space="preserve"> De onmogelijkheid van betaling (of het aanvragen van een betalingsregeling) was niet de eigen schuld van de betrokkene, maar werd veroorzaakt door een onvoorziene, van buiten komende omstandigheid.</w:t>
      </w:r>
      <w:r w:rsidRPr="001628D8">
        <w:t xml:space="preserve"> Hierbij kan bijvoorbeeld worden gedacht aan iemand die </w:t>
      </w:r>
      <w:r w:rsidRPr="001628D8" w:rsidR="00FD5675">
        <w:t>langere tijd</w:t>
      </w:r>
      <w:r w:rsidRPr="001628D8">
        <w:t xml:space="preserve"> opgenomen is geweest en niemand had om de post waar te nemen. Bij hardvochtige effecten pakken de ophogingen </w:t>
      </w:r>
      <w:r w:rsidRPr="001628D8" w:rsidR="00EB44D0">
        <w:t xml:space="preserve">onevenredig </w:t>
      </w:r>
      <w:r w:rsidRPr="001628D8">
        <w:t>onredelijk uit voor de betrokkene in het concrete geval</w:t>
      </w:r>
      <w:r w:rsidRPr="001628D8" w:rsidR="00096902">
        <w:t xml:space="preserve"> door de uitzonderlijke omstandigheden waarin iemand verkeert</w:t>
      </w:r>
      <w:r w:rsidRPr="001628D8">
        <w:t>.</w:t>
      </w:r>
      <w:r w:rsidRPr="001628D8" w:rsidR="005A02E1">
        <w:t xml:space="preserve"> </w:t>
      </w:r>
      <w:r w:rsidRPr="001628D8" w:rsidR="00CB5C4E">
        <w:t xml:space="preserve">Het zal dan vaak gaan om een samenloop van verschillende </w:t>
      </w:r>
      <w:r w:rsidRPr="001628D8" w:rsidR="00096902">
        <w:t xml:space="preserve">problematische </w:t>
      </w:r>
      <w:r w:rsidRPr="001628D8" w:rsidR="00CB5C4E">
        <w:t xml:space="preserve">omstandigheden, zoals </w:t>
      </w:r>
      <w:r w:rsidRPr="001628D8" w:rsidR="00096902">
        <w:t>ernstige lichamelijke en/of psychische problematiek, het ontbreken van hulp of sociaal netwerk, dakloosheid en/of gezinsproblematiek.</w:t>
      </w:r>
      <w:r w:rsidRPr="001628D8" w:rsidR="0075663D">
        <w:t xml:space="preserve"> Hierbij kan</w:t>
      </w:r>
      <w:r w:rsidRPr="001628D8" w:rsidR="00DD1422">
        <w:t xml:space="preserve"> bijvoorbeeld</w:t>
      </w:r>
      <w:r w:rsidRPr="001628D8" w:rsidR="0075663D">
        <w:t xml:space="preserve"> gedacht worden aan</w:t>
      </w:r>
      <w:r w:rsidRPr="001628D8" w:rsidR="008419D7">
        <w:t xml:space="preserve"> iemand die na meerdere jaren </w:t>
      </w:r>
      <w:r w:rsidRPr="001628D8" w:rsidR="00A85F95">
        <w:t>geworsteld te hebben met psychische stoornissen</w:t>
      </w:r>
      <w:r w:rsidRPr="001628D8" w:rsidR="008419D7">
        <w:t xml:space="preserve"> zijn leven weer op de rit heeft </w:t>
      </w:r>
      <w:r w:rsidRPr="001628D8" w:rsidR="00A85F95">
        <w:t>met hulp en zijn Wahv-boetes wil betalen</w:t>
      </w:r>
      <w:r w:rsidRPr="001628D8" w:rsidR="008419D7">
        <w:t>.</w:t>
      </w:r>
      <w:r w:rsidRPr="001628D8" w:rsidR="00096902">
        <w:t xml:space="preserve"> </w:t>
      </w:r>
      <w:r w:rsidRPr="001628D8" w:rsidR="00EB44D0">
        <w:t xml:space="preserve">Het moet dus gaan om uitzonderlijke situaties waar het CJIB een bijzondere interventie mag toepassen, in uitzondering op de bestaande </w:t>
      </w:r>
      <w:r w:rsidRPr="001628D8" w:rsidR="00110526">
        <w:t>mogelijkheden</w:t>
      </w:r>
      <w:r w:rsidRPr="001628D8" w:rsidR="00EB44D0">
        <w:t xml:space="preserve">. Alleen dan mag het CJIB de ophogingen kwijtschelden. </w:t>
      </w:r>
    </w:p>
    <w:p w:rsidRPr="001628D8" w:rsidR="00C45537" w:rsidRDefault="00995783" w14:paraId="76E1EF2E" w14:textId="45F3039B">
      <w:r w:rsidRPr="001628D8">
        <w:t xml:space="preserve"> </w:t>
      </w:r>
    </w:p>
    <w:p w:rsidRPr="001628D8" w:rsidR="007E5734" w:rsidRDefault="00B90459" w14:paraId="7CA957D3" w14:textId="08F001D4">
      <w:r w:rsidRPr="001628D8">
        <w:t>Het uitgangspunt bij het voorgaande is</w:t>
      </w:r>
      <w:r w:rsidRPr="001628D8" w:rsidR="005A02E1">
        <w:t xml:space="preserve"> </w:t>
      </w:r>
      <w:r w:rsidRPr="001628D8" w:rsidR="007E5734">
        <w:t>dat de initiële boete</w:t>
      </w:r>
      <w:r w:rsidRPr="001628D8" w:rsidR="000121B0">
        <w:t xml:space="preserve"> (en </w:t>
      </w:r>
      <w:r w:rsidRPr="001628D8" w:rsidR="005A02E1">
        <w:t xml:space="preserve">de </w:t>
      </w:r>
      <w:r w:rsidRPr="001628D8" w:rsidR="000121B0">
        <w:t>administratiekosten)</w:t>
      </w:r>
      <w:r w:rsidRPr="001628D8" w:rsidR="00F84BB6">
        <w:t xml:space="preserve"> altijd</w:t>
      </w:r>
      <w:r w:rsidRPr="001628D8" w:rsidR="007E5734">
        <w:t xml:space="preserve"> betaald moet</w:t>
      </w:r>
      <w:r w:rsidRPr="001628D8" w:rsidR="005A02E1">
        <w:t>en</w:t>
      </w:r>
      <w:r w:rsidRPr="001628D8" w:rsidR="007E5734">
        <w:t xml:space="preserve"> worden</w:t>
      </w:r>
      <w:r w:rsidRPr="001628D8" w:rsidR="00F84BB6">
        <w:t>, al dan niet met behulp van een betalingsregeling</w:t>
      </w:r>
      <w:r w:rsidRPr="001628D8" w:rsidR="007E5734">
        <w:t>.</w:t>
      </w:r>
      <w:r w:rsidRPr="001628D8" w:rsidR="009E1E98">
        <w:t xml:space="preserve"> De boete </w:t>
      </w:r>
      <w:r w:rsidRPr="001628D8" w:rsidR="009D03A7">
        <w:t>zelf staat immers niet (meer) ter discussie.</w:t>
      </w:r>
      <w:r w:rsidRPr="001628D8" w:rsidR="00096902">
        <w:t xml:space="preserve"> Problematische schulden kunnen een rol spelen bij de beoordeling</w:t>
      </w:r>
      <w:r w:rsidRPr="001628D8" w:rsidR="009E1E98">
        <w:t xml:space="preserve"> of iemand in aanmerking komt voor kwijtschelding</w:t>
      </w:r>
      <w:r w:rsidRPr="001628D8" w:rsidR="00096902">
        <w:t xml:space="preserve">, maar </w:t>
      </w:r>
      <w:r w:rsidRPr="001628D8" w:rsidR="00096902">
        <w:rPr>
          <w:iCs/>
        </w:rPr>
        <w:t xml:space="preserve">alleen </w:t>
      </w:r>
      <w:r w:rsidRPr="001628D8" w:rsidR="00096902">
        <w:t xml:space="preserve">het hebben van schulden is – gelet op </w:t>
      </w:r>
      <w:r w:rsidRPr="001628D8" w:rsidR="00961B28">
        <w:t>de mogelijkheden d</w:t>
      </w:r>
      <w:r w:rsidRPr="001628D8">
        <w:t xml:space="preserve">ie </w:t>
      </w:r>
      <w:r w:rsidRPr="001628D8" w:rsidR="00096902">
        <w:t>het huidige instrumentarium van het CJIB</w:t>
      </w:r>
      <w:r w:rsidRPr="001628D8" w:rsidR="00961B28">
        <w:t xml:space="preserve"> voor d</w:t>
      </w:r>
      <w:r w:rsidRPr="001628D8">
        <w:t>eze</w:t>
      </w:r>
      <w:r w:rsidRPr="001628D8" w:rsidR="00961B28">
        <w:t xml:space="preserve"> groep mensen biedt</w:t>
      </w:r>
      <w:r w:rsidRPr="001628D8" w:rsidR="00096902">
        <w:t xml:space="preserve"> – niet voldoende </w:t>
      </w:r>
      <w:r w:rsidRPr="001628D8" w:rsidR="009E1E98">
        <w:t>voor kwijtschelding</w:t>
      </w:r>
      <w:r w:rsidRPr="001628D8" w:rsidR="00096902">
        <w:t>.</w:t>
      </w:r>
      <w:r w:rsidRPr="001628D8" w:rsidR="003C0E92">
        <w:t xml:space="preserve"> </w:t>
      </w:r>
      <w:r w:rsidRPr="001628D8" w:rsidR="00961B28">
        <w:t>In het geval dat sprake is van schulden</w:t>
      </w:r>
      <w:r w:rsidRPr="001628D8" w:rsidR="003C0E92">
        <w:t xml:space="preserve"> zijn immers andere instrumenten aangewezen, zoals het treffen van een draagkrachtregeling of een verwijzing naar schuldhulpverlening.</w:t>
      </w:r>
      <w:r w:rsidRPr="001628D8" w:rsidR="00EB44D0">
        <w:t xml:space="preserve"> Gelet op de hierboven beschreven voorwaarden komt </w:t>
      </w:r>
      <w:r w:rsidRPr="001628D8" w:rsidR="00214631">
        <w:t>maar</w:t>
      </w:r>
      <w:r w:rsidRPr="001628D8" w:rsidR="00EB44D0">
        <w:t xml:space="preserve"> een kleine groep in aanmerking voor kwijtschelding van de ophogingen. </w:t>
      </w:r>
      <w:r w:rsidRPr="001628D8" w:rsidR="00A85F95">
        <w:t>De verwachting is dat het</w:t>
      </w:r>
      <w:r w:rsidRPr="001628D8" w:rsidR="00EB44D0">
        <w:t xml:space="preserve"> </w:t>
      </w:r>
      <w:r w:rsidRPr="001628D8" w:rsidR="00B909AC">
        <w:t xml:space="preserve">om ongeveer </w:t>
      </w:r>
      <w:r w:rsidRPr="001628D8" w:rsidR="00EB44D0">
        <w:t xml:space="preserve">500 tot </w:t>
      </w:r>
      <w:r w:rsidRPr="001628D8" w:rsidR="00B909AC">
        <w:t>1.500 personen op jaarbasis</w:t>
      </w:r>
      <w:r w:rsidRPr="001628D8" w:rsidR="00D1589D">
        <w:t xml:space="preserve"> zal gaan</w:t>
      </w:r>
      <w:r w:rsidRPr="001628D8" w:rsidR="00EB44D0">
        <w:t>.</w:t>
      </w:r>
      <w:r w:rsidRPr="001628D8" w:rsidR="00D1589D">
        <w:t xml:space="preserve"> </w:t>
      </w:r>
    </w:p>
    <w:p w:rsidRPr="001628D8" w:rsidR="007E5734" w:rsidRDefault="007E5734" w14:paraId="6943B583" w14:textId="77777777"/>
    <w:p w:rsidRPr="001628D8" w:rsidR="00F16AE3" w:rsidRDefault="007E5734" w14:paraId="50614840" w14:textId="06A5A219">
      <w:r w:rsidRPr="001628D8">
        <w:t>In onze vorige Kamerbrief hebben we aangegeven ernaar te streven in juni van dit jaar te starten met kwijtschelding.</w:t>
      </w:r>
      <w:r w:rsidRPr="001628D8" w:rsidR="006D00F7">
        <w:t xml:space="preserve"> De middelen die nodig zijn voor 2025 worden gedekt binnen de JenV-begroting. </w:t>
      </w:r>
      <w:r w:rsidRPr="001628D8" w:rsidR="00B31D8F">
        <w:t xml:space="preserve">Vanaf juni kunnen mensen </w:t>
      </w:r>
      <w:r w:rsidRPr="001628D8" w:rsidR="006D00F7">
        <w:t xml:space="preserve">dan ook </w:t>
      </w:r>
      <w:r w:rsidRPr="001628D8" w:rsidR="00B31D8F">
        <w:t>een verzoek om kwijtschelding voor de ophogingen bij nog niet volledig betaalde Wahv-boetes</w:t>
      </w:r>
      <w:r w:rsidRPr="001628D8" w:rsidR="00D1589D">
        <w:t xml:space="preserve"> indienen bij het CJIB</w:t>
      </w:r>
      <w:r w:rsidRPr="001628D8" w:rsidR="00B31D8F">
        <w:t xml:space="preserve">. </w:t>
      </w:r>
      <w:r w:rsidRPr="001628D8" w:rsidR="00BA1625">
        <w:t>Het CJIB kan</w:t>
      </w:r>
      <w:r w:rsidRPr="001628D8" w:rsidR="00B31D8F">
        <w:t xml:space="preserve"> straks</w:t>
      </w:r>
      <w:r w:rsidRPr="001628D8" w:rsidR="009D03A7">
        <w:t xml:space="preserve"> op basis van door de betrokkene verstrekte informatie</w:t>
      </w:r>
      <w:r w:rsidRPr="001628D8" w:rsidR="00BA1625">
        <w:t xml:space="preserve"> </w:t>
      </w:r>
      <w:r w:rsidRPr="001628D8" w:rsidR="00214631">
        <w:t xml:space="preserve">ook </w:t>
      </w:r>
      <w:r w:rsidRPr="001628D8" w:rsidR="00BA1625">
        <w:t xml:space="preserve">ambtshalve beslissen de ophogingen kwijt te schelden indien </w:t>
      </w:r>
      <w:r w:rsidRPr="001628D8" w:rsidR="00214631">
        <w:t>daar gegronde redenen voor zijn</w:t>
      </w:r>
      <w:r w:rsidRPr="001628D8" w:rsidR="00DA0E95">
        <w:t>.</w:t>
      </w:r>
      <w:r w:rsidRPr="001628D8" w:rsidR="00385EF2">
        <w:t xml:space="preserve"> </w:t>
      </w:r>
      <w:r w:rsidRPr="001628D8" w:rsidR="001561F3">
        <w:t>Voor Wahv-boetes en ophogingen die reeds volledig zijn betaald, kan geen kwijtschelding worden gevraagd.</w:t>
      </w:r>
      <w:r w:rsidRPr="001628D8" w:rsidR="00111924">
        <w:t xml:space="preserve"> </w:t>
      </w:r>
    </w:p>
    <w:p w:rsidRPr="001628D8" w:rsidR="00F16AE3" w:rsidRDefault="00F16AE3" w14:paraId="6DEB7480" w14:textId="77777777"/>
    <w:p w:rsidRPr="001628D8" w:rsidR="00995783" w:rsidRDefault="00684877" w14:paraId="0CD40B48" w14:textId="5F2CAF4B">
      <w:r w:rsidRPr="001628D8">
        <w:t xml:space="preserve">Om de minister en daarmee het CJIB de bevoegdheid te geven de ophogingen bij Wahv-boetes kwijt te kunnen schelden is een wetswijziging nodig. </w:t>
      </w:r>
      <w:r w:rsidRPr="001628D8" w:rsidR="00AF0AE6">
        <w:t xml:space="preserve">Omdat de </w:t>
      </w:r>
      <w:r w:rsidRPr="001628D8" w:rsidR="00B23CC3">
        <w:t xml:space="preserve">wijziging </w:t>
      </w:r>
      <w:r w:rsidRPr="001628D8" w:rsidR="00A56F85">
        <w:t>van de Wahv</w:t>
      </w:r>
      <w:r w:rsidRPr="001628D8" w:rsidR="00AF0AE6">
        <w:t xml:space="preserve"> in juni nog niet gereed</w:t>
      </w:r>
      <w:r w:rsidRPr="001628D8" w:rsidR="00B16A01">
        <w:t xml:space="preserve"> zal zijn</w:t>
      </w:r>
      <w:r w:rsidRPr="001628D8" w:rsidR="00AF0AE6">
        <w:t>,</w:t>
      </w:r>
      <w:r w:rsidRPr="001628D8" w:rsidR="00214631">
        <w:t xml:space="preserve"> zal het CJIB een beoordelingskader gebruiken bij de beoordeling tot kwijtschelding. Gelet</w:t>
      </w:r>
      <w:r w:rsidRPr="001628D8" w:rsidR="00236B43">
        <w:t xml:space="preserve"> op artikel 22 </w:t>
      </w:r>
      <w:r w:rsidRPr="001628D8" w:rsidR="009805F5">
        <w:t>eerste en vierde lid</w:t>
      </w:r>
      <w:r w:rsidRPr="001628D8" w:rsidR="00236B43">
        <w:t xml:space="preserve"> van de Wahv </w:t>
      </w:r>
      <w:r w:rsidRPr="001628D8" w:rsidR="00214631">
        <w:t xml:space="preserve">hanteert </w:t>
      </w:r>
      <w:r w:rsidRPr="001628D8" w:rsidR="00236B43">
        <w:t xml:space="preserve">het CJIB in afstemming met het openbaar ministerie </w:t>
      </w:r>
      <w:r w:rsidRPr="001628D8" w:rsidR="00214631">
        <w:t>dit kader</w:t>
      </w:r>
      <w:r w:rsidRPr="001628D8" w:rsidR="00B16A01">
        <w:t xml:space="preserve">. Het CJIB kan </w:t>
      </w:r>
      <w:r w:rsidRPr="001628D8" w:rsidR="00214631">
        <w:t xml:space="preserve">het </w:t>
      </w:r>
      <w:r w:rsidRPr="001628D8" w:rsidR="00B16A01">
        <w:t xml:space="preserve">kader gebruiken bij de beoordeling </w:t>
      </w:r>
      <w:r w:rsidRPr="001628D8" w:rsidR="00B90459">
        <w:t xml:space="preserve">van </w:t>
      </w:r>
      <w:r w:rsidRPr="001628D8" w:rsidR="00B31D8F">
        <w:t>het beëindigen van de inning van de ophogingen</w:t>
      </w:r>
      <w:r w:rsidRPr="001628D8" w:rsidR="00214631">
        <w:t>.</w:t>
      </w:r>
      <w:r w:rsidRPr="001628D8" w:rsidR="00236B43">
        <w:t xml:space="preserve"> </w:t>
      </w:r>
      <w:r w:rsidRPr="001628D8" w:rsidR="007E5734">
        <w:t>Met deze interim-maatregel kan</w:t>
      </w:r>
      <w:r w:rsidRPr="001628D8" w:rsidR="00B16A01">
        <w:t xml:space="preserve"> vooruitlopend op wetswijziging</w:t>
      </w:r>
      <w:r w:rsidRPr="001628D8" w:rsidR="007E5734">
        <w:t xml:space="preserve"> ervaring worden opgedaan met de regeling. Zo k</w:t>
      </w:r>
      <w:r w:rsidRPr="001628D8" w:rsidR="00961B28">
        <w:t>an</w:t>
      </w:r>
      <w:r w:rsidRPr="001628D8" w:rsidR="007E5734">
        <w:t xml:space="preserve"> zo snel mogelijk </w:t>
      </w:r>
      <w:r w:rsidRPr="001628D8" w:rsidR="00961B28">
        <w:t xml:space="preserve">kwijtschelding </w:t>
      </w:r>
      <w:r w:rsidRPr="001628D8" w:rsidR="007E5734">
        <w:t xml:space="preserve">worden </w:t>
      </w:r>
      <w:r w:rsidRPr="001628D8" w:rsidR="00961B28">
        <w:t>verleend</w:t>
      </w:r>
      <w:r w:rsidRPr="001628D8" w:rsidR="007E5734">
        <w:t xml:space="preserve"> aan mensen die </w:t>
      </w:r>
      <w:r w:rsidRPr="001628D8" w:rsidR="00B31D8F">
        <w:t>te maken hebben met</w:t>
      </w:r>
      <w:r w:rsidRPr="001628D8" w:rsidR="007E5734">
        <w:t xml:space="preserve"> een samenloop van verschillende </w:t>
      </w:r>
      <w:r w:rsidRPr="001628D8" w:rsidR="001268CC">
        <w:t xml:space="preserve">problematische </w:t>
      </w:r>
      <w:r w:rsidRPr="001628D8" w:rsidR="007E5734">
        <w:t>omstandigheden</w:t>
      </w:r>
      <w:r w:rsidRPr="001628D8" w:rsidR="001463C2">
        <w:t xml:space="preserve"> of overmacht</w:t>
      </w:r>
      <w:r w:rsidRPr="001628D8" w:rsidR="007E5734">
        <w:t xml:space="preserve"> </w:t>
      </w:r>
      <w:r w:rsidRPr="001628D8" w:rsidR="00B31D8F">
        <w:t>bij het betalen van ophogingen bij Wahv-boetes</w:t>
      </w:r>
      <w:r w:rsidRPr="001628D8" w:rsidR="007E5734">
        <w:t>.</w:t>
      </w:r>
      <w:r w:rsidRPr="001628D8" w:rsidR="00EB44D0">
        <w:t xml:space="preserve"> Op de website van het CJIB zal</w:t>
      </w:r>
      <w:r w:rsidRPr="001628D8" w:rsidR="00B31D8F">
        <w:t xml:space="preserve"> straks</w:t>
      </w:r>
      <w:r w:rsidRPr="001628D8" w:rsidR="00EB44D0">
        <w:t xml:space="preserve"> informatie</w:t>
      </w:r>
      <w:r w:rsidRPr="001628D8" w:rsidR="00B23CC3">
        <w:t xml:space="preserve"> </w:t>
      </w:r>
      <w:r w:rsidRPr="001628D8" w:rsidR="00EB44D0">
        <w:t xml:space="preserve">te vinden zijn </w:t>
      </w:r>
      <w:r w:rsidRPr="001628D8" w:rsidR="00C415F4">
        <w:t xml:space="preserve">over de mogelijkheden voor kwijtschelding van de ophogingen en hoe </w:t>
      </w:r>
      <w:r w:rsidRPr="001628D8" w:rsidR="00B23CC3">
        <w:t xml:space="preserve">een verzoek hiertoe kan worden ingediend. </w:t>
      </w:r>
      <w:r w:rsidRPr="001628D8" w:rsidR="00C415F4">
        <w:t xml:space="preserve"> </w:t>
      </w:r>
    </w:p>
    <w:p w:rsidRPr="001628D8" w:rsidR="00361B38" w:rsidRDefault="00361B38" w14:paraId="3F2BD4FF" w14:textId="77777777"/>
    <w:p w:rsidRPr="001628D8" w:rsidR="00C45537" w:rsidRDefault="0024276E" w14:paraId="332F9B87" w14:textId="695B2223">
      <w:pPr>
        <w:rPr>
          <w:i/>
          <w:iCs/>
        </w:rPr>
      </w:pPr>
      <w:r w:rsidRPr="001628D8">
        <w:rPr>
          <w:i/>
          <w:iCs/>
        </w:rPr>
        <w:t xml:space="preserve">(iii) </w:t>
      </w:r>
      <w:r w:rsidRPr="001628D8" w:rsidR="00C45537">
        <w:rPr>
          <w:i/>
          <w:iCs/>
        </w:rPr>
        <w:t>Uitwerking motie Palmen</w:t>
      </w:r>
    </w:p>
    <w:p w:rsidRPr="001628D8" w:rsidR="00850E08" w:rsidP="00CB5C4E" w:rsidRDefault="00850E08" w14:paraId="544B3D9A" w14:textId="3FBE13F9">
      <w:r w:rsidRPr="001628D8">
        <w:t xml:space="preserve">Op </w:t>
      </w:r>
      <w:r w:rsidRPr="001628D8" w:rsidR="00D13E83">
        <w:t>8 oktober jl.</w:t>
      </w:r>
      <w:r w:rsidRPr="001628D8">
        <w:t xml:space="preserve"> heeft uw Kamer de motie van het lid Palmen (NSC) aangenomen waarin de regering wordt verzocht in kaart te brengen hoe een verlaging van de ophogingenpercentages bij </w:t>
      </w:r>
      <w:r w:rsidRPr="001628D8" w:rsidR="00B01B15">
        <w:t>Wahv-boetes</w:t>
      </w:r>
      <w:r w:rsidRPr="001628D8">
        <w:t xml:space="preserve"> vorm kan krijgen en welke kosten hiermee gepaard gaan.</w:t>
      </w:r>
      <w:r w:rsidRPr="001628D8" w:rsidR="00D1589D">
        <w:t xml:space="preserve"> </w:t>
      </w:r>
      <w:r w:rsidRPr="001628D8" w:rsidR="004E5ADC">
        <w:t>Ook het CJIB heeft in zijn Stand van de Uitvoering 2023 aandacht gevraagd voor de ophogingenpercentages bij Wahv-boetes.</w:t>
      </w:r>
    </w:p>
    <w:p w:rsidRPr="001628D8" w:rsidR="00D1589D" w:rsidP="00CB5C4E" w:rsidRDefault="00850E08" w14:paraId="72C33A8D" w14:textId="61D562D2">
      <w:r w:rsidRPr="001628D8">
        <w:t xml:space="preserve"> </w:t>
      </w:r>
    </w:p>
    <w:p w:rsidRPr="001628D8" w:rsidR="00D1589D" w:rsidP="00CB5C4E" w:rsidRDefault="00D1589D" w14:paraId="6EA89FD5" w14:textId="0DA25CE8">
      <w:r w:rsidRPr="001628D8">
        <w:t>Bij een verlaging van de ophogingenpercentages zijn verschillende opties denkbaar. Zo kan de eerste ophoging worden verlaagd</w:t>
      </w:r>
      <w:r w:rsidRPr="001628D8" w:rsidR="00342D5B">
        <w:t>,</w:t>
      </w:r>
      <w:r w:rsidRPr="001628D8">
        <w:t xml:space="preserve"> de tweede ophoging of beide. Ook kunnen de ophogingenpercentages </w:t>
      </w:r>
      <w:r w:rsidRPr="001628D8" w:rsidR="00342D5B">
        <w:t xml:space="preserve">op verschillende wijze </w:t>
      </w:r>
      <w:r w:rsidRPr="001628D8">
        <w:t>aangepast worden</w:t>
      </w:r>
      <w:r w:rsidRPr="001628D8" w:rsidR="00342D5B">
        <w:t>, bijvoorbeeld</w:t>
      </w:r>
      <w:r w:rsidRPr="001628D8">
        <w:t xml:space="preserve"> naar de percentages zoals deze tot 2011 golden, te weten een eerste ophoging van 25% en een tweede ophoging van 50%. Een andere mogelijkheid is aansluiting bij de verhogingssystematiek voor strafrechtelijke geldelijke sancties. Het CJIB heeft op ons verzoek </w:t>
      </w:r>
      <w:r w:rsidRPr="001628D8" w:rsidR="00214631">
        <w:t xml:space="preserve">verschillende </w:t>
      </w:r>
      <w:r w:rsidRPr="001628D8">
        <w:t xml:space="preserve">opties doorgerekend. </w:t>
      </w:r>
    </w:p>
    <w:p w:rsidRPr="001628D8" w:rsidR="00342D5B" w:rsidP="00CB5C4E" w:rsidRDefault="00342D5B" w14:paraId="7E4D0216" w14:textId="77777777"/>
    <w:p w:rsidRPr="001628D8" w:rsidR="00D1589D" w:rsidP="00CB5C4E" w:rsidRDefault="00D1589D" w14:paraId="24344244" w14:textId="431C6174">
      <w:r w:rsidRPr="001628D8">
        <w:t xml:space="preserve">In de tabel hieronder zijn de verschillende opties schematisch weergegeven, inclusief de verminderde ontvangsten die </w:t>
      </w:r>
      <w:r w:rsidRPr="001628D8" w:rsidR="00214631">
        <w:t>daarmee gepaard gaan</w:t>
      </w:r>
      <w:r w:rsidRPr="001628D8">
        <w:t>. De weergegeven bedragen zijn exclusief de structurele en incidentele implementatiekosten.</w:t>
      </w:r>
    </w:p>
    <w:p w:rsidRPr="001628D8" w:rsidR="00850E08" w:rsidP="00CB5C4E" w:rsidRDefault="00850E08" w14:paraId="2FC1452B" w14:textId="77777777"/>
    <w:tbl>
      <w:tblPr>
        <w:tblStyle w:val="Rastertabel4-Accent4"/>
        <w:tblW w:w="7618" w:type="dxa"/>
        <w:tblLook w:val="04A0" w:firstRow="1" w:lastRow="0" w:firstColumn="1" w:lastColumn="0" w:noHBand="0" w:noVBand="1"/>
      </w:tblPr>
      <w:tblGrid>
        <w:gridCol w:w="4910"/>
        <w:gridCol w:w="2708"/>
      </w:tblGrid>
      <w:tr w:rsidRPr="001628D8" w:rsidR="00850E08" w:rsidTr="00781D49" w14:paraId="5992179C" w14:textId="77777777">
        <w:trPr>
          <w:cnfStyle w:val="100000000000" w:firstRow="1" w:lastRow="0" w:firstColumn="0" w:lastColumn="0" w:oddVBand="0" w:evenVBand="0" w:oddHBand="0"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4910" w:type="dxa"/>
          </w:tcPr>
          <w:p w:rsidRPr="001628D8" w:rsidR="00850E08" w:rsidP="00CB5C4E" w:rsidRDefault="00850E08" w14:paraId="75E7EB27" w14:textId="3ED930C4">
            <w:pPr>
              <w:rPr>
                <w:b w:val="0"/>
                <w:bCs w:val="0"/>
                <w:sz w:val="16"/>
                <w:szCs w:val="16"/>
              </w:rPr>
            </w:pPr>
            <w:r w:rsidRPr="001628D8">
              <w:rPr>
                <w:sz w:val="16"/>
                <w:szCs w:val="16"/>
              </w:rPr>
              <w:t>Scenario’s verlaging ophogingenpercentages</w:t>
            </w:r>
          </w:p>
        </w:tc>
        <w:tc>
          <w:tcPr>
            <w:tcW w:w="2708" w:type="dxa"/>
          </w:tcPr>
          <w:p w:rsidRPr="001628D8" w:rsidR="00850E08" w:rsidP="00CB5C4E" w:rsidRDefault="00850E08" w14:paraId="5D351C78" w14:textId="4F0CFA0A">
            <w:pP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628D8">
              <w:rPr>
                <w:sz w:val="16"/>
                <w:szCs w:val="16"/>
              </w:rPr>
              <w:t>Schatting verminderde ontvangsten (in miljoenen euro’s per jaar)</w:t>
            </w:r>
          </w:p>
        </w:tc>
      </w:tr>
      <w:tr w:rsidRPr="001628D8" w:rsidR="00850E08" w:rsidTr="00C239A1" w14:paraId="2512E736"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4910" w:type="dxa"/>
          </w:tcPr>
          <w:p w:rsidRPr="001628D8" w:rsidR="00850E08" w:rsidP="00CB5C4E" w:rsidRDefault="00850E08" w14:paraId="568AC034" w14:textId="6C832014">
            <w:pPr>
              <w:rPr>
                <w:sz w:val="16"/>
                <w:szCs w:val="16"/>
              </w:rPr>
            </w:pPr>
            <w:r w:rsidRPr="001628D8">
              <w:rPr>
                <w:sz w:val="16"/>
                <w:szCs w:val="16"/>
              </w:rPr>
              <w:t>50% - 100% (huidige percentages)</w:t>
            </w:r>
          </w:p>
        </w:tc>
        <w:tc>
          <w:tcPr>
            <w:tcW w:w="2708" w:type="dxa"/>
          </w:tcPr>
          <w:p w:rsidRPr="001628D8" w:rsidR="00850E08" w:rsidP="00CB5C4E" w:rsidRDefault="00850E08" w14:paraId="23FC6747" w14:textId="7D728A43">
            <w:pPr>
              <w:cnfStyle w:val="000000100000" w:firstRow="0" w:lastRow="0" w:firstColumn="0" w:lastColumn="0" w:oddVBand="0" w:evenVBand="0" w:oddHBand="1" w:evenHBand="0" w:firstRowFirstColumn="0" w:firstRowLastColumn="0" w:lastRowFirstColumn="0" w:lastRowLastColumn="0"/>
              <w:rPr>
                <w:b/>
                <w:bCs/>
                <w:sz w:val="16"/>
                <w:szCs w:val="16"/>
              </w:rPr>
            </w:pPr>
            <w:r w:rsidRPr="001628D8">
              <w:rPr>
                <w:b/>
                <w:bCs/>
                <w:sz w:val="16"/>
                <w:szCs w:val="16"/>
              </w:rPr>
              <w:t>-</w:t>
            </w:r>
          </w:p>
        </w:tc>
      </w:tr>
      <w:tr w:rsidRPr="001628D8" w:rsidR="00850E08" w:rsidTr="00C239A1" w14:paraId="59DFB6C9" w14:textId="77777777">
        <w:trPr>
          <w:trHeight w:val="243"/>
        </w:trPr>
        <w:tc>
          <w:tcPr>
            <w:cnfStyle w:val="001000000000" w:firstRow="0" w:lastRow="0" w:firstColumn="1" w:lastColumn="0" w:oddVBand="0" w:evenVBand="0" w:oddHBand="0" w:evenHBand="0" w:firstRowFirstColumn="0" w:firstRowLastColumn="0" w:lastRowFirstColumn="0" w:lastRowLastColumn="0"/>
            <w:tcW w:w="4910" w:type="dxa"/>
          </w:tcPr>
          <w:p w:rsidRPr="001628D8" w:rsidR="00850E08" w:rsidP="00850E08" w:rsidRDefault="00850E08" w14:paraId="54A0AAB7" w14:textId="1D7B5820">
            <w:r w:rsidRPr="001628D8">
              <w:rPr>
                <w:sz w:val="16"/>
                <w:szCs w:val="16"/>
              </w:rPr>
              <w:t>50% - 75%</w:t>
            </w:r>
          </w:p>
        </w:tc>
        <w:tc>
          <w:tcPr>
            <w:tcW w:w="2708" w:type="dxa"/>
          </w:tcPr>
          <w:p w:rsidRPr="001628D8" w:rsidR="00850E08" w:rsidP="00850E08" w:rsidRDefault="00850E08" w14:paraId="32C20FAA" w14:textId="1FF09141">
            <w:pPr>
              <w:cnfStyle w:val="000000000000" w:firstRow="0" w:lastRow="0" w:firstColumn="0" w:lastColumn="0" w:oddVBand="0" w:evenVBand="0" w:oddHBand="0" w:evenHBand="0" w:firstRowFirstColumn="0" w:firstRowLastColumn="0" w:lastRowFirstColumn="0" w:lastRowLastColumn="0"/>
            </w:pPr>
            <w:r w:rsidRPr="001628D8">
              <w:rPr>
                <w:spacing w:val="-6"/>
                <w:sz w:val="16"/>
                <w:szCs w:val="16"/>
              </w:rPr>
              <w:t>12</w:t>
            </w:r>
          </w:p>
        </w:tc>
      </w:tr>
      <w:tr w:rsidRPr="001628D8" w:rsidR="00214631" w:rsidTr="00C239A1" w14:paraId="0EB18F0D" w14:textId="7777777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4910" w:type="dxa"/>
          </w:tcPr>
          <w:p w:rsidRPr="001628D8" w:rsidR="00214631" w:rsidP="00214631" w:rsidRDefault="00214631" w14:paraId="5CFBC1C1" w14:textId="284DF8E6">
            <w:pPr>
              <w:rPr>
                <w:sz w:val="16"/>
                <w:szCs w:val="16"/>
              </w:rPr>
            </w:pPr>
            <w:r w:rsidRPr="001628D8">
              <w:rPr>
                <w:sz w:val="16"/>
                <w:szCs w:val="16"/>
              </w:rPr>
              <w:t>35% - 100%</w:t>
            </w:r>
          </w:p>
        </w:tc>
        <w:tc>
          <w:tcPr>
            <w:tcW w:w="2708" w:type="dxa"/>
          </w:tcPr>
          <w:p w:rsidRPr="001628D8" w:rsidR="00214631" w:rsidP="00214631" w:rsidRDefault="00214631" w14:paraId="4144FD2D" w14:textId="5252564A">
            <w:pPr>
              <w:cnfStyle w:val="000000100000" w:firstRow="0" w:lastRow="0" w:firstColumn="0" w:lastColumn="0" w:oddVBand="0" w:evenVBand="0" w:oddHBand="1" w:evenHBand="0" w:firstRowFirstColumn="0" w:firstRowLastColumn="0" w:lastRowFirstColumn="0" w:lastRowLastColumn="0"/>
              <w:rPr>
                <w:spacing w:val="-6"/>
                <w:sz w:val="16"/>
                <w:szCs w:val="16"/>
              </w:rPr>
            </w:pPr>
            <w:r w:rsidRPr="001628D8">
              <w:rPr>
                <w:spacing w:val="-6"/>
                <w:sz w:val="16"/>
                <w:szCs w:val="16"/>
              </w:rPr>
              <w:t>16</w:t>
            </w:r>
          </w:p>
        </w:tc>
      </w:tr>
      <w:tr w:rsidRPr="001628D8" w:rsidR="00214631" w:rsidTr="00C239A1" w14:paraId="33C2080F" w14:textId="77777777">
        <w:trPr>
          <w:trHeight w:val="243"/>
        </w:trPr>
        <w:tc>
          <w:tcPr>
            <w:cnfStyle w:val="001000000000" w:firstRow="0" w:lastRow="0" w:firstColumn="1" w:lastColumn="0" w:oddVBand="0" w:evenVBand="0" w:oddHBand="0" w:evenHBand="0" w:firstRowFirstColumn="0" w:firstRowLastColumn="0" w:lastRowFirstColumn="0" w:lastRowLastColumn="0"/>
            <w:tcW w:w="4910" w:type="dxa"/>
          </w:tcPr>
          <w:p w:rsidRPr="001628D8" w:rsidR="00214631" w:rsidP="00214631" w:rsidRDefault="00214631" w14:paraId="22062E4F" w14:textId="2D445722">
            <w:pPr>
              <w:rPr>
                <w:sz w:val="16"/>
                <w:szCs w:val="16"/>
              </w:rPr>
            </w:pPr>
            <w:r w:rsidRPr="001628D8">
              <w:rPr>
                <w:sz w:val="16"/>
                <w:szCs w:val="16"/>
              </w:rPr>
              <w:t>40% - 80%</w:t>
            </w:r>
          </w:p>
        </w:tc>
        <w:tc>
          <w:tcPr>
            <w:tcW w:w="2708" w:type="dxa"/>
          </w:tcPr>
          <w:p w:rsidRPr="001628D8" w:rsidR="00214631" w:rsidP="00214631" w:rsidRDefault="00214631" w14:paraId="622B5753" w14:textId="31CF779D">
            <w:pPr>
              <w:cnfStyle w:val="000000000000" w:firstRow="0" w:lastRow="0" w:firstColumn="0" w:lastColumn="0" w:oddVBand="0" w:evenVBand="0" w:oddHBand="0" w:evenHBand="0" w:firstRowFirstColumn="0" w:firstRowLastColumn="0" w:lastRowFirstColumn="0" w:lastRowLastColumn="0"/>
              <w:rPr>
                <w:spacing w:val="-6"/>
                <w:sz w:val="16"/>
                <w:szCs w:val="16"/>
              </w:rPr>
            </w:pPr>
            <w:r w:rsidRPr="001628D8">
              <w:rPr>
                <w:spacing w:val="-6"/>
                <w:sz w:val="16"/>
                <w:szCs w:val="16"/>
              </w:rPr>
              <w:t>19</w:t>
            </w:r>
          </w:p>
        </w:tc>
      </w:tr>
      <w:tr w:rsidRPr="001628D8" w:rsidR="00214631" w:rsidTr="00C239A1" w14:paraId="29BE06AB" w14:textId="7777777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4910" w:type="dxa"/>
          </w:tcPr>
          <w:p w:rsidRPr="001628D8" w:rsidR="00214631" w:rsidP="00214631" w:rsidRDefault="00214631" w14:paraId="2823D21F" w14:textId="35DA6CE5">
            <w:pPr>
              <w:rPr>
                <w:sz w:val="16"/>
                <w:szCs w:val="16"/>
              </w:rPr>
            </w:pPr>
            <w:r w:rsidRPr="001628D8">
              <w:rPr>
                <w:sz w:val="16"/>
                <w:szCs w:val="16"/>
              </w:rPr>
              <w:t>30%- 100%</w:t>
            </w:r>
          </w:p>
        </w:tc>
        <w:tc>
          <w:tcPr>
            <w:tcW w:w="2708" w:type="dxa"/>
          </w:tcPr>
          <w:p w:rsidRPr="001628D8" w:rsidR="00214631" w:rsidP="00214631" w:rsidRDefault="00214631" w14:paraId="0140B074" w14:textId="179052F4">
            <w:pPr>
              <w:cnfStyle w:val="000000100000" w:firstRow="0" w:lastRow="0" w:firstColumn="0" w:lastColumn="0" w:oddVBand="0" w:evenVBand="0" w:oddHBand="1" w:evenHBand="0" w:firstRowFirstColumn="0" w:firstRowLastColumn="0" w:lastRowFirstColumn="0" w:lastRowLastColumn="0"/>
              <w:rPr>
                <w:spacing w:val="-6"/>
                <w:sz w:val="16"/>
                <w:szCs w:val="16"/>
              </w:rPr>
            </w:pPr>
            <w:r w:rsidRPr="001628D8">
              <w:rPr>
                <w:spacing w:val="-6"/>
                <w:sz w:val="16"/>
                <w:szCs w:val="16"/>
              </w:rPr>
              <w:t>22</w:t>
            </w:r>
          </w:p>
        </w:tc>
      </w:tr>
      <w:tr w:rsidRPr="001628D8" w:rsidR="00850E08" w:rsidTr="00C239A1" w14:paraId="0EE889F5" w14:textId="77777777">
        <w:trPr>
          <w:trHeight w:val="243"/>
        </w:trPr>
        <w:tc>
          <w:tcPr>
            <w:cnfStyle w:val="001000000000" w:firstRow="0" w:lastRow="0" w:firstColumn="1" w:lastColumn="0" w:oddVBand="0" w:evenVBand="0" w:oddHBand="0" w:evenHBand="0" w:firstRowFirstColumn="0" w:firstRowLastColumn="0" w:lastRowFirstColumn="0" w:lastRowLastColumn="0"/>
            <w:tcW w:w="4910" w:type="dxa"/>
          </w:tcPr>
          <w:p w:rsidRPr="001628D8" w:rsidR="00850E08" w:rsidP="00850E08" w:rsidRDefault="00850E08" w14:paraId="7674288A" w14:textId="6B0124FB">
            <w:r w:rsidRPr="001628D8">
              <w:rPr>
                <w:sz w:val="16"/>
                <w:szCs w:val="16"/>
              </w:rPr>
              <w:t>25% -100%</w:t>
            </w:r>
          </w:p>
        </w:tc>
        <w:tc>
          <w:tcPr>
            <w:tcW w:w="2708" w:type="dxa"/>
          </w:tcPr>
          <w:p w:rsidRPr="001628D8" w:rsidR="00850E08" w:rsidP="00850E08" w:rsidRDefault="00850E08" w14:paraId="61442912" w14:textId="25F49E22">
            <w:pPr>
              <w:cnfStyle w:val="000000000000" w:firstRow="0" w:lastRow="0" w:firstColumn="0" w:lastColumn="0" w:oddVBand="0" w:evenVBand="0" w:oddHBand="0" w:evenHBand="0" w:firstRowFirstColumn="0" w:firstRowLastColumn="0" w:lastRowFirstColumn="0" w:lastRowLastColumn="0"/>
            </w:pPr>
            <w:r w:rsidRPr="001628D8">
              <w:rPr>
                <w:spacing w:val="-6"/>
                <w:sz w:val="16"/>
                <w:szCs w:val="16"/>
              </w:rPr>
              <w:t>27</w:t>
            </w:r>
          </w:p>
        </w:tc>
      </w:tr>
      <w:tr w:rsidRPr="001628D8" w:rsidR="00850E08" w:rsidTr="00C239A1" w14:paraId="0C9E7AF9" w14:textId="77777777">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4910" w:type="dxa"/>
          </w:tcPr>
          <w:p w:rsidRPr="001628D8" w:rsidR="00850E08" w:rsidP="00850E08" w:rsidRDefault="00850E08" w14:paraId="356CD44E" w14:textId="60FAF731">
            <w:pPr>
              <w:pStyle w:val="TableParagraph"/>
              <w:kinsoku w:val="0"/>
              <w:overflowPunct w:val="0"/>
              <w:ind w:left="0"/>
              <w:rPr>
                <w:sz w:val="16"/>
                <w:szCs w:val="16"/>
              </w:rPr>
            </w:pPr>
            <w:r w:rsidRPr="001628D8">
              <w:rPr>
                <w:sz w:val="16"/>
                <w:szCs w:val="16"/>
              </w:rPr>
              <w:t>25% - 50% (ophogingenpercentages tot 2011)</w:t>
            </w:r>
          </w:p>
        </w:tc>
        <w:tc>
          <w:tcPr>
            <w:tcW w:w="2708" w:type="dxa"/>
          </w:tcPr>
          <w:p w:rsidRPr="001628D8" w:rsidR="00850E08" w:rsidP="00850E08" w:rsidRDefault="00850E08" w14:paraId="2B19820A" w14:textId="7ABD32A8">
            <w:pPr>
              <w:cnfStyle w:val="000000100000" w:firstRow="0" w:lastRow="0" w:firstColumn="0" w:lastColumn="0" w:oddVBand="0" w:evenVBand="0" w:oddHBand="1" w:evenHBand="0" w:firstRowFirstColumn="0" w:firstRowLastColumn="0" w:lastRowFirstColumn="0" w:lastRowLastColumn="0"/>
              <w:rPr>
                <w:spacing w:val="-6"/>
                <w:sz w:val="16"/>
                <w:szCs w:val="16"/>
              </w:rPr>
            </w:pPr>
            <w:r w:rsidRPr="001628D8">
              <w:rPr>
                <w:spacing w:val="-6"/>
                <w:sz w:val="16"/>
                <w:szCs w:val="16"/>
              </w:rPr>
              <w:t>46</w:t>
            </w:r>
          </w:p>
        </w:tc>
      </w:tr>
      <w:tr w:rsidRPr="001628D8" w:rsidR="00850E08" w:rsidTr="00C239A1" w14:paraId="77A0D35F" w14:textId="77777777">
        <w:trPr>
          <w:trHeight w:val="339"/>
        </w:trPr>
        <w:tc>
          <w:tcPr>
            <w:cnfStyle w:val="001000000000" w:firstRow="0" w:lastRow="0" w:firstColumn="1" w:lastColumn="0" w:oddVBand="0" w:evenVBand="0" w:oddHBand="0" w:evenHBand="0" w:firstRowFirstColumn="0" w:firstRowLastColumn="0" w:lastRowFirstColumn="0" w:lastRowLastColumn="0"/>
            <w:tcW w:w="4910" w:type="dxa"/>
          </w:tcPr>
          <w:p w:rsidRPr="001628D8" w:rsidR="00850E08" w:rsidP="00850E08" w:rsidRDefault="00850E08" w14:paraId="117D4C8F" w14:textId="1D435650">
            <w:pPr>
              <w:pStyle w:val="TableParagraph"/>
              <w:kinsoku w:val="0"/>
              <w:overflowPunct w:val="0"/>
              <w:ind w:left="0"/>
              <w:rPr>
                <w:sz w:val="16"/>
                <w:szCs w:val="16"/>
              </w:rPr>
            </w:pPr>
            <w:r w:rsidRPr="001628D8">
              <w:rPr>
                <w:sz w:val="16"/>
                <w:szCs w:val="16"/>
              </w:rPr>
              <w:t>€ 20 – 20% van het openstaande bedrag (conform stelsel Wetboek van Strafvordering)</w:t>
            </w:r>
          </w:p>
        </w:tc>
        <w:tc>
          <w:tcPr>
            <w:tcW w:w="2708" w:type="dxa"/>
          </w:tcPr>
          <w:p w:rsidRPr="001628D8" w:rsidR="00850E08" w:rsidP="00850E08" w:rsidRDefault="00850E08" w14:paraId="0EEEBBA1" w14:textId="5C827EC6">
            <w:pPr>
              <w:cnfStyle w:val="000000000000" w:firstRow="0" w:lastRow="0" w:firstColumn="0" w:lastColumn="0" w:oddVBand="0" w:evenVBand="0" w:oddHBand="0" w:evenHBand="0" w:firstRowFirstColumn="0" w:firstRowLastColumn="0" w:lastRowFirstColumn="0" w:lastRowLastColumn="0"/>
              <w:rPr>
                <w:spacing w:val="-6"/>
                <w:sz w:val="16"/>
                <w:szCs w:val="16"/>
              </w:rPr>
            </w:pPr>
            <w:r w:rsidRPr="001628D8">
              <w:rPr>
                <w:spacing w:val="-6"/>
                <w:sz w:val="16"/>
                <w:szCs w:val="16"/>
              </w:rPr>
              <w:t>64</w:t>
            </w:r>
          </w:p>
        </w:tc>
      </w:tr>
    </w:tbl>
    <w:p w:rsidRPr="001628D8" w:rsidR="00CB5C4E" w:rsidP="00CB5C4E" w:rsidRDefault="00CB5C4E" w14:paraId="7430E5B8" w14:textId="77777777"/>
    <w:p w:rsidR="001628D8" w:rsidP="00CB5C4E" w:rsidRDefault="00CB5C4E" w14:paraId="0DFFF300" w14:textId="61809E7C">
      <w:bookmarkStart w:name="_Hlk192173987" w:id="2"/>
      <w:r w:rsidRPr="001628D8">
        <w:t xml:space="preserve">In de brief van 18 november jl. hebben wij al aangegeven dat </w:t>
      </w:r>
      <w:r w:rsidRPr="001628D8" w:rsidR="00D961CB">
        <w:t>bij</w:t>
      </w:r>
      <w:r w:rsidRPr="001628D8">
        <w:t xml:space="preserve"> het regeerprogramma </w:t>
      </w:r>
      <w:r w:rsidRPr="001628D8" w:rsidR="004E5ADC">
        <w:t xml:space="preserve">evenwel </w:t>
      </w:r>
      <w:r w:rsidRPr="001628D8">
        <w:t xml:space="preserve">geen geld </w:t>
      </w:r>
      <w:r w:rsidRPr="001628D8" w:rsidR="004E5ADC">
        <w:t xml:space="preserve">hiervoor </w:t>
      </w:r>
      <w:r w:rsidRPr="001628D8">
        <w:t>beschikbaar is gesteld</w:t>
      </w:r>
      <w:r w:rsidRPr="001628D8" w:rsidR="004E5ADC">
        <w:t>.</w:t>
      </w:r>
    </w:p>
    <w:p w:rsidRPr="001628D8" w:rsidR="001628D8" w:rsidP="00CB5C4E" w:rsidRDefault="001628D8" w14:paraId="0570100E" w14:textId="77777777"/>
    <w:bookmarkEnd w:id="2"/>
    <w:p w:rsidRPr="001628D8" w:rsidR="00181DD1" w:rsidP="00CB5C4E" w:rsidRDefault="00181DD1" w14:paraId="6A306A7F" w14:textId="77777777"/>
    <w:p w:rsidRPr="001628D8" w:rsidR="00144F72" w:rsidRDefault="00181DD1" w14:paraId="66FF31C2" w14:textId="4232671A">
      <w:r w:rsidRPr="001628D8">
        <w:rPr>
          <w:i/>
          <w:iCs/>
        </w:rPr>
        <w:t xml:space="preserve">(iv) </w:t>
      </w:r>
      <w:r w:rsidRPr="001628D8" w:rsidR="0076612A">
        <w:rPr>
          <w:i/>
          <w:iCs/>
        </w:rPr>
        <w:t xml:space="preserve">Digitaal portaal </w:t>
      </w:r>
      <w:r w:rsidRPr="001628D8" w:rsidR="00C45537">
        <w:rPr>
          <w:i/>
          <w:iCs/>
        </w:rPr>
        <w:t>Wahv-boetes</w:t>
      </w:r>
      <w:r w:rsidRPr="001628D8" w:rsidR="00C45537">
        <w:t xml:space="preserve">  </w:t>
      </w:r>
    </w:p>
    <w:p w:rsidRPr="001628D8" w:rsidR="00EA3469" w:rsidP="00EA3469" w:rsidRDefault="00EA3469" w14:paraId="6662CD71" w14:textId="499EEE80">
      <w:pPr>
        <w:pStyle w:val="Lijstalinea"/>
        <w:ind w:left="0"/>
      </w:pPr>
      <w:r w:rsidRPr="001628D8">
        <w:t xml:space="preserve">Tijdens het commissiedebat Strafrechtelijke Onderwerpen op 4 september jl. heeft het Kamerlid Palmen (NSC) gevraagd naar de mogelijkheden voor digitale verzending van Wahv-boetes. De staatssecretaris Rechtsbescherming heeft toen namens de staatssecretaris van Justitie en Veiligheid </w:t>
      </w:r>
      <w:r w:rsidRPr="001628D8" w:rsidR="00D7524F">
        <w:t>toegezegd</w:t>
      </w:r>
      <w:r w:rsidRPr="001628D8">
        <w:t xml:space="preserve"> dat dit onderwerp zou worden meegenomen in de lopende gesprekken met het CJIB. Dit is gebeurd. We kunnen daarover het volgende </w:t>
      </w:r>
      <w:r w:rsidRPr="001628D8" w:rsidR="00ED09CD">
        <w:t>meedelen</w:t>
      </w:r>
      <w:r w:rsidRPr="001628D8">
        <w:t>. Het CJIB is aangesloten op Mijnoverheid en maakt voor bepaalde berichten gebruik van de Berichtenbox. Op dit moment kijkt het CJIB wat er voor nodig is om Wahv-boetes via de Berichtenbox te versturen</w:t>
      </w:r>
      <w:r w:rsidRPr="001628D8" w:rsidR="00B31D8F">
        <w:t>.</w:t>
      </w:r>
      <w:r w:rsidRPr="001628D8">
        <w:t xml:space="preserve"> </w:t>
      </w:r>
    </w:p>
    <w:p w:rsidRPr="001628D8" w:rsidR="00A0519F" w:rsidP="00EA3469" w:rsidRDefault="00A0519F" w14:paraId="25F10742" w14:textId="77777777">
      <w:pPr>
        <w:pStyle w:val="Lijstalinea"/>
        <w:ind w:left="0"/>
      </w:pPr>
    </w:p>
    <w:p w:rsidRPr="001628D8" w:rsidR="00EA3469" w:rsidP="00EA3469" w:rsidRDefault="00EA3469" w14:paraId="6F55242B" w14:textId="419B1653">
      <w:pPr>
        <w:pStyle w:val="Lijstalinea"/>
        <w:ind w:left="0"/>
      </w:pPr>
      <w:r w:rsidRPr="001628D8">
        <w:t xml:space="preserve">Daarnaast </w:t>
      </w:r>
      <w:r w:rsidRPr="001628D8" w:rsidR="00110526">
        <w:t xml:space="preserve">gebruikt het CJIB </w:t>
      </w:r>
      <w:r w:rsidRPr="001628D8">
        <w:t xml:space="preserve">het Digitaal Loket. </w:t>
      </w:r>
      <w:r w:rsidRPr="001628D8" w:rsidR="00441BAE">
        <w:t>Elke maand bezoeken meer dan 600.000 mensen</w:t>
      </w:r>
      <w:r w:rsidRPr="001628D8">
        <w:t xml:space="preserve"> het loket. In het Digitaal Loket is het mogelijk om openstaande vorderingen te bekijken, te betalen, de foto van een overtreding te bekijken of een betalingsregeling af te spreken.</w:t>
      </w:r>
      <w:r w:rsidRPr="001628D8" w:rsidR="00382460">
        <w:t xml:space="preserve"> </w:t>
      </w:r>
      <w:r w:rsidRPr="001628D8" w:rsidR="008B365E">
        <w:t xml:space="preserve">Verder </w:t>
      </w:r>
      <w:r w:rsidRPr="001628D8" w:rsidR="00382460">
        <w:t xml:space="preserve">wordt binnen de Clustering Rijksincasso gewerkt aan het Vorderingenoverzicht Rijk. Hiermee krijgen mensen een overzicht van hun actuele betalingsverplichtingen aan overheidsorganisaties. De ambitie is dat alle </w:t>
      </w:r>
      <w:r w:rsidRPr="001628D8" w:rsidR="00110526">
        <w:t>partijen van de Clustering Rijksincasso</w:t>
      </w:r>
      <w:r w:rsidRPr="001628D8" w:rsidR="00382460">
        <w:t xml:space="preserve"> eind 2025 bij het Vorderingenoverzicht Rijk zijn aangesloten.</w:t>
      </w:r>
      <w:r w:rsidRPr="001628D8">
        <w:t xml:space="preserve"> </w:t>
      </w:r>
    </w:p>
    <w:p w:rsidRPr="001628D8" w:rsidR="00110526" w:rsidP="00EA3469" w:rsidRDefault="00110526" w14:paraId="50769B78" w14:textId="77777777">
      <w:pPr>
        <w:pStyle w:val="Lijstalinea"/>
        <w:ind w:left="0"/>
      </w:pPr>
    </w:p>
    <w:p w:rsidRPr="001628D8" w:rsidR="00110526" w:rsidP="003509FB" w:rsidRDefault="00110526" w14:paraId="487A57B6" w14:textId="5803171C">
      <w:pPr>
        <w:pStyle w:val="Lijstalinea"/>
        <w:ind w:left="0"/>
        <w:rPr>
          <w:i/>
          <w:iCs/>
        </w:rPr>
      </w:pPr>
      <w:r w:rsidRPr="001628D8">
        <w:rPr>
          <w:i/>
          <w:iCs/>
        </w:rPr>
        <w:t>(v) Inning schadevergoedingsmaatregel</w:t>
      </w:r>
    </w:p>
    <w:p w:rsidRPr="001628D8" w:rsidR="00110526" w:rsidP="003509FB" w:rsidRDefault="00110526" w14:paraId="1883C872" w14:textId="0B2D9988">
      <w:r w:rsidRPr="001628D8">
        <w:t xml:space="preserve">Het </w:t>
      </w:r>
      <w:r w:rsidRPr="001628D8" w:rsidR="00B5289F">
        <w:t>CJIB</w:t>
      </w:r>
      <w:r w:rsidRPr="001628D8">
        <w:t xml:space="preserve"> heeft verschillende instrumenten tot zijn beschikking om de schadevergoedingsmaatregel ten behoeve van het slachtoffer bij de dader te innen. Het CJIB levert hierbij maatwerk. Wanneer het CJIB van oordeel is dat de veroordeelde</w:t>
      </w:r>
      <w:r w:rsidRPr="001628D8" w:rsidR="00B5289F">
        <w:t xml:space="preserve"> </w:t>
      </w:r>
      <w:r w:rsidRPr="001628D8">
        <w:t xml:space="preserve">wel kan, maar niet wil betalen benadert het CJIB het </w:t>
      </w:r>
      <w:r w:rsidRPr="001628D8" w:rsidR="00B5289F">
        <w:t>o</w:t>
      </w:r>
      <w:r w:rsidRPr="001628D8">
        <w:t xml:space="preserve">penbaar </w:t>
      </w:r>
      <w:r w:rsidRPr="001628D8" w:rsidR="00B5289F">
        <w:t>m</w:t>
      </w:r>
      <w:r w:rsidRPr="001628D8">
        <w:t xml:space="preserve">inisterie met een onderbouwd verzoek tot gijzeling. Het </w:t>
      </w:r>
      <w:r w:rsidRPr="001628D8" w:rsidR="00E44207">
        <w:t xml:space="preserve">openbaar ministerie </w:t>
      </w:r>
      <w:r w:rsidRPr="001628D8">
        <w:t xml:space="preserve">beoordeelt het gijzelingsverzoek. Indien de dader aantoonbaar niet in staat is om het verschuldigde bedrag in één keer of in termijnen te betalen, vindt gijzeling niet plaats. Gijzeling vindt alleen plaats bij een dader die niet aan de betalingsverplichting wil voldoen. De strafrechter heeft in de uitspraak reeds het aantal dagen gijzeling opgenomen voor het geval de dader niet aan de betalingsverplichting wil voldoen. </w:t>
      </w:r>
    </w:p>
    <w:p w:rsidRPr="001628D8" w:rsidR="00110526" w:rsidP="00110526" w:rsidRDefault="00110526" w14:paraId="12AD8366" w14:textId="77777777">
      <w:pPr>
        <w:pStyle w:val="Lijstalinea"/>
      </w:pPr>
      <w:r w:rsidRPr="001628D8">
        <w:t xml:space="preserve"> </w:t>
      </w:r>
    </w:p>
    <w:p w:rsidRPr="001628D8" w:rsidR="00110526" w:rsidP="00110526" w:rsidRDefault="00110526" w14:paraId="5325A484" w14:textId="58A9A31C">
      <w:pPr>
        <w:pStyle w:val="Lijstalinea"/>
        <w:ind w:left="0"/>
      </w:pPr>
      <w:r w:rsidRPr="001628D8">
        <w:t>De Nationale ombudsman heeft na onderzoek naar de inning van de schadevergoeding</w:t>
      </w:r>
      <w:r w:rsidRPr="001628D8" w:rsidR="008A06AD">
        <w:t>smaatregel</w:t>
      </w:r>
      <w:r w:rsidRPr="001628D8">
        <w:t xml:space="preserve"> door het CJIB geoordeeld erop te vertrouwen dat de gijzelingsprocedure ook zonder toetsing door de rechter zorgvuldig genoeg is om te voorkomen dat gijzeling wordt toegepast in situaties waarin dat niet behoorlijk zou zijn. </w:t>
      </w:r>
      <w:r w:rsidRPr="001628D8" w:rsidDel="00070755">
        <w:t xml:space="preserve">Naar </w:t>
      </w:r>
      <w:r w:rsidRPr="001628D8" w:rsidDel="00070755" w:rsidR="00B5289F">
        <w:t>onze</w:t>
      </w:r>
      <w:r w:rsidRPr="001628D8" w:rsidDel="00070755">
        <w:t xml:space="preserve"> mening is de bestaande procedure met voldoende waarborgen voor de dader ingericht.</w:t>
      </w:r>
      <w:r w:rsidRPr="001628D8" w:rsidR="00070755">
        <w:t xml:space="preserve"> Wij zien dan ook geen aanleiding dit</w:t>
      </w:r>
      <w:r w:rsidRPr="001628D8" w:rsidR="004A4364">
        <w:t xml:space="preserve"> te wijzigen.</w:t>
      </w:r>
    </w:p>
    <w:p w:rsidRPr="001628D8" w:rsidR="007A44F2" w:rsidP="00EA3469" w:rsidRDefault="007A44F2" w14:paraId="7CBD08F6" w14:textId="77777777">
      <w:pPr>
        <w:pStyle w:val="Lijstalinea"/>
        <w:ind w:left="0"/>
      </w:pPr>
    </w:p>
    <w:p w:rsidRPr="001628D8" w:rsidR="00656B3F" w:rsidP="00EA3469" w:rsidRDefault="00656B3F" w14:paraId="22C9A8AD" w14:textId="05760A74">
      <w:pPr>
        <w:pStyle w:val="Lijstalinea"/>
        <w:ind w:left="0"/>
        <w:rPr>
          <w:b/>
          <w:bCs/>
        </w:rPr>
      </w:pPr>
      <w:r w:rsidRPr="001628D8">
        <w:rPr>
          <w:b/>
          <w:bCs/>
        </w:rPr>
        <w:t>Tot slot</w:t>
      </w:r>
    </w:p>
    <w:p w:rsidR="00E83EDB" w:rsidRDefault="0023592F" w14:paraId="7D87D6B0" w14:textId="77777777">
      <w:r w:rsidRPr="001628D8">
        <w:t xml:space="preserve">Met de invoering van de betalingsherinnering en de mogelijkheid voor het CJIB om de ophogingen bij Wahv-boetes in uitzonderlijke gevallen kwijt te kunnen schelden </w:t>
      </w:r>
      <w:r w:rsidRPr="001628D8" w:rsidR="00FE507A">
        <w:t xml:space="preserve">geven we uitvoering aan het regeerprogramma en </w:t>
      </w:r>
      <w:r w:rsidRPr="001628D8">
        <w:t xml:space="preserve">wordt de dienstverlening van het CJIB verder verbeterd. Wij vinden dit van belang om een bijdrage te leveren aan het </w:t>
      </w:r>
      <w:r w:rsidRPr="001628D8" w:rsidR="001114C3">
        <w:t>voorkomen van schuldenoploop</w:t>
      </w:r>
      <w:r w:rsidRPr="001628D8" w:rsidR="007C3AB8">
        <w:t>, z</w:t>
      </w:r>
      <w:r w:rsidRPr="001628D8" w:rsidR="003C4D54">
        <w:t>odat</w:t>
      </w:r>
      <w:r w:rsidRPr="001628D8" w:rsidR="00C42ABF">
        <w:t xml:space="preserve"> </w:t>
      </w:r>
      <w:r w:rsidRPr="001628D8">
        <w:t>zo veel mogelij</w:t>
      </w:r>
      <w:r w:rsidRPr="001628D8" w:rsidR="00C42ABF">
        <w:t>k</w:t>
      </w:r>
      <w:r w:rsidRPr="001628D8">
        <w:t xml:space="preserve"> </w:t>
      </w:r>
      <w:r w:rsidRPr="001628D8" w:rsidR="003C4D54">
        <w:t xml:space="preserve">wordt </w:t>
      </w:r>
      <w:r w:rsidRPr="001628D8">
        <w:t>voorkomen dat mensen (verder) in de problemen komen.</w:t>
      </w:r>
      <w:r w:rsidRPr="001628D8" w:rsidR="00FF4003">
        <w:t xml:space="preserve"> </w:t>
      </w:r>
    </w:p>
    <w:p w:rsidRPr="001628D8" w:rsidR="00584A82" w:rsidRDefault="0023592F" w14:paraId="06B8A702" w14:textId="598FD268">
      <w:r w:rsidRPr="001628D8">
        <w:t xml:space="preserve">Omdat op dit moment nog niet alle stappen zijn gezet, zullen we uw Kamer </w:t>
      </w:r>
      <w:r w:rsidRPr="001628D8" w:rsidR="001114C3">
        <w:t>begin 2026</w:t>
      </w:r>
      <w:r w:rsidRPr="001628D8">
        <w:t xml:space="preserve"> informeren over </w:t>
      </w:r>
      <w:r w:rsidRPr="001628D8" w:rsidR="00940D9E">
        <w:t xml:space="preserve">de aanstaande start van het versturen van betalingsherinneringen en </w:t>
      </w:r>
      <w:r w:rsidRPr="001628D8">
        <w:t xml:space="preserve">de </w:t>
      </w:r>
      <w:r w:rsidRPr="001628D8" w:rsidR="001114C3">
        <w:t xml:space="preserve">eerste ervaringen van het CJIB met het kwijtschelden van ophogingen Wahv-boetes. </w:t>
      </w:r>
    </w:p>
    <w:p w:rsidRPr="001628D8" w:rsidR="00584A82" w:rsidRDefault="00584A82" w14:paraId="4E178C74" w14:textId="77777777"/>
    <w:p w:rsidRPr="001628D8" w:rsidR="00144F72" w:rsidRDefault="00144F72" w14:paraId="0B8F146E" w14:textId="77777777">
      <w:pPr>
        <w:pStyle w:val="WitregelW1bodytekst"/>
      </w:pPr>
    </w:p>
    <w:p w:rsidRPr="001628D8" w:rsidR="00144F72" w:rsidRDefault="0054341F" w14:paraId="0B0F831A" w14:textId="77777777">
      <w:r w:rsidRPr="001628D8">
        <w:t>De Staatssecretaris Rechtsbescherming,</w:t>
      </w:r>
    </w:p>
    <w:p w:rsidRPr="001628D8" w:rsidR="00144F72" w:rsidRDefault="00144F72" w14:paraId="6D252654" w14:textId="77777777"/>
    <w:p w:rsidRPr="001628D8" w:rsidR="00A55D21" w:rsidRDefault="00A55D21" w14:paraId="1AA48B05" w14:textId="77777777"/>
    <w:p w:rsidRPr="001628D8" w:rsidR="00144F72" w:rsidRDefault="00144F72" w14:paraId="453C52F6" w14:textId="77777777"/>
    <w:p w:rsidRPr="001628D8" w:rsidR="00A55D21" w:rsidRDefault="00A55D21" w14:paraId="0BFDB12E" w14:textId="77777777"/>
    <w:p w:rsidRPr="001628D8" w:rsidR="00144F72" w:rsidRDefault="0054341F" w14:paraId="36477751" w14:textId="4F866E21">
      <w:r w:rsidRPr="001628D8">
        <w:t>T.H.D. Struycken</w:t>
      </w:r>
    </w:p>
    <w:p w:rsidRPr="001628D8" w:rsidR="00A55D21" w:rsidRDefault="00A55D21" w14:paraId="08F3F7E3" w14:textId="77777777"/>
    <w:p w:rsidRPr="001628D8" w:rsidR="00A416EC" w:rsidRDefault="00A416EC" w14:paraId="01AC05E4" w14:textId="77777777"/>
    <w:p w:rsidRPr="001628D8" w:rsidR="00C45537" w:rsidRDefault="00C45537" w14:paraId="4E27F39A" w14:textId="0AA04F5D">
      <w:r w:rsidRPr="001628D8">
        <w:t xml:space="preserve">De </w:t>
      </w:r>
      <w:r w:rsidRPr="001628D8" w:rsidR="0021713A">
        <w:t>Staatssecretaris</w:t>
      </w:r>
      <w:r w:rsidRPr="001628D8">
        <w:t xml:space="preserve"> van Justitie en Ve</w:t>
      </w:r>
      <w:r w:rsidRPr="001628D8" w:rsidR="002B0B7A">
        <w:t>i</w:t>
      </w:r>
      <w:r w:rsidRPr="001628D8">
        <w:t xml:space="preserve">ligheid, </w:t>
      </w:r>
    </w:p>
    <w:p w:rsidRPr="001628D8" w:rsidR="00C45537" w:rsidRDefault="00C45537" w14:paraId="1A7E7E22" w14:textId="77777777"/>
    <w:p w:rsidRPr="001628D8" w:rsidR="00A55D21" w:rsidRDefault="00A55D21" w14:paraId="1F45EC9C" w14:textId="77777777"/>
    <w:p w:rsidRPr="001628D8" w:rsidR="00A55D21" w:rsidRDefault="00A55D21" w14:paraId="17A3614D" w14:textId="77777777"/>
    <w:p w:rsidRPr="001628D8" w:rsidR="00976180" w:rsidRDefault="00976180" w14:paraId="6C2D4633" w14:textId="77777777"/>
    <w:p w:rsidR="00144F72" w:rsidRDefault="00C45537" w14:paraId="519986EB" w14:textId="0262BA09">
      <w:r w:rsidRPr="001628D8">
        <w:t>I. Coenradie</w:t>
      </w:r>
    </w:p>
    <w:sectPr w:rsidR="00144F7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5580" w14:textId="77777777" w:rsidR="00F3215A" w:rsidRDefault="00F3215A">
      <w:pPr>
        <w:spacing w:line="240" w:lineRule="auto"/>
      </w:pPr>
      <w:r>
        <w:separator/>
      </w:r>
    </w:p>
  </w:endnote>
  <w:endnote w:type="continuationSeparator" w:id="0">
    <w:p w14:paraId="7E7222EF" w14:textId="77777777" w:rsidR="00F3215A" w:rsidRDefault="00F321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51176" w14:textId="77777777" w:rsidR="00E83EDB" w:rsidRDefault="00E83E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54370" w14:textId="77777777" w:rsidR="00E83EDB" w:rsidRDefault="00E83E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17371" w14:textId="77777777" w:rsidR="00E83EDB" w:rsidRDefault="00E83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1931D" w14:textId="77777777" w:rsidR="00F3215A" w:rsidRDefault="00F3215A">
      <w:pPr>
        <w:spacing w:line="240" w:lineRule="auto"/>
      </w:pPr>
      <w:r>
        <w:separator/>
      </w:r>
    </w:p>
  </w:footnote>
  <w:footnote w:type="continuationSeparator" w:id="0">
    <w:p w14:paraId="4537E26F" w14:textId="77777777" w:rsidR="00F3215A" w:rsidRDefault="00F3215A">
      <w:pPr>
        <w:spacing w:line="240" w:lineRule="auto"/>
      </w:pPr>
      <w:r>
        <w:continuationSeparator/>
      </w:r>
    </w:p>
  </w:footnote>
  <w:footnote w:id="1">
    <w:p w14:paraId="6E6FFD4B" w14:textId="7FB58814" w:rsidR="00680D36" w:rsidRDefault="00680D36">
      <w:pPr>
        <w:pStyle w:val="Voetnoottekst"/>
      </w:pPr>
      <w:r w:rsidRPr="00680D36">
        <w:rPr>
          <w:rStyle w:val="Voetnootmarkering"/>
          <w:sz w:val="16"/>
          <w:szCs w:val="16"/>
        </w:rPr>
        <w:footnoteRef/>
      </w:r>
      <w:r w:rsidRPr="00680D36">
        <w:rPr>
          <w:sz w:val="16"/>
          <w:szCs w:val="16"/>
        </w:rPr>
        <w:t xml:space="preserve"> </w:t>
      </w:r>
      <w:r w:rsidRPr="00680D36">
        <w:rPr>
          <w:i/>
          <w:iCs/>
          <w:sz w:val="16"/>
          <w:szCs w:val="16"/>
        </w:rPr>
        <w:t>Kamerstukken II</w:t>
      </w:r>
      <w:r w:rsidRPr="00680D36">
        <w:rPr>
          <w:sz w:val="16"/>
          <w:szCs w:val="16"/>
        </w:rPr>
        <w:t xml:space="preserve"> 2024-25 29 279, nr. 915. </w:t>
      </w:r>
    </w:p>
  </w:footnote>
  <w:footnote w:id="2">
    <w:p w14:paraId="2055A01A" w14:textId="7BA6C054" w:rsidR="007C3E9F" w:rsidRDefault="007C3E9F">
      <w:pPr>
        <w:pStyle w:val="Voetnoottekst"/>
      </w:pPr>
      <w:r w:rsidRPr="00DA0E95">
        <w:rPr>
          <w:rStyle w:val="Voetnootmarkering"/>
          <w:sz w:val="16"/>
          <w:szCs w:val="16"/>
        </w:rPr>
        <w:footnoteRef/>
      </w:r>
      <w:r w:rsidRPr="00DA0E95">
        <w:rPr>
          <w:sz w:val="16"/>
          <w:szCs w:val="16"/>
        </w:rPr>
        <w:t xml:space="preserve"> Onder strafrechtelijke geldelijke sancties wordt verstaan: geldboetes opgelegd bij strafbeschikking of vonnis, inkomende Europese geldelijke sancties en schadevergoedingsmaatregelen. </w:t>
      </w:r>
    </w:p>
  </w:footnote>
  <w:footnote w:id="3">
    <w:p w14:paraId="5EF997A3" w14:textId="77777777" w:rsidR="001628D8" w:rsidRDefault="001628D8" w:rsidP="001628D8">
      <w:pPr>
        <w:pStyle w:val="Voetnoottekst"/>
      </w:pPr>
      <w:r w:rsidRPr="00684756">
        <w:rPr>
          <w:rStyle w:val="Voetnootmarkering"/>
          <w:sz w:val="16"/>
          <w:szCs w:val="16"/>
        </w:rPr>
        <w:footnoteRef/>
      </w:r>
      <w:r w:rsidRPr="00684756">
        <w:rPr>
          <w:sz w:val="16"/>
          <w:szCs w:val="16"/>
        </w:rPr>
        <w:t xml:space="preserve"> </w:t>
      </w:r>
      <w:r>
        <w:rPr>
          <w:sz w:val="16"/>
          <w:szCs w:val="16"/>
        </w:rPr>
        <w:t xml:space="preserve">In 2026 is 10 miljoen euro beschikbaar voor de betalingsherinnering en de mogelijkheid om ophogingen bij Wahv-boetes in gevallen van aantoonbare overmacht kwijt te kunnen schelden. Vanaf 2027 is dat structureel 19 miljoen euro per jaar. </w:t>
      </w:r>
      <w:r w:rsidRPr="00684756">
        <w:rPr>
          <w:sz w:val="16"/>
          <w:szCs w:val="16"/>
        </w:rPr>
        <w:t xml:space="preserve">Zie ook </w:t>
      </w:r>
      <w:r w:rsidRPr="00684756">
        <w:rPr>
          <w:i/>
          <w:iCs/>
          <w:sz w:val="16"/>
          <w:szCs w:val="16"/>
        </w:rPr>
        <w:t>Kamerstukken II</w:t>
      </w:r>
      <w:r w:rsidRPr="00684756">
        <w:rPr>
          <w:sz w:val="16"/>
          <w:szCs w:val="16"/>
        </w:rPr>
        <w:t xml:space="preserve"> 2024-25 29279, nr. 915</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92B71" w14:textId="77777777" w:rsidR="00E83EDB" w:rsidRDefault="00E83E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7B801" w14:textId="77777777" w:rsidR="00144F72" w:rsidRDefault="0054341F">
    <w:r>
      <w:rPr>
        <w:noProof/>
      </w:rPr>
      <mc:AlternateContent>
        <mc:Choice Requires="wps">
          <w:drawing>
            <wp:anchor distT="0" distB="0" distL="0" distR="0" simplePos="0" relativeHeight="251652096" behindDoc="0" locked="1" layoutInCell="1" allowOverlap="1" wp14:anchorId="7ACA39DF" wp14:editId="3B1B254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1959A5E" w14:textId="77777777" w:rsidR="00F7203B" w:rsidRDefault="00F7203B"/>
                      </w:txbxContent>
                    </wps:txbx>
                    <wps:bodyPr vert="horz" wrap="square" lIns="0" tIns="0" rIns="0" bIns="0" anchor="t" anchorCtr="0"/>
                  </wps:wsp>
                </a:graphicData>
              </a:graphic>
            </wp:anchor>
          </w:drawing>
        </mc:Choice>
        <mc:Fallback>
          <w:pict>
            <v:shapetype w14:anchorId="7ACA39D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71959A5E" w14:textId="77777777" w:rsidR="00F7203B" w:rsidRDefault="00F7203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B7326F0" wp14:editId="22CACFBA">
              <wp:simplePos x="0" y="0"/>
              <wp:positionH relativeFrom="page">
                <wp:posOffset>5902325</wp:posOffset>
              </wp:positionH>
              <wp:positionV relativeFrom="page">
                <wp:posOffset>2346960</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E3B0F03" w14:textId="77777777" w:rsidR="00144F72" w:rsidRDefault="0054341F">
                          <w:pPr>
                            <w:pStyle w:val="Referentiegegevensbold"/>
                          </w:pPr>
                          <w:r>
                            <w:t>Directoraat-Generaal Straffen en Beschermen</w:t>
                          </w:r>
                        </w:p>
                        <w:p w14:paraId="3ABBD62F" w14:textId="77777777" w:rsidR="00144F72" w:rsidRDefault="0054341F">
                          <w:pPr>
                            <w:pStyle w:val="Referentiegegevens"/>
                          </w:pPr>
                          <w:r>
                            <w:t>Directie Sanctie- en Slachtofferbeleid</w:t>
                          </w:r>
                        </w:p>
                        <w:p w14:paraId="531498B9" w14:textId="77777777" w:rsidR="00144F72" w:rsidRDefault="0054341F">
                          <w:pPr>
                            <w:pStyle w:val="Referentiegegevens"/>
                          </w:pPr>
                          <w:r>
                            <w:t>Sancties Extramuraal</w:t>
                          </w:r>
                        </w:p>
                        <w:p w14:paraId="5833CE44" w14:textId="77777777" w:rsidR="00144F72" w:rsidRDefault="00144F72">
                          <w:pPr>
                            <w:pStyle w:val="WitregelW2"/>
                          </w:pPr>
                        </w:p>
                        <w:p w14:paraId="567CF778" w14:textId="77777777" w:rsidR="00144F72" w:rsidRDefault="0054341F">
                          <w:pPr>
                            <w:pStyle w:val="Referentiegegevensbold"/>
                          </w:pPr>
                          <w:r>
                            <w:t>Datum</w:t>
                          </w:r>
                        </w:p>
                        <w:p w14:paraId="132E9E99" w14:textId="156EDE4F" w:rsidR="00144F72" w:rsidRDefault="00D81017">
                          <w:pPr>
                            <w:pStyle w:val="Referentiegegevens"/>
                          </w:pPr>
                          <w:sdt>
                            <w:sdtPr>
                              <w:id w:val="992764393"/>
                              <w:date w:fullDate="2025-04-04T00:00:00Z">
                                <w:dateFormat w:val="d MMMM yyyy"/>
                                <w:lid w:val="nl"/>
                                <w:storeMappedDataAs w:val="dateTime"/>
                                <w:calendar w:val="gregorian"/>
                              </w:date>
                            </w:sdtPr>
                            <w:sdtEndPr/>
                            <w:sdtContent>
                              <w:r w:rsidR="005E6B8B">
                                <w:rPr>
                                  <w:lang w:val="nl"/>
                                </w:rPr>
                                <w:t>4 april 2025</w:t>
                              </w:r>
                            </w:sdtContent>
                          </w:sdt>
                        </w:p>
                        <w:p w14:paraId="7E870B8D" w14:textId="77777777" w:rsidR="00144F72" w:rsidRDefault="00144F72">
                          <w:pPr>
                            <w:pStyle w:val="WitregelW1"/>
                          </w:pPr>
                        </w:p>
                        <w:p w14:paraId="1DD3145D" w14:textId="77777777" w:rsidR="00144F72" w:rsidRDefault="0054341F">
                          <w:pPr>
                            <w:pStyle w:val="Referentiegegevensbold"/>
                          </w:pPr>
                          <w:r>
                            <w:t>Onze referentie</w:t>
                          </w:r>
                        </w:p>
                        <w:p w14:paraId="45C0FC3E" w14:textId="77777777" w:rsidR="00144F72" w:rsidRDefault="0054341F">
                          <w:pPr>
                            <w:pStyle w:val="Referentiegegevens"/>
                          </w:pPr>
                          <w:r>
                            <w:t>6174267</w:t>
                          </w:r>
                        </w:p>
                      </w:txbxContent>
                    </wps:txbx>
                    <wps:bodyPr vert="horz" wrap="square" lIns="0" tIns="0" rIns="0" bIns="0" anchor="t" anchorCtr="0"/>
                  </wps:wsp>
                </a:graphicData>
              </a:graphic>
            </wp:anchor>
          </w:drawing>
        </mc:Choice>
        <mc:Fallback>
          <w:pict>
            <v:shape w14:anchorId="1B7326F0" id="46fef022-aa3c-11ea-a756-beb5f67e67be" o:spid="_x0000_s1027" type="#_x0000_t202" style="position:absolute;margin-left:464.75pt;margin-top:184.8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" filled="f" stroked="f">
              <v:textbox inset="0,0,0,0">
                <w:txbxContent>
                  <w:p w14:paraId="7E3B0F03" w14:textId="77777777" w:rsidR="00144F72" w:rsidRDefault="0054341F">
                    <w:pPr>
                      <w:pStyle w:val="Referentiegegevensbold"/>
                    </w:pPr>
                    <w:r>
                      <w:t>Directoraat-Generaal Straffen en Beschermen</w:t>
                    </w:r>
                  </w:p>
                  <w:p w14:paraId="3ABBD62F" w14:textId="77777777" w:rsidR="00144F72" w:rsidRDefault="0054341F">
                    <w:pPr>
                      <w:pStyle w:val="Referentiegegevens"/>
                    </w:pPr>
                    <w:r>
                      <w:t>Directie Sanctie- en Slachtofferbeleid</w:t>
                    </w:r>
                  </w:p>
                  <w:p w14:paraId="531498B9" w14:textId="77777777" w:rsidR="00144F72" w:rsidRDefault="0054341F">
                    <w:pPr>
                      <w:pStyle w:val="Referentiegegevens"/>
                    </w:pPr>
                    <w:r>
                      <w:t>Sancties Extramuraal</w:t>
                    </w:r>
                  </w:p>
                  <w:p w14:paraId="5833CE44" w14:textId="77777777" w:rsidR="00144F72" w:rsidRDefault="00144F72">
                    <w:pPr>
                      <w:pStyle w:val="WitregelW2"/>
                    </w:pPr>
                  </w:p>
                  <w:p w14:paraId="567CF778" w14:textId="77777777" w:rsidR="00144F72" w:rsidRDefault="0054341F">
                    <w:pPr>
                      <w:pStyle w:val="Referentiegegevensbold"/>
                    </w:pPr>
                    <w:r>
                      <w:t>Datum</w:t>
                    </w:r>
                  </w:p>
                  <w:p w14:paraId="132E9E99" w14:textId="156EDE4F" w:rsidR="00144F72" w:rsidRDefault="00D81017">
                    <w:pPr>
                      <w:pStyle w:val="Referentiegegevens"/>
                    </w:pPr>
                    <w:sdt>
                      <w:sdtPr>
                        <w:id w:val="992764393"/>
                        <w:date w:fullDate="2025-04-04T00:00:00Z">
                          <w:dateFormat w:val="d MMMM yyyy"/>
                          <w:lid w:val="nl"/>
                          <w:storeMappedDataAs w:val="dateTime"/>
                          <w:calendar w:val="gregorian"/>
                        </w:date>
                      </w:sdtPr>
                      <w:sdtEndPr/>
                      <w:sdtContent>
                        <w:r w:rsidR="005E6B8B">
                          <w:rPr>
                            <w:lang w:val="nl"/>
                          </w:rPr>
                          <w:t>4 april 2025</w:t>
                        </w:r>
                      </w:sdtContent>
                    </w:sdt>
                  </w:p>
                  <w:p w14:paraId="7E870B8D" w14:textId="77777777" w:rsidR="00144F72" w:rsidRDefault="00144F72">
                    <w:pPr>
                      <w:pStyle w:val="WitregelW1"/>
                    </w:pPr>
                  </w:p>
                  <w:p w14:paraId="1DD3145D" w14:textId="77777777" w:rsidR="00144F72" w:rsidRDefault="0054341F">
                    <w:pPr>
                      <w:pStyle w:val="Referentiegegevensbold"/>
                    </w:pPr>
                    <w:r>
                      <w:t>Onze referentie</w:t>
                    </w:r>
                  </w:p>
                  <w:p w14:paraId="45C0FC3E" w14:textId="77777777" w:rsidR="00144F72" w:rsidRDefault="0054341F">
                    <w:pPr>
                      <w:pStyle w:val="Referentiegegevens"/>
                    </w:pPr>
                    <w:r>
                      <w:t>6174267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EC08C5B" wp14:editId="5BD541E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0768DD" w14:textId="77777777" w:rsidR="00F7203B" w:rsidRDefault="00F7203B"/>
                      </w:txbxContent>
                    </wps:txbx>
                    <wps:bodyPr vert="horz" wrap="square" lIns="0" tIns="0" rIns="0" bIns="0" anchor="t" anchorCtr="0"/>
                  </wps:wsp>
                </a:graphicData>
              </a:graphic>
            </wp:anchor>
          </w:drawing>
        </mc:Choice>
        <mc:Fallback>
          <w:pict>
            <v:shape w14:anchorId="1EC08C5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7C0768DD" w14:textId="77777777" w:rsidR="00F7203B" w:rsidRDefault="00F7203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F4DC8EF" wp14:editId="06222B0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1A8A0B7" w14:textId="172138A0" w:rsidR="00144F72" w:rsidRDefault="0054341F">
                          <w:pPr>
                            <w:pStyle w:val="Referentiegegevens"/>
                          </w:pPr>
                          <w:r>
                            <w:t xml:space="preserve">Pagina </w:t>
                          </w:r>
                          <w:r>
                            <w:fldChar w:fldCharType="begin"/>
                          </w:r>
                          <w:r>
                            <w:instrText>PAGE</w:instrText>
                          </w:r>
                          <w:r>
                            <w:fldChar w:fldCharType="separate"/>
                          </w:r>
                          <w:r w:rsidR="0024276E">
                            <w:rPr>
                              <w:noProof/>
                            </w:rPr>
                            <w:t>2</w:t>
                          </w:r>
                          <w:r>
                            <w:fldChar w:fldCharType="end"/>
                          </w:r>
                          <w:r>
                            <w:t xml:space="preserve"> van </w:t>
                          </w:r>
                          <w:r>
                            <w:fldChar w:fldCharType="begin"/>
                          </w:r>
                          <w:r>
                            <w:instrText>NUMPAGES</w:instrText>
                          </w:r>
                          <w:r>
                            <w:fldChar w:fldCharType="separate"/>
                          </w:r>
                          <w:r w:rsidR="00C45537">
                            <w:rPr>
                              <w:noProof/>
                            </w:rPr>
                            <w:t>1</w:t>
                          </w:r>
                          <w:r>
                            <w:fldChar w:fldCharType="end"/>
                          </w:r>
                        </w:p>
                      </w:txbxContent>
                    </wps:txbx>
                    <wps:bodyPr vert="horz" wrap="square" lIns="0" tIns="0" rIns="0" bIns="0" anchor="t" anchorCtr="0"/>
                  </wps:wsp>
                </a:graphicData>
              </a:graphic>
            </wp:anchor>
          </w:drawing>
        </mc:Choice>
        <mc:Fallback>
          <w:pict>
            <v:shape w14:anchorId="1F4DC8E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41A8A0B7" w14:textId="172138A0" w:rsidR="00144F72" w:rsidRDefault="0054341F">
                    <w:pPr>
                      <w:pStyle w:val="Referentiegegevens"/>
                    </w:pPr>
                    <w:r>
                      <w:t xml:space="preserve">Pagina </w:t>
                    </w:r>
                    <w:r>
                      <w:fldChar w:fldCharType="begin"/>
                    </w:r>
                    <w:r>
                      <w:instrText>PAGE</w:instrText>
                    </w:r>
                    <w:r>
                      <w:fldChar w:fldCharType="separate"/>
                    </w:r>
                    <w:r w:rsidR="0024276E">
                      <w:rPr>
                        <w:noProof/>
                      </w:rPr>
                      <w:t>2</w:t>
                    </w:r>
                    <w:r>
                      <w:fldChar w:fldCharType="end"/>
                    </w:r>
                    <w:r>
                      <w:t xml:space="preserve"> van </w:t>
                    </w:r>
                    <w:r>
                      <w:fldChar w:fldCharType="begin"/>
                    </w:r>
                    <w:r>
                      <w:instrText>NUMPAGES</w:instrText>
                    </w:r>
                    <w:r>
                      <w:fldChar w:fldCharType="separate"/>
                    </w:r>
                    <w:r w:rsidR="00C45537">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C597F" w14:textId="77777777" w:rsidR="00144F72" w:rsidRDefault="0054341F">
    <w:pPr>
      <w:spacing w:after="6377" w:line="14" w:lineRule="exact"/>
    </w:pPr>
    <w:r>
      <w:rPr>
        <w:noProof/>
      </w:rPr>
      <mc:AlternateContent>
        <mc:Choice Requires="wps">
          <w:drawing>
            <wp:anchor distT="0" distB="0" distL="0" distR="0" simplePos="0" relativeHeight="251656192" behindDoc="0" locked="1" layoutInCell="1" allowOverlap="1" wp14:anchorId="67D979D7" wp14:editId="1D24263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0113909" w14:textId="77777777" w:rsidR="00144F72" w:rsidRDefault="0054341F">
                          <w:pPr>
                            <w:spacing w:line="240" w:lineRule="auto"/>
                          </w:pPr>
                          <w:r>
                            <w:rPr>
                              <w:noProof/>
                            </w:rPr>
                            <w:drawing>
                              <wp:inline distT="0" distB="0" distL="0" distR="0" wp14:anchorId="2B0C7C6E" wp14:editId="190E4AE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7D979D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60113909" w14:textId="77777777" w:rsidR="00144F72" w:rsidRDefault="0054341F">
                    <w:pPr>
                      <w:spacing w:line="240" w:lineRule="auto"/>
                    </w:pPr>
                    <w:r>
                      <w:rPr>
                        <w:noProof/>
                      </w:rPr>
                      <w:drawing>
                        <wp:inline distT="0" distB="0" distL="0" distR="0" wp14:anchorId="2B0C7C6E" wp14:editId="190E4AE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ED9EDA9" wp14:editId="597F274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65F4D3" w14:textId="77777777" w:rsidR="00144F72" w:rsidRDefault="0054341F">
                          <w:pPr>
                            <w:spacing w:line="240" w:lineRule="auto"/>
                          </w:pPr>
                          <w:r>
                            <w:rPr>
                              <w:noProof/>
                            </w:rPr>
                            <w:drawing>
                              <wp:inline distT="0" distB="0" distL="0" distR="0" wp14:anchorId="545B2EB8" wp14:editId="491C1D4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D9EDA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3865F4D3" w14:textId="77777777" w:rsidR="00144F72" w:rsidRDefault="0054341F">
                    <w:pPr>
                      <w:spacing w:line="240" w:lineRule="auto"/>
                    </w:pPr>
                    <w:r>
                      <w:rPr>
                        <w:noProof/>
                      </w:rPr>
                      <w:drawing>
                        <wp:inline distT="0" distB="0" distL="0" distR="0" wp14:anchorId="545B2EB8" wp14:editId="491C1D4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E1312E0" wp14:editId="3CC8292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84683E" w14:textId="77777777" w:rsidR="00144F72" w:rsidRDefault="0054341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E1312E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C84683E" w14:textId="77777777" w:rsidR="00144F72" w:rsidRDefault="0054341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5DF1707" wp14:editId="3A83564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D5FDBDB" w14:textId="6A9E010D" w:rsidR="00E83EDB" w:rsidRDefault="00E83EDB">
                          <w:r>
                            <w:t xml:space="preserve">Aan de Voorzitter van de </w:t>
                          </w:r>
                          <w:r w:rsidR="0054341F">
                            <w:t xml:space="preserve">Tweede Kamer </w:t>
                          </w:r>
                        </w:p>
                        <w:p w14:paraId="042AEC47" w14:textId="1A4B7F50" w:rsidR="00144F72" w:rsidRDefault="0054341F">
                          <w:r>
                            <w:t>der Staten-Generaal</w:t>
                          </w:r>
                        </w:p>
                        <w:p w14:paraId="7DB70E78" w14:textId="77777777" w:rsidR="00144F72" w:rsidRDefault="0054341F">
                          <w:r>
                            <w:t xml:space="preserve">Postbus 20018 </w:t>
                          </w:r>
                        </w:p>
                        <w:p w14:paraId="5BAD2632" w14:textId="6A500137" w:rsidR="00144F72" w:rsidRDefault="0054341F">
                          <w:r>
                            <w:t>2500 EA</w:t>
                          </w:r>
                          <w:r w:rsidR="00E83EDB">
                            <w:t xml:space="preserve">  DEN HAAG</w:t>
                          </w:r>
                        </w:p>
                      </w:txbxContent>
                    </wps:txbx>
                    <wps:bodyPr vert="horz" wrap="square" lIns="0" tIns="0" rIns="0" bIns="0" anchor="t" anchorCtr="0"/>
                  </wps:wsp>
                </a:graphicData>
              </a:graphic>
            </wp:anchor>
          </w:drawing>
        </mc:Choice>
        <mc:Fallback>
          <w:pict>
            <v:shape w14:anchorId="65DF170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5D5FDBDB" w14:textId="6A9E010D" w:rsidR="00E83EDB" w:rsidRDefault="00E83EDB">
                    <w:r>
                      <w:t xml:space="preserve">Aan de Voorzitter van de </w:t>
                    </w:r>
                    <w:r w:rsidR="0054341F">
                      <w:t xml:space="preserve">Tweede Kamer </w:t>
                    </w:r>
                  </w:p>
                  <w:p w14:paraId="042AEC47" w14:textId="1A4B7F50" w:rsidR="00144F72" w:rsidRDefault="0054341F">
                    <w:r>
                      <w:t>der Staten-Generaal</w:t>
                    </w:r>
                  </w:p>
                  <w:p w14:paraId="7DB70E78" w14:textId="77777777" w:rsidR="00144F72" w:rsidRDefault="0054341F">
                    <w:r>
                      <w:t xml:space="preserve">Postbus 20018 </w:t>
                    </w:r>
                  </w:p>
                  <w:p w14:paraId="5BAD2632" w14:textId="6A500137" w:rsidR="00144F72" w:rsidRDefault="0054341F">
                    <w:r>
                      <w:t>2500 EA</w:t>
                    </w:r>
                    <w:r w:rsidR="00E83EDB">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B921A31" wp14:editId="0F03A451">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44F72" w14:paraId="7C92EF09" w14:textId="77777777">
                            <w:trPr>
                              <w:trHeight w:val="240"/>
                            </w:trPr>
                            <w:tc>
                              <w:tcPr>
                                <w:tcW w:w="1140" w:type="dxa"/>
                              </w:tcPr>
                              <w:p w14:paraId="2305A911" w14:textId="77777777" w:rsidR="00144F72" w:rsidRDefault="0054341F">
                                <w:r>
                                  <w:t>Datum</w:t>
                                </w:r>
                              </w:p>
                            </w:tc>
                            <w:tc>
                              <w:tcPr>
                                <w:tcW w:w="5918" w:type="dxa"/>
                              </w:tcPr>
                              <w:p w14:paraId="2B33C82B" w14:textId="6AFAFB50" w:rsidR="00144F72" w:rsidRDefault="00D81017">
                                <w:sdt>
                                  <w:sdtPr>
                                    <w:id w:val="1597896675"/>
                                    <w:date w:fullDate="2025-04-04T00:00:00Z">
                                      <w:dateFormat w:val="d MMMM yyyy"/>
                                      <w:lid w:val="nl"/>
                                      <w:storeMappedDataAs w:val="dateTime"/>
                                      <w:calendar w:val="gregorian"/>
                                    </w:date>
                                  </w:sdtPr>
                                  <w:sdtEndPr/>
                                  <w:sdtContent>
                                    <w:r w:rsidR="005E6B8B">
                                      <w:rPr>
                                        <w:lang w:val="nl"/>
                                      </w:rPr>
                                      <w:t>4 april 2025</w:t>
                                    </w:r>
                                  </w:sdtContent>
                                </w:sdt>
                              </w:p>
                            </w:tc>
                          </w:tr>
                          <w:tr w:rsidR="00144F72" w14:paraId="02EE90D1" w14:textId="77777777">
                            <w:trPr>
                              <w:trHeight w:val="240"/>
                            </w:trPr>
                            <w:tc>
                              <w:tcPr>
                                <w:tcW w:w="1140" w:type="dxa"/>
                              </w:tcPr>
                              <w:p w14:paraId="2BE92F2C" w14:textId="77777777" w:rsidR="00144F72" w:rsidRDefault="0054341F">
                                <w:r>
                                  <w:t>Betreft</w:t>
                                </w:r>
                              </w:p>
                            </w:tc>
                            <w:tc>
                              <w:tcPr>
                                <w:tcW w:w="5918" w:type="dxa"/>
                              </w:tcPr>
                              <w:p w14:paraId="2BC36B0D" w14:textId="77777777" w:rsidR="00144F72" w:rsidRDefault="0054341F">
                                <w:r>
                                  <w:t>Voortgang beleidsinitiatieven regeerprogramma CJIB</w:t>
                                </w:r>
                              </w:p>
                            </w:tc>
                          </w:tr>
                        </w:tbl>
                        <w:p w14:paraId="15365328" w14:textId="77777777" w:rsidR="00F7203B" w:rsidRDefault="00F7203B"/>
                      </w:txbxContent>
                    </wps:txbx>
                    <wps:bodyPr vert="horz" wrap="square" lIns="0" tIns="0" rIns="0" bIns="0" anchor="t" anchorCtr="0"/>
                  </wps:wsp>
                </a:graphicData>
              </a:graphic>
            </wp:anchor>
          </w:drawing>
        </mc:Choice>
        <mc:Fallback>
          <w:pict>
            <v:shape w14:anchorId="5B921A3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44F72" w14:paraId="7C92EF09" w14:textId="77777777">
                      <w:trPr>
                        <w:trHeight w:val="240"/>
                      </w:trPr>
                      <w:tc>
                        <w:tcPr>
                          <w:tcW w:w="1140" w:type="dxa"/>
                        </w:tcPr>
                        <w:p w14:paraId="2305A911" w14:textId="77777777" w:rsidR="00144F72" w:rsidRDefault="0054341F">
                          <w:r>
                            <w:t>Datum</w:t>
                          </w:r>
                        </w:p>
                      </w:tc>
                      <w:tc>
                        <w:tcPr>
                          <w:tcW w:w="5918" w:type="dxa"/>
                        </w:tcPr>
                        <w:p w14:paraId="2B33C82B" w14:textId="6AFAFB50" w:rsidR="00144F72" w:rsidRDefault="00D81017">
                          <w:sdt>
                            <w:sdtPr>
                              <w:id w:val="1597896675"/>
                              <w:date w:fullDate="2025-04-04T00:00:00Z">
                                <w:dateFormat w:val="d MMMM yyyy"/>
                                <w:lid w:val="nl"/>
                                <w:storeMappedDataAs w:val="dateTime"/>
                                <w:calendar w:val="gregorian"/>
                              </w:date>
                            </w:sdtPr>
                            <w:sdtEndPr/>
                            <w:sdtContent>
                              <w:r w:rsidR="005E6B8B">
                                <w:rPr>
                                  <w:lang w:val="nl"/>
                                </w:rPr>
                                <w:t>4 april 2025</w:t>
                              </w:r>
                            </w:sdtContent>
                          </w:sdt>
                        </w:p>
                      </w:tc>
                    </w:tr>
                    <w:tr w:rsidR="00144F72" w14:paraId="02EE90D1" w14:textId="77777777">
                      <w:trPr>
                        <w:trHeight w:val="240"/>
                      </w:trPr>
                      <w:tc>
                        <w:tcPr>
                          <w:tcW w:w="1140" w:type="dxa"/>
                        </w:tcPr>
                        <w:p w14:paraId="2BE92F2C" w14:textId="77777777" w:rsidR="00144F72" w:rsidRDefault="0054341F">
                          <w:r>
                            <w:t>Betreft</w:t>
                          </w:r>
                        </w:p>
                      </w:tc>
                      <w:tc>
                        <w:tcPr>
                          <w:tcW w:w="5918" w:type="dxa"/>
                        </w:tcPr>
                        <w:p w14:paraId="2BC36B0D" w14:textId="77777777" w:rsidR="00144F72" w:rsidRDefault="0054341F">
                          <w:r>
                            <w:t>Voortgang beleidsinitiatieven regeerprogramma CJIB</w:t>
                          </w:r>
                        </w:p>
                      </w:tc>
                    </w:tr>
                  </w:tbl>
                  <w:p w14:paraId="15365328" w14:textId="77777777" w:rsidR="00F7203B" w:rsidRDefault="00F7203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9C37B17" wp14:editId="7B55D5A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235407" w14:textId="77777777" w:rsidR="00144F72" w:rsidRDefault="0054341F">
                          <w:pPr>
                            <w:pStyle w:val="Referentiegegevensbold"/>
                          </w:pPr>
                          <w:r>
                            <w:t>Directoraat-Generaal Straffen en Beschermen</w:t>
                          </w:r>
                        </w:p>
                        <w:p w14:paraId="0B5B70D4" w14:textId="77777777" w:rsidR="00144F72" w:rsidRDefault="0054341F">
                          <w:pPr>
                            <w:pStyle w:val="Referentiegegevens"/>
                          </w:pPr>
                          <w:r>
                            <w:t>Directie Sanctie- en Slachtofferbeleid</w:t>
                          </w:r>
                        </w:p>
                        <w:p w14:paraId="4E043827" w14:textId="77777777" w:rsidR="00144F72" w:rsidRDefault="0054341F">
                          <w:pPr>
                            <w:pStyle w:val="Referentiegegevens"/>
                          </w:pPr>
                          <w:r>
                            <w:t>Sancties Extramuraal</w:t>
                          </w:r>
                        </w:p>
                        <w:p w14:paraId="12EB006B" w14:textId="77777777" w:rsidR="00144F72" w:rsidRDefault="00144F72">
                          <w:pPr>
                            <w:pStyle w:val="WitregelW1"/>
                          </w:pPr>
                        </w:p>
                        <w:p w14:paraId="5C7BD0F3" w14:textId="77777777" w:rsidR="00144F72" w:rsidRDefault="0054341F">
                          <w:pPr>
                            <w:pStyle w:val="Referentiegegevens"/>
                          </w:pPr>
                          <w:r>
                            <w:t>Turfmarkt 147</w:t>
                          </w:r>
                        </w:p>
                        <w:p w14:paraId="150BF071" w14:textId="77777777" w:rsidR="00144F72" w:rsidRDefault="0054341F">
                          <w:pPr>
                            <w:pStyle w:val="Referentiegegevens"/>
                          </w:pPr>
                          <w:r>
                            <w:t>2511 DP   Den Haag</w:t>
                          </w:r>
                        </w:p>
                        <w:p w14:paraId="0613E3B0" w14:textId="77777777" w:rsidR="00144F72" w:rsidRPr="00AD7B32" w:rsidRDefault="0054341F">
                          <w:pPr>
                            <w:pStyle w:val="Referentiegegevens"/>
                            <w:rPr>
                              <w:lang w:val="de-DE"/>
                            </w:rPr>
                          </w:pPr>
                          <w:r w:rsidRPr="00AD7B32">
                            <w:rPr>
                              <w:lang w:val="de-DE"/>
                            </w:rPr>
                            <w:t>Postbus 20301</w:t>
                          </w:r>
                        </w:p>
                        <w:p w14:paraId="44129919" w14:textId="77777777" w:rsidR="00144F72" w:rsidRPr="00AD7B32" w:rsidRDefault="0054341F">
                          <w:pPr>
                            <w:pStyle w:val="Referentiegegevens"/>
                            <w:rPr>
                              <w:lang w:val="de-DE"/>
                            </w:rPr>
                          </w:pPr>
                          <w:r w:rsidRPr="00AD7B32">
                            <w:rPr>
                              <w:lang w:val="de-DE"/>
                            </w:rPr>
                            <w:t>2500 EH   Den Haag</w:t>
                          </w:r>
                        </w:p>
                        <w:p w14:paraId="18883CD6" w14:textId="77777777" w:rsidR="00144F72" w:rsidRPr="00AD7B32" w:rsidRDefault="0054341F">
                          <w:pPr>
                            <w:pStyle w:val="Referentiegegevens"/>
                            <w:rPr>
                              <w:lang w:val="de-DE"/>
                            </w:rPr>
                          </w:pPr>
                          <w:r w:rsidRPr="00AD7B32">
                            <w:rPr>
                              <w:lang w:val="de-DE"/>
                            </w:rPr>
                            <w:t>www.rijksoverheid.nl/jenv</w:t>
                          </w:r>
                        </w:p>
                        <w:p w14:paraId="3D928EAC" w14:textId="77777777" w:rsidR="00144F72" w:rsidRPr="00AD7B32" w:rsidRDefault="00144F72">
                          <w:pPr>
                            <w:pStyle w:val="WitregelW1"/>
                            <w:rPr>
                              <w:lang w:val="de-DE"/>
                            </w:rPr>
                          </w:pPr>
                        </w:p>
                        <w:p w14:paraId="3A78276A" w14:textId="77777777" w:rsidR="00144F72" w:rsidRDefault="0054341F">
                          <w:pPr>
                            <w:pStyle w:val="Referentiegegevensbold"/>
                          </w:pPr>
                          <w:r>
                            <w:t>Onze referentie</w:t>
                          </w:r>
                        </w:p>
                        <w:p w14:paraId="2E8CD990" w14:textId="77777777" w:rsidR="00144F72" w:rsidRDefault="0054341F">
                          <w:pPr>
                            <w:pStyle w:val="Referentiegegevens"/>
                          </w:pPr>
                          <w:r>
                            <w:t>6174267</w:t>
                          </w:r>
                        </w:p>
                      </w:txbxContent>
                    </wps:txbx>
                    <wps:bodyPr vert="horz" wrap="square" lIns="0" tIns="0" rIns="0" bIns="0" anchor="t" anchorCtr="0"/>
                  </wps:wsp>
                </a:graphicData>
              </a:graphic>
            </wp:anchor>
          </w:drawing>
        </mc:Choice>
        <mc:Fallback>
          <w:pict>
            <v:shape w14:anchorId="19C37B1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69235407" w14:textId="77777777" w:rsidR="00144F72" w:rsidRDefault="0054341F">
                    <w:pPr>
                      <w:pStyle w:val="Referentiegegevensbold"/>
                    </w:pPr>
                    <w:r>
                      <w:t>Directoraat-Generaal Straffen en Beschermen</w:t>
                    </w:r>
                  </w:p>
                  <w:p w14:paraId="0B5B70D4" w14:textId="77777777" w:rsidR="00144F72" w:rsidRDefault="0054341F">
                    <w:pPr>
                      <w:pStyle w:val="Referentiegegevens"/>
                    </w:pPr>
                    <w:r>
                      <w:t>Directie Sanctie- en Slachtofferbeleid</w:t>
                    </w:r>
                  </w:p>
                  <w:p w14:paraId="4E043827" w14:textId="77777777" w:rsidR="00144F72" w:rsidRDefault="0054341F">
                    <w:pPr>
                      <w:pStyle w:val="Referentiegegevens"/>
                    </w:pPr>
                    <w:r>
                      <w:t>Sancties Extramuraal</w:t>
                    </w:r>
                  </w:p>
                  <w:p w14:paraId="12EB006B" w14:textId="77777777" w:rsidR="00144F72" w:rsidRDefault="00144F72">
                    <w:pPr>
                      <w:pStyle w:val="WitregelW1"/>
                    </w:pPr>
                  </w:p>
                  <w:p w14:paraId="5C7BD0F3" w14:textId="77777777" w:rsidR="00144F72" w:rsidRDefault="0054341F">
                    <w:pPr>
                      <w:pStyle w:val="Referentiegegevens"/>
                    </w:pPr>
                    <w:r>
                      <w:t>Turfmarkt 147</w:t>
                    </w:r>
                  </w:p>
                  <w:p w14:paraId="150BF071" w14:textId="77777777" w:rsidR="00144F72" w:rsidRDefault="0054341F">
                    <w:pPr>
                      <w:pStyle w:val="Referentiegegevens"/>
                    </w:pPr>
                    <w:r>
                      <w:t>2511 DP   Den Haag</w:t>
                    </w:r>
                  </w:p>
                  <w:p w14:paraId="0613E3B0" w14:textId="77777777" w:rsidR="00144F72" w:rsidRPr="00AD7B32" w:rsidRDefault="0054341F">
                    <w:pPr>
                      <w:pStyle w:val="Referentiegegevens"/>
                      <w:rPr>
                        <w:lang w:val="de-DE"/>
                      </w:rPr>
                    </w:pPr>
                    <w:r w:rsidRPr="00AD7B32">
                      <w:rPr>
                        <w:lang w:val="de-DE"/>
                      </w:rPr>
                      <w:t>Postbus 20301</w:t>
                    </w:r>
                  </w:p>
                  <w:p w14:paraId="44129919" w14:textId="77777777" w:rsidR="00144F72" w:rsidRPr="00AD7B32" w:rsidRDefault="0054341F">
                    <w:pPr>
                      <w:pStyle w:val="Referentiegegevens"/>
                      <w:rPr>
                        <w:lang w:val="de-DE"/>
                      </w:rPr>
                    </w:pPr>
                    <w:r w:rsidRPr="00AD7B32">
                      <w:rPr>
                        <w:lang w:val="de-DE"/>
                      </w:rPr>
                      <w:t>2500 EH   Den Haag</w:t>
                    </w:r>
                  </w:p>
                  <w:p w14:paraId="18883CD6" w14:textId="77777777" w:rsidR="00144F72" w:rsidRPr="00AD7B32" w:rsidRDefault="0054341F">
                    <w:pPr>
                      <w:pStyle w:val="Referentiegegevens"/>
                      <w:rPr>
                        <w:lang w:val="de-DE"/>
                      </w:rPr>
                    </w:pPr>
                    <w:r w:rsidRPr="00AD7B32">
                      <w:rPr>
                        <w:lang w:val="de-DE"/>
                      </w:rPr>
                      <w:t>www.rijksoverheid.nl/jenv</w:t>
                    </w:r>
                  </w:p>
                  <w:p w14:paraId="3D928EAC" w14:textId="77777777" w:rsidR="00144F72" w:rsidRPr="00AD7B32" w:rsidRDefault="00144F72">
                    <w:pPr>
                      <w:pStyle w:val="WitregelW1"/>
                      <w:rPr>
                        <w:lang w:val="de-DE"/>
                      </w:rPr>
                    </w:pPr>
                  </w:p>
                  <w:p w14:paraId="3A78276A" w14:textId="77777777" w:rsidR="00144F72" w:rsidRDefault="0054341F">
                    <w:pPr>
                      <w:pStyle w:val="Referentiegegevensbold"/>
                    </w:pPr>
                    <w:r>
                      <w:t>Onze referentie</w:t>
                    </w:r>
                  </w:p>
                  <w:p w14:paraId="2E8CD990" w14:textId="77777777" w:rsidR="00144F72" w:rsidRDefault="0054341F">
                    <w:pPr>
                      <w:pStyle w:val="Referentiegegevens"/>
                    </w:pPr>
                    <w:r>
                      <w:t>6174267</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6F25FA1" wp14:editId="3B4B75F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F0DCADE" w14:textId="301B481B" w:rsidR="00144F72" w:rsidRDefault="0054341F">
                          <w:pPr>
                            <w:pStyle w:val="Referentiegegevens"/>
                          </w:pPr>
                          <w:r>
                            <w:t xml:space="preserve">Pagina </w:t>
                          </w:r>
                          <w:r>
                            <w:fldChar w:fldCharType="begin"/>
                          </w:r>
                          <w:r>
                            <w:instrText>PAGE</w:instrText>
                          </w:r>
                          <w:r>
                            <w:fldChar w:fldCharType="separate"/>
                          </w:r>
                          <w:r w:rsidR="00D81017">
                            <w:rPr>
                              <w:noProof/>
                            </w:rPr>
                            <w:t>1</w:t>
                          </w:r>
                          <w:r>
                            <w:fldChar w:fldCharType="end"/>
                          </w:r>
                          <w:r>
                            <w:t xml:space="preserve"> van </w:t>
                          </w:r>
                          <w:r>
                            <w:fldChar w:fldCharType="begin"/>
                          </w:r>
                          <w:r>
                            <w:instrText>NUMPAGES</w:instrText>
                          </w:r>
                          <w:r>
                            <w:fldChar w:fldCharType="separate"/>
                          </w:r>
                          <w:r w:rsidR="00D81017">
                            <w:rPr>
                              <w:noProof/>
                            </w:rPr>
                            <w:t>1</w:t>
                          </w:r>
                          <w:r>
                            <w:fldChar w:fldCharType="end"/>
                          </w:r>
                        </w:p>
                      </w:txbxContent>
                    </wps:txbx>
                    <wps:bodyPr vert="horz" wrap="square" lIns="0" tIns="0" rIns="0" bIns="0" anchor="t" anchorCtr="0"/>
                  </wps:wsp>
                </a:graphicData>
              </a:graphic>
            </wp:anchor>
          </w:drawing>
        </mc:Choice>
        <mc:Fallback>
          <w:pict>
            <v:shape w14:anchorId="26F25FA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7F0DCADE" w14:textId="301B481B" w:rsidR="00144F72" w:rsidRDefault="0054341F">
                    <w:pPr>
                      <w:pStyle w:val="Referentiegegevens"/>
                    </w:pPr>
                    <w:r>
                      <w:t xml:space="preserve">Pagina </w:t>
                    </w:r>
                    <w:r>
                      <w:fldChar w:fldCharType="begin"/>
                    </w:r>
                    <w:r>
                      <w:instrText>PAGE</w:instrText>
                    </w:r>
                    <w:r>
                      <w:fldChar w:fldCharType="separate"/>
                    </w:r>
                    <w:r w:rsidR="00D81017">
                      <w:rPr>
                        <w:noProof/>
                      </w:rPr>
                      <w:t>1</w:t>
                    </w:r>
                    <w:r>
                      <w:fldChar w:fldCharType="end"/>
                    </w:r>
                    <w:r>
                      <w:t xml:space="preserve"> van </w:t>
                    </w:r>
                    <w:r>
                      <w:fldChar w:fldCharType="begin"/>
                    </w:r>
                    <w:r>
                      <w:instrText>NUMPAGES</w:instrText>
                    </w:r>
                    <w:r>
                      <w:fldChar w:fldCharType="separate"/>
                    </w:r>
                    <w:r w:rsidR="00D8101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8FA1DDC" wp14:editId="0E586E8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7A1168" w14:textId="77777777" w:rsidR="00F7203B" w:rsidRDefault="00F7203B"/>
                      </w:txbxContent>
                    </wps:txbx>
                    <wps:bodyPr vert="horz" wrap="square" lIns="0" tIns="0" rIns="0" bIns="0" anchor="t" anchorCtr="0"/>
                  </wps:wsp>
                </a:graphicData>
              </a:graphic>
            </wp:anchor>
          </w:drawing>
        </mc:Choice>
        <mc:Fallback>
          <w:pict>
            <v:shape w14:anchorId="58FA1DD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7E7A1168" w14:textId="77777777" w:rsidR="00F7203B" w:rsidRDefault="00F7203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279532"/>
    <w:multiLevelType w:val="multilevel"/>
    <w:tmpl w:val="C73D373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8CDFD90"/>
    <w:multiLevelType w:val="multilevel"/>
    <w:tmpl w:val="BED6968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F0D1A6B"/>
    <w:multiLevelType w:val="multilevel"/>
    <w:tmpl w:val="2BAD4B1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64F5009"/>
    <w:multiLevelType w:val="hybridMultilevel"/>
    <w:tmpl w:val="5FCEE8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A3B850"/>
    <w:multiLevelType w:val="multilevel"/>
    <w:tmpl w:val="B052253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767FCFA"/>
    <w:multiLevelType w:val="multilevel"/>
    <w:tmpl w:val="A2C8B5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61E6D1F7"/>
    <w:multiLevelType w:val="multilevel"/>
    <w:tmpl w:val="C504E63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BE161C7"/>
    <w:multiLevelType w:val="hybridMultilevel"/>
    <w:tmpl w:val="78E45A36"/>
    <w:lvl w:ilvl="0" w:tplc="3D8687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8B92662"/>
    <w:multiLevelType w:val="hybridMultilevel"/>
    <w:tmpl w:val="A92C8E3A"/>
    <w:lvl w:ilvl="0" w:tplc="D5A2350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2"/>
  </w:num>
  <w:num w:numId="6">
    <w:abstractNumId w:val="6"/>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537"/>
    <w:rsid w:val="0000411A"/>
    <w:rsid w:val="00005A47"/>
    <w:rsid w:val="000121B0"/>
    <w:rsid w:val="000152E1"/>
    <w:rsid w:val="000215E3"/>
    <w:rsid w:val="0003258E"/>
    <w:rsid w:val="00032D88"/>
    <w:rsid w:val="00044FED"/>
    <w:rsid w:val="00070755"/>
    <w:rsid w:val="00070FE4"/>
    <w:rsid w:val="00072185"/>
    <w:rsid w:val="00074120"/>
    <w:rsid w:val="00074418"/>
    <w:rsid w:val="00096902"/>
    <w:rsid w:val="000B2894"/>
    <w:rsid w:val="000B6075"/>
    <w:rsid w:val="000C0D1D"/>
    <w:rsid w:val="000C4228"/>
    <w:rsid w:val="000C583D"/>
    <w:rsid w:val="000D263C"/>
    <w:rsid w:val="000D2C83"/>
    <w:rsid w:val="000E2143"/>
    <w:rsid w:val="000F6182"/>
    <w:rsid w:val="000F662B"/>
    <w:rsid w:val="001058FA"/>
    <w:rsid w:val="00110526"/>
    <w:rsid w:val="001114C3"/>
    <w:rsid w:val="00111924"/>
    <w:rsid w:val="001167F3"/>
    <w:rsid w:val="001268CC"/>
    <w:rsid w:val="00126D5C"/>
    <w:rsid w:val="001307ED"/>
    <w:rsid w:val="001347D2"/>
    <w:rsid w:val="001407C9"/>
    <w:rsid w:val="00144F72"/>
    <w:rsid w:val="0014548D"/>
    <w:rsid w:val="001463C2"/>
    <w:rsid w:val="001511E0"/>
    <w:rsid w:val="0015372B"/>
    <w:rsid w:val="001561F3"/>
    <w:rsid w:val="001628D8"/>
    <w:rsid w:val="00163C71"/>
    <w:rsid w:val="00181DD1"/>
    <w:rsid w:val="0019276A"/>
    <w:rsid w:val="00193E9A"/>
    <w:rsid w:val="001B0F8E"/>
    <w:rsid w:val="001B3E42"/>
    <w:rsid w:val="001B5819"/>
    <w:rsid w:val="001D68A4"/>
    <w:rsid w:val="001E10A0"/>
    <w:rsid w:val="00214631"/>
    <w:rsid w:val="002168C6"/>
    <w:rsid w:val="0021713A"/>
    <w:rsid w:val="00227B02"/>
    <w:rsid w:val="0023592F"/>
    <w:rsid w:val="00236B43"/>
    <w:rsid w:val="0024276E"/>
    <w:rsid w:val="002546F0"/>
    <w:rsid w:val="00256361"/>
    <w:rsid w:val="00270EF7"/>
    <w:rsid w:val="00290B12"/>
    <w:rsid w:val="00294AB4"/>
    <w:rsid w:val="00297C1C"/>
    <w:rsid w:val="002A384C"/>
    <w:rsid w:val="002B0B7A"/>
    <w:rsid w:val="002C1300"/>
    <w:rsid w:val="002D5952"/>
    <w:rsid w:val="002E05BF"/>
    <w:rsid w:val="002E084F"/>
    <w:rsid w:val="002E49FB"/>
    <w:rsid w:val="003061C2"/>
    <w:rsid w:val="003319FA"/>
    <w:rsid w:val="00332E23"/>
    <w:rsid w:val="00342D5B"/>
    <w:rsid w:val="003509FB"/>
    <w:rsid w:val="00361B38"/>
    <w:rsid w:val="00362D7C"/>
    <w:rsid w:val="0036789C"/>
    <w:rsid w:val="00370466"/>
    <w:rsid w:val="003713A8"/>
    <w:rsid w:val="003721BC"/>
    <w:rsid w:val="00375001"/>
    <w:rsid w:val="0038089A"/>
    <w:rsid w:val="00382460"/>
    <w:rsid w:val="00385EF2"/>
    <w:rsid w:val="003864A8"/>
    <w:rsid w:val="00397084"/>
    <w:rsid w:val="003A00B9"/>
    <w:rsid w:val="003A260C"/>
    <w:rsid w:val="003A4B1B"/>
    <w:rsid w:val="003B78B9"/>
    <w:rsid w:val="003C0E92"/>
    <w:rsid w:val="003C3EFF"/>
    <w:rsid w:val="003C4D54"/>
    <w:rsid w:val="003C5828"/>
    <w:rsid w:val="003C6CF5"/>
    <w:rsid w:val="003C71D6"/>
    <w:rsid w:val="003C7D39"/>
    <w:rsid w:val="003E5397"/>
    <w:rsid w:val="003F7D45"/>
    <w:rsid w:val="004063C0"/>
    <w:rsid w:val="00417657"/>
    <w:rsid w:val="00422C38"/>
    <w:rsid w:val="00441BAE"/>
    <w:rsid w:val="00447E24"/>
    <w:rsid w:val="00452BCE"/>
    <w:rsid w:val="004678E9"/>
    <w:rsid w:val="00483CF5"/>
    <w:rsid w:val="004A4364"/>
    <w:rsid w:val="004A67F2"/>
    <w:rsid w:val="004B02F0"/>
    <w:rsid w:val="004C03F1"/>
    <w:rsid w:val="004E5ADC"/>
    <w:rsid w:val="004F3B59"/>
    <w:rsid w:val="005309B3"/>
    <w:rsid w:val="00533A4E"/>
    <w:rsid w:val="00535130"/>
    <w:rsid w:val="0054341F"/>
    <w:rsid w:val="00543A7D"/>
    <w:rsid w:val="005569CC"/>
    <w:rsid w:val="0056017F"/>
    <w:rsid w:val="005629F1"/>
    <w:rsid w:val="00564B0C"/>
    <w:rsid w:val="005743EB"/>
    <w:rsid w:val="00584A82"/>
    <w:rsid w:val="00586E0B"/>
    <w:rsid w:val="00591E00"/>
    <w:rsid w:val="0059503E"/>
    <w:rsid w:val="005A02E1"/>
    <w:rsid w:val="005A7608"/>
    <w:rsid w:val="005B2B25"/>
    <w:rsid w:val="005C59F3"/>
    <w:rsid w:val="005C6D6D"/>
    <w:rsid w:val="005D6617"/>
    <w:rsid w:val="005E2C53"/>
    <w:rsid w:val="005E6B8B"/>
    <w:rsid w:val="005E7DC3"/>
    <w:rsid w:val="005F381F"/>
    <w:rsid w:val="005F468A"/>
    <w:rsid w:val="005F6853"/>
    <w:rsid w:val="006022EF"/>
    <w:rsid w:val="00604CCA"/>
    <w:rsid w:val="00606004"/>
    <w:rsid w:val="006308F3"/>
    <w:rsid w:val="00647B23"/>
    <w:rsid w:val="00652AEE"/>
    <w:rsid w:val="00656B3F"/>
    <w:rsid w:val="00665EA9"/>
    <w:rsid w:val="00680D36"/>
    <w:rsid w:val="006811E2"/>
    <w:rsid w:val="00681677"/>
    <w:rsid w:val="00684756"/>
    <w:rsid w:val="006847C8"/>
    <w:rsid w:val="00684877"/>
    <w:rsid w:val="006A7BEF"/>
    <w:rsid w:val="006C0D54"/>
    <w:rsid w:val="006C20E2"/>
    <w:rsid w:val="006C5405"/>
    <w:rsid w:val="006C5BBC"/>
    <w:rsid w:val="006C6F1C"/>
    <w:rsid w:val="006D00F7"/>
    <w:rsid w:val="006D6575"/>
    <w:rsid w:val="006D7E47"/>
    <w:rsid w:val="006E0AD2"/>
    <w:rsid w:val="006F5E18"/>
    <w:rsid w:val="00715148"/>
    <w:rsid w:val="00732A40"/>
    <w:rsid w:val="00734F9F"/>
    <w:rsid w:val="007412AD"/>
    <w:rsid w:val="007522B5"/>
    <w:rsid w:val="0075663D"/>
    <w:rsid w:val="0076612A"/>
    <w:rsid w:val="00770A23"/>
    <w:rsid w:val="00781D49"/>
    <w:rsid w:val="0079137C"/>
    <w:rsid w:val="00795641"/>
    <w:rsid w:val="007A1B17"/>
    <w:rsid w:val="007A44F2"/>
    <w:rsid w:val="007A504A"/>
    <w:rsid w:val="007C2181"/>
    <w:rsid w:val="007C3AB8"/>
    <w:rsid w:val="007C3E9F"/>
    <w:rsid w:val="007E1A22"/>
    <w:rsid w:val="007E5734"/>
    <w:rsid w:val="007F1792"/>
    <w:rsid w:val="007F4216"/>
    <w:rsid w:val="007F4C1E"/>
    <w:rsid w:val="007F70C0"/>
    <w:rsid w:val="00815218"/>
    <w:rsid w:val="00816310"/>
    <w:rsid w:val="0082021A"/>
    <w:rsid w:val="00822A5F"/>
    <w:rsid w:val="008255EF"/>
    <w:rsid w:val="008275F0"/>
    <w:rsid w:val="00841590"/>
    <w:rsid w:val="008419D7"/>
    <w:rsid w:val="00850E08"/>
    <w:rsid w:val="008613BA"/>
    <w:rsid w:val="00871A02"/>
    <w:rsid w:val="00873287"/>
    <w:rsid w:val="00892A10"/>
    <w:rsid w:val="008935C1"/>
    <w:rsid w:val="008A06AD"/>
    <w:rsid w:val="008A1DB8"/>
    <w:rsid w:val="008B13C5"/>
    <w:rsid w:val="008B365E"/>
    <w:rsid w:val="008C28FA"/>
    <w:rsid w:val="008E0AB6"/>
    <w:rsid w:val="008E48A9"/>
    <w:rsid w:val="008F406A"/>
    <w:rsid w:val="00901400"/>
    <w:rsid w:val="0090545B"/>
    <w:rsid w:val="0091191B"/>
    <w:rsid w:val="0092146E"/>
    <w:rsid w:val="00931BE5"/>
    <w:rsid w:val="009328D3"/>
    <w:rsid w:val="00933BFF"/>
    <w:rsid w:val="00940D9E"/>
    <w:rsid w:val="00961B28"/>
    <w:rsid w:val="00970D53"/>
    <w:rsid w:val="00976180"/>
    <w:rsid w:val="009805F5"/>
    <w:rsid w:val="00990D1E"/>
    <w:rsid w:val="00995783"/>
    <w:rsid w:val="009968B5"/>
    <w:rsid w:val="009A0A10"/>
    <w:rsid w:val="009C2096"/>
    <w:rsid w:val="009D03A7"/>
    <w:rsid w:val="009D101F"/>
    <w:rsid w:val="009E1E98"/>
    <w:rsid w:val="009E43EB"/>
    <w:rsid w:val="009E62C0"/>
    <w:rsid w:val="009E74CF"/>
    <w:rsid w:val="009F30AE"/>
    <w:rsid w:val="009F76AC"/>
    <w:rsid w:val="00A0519F"/>
    <w:rsid w:val="00A106AF"/>
    <w:rsid w:val="00A108C2"/>
    <w:rsid w:val="00A17192"/>
    <w:rsid w:val="00A17705"/>
    <w:rsid w:val="00A323A5"/>
    <w:rsid w:val="00A33812"/>
    <w:rsid w:val="00A35F39"/>
    <w:rsid w:val="00A416EC"/>
    <w:rsid w:val="00A55C7A"/>
    <w:rsid w:val="00A55D21"/>
    <w:rsid w:val="00A56F85"/>
    <w:rsid w:val="00A57733"/>
    <w:rsid w:val="00A80F80"/>
    <w:rsid w:val="00A85F95"/>
    <w:rsid w:val="00A9604D"/>
    <w:rsid w:val="00AA67C8"/>
    <w:rsid w:val="00AD4ABE"/>
    <w:rsid w:val="00AD7B32"/>
    <w:rsid w:val="00AF0AE6"/>
    <w:rsid w:val="00B01B15"/>
    <w:rsid w:val="00B05AC6"/>
    <w:rsid w:val="00B16A01"/>
    <w:rsid w:val="00B2184D"/>
    <w:rsid w:val="00B23CC3"/>
    <w:rsid w:val="00B23F25"/>
    <w:rsid w:val="00B242D7"/>
    <w:rsid w:val="00B31D8F"/>
    <w:rsid w:val="00B5289F"/>
    <w:rsid w:val="00B533E8"/>
    <w:rsid w:val="00B74E92"/>
    <w:rsid w:val="00B77B2C"/>
    <w:rsid w:val="00B83240"/>
    <w:rsid w:val="00B878E4"/>
    <w:rsid w:val="00B90459"/>
    <w:rsid w:val="00B909AC"/>
    <w:rsid w:val="00B933B6"/>
    <w:rsid w:val="00B95121"/>
    <w:rsid w:val="00BA1625"/>
    <w:rsid w:val="00BA7841"/>
    <w:rsid w:val="00BA7A2C"/>
    <w:rsid w:val="00BB279E"/>
    <w:rsid w:val="00BB462C"/>
    <w:rsid w:val="00BB71C3"/>
    <w:rsid w:val="00BE0699"/>
    <w:rsid w:val="00BE19DF"/>
    <w:rsid w:val="00BE7879"/>
    <w:rsid w:val="00C05C40"/>
    <w:rsid w:val="00C13FF1"/>
    <w:rsid w:val="00C20187"/>
    <w:rsid w:val="00C21F99"/>
    <w:rsid w:val="00C239A1"/>
    <w:rsid w:val="00C34C65"/>
    <w:rsid w:val="00C3620F"/>
    <w:rsid w:val="00C415F4"/>
    <w:rsid w:val="00C42ABF"/>
    <w:rsid w:val="00C45537"/>
    <w:rsid w:val="00C547DB"/>
    <w:rsid w:val="00C57B78"/>
    <w:rsid w:val="00C638BC"/>
    <w:rsid w:val="00C645B7"/>
    <w:rsid w:val="00C64A7E"/>
    <w:rsid w:val="00C70F63"/>
    <w:rsid w:val="00C75443"/>
    <w:rsid w:val="00C903B2"/>
    <w:rsid w:val="00CA3D02"/>
    <w:rsid w:val="00CA69F1"/>
    <w:rsid w:val="00CB5C4E"/>
    <w:rsid w:val="00CB5C5F"/>
    <w:rsid w:val="00CC56E2"/>
    <w:rsid w:val="00CD746D"/>
    <w:rsid w:val="00CE0352"/>
    <w:rsid w:val="00CE4D37"/>
    <w:rsid w:val="00D05434"/>
    <w:rsid w:val="00D134E6"/>
    <w:rsid w:val="00D13E83"/>
    <w:rsid w:val="00D1589D"/>
    <w:rsid w:val="00D22B36"/>
    <w:rsid w:val="00D4284B"/>
    <w:rsid w:val="00D472A7"/>
    <w:rsid w:val="00D60587"/>
    <w:rsid w:val="00D60BB0"/>
    <w:rsid w:val="00D70799"/>
    <w:rsid w:val="00D7524F"/>
    <w:rsid w:val="00D778D7"/>
    <w:rsid w:val="00D81017"/>
    <w:rsid w:val="00D94CF3"/>
    <w:rsid w:val="00D961CB"/>
    <w:rsid w:val="00DA0E95"/>
    <w:rsid w:val="00DB7B5E"/>
    <w:rsid w:val="00DC6AE5"/>
    <w:rsid w:val="00DD1003"/>
    <w:rsid w:val="00DD1422"/>
    <w:rsid w:val="00DE15D0"/>
    <w:rsid w:val="00DE4F6D"/>
    <w:rsid w:val="00DF4B4C"/>
    <w:rsid w:val="00DF50B8"/>
    <w:rsid w:val="00E152CB"/>
    <w:rsid w:val="00E162D0"/>
    <w:rsid w:val="00E17234"/>
    <w:rsid w:val="00E1794A"/>
    <w:rsid w:val="00E232D2"/>
    <w:rsid w:val="00E3439B"/>
    <w:rsid w:val="00E36F9F"/>
    <w:rsid w:val="00E4288D"/>
    <w:rsid w:val="00E44207"/>
    <w:rsid w:val="00E531E4"/>
    <w:rsid w:val="00E558F4"/>
    <w:rsid w:val="00E62DD1"/>
    <w:rsid w:val="00E674D4"/>
    <w:rsid w:val="00E7203F"/>
    <w:rsid w:val="00E7777F"/>
    <w:rsid w:val="00E8268E"/>
    <w:rsid w:val="00E83EDB"/>
    <w:rsid w:val="00E94FE8"/>
    <w:rsid w:val="00E975A3"/>
    <w:rsid w:val="00EA0EDC"/>
    <w:rsid w:val="00EA3469"/>
    <w:rsid w:val="00EB44D0"/>
    <w:rsid w:val="00ED09CD"/>
    <w:rsid w:val="00ED1DB8"/>
    <w:rsid w:val="00ED40AE"/>
    <w:rsid w:val="00EE1A0C"/>
    <w:rsid w:val="00F13EBA"/>
    <w:rsid w:val="00F15FFD"/>
    <w:rsid w:val="00F16AE3"/>
    <w:rsid w:val="00F20CAA"/>
    <w:rsid w:val="00F3215A"/>
    <w:rsid w:val="00F457AA"/>
    <w:rsid w:val="00F465DD"/>
    <w:rsid w:val="00F46D2D"/>
    <w:rsid w:val="00F47C90"/>
    <w:rsid w:val="00F47F69"/>
    <w:rsid w:val="00F62CF5"/>
    <w:rsid w:val="00F65CD2"/>
    <w:rsid w:val="00F663AD"/>
    <w:rsid w:val="00F66F98"/>
    <w:rsid w:val="00F7203B"/>
    <w:rsid w:val="00F811A3"/>
    <w:rsid w:val="00F82167"/>
    <w:rsid w:val="00F84BB6"/>
    <w:rsid w:val="00F8727E"/>
    <w:rsid w:val="00F87F6F"/>
    <w:rsid w:val="00FA36F0"/>
    <w:rsid w:val="00FA6E4C"/>
    <w:rsid w:val="00FB2494"/>
    <w:rsid w:val="00FB4D1F"/>
    <w:rsid w:val="00FD5675"/>
    <w:rsid w:val="00FD756D"/>
    <w:rsid w:val="00FE3DD8"/>
    <w:rsid w:val="00FE507A"/>
    <w:rsid w:val="00FE7B13"/>
    <w:rsid w:val="00FF4003"/>
    <w:rsid w:val="00FF57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A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ind w:left="1440" w:hanging="360"/>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C45537"/>
    <w:pPr>
      <w:ind w:left="720"/>
      <w:contextualSpacing/>
    </w:pPr>
  </w:style>
  <w:style w:type="paragraph" w:styleId="Koptekst">
    <w:name w:val="header"/>
    <w:basedOn w:val="Standaard"/>
    <w:link w:val="KoptekstChar"/>
    <w:uiPriority w:val="99"/>
    <w:unhideWhenUsed/>
    <w:rsid w:val="0024276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4276E"/>
    <w:rPr>
      <w:rFonts w:ascii="Verdana" w:hAnsi="Verdana"/>
      <w:color w:val="000000"/>
      <w:sz w:val="18"/>
      <w:szCs w:val="18"/>
    </w:rPr>
  </w:style>
  <w:style w:type="paragraph" w:styleId="Voetnoottekst">
    <w:name w:val="footnote text"/>
    <w:basedOn w:val="Standaard"/>
    <w:link w:val="VoetnoottekstChar"/>
    <w:uiPriority w:val="99"/>
    <w:semiHidden/>
    <w:unhideWhenUsed/>
    <w:rsid w:val="00680D3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80D36"/>
    <w:rPr>
      <w:rFonts w:ascii="Verdana" w:hAnsi="Verdana"/>
      <w:color w:val="000000"/>
    </w:rPr>
  </w:style>
  <w:style w:type="character" w:styleId="Voetnootmarkering">
    <w:name w:val="footnote reference"/>
    <w:basedOn w:val="Standaardalinea-lettertype"/>
    <w:uiPriority w:val="99"/>
    <w:semiHidden/>
    <w:unhideWhenUsed/>
    <w:rsid w:val="00680D36"/>
    <w:rPr>
      <w:vertAlign w:val="superscript"/>
    </w:rPr>
  </w:style>
  <w:style w:type="character" w:styleId="Verwijzingopmerking">
    <w:name w:val="annotation reference"/>
    <w:basedOn w:val="Standaardalinea-lettertype"/>
    <w:uiPriority w:val="99"/>
    <w:semiHidden/>
    <w:unhideWhenUsed/>
    <w:rsid w:val="00A323A5"/>
    <w:rPr>
      <w:sz w:val="16"/>
      <w:szCs w:val="16"/>
    </w:rPr>
  </w:style>
  <w:style w:type="paragraph" w:styleId="Tekstopmerking">
    <w:name w:val="annotation text"/>
    <w:basedOn w:val="Standaard"/>
    <w:link w:val="TekstopmerkingChar"/>
    <w:uiPriority w:val="99"/>
    <w:unhideWhenUsed/>
    <w:rsid w:val="00A323A5"/>
    <w:pPr>
      <w:spacing w:line="240" w:lineRule="auto"/>
    </w:pPr>
    <w:rPr>
      <w:sz w:val="20"/>
      <w:szCs w:val="20"/>
    </w:rPr>
  </w:style>
  <w:style w:type="character" w:customStyle="1" w:styleId="TekstopmerkingChar">
    <w:name w:val="Tekst opmerking Char"/>
    <w:basedOn w:val="Standaardalinea-lettertype"/>
    <w:link w:val="Tekstopmerking"/>
    <w:uiPriority w:val="99"/>
    <w:rsid w:val="00A323A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323A5"/>
    <w:rPr>
      <w:b/>
      <w:bCs/>
    </w:rPr>
  </w:style>
  <w:style w:type="character" w:customStyle="1" w:styleId="OnderwerpvanopmerkingChar">
    <w:name w:val="Onderwerp van opmerking Char"/>
    <w:basedOn w:val="TekstopmerkingChar"/>
    <w:link w:val="Onderwerpvanopmerking"/>
    <w:uiPriority w:val="99"/>
    <w:semiHidden/>
    <w:rsid w:val="00A323A5"/>
    <w:rPr>
      <w:rFonts w:ascii="Verdana" w:hAnsi="Verdana"/>
      <w:b/>
      <w:bCs/>
      <w:color w:val="000000"/>
    </w:rPr>
  </w:style>
  <w:style w:type="paragraph" w:customStyle="1" w:styleId="TableParagraph">
    <w:name w:val="Table Paragraph"/>
    <w:basedOn w:val="Standaard"/>
    <w:uiPriority w:val="1"/>
    <w:qFormat/>
    <w:rsid w:val="00850E08"/>
    <w:pPr>
      <w:autoSpaceDE w:val="0"/>
      <w:adjustRightInd w:val="0"/>
      <w:spacing w:before="58" w:line="338" w:lineRule="exact"/>
      <w:ind w:left="133"/>
      <w:textAlignment w:val="auto"/>
    </w:pPr>
    <w:rPr>
      <w:rFonts w:eastAsiaTheme="minorHAnsi" w:cs="Verdana"/>
      <w:color w:val="auto"/>
      <w:sz w:val="24"/>
      <w:szCs w:val="24"/>
      <w:lang w:eastAsia="en-US"/>
    </w:rPr>
  </w:style>
  <w:style w:type="paragraph" w:styleId="Revisie">
    <w:name w:val="Revision"/>
    <w:hidden/>
    <w:uiPriority w:val="99"/>
    <w:semiHidden/>
    <w:rsid w:val="003319FA"/>
    <w:pPr>
      <w:autoSpaceDN/>
      <w:textAlignment w:val="auto"/>
    </w:pPr>
    <w:rPr>
      <w:rFonts w:ascii="Verdana" w:hAnsi="Verdana"/>
      <w:color w:val="000000"/>
      <w:sz w:val="18"/>
      <w:szCs w:val="18"/>
    </w:rPr>
  </w:style>
  <w:style w:type="table" w:styleId="Rastertabel1licht-Accent4">
    <w:name w:val="Grid Table 1 Light Accent 4"/>
    <w:basedOn w:val="Standaardtabel"/>
    <w:uiPriority w:val="46"/>
    <w:rsid w:val="00E8268E"/>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Rastertabel4-Accent4">
    <w:name w:val="Grid Table 4 Accent 4"/>
    <w:basedOn w:val="Standaardtabel"/>
    <w:uiPriority w:val="49"/>
    <w:rsid w:val="0056017F"/>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customStyle="1" w:styleId="UnresolvedMention">
    <w:name w:val="Unresolved Mention"/>
    <w:basedOn w:val="Standaardalinea-lettertype"/>
    <w:uiPriority w:val="99"/>
    <w:semiHidden/>
    <w:unhideWhenUsed/>
    <w:rsid w:val="003C5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84281">
      <w:bodyDiv w:val="1"/>
      <w:marLeft w:val="0"/>
      <w:marRight w:val="0"/>
      <w:marTop w:val="0"/>
      <w:marBottom w:val="0"/>
      <w:divBdr>
        <w:top w:val="none" w:sz="0" w:space="0" w:color="auto"/>
        <w:left w:val="none" w:sz="0" w:space="0" w:color="auto"/>
        <w:bottom w:val="none" w:sz="0" w:space="0" w:color="auto"/>
        <w:right w:val="none" w:sz="0" w:space="0" w:color="auto"/>
      </w:divBdr>
    </w:div>
    <w:div w:id="576985976">
      <w:bodyDiv w:val="1"/>
      <w:marLeft w:val="0"/>
      <w:marRight w:val="0"/>
      <w:marTop w:val="0"/>
      <w:marBottom w:val="0"/>
      <w:divBdr>
        <w:top w:val="none" w:sz="0" w:space="0" w:color="auto"/>
        <w:left w:val="none" w:sz="0" w:space="0" w:color="auto"/>
        <w:bottom w:val="none" w:sz="0" w:space="0" w:color="auto"/>
        <w:right w:val="none" w:sz="0" w:space="0" w:color="auto"/>
      </w:divBdr>
    </w:div>
    <w:div w:id="726026772">
      <w:bodyDiv w:val="1"/>
      <w:marLeft w:val="0"/>
      <w:marRight w:val="0"/>
      <w:marTop w:val="0"/>
      <w:marBottom w:val="0"/>
      <w:divBdr>
        <w:top w:val="none" w:sz="0" w:space="0" w:color="auto"/>
        <w:left w:val="none" w:sz="0" w:space="0" w:color="auto"/>
        <w:bottom w:val="none" w:sz="0" w:space="0" w:color="auto"/>
        <w:right w:val="none" w:sz="0" w:space="0" w:color="auto"/>
      </w:divBdr>
    </w:div>
    <w:div w:id="977538452">
      <w:bodyDiv w:val="1"/>
      <w:marLeft w:val="0"/>
      <w:marRight w:val="0"/>
      <w:marTop w:val="0"/>
      <w:marBottom w:val="0"/>
      <w:divBdr>
        <w:top w:val="none" w:sz="0" w:space="0" w:color="auto"/>
        <w:left w:val="none" w:sz="0" w:space="0" w:color="auto"/>
        <w:bottom w:val="none" w:sz="0" w:space="0" w:color="auto"/>
        <w:right w:val="none" w:sz="0" w:space="0" w:color="auto"/>
      </w:divBdr>
    </w:div>
    <w:div w:id="1831477551">
      <w:bodyDiv w:val="1"/>
      <w:marLeft w:val="0"/>
      <w:marRight w:val="0"/>
      <w:marTop w:val="0"/>
      <w:marBottom w:val="0"/>
      <w:divBdr>
        <w:top w:val="none" w:sz="0" w:space="0" w:color="auto"/>
        <w:left w:val="none" w:sz="0" w:space="0" w:color="auto"/>
        <w:bottom w:val="none" w:sz="0" w:space="0" w:color="auto"/>
        <w:right w:val="none" w:sz="0" w:space="0" w:color="auto"/>
      </w:divBdr>
    </w:div>
    <w:div w:id="1873960764">
      <w:bodyDiv w:val="1"/>
      <w:marLeft w:val="0"/>
      <w:marRight w:val="0"/>
      <w:marTop w:val="0"/>
      <w:marBottom w:val="0"/>
      <w:divBdr>
        <w:top w:val="none" w:sz="0" w:space="0" w:color="auto"/>
        <w:left w:val="none" w:sz="0" w:space="0" w:color="auto"/>
        <w:bottom w:val="none" w:sz="0" w:space="0" w:color="auto"/>
        <w:right w:val="none" w:sz="0" w:space="0" w:color="auto"/>
      </w:divBdr>
    </w:div>
    <w:div w:id="2078283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2134</ap:Words>
  <ap:Characters>11743</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Brief - Voortgang beleidsinitiatieven regeerprogramma CJIB</vt:lpstr>
    </vt:vector>
  </ap:TitlesOfParts>
  <ap:LinksUpToDate>false</ap:LinksUpToDate>
  <ap:CharactersWithSpaces>13850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2025-04-04T15:11:00.0000000Z</dcterms:created>
  <dcterms:modified xsi:type="dcterms:W3CDTF">2025-04-04T15:11:00.0000000Z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Voortgang beleidsinitiatieven regeerprogramma CJIB</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31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6174267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