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2780" w:rsidR="00E12780" w:rsidP="00E12780" w:rsidRDefault="00E12780" w14:paraId="7F255A11" w14:textId="0ECEA27F">
      <w:pPr>
        <w:pStyle w:val="Geenafstand"/>
        <w:rPr>
          <w:b/>
          <w:bCs/>
        </w:rPr>
      </w:pPr>
      <w:r w:rsidRPr="00E12780">
        <w:rPr>
          <w:b/>
          <w:bCs/>
        </w:rPr>
        <w:t>AH 18</w:t>
      </w:r>
      <w:r>
        <w:rPr>
          <w:b/>
          <w:bCs/>
        </w:rPr>
        <w:t>5</w:t>
      </w:r>
      <w:r w:rsidRPr="00E12780">
        <w:rPr>
          <w:b/>
          <w:bCs/>
        </w:rPr>
        <w:t>3</w:t>
      </w:r>
    </w:p>
    <w:p w:rsidR="00E12780" w:rsidP="00E12780" w:rsidRDefault="00E12780" w14:paraId="2F6D9875" w14:textId="3F247469">
      <w:pPr>
        <w:pStyle w:val="Geenafstand"/>
        <w:rPr>
          <w:b/>
          <w:bCs/>
        </w:rPr>
      </w:pPr>
      <w:r w:rsidRPr="00E12780">
        <w:rPr>
          <w:b/>
          <w:bCs/>
        </w:rPr>
        <w:t>2025Z02996</w:t>
      </w:r>
    </w:p>
    <w:p w:rsidRPr="00E12780" w:rsidR="00E12780" w:rsidP="00E12780" w:rsidRDefault="00E12780" w14:paraId="03B3E2D0" w14:textId="77777777">
      <w:pPr>
        <w:pStyle w:val="Geenafstand"/>
        <w:rPr>
          <w:b/>
          <w:bCs/>
        </w:rPr>
      </w:pPr>
    </w:p>
    <w:p w:rsidR="00E12780" w:rsidP="00E12780" w:rsidRDefault="00E12780" w14:paraId="3BC4EC6B" w14:textId="00F0B4BB">
      <w:pPr>
        <w:pStyle w:val="Geenafstand"/>
        <w:rPr>
          <w:sz w:val="24"/>
          <w:szCs w:val="24"/>
        </w:rPr>
      </w:pPr>
      <w:r w:rsidRPr="00E12780">
        <w:rPr>
          <w:sz w:val="24"/>
          <w:szCs w:val="24"/>
        </w:rPr>
        <w:t>Antwoord van minister Van Weel (Justitie en Veiligheid) (ontvangen</w:t>
      </w:r>
      <w:r>
        <w:rPr>
          <w:sz w:val="24"/>
          <w:szCs w:val="24"/>
        </w:rPr>
        <w:t xml:space="preserve"> 7 april 2025)</w:t>
      </w:r>
    </w:p>
    <w:p w:rsidR="00E12780" w:rsidP="00E12780" w:rsidRDefault="00E12780" w14:paraId="43084DC4" w14:textId="77777777">
      <w:pPr>
        <w:rPr>
          <w:b/>
          <w:bCs/>
        </w:rPr>
      </w:pPr>
    </w:p>
    <w:p w:rsidR="00E12780" w:rsidP="00E12780" w:rsidRDefault="00E12780" w14:paraId="181B595F" w14:textId="42A20DF4">
      <w:pPr>
        <w:rPr>
          <w:sz w:val="24"/>
        </w:rPr>
      </w:pPr>
      <w:r w:rsidRPr="00E12780">
        <w:rPr>
          <w:sz w:val="24"/>
        </w:rPr>
        <w:t>Zie ook Aanhangsel Handelingen, vergaderjaar 2024-2025, nr.</w:t>
      </w:r>
      <w:r>
        <w:rPr>
          <w:sz w:val="24"/>
        </w:rPr>
        <w:t xml:space="preserve"> 1595</w:t>
      </w:r>
    </w:p>
    <w:p w:rsidRPr="00E12780" w:rsidR="00E12780" w:rsidP="00E12780" w:rsidRDefault="00E12780" w14:paraId="7839C7A6" w14:textId="77777777"/>
    <w:p w:rsidRPr="000C4045" w:rsidR="00E12780" w:rsidP="00E12780" w:rsidRDefault="00E12780" w14:paraId="56FD389C" w14:textId="77777777">
      <w:pPr>
        <w:rPr>
          <w:b/>
          <w:bCs/>
        </w:rPr>
      </w:pPr>
      <w:r w:rsidRPr="000C4045">
        <w:rPr>
          <w:b/>
          <w:bCs/>
        </w:rPr>
        <w:t>Vraag 1</w:t>
      </w:r>
    </w:p>
    <w:p w:rsidRPr="000C4045" w:rsidR="00E12780" w:rsidP="00E12780" w:rsidRDefault="00E12780" w14:paraId="4B718B05" w14:textId="2710ED6D">
      <w:pPr>
        <w:rPr>
          <w:b/>
          <w:bCs/>
        </w:rPr>
      </w:pPr>
      <w:r w:rsidRPr="000C4045">
        <w:rPr>
          <w:b/>
          <w:bCs/>
        </w:rPr>
        <w:t>Wat is uw reactie op het NRC-artikel ‘Hoe het geheime leven van een politie-informant zich tegen hem keerde’? 1)</w:t>
      </w:r>
    </w:p>
    <w:p w:rsidRPr="000C4045" w:rsidR="00E12780" w:rsidP="00E12780" w:rsidRDefault="00E12780" w14:paraId="5DEF0A31" w14:textId="77777777">
      <w:pPr>
        <w:rPr>
          <w:b/>
          <w:bCs/>
        </w:rPr>
      </w:pPr>
    </w:p>
    <w:p w:rsidRPr="000C4045" w:rsidR="00E12780" w:rsidP="00E12780" w:rsidRDefault="00E12780" w14:paraId="3666EFAA" w14:textId="77777777">
      <w:pPr>
        <w:rPr>
          <w:b/>
          <w:bCs/>
        </w:rPr>
      </w:pPr>
      <w:r w:rsidRPr="000C4045">
        <w:rPr>
          <w:b/>
          <w:bCs/>
        </w:rPr>
        <w:t>Antwoord op vraag 1</w:t>
      </w:r>
    </w:p>
    <w:p w:rsidRPr="000C4045" w:rsidR="00E12780" w:rsidP="00E12780" w:rsidRDefault="00E12780" w14:paraId="26051BE2" w14:textId="77777777">
      <w:r w:rsidRPr="000C4045">
        <w:t>Ik heb kennis genomen van de inhoud in dit artikel. Zie verder het antwoord op de vragen hieronder.</w:t>
      </w:r>
    </w:p>
    <w:p w:rsidRPr="000C4045" w:rsidR="00E12780" w:rsidP="00E12780" w:rsidRDefault="00E12780" w14:paraId="2D0B7FC0" w14:textId="77777777">
      <w:pPr>
        <w:rPr>
          <w:b/>
          <w:bCs/>
        </w:rPr>
      </w:pPr>
    </w:p>
    <w:p w:rsidRPr="000C4045" w:rsidR="00E12780" w:rsidP="00E12780" w:rsidRDefault="00E12780" w14:paraId="2D30A9A4" w14:textId="77777777">
      <w:pPr>
        <w:rPr>
          <w:b/>
          <w:bCs/>
        </w:rPr>
      </w:pPr>
      <w:r w:rsidRPr="000C4045">
        <w:rPr>
          <w:b/>
          <w:bCs/>
        </w:rPr>
        <w:t>Vraag 2</w:t>
      </w:r>
    </w:p>
    <w:p w:rsidRPr="000C4045" w:rsidR="00E12780" w:rsidP="00E12780" w:rsidRDefault="00E12780" w14:paraId="3EE8B798" w14:textId="77777777">
      <w:pPr>
        <w:rPr>
          <w:b/>
          <w:bCs/>
        </w:rPr>
      </w:pPr>
      <w:r w:rsidRPr="000C4045">
        <w:rPr>
          <w:b/>
          <w:bCs/>
        </w:rPr>
        <w:t xml:space="preserve">Kunt u bevestigen dat een man die al jarenlang informatie verschaft aan de politie op enig moment wordt opgepakt, van de politie moet blijven zwijgen, zich niet tegen de aanklacht heeft kunnen verdedigen en zelfs maandenlang in detentie terecht komt? </w:t>
      </w:r>
    </w:p>
    <w:p w:rsidRPr="000C4045" w:rsidR="00E12780" w:rsidP="00E12780" w:rsidRDefault="00E12780" w14:paraId="00D812D9" w14:textId="77777777">
      <w:pPr>
        <w:rPr>
          <w:b/>
          <w:bCs/>
        </w:rPr>
      </w:pPr>
    </w:p>
    <w:p w:rsidRPr="000C4045" w:rsidR="00E12780" w:rsidP="00E12780" w:rsidRDefault="00E12780" w14:paraId="7C57AD06" w14:textId="77777777">
      <w:pPr>
        <w:rPr>
          <w:b/>
          <w:bCs/>
        </w:rPr>
      </w:pPr>
      <w:r w:rsidRPr="000C4045">
        <w:rPr>
          <w:b/>
          <w:bCs/>
        </w:rPr>
        <w:t>Vraag 3</w:t>
      </w:r>
    </w:p>
    <w:p w:rsidRPr="000C4045" w:rsidR="00E12780" w:rsidP="00E12780" w:rsidRDefault="00E12780" w14:paraId="4A95C71A" w14:textId="77777777">
      <w:pPr>
        <w:rPr>
          <w:b/>
          <w:bCs/>
        </w:rPr>
      </w:pPr>
      <w:r w:rsidRPr="000C4045">
        <w:rPr>
          <w:b/>
          <w:bCs/>
        </w:rPr>
        <w:t>Klopt het dat deze man in een brief van het Openbaar Ministerie wordt omschreven als ‘een belangrijke anonieme informant die met grote risico’s voor zichzelf een belangrijke bijdrage heeft geleverd aan de opsporing en vervolging van ernstige criminaliteit’, dat eveneens in deze brief staat dat als hij in de strafzaak tegen hem wél over zijn rol als informant had kunnen vertellen, duidelijk was geworden dat hij ‘geen dader was maar slachtoffer’ en dat hij in dat geval ‘vrijwel zeker’ was vrijgesproken?</w:t>
      </w:r>
    </w:p>
    <w:p w:rsidRPr="000C4045" w:rsidR="00E12780" w:rsidP="00E12780" w:rsidRDefault="00E12780" w14:paraId="6F04027D" w14:textId="77777777">
      <w:pPr>
        <w:rPr>
          <w:b/>
          <w:bCs/>
        </w:rPr>
      </w:pPr>
    </w:p>
    <w:p w:rsidRPr="000C4045" w:rsidR="00E12780" w:rsidP="00E12780" w:rsidRDefault="00E12780" w14:paraId="07E071A5" w14:textId="77777777">
      <w:pPr>
        <w:rPr>
          <w:b/>
          <w:bCs/>
        </w:rPr>
      </w:pPr>
      <w:r w:rsidRPr="000C4045">
        <w:rPr>
          <w:b/>
          <w:bCs/>
        </w:rPr>
        <w:t>Vraag 4</w:t>
      </w:r>
    </w:p>
    <w:p w:rsidRPr="000C4045" w:rsidR="00E12780" w:rsidP="00E12780" w:rsidRDefault="00E12780" w14:paraId="487480B6" w14:textId="77777777">
      <w:pPr>
        <w:rPr>
          <w:b/>
          <w:bCs/>
        </w:rPr>
      </w:pPr>
      <w:r w:rsidRPr="000C4045">
        <w:rPr>
          <w:b/>
          <w:bCs/>
        </w:rPr>
        <w:t xml:space="preserve">Deelt u de mening dat het schrijnend is dat deze persoon als gevolg van zijn detentie, die gelet op het gestelde in de vorige vraag gerelateerd is aan zijn </w:t>
      </w:r>
      <w:r w:rsidRPr="000C4045">
        <w:rPr>
          <w:b/>
          <w:bCs/>
        </w:rPr>
        <w:lastRenderedPageBreak/>
        <w:t>hulp aan politie en justitie, na zijn vrijlating worstelt met het leven omdat tijdens detentie zijn bedrijf failliet is gegaan, hij door financiële problemen op straat belandt en Posttraumatische-stressstoornis (PTSS) is vastgesteld?</w:t>
      </w:r>
    </w:p>
    <w:p w:rsidRPr="000C4045" w:rsidR="00E12780" w:rsidP="00E12780" w:rsidRDefault="00E12780" w14:paraId="387AA1AE" w14:textId="77777777">
      <w:pPr>
        <w:rPr>
          <w:b/>
          <w:bCs/>
        </w:rPr>
      </w:pPr>
    </w:p>
    <w:p w:rsidRPr="000C4045" w:rsidR="00E12780" w:rsidP="00E12780" w:rsidRDefault="00E12780" w14:paraId="539968B3" w14:textId="77777777">
      <w:pPr>
        <w:rPr>
          <w:b/>
          <w:bCs/>
        </w:rPr>
      </w:pPr>
      <w:r w:rsidRPr="000C4045">
        <w:rPr>
          <w:b/>
          <w:bCs/>
        </w:rPr>
        <w:t>Vraag 5</w:t>
      </w:r>
    </w:p>
    <w:p w:rsidRPr="000C4045" w:rsidR="00E12780" w:rsidP="00E12780" w:rsidRDefault="00E12780" w14:paraId="3F5288B9" w14:textId="77777777">
      <w:pPr>
        <w:rPr>
          <w:b/>
          <w:bCs/>
        </w:rPr>
      </w:pPr>
      <w:r w:rsidRPr="000C4045">
        <w:rPr>
          <w:b/>
          <w:bCs/>
        </w:rPr>
        <w:t>Wat kan er volgens u aan gedaan worden om deze man, meer dan tot nu toe gedaan is, zijn schade te vergoeden voor de tijd in detentie en de gerelateerde schade? Kunt u toezeggen dat u zich inspant er op een nette manier uit te komen?</w:t>
      </w:r>
    </w:p>
    <w:p w:rsidRPr="000C4045" w:rsidR="00E12780" w:rsidP="00E12780" w:rsidRDefault="00E12780" w14:paraId="5C53F80C" w14:textId="77777777">
      <w:pPr>
        <w:rPr>
          <w:b/>
          <w:bCs/>
        </w:rPr>
      </w:pPr>
    </w:p>
    <w:p w:rsidRPr="000C4045" w:rsidR="00E12780" w:rsidP="00E12780" w:rsidRDefault="00E12780" w14:paraId="1C5FD235" w14:textId="77777777">
      <w:pPr>
        <w:rPr>
          <w:b/>
          <w:bCs/>
        </w:rPr>
      </w:pPr>
      <w:r w:rsidRPr="000C4045">
        <w:rPr>
          <w:b/>
          <w:bCs/>
        </w:rPr>
        <w:t>Antwoord op vragen 2</w:t>
      </w:r>
      <w:r>
        <w:rPr>
          <w:b/>
          <w:bCs/>
        </w:rPr>
        <w:t xml:space="preserve">, 3, 4 en </w:t>
      </w:r>
      <w:r w:rsidRPr="000C4045">
        <w:rPr>
          <w:b/>
          <w:bCs/>
        </w:rPr>
        <w:t>5</w:t>
      </w:r>
    </w:p>
    <w:p w:rsidRPr="000C4045" w:rsidR="00E12780" w:rsidP="00E12780" w:rsidRDefault="00E12780" w14:paraId="230FF9AC" w14:textId="77777777">
      <w:r w:rsidRPr="000C4045">
        <w:t xml:space="preserve">Als minister ga ik niet in op individuele zaken en op zaken die zien op de vraag of personen als informant voor politie en justitie werken of in het verleden hebben gewerkt. Ik vind het tegelijkertijd belangrijk om toe te lichten waarom ook de politie en het OM hier geen nadere mededelingen over kunnen doen. </w:t>
      </w:r>
    </w:p>
    <w:p w:rsidRPr="000C4045" w:rsidR="00E12780" w:rsidP="00E12780" w:rsidRDefault="00E12780" w14:paraId="36E9FABA" w14:textId="77777777"/>
    <w:p w:rsidR="00E12780" w:rsidP="00E12780" w:rsidRDefault="00E12780" w14:paraId="494470BC" w14:textId="77777777"/>
    <w:p w:rsidRPr="000C4045" w:rsidR="00E12780" w:rsidP="00E12780" w:rsidRDefault="00E12780" w14:paraId="61A5BADB" w14:textId="77777777">
      <w:r w:rsidRPr="000C4045">
        <w:t xml:space="preserve">De systematiek volgens welke het Team Criminele inlichtingen (hierna: TCI) werkt, valt of staat met een van de belangrijkste uitgangspunten ervan, namelijk dat de identiteit van een door TCI gerunde politie-informant in beginsel altijd afgeschermd blijft. Alleen een zogenoemde CI-officier van justitie heeft de bevoegdheid om in zeer uitzonderlijke gevallen een afweging te maken om de informantenstatus te bevestigen of te ontkennen, bijvoorbeeld als daarmee andere levens kunnen worden gered of de integriteit van de opsporing ernstig in het geding is. Dat identiteiten van informanten te allen tijde dienen te worden afgeschermd is ook goed te begrijpen gelet op het feit dat zij informatie verzamelen over personen die zich vaak in hun nabije omgeving bevinden. Een bevestiging vanuit politie of justitie van de informantenstatus van deze personen kan henzelf in groot gevaar brengen doordat ze als verrader worden beschouwd. </w:t>
      </w:r>
    </w:p>
    <w:p w:rsidRPr="000C4045" w:rsidR="00E12780" w:rsidP="00E12780" w:rsidRDefault="00E12780" w14:paraId="2DFE463E" w14:textId="77777777">
      <w:r w:rsidRPr="000C4045">
        <w:t xml:space="preserve">Het gegeven dat een bepaalde persoon zélf met zijn verhaal naar buiten treedt en zich – al dan niet terecht – bekendmaakt als een politie-informant, maakt het bovenstaande niet anders. Potentiële informanten kunnen worden afgeschrikt om in de toekomst hun diensten aan TCI te verlenen als zij in dergelijke individuele casussen zien dat er door druk vanuit mediaberichtgeving, toch een informantenstatus van een persoon wordt bevestigd. Hiermee zou een belangrijk onderdeel in de informatievoorziening van de politie tegen de zware criminaliteit in het gedrang kunnen komen.  </w:t>
      </w:r>
    </w:p>
    <w:p w:rsidRPr="000C4045" w:rsidR="00E12780" w:rsidP="00E12780" w:rsidRDefault="00E12780" w14:paraId="0ED97478" w14:textId="77777777"/>
    <w:p w:rsidRPr="000C4045" w:rsidR="00E12780" w:rsidP="00E12780" w:rsidRDefault="00E12780" w14:paraId="4755DF0F" w14:textId="77777777">
      <w:r w:rsidRPr="000C4045">
        <w:t xml:space="preserve">Op de vragen 3, 4 en 5 zal ik – gelet op de verwijzing naar de individuele casus –  dan ook geen antwoord geven. Ik verwijs verder naar mijn antwoorden op de vragen 6 en 7 die algemeen van aard zijn en op de regels zien rondom informanten en het plegen van strafbare feiten. </w:t>
      </w:r>
    </w:p>
    <w:p w:rsidRPr="000C4045" w:rsidR="00E12780" w:rsidP="00E12780" w:rsidRDefault="00E12780" w14:paraId="445B1685" w14:textId="77777777">
      <w:pPr>
        <w:rPr>
          <w:b/>
          <w:bCs/>
        </w:rPr>
      </w:pPr>
    </w:p>
    <w:p w:rsidRPr="000C4045" w:rsidR="00E12780" w:rsidP="00E12780" w:rsidRDefault="00E12780" w14:paraId="757BBE83" w14:textId="77777777">
      <w:pPr>
        <w:rPr>
          <w:b/>
          <w:bCs/>
        </w:rPr>
      </w:pPr>
      <w:r w:rsidRPr="000C4045">
        <w:rPr>
          <w:b/>
          <w:bCs/>
        </w:rPr>
        <w:t>Vraag 6</w:t>
      </w:r>
    </w:p>
    <w:p w:rsidRPr="000C4045" w:rsidR="00E12780" w:rsidP="00E12780" w:rsidRDefault="00E12780" w14:paraId="27488B65" w14:textId="77777777">
      <w:pPr>
        <w:rPr>
          <w:b/>
          <w:bCs/>
        </w:rPr>
      </w:pPr>
      <w:r w:rsidRPr="000C4045">
        <w:rPr>
          <w:b/>
          <w:bCs/>
        </w:rPr>
        <w:t xml:space="preserve">Wat is uw reactie op de opmerking van hoogleraar strafrecht Brinkhoff, die stelt dat deze zaak duidelijk maakt dat er een gat in de wet zit omdat er niks geregeld is voor informanten die zich vanwege hun precaire positie niet kunnen verdedigen op het moment dat ze, al dan niet terecht, beschuldigd worden van een strafbaar feit? </w:t>
      </w:r>
    </w:p>
    <w:p w:rsidRPr="000C4045" w:rsidR="00E12780" w:rsidP="00E12780" w:rsidRDefault="00E12780" w14:paraId="2518796F" w14:textId="77777777">
      <w:pPr>
        <w:rPr>
          <w:b/>
          <w:bCs/>
        </w:rPr>
      </w:pPr>
    </w:p>
    <w:p w:rsidRPr="000C4045" w:rsidR="00E12780" w:rsidP="00E12780" w:rsidRDefault="00E12780" w14:paraId="36F765B3" w14:textId="77777777">
      <w:pPr>
        <w:rPr>
          <w:b/>
          <w:bCs/>
        </w:rPr>
      </w:pPr>
      <w:r w:rsidRPr="000C4045">
        <w:rPr>
          <w:b/>
          <w:bCs/>
        </w:rPr>
        <w:t>Vraag 7</w:t>
      </w:r>
    </w:p>
    <w:p w:rsidRPr="000C4045" w:rsidR="00E12780" w:rsidP="00E12780" w:rsidRDefault="00E12780" w14:paraId="4C055DB7" w14:textId="77777777">
      <w:pPr>
        <w:rPr>
          <w:b/>
          <w:bCs/>
        </w:rPr>
      </w:pPr>
      <w:r w:rsidRPr="000C4045">
        <w:rPr>
          <w:b/>
          <w:bCs/>
        </w:rPr>
        <w:t xml:space="preserve">Bent u bereid te onderzoeken hoe deze lacune kan worden gedicht om de rechtspositie van informanten te verbeteren?   </w:t>
      </w:r>
    </w:p>
    <w:p w:rsidRPr="000C4045" w:rsidR="00E12780" w:rsidP="00E12780" w:rsidRDefault="00E12780" w14:paraId="04E91F95" w14:textId="77777777">
      <w:pPr>
        <w:rPr>
          <w:b/>
          <w:bCs/>
        </w:rPr>
      </w:pPr>
    </w:p>
    <w:p w:rsidRPr="000C4045" w:rsidR="00E12780" w:rsidP="00E12780" w:rsidRDefault="00E12780" w14:paraId="7E6D5265" w14:textId="77777777">
      <w:pPr>
        <w:rPr>
          <w:b/>
          <w:bCs/>
        </w:rPr>
      </w:pPr>
      <w:r w:rsidRPr="000C4045">
        <w:rPr>
          <w:b/>
          <w:bCs/>
        </w:rPr>
        <w:t>Antwoord op vragen 6 en 7</w:t>
      </w:r>
    </w:p>
    <w:p w:rsidR="00E12780" w:rsidP="00E12780" w:rsidRDefault="00E12780" w14:paraId="42FEE088" w14:textId="77777777">
      <w:r w:rsidRPr="000C4045">
        <w:t xml:space="preserve">Meer in het algemeen geldt dat de inzet van informanten die ten behoeve van het TCI informatie verzamelen, aan regels is gebonden. Het is zowel een verantwoordelijkheid voor de politie en het OM als voor de informant zelf om binnen deze regels te opereren. De regels worden met een informant besproken vóórdat deze als informant bij het TCI wordt ingeschreven. Deze regels betreffen niet alleen een verantwoordelijkheid aan beide zijden over de afscherming van de identiteit van de informant, maar ook over het plegen van strafbare feiten. Een informant mag geen strafbare feiten plegen. Ofwel, alle door een informant gepleegde strafbare feiten zijn voor eigen rekening en risico. </w:t>
      </w:r>
    </w:p>
    <w:p w:rsidR="00E12780" w:rsidP="00E12780" w:rsidRDefault="00E12780" w14:paraId="46F8945A" w14:textId="77777777"/>
    <w:p w:rsidR="00E12780" w:rsidP="00E12780" w:rsidRDefault="00E12780" w14:paraId="49601D75" w14:textId="77777777"/>
    <w:p w:rsidR="00E12780" w:rsidP="00E12780" w:rsidRDefault="00E12780" w14:paraId="0756E667" w14:textId="77777777"/>
    <w:p w:rsidR="00E12780" w:rsidP="00E12780" w:rsidRDefault="00E12780" w14:paraId="2BD1A92D" w14:textId="77777777"/>
    <w:p w:rsidRPr="000C4045" w:rsidR="00E12780" w:rsidP="00E12780" w:rsidRDefault="00E12780" w14:paraId="25540030" w14:textId="77777777">
      <w:r w:rsidRPr="000C4045">
        <w:t>Zoals in het antwoord op vraag 2 geformuleerd kan – bij uitsluiting – een CI-officier van justitie beslissen dat in zeer uitzonderlijke gevallen wordt bevestigd of ontkend of iemand een informant is. Wat dit betreft zie ik dan ook geen lacune in de wet.</w:t>
      </w:r>
    </w:p>
    <w:p w:rsidRPr="000C4045" w:rsidR="00E12780" w:rsidP="00E12780" w:rsidRDefault="00E12780" w14:paraId="2297E6F0" w14:textId="77777777"/>
    <w:p w:rsidR="00E12780" w:rsidP="00E12780" w:rsidRDefault="00E12780" w14:paraId="38835330" w14:textId="4F713A59">
      <w:r w:rsidRPr="000C4045">
        <w:t>1) NRC, 14 februari 2025, Hoe het geheime leven van een politie-informant zich tegen hem keerde (https://www.nrc.nl/nieuws/2025/02/14/hoe-het-geheime-leven-van-een-politie-informant-zich-tegen-hem-keerde-a4883072).</w:t>
      </w:r>
    </w:p>
    <w:p w:rsidR="002C3023" w:rsidRDefault="002C3023" w14:paraId="211B35A7" w14:textId="77777777"/>
    <w:sectPr w:rsidR="002C3023" w:rsidSect="00E12780">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8B6F4" w14:textId="77777777" w:rsidR="00E12780" w:rsidRDefault="00E12780" w:rsidP="00E12780">
      <w:pPr>
        <w:spacing w:after="0" w:line="240" w:lineRule="auto"/>
      </w:pPr>
      <w:r>
        <w:separator/>
      </w:r>
    </w:p>
  </w:endnote>
  <w:endnote w:type="continuationSeparator" w:id="0">
    <w:p w14:paraId="5805280B" w14:textId="77777777" w:rsidR="00E12780" w:rsidRDefault="00E12780" w:rsidP="00E12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6081" w14:textId="77777777" w:rsidR="00E12780" w:rsidRPr="00E12780" w:rsidRDefault="00E12780" w:rsidP="00E127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47A9" w14:textId="77777777" w:rsidR="00E12780" w:rsidRPr="00E12780" w:rsidRDefault="00E12780" w:rsidP="00E127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6D6A" w14:textId="77777777" w:rsidR="00E12780" w:rsidRPr="00E12780" w:rsidRDefault="00E12780" w:rsidP="00E127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45894" w14:textId="77777777" w:rsidR="00E12780" w:rsidRDefault="00E12780" w:rsidP="00E12780">
      <w:pPr>
        <w:spacing w:after="0" w:line="240" w:lineRule="auto"/>
      </w:pPr>
      <w:r>
        <w:separator/>
      </w:r>
    </w:p>
  </w:footnote>
  <w:footnote w:type="continuationSeparator" w:id="0">
    <w:p w14:paraId="468CACF8" w14:textId="77777777" w:rsidR="00E12780" w:rsidRDefault="00E12780" w:rsidP="00E12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74AD" w14:textId="77777777" w:rsidR="00E12780" w:rsidRPr="00E12780" w:rsidRDefault="00E12780" w:rsidP="00E127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EB22" w14:textId="77777777" w:rsidR="00E12780" w:rsidRPr="00E12780" w:rsidRDefault="00E12780" w:rsidP="00E127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2AC7" w14:textId="77777777" w:rsidR="00E12780" w:rsidRPr="00E12780" w:rsidRDefault="00E12780" w:rsidP="00E1278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80"/>
    <w:rsid w:val="002C3023"/>
    <w:rsid w:val="009963A5"/>
    <w:rsid w:val="00DF7A30"/>
    <w:rsid w:val="00E127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B2E4"/>
  <w15:chartTrackingRefBased/>
  <w15:docId w15:val="{9F98B1B4-A7BB-4F05-90E2-30CF6CA9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2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2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27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27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27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27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27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27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27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27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27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27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27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27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27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27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27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2780"/>
    <w:rPr>
      <w:rFonts w:eastAsiaTheme="majorEastAsia" w:cstheme="majorBidi"/>
      <w:color w:val="272727" w:themeColor="text1" w:themeTint="D8"/>
    </w:rPr>
  </w:style>
  <w:style w:type="paragraph" w:styleId="Titel">
    <w:name w:val="Title"/>
    <w:basedOn w:val="Standaard"/>
    <w:next w:val="Standaard"/>
    <w:link w:val="TitelChar"/>
    <w:uiPriority w:val="10"/>
    <w:qFormat/>
    <w:rsid w:val="00E127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27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27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27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27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2780"/>
    <w:rPr>
      <w:i/>
      <w:iCs/>
      <w:color w:val="404040" w:themeColor="text1" w:themeTint="BF"/>
    </w:rPr>
  </w:style>
  <w:style w:type="paragraph" w:styleId="Lijstalinea">
    <w:name w:val="List Paragraph"/>
    <w:basedOn w:val="Standaard"/>
    <w:uiPriority w:val="34"/>
    <w:qFormat/>
    <w:rsid w:val="00E12780"/>
    <w:pPr>
      <w:ind w:left="720"/>
      <w:contextualSpacing/>
    </w:pPr>
  </w:style>
  <w:style w:type="character" w:styleId="Intensievebenadrukking">
    <w:name w:val="Intense Emphasis"/>
    <w:basedOn w:val="Standaardalinea-lettertype"/>
    <w:uiPriority w:val="21"/>
    <w:qFormat/>
    <w:rsid w:val="00E12780"/>
    <w:rPr>
      <w:i/>
      <w:iCs/>
      <w:color w:val="0F4761" w:themeColor="accent1" w:themeShade="BF"/>
    </w:rPr>
  </w:style>
  <w:style w:type="paragraph" w:styleId="Duidelijkcitaat">
    <w:name w:val="Intense Quote"/>
    <w:basedOn w:val="Standaard"/>
    <w:next w:val="Standaard"/>
    <w:link w:val="DuidelijkcitaatChar"/>
    <w:uiPriority w:val="30"/>
    <w:qFormat/>
    <w:rsid w:val="00E12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2780"/>
    <w:rPr>
      <w:i/>
      <w:iCs/>
      <w:color w:val="0F4761" w:themeColor="accent1" w:themeShade="BF"/>
    </w:rPr>
  </w:style>
  <w:style w:type="character" w:styleId="Intensieveverwijzing">
    <w:name w:val="Intense Reference"/>
    <w:basedOn w:val="Standaardalinea-lettertype"/>
    <w:uiPriority w:val="32"/>
    <w:qFormat/>
    <w:rsid w:val="00E12780"/>
    <w:rPr>
      <w:b/>
      <w:bCs/>
      <w:smallCaps/>
      <w:color w:val="0F4761" w:themeColor="accent1" w:themeShade="BF"/>
      <w:spacing w:val="5"/>
    </w:rPr>
  </w:style>
  <w:style w:type="paragraph" w:styleId="Koptekst">
    <w:name w:val="header"/>
    <w:basedOn w:val="Standaard"/>
    <w:link w:val="KoptekstChar"/>
    <w:uiPriority w:val="99"/>
    <w:unhideWhenUsed/>
    <w:rsid w:val="00E127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2780"/>
  </w:style>
  <w:style w:type="paragraph" w:styleId="Voettekst">
    <w:name w:val="footer"/>
    <w:basedOn w:val="Standaard"/>
    <w:link w:val="VoettekstChar"/>
    <w:uiPriority w:val="99"/>
    <w:unhideWhenUsed/>
    <w:rsid w:val="00E127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2780"/>
  </w:style>
  <w:style w:type="paragraph" w:styleId="Geenafstand">
    <w:name w:val="No Spacing"/>
    <w:uiPriority w:val="1"/>
    <w:qFormat/>
    <w:rsid w:val="00E127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863</ap:Words>
  <ap:Characters>4749</ap:Characters>
  <ap:DocSecurity>0</ap:DocSecurity>
  <ap:Lines>39</ap:Lines>
  <ap:Paragraphs>11</ap:Paragraphs>
  <ap:ScaleCrop>false</ap:ScaleCrop>
  <ap:LinksUpToDate>false</ap:LinksUpToDate>
  <ap:CharactersWithSpaces>5601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2025-04-07T10:41:00.0000000Z</dcterms:created>
  <dcterms:modified xsi:type="dcterms:W3CDTF">2025-04-07T10:43:00.0000000Z</dcterms:modified>
  <version/>
  <category/>
</coreProperties>
</file>