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EF7" w:rsidR="006B4EF7" w:rsidP="006B4EF7" w:rsidRDefault="006B4EF7" w14:paraId="297A0A20" w14:textId="7704E612">
      <w:pPr>
        <w:pStyle w:val="Geenafstand"/>
        <w:rPr>
          <w:b/>
          <w:bCs/>
        </w:rPr>
      </w:pPr>
      <w:r w:rsidRPr="006B4EF7">
        <w:rPr>
          <w:b/>
          <w:bCs/>
        </w:rPr>
        <w:t>AH 1879</w:t>
      </w:r>
    </w:p>
    <w:p w:rsidR="006B4EF7" w:rsidP="006B4EF7" w:rsidRDefault="006B4EF7" w14:paraId="6C9105FB" w14:textId="68C46E76">
      <w:pPr>
        <w:pStyle w:val="Geenafstand"/>
        <w:rPr>
          <w:b/>
          <w:bCs/>
        </w:rPr>
      </w:pPr>
      <w:r w:rsidRPr="006B4EF7">
        <w:rPr>
          <w:b/>
          <w:bCs/>
        </w:rPr>
        <w:t>2025Z05552</w:t>
      </w:r>
    </w:p>
    <w:p w:rsidRPr="006B4EF7" w:rsidR="006B4EF7" w:rsidP="006B4EF7" w:rsidRDefault="006B4EF7" w14:paraId="4FBE2D7E" w14:textId="77777777">
      <w:pPr>
        <w:pStyle w:val="Geenafstand"/>
        <w:rPr>
          <w:b/>
          <w:bCs/>
        </w:rPr>
      </w:pPr>
    </w:p>
    <w:p w:rsidR="006B4EF7" w:rsidP="006B4EF7" w:rsidRDefault="006B4EF7" w14:paraId="5ADC2984" w14:textId="41BED5F1">
      <w:pPr>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7 april 2025)</w:t>
      </w:r>
    </w:p>
    <w:p w:rsidR="006B4EF7" w:rsidP="006B4EF7" w:rsidRDefault="006B4EF7" w14:paraId="2F942FC2" w14:textId="77777777"/>
    <w:p w:rsidRPr="00B4428A" w:rsidR="006B4EF7" w:rsidP="006B4EF7" w:rsidRDefault="006B4EF7" w14:paraId="49E3375B" w14:textId="77777777">
      <w:pPr>
        <w:rPr>
          <w:b/>
          <w:bCs/>
        </w:rPr>
      </w:pPr>
      <w:r w:rsidRPr="00B4428A">
        <w:rPr>
          <w:b/>
          <w:bCs/>
        </w:rPr>
        <w:t>Vraag 1</w:t>
      </w:r>
    </w:p>
    <w:p w:rsidRPr="00B4428A" w:rsidR="006B4EF7" w:rsidP="006B4EF7" w:rsidRDefault="006B4EF7" w14:paraId="2CCF6DB5" w14:textId="77777777">
      <w:pPr>
        <w:rPr>
          <w:b/>
          <w:bCs/>
        </w:rPr>
      </w:pPr>
      <w:r w:rsidRPr="00B4428A">
        <w:rPr>
          <w:b/>
          <w:bCs/>
        </w:rPr>
        <w:t>Bent u bekend met het bericht “Minister Faber negeerde eigen inspectie bij vorming asielwet”? 1)</w:t>
      </w:r>
    </w:p>
    <w:p w:rsidR="006B4EF7" w:rsidP="006B4EF7" w:rsidRDefault="006B4EF7" w14:paraId="2CB095D1" w14:textId="77777777"/>
    <w:p w:rsidRPr="00B4428A" w:rsidR="006B4EF7" w:rsidP="006B4EF7" w:rsidRDefault="006B4EF7" w14:paraId="0D703D55" w14:textId="77777777">
      <w:pPr>
        <w:rPr>
          <w:b/>
          <w:bCs/>
        </w:rPr>
      </w:pPr>
      <w:r w:rsidRPr="00B4428A">
        <w:rPr>
          <w:b/>
          <w:bCs/>
        </w:rPr>
        <w:t>Antwoord op vraag 1</w:t>
      </w:r>
    </w:p>
    <w:p w:rsidR="006B4EF7" w:rsidP="006B4EF7" w:rsidRDefault="006B4EF7" w14:paraId="25EDA785" w14:textId="77777777">
      <w:r w:rsidRPr="00343518">
        <w:t>Ja.</w:t>
      </w:r>
    </w:p>
    <w:p w:rsidRPr="00343518" w:rsidR="006B4EF7" w:rsidP="006B4EF7" w:rsidRDefault="006B4EF7" w14:paraId="2940514A" w14:textId="77777777"/>
    <w:p w:rsidRPr="00B4428A" w:rsidR="006B4EF7" w:rsidP="006B4EF7" w:rsidRDefault="006B4EF7" w14:paraId="237B51A9" w14:textId="77777777">
      <w:pPr>
        <w:rPr>
          <w:b/>
          <w:bCs/>
        </w:rPr>
      </w:pPr>
      <w:r w:rsidRPr="00B4428A">
        <w:rPr>
          <w:b/>
          <w:bCs/>
        </w:rPr>
        <w:t>Vraag 2</w:t>
      </w:r>
    </w:p>
    <w:p w:rsidRPr="00B4428A" w:rsidR="006B4EF7" w:rsidP="006B4EF7" w:rsidRDefault="006B4EF7" w14:paraId="4CF888B3" w14:textId="77777777">
      <w:pPr>
        <w:rPr>
          <w:b/>
          <w:bCs/>
        </w:rPr>
      </w:pPr>
      <w:r w:rsidRPr="00B4428A">
        <w:rPr>
          <w:b/>
          <w:bCs/>
        </w:rPr>
        <w:t>Kunt u uitgebreid toelichten waarom u de Inspectie Justitie en Veiligheid niet heeft betrokken bij de totstandkoming van de Asielnoodmaatregelenwet en de Wet invoering tweestatusstelsel, terwijl dat wel vereist is op grond van de Aanwijzingen inzake de rijksinspecties en het Relatiestatuut van het ministerie?</w:t>
      </w:r>
    </w:p>
    <w:p w:rsidRPr="00B4428A" w:rsidR="006B4EF7" w:rsidP="006B4EF7" w:rsidRDefault="006B4EF7" w14:paraId="75A11FBA" w14:textId="77777777">
      <w:pPr>
        <w:rPr>
          <w:b/>
          <w:bCs/>
        </w:rPr>
      </w:pPr>
    </w:p>
    <w:p w:rsidRPr="00B4428A" w:rsidR="006B4EF7" w:rsidP="006B4EF7" w:rsidRDefault="006B4EF7" w14:paraId="414B2791" w14:textId="77777777">
      <w:pPr>
        <w:rPr>
          <w:b/>
          <w:bCs/>
        </w:rPr>
      </w:pPr>
      <w:r w:rsidRPr="00B4428A">
        <w:rPr>
          <w:b/>
          <w:bCs/>
        </w:rPr>
        <w:t>Antwoord op vraag 2</w:t>
      </w:r>
    </w:p>
    <w:p w:rsidR="006B4EF7" w:rsidP="006B4EF7" w:rsidRDefault="006B4EF7" w14:paraId="7B39CF65" w14:textId="77777777">
      <w:r w:rsidRPr="00343518">
        <w:t>Zoals toegelicht in de nader rapporten bij beide genoemde wetsvoorstellen wil de regering met spoed komen tot een breed pakket aan maatregelen om de asielketen te ontlasten en de instroom van asielzoekers te verminderen. Om die reden worden beide wetstrajecten zoveel mogelijk versneld doorlopen en is ervoor gekozen in de consultatiefase de wetsvoorstellen alleen voor te leggen aan de organisaties die in hun uitvoering direct door de voorgestelde maatregelen worden geraakt.</w:t>
      </w:r>
      <w:r w:rsidRPr="00343518">
        <w:rPr>
          <w:vertAlign w:val="superscript"/>
        </w:rPr>
        <w:footnoteReference w:id="1"/>
      </w:r>
      <w:r w:rsidRPr="00343518">
        <w:t xml:space="preserve"> Hoewel wijzigingen van vreemdelingenwet en -regelgeving uiteraard in zijn algemeenheid relevant kunnen zijn voor de aard en omvang van het toezicht, wordt de Inspectie niet direct geraakt door de wetsvoorstellen. Deze voorzien niet in nieuwe taken of verplichtingen voor de Inspectie.</w:t>
      </w:r>
      <w:r w:rsidRPr="009F303D">
        <w:t xml:space="preserve"> De regering gaat ervan uit dat de genoemde instrumenten – de Aanwijzingen </w:t>
      </w:r>
      <w:r>
        <w:t xml:space="preserve">inzake de rijksinspecties </w:t>
      </w:r>
      <w:r w:rsidRPr="009F303D">
        <w:t xml:space="preserve">en het Relatiestatuut JenV – voldoende ruimte bieden om het verrichten van een uitvoeringstoets door de Inspectie in </w:t>
      </w:r>
      <w:r w:rsidRPr="009F303D">
        <w:lastRenderedPageBreak/>
        <w:t xml:space="preserve">voorkomende gevallen hiertoe te beperken.  </w:t>
      </w:r>
      <w:r w:rsidRPr="00343518">
        <w:t>Het vorengaande betekent overigens niet dat de kennis en ervaring van de Inspectie met de vreemdelingenketen niet word</w:t>
      </w:r>
      <w:r>
        <w:t>en</w:t>
      </w:r>
      <w:r w:rsidRPr="00343518">
        <w:t xml:space="preserve"> meegenomen. Er bestaan reguliere contactmomenten waarin beleidsvoornemens en de ontwikkeling van wet- en regelgeving met de Inspectie word</w:t>
      </w:r>
      <w:r>
        <w:t>en</w:t>
      </w:r>
      <w:r w:rsidRPr="00343518">
        <w:t xml:space="preserve"> besproken. Het is staand beleid dat de Inspectie gevraagd en ongevraagd de bewindspersonen van advies kan dienen.</w:t>
      </w:r>
      <w:r w:rsidRPr="00343518">
        <w:rPr>
          <w:vertAlign w:val="superscript"/>
        </w:rPr>
        <w:footnoteReference w:id="2"/>
      </w:r>
    </w:p>
    <w:p w:rsidR="006B4EF7" w:rsidP="006B4EF7" w:rsidRDefault="006B4EF7" w14:paraId="2CA02CA0" w14:textId="77777777">
      <w:pPr>
        <w:rPr>
          <w:b/>
          <w:bCs/>
        </w:rPr>
      </w:pPr>
    </w:p>
    <w:p w:rsidRPr="00B4428A" w:rsidR="006B4EF7" w:rsidP="006B4EF7" w:rsidRDefault="006B4EF7" w14:paraId="17DCB4EB" w14:textId="77777777">
      <w:pPr>
        <w:rPr>
          <w:b/>
          <w:bCs/>
        </w:rPr>
      </w:pPr>
      <w:r w:rsidRPr="00B4428A">
        <w:rPr>
          <w:b/>
          <w:bCs/>
        </w:rPr>
        <w:t>Vraag 3</w:t>
      </w:r>
    </w:p>
    <w:p w:rsidRPr="00B4428A" w:rsidR="006B4EF7" w:rsidP="006B4EF7" w:rsidRDefault="006B4EF7" w14:paraId="09155718" w14:textId="77777777">
      <w:pPr>
        <w:rPr>
          <w:b/>
          <w:bCs/>
        </w:rPr>
      </w:pPr>
      <w:r w:rsidRPr="00B4428A">
        <w:rPr>
          <w:b/>
          <w:bCs/>
        </w:rPr>
        <w:t>Kunt u toelichtingen waarom u niet heeft gereageerd op de brief van de Inspectie van 4 december 2024 waarbij u werd gewezen op dit vereiste?</w:t>
      </w:r>
    </w:p>
    <w:p w:rsidRPr="00B4428A" w:rsidR="006B4EF7" w:rsidP="006B4EF7" w:rsidRDefault="006B4EF7" w14:paraId="12BADE48" w14:textId="77777777">
      <w:pPr>
        <w:rPr>
          <w:b/>
          <w:bCs/>
        </w:rPr>
      </w:pPr>
    </w:p>
    <w:p w:rsidRPr="00B4428A" w:rsidR="006B4EF7" w:rsidP="006B4EF7" w:rsidRDefault="006B4EF7" w14:paraId="25EE2A3A" w14:textId="77777777">
      <w:pPr>
        <w:rPr>
          <w:b/>
          <w:bCs/>
        </w:rPr>
      </w:pPr>
      <w:r w:rsidRPr="00B4428A">
        <w:rPr>
          <w:b/>
          <w:bCs/>
        </w:rPr>
        <w:t>Antwoord op vraag 3</w:t>
      </w:r>
    </w:p>
    <w:p w:rsidR="006B4EF7" w:rsidP="006B4EF7" w:rsidRDefault="006B4EF7" w14:paraId="3CD6C425" w14:textId="77777777">
      <w:r w:rsidRPr="008E24C0">
        <w:t xml:space="preserve">De brief waar u naar verwijst betreft correspondentie tussen </w:t>
      </w:r>
      <w:r>
        <w:t xml:space="preserve">ambtenaren. </w:t>
      </w:r>
      <w:r w:rsidRPr="008E24C0">
        <w:t>De Inspectie is</w:t>
      </w:r>
      <w:r>
        <w:t xml:space="preserve"> </w:t>
      </w:r>
      <w:r w:rsidRPr="008E24C0">
        <w:t>ambtelijk telefonisch op de hoogte gesteld van de keuzes die in het antwoord op vraag 2 zijn beschreven.</w:t>
      </w:r>
    </w:p>
    <w:p w:rsidRPr="00343518" w:rsidR="006B4EF7" w:rsidP="006B4EF7" w:rsidRDefault="006B4EF7" w14:paraId="162F8773" w14:textId="77777777"/>
    <w:p w:rsidRPr="00B4428A" w:rsidR="006B4EF7" w:rsidP="006B4EF7" w:rsidRDefault="006B4EF7" w14:paraId="386C0F9C" w14:textId="77777777">
      <w:pPr>
        <w:rPr>
          <w:b/>
          <w:bCs/>
        </w:rPr>
      </w:pPr>
      <w:r w:rsidRPr="00B4428A">
        <w:rPr>
          <w:b/>
          <w:bCs/>
        </w:rPr>
        <w:t>Vraag 4</w:t>
      </w:r>
    </w:p>
    <w:p w:rsidRPr="00B4428A" w:rsidR="006B4EF7" w:rsidP="006B4EF7" w:rsidRDefault="006B4EF7" w14:paraId="249F9C6E" w14:textId="77777777">
      <w:pPr>
        <w:rPr>
          <w:b/>
          <w:bCs/>
        </w:rPr>
      </w:pPr>
      <w:r w:rsidRPr="00B4428A">
        <w:rPr>
          <w:b/>
          <w:bCs/>
        </w:rPr>
        <w:t>Deelt u de constatering van de Inspectie dat het niet vroegtijdig consulteren van de Inspectie ertoe kan leiden dat de consequenties van het wetsvoorstel onvoldoende in beeld zouden worden gebracht, met mogelijke negatieve effecten en schade als gevolg? Zo nee, waarom niet?</w:t>
      </w:r>
    </w:p>
    <w:p w:rsidR="006B4EF7" w:rsidP="006B4EF7" w:rsidRDefault="006B4EF7" w14:paraId="1A40E9C0" w14:textId="77777777"/>
    <w:p w:rsidRPr="00B4428A" w:rsidR="006B4EF7" w:rsidP="006B4EF7" w:rsidRDefault="006B4EF7" w14:paraId="475430A8" w14:textId="77777777">
      <w:pPr>
        <w:rPr>
          <w:b/>
          <w:bCs/>
        </w:rPr>
      </w:pPr>
      <w:r w:rsidRPr="00B4428A">
        <w:rPr>
          <w:b/>
          <w:bCs/>
        </w:rPr>
        <w:t>Antwoord op vraag 4</w:t>
      </w:r>
    </w:p>
    <w:p w:rsidR="006B4EF7" w:rsidP="006B4EF7" w:rsidRDefault="006B4EF7" w14:paraId="03DB88EF" w14:textId="77777777">
      <w:r w:rsidRPr="00343518">
        <w:t>Die mening deel ik niet. Bij de totstandkoming van de wetsvoorstellen zijn de partijen geraadpleegd die direct door deze voorstellen worden beïnvloed, of waarvan de taken door deze voorstellen worden geraakt. In het antwoord op vraag 2 is toegelicht dat en waarom de regering dat in dit geval, gelet op de aan de orde zijnde belangen, een verantwoorde keuze acht.</w:t>
      </w:r>
    </w:p>
    <w:p w:rsidRPr="00343518" w:rsidR="006B4EF7" w:rsidP="006B4EF7" w:rsidRDefault="006B4EF7" w14:paraId="1820DB85" w14:textId="77777777"/>
    <w:p w:rsidRPr="00B4428A" w:rsidR="006B4EF7" w:rsidP="006B4EF7" w:rsidRDefault="006B4EF7" w14:paraId="3F92349D" w14:textId="77777777">
      <w:pPr>
        <w:rPr>
          <w:b/>
          <w:bCs/>
        </w:rPr>
      </w:pPr>
      <w:r w:rsidRPr="00B4428A">
        <w:rPr>
          <w:b/>
          <w:bCs/>
        </w:rPr>
        <w:t>Vraag 5</w:t>
      </w:r>
    </w:p>
    <w:p w:rsidRPr="00B4428A" w:rsidR="006B4EF7" w:rsidP="006B4EF7" w:rsidRDefault="006B4EF7" w14:paraId="66F946D2" w14:textId="77777777">
      <w:pPr>
        <w:rPr>
          <w:b/>
          <w:bCs/>
        </w:rPr>
      </w:pPr>
      <w:r w:rsidRPr="00B4428A">
        <w:rPr>
          <w:b/>
          <w:bCs/>
        </w:rPr>
        <w:t xml:space="preserve">Deelt u de mening dat de Aanwijzingen inzake de rijksinspecties alsnog dienen te worden nageleefd en dat de Inspectie zo snel mogelijk alsnog </w:t>
      </w:r>
      <w:r w:rsidRPr="00B4428A">
        <w:rPr>
          <w:b/>
          <w:bCs/>
        </w:rPr>
        <w:lastRenderedPageBreak/>
        <w:t>betrokken moet worden bij de de  Asielnoodmaatregelenwet en de Wet invoering tweestatusstelsel? Zo ja, op welk termijn bent u voornemens dit te doen en op welke wijze? Zo nee, waarom niet?</w:t>
      </w:r>
    </w:p>
    <w:p w:rsidR="006B4EF7" w:rsidP="006B4EF7" w:rsidRDefault="006B4EF7" w14:paraId="041ED3B0" w14:textId="77777777"/>
    <w:p w:rsidRPr="00B4428A" w:rsidR="006B4EF7" w:rsidP="006B4EF7" w:rsidRDefault="006B4EF7" w14:paraId="2DABC1E8" w14:textId="77777777">
      <w:pPr>
        <w:rPr>
          <w:b/>
          <w:bCs/>
        </w:rPr>
      </w:pPr>
      <w:r w:rsidRPr="00B4428A">
        <w:rPr>
          <w:b/>
          <w:bCs/>
        </w:rPr>
        <w:t>Antwoord op vraag 5</w:t>
      </w:r>
    </w:p>
    <w:p w:rsidR="006B4EF7" w:rsidP="006B4EF7" w:rsidRDefault="006B4EF7" w14:paraId="313AB940" w14:textId="77777777">
      <w:r w:rsidRPr="00343518">
        <w:t xml:space="preserve">Ik zal de Inspectie niet alsnog </w:t>
      </w:r>
      <w:r>
        <w:t>om een uitvoeringstoets vragen</w:t>
      </w:r>
      <w:r w:rsidRPr="00343518">
        <w:t xml:space="preserve">. Zoals toegelicht in het antwoord op vraag 2 is de regering van oordeel dat de </w:t>
      </w:r>
      <w:r>
        <w:t>A</w:t>
      </w:r>
      <w:r w:rsidRPr="00343518">
        <w:t>anwijzingen</w:t>
      </w:r>
      <w:r>
        <w:t xml:space="preserve"> inzake de rijksinspecties</w:t>
      </w:r>
      <w:r w:rsidRPr="00343518">
        <w:t xml:space="preserve"> en het </w:t>
      </w:r>
      <w:r>
        <w:t>R</w:t>
      </w:r>
      <w:r w:rsidRPr="00343518">
        <w:t xml:space="preserve">elatiestatuut </w:t>
      </w:r>
      <w:r>
        <w:t xml:space="preserve">JenV </w:t>
      </w:r>
      <w:r w:rsidRPr="00343518">
        <w:t>voldoende ruimte bieden om in dit geval deze keuze te maken.</w:t>
      </w:r>
      <w:r>
        <w:t xml:space="preserve"> Zoals eveneens toegelicht in het antwoord op vraag 2 betekent dat overigens niet dat </w:t>
      </w:r>
      <w:r w:rsidRPr="00F4156D">
        <w:t xml:space="preserve">de </w:t>
      </w:r>
      <w:r w:rsidRPr="000F39B2">
        <w:t>kennis en ervaring van de Inspectie met de vreemdelingenketen niet worden meegenomen</w:t>
      </w:r>
      <w:r w:rsidRPr="00F4156D">
        <w:t>.</w:t>
      </w:r>
    </w:p>
    <w:p w:rsidRPr="00343518" w:rsidR="006B4EF7" w:rsidP="006B4EF7" w:rsidRDefault="006B4EF7" w14:paraId="34E1892B" w14:textId="77777777"/>
    <w:p w:rsidRPr="00B4428A" w:rsidR="006B4EF7" w:rsidP="006B4EF7" w:rsidRDefault="006B4EF7" w14:paraId="4B5803F2" w14:textId="77777777">
      <w:pPr>
        <w:rPr>
          <w:b/>
          <w:bCs/>
        </w:rPr>
      </w:pPr>
      <w:r w:rsidRPr="00B4428A">
        <w:rPr>
          <w:b/>
          <w:bCs/>
        </w:rPr>
        <w:t xml:space="preserve">Vraag 6 </w:t>
      </w:r>
    </w:p>
    <w:p w:rsidRPr="00B4428A" w:rsidR="006B4EF7" w:rsidP="006B4EF7" w:rsidRDefault="006B4EF7" w14:paraId="0A9C4624" w14:textId="77777777">
      <w:pPr>
        <w:rPr>
          <w:b/>
          <w:bCs/>
        </w:rPr>
      </w:pPr>
      <w:r w:rsidRPr="00B4428A">
        <w:rPr>
          <w:b/>
          <w:bCs/>
        </w:rPr>
        <w:t>In hoeverre voldoet u met deze werkwijze aan de ambitie in het hoofdlijnenakkoord om op zeer korte termijn wettelijk vast te leggen dat rijksinspecties vroegtijdig worden betrokken bij de totstandkoming van wet- en regelgeving?</w:t>
      </w:r>
    </w:p>
    <w:p w:rsidR="006B4EF7" w:rsidP="006B4EF7" w:rsidRDefault="006B4EF7" w14:paraId="283B83C9" w14:textId="77777777"/>
    <w:p w:rsidRPr="00B4428A" w:rsidR="006B4EF7" w:rsidP="006B4EF7" w:rsidRDefault="006B4EF7" w14:paraId="0E3B6C0C" w14:textId="77777777">
      <w:pPr>
        <w:rPr>
          <w:b/>
          <w:bCs/>
        </w:rPr>
      </w:pPr>
      <w:r w:rsidRPr="00B4428A">
        <w:rPr>
          <w:b/>
          <w:bCs/>
        </w:rPr>
        <w:t>Antwoord op vraag 6</w:t>
      </w:r>
    </w:p>
    <w:p w:rsidR="006B4EF7" w:rsidP="006B4EF7" w:rsidRDefault="006B4EF7" w14:paraId="18ACBA6A" w14:textId="77777777">
      <w:r>
        <w:t>Zie het antwoord op vraag 7.</w:t>
      </w:r>
    </w:p>
    <w:p w:rsidR="006B4EF7" w:rsidP="006B4EF7" w:rsidRDefault="006B4EF7" w14:paraId="4CE8CA6C" w14:textId="77777777">
      <w:pPr>
        <w:rPr>
          <w:b/>
          <w:bCs/>
        </w:rPr>
      </w:pPr>
    </w:p>
    <w:p w:rsidRPr="00B4428A" w:rsidR="006B4EF7" w:rsidP="006B4EF7" w:rsidRDefault="006B4EF7" w14:paraId="19AA67DB" w14:textId="77777777">
      <w:pPr>
        <w:rPr>
          <w:b/>
          <w:bCs/>
        </w:rPr>
      </w:pPr>
      <w:r w:rsidRPr="00B4428A">
        <w:rPr>
          <w:b/>
          <w:bCs/>
        </w:rPr>
        <w:t>Vraag 7</w:t>
      </w:r>
    </w:p>
    <w:p w:rsidRPr="00B4428A" w:rsidR="006B4EF7" w:rsidP="006B4EF7" w:rsidRDefault="006B4EF7" w14:paraId="395EEF23" w14:textId="60255EB0">
      <w:pPr>
        <w:rPr>
          <w:b/>
          <w:bCs/>
        </w:rPr>
      </w:pPr>
      <w:r w:rsidRPr="00B4428A">
        <w:rPr>
          <w:b/>
          <w:bCs/>
        </w:rPr>
        <w:t xml:space="preserve">Deelt u de mening dat uw handelen niet in lijn is met artikel 7 van de inmiddels in consultatie gebrachte Kaderwet rijksinspecties waarin staat dat 'Onze Minister die het aangaat betrekt een rijksinspectie vroegtijdig bij de totstandkoming van beleidsvoornemens, internationale verplichtingen en ontwerpen voor wet- en regelgeving indien deze gevolgen hebben voor de toezichtstaak van de betreffende rijksinspectie’? Zo nee, waarom niet? </w:t>
      </w:r>
      <w:r>
        <w:rPr>
          <w:b/>
          <w:bCs/>
        </w:rPr>
        <w:t>2)</w:t>
      </w:r>
    </w:p>
    <w:p w:rsidR="006B4EF7" w:rsidP="006B4EF7" w:rsidRDefault="006B4EF7" w14:paraId="0A08DC7F" w14:textId="77777777"/>
    <w:p w:rsidRPr="00B4428A" w:rsidR="006B4EF7" w:rsidP="006B4EF7" w:rsidRDefault="006B4EF7" w14:paraId="10FFB241" w14:textId="77777777">
      <w:pPr>
        <w:rPr>
          <w:b/>
          <w:bCs/>
        </w:rPr>
      </w:pPr>
      <w:r w:rsidRPr="00B4428A">
        <w:rPr>
          <w:b/>
          <w:bCs/>
        </w:rPr>
        <w:t>Antwoord op vraag 7</w:t>
      </w:r>
    </w:p>
    <w:p w:rsidRPr="00343518" w:rsidR="006B4EF7" w:rsidP="006B4EF7" w:rsidRDefault="006B4EF7" w14:paraId="3C663158" w14:textId="77777777">
      <w:r>
        <w:t xml:space="preserve">Het in de vragen 6 en 7 bedoelde </w:t>
      </w:r>
      <w:r w:rsidRPr="00343518">
        <w:t>wetstraject loopt nog</w:t>
      </w:r>
      <w:r>
        <w:t xml:space="preserve"> en is reeds daarom niet richtinggevend voor het antwoord op de vraag of e</w:t>
      </w:r>
      <w:r w:rsidRPr="009F303D">
        <w:t>en uitvoeringstoets</w:t>
      </w:r>
      <w:r>
        <w:t xml:space="preserve"> door de Inspectie in dit geval moet worden verricht.</w:t>
      </w:r>
    </w:p>
    <w:p w:rsidR="006B4EF7" w:rsidP="006B4EF7" w:rsidRDefault="006B4EF7" w14:paraId="377FCC9E" w14:textId="77777777"/>
    <w:p w:rsidRPr="00B4428A" w:rsidR="006B4EF7" w:rsidP="006B4EF7" w:rsidRDefault="006B4EF7" w14:paraId="3CD9A676" w14:textId="77777777">
      <w:pPr>
        <w:rPr>
          <w:b/>
          <w:bCs/>
        </w:rPr>
      </w:pPr>
      <w:r w:rsidRPr="00B4428A">
        <w:rPr>
          <w:b/>
          <w:bCs/>
        </w:rPr>
        <w:lastRenderedPageBreak/>
        <w:t>Vraag 8</w:t>
      </w:r>
    </w:p>
    <w:p w:rsidRPr="00B4428A" w:rsidR="006B4EF7" w:rsidP="006B4EF7" w:rsidRDefault="006B4EF7" w14:paraId="04D3C746" w14:textId="77777777">
      <w:pPr>
        <w:rPr>
          <w:b/>
          <w:bCs/>
        </w:rPr>
      </w:pPr>
      <w:r w:rsidRPr="00B4428A">
        <w:rPr>
          <w:b/>
          <w:bCs/>
        </w:rPr>
        <w:t>Kunt u deze vragen een voor een beantwoorden voor 3 april 2025?</w:t>
      </w:r>
    </w:p>
    <w:p w:rsidR="006B4EF7" w:rsidP="006B4EF7" w:rsidRDefault="006B4EF7" w14:paraId="4B908A11" w14:textId="77777777"/>
    <w:p w:rsidRPr="00B4428A" w:rsidR="006B4EF7" w:rsidP="006B4EF7" w:rsidRDefault="006B4EF7" w14:paraId="030D8C84" w14:textId="77777777">
      <w:pPr>
        <w:rPr>
          <w:b/>
          <w:bCs/>
        </w:rPr>
      </w:pPr>
      <w:r w:rsidRPr="00B4428A">
        <w:rPr>
          <w:b/>
          <w:bCs/>
        </w:rPr>
        <w:t>Antwoord op vraag 8</w:t>
      </w:r>
    </w:p>
    <w:p w:rsidRPr="00343518" w:rsidR="006B4EF7" w:rsidP="006B4EF7" w:rsidRDefault="006B4EF7" w14:paraId="39D44B5E" w14:textId="77777777">
      <w:r w:rsidRPr="00343518">
        <w:t>Ik heb mijn best gedaan de vragen zo spoedig als mogelijk te beantwoorden.</w:t>
      </w:r>
    </w:p>
    <w:p w:rsidRPr="00343518" w:rsidR="006B4EF7" w:rsidP="006B4EF7" w:rsidRDefault="006B4EF7" w14:paraId="205C1D75" w14:textId="77777777">
      <w:r w:rsidRPr="00343518">
        <w:t xml:space="preserve">  </w:t>
      </w:r>
    </w:p>
    <w:p w:rsidRPr="00B4428A" w:rsidR="006B4EF7" w:rsidP="006B4EF7" w:rsidRDefault="006B4EF7" w14:paraId="4DE67B87" w14:textId="7E628B30">
      <w:pPr>
        <w:pStyle w:val="Geenafstand"/>
      </w:pPr>
      <w:r>
        <w:t>1)</w:t>
      </w:r>
      <w:r w:rsidRPr="00B4428A">
        <w:t xml:space="preserve"> Trouw, 23 maart 2025, 'Minister Faber negeerde eigen inspectie bij vorming asielwet', www.trouw.nl/binnenland/minister-faber-negeerde-eigen-inspectie-bij-vorming-asielwet~b2b28886/</w:t>
      </w:r>
    </w:p>
    <w:p w:rsidRPr="00B4428A" w:rsidR="006B4EF7" w:rsidP="006B4EF7" w:rsidRDefault="006B4EF7" w14:paraId="1E1DC828" w14:textId="77777777">
      <w:pPr>
        <w:pStyle w:val="Geenafstand"/>
      </w:pPr>
    </w:p>
    <w:p w:rsidRPr="00B4428A" w:rsidR="006B4EF7" w:rsidP="006B4EF7" w:rsidRDefault="006B4EF7" w14:paraId="77945F66" w14:textId="7A5E35C0">
      <w:pPr>
        <w:pStyle w:val="Geenafstand"/>
      </w:pPr>
      <w:r>
        <w:t>2)</w:t>
      </w:r>
      <w:r w:rsidRPr="00B4428A">
        <w:t xml:space="preserve"> Overheid.nl, Consultatie Kaderwet rijksinspecties, www.internetconsultatie.nl/rijksinspectiewet/b1</w:t>
      </w:r>
    </w:p>
    <w:p w:rsidRPr="00B4428A" w:rsidR="006B4EF7" w:rsidP="006B4EF7" w:rsidRDefault="006B4EF7" w14:paraId="121CC717" w14:textId="77777777">
      <w:pPr>
        <w:pStyle w:val="Geenafstand"/>
      </w:pPr>
    </w:p>
    <w:p w:rsidR="002C3023" w:rsidRDefault="002C3023" w14:paraId="750E7AB8" w14:textId="77777777"/>
    <w:sectPr w:rsidR="002C3023" w:rsidSect="006B4EF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D716" w14:textId="77777777" w:rsidR="006B4EF7" w:rsidRDefault="006B4EF7" w:rsidP="006B4EF7">
      <w:pPr>
        <w:spacing w:after="0" w:line="240" w:lineRule="auto"/>
      </w:pPr>
      <w:r>
        <w:separator/>
      </w:r>
    </w:p>
  </w:endnote>
  <w:endnote w:type="continuationSeparator" w:id="0">
    <w:p w14:paraId="28BB2EC5" w14:textId="77777777" w:rsidR="006B4EF7" w:rsidRDefault="006B4EF7" w:rsidP="006B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AF6A" w14:textId="77777777" w:rsidR="006B4EF7" w:rsidRPr="006B4EF7" w:rsidRDefault="006B4EF7" w:rsidP="006B4E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078C" w14:textId="77777777" w:rsidR="006B4EF7" w:rsidRPr="006B4EF7" w:rsidRDefault="006B4EF7" w:rsidP="006B4E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6C9F" w14:textId="77777777" w:rsidR="006B4EF7" w:rsidRPr="006B4EF7" w:rsidRDefault="006B4EF7" w:rsidP="006B4E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7BCB" w14:textId="77777777" w:rsidR="006B4EF7" w:rsidRDefault="006B4EF7" w:rsidP="006B4EF7">
      <w:pPr>
        <w:spacing w:after="0" w:line="240" w:lineRule="auto"/>
      </w:pPr>
      <w:r>
        <w:separator/>
      </w:r>
    </w:p>
  </w:footnote>
  <w:footnote w:type="continuationSeparator" w:id="0">
    <w:p w14:paraId="7D89EBF7" w14:textId="77777777" w:rsidR="006B4EF7" w:rsidRDefault="006B4EF7" w:rsidP="006B4EF7">
      <w:pPr>
        <w:spacing w:after="0" w:line="240" w:lineRule="auto"/>
      </w:pPr>
      <w:r>
        <w:continuationSeparator/>
      </w:r>
    </w:p>
  </w:footnote>
  <w:footnote w:id="1">
    <w:p w14:paraId="7F9E1127" w14:textId="77777777" w:rsidR="006B4EF7" w:rsidRDefault="006B4EF7" w:rsidP="006B4EF7">
      <w:pPr>
        <w:pStyle w:val="Voetnoottekst"/>
      </w:pPr>
      <w:r>
        <w:rPr>
          <w:rStyle w:val="Voetnootmarkering"/>
        </w:rPr>
        <w:footnoteRef/>
      </w:r>
      <w:r>
        <w:t xml:space="preserve"> Kamerstukken II 2024/25, </w:t>
      </w:r>
      <w:r w:rsidRPr="000F543D">
        <w:t>36704, nr. 4</w:t>
      </w:r>
      <w:r>
        <w:t xml:space="preserve">, p. 12 en Kamerstukken II 2024/25,  </w:t>
      </w:r>
      <w:r w:rsidRPr="000F543D">
        <w:t>36703, nr. 4</w:t>
      </w:r>
      <w:r>
        <w:t>, p. 11.</w:t>
      </w:r>
    </w:p>
  </w:footnote>
  <w:footnote w:id="2">
    <w:p w14:paraId="6E04F389" w14:textId="77777777" w:rsidR="006B4EF7" w:rsidRPr="005611DC" w:rsidRDefault="006B4EF7" w:rsidP="006B4EF7">
      <w:pPr>
        <w:pStyle w:val="Voetnoottekst"/>
      </w:pPr>
      <w:r>
        <w:rPr>
          <w:rStyle w:val="Voetnootmarkering"/>
        </w:rPr>
        <w:footnoteRef/>
      </w:r>
      <w:r>
        <w:t xml:space="preserve"> </w:t>
      </w:r>
      <w:r w:rsidRPr="00AB4E29">
        <w:t xml:space="preserve">Artikel 60, </w:t>
      </w:r>
      <w:r>
        <w:t xml:space="preserve">eerste lid, </w:t>
      </w:r>
      <w:r w:rsidRPr="00AB4E29">
        <w:t>aanhef en onder a,</w:t>
      </w:r>
      <w:r>
        <w:t xml:space="preserve"> onder ii, van het Organisatiebesluit Ministerie van Justitie en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BFB" w14:textId="77777777" w:rsidR="006B4EF7" w:rsidRPr="006B4EF7" w:rsidRDefault="006B4EF7" w:rsidP="006B4E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9803" w14:textId="77777777" w:rsidR="006B4EF7" w:rsidRPr="006B4EF7" w:rsidRDefault="006B4EF7" w:rsidP="006B4E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ECAB" w14:textId="77777777" w:rsidR="006B4EF7" w:rsidRPr="006B4EF7" w:rsidRDefault="006B4EF7" w:rsidP="006B4E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F7"/>
    <w:rsid w:val="002C3023"/>
    <w:rsid w:val="00474906"/>
    <w:rsid w:val="006B4EF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290F"/>
  <w15:chartTrackingRefBased/>
  <w15:docId w15:val="{8D837DAB-D733-4285-BECA-1838E7AA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4E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4E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4E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4E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E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E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E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E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4E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4E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4E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4E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4E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E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E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EF7"/>
    <w:rPr>
      <w:rFonts w:eastAsiaTheme="majorEastAsia" w:cstheme="majorBidi"/>
      <w:color w:val="272727" w:themeColor="text1" w:themeTint="D8"/>
    </w:rPr>
  </w:style>
  <w:style w:type="paragraph" w:styleId="Titel">
    <w:name w:val="Title"/>
    <w:basedOn w:val="Standaard"/>
    <w:next w:val="Standaard"/>
    <w:link w:val="TitelChar"/>
    <w:uiPriority w:val="10"/>
    <w:qFormat/>
    <w:rsid w:val="006B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E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E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E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E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EF7"/>
    <w:rPr>
      <w:i/>
      <w:iCs/>
      <w:color w:val="404040" w:themeColor="text1" w:themeTint="BF"/>
    </w:rPr>
  </w:style>
  <w:style w:type="paragraph" w:styleId="Lijstalinea">
    <w:name w:val="List Paragraph"/>
    <w:basedOn w:val="Standaard"/>
    <w:uiPriority w:val="34"/>
    <w:qFormat/>
    <w:rsid w:val="006B4EF7"/>
    <w:pPr>
      <w:ind w:left="720"/>
      <w:contextualSpacing/>
    </w:pPr>
  </w:style>
  <w:style w:type="character" w:styleId="Intensievebenadrukking">
    <w:name w:val="Intense Emphasis"/>
    <w:basedOn w:val="Standaardalinea-lettertype"/>
    <w:uiPriority w:val="21"/>
    <w:qFormat/>
    <w:rsid w:val="006B4EF7"/>
    <w:rPr>
      <w:i/>
      <w:iCs/>
      <w:color w:val="0F4761" w:themeColor="accent1" w:themeShade="BF"/>
    </w:rPr>
  </w:style>
  <w:style w:type="paragraph" w:styleId="Duidelijkcitaat">
    <w:name w:val="Intense Quote"/>
    <w:basedOn w:val="Standaard"/>
    <w:next w:val="Standaard"/>
    <w:link w:val="DuidelijkcitaatChar"/>
    <w:uiPriority w:val="30"/>
    <w:qFormat/>
    <w:rsid w:val="006B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4EF7"/>
    <w:rPr>
      <w:i/>
      <w:iCs/>
      <w:color w:val="0F4761" w:themeColor="accent1" w:themeShade="BF"/>
    </w:rPr>
  </w:style>
  <w:style w:type="character" w:styleId="Intensieveverwijzing">
    <w:name w:val="Intense Reference"/>
    <w:basedOn w:val="Standaardalinea-lettertype"/>
    <w:uiPriority w:val="32"/>
    <w:qFormat/>
    <w:rsid w:val="006B4EF7"/>
    <w:rPr>
      <w:b/>
      <w:bCs/>
      <w:smallCaps/>
      <w:color w:val="0F4761" w:themeColor="accent1" w:themeShade="BF"/>
      <w:spacing w:val="5"/>
    </w:rPr>
  </w:style>
  <w:style w:type="paragraph" w:styleId="Voettekst">
    <w:name w:val="footer"/>
    <w:basedOn w:val="Standaard"/>
    <w:next w:val="Standaard"/>
    <w:link w:val="VoettekstChar"/>
    <w:rsid w:val="006B4EF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B4EF7"/>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6B4E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4EF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B4E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4EF7"/>
    <w:rPr>
      <w:sz w:val="20"/>
      <w:szCs w:val="20"/>
    </w:rPr>
  </w:style>
  <w:style w:type="character" w:styleId="Voetnootmarkering">
    <w:name w:val="footnote reference"/>
    <w:basedOn w:val="Standaardalinea-lettertype"/>
    <w:uiPriority w:val="99"/>
    <w:semiHidden/>
    <w:unhideWhenUsed/>
    <w:rsid w:val="006B4EF7"/>
    <w:rPr>
      <w:vertAlign w:val="superscript"/>
    </w:rPr>
  </w:style>
  <w:style w:type="paragraph" w:styleId="Geenafstand">
    <w:name w:val="No Spacing"/>
    <w:uiPriority w:val="1"/>
    <w:qFormat/>
    <w:rsid w:val="006B4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806</ap:Words>
  <ap:Characters>4438</ap:Characters>
  <ap:DocSecurity>0</ap:DocSecurity>
  <ap:Lines>36</ap:Lines>
  <ap:Paragraphs>10</ap:Paragraphs>
  <ap:ScaleCrop>false</ap:ScaleCrop>
  <ap:LinksUpToDate>false</ap:LinksUpToDate>
  <ap:CharactersWithSpaces>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2025-04-08T07:53:00.0000000Z</dcterms:created>
  <dcterms:modified xsi:type="dcterms:W3CDTF">2025-04-08T07:55:00.0000000Z</dcterms:modified>
  <version/>
  <category/>
</coreProperties>
</file>