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2025Z06731</w:t>
        <w:br/>
      </w:r>
      <w:proofErr w:type="spellEnd"/>
    </w:p>
    <w:p>
      <w:pPr>
        <w:pStyle w:val="Normal"/>
        <w:rPr>
          <w:b w:val="1"/>
          <w:bCs w:val="1"/>
        </w:rPr>
      </w:pPr>
      <w:r w:rsidR="250AE766">
        <w:rPr>
          <w:b w:val="0"/>
          <w:bCs w:val="0"/>
        </w:rPr>
        <w:t>(ingezonden 8 april 2025)</w:t>
        <w:br/>
      </w:r>
    </w:p>
    <w:p>
      <w:r>
        <w:t xml:space="preserve">Vragen van de leden Hirsch en Piri (beiden GroenLinks-PvdA) aan de ministers van Buitenlandse Zaken en voor Buitenlandse Handel en Ontwikkelingshulp over de nieuwe regels en controles op (wapen)export naar Israël</w:t>
      </w:r>
      <w:r>
        <w:br/>
      </w:r>
    </w:p>
    <w:p>
      <w:pPr>
        <w:pStyle w:val="ListParagraph"/>
        <w:numPr>
          <w:ilvl w:val="0"/>
          <w:numId w:val="100474710"/>
        </w:numPr>
        <w:ind w:left="360"/>
      </w:pPr>
      <w:r>
        <w:t>Waarom is nu pas besloten om “gelet op de veiligheidssituatie in Israël, de Palestijnse Gebieden en de bredere regio” (1) over te gaan op aanpassing van de algemene vergunningen? Kunt u aangeven welke concrete wijziging in de veiligheidssituatie tot dit besluit heeft geleid?</w:t>
      </w:r>
      <w:r>
        <w:br/>
      </w:r>
    </w:p>
    <w:p>
      <w:pPr>
        <w:pStyle w:val="ListParagraph"/>
        <w:numPr>
          <w:ilvl w:val="0"/>
          <w:numId w:val="100474710"/>
        </w:numPr>
        <w:ind w:left="360"/>
      </w:pPr>
      <w:r>
        <w:t>Wat is er nu precies bekend geworden over de veiligheidssituatie wat nog niet bekend was in de afgelopen 17 maanden sinds 7 oktober 2023?</w:t>
      </w:r>
      <w:r>
        <w:br/>
      </w:r>
    </w:p>
    <w:p>
      <w:pPr>
        <w:pStyle w:val="ListParagraph"/>
        <w:numPr>
          <w:ilvl w:val="0"/>
          <w:numId w:val="100474710"/>
        </w:numPr>
        <w:ind w:left="360"/>
      </w:pPr>
      <w:r>
        <w:t>Wat is er veranderd in de veiligheidssituatie ten opzichte van alle momenten in het afgelopen jaar waarop wij u hebben gevraagd om in te grijpen op export naar Israël onder algemene vergunningen, vanwege de enorme risico’s op mensenrechtenschendingen, maar u dit weigerde?</w:t>
      </w:r>
      <w:r>
        <w:br/>
      </w:r>
    </w:p>
    <w:p>
      <w:pPr>
        <w:pStyle w:val="ListParagraph"/>
        <w:numPr>
          <w:ilvl w:val="0"/>
          <w:numId w:val="100474710"/>
        </w:numPr>
        <w:ind w:left="360"/>
      </w:pPr>
      <w:r>
        <w:t>Kunt u een overzicht geven van de goederen die onder algemene uitvoervergunning NL010 – volgens uw brief “regelmatig gebruikt voor uitvoer naar Israël” sinds 7 oktober 2023 (1) – naar Israël zijn geëxporteerd? Kunt u hetzelfde doen voor vergunning NL002 en NL007?</w:t>
      </w:r>
      <w:r>
        <w:br/>
      </w:r>
    </w:p>
    <w:p>
      <w:pPr>
        <w:pStyle w:val="ListParagraph"/>
        <w:numPr>
          <w:ilvl w:val="0"/>
          <w:numId w:val="100474710"/>
        </w:numPr>
        <w:ind w:left="360"/>
      </w:pPr>
      <w:r>
        <w:t>Bent u ermee bekend dat het Israëlische leger bewakingstechnologieën, kunstmatige intelligentie (AI) en andere digitale hulpmiddelen gebruikt om hun aanvallen in de Gazastrook te bepalen? Zo ja, hoe kunt u uw stelling onderbouwen dat informatiebeveiligingsgoederen geëxporteerd vanuit Nederland naar Israël onder vergunning NL010 “gezien hun aard” waarschijnlijk niet voor militaire doeleinden zijn gebruikt?</w:t>
      </w:r>
      <w:r>
        <w:br/>
      </w:r>
    </w:p>
    <w:p>
      <w:pPr>
        <w:pStyle w:val="ListParagraph"/>
        <w:numPr>
          <w:ilvl w:val="0"/>
          <w:numId w:val="100474710"/>
        </w:numPr>
        <w:ind w:left="360"/>
      </w:pPr>
      <w:r>
        <w:t>Weet u waar de technologie dan wel voor is gebruikt?</w:t>
      </w:r>
      <w:r>
        <w:br/>
      </w:r>
    </w:p>
    <w:p>
      <w:pPr>
        <w:pStyle w:val="ListParagraph"/>
        <w:numPr>
          <w:ilvl w:val="0"/>
          <w:numId w:val="100474710"/>
        </w:numPr>
        <w:ind w:left="360"/>
      </w:pPr>
      <w:r>
        <w:t>Kunt u uitleggen om welke redenen u uitvoervergunning NL010 stopzet?</w:t>
      </w:r>
      <w:r>
        <w:br/>
      </w:r>
    </w:p>
    <w:p>
      <w:pPr>
        <w:pStyle w:val="ListParagraph"/>
        <w:numPr>
          <w:ilvl w:val="0"/>
          <w:numId w:val="100474710"/>
        </w:numPr>
        <w:ind w:left="360"/>
      </w:pPr>
      <w:r>
        <w:t>Herinnert u zich antwoorden op eerdere schriftelijke vragen waarin u aangaf dat er sinds 7 oktober 2023 militaire goederen (delen voor F-35 gevechtsvliegtuigen; platen, vormdelen en helmschalen van polyethyleen en technologie; warmtebeeldcamera’s; delen, gereedschap en technologie voor F-16 gevechtsvliegtuigen; G550 patrouillevliegtuig; simulatiesysteem) en dual-use goederen (onderdelen voor lithografische apparatuur, programmatuur en technologie; systemen, apparatuur en onderdelen voor cryptografische informatiebeveiliging; veiligheidshoofddeksels van andere stoffen) naar Israël zijn geëxporteerd (2)?</w:t>
      </w:r>
      <w:r>
        <w:br/>
      </w:r>
    </w:p>
    <w:p>
      <w:pPr>
        <w:pStyle w:val="ListParagraph"/>
        <w:numPr>
          <w:ilvl w:val="0"/>
          <w:numId w:val="100474710"/>
        </w:numPr>
        <w:ind w:left="360"/>
      </w:pPr>
      <w:r>
        <w:t>Kunt u voor elk van deze categorieën aangeven onder welke vergunning deze export valt, en wat de nieuw aangekondigde exportregels voor deze export betekenen?</w:t>
      </w:r>
      <w:r>
        <w:br/>
      </w:r>
    </w:p>
    <w:p>
      <w:pPr>
        <w:pStyle w:val="ListParagraph"/>
        <w:numPr>
          <w:ilvl w:val="0"/>
          <w:numId w:val="100474710"/>
        </w:numPr>
        <w:ind w:left="360"/>
      </w:pPr>
      <w:r>
        <w:t>Nu het kabinet de algemene vergunningen NL007 en NL010 wijzigt door Israël uit te sluiten als land van eindbestemming, en het kabinet na het arrest van het Gerechtshof Den Haag al de algemene vergunningen NL007 en NL009 had gewijzigd om uit- en doorvoer van F-35-onderdelen naar Israël niet langer toe te staan, treffen deze genomen maatregelen alle wapenexport op basis van algemene vergunningen naar Israël? Zo nee, op basis van welke andere algemene vergunningen kunnen nog militaire en dual-use goederen aan Israël worden geleverd? En waarom heeft u deze algemene vergunningen niet aangepast?</w:t>
      </w:r>
      <w:r>
        <w:br/>
      </w:r>
    </w:p>
    <w:p>
      <w:pPr>
        <w:pStyle w:val="ListParagraph"/>
        <w:numPr>
          <w:ilvl w:val="0"/>
          <w:numId w:val="100474710"/>
        </w:numPr>
        <w:ind w:left="360"/>
      </w:pPr>
      <w:r>
        <w:t>Zijn er nog individuele vergunningen op basis waarvan Nederland in 2025 militaire en dual-use goederen naar Israël exporteert? Zo ja, welke goederen? En bent u bereid ook deze vergunningen nog tegen het licht te houden? Zo nee, waarom niet?</w:t>
      </w:r>
      <w:r>
        <w:br/>
      </w:r>
    </w:p>
    <w:p>
      <w:pPr>
        <w:pStyle w:val="ListParagraph"/>
        <w:numPr>
          <w:ilvl w:val="0"/>
          <w:numId w:val="100474710"/>
        </w:numPr>
        <w:ind w:left="360"/>
      </w:pPr>
      <w:r>
        <w:t>Is het kabinet voornemens om de cassatie tegen het rechterlijk besluit dat er geen F-35-onderdelen naar Israël mogen worden geëxporteerd stop te zetten? Zo nee, waarom niet?</w:t>
      </w:r>
      <w:r>
        <w:br/>
      </w:r>
    </w:p>
    <w:p>
      <w:pPr>
        <w:pStyle w:val="ListParagraph"/>
        <w:numPr>
          <w:ilvl w:val="0"/>
          <w:numId w:val="100474710"/>
        </w:numPr>
        <w:ind w:left="360"/>
      </w:pPr>
      <w:r>
        <w:t>Kunt u bovenstaande vragen elk afzonderlijk en uiterlijk woensdag 9 april 2025 beantwoorden, zodat Kamerleden enige tijd hebben de informatie nog voor het Commissiedebat Raad Buitenlandse Zaken van 10 april 2025 tot zich te nemen?</w:t>
      </w:r>
      <w:r>
        <w:br/>
      </w:r>
    </w:p>
    <w:p>
      <w:r>
        <w:t xml:space="preserve">
          (1) Kamerstuk 22054, nr. 454.
          <w:br/>
(2) Aanhangsel Handelingen II, vergaderjaar 2024-2025, nr. 632.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5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590">
    <w:abstractNumId w:val="1004745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