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6A4A" w:rsidR="007F7160" w:rsidP="007F7160" w:rsidRDefault="001C6D76" w14:paraId="1ABF43A0" w14:textId="06C60A72">
      <w:pPr>
        <w:rPr>
          <w:b/>
          <w:bCs/>
          <w:sz w:val="24"/>
          <w:szCs w:val="24"/>
        </w:rPr>
      </w:pPr>
      <w:r>
        <w:rPr>
          <w:b/>
          <w:bCs/>
          <w:sz w:val="24"/>
          <w:szCs w:val="24"/>
        </w:rPr>
        <w:t xml:space="preserve">Verslag </w:t>
      </w:r>
      <w:r w:rsidR="007F7160">
        <w:rPr>
          <w:b/>
          <w:bCs/>
          <w:sz w:val="24"/>
          <w:szCs w:val="24"/>
        </w:rPr>
        <w:t>van ontvangen reacties op de</w:t>
      </w:r>
      <w:r w:rsidRPr="00DF6A4A" w:rsidR="007F7160">
        <w:rPr>
          <w:b/>
          <w:bCs/>
          <w:sz w:val="24"/>
          <w:szCs w:val="24"/>
        </w:rPr>
        <w:t xml:space="preserve"> verkenning naar mogelijke klimaatmaatregelen financiële sector</w:t>
      </w:r>
    </w:p>
    <w:p w:rsidR="007F7160" w:rsidP="007F7160" w:rsidRDefault="007F7160" w14:paraId="36920DD1" w14:textId="77777777"/>
    <w:p w:rsidRPr="00BD7EB4" w:rsidR="007F7160" w:rsidP="007F7160" w:rsidRDefault="007F7160" w14:paraId="1C28E9B6" w14:textId="77777777">
      <w:pPr>
        <w:spacing w:line="240" w:lineRule="exact"/>
        <w:contextualSpacing/>
        <w:textAlignment w:val="auto"/>
        <w:rPr>
          <w:b/>
          <w:bCs/>
          <w:sz w:val="22"/>
          <w:szCs w:val="22"/>
        </w:rPr>
      </w:pPr>
      <w:r w:rsidRPr="00BD7EB4">
        <w:rPr>
          <w:b/>
          <w:bCs/>
          <w:sz w:val="22"/>
          <w:szCs w:val="22"/>
        </w:rPr>
        <w:t>Inleiding</w:t>
      </w:r>
    </w:p>
    <w:p w:rsidRPr="0014131F" w:rsidR="007F7160" w:rsidP="007F7160" w:rsidRDefault="007F7160" w14:paraId="689ABC56" w14:textId="77777777">
      <w:pPr>
        <w:spacing w:line="240" w:lineRule="exact"/>
        <w:contextualSpacing/>
        <w:textAlignment w:val="auto"/>
      </w:pPr>
      <w:r>
        <w:t>In maart 2023</w:t>
      </w:r>
      <w:r>
        <w:rPr>
          <w:rStyle w:val="Voetnootmarkering"/>
        </w:rPr>
        <w:footnoteReference w:id="1"/>
      </w:r>
      <w:r>
        <w:t xml:space="preserve"> kondigde de toenmalige minister van Financiën, mede namens de toenmalige minister voor Klimaat en Energie, </w:t>
      </w:r>
      <w:bookmarkStart w:name="_Hlk173507335" w:id="0"/>
      <w:r w:rsidRPr="0014131F">
        <w:t xml:space="preserve">een verkenning </w:t>
      </w:r>
      <w:r>
        <w:t xml:space="preserve">aan </w:t>
      </w:r>
      <w:r w:rsidRPr="0014131F">
        <w:t>naar meer normerend optreden richting financiële instellingen, afhankelijk van de voortgang die de financiële sector zelf zou maken met het vrijwillige Klimaatcommitment.</w:t>
      </w:r>
      <w:r>
        <w:t xml:space="preserve"> </w:t>
      </w:r>
      <w:r w:rsidRPr="0014131F">
        <w:t>Met het Klimaatcommitment besloten meer dan 50 financiële instellingen in 2019 om:</w:t>
      </w:r>
    </w:p>
    <w:p w:rsidRPr="0014131F" w:rsidR="007F7160" w:rsidP="007F7160" w:rsidRDefault="007F7160" w14:paraId="13382B8D" w14:textId="77777777">
      <w:pPr>
        <w:numPr>
          <w:ilvl w:val="0"/>
          <w:numId w:val="18"/>
        </w:numPr>
        <w:spacing w:line="240" w:lineRule="exact"/>
        <w:contextualSpacing/>
        <w:textAlignment w:val="auto"/>
      </w:pPr>
      <w:r w:rsidRPr="0014131F">
        <w:t xml:space="preserve">deel te nemen aan de financiering van de energietransitie en daartoe een inspanningsverplichting te aanvaarden; </w:t>
      </w:r>
    </w:p>
    <w:p w:rsidRPr="0014131F" w:rsidR="007F7160" w:rsidP="007F7160" w:rsidRDefault="007F7160" w14:paraId="6CEB80CF" w14:textId="77777777">
      <w:pPr>
        <w:numPr>
          <w:ilvl w:val="0"/>
          <w:numId w:val="18"/>
        </w:numPr>
        <w:spacing w:line="240" w:lineRule="exact"/>
        <w:contextualSpacing/>
        <w:textAlignment w:val="auto"/>
      </w:pPr>
      <w:r w:rsidRPr="0014131F">
        <w:t>actie te ondernemen om van relevante financieringen en beleggingen het CO</w:t>
      </w:r>
      <w:r w:rsidRPr="0014131F">
        <w:rPr>
          <w:vertAlign w:val="subscript"/>
        </w:rPr>
        <w:t>2</w:t>
      </w:r>
      <w:r w:rsidRPr="0014131F">
        <w:t>-gehalte te meten. Vanaf het boekjaar 2020 rapporteren zij daarover publiekelijk, en;</w:t>
      </w:r>
    </w:p>
    <w:p w:rsidRPr="0014131F" w:rsidR="007F7160" w:rsidP="007F7160" w:rsidRDefault="007F7160" w14:paraId="21B97512" w14:textId="77777777">
      <w:pPr>
        <w:numPr>
          <w:ilvl w:val="0"/>
          <w:numId w:val="18"/>
        </w:numPr>
        <w:spacing w:line="240" w:lineRule="exact"/>
        <w:contextualSpacing/>
        <w:textAlignment w:val="auto"/>
      </w:pPr>
      <w:r w:rsidRPr="0014131F">
        <w:t>uiterlijk in 2022 actieplannen inclusief reductiedoelstellingen voor 2030 bekend te maken en toe te lichten welke acties zij nemen om bij te dragen aan het Klimaatakkoord van Parijs.</w:t>
      </w:r>
    </w:p>
    <w:p w:rsidR="007F7160" w:rsidP="007F7160" w:rsidRDefault="007F7160" w14:paraId="62CCEE5B" w14:textId="77777777">
      <w:pPr>
        <w:spacing w:line="240" w:lineRule="exact"/>
        <w:contextualSpacing/>
        <w:textAlignment w:val="auto"/>
      </w:pPr>
    </w:p>
    <w:p w:rsidR="007F7160" w:rsidP="007F7160" w:rsidRDefault="00A51B92" w14:paraId="6AE10973" w14:textId="17046A98">
      <w:pPr>
        <w:spacing w:line="240" w:lineRule="exact"/>
        <w:contextualSpacing/>
        <w:textAlignment w:val="auto"/>
      </w:pPr>
      <w:r>
        <w:t>A</w:t>
      </w:r>
      <w:r w:rsidRPr="0014131F" w:rsidR="007F7160">
        <w:t xml:space="preserve">lle ondertekenaars </w:t>
      </w:r>
      <w:r w:rsidRPr="0014131F">
        <w:t xml:space="preserve">publiceerden </w:t>
      </w:r>
      <w:r w:rsidRPr="0014131F" w:rsidR="007F7160">
        <w:t xml:space="preserve">een actieplan en 90 procent van hen </w:t>
      </w:r>
      <w:r>
        <w:t xml:space="preserve">stelde </w:t>
      </w:r>
      <w:r w:rsidRPr="0014131F" w:rsidR="007F7160">
        <w:t>een reductiedoelstelling voor 2030</w:t>
      </w:r>
      <w:r>
        <w:t xml:space="preserve">. Wel </w:t>
      </w:r>
      <w:r w:rsidRPr="0014131F" w:rsidR="007F7160">
        <w:t xml:space="preserve">concludeerden de toenmalige MFIN en MKE in een Kamerbrief van 13 maart 2023 dat de actieplannen concreter kunnen, de onderlinge vergelijkbaarheid een aandachtspunt is en </w:t>
      </w:r>
      <w:r>
        <w:t xml:space="preserve">dat </w:t>
      </w:r>
      <w:r w:rsidRPr="0014131F" w:rsidR="007F7160">
        <w:t xml:space="preserve">een versnelling van de energietransitie nodig is. Om die redenen werd </w:t>
      </w:r>
      <w:r w:rsidR="007F7160">
        <w:t xml:space="preserve">definitief een </w:t>
      </w:r>
      <w:r w:rsidRPr="0014131F" w:rsidR="007F7160">
        <w:t xml:space="preserve">verkenning aangekondigd naar hoe wetgeving zou kunnen bijdragen aan het versterken van de bijdrage van financiële </w:t>
      </w:r>
      <w:r w:rsidR="007F7160">
        <w:t xml:space="preserve">instellingen </w:t>
      </w:r>
      <w:r w:rsidRPr="0014131F" w:rsidR="007F7160">
        <w:t xml:space="preserve">aan de </w:t>
      </w:r>
      <w:r w:rsidR="007F7160">
        <w:t>klimaat</w:t>
      </w:r>
      <w:r w:rsidRPr="0014131F" w:rsidR="007F7160">
        <w:t xml:space="preserve">transitie. </w:t>
      </w:r>
    </w:p>
    <w:p w:rsidR="007F7160" w:rsidP="007F7160" w:rsidRDefault="007F7160" w14:paraId="56346C4C" w14:textId="77777777">
      <w:pPr>
        <w:spacing w:line="240" w:lineRule="exact"/>
        <w:contextualSpacing/>
        <w:textAlignment w:val="auto"/>
      </w:pPr>
    </w:p>
    <w:p w:rsidRPr="00FD59C2" w:rsidR="007F7160" w:rsidP="007F7160" w:rsidRDefault="007F7160" w14:paraId="342B92A0" w14:textId="77777777">
      <w:pPr>
        <w:spacing w:line="240" w:lineRule="exact"/>
        <w:contextualSpacing/>
        <w:textAlignment w:val="auto"/>
      </w:pPr>
      <w:r>
        <w:t xml:space="preserve">Hierbij werd aangekondigd dat </w:t>
      </w:r>
      <w:r w:rsidRPr="00FD59C2">
        <w:t xml:space="preserve">drie </w:t>
      </w:r>
      <w:r>
        <w:t>denkrichtingen</w:t>
      </w:r>
      <w:r w:rsidRPr="00FD59C2">
        <w:t xml:space="preserve"> </w:t>
      </w:r>
      <w:r>
        <w:t>zouden worden verkend</w:t>
      </w:r>
      <w:r w:rsidRPr="00FD59C2">
        <w:t>:</w:t>
      </w:r>
    </w:p>
    <w:p w:rsidRPr="00FD59C2" w:rsidR="007F7160" w:rsidP="007F7160" w:rsidRDefault="007F7160" w14:paraId="06A4D700" w14:textId="77777777">
      <w:pPr>
        <w:numPr>
          <w:ilvl w:val="0"/>
          <w:numId w:val="18"/>
        </w:numPr>
        <w:spacing w:line="240" w:lineRule="exact"/>
        <w:contextualSpacing/>
        <w:textAlignment w:val="auto"/>
      </w:pPr>
      <w:r w:rsidRPr="00FD59C2">
        <w:t xml:space="preserve">een </w:t>
      </w:r>
      <w:r w:rsidRPr="00FD59C2">
        <w:rPr>
          <w:u w:val="single"/>
        </w:rPr>
        <w:t>inspanningsverplichting</w:t>
      </w:r>
      <w:r w:rsidRPr="00FD59C2">
        <w:t xml:space="preserve"> </w:t>
      </w:r>
      <w:r>
        <w:t xml:space="preserve">voor financiële instellingen </w:t>
      </w:r>
      <w:r w:rsidRPr="00FD59C2">
        <w:t>om financieringen en beleggingen in lijn te brengen met de doelstellingen van het Klimaatakkoord van Parijs;</w:t>
      </w:r>
    </w:p>
    <w:p w:rsidRPr="00FD59C2" w:rsidR="007F7160" w:rsidP="007F7160" w:rsidRDefault="007F7160" w14:paraId="7CD8CA6D" w14:textId="77777777">
      <w:pPr>
        <w:numPr>
          <w:ilvl w:val="0"/>
          <w:numId w:val="18"/>
        </w:numPr>
        <w:spacing w:line="240" w:lineRule="exact"/>
        <w:contextualSpacing/>
        <w:textAlignment w:val="auto"/>
      </w:pPr>
      <w:r w:rsidRPr="00FD59C2">
        <w:t xml:space="preserve">een </w:t>
      </w:r>
      <w:r w:rsidRPr="00FD59C2">
        <w:rPr>
          <w:u w:val="single"/>
        </w:rPr>
        <w:t xml:space="preserve">verplichting </w:t>
      </w:r>
      <w:r>
        <w:rPr>
          <w:u w:val="single"/>
        </w:rPr>
        <w:t xml:space="preserve">voor financiële instellingen </w:t>
      </w:r>
      <w:r w:rsidRPr="00FD59C2">
        <w:rPr>
          <w:u w:val="single"/>
        </w:rPr>
        <w:t>om een klimaatplan op te stellen</w:t>
      </w:r>
      <w:r w:rsidRPr="00FD59C2">
        <w:t xml:space="preserve"> met duidelijke regels over de inhoud en de verplichting ook uitvoering te geven aan dat plan, en;</w:t>
      </w:r>
    </w:p>
    <w:p w:rsidRPr="00FD59C2" w:rsidR="007F7160" w:rsidP="007F7160" w:rsidRDefault="007F7160" w14:paraId="23DAB6FA" w14:textId="77777777">
      <w:pPr>
        <w:numPr>
          <w:ilvl w:val="0"/>
          <w:numId w:val="18"/>
        </w:numPr>
        <w:spacing w:line="240" w:lineRule="exact"/>
        <w:contextualSpacing/>
        <w:textAlignment w:val="auto"/>
      </w:pPr>
      <w:r w:rsidRPr="00FD59C2">
        <w:t xml:space="preserve">een verplicht </w:t>
      </w:r>
      <w:r w:rsidRPr="00FD59C2">
        <w:rPr>
          <w:u w:val="single"/>
        </w:rPr>
        <w:t>betrokkenheidsbeleid</w:t>
      </w:r>
      <w:r w:rsidRPr="00FD59C2">
        <w:t xml:space="preserve"> (engagement) </w:t>
      </w:r>
      <w:r>
        <w:t xml:space="preserve">voor financiële instellingen </w:t>
      </w:r>
      <w:r w:rsidRPr="00FD59C2">
        <w:t>op het gebied van klimaat.</w:t>
      </w:r>
    </w:p>
    <w:bookmarkEnd w:id="0"/>
    <w:p w:rsidR="007F7160" w:rsidP="007F7160" w:rsidRDefault="007F7160" w14:paraId="18AA6692" w14:textId="77777777">
      <w:r>
        <w:t xml:space="preserve"> </w:t>
      </w:r>
    </w:p>
    <w:p w:rsidR="007F7160" w:rsidP="007F7160" w:rsidRDefault="007F7160" w14:paraId="5C2DA908" w14:textId="079E4D03">
      <w:r>
        <w:t>De verkenning bestond uit</w:t>
      </w:r>
      <w:r w:rsidRPr="00FD59C2">
        <w:t xml:space="preserve"> een openbare internetconsultatie en twee ronde tafels </w:t>
      </w:r>
      <w:r>
        <w:t>met de sector, experts en maatschappelijke organisaties</w:t>
      </w:r>
      <w:r w:rsidRPr="00FD59C2">
        <w:t>.</w:t>
      </w:r>
      <w:r>
        <w:rPr>
          <w:rStyle w:val="Voetnootmarkering"/>
        </w:rPr>
        <w:footnoteReference w:id="2"/>
      </w:r>
      <w:r w:rsidRPr="00FD59C2">
        <w:t xml:space="preserve"> </w:t>
      </w:r>
      <w:r w:rsidRPr="00DE62D2">
        <w:t xml:space="preserve">De periode van consultatie betrof 21 december 2023 tot en met 15 februari 2024. </w:t>
      </w:r>
      <w:r w:rsidRPr="00FD59C2">
        <w:t>Er zijn 26 consultatiereacties binnengekomen</w:t>
      </w:r>
      <w:r>
        <w:t xml:space="preserve">, waaronder </w:t>
      </w:r>
      <w:r w:rsidRPr="00FD59C2">
        <w:t xml:space="preserve">van financiële instellingen, koepelorganisaties, het maatschappelijk middenveld, de wetenschap en de toezichthouders. </w:t>
      </w:r>
      <w:r w:rsidRPr="00DE62D2">
        <w:t>De ronde tafels vonden 23 en 30 april 2024 plaats.</w:t>
      </w:r>
      <w:r>
        <w:t xml:space="preserve"> Voor de ronde tafels waren circa 50 relevante stakeholders uitgenodigd. D</w:t>
      </w:r>
      <w:r w:rsidR="001C6D76">
        <w:t>it</w:t>
      </w:r>
      <w:r>
        <w:t xml:space="preserve"> </w:t>
      </w:r>
      <w:r w:rsidR="001C6D76">
        <w:t xml:space="preserve">verslag </w:t>
      </w:r>
      <w:r>
        <w:t xml:space="preserve">bevat een samenvatting van de reacties die het kabinet heeft ontvangen als onderdeel van de verkenning. </w:t>
      </w:r>
    </w:p>
    <w:p w:rsidR="007F7160" w:rsidP="007F7160" w:rsidRDefault="007F7160" w14:paraId="5EBA885F" w14:textId="77777777"/>
    <w:p w:rsidR="007F7160" w:rsidP="007F7160" w:rsidRDefault="007F7160" w14:paraId="350E9701" w14:textId="77777777">
      <w:r>
        <w:t xml:space="preserve">Het document beschrijft eerst de algemene reactie van stakeholders op mogelijke nationale wetgeving. Daarna wordt de opgehaalde inhoud op de drie mogelijke denkrichtingen weergegeven: een inspanningsverplichting, een klimaatplanverplichting en verplichtingen voor een betrokkenheidsbeleid. Ten slotte wordt er in gegaan op de overwegingen van respondenten rond rol van overheidsbeleid, transitiepaden en publiek private samenwerking alsmede aanvullende ideeën die tijdens de verkenning zijn opgekomen, waaronder omtrent bredere duurzaamheidsoverwegingen. </w:t>
      </w:r>
    </w:p>
    <w:p w:rsidR="007F7160" w:rsidP="007F7160" w:rsidRDefault="007F7160" w14:paraId="0BC3C9D3" w14:textId="77777777"/>
    <w:p w:rsidR="007F7160" w:rsidP="007F7160" w:rsidRDefault="007F7160" w14:paraId="71224990" w14:textId="77777777"/>
    <w:p w:rsidRPr="004B732F" w:rsidR="007F7160" w:rsidP="007F7160" w:rsidRDefault="007F7160" w14:paraId="4B6D1611" w14:textId="77777777"/>
    <w:p w:rsidRPr="004B732F" w:rsidR="007F7160" w:rsidP="007F7160" w:rsidRDefault="007F7160" w14:paraId="1906AEEE" w14:textId="77777777"/>
    <w:p w:rsidRPr="00B97A13" w:rsidR="007F7160" w:rsidP="00B97A13" w:rsidRDefault="00131F5F" w14:paraId="307192AA" w14:textId="3554D1D6">
      <w:pPr>
        <w:rPr>
          <w:b/>
          <w:bCs/>
        </w:rPr>
      </w:pPr>
      <w:r>
        <w:rPr>
          <w:b/>
          <w:bCs/>
          <w:sz w:val="22"/>
          <w:szCs w:val="22"/>
        </w:rPr>
        <w:lastRenderedPageBreak/>
        <w:t xml:space="preserve">Verslag opgehaalde reacties </w:t>
      </w:r>
    </w:p>
    <w:p w:rsidR="00BD7EB4" w:rsidP="007F7160" w:rsidRDefault="00BD7EB4" w14:paraId="67F51A52" w14:textId="77777777">
      <w:pPr>
        <w:rPr>
          <w:b/>
          <w:bCs/>
        </w:rPr>
      </w:pPr>
    </w:p>
    <w:p w:rsidRPr="00B97A13" w:rsidR="007F7160" w:rsidP="00B97A13" w:rsidRDefault="007F7160" w14:paraId="10145210" w14:textId="7052DBDE">
      <w:pPr>
        <w:pStyle w:val="Lijstalinea"/>
        <w:numPr>
          <w:ilvl w:val="0"/>
          <w:numId w:val="19"/>
        </w:numPr>
        <w:rPr>
          <w:b/>
          <w:bCs/>
        </w:rPr>
      </w:pPr>
      <w:r w:rsidRPr="00B97A13">
        <w:rPr>
          <w:b/>
          <w:bCs/>
        </w:rPr>
        <w:t xml:space="preserve">Algemeen beeld </w:t>
      </w:r>
    </w:p>
    <w:p w:rsidR="007F7160" w:rsidP="007F7160" w:rsidRDefault="007F7160" w14:paraId="769CDC2B" w14:textId="46FAFF32">
      <w:r w:rsidRPr="00A33EC6">
        <w:rPr>
          <w:b/>
          <w:bCs/>
        </w:rPr>
        <w:t>Uit de verkenning blijkt dat alle consultatiepartijen en deelnemers aan de ronde tafels</w:t>
      </w:r>
      <w:r w:rsidR="00013D1D">
        <w:rPr>
          <w:b/>
          <w:bCs/>
        </w:rPr>
        <w:t xml:space="preserve"> </w:t>
      </w:r>
      <w:r w:rsidRPr="00A33EC6">
        <w:rPr>
          <w:b/>
          <w:bCs/>
        </w:rPr>
        <w:t xml:space="preserve">het belang van duurzame financiering onderkennen en nagenoeg allemaal stellen dat een versnelling van de </w:t>
      </w:r>
      <w:r>
        <w:rPr>
          <w:b/>
          <w:bCs/>
        </w:rPr>
        <w:t>klimaat</w:t>
      </w:r>
      <w:r w:rsidRPr="00A33EC6">
        <w:rPr>
          <w:b/>
          <w:bCs/>
        </w:rPr>
        <w:t>transitie nodig is</w:t>
      </w:r>
      <w:r w:rsidRPr="00294924">
        <w:t xml:space="preserve">. </w:t>
      </w:r>
    </w:p>
    <w:p w:rsidR="007F7160" w:rsidP="007F7160" w:rsidRDefault="007F7160" w14:paraId="7AB74BD6" w14:textId="77777777"/>
    <w:p w:rsidRPr="00294924" w:rsidR="007F7160" w:rsidP="007F7160" w:rsidRDefault="007F7160" w14:paraId="64E5586F" w14:textId="050F6FA4">
      <w:r w:rsidRPr="00294924">
        <w:rPr>
          <w:b/>
          <w:bCs/>
        </w:rPr>
        <w:t xml:space="preserve">Desalniettemin </w:t>
      </w:r>
      <w:r>
        <w:rPr>
          <w:b/>
          <w:bCs/>
        </w:rPr>
        <w:t>is</w:t>
      </w:r>
      <w:r w:rsidRPr="00294924">
        <w:rPr>
          <w:b/>
          <w:bCs/>
        </w:rPr>
        <w:t xml:space="preserve"> een deel van de partijen</w:t>
      </w:r>
      <w:r>
        <w:rPr>
          <w:b/>
          <w:bCs/>
        </w:rPr>
        <w:t xml:space="preserve"> in algemene zin</w:t>
      </w:r>
      <w:r w:rsidRPr="00294924">
        <w:rPr>
          <w:b/>
          <w:bCs/>
        </w:rPr>
        <w:t xml:space="preserve"> tegen nationale </w:t>
      </w:r>
      <w:r>
        <w:rPr>
          <w:b/>
          <w:bCs/>
        </w:rPr>
        <w:t>klimaat</w:t>
      </w:r>
      <w:r w:rsidRPr="00294924">
        <w:rPr>
          <w:b/>
          <w:bCs/>
        </w:rPr>
        <w:t xml:space="preserve">maatregelen </w:t>
      </w:r>
      <w:r>
        <w:rPr>
          <w:b/>
          <w:bCs/>
        </w:rPr>
        <w:t>voor de financiële sector</w:t>
      </w:r>
      <w:r w:rsidRPr="00294924">
        <w:rPr>
          <w:b/>
          <w:bCs/>
        </w:rPr>
        <w:t>.</w:t>
      </w:r>
      <w:r>
        <w:t xml:space="preserve"> </w:t>
      </w:r>
      <w:r w:rsidRPr="00294924">
        <w:t>Meerdere partijen geven aan dat er al veel regelgeving vanuit Europa op hen afkomt en dat dit eerst moet uitkristalliseren voor er eventuel</w:t>
      </w:r>
      <w:r>
        <w:t>e</w:t>
      </w:r>
      <w:r w:rsidRPr="00294924">
        <w:t xml:space="preserve"> additionele nationale maatregelen </w:t>
      </w:r>
      <w:r>
        <w:t xml:space="preserve">(kunnen) </w:t>
      </w:r>
      <w:r w:rsidRPr="00294924">
        <w:t>worden genomen.</w:t>
      </w:r>
      <w:r>
        <w:rPr>
          <w:rStyle w:val="Voetnootmarkering"/>
        </w:rPr>
        <w:footnoteReference w:id="3"/>
      </w:r>
      <w:r w:rsidRPr="00294924">
        <w:t xml:space="preserve"> Ook wijzen velen erop dat nationale regelgeving vooral zou leiden tot extra regeldruk en</w:t>
      </w:r>
      <w:r>
        <w:t xml:space="preserve"> </w:t>
      </w:r>
      <w:r w:rsidRPr="00294924">
        <w:t>niet bevorderlijk</w:t>
      </w:r>
      <w:r>
        <w:t xml:space="preserve"> </w:t>
      </w:r>
      <w:r w:rsidRPr="00294924">
        <w:t>zou zijn voor het gelijke speelveld binnen de Europese Unie. Verder wordt vaak naar voren gebracht dat eventuele maatregelen vooral gericht dienen te zijn op verduurzaming van de reële economie en er niet toe dienen te leiden dat deze verduurzaming wordt afgedwongen via regelgeving voor financiële instellingen.</w:t>
      </w:r>
    </w:p>
    <w:p w:rsidRPr="00294924" w:rsidR="007F7160" w:rsidP="007F7160" w:rsidRDefault="007F7160" w14:paraId="4D7E98BA" w14:textId="77777777">
      <w:pPr>
        <w:rPr>
          <w:b/>
          <w:bCs/>
        </w:rPr>
      </w:pPr>
    </w:p>
    <w:p w:rsidRPr="00294924" w:rsidR="007F7160" w:rsidP="007F7160" w:rsidRDefault="007F7160" w14:paraId="0CB601D2" w14:textId="6FFEFC8D">
      <w:r w:rsidRPr="00294924">
        <w:rPr>
          <w:b/>
          <w:bCs/>
        </w:rPr>
        <w:t>Echter, een ander deel van de partijen is juist voorstander van nationale maatregelen.</w:t>
      </w:r>
      <w:r>
        <w:t xml:space="preserve"> D</w:t>
      </w:r>
      <w:r w:rsidRPr="00294924">
        <w:t xml:space="preserve">oor sommige partijen wordt juist gesteld dat bestaande duurzaamheidsregelgeving te veel gefocust is op informatieverschaffing via rapportages en transparantie over en mitigatie van risico's, maar te weinig op het </w:t>
      </w:r>
      <w:r w:rsidR="00BD7EB4">
        <w:t xml:space="preserve">daadwerkelijk </w:t>
      </w:r>
      <w:r w:rsidRPr="00294924">
        <w:t>vergroenen van kapitaalstromen. Zij stellen dat ondanks Europese wetgeving</w:t>
      </w:r>
      <w:r>
        <w:t xml:space="preserve"> en </w:t>
      </w:r>
      <w:r w:rsidRPr="00294924">
        <w:t xml:space="preserve">de vele nationale en internationale vrijwillige initiatieven, de financiële sector onvoldoende vergroent en er een significant </w:t>
      </w:r>
      <w:r w:rsidR="00BD7EB4">
        <w:t xml:space="preserve">klimaattransitie </w:t>
      </w:r>
      <w:r w:rsidRPr="00294924">
        <w:t xml:space="preserve">investeringstekort is. Bovendien geven sommigen aan dat nationale maatregelen </w:t>
      </w:r>
      <w:r>
        <w:t xml:space="preserve">juist voor een gelijk speelveld in de financiële sector in Nederland </w:t>
      </w:r>
      <w:r w:rsidRPr="00294924">
        <w:t>kunnen zorgen, mede omdat Europese regelgeving niet op alle Nederlandse financiële instellingen van toepassing is</w:t>
      </w:r>
      <w:r>
        <w:t xml:space="preserve">. </w:t>
      </w:r>
    </w:p>
    <w:p w:rsidRPr="004B732F" w:rsidR="007F7160" w:rsidP="007F7160" w:rsidRDefault="007F7160" w14:paraId="3D709E7F" w14:textId="77777777"/>
    <w:p w:rsidRPr="00B97A13" w:rsidR="007F7160" w:rsidP="00B97A13" w:rsidRDefault="007F7160" w14:paraId="247D335F" w14:textId="1B81A38F">
      <w:pPr>
        <w:pStyle w:val="Lijstalinea"/>
        <w:numPr>
          <w:ilvl w:val="0"/>
          <w:numId w:val="19"/>
        </w:numPr>
        <w:rPr>
          <w:b/>
          <w:bCs/>
        </w:rPr>
      </w:pPr>
      <w:r w:rsidRPr="00B97A13">
        <w:rPr>
          <w:b/>
          <w:bCs/>
        </w:rPr>
        <w:t xml:space="preserve"> Drie denkrichtingen</w:t>
      </w:r>
    </w:p>
    <w:p w:rsidR="007F7160" w:rsidP="007F7160" w:rsidRDefault="007F7160" w14:paraId="7228970E" w14:textId="77777777">
      <w:r>
        <w:t xml:space="preserve">In de verkenning zijn drie denkrichtingen onderzocht. Hieronder worden per denkrichting de bevindingen geschetst. </w:t>
      </w:r>
    </w:p>
    <w:p w:rsidRPr="0007182C" w:rsidR="007F7160" w:rsidP="007F7160" w:rsidRDefault="007F7160" w14:paraId="1A37E23C" w14:textId="77777777"/>
    <w:p w:rsidR="007F7160" w:rsidP="007F7160" w:rsidRDefault="007F7160" w14:paraId="6CEECBDF" w14:textId="77777777">
      <w:pPr>
        <w:rPr>
          <w:u w:val="single"/>
        </w:rPr>
      </w:pPr>
      <w:r w:rsidRPr="008C26B0">
        <w:rPr>
          <w:u w:val="single"/>
        </w:rPr>
        <w:t>Inspanningsverplichting</w:t>
      </w:r>
    </w:p>
    <w:p w:rsidR="00B5573D" w:rsidP="007F7160" w:rsidRDefault="00B5573D" w14:paraId="5C188B5B" w14:textId="77777777">
      <w:pPr>
        <w:rPr>
          <w:u w:val="single"/>
        </w:rPr>
      </w:pPr>
    </w:p>
    <w:p w:rsidR="007F7160" w:rsidP="007F7160" w:rsidRDefault="007F7160" w14:paraId="20100D12" w14:textId="5718C785">
      <w:r w:rsidRPr="00604F82">
        <w:rPr>
          <w:b/>
          <w:bCs/>
        </w:rPr>
        <w:t xml:space="preserve">Met een inspanningsverplichting wordt verwacht van </w:t>
      </w:r>
      <w:r>
        <w:rPr>
          <w:b/>
          <w:bCs/>
        </w:rPr>
        <w:t>instellingen</w:t>
      </w:r>
      <w:r w:rsidRPr="00604F82">
        <w:rPr>
          <w:b/>
          <w:bCs/>
        </w:rPr>
        <w:t xml:space="preserve"> dat zij zich inspannen om een specifiek doel te behalen.</w:t>
      </w:r>
      <w:r w:rsidRPr="00604F82">
        <w:t xml:space="preserve"> Voor financiële </w:t>
      </w:r>
      <w:r>
        <w:t>instellingen</w:t>
      </w:r>
      <w:r w:rsidRPr="00604F82">
        <w:t xml:space="preserve"> zou dit </w:t>
      </w:r>
      <w:r>
        <w:t xml:space="preserve">doel </w:t>
      </w:r>
      <w:r w:rsidRPr="00604F82">
        <w:t xml:space="preserve">kunnen zijn dat zij hun financieringen en beleggingen in lijn moeten brengen met bijvoorbeeld de doelstellingen van het </w:t>
      </w:r>
      <w:r>
        <w:t>A</w:t>
      </w:r>
      <w:r w:rsidRPr="00604F82">
        <w:t>kkoord van Parijs</w:t>
      </w:r>
      <w:r>
        <w:t>,</w:t>
      </w:r>
      <w:r w:rsidRPr="00604F82">
        <w:t xml:space="preserve"> de doelstelling om in 2050 in de Europese Unie klimaatneutraal te zijn</w:t>
      </w:r>
      <w:r>
        <w:t>,</w:t>
      </w:r>
      <w:r w:rsidRPr="00604F82">
        <w:t xml:space="preserve"> en/of de klimaatambities van het kabinet</w:t>
      </w:r>
      <w:r>
        <w:t>.</w:t>
      </w:r>
      <w:r>
        <w:rPr>
          <w:b/>
          <w:bCs/>
        </w:rPr>
        <w:t xml:space="preserve"> </w:t>
      </w:r>
    </w:p>
    <w:p w:rsidR="007F7160" w:rsidP="007F7160" w:rsidRDefault="007F7160" w14:paraId="22D2241D" w14:textId="77777777"/>
    <w:p w:rsidR="007F7160" w:rsidP="007F7160" w:rsidRDefault="007F7160" w14:paraId="72C02554" w14:textId="2663DF93">
      <w:r w:rsidRPr="006A380C">
        <w:rPr>
          <w:b/>
          <w:bCs/>
        </w:rPr>
        <w:t>Uit de verkenning blijkt dat de reacties hierop verschillend zijn</w:t>
      </w:r>
      <w:r>
        <w:t xml:space="preserve">. </w:t>
      </w:r>
      <w:r w:rsidRPr="0007182C">
        <w:rPr>
          <w:b/>
          <w:bCs/>
        </w:rPr>
        <w:t xml:space="preserve">Tegenstanders van een nationale inspanningsverplichting </w:t>
      </w:r>
      <w:r>
        <w:rPr>
          <w:b/>
          <w:bCs/>
        </w:rPr>
        <w:t xml:space="preserve">dragen hier </w:t>
      </w:r>
      <w:r w:rsidRPr="0007182C">
        <w:rPr>
          <w:b/>
          <w:bCs/>
        </w:rPr>
        <w:t xml:space="preserve">verschillende </w:t>
      </w:r>
      <w:r>
        <w:rPr>
          <w:b/>
          <w:bCs/>
        </w:rPr>
        <w:t>argumenten voor aan</w:t>
      </w:r>
      <w:r w:rsidRPr="0007182C">
        <w:rPr>
          <w:b/>
          <w:bCs/>
        </w:rPr>
        <w:t>.</w:t>
      </w:r>
      <w:r>
        <w:t xml:space="preserve"> Zij stellen dat de financiële sector een intermediair is en slechts de reële economie financiert. Zij vinden dat de overheid daarom niet van de financiële sector kan verwacht</w:t>
      </w:r>
      <w:r w:rsidR="00A51B92">
        <w:t>en</w:t>
      </w:r>
      <w:r>
        <w:t xml:space="preserve"> dat zij voorop loopt qua vergroening op de reële economie. Het is volgens deze partijen niet mogelijk voor de financiële sector om groener te zijn dan de bedrijven zelf die zij financieren. Sommige partijen stellen bovendien dat een inspanningsverplichting niet voor de financiële sector zou moeten gelden als deze niet ook geldt voor de reële economie. Andere tegenstanders stellen dat veel partijen de facto al een inspanningsverplichting hebben aanvaard via nationale of internationale vrijwillige initiatieven, en dat een nationaal wettelijke inspanningsverplichting geen additioneel effect zal hebben op de huidige inspanningen van financiële instellingen.</w:t>
      </w:r>
    </w:p>
    <w:p w:rsidR="007F7160" w:rsidP="007F7160" w:rsidRDefault="007F7160" w14:paraId="5064FB94" w14:textId="77777777"/>
    <w:p w:rsidR="007F7160" w:rsidP="007F7160" w:rsidRDefault="007F7160" w14:paraId="4D14448A" w14:textId="4F03E328">
      <w:r w:rsidRPr="0007182C">
        <w:rPr>
          <w:b/>
          <w:bCs/>
        </w:rPr>
        <w:t xml:space="preserve">Anderzijds stellen voorstanders dat een </w:t>
      </w:r>
      <w:r w:rsidRPr="00FF0B0D">
        <w:rPr>
          <w:b/>
          <w:bCs/>
        </w:rPr>
        <w:t>nationale</w:t>
      </w:r>
      <w:r w:rsidRPr="0007182C">
        <w:rPr>
          <w:b/>
          <w:bCs/>
        </w:rPr>
        <w:t xml:space="preserve"> </w:t>
      </w:r>
      <w:r w:rsidRPr="00FF0B0D">
        <w:rPr>
          <w:b/>
          <w:bCs/>
        </w:rPr>
        <w:t>inspanningsverplichting</w:t>
      </w:r>
      <w:r w:rsidRPr="0007182C">
        <w:rPr>
          <w:b/>
          <w:bCs/>
        </w:rPr>
        <w:t xml:space="preserve"> juist </w:t>
      </w:r>
      <w:r w:rsidRPr="00BD7EB4">
        <w:rPr>
          <w:b/>
          <w:bCs/>
        </w:rPr>
        <w:t>duidelijkheid</w:t>
      </w:r>
      <w:r w:rsidRPr="0007182C">
        <w:rPr>
          <w:b/>
          <w:bCs/>
        </w:rPr>
        <w:t xml:space="preserve"> kan scheppen</w:t>
      </w:r>
      <w:r>
        <w:rPr>
          <w:b/>
          <w:bCs/>
        </w:rPr>
        <w:t xml:space="preserve"> over welke bijdrage van welke speler verwacht wordt</w:t>
      </w:r>
      <w:r>
        <w:t>. Zo stellen sommige voorstanders dat ondanks de al bestaande vrijwillige inspanningsverplichtingen, een wettelijke inspanningsverplichting kan helpen</w:t>
      </w:r>
      <w:r w:rsidRPr="00FF0B0D">
        <w:t xml:space="preserve"> om ervoor te zorgen dat iedereen </w:t>
      </w:r>
      <w:r w:rsidRPr="0007182C">
        <w:rPr>
          <w:i/>
          <w:iCs/>
        </w:rPr>
        <w:t>dezelfde</w:t>
      </w:r>
      <w:r w:rsidRPr="00FF0B0D">
        <w:t xml:space="preserve"> </w:t>
      </w:r>
      <w:r w:rsidRPr="00FF0B0D">
        <w:lastRenderedPageBreak/>
        <w:t>doelen nastreeft en het een mandaat</w:t>
      </w:r>
      <w:r>
        <w:t xml:space="preserve"> kan</w:t>
      </w:r>
      <w:r w:rsidRPr="00FF0B0D">
        <w:t xml:space="preserve"> ge</w:t>
      </w:r>
      <w:r>
        <w:t xml:space="preserve">ven </w:t>
      </w:r>
      <w:r w:rsidRPr="00FF0B0D">
        <w:t>voor de toezichthouder om te handhaven</w:t>
      </w:r>
      <w:r>
        <w:t>. Voorstanders stellen dat een wettelijke inspanningsverplichting bovendien het speelveld in Nederland gelijk kan trekken, zodat niet enkel voorlopers zich inspannen om bij te dragen aan de doelen van het Akkoord van Parijs. Andere voorstanders stellen dat er reeds een zorgplicht geldt voor ondernemingen. Deze komt volgens deze partijen tot uitdrukking in de Shell-uitspraak</w:t>
      </w:r>
      <w:r>
        <w:rPr>
          <w:rStyle w:val="Voetnootmarkering"/>
        </w:rPr>
        <w:footnoteReference w:id="4"/>
      </w:r>
      <w:r>
        <w:t xml:space="preserve"> waarbij de rechter heeft geoordeeld dat Shell vanwege haar niet te negeren aandeel in het veroorzaken van gevaarlijke klimaatverandering een resultaatsverplichting heeft om haar Scope 1 en 2-emissies te reduceren (eigen uitstoot) en een zwaarwegende inspanningsverplichting om haar Scope 3-uitstoot te reduceren (uitstoot in de waardeketen).</w:t>
      </w:r>
      <w:r>
        <w:rPr>
          <w:rStyle w:val="Voetnootmarkering"/>
        </w:rPr>
        <w:footnoteReference w:id="5"/>
      </w:r>
      <w:r>
        <w:t xml:space="preserve"> Echter, de vraag die daarbij opkomt is wanneer er voor een onderneming sprake is van een nie</w:t>
      </w:r>
      <w:r w:rsidR="00BD7EB4">
        <w:t xml:space="preserve">t </w:t>
      </w:r>
      <w:r>
        <w:t>te</w:t>
      </w:r>
      <w:r w:rsidR="00BD7EB4">
        <w:t xml:space="preserve"> </w:t>
      </w:r>
      <w:r>
        <w:t>negeren aandeel in het veroorzaken van gevaarlijke klimaatverandering. Voorstanders stellen dat een wettelijke inspanningsverplichting kan verduidelijken voor wie de inspanningsverplichting precies geldt en wat er van hen verwacht wordt.</w:t>
      </w:r>
    </w:p>
    <w:p w:rsidR="007F7160" w:rsidP="007F7160" w:rsidRDefault="007F7160" w14:paraId="1D9651EE" w14:textId="77777777"/>
    <w:p w:rsidR="007F7160" w:rsidP="007F7160" w:rsidRDefault="007F7160" w14:paraId="2AD1CB3D" w14:textId="4CB53260">
      <w:r>
        <w:rPr>
          <w:b/>
          <w:bCs/>
        </w:rPr>
        <w:t xml:space="preserve">Een open vraag </w:t>
      </w:r>
      <w:r w:rsidR="00A51B92">
        <w:rPr>
          <w:b/>
          <w:bCs/>
        </w:rPr>
        <w:t xml:space="preserve">die </w:t>
      </w:r>
      <w:r>
        <w:rPr>
          <w:b/>
          <w:bCs/>
        </w:rPr>
        <w:t>daarbij</w:t>
      </w:r>
      <w:r w:rsidR="00BD7EB4">
        <w:rPr>
          <w:b/>
          <w:bCs/>
        </w:rPr>
        <w:t xml:space="preserve"> opkwam</w:t>
      </w:r>
      <w:r>
        <w:rPr>
          <w:b/>
          <w:bCs/>
        </w:rPr>
        <w:t xml:space="preserve"> is hoe dit praktisch ingevuld kan worden</w:t>
      </w:r>
      <w:r w:rsidRPr="006A380C">
        <w:rPr>
          <w:b/>
          <w:bCs/>
        </w:rPr>
        <w:t>.</w:t>
      </w:r>
      <w:r>
        <w:t xml:space="preserve"> Partijen geven aan dat de mogelijkheden om zich in te spannen voor kredietverstrekkers anders zijn dan voor beleggers en voor vermogensbeheerders anders dan voor </w:t>
      </w:r>
      <w:r w:rsidRPr="00EF1617">
        <w:rPr>
          <w:i/>
          <w:iCs/>
        </w:rPr>
        <w:t>market makers</w:t>
      </w:r>
      <w:r>
        <w:t>.</w:t>
      </w:r>
      <w:r w:rsidR="00EF1617">
        <w:rPr>
          <w:rStyle w:val="Voetnootmarkering"/>
        </w:rPr>
        <w:footnoteReference w:id="6"/>
      </w:r>
      <w:r>
        <w:t xml:space="preserve"> Zij pleiten voor een inspanningsverplichting in algemene zin, waarbij de invulling wordt gelaten aan de financiële instellingen zelf. Anderen wijzen er echter op dat er ambiguïteit en rechtsonzekerheid blijft bestaan</w:t>
      </w:r>
      <w:r w:rsidRPr="00CD3E2A">
        <w:t xml:space="preserve"> </w:t>
      </w:r>
      <w:r>
        <w:t>wanneer de overheid geen verdere wettelijke duidelijkheid zou scheppen bij het instellen van een eventuele inspanningsverplichting. Zo blijft de vraag wanneer de inspanning voldoende is geweest en wie dat bepaalt. Daarmee blijft een interpretatieruimte ontstaan die mogelijk enkel door de rechter kan worden ingevuld. Ook</w:t>
      </w:r>
      <w:r w:rsidR="00BD7EB4">
        <w:t xml:space="preserve"> vragen sommige</w:t>
      </w:r>
      <w:r w:rsidR="00A51B92">
        <w:t>n</w:t>
      </w:r>
      <w:r w:rsidR="00BD7EB4">
        <w:t xml:space="preserve"> zich af</w:t>
      </w:r>
      <w:r>
        <w:t xml:space="preserve"> in hoeverre het tot additionele acties zal leiden </w:t>
      </w:r>
      <w:r w:rsidR="00A51B92">
        <w:t xml:space="preserve">van </w:t>
      </w:r>
      <w:r>
        <w:t xml:space="preserve">instellingen ten opzichte van wat al geldt c.q. al wordt ondernomen, als de invulling van de inspanningsverplichting vrij wordt gelaten. </w:t>
      </w:r>
    </w:p>
    <w:p w:rsidR="007F7160" w:rsidP="007F7160" w:rsidRDefault="007F7160" w14:paraId="4D6EAA57" w14:textId="77777777"/>
    <w:p w:rsidR="007F7160" w:rsidP="007F7160" w:rsidRDefault="007F7160" w14:paraId="2989BAE0" w14:textId="1FE4148B">
      <w:r w:rsidRPr="006A380C">
        <w:rPr>
          <w:b/>
          <w:bCs/>
        </w:rPr>
        <w:t xml:space="preserve">Een andere belangrijke </w:t>
      </w:r>
      <w:r>
        <w:rPr>
          <w:b/>
          <w:bCs/>
        </w:rPr>
        <w:t>vraag</w:t>
      </w:r>
      <w:r w:rsidRPr="006A380C">
        <w:rPr>
          <w:b/>
          <w:bCs/>
        </w:rPr>
        <w:t xml:space="preserve"> </w:t>
      </w:r>
      <w:r>
        <w:rPr>
          <w:b/>
          <w:bCs/>
        </w:rPr>
        <w:t xml:space="preserve">die uit de verkenning naar voren is gekomen </w:t>
      </w:r>
      <w:r w:rsidRPr="006A380C">
        <w:rPr>
          <w:b/>
          <w:bCs/>
        </w:rPr>
        <w:t xml:space="preserve">is </w:t>
      </w:r>
      <w:r w:rsidRPr="00A33EC6">
        <w:rPr>
          <w:b/>
          <w:bCs/>
        </w:rPr>
        <w:t>welk</w:t>
      </w:r>
      <w:r w:rsidRPr="0007182C">
        <w:rPr>
          <w:b/>
          <w:bCs/>
          <w:i/>
          <w:iCs/>
        </w:rPr>
        <w:t xml:space="preserve"> </w:t>
      </w:r>
      <w:r w:rsidRPr="00BD7EB4" w:rsidR="00BD7EB4">
        <w:rPr>
          <w:b/>
          <w:bCs/>
        </w:rPr>
        <w:t>specifiek</w:t>
      </w:r>
      <w:r w:rsidR="00BD7EB4">
        <w:rPr>
          <w:b/>
          <w:bCs/>
          <w:i/>
          <w:iCs/>
        </w:rPr>
        <w:t xml:space="preserve"> </w:t>
      </w:r>
      <w:r w:rsidRPr="00A33EC6">
        <w:rPr>
          <w:b/>
          <w:bCs/>
        </w:rPr>
        <w:t>doel</w:t>
      </w:r>
      <w:r>
        <w:rPr>
          <w:b/>
          <w:bCs/>
        </w:rPr>
        <w:t xml:space="preserve"> aan de inspanningsverplichting moet worden gekoppeld</w:t>
      </w:r>
      <w:r w:rsidRPr="00392C2B">
        <w:rPr>
          <w:b/>
          <w:bCs/>
        </w:rPr>
        <w:t xml:space="preserve"> </w:t>
      </w:r>
      <w:r w:rsidRPr="006A380C">
        <w:rPr>
          <w:b/>
          <w:bCs/>
        </w:rPr>
        <w:t xml:space="preserve">en wat eventuele negatieve effecten </w:t>
      </w:r>
      <w:r>
        <w:rPr>
          <w:b/>
          <w:bCs/>
        </w:rPr>
        <w:t xml:space="preserve">hiervan </w:t>
      </w:r>
      <w:r w:rsidRPr="006A380C">
        <w:rPr>
          <w:b/>
          <w:bCs/>
        </w:rPr>
        <w:t>zouden kunnen zijn</w:t>
      </w:r>
      <w:r>
        <w:t>. Een inspanningsverplichting om financieringen in lijn te brengen met het Akkoord van Parijs of om de CO2-voetafdruk van balansen naar beneden te brengen, kan er volgens partijen toe leiden dat financiële instellingen simpelweg investeringen in CO2-intensieve bedrijven afstoten, terwijl dit mogelijk geen positieve impact zal hebben op het klimaat. Er is dan immers een grote kans dat de bedrijven vervolgens financiering bij andere verstrekkers aantrekken, die wellicht minder betrokken zijn bij de klimaattransitie. Bovendien kan het sturen op absolute emissiereductie van financiële portefeuilles er volgens partijen toe leiden dat het minder aantrekkelijk wordt om méér financiering voor verduurzaming van CO2-intensieve bedrijven</w:t>
      </w:r>
      <w:r w:rsidRPr="00B10CC7">
        <w:t xml:space="preserve"> </w:t>
      </w:r>
      <w:r>
        <w:t>te verstrekken, omdat hiermee de CO2-voetafdruk van de financieringen in de portefeuille van een financiële instelling alsnog toenemen in de huidige gebruikte rekenmethodes.</w:t>
      </w:r>
    </w:p>
    <w:p w:rsidR="007F7160" w:rsidP="007F7160" w:rsidRDefault="007F7160" w14:paraId="23D2F31A" w14:textId="77777777"/>
    <w:p w:rsidRPr="00163646" w:rsidR="007F7160" w:rsidP="007F7160" w:rsidRDefault="007F7160" w14:paraId="6EC4EA1C" w14:textId="19DE516A">
      <w:pPr>
        <w:rPr>
          <w:b/>
          <w:bCs/>
        </w:rPr>
      </w:pPr>
      <w:r w:rsidRPr="00163646">
        <w:rPr>
          <w:b/>
          <w:bCs/>
        </w:rPr>
        <w:t xml:space="preserve">Naast een inspanningsverplichting is </w:t>
      </w:r>
      <w:r>
        <w:rPr>
          <w:b/>
          <w:bCs/>
        </w:rPr>
        <w:t xml:space="preserve">gevraagd naar hoe partijen aankijken tegen </w:t>
      </w:r>
      <w:r w:rsidRPr="00163646">
        <w:rPr>
          <w:b/>
          <w:bCs/>
        </w:rPr>
        <w:t>een resultaatsverplichting.</w:t>
      </w:r>
      <w:r w:rsidRPr="00163646">
        <w:t xml:space="preserve"> </w:t>
      </w:r>
      <w:r>
        <w:t xml:space="preserve">Sommige partijen stellen dat er sprake dient te zijn van een resultaatsverplichting omdat alleen een inspanning naar hun oordeel onvoldoende is om tot de juiste doelstellingen te komen. Veel andere partijen geven echter aan geen voorstander te zijn van een resultaatsverplichting of deze minder wenselijk te vinden dan een inspanningsverplichting, onder andere omdat het effect van deze maatregel volgens hen een nog groter averechts effect heeft op daadwerkelijke emissiereductie in de reële economie dan de inspanningsverplichting. Zo zou een resultaatsverplichting volgens deze partijen nog meer druk leggen op financiële </w:t>
      </w:r>
      <w:r>
        <w:lastRenderedPageBreak/>
        <w:t>instellingen om hun beleggingen in CO2-intensieve sectoren af- te stoten en zou dit de mogelijkheden van bedrijven om te verduurzamen juist beperken.</w:t>
      </w:r>
    </w:p>
    <w:p w:rsidR="00793F0C" w:rsidP="007F7160" w:rsidRDefault="00793F0C" w14:paraId="18AFCF6A" w14:textId="77777777"/>
    <w:p w:rsidR="007F7160" w:rsidP="007F7160" w:rsidRDefault="007F7160" w14:paraId="6A35DA73" w14:textId="77777777">
      <w:pPr>
        <w:rPr>
          <w:u w:val="single"/>
        </w:rPr>
      </w:pPr>
      <w:r w:rsidRPr="00DC68C3">
        <w:rPr>
          <w:u w:val="single"/>
        </w:rPr>
        <w:t>Klimaat</w:t>
      </w:r>
      <w:r>
        <w:rPr>
          <w:u w:val="single"/>
        </w:rPr>
        <w:t>transitie</w:t>
      </w:r>
      <w:r w:rsidRPr="00DC68C3">
        <w:rPr>
          <w:u w:val="single"/>
        </w:rPr>
        <w:t>plan</w:t>
      </w:r>
    </w:p>
    <w:p w:rsidRPr="00DC68C3" w:rsidR="00B5573D" w:rsidP="007F7160" w:rsidRDefault="00B5573D" w14:paraId="6C491769" w14:textId="77777777">
      <w:pPr>
        <w:rPr>
          <w:u w:val="single"/>
        </w:rPr>
      </w:pPr>
    </w:p>
    <w:p w:rsidRPr="004A77E0" w:rsidR="007F7160" w:rsidP="007F7160" w:rsidRDefault="007F7160" w14:paraId="2F0A5687" w14:textId="29B51FE9">
      <w:pPr>
        <w:rPr>
          <w:b/>
          <w:bCs/>
        </w:rPr>
      </w:pPr>
      <w:r w:rsidRPr="001F2F1F">
        <w:rPr>
          <w:b/>
          <w:bCs/>
        </w:rPr>
        <w:t>Een klimaat</w:t>
      </w:r>
      <w:r>
        <w:rPr>
          <w:b/>
          <w:bCs/>
        </w:rPr>
        <w:t>transitie</w:t>
      </w:r>
      <w:r w:rsidRPr="001F2F1F">
        <w:rPr>
          <w:b/>
          <w:bCs/>
        </w:rPr>
        <w:t xml:space="preserve">planverplichting </w:t>
      </w:r>
      <w:r w:rsidRPr="00E5745F">
        <w:rPr>
          <w:b/>
          <w:bCs/>
        </w:rPr>
        <w:t xml:space="preserve">vereist dat de middelen die een </w:t>
      </w:r>
      <w:r>
        <w:rPr>
          <w:b/>
          <w:bCs/>
        </w:rPr>
        <w:t>instelling</w:t>
      </w:r>
      <w:r w:rsidRPr="00E5745F">
        <w:rPr>
          <w:b/>
          <w:bCs/>
        </w:rPr>
        <w:t xml:space="preserve"> inzet om de doelstelling te behalen concreet en inzichtelijk </w:t>
      </w:r>
      <w:r>
        <w:rPr>
          <w:b/>
          <w:bCs/>
        </w:rPr>
        <w:t>worden ge</w:t>
      </w:r>
      <w:r w:rsidRPr="00E5745F">
        <w:rPr>
          <w:b/>
          <w:bCs/>
        </w:rPr>
        <w:t>maakt</w:t>
      </w:r>
      <w:r>
        <w:rPr>
          <w:b/>
          <w:bCs/>
        </w:rPr>
        <w:t xml:space="preserve">. </w:t>
      </w:r>
      <w:r w:rsidRPr="004A77E0">
        <w:t xml:space="preserve">Daarnaast zet het aan tot langetermijndenken. </w:t>
      </w:r>
      <w:r w:rsidR="004A77E0">
        <w:t xml:space="preserve">Een klimaatplan kan bovendien een manier zijn om invulling te geven aan een inspanningsverplichting. </w:t>
      </w:r>
    </w:p>
    <w:p w:rsidRPr="001F2F1F" w:rsidR="007F7160" w:rsidP="007F7160" w:rsidRDefault="007F7160" w14:paraId="3AA65056" w14:textId="77777777"/>
    <w:p w:rsidRPr="001F2F1F" w:rsidR="007F7160" w:rsidP="007F7160" w:rsidRDefault="007F7160" w14:paraId="1964BE2C" w14:textId="655F955E">
      <w:r w:rsidRPr="001F2F1F">
        <w:rPr>
          <w:b/>
          <w:bCs/>
        </w:rPr>
        <w:t xml:space="preserve">De komende jaren treden er op grond van Europese wet- en regelgeving, mede voor financiële </w:t>
      </w:r>
      <w:r>
        <w:rPr>
          <w:b/>
          <w:bCs/>
        </w:rPr>
        <w:t>instellingen</w:t>
      </w:r>
      <w:r w:rsidRPr="001F2F1F">
        <w:rPr>
          <w:b/>
          <w:bCs/>
        </w:rPr>
        <w:t>, verschillende verplichtingen in werking rondom het maken van een klimaattransitieplan</w:t>
      </w:r>
      <w:r w:rsidRPr="001F2F1F">
        <w:t xml:space="preserve">. Voor een deel van de financiële sector zal een dergelijke verplichting voortvloeien uit de </w:t>
      </w:r>
      <w:r w:rsidR="0050495C">
        <w:rPr>
          <w:i/>
          <w:iCs/>
        </w:rPr>
        <w:t>Corporate Sustainability Reporting Directive</w:t>
      </w:r>
      <w:r w:rsidRPr="001F2F1F">
        <w:t xml:space="preserve">, de </w:t>
      </w:r>
      <w:r w:rsidR="0050495C">
        <w:rPr>
          <w:i/>
          <w:iCs/>
        </w:rPr>
        <w:t>Corporate Sustainability Due Diligence Directive</w:t>
      </w:r>
      <w:r w:rsidRPr="001F2F1F">
        <w:t xml:space="preserve">, </w:t>
      </w:r>
      <w:bookmarkStart w:name="_Hlk166077502" w:id="1"/>
      <w:r w:rsidRPr="001F2F1F">
        <w:t xml:space="preserve">de </w:t>
      </w:r>
      <w:r w:rsidR="0050495C">
        <w:t xml:space="preserve">in onderhandeling zijnde </w:t>
      </w:r>
      <w:r w:rsidRPr="001F2F1F">
        <w:t xml:space="preserve">richtlijn Solvency II en de </w:t>
      </w:r>
      <w:bookmarkEnd w:id="1"/>
      <w:r w:rsidR="0050495C">
        <w:rPr>
          <w:i/>
          <w:iCs/>
        </w:rPr>
        <w:t xml:space="preserve">Capital Requirements Directive </w:t>
      </w:r>
      <w:r>
        <w:t>(zie tabel 1 voor een overzicht van deze Europese klimaattransitieplanvereisten en voor wie deze eisen van toepassing zijn)</w:t>
      </w:r>
      <w:r w:rsidRPr="001F2F1F">
        <w:t xml:space="preserve">. </w:t>
      </w:r>
      <w:r>
        <w:t xml:space="preserve">Verkend is </w:t>
      </w:r>
      <w:r w:rsidRPr="001F2F1F">
        <w:t>of een klimaattransitieplanverplichting voor een groter deel van de Nederlandse financiële sector zou moeten gelden</w:t>
      </w:r>
      <w:r>
        <w:t xml:space="preserve"> dan uit bovenstaande Europese regelgeving volgt</w:t>
      </w:r>
      <w:r w:rsidRPr="001F2F1F">
        <w:t xml:space="preserve">. </w:t>
      </w:r>
    </w:p>
    <w:p w:rsidR="007F7160" w:rsidP="007F7160" w:rsidRDefault="007F7160" w14:paraId="48E06A09" w14:textId="77777777"/>
    <w:p w:rsidRPr="009757A5" w:rsidR="007F7160" w:rsidP="007F7160" w:rsidRDefault="00131F5F" w14:paraId="6450C31E" w14:textId="74D160ED">
      <w:pPr>
        <w:rPr>
          <w:b/>
          <w:bCs/>
        </w:rPr>
      </w:pPr>
      <w:r>
        <w:rPr>
          <w:b/>
          <w:bCs/>
        </w:rPr>
        <w:t xml:space="preserve">Box </w:t>
      </w:r>
      <w:r w:rsidRPr="009757A5" w:rsidR="007F7160">
        <w:rPr>
          <w:b/>
          <w:bCs/>
        </w:rPr>
        <w:t>1</w:t>
      </w:r>
      <w:r w:rsidR="007F7160">
        <w:rPr>
          <w:b/>
          <w:bCs/>
        </w:rPr>
        <w:t>: elementen van de klimaattransitieplanverplichtingen</w:t>
      </w:r>
    </w:p>
    <w:tbl>
      <w:tblPr>
        <w:tblStyle w:val="Tabelraster"/>
        <w:tblpPr w:leftFromText="141" w:rightFromText="141" w:vertAnchor="text" w:horzAnchor="margin" w:tblpY="1"/>
        <w:tblW w:w="0" w:type="auto"/>
        <w:tblInd w:w="0" w:type="dxa"/>
        <w:tblLook w:val="04A0" w:firstRow="1" w:lastRow="0" w:firstColumn="1" w:lastColumn="0" w:noHBand="0" w:noVBand="1"/>
      </w:tblPr>
      <w:tblGrid>
        <w:gridCol w:w="8893"/>
      </w:tblGrid>
      <w:tr w:rsidR="007F7160" w:rsidTr="005910BA" w14:paraId="6A75CED5" w14:textId="77777777">
        <w:tc>
          <w:tcPr>
            <w:tcW w:w="8893" w:type="dxa"/>
          </w:tcPr>
          <w:p w:rsidRPr="00C11BF7" w:rsidR="007F7160" w:rsidP="005910BA" w:rsidRDefault="007F7160" w14:paraId="095A4CAA" w14:textId="77777777">
            <w:pPr>
              <w:rPr>
                <w:b/>
                <w:bCs/>
              </w:rPr>
            </w:pPr>
            <w:r w:rsidRPr="00C11BF7">
              <w:rPr>
                <w:b/>
                <w:bCs/>
              </w:rPr>
              <w:t>CSRD</w:t>
            </w:r>
            <w:r>
              <w:rPr>
                <w:b/>
                <w:bCs/>
              </w:rPr>
              <w:t>, artikel 19a</w:t>
            </w:r>
          </w:p>
          <w:p w:rsidRPr="00A33F6C" w:rsidR="007F7160" w:rsidP="005910BA" w:rsidRDefault="007F7160" w14:paraId="683BC569" w14:textId="77777777">
            <w:r w:rsidRPr="009F2EDA">
              <w:rPr>
                <w:u w:val="single"/>
              </w:rPr>
              <w:t>Voor</w:t>
            </w:r>
            <w:r>
              <w:t>: voor ondernemingen die</w:t>
            </w:r>
            <w:r w:rsidRPr="00A33F6C">
              <w:t xml:space="preserve"> minimaal </w:t>
            </w:r>
            <w:r>
              <w:t>aan twee</w:t>
            </w:r>
            <w:r w:rsidRPr="00A33F6C">
              <w:t xml:space="preserve"> van deze eisen voldoe</w:t>
            </w:r>
            <w:r>
              <w:t>n</w:t>
            </w:r>
            <w:r w:rsidRPr="00A33F6C">
              <w:t>:</w:t>
            </w:r>
          </w:p>
          <w:p w:rsidRPr="00A33F6C" w:rsidR="007F7160" w:rsidP="005910BA" w:rsidRDefault="007F7160" w14:paraId="58113B10" w14:textId="77777777">
            <w:pPr>
              <w:numPr>
                <w:ilvl w:val="0"/>
                <w:numId w:val="16"/>
              </w:numPr>
              <w:tabs>
                <w:tab w:val="num" w:pos="720"/>
              </w:tabs>
            </w:pPr>
            <w:r w:rsidRPr="00A33F6C">
              <w:t xml:space="preserve">meer dan € </w:t>
            </w:r>
            <w:r>
              <w:t>5</w:t>
            </w:r>
            <w:r w:rsidRPr="00A33F6C">
              <w:t>0 miljoen netto-omzet</w:t>
            </w:r>
            <w:r>
              <w:t>;</w:t>
            </w:r>
          </w:p>
          <w:p w:rsidRPr="00A33F6C" w:rsidR="007F7160" w:rsidP="005910BA" w:rsidRDefault="007F7160" w14:paraId="2813C090" w14:textId="260855BE">
            <w:pPr>
              <w:numPr>
                <w:ilvl w:val="0"/>
                <w:numId w:val="16"/>
              </w:numPr>
              <w:tabs>
                <w:tab w:val="num" w:pos="720"/>
              </w:tabs>
            </w:pPr>
            <w:r w:rsidRPr="00A33F6C">
              <w:t>meer dan € 2</w:t>
            </w:r>
            <w:r>
              <w:t>5</w:t>
            </w:r>
            <w:r w:rsidRPr="00A33F6C">
              <w:t xml:space="preserve"> miljoen op de balans</w:t>
            </w:r>
            <w:r>
              <w:t>;</w:t>
            </w:r>
          </w:p>
          <w:p w:rsidRPr="00A33F6C" w:rsidR="007F7160" w:rsidP="005910BA" w:rsidRDefault="007F7160" w14:paraId="18CF0F6F" w14:textId="77777777">
            <w:pPr>
              <w:numPr>
                <w:ilvl w:val="0"/>
                <w:numId w:val="16"/>
              </w:numPr>
              <w:tabs>
                <w:tab w:val="num" w:pos="720"/>
              </w:tabs>
            </w:pPr>
            <w:r w:rsidRPr="00A33F6C">
              <w:t>250 of meer werknemers</w:t>
            </w:r>
            <w:r>
              <w:t>.</w:t>
            </w:r>
          </w:p>
          <w:p w:rsidR="007F7160" w:rsidP="005910BA" w:rsidRDefault="007F7160" w14:paraId="5A8FD4DD" w14:textId="77777777">
            <w:r>
              <w:t>Dit betreft een getrapte inwerkingtreding.</w:t>
            </w:r>
          </w:p>
          <w:p w:rsidR="007F7160" w:rsidP="005910BA" w:rsidRDefault="007F7160" w14:paraId="5AE5FD52" w14:textId="72BFC4ED">
            <w:r w:rsidRPr="009F2EDA">
              <w:rPr>
                <w:u w:val="single"/>
              </w:rPr>
              <w:t>Wat</w:t>
            </w:r>
            <w:r>
              <w:t xml:space="preserve">: duurzaamheidsrapportering over het duurzaamheidsbeleid en prestaties, waaronder de acties die de onderneming neemt om de doelen van het </w:t>
            </w:r>
            <w:r w:rsidR="0050495C">
              <w:t>Klimaata</w:t>
            </w:r>
            <w:r>
              <w:t>kkoord van Parijs te behalen.</w:t>
            </w:r>
            <w:r w:rsidR="004A77E0">
              <w:t xml:space="preserve"> De wet vereist dat ondernemingen die een transitieplan hebben dit rapporteren volgens de onderliggende rapportagestandaarden.</w:t>
            </w:r>
          </w:p>
          <w:p w:rsidR="007F7160" w:rsidP="005910BA" w:rsidRDefault="007F7160" w14:paraId="4434273A" w14:textId="77777777"/>
          <w:p w:rsidR="007F7160" w:rsidP="005910BA" w:rsidRDefault="007F7160" w14:paraId="1FD1C040" w14:textId="77777777">
            <w:pPr>
              <w:rPr>
                <w:b/>
                <w:bCs/>
              </w:rPr>
            </w:pPr>
            <w:r w:rsidRPr="00C11BF7">
              <w:rPr>
                <w:b/>
                <w:bCs/>
              </w:rPr>
              <w:t>CR</w:t>
            </w:r>
            <w:r>
              <w:rPr>
                <w:b/>
                <w:bCs/>
              </w:rPr>
              <w:t>D, artikel 76</w:t>
            </w:r>
          </w:p>
          <w:p w:rsidR="007F7160" w:rsidP="005910BA" w:rsidRDefault="007F7160" w14:paraId="4CC92B78" w14:textId="77777777">
            <w:r w:rsidRPr="009F2EDA">
              <w:rPr>
                <w:u w:val="single"/>
              </w:rPr>
              <w:t>Voor</w:t>
            </w:r>
            <w:r>
              <w:t>: kredietinstellingen.</w:t>
            </w:r>
          </w:p>
          <w:p w:rsidR="007F7160" w:rsidP="005910BA" w:rsidRDefault="007F7160" w14:paraId="5C957ABA" w14:textId="33247A1A">
            <w:r w:rsidRPr="009F2EDA">
              <w:rPr>
                <w:u w:val="single"/>
              </w:rPr>
              <w:t>Wat</w:t>
            </w:r>
            <w:r>
              <w:t xml:space="preserve">: </w:t>
            </w:r>
            <w:r w:rsidRPr="00916C56">
              <w:t xml:space="preserve">plan </w:t>
            </w:r>
            <w:r>
              <w:t>over de</w:t>
            </w:r>
            <w:r w:rsidRPr="00916C56">
              <w:t xml:space="preserve"> strategie en </w:t>
            </w:r>
            <w:r>
              <w:t xml:space="preserve">het </w:t>
            </w:r>
            <w:r w:rsidRPr="00916C56">
              <w:t xml:space="preserve">beleid </w:t>
            </w:r>
            <w:r>
              <w:t>ten aanzien van het aangaan, beheren</w:t>
            </w:r>
            <w:r w:rsidRPr="00916C56">
              <w:t xml:space="preserve">, mitigeren en monitoren van de </w:t>
            </w:r>
            <w:r>
              <w:t>financiële</w:t>
            </w:r>
            <w:r w:rsidRPr="00916C56">
              <w:t xml:space="preserve"> risico</w:t>
            </w:r>
            <w:r>
              <w:t>’</w:t>
            </w:r>
            <w:r w:rsidRPr="00916C56">
              <w:t>s waaraan de instelling is blootgesteld als gevolg van korte, medium en lange termijn gevolgen op basis van</w:t>
            </w:r>
            <w:r>
              <w:t xml:space="preserve"> </w:t>
            </w:r>
            <w:r w:rsidRPr="00916C56">
              <w:t>ecologische, sociale en governance-factoren</w:t>
            </w:r>
            <w:r>
              <w:t xml:space="preserve"> (</w:t>
            </w:r>
            <w:r w:rsidRPr="00916C56">
              <w:t>ESG-factoren</w:t>
            </w:r>
            <w:r>
              <w:t>), met</w:t>
            </w:r>
            <w:r w:rsidR="00013D1D">
              <w:t xml:space="preserve"> </w:t>
            </w:r>
            <w:r w:rsidRPr="00982741">
              <w:t>kwantificeerbare streefdoelen en processen</w:t>
            </w:r>
            <w:r w:rsidRPr="00916C56">
              <w:t>.</w:t>
            </w:r>
            <w:r>
              <w:t xml:space="preserve"> </w:t>
            </w:r>
            <w:r w:rsidR="0050495C">
              <w:t xml:space="preserve">De langetermijndoelstellingen dienen een tijdshorizon van minimaal 10 jaar te hebben. </w:t>
            </w:r>
            <w:r>
              <w:t xml:space="preserve">Indien de kredietinstelling een plan publiceert onder </w:t>
            </w:r>
            <w:r w:rsidR="00D0659F">
              <w:t xml:space="preserve">de </w:t>
            </w:r>
            <w:r>
              <w:t>CSR</w:t>
            </w:r>
            <w:r w:rsidR="001C6D76">
              <w:t>D</w:t>
            </w:r>
            <w:r>
              <w:t xml:space="preserve">, moet het door de CRD vereiste plan daar consistent mee zijn en moeten beide plannen </w:t>
            </w:r>
            <w:r w:rsidRPr="00982741">
              <w:t>soortgelijke maatregelen</w:t>
            </w:r>
            <w:r>
              <w:t xml:space="preserve"> bevatten m.b.t. bedrijfsmodel en strategie.</w:t>
            </w:r>
            <w:r w:rsidR="00013D1D">
              <w:t xml:space="preserve">  </w:t>
            </w:r>
          </w:p>
          <w:p w:rsidR="007F7160" w:rsidP="005910BA" w:rsidRDefault="007F7160" w14:paraId="6D920D21" w14:textId="77777777"/>
          <w:p w:rsidRPr="00C11BF7" w:rsidR="007F7160" w:rsidP="005910BA" w:rsidRDefault="007F7160" w14:paraId="170EA9D8" w14:textId="77777777">
            <w:pPr>
              <w:rPr>
                <w:b/>
                <w:bCs/>
              </w:rPr>
            </w:pPr>
            <w:r w:rsidRPr="00C11BF7">
              <w:rPr>
                <w:b/>
                <w:bCs/>
              </w:rPr>
              <w:t>CSDDD</w:t>
            </w:r>
            <w:r>
              <w:rPr>
                <w:b/>
                <w:bCs/>
              </w:rPr>
              <w:t>, artikel 22, voorheen artikel 15</w:t>
            </w:r>
          </w:p>
          <w:p w:rsidR="007F7160" w:rsidP="0050495C" w:rsidRDefault="007F7160" w14:paraId="28968AE1" w14:textId="32742A52">
            <w:r w:rsidRPr="00807F1D">
              <w:rPr>
                <w:u w:val="single"/>
              </w:rPr>
              <w:t>Voor</w:t>
            </w:r>
            <w:r>
              <w:t>:</w:t>
            </w:r>
            <w:r w:rsidR="00013D1D">
              <w:t xml:space="preserve"> </w:t>
            </w:r>
            <w:r>
              <w:t xml:space="preserve">in de EU gevestigde ondernemingen met meer dan 1.000 medewerkers en een netto jaaromzet van meer dan </w:t>
            </w:r>
            <w:r w:rsidRPr="00A33F6C">
              <w:t>€</w:t>
            </w:r>
            <w:r>
              <w:t xml:space="preserve"> 450 miljoen, en voor niet in de EU gevestigde ondernemingen met een netto jaaromzet van meer dan </w:t>
            </w:r>
            <w:r w:rsidRPr="00A33F6C">
              <w:t>€</w:t>
            </w:r>
            <w:r>
              <w:t xml:space="preserve"> 450 miljoen in de EU.</w:t>
            </w:r>
            <w:r w:rsidR="0050495C">
              <w:t xml:space="preserve"> Dit betreft ook een getrapte inwerkingtreding.</w:t>
            </w:r>
          </w:p>
          <w:p w:rsidRPr="00C11BF7" w:rsidR="007F7160" w:rsidP="005910BA" w:rsidRDefault="007F7160" w14:paraId="325A9130" w14:textId="69E3536D">
            <w:r w:rsidRPr="00807F1D">
              <w:rPr>
                <w:u w:val="single"/>
              </w:rPr>
              <w:t>Wat</w:t>
            </w:r>
            <w:r>
              <w:t>:</w:t>
            </w:r>
            <w:r w:rsidR="00013D1D">
              <w:t xml:space="preserve"> </w:t>
            </w:r>
            <w:r>
              <w:t>Een klimaattransitieplan opstellen en uitvoeren. Het plan</w:t>
            </w:r>
            <w:r w:rsidR="007A2D20">
              <w:t xml:space="preserve"> bevat een maximale inspanningsverplichting om</w:t>
            </w:r>
            <w:r>
              <w:t xml:space="preserve"> de bedrijfs</w:t>
            </w:r>
            <w:r w:rsidR="007A2D20">
              <w:t>voering en -</w:t>
            </w:r>
            <w:r>
              <w:t xml:space="preserve">strategie in lijn </w:t>
            </w:r>
            <w:r w:rsidR="007A2D20">
              <w:t xml:space="preserve">te </w:t>
            </w:r>
            <w:r>
              <w:t xml:space="preserve">brengen met de doelstelling van het </w:t>
            </w:r>
            <w:r w:rsidR="007A2D20">
              <w:t>Klimaata</w:t>
            </w:r>
            <w:r>
              <w:t>kkoord van Parijs en de doelstellingen van de Europese Klimaatwet</w:t>
            </w:r>
            <w:r w:rsidR="007A2D20">
              <w:t xml:space="preserve">  </w:t>
            </w:r>
            <w:r w:rsidRPr="007A2D20" w:rsidR="007A2D20">
              <w:t>(Verordening (EU) 2021/1119)</w:t>
            </w:r>
            <w:r>
              <w:t xml:space="preserve">. Daarbij hoort ook de verplichting tot </w:t>
            </w:r>
            <w:r w:rsidR="007A2D20">
              <w:t xml:space="preserve">het opnemen van </w:t>
            </w:r>
            <w:r>
              <w:t xml:space="preserve">tussentijdse reductiedoelstellingen voor 2030 en in stappen van vijf jaar tot 2050. Bedrijven moeten in hun klimaattransitieplan, </w:t>
            </w:r>
            <w:r w:rsidR="007A2D20">
              <w:t>als van toepassing</w:t>
            </w:r>
            <w:r>
              <w:t>, ook scope 3-emissies meenemen.</w:t>
            </w:r>
          </w:p>
          <w:p w:rsidR="007F7160" w:rsidP="005910BA" w:rsidRDefault="007F7160" w14:paraId="5780A1CC" w14:textId="77777777">
            <w:pPr>
              <w:rPr>
                <w:b/>
                <w:bCs/>
              </w:rPr>
            </w:pPr>
          </w:p>
          <w:p w:rsidRPr="0050495C" w:rsidR="007F7160" w:rsidP="005910BA" w:rsidRDefault="007F7160" w14:paraId="7CCBF442" w14:textId="27402243">
            <w:pPr>
              <w:rPr>
                <w:b/>
                <w:bCs/>
              </w:rPr>
            </w:pPr>
            <w:r w:rsidRPr="0050495C">
              <w:rPr>
                <w:b/>
                <w:bCs/>
              </w:rPr>
              <w:t>Solvency II, artikelen 44</w:t>
            </w:r>
            <w:r w:rsidRPr="0050495C" w:rsidR="0050495C">
              <w:rPr>
                <w:b/>
                <w:bCs/>
              </w:rPr>
              <w:t>, 45</w:t>
            </w:r>
            <w:r w:rsidRPr="0050495C">
              <w:rPr>
                <w:b/>
                <w:bCs/>
              </w:rPr>
              <w:t xml:space="preserve"> en 45a</w:t>
            </w:r>
            <w:r w:rsidRPr="0050495C" w:rsidR="0050495C">
              <w:rPr>
                <w:b/>
                <w:bCs/>
              </w:rPr>
              <w:t xml:space="preserve"> </w:t>
            </w:r>
            <w:r w:rsidR="0050495C">
              <w:rPr>
                <w:b/>
                <w:bCs/>
              </w:rPr>
              <w:t>(nog in onderhandeling)</w:t>
            </w:r>
          </w:p>
          <w:p w:rsidR="007F7160" w:rsidP="005910BA" w:rsidRDefault="007F7160" w14:paraId="3766906C" w14:textId="77777777">
            <w:r w:rsidRPr="007E2922">
              <w:rPr>
                <w:u w:val="single"/>
              </w:rPr>
              <w:t>Voor</w:t>
            </w:r>
            <w:r>
              <w:t>: verzekeraars en herverzekeraars.</w:t>
            </w:r>
          </w:p>
          <w:p w:rsidRPr="00DA52EC" w:rsidR="007F7160" w:rsidP="005910BA" w:rsidRDefault="007F7160" w14:paraId="74BF503B" w14:textId="4EDF863D">
            <w:r w:rsidRPr="007E2922">
              <w:rPr>
                <w:u w:val="single"/>
              </w:rPr>
              <w:t>Wat</w:t>
            </w:r>
            <w:r>
              <w:t>:</w:t>
            </w:r>
            <w:r w:rsidR="00013D1D">
              <w:t xml:space="preserve"> </w:t>
            </w:r>
            <w:r>
              <w:t>het ontwikkelen van sp</w:t>
            </w:r>
            <w:r w:rsidRPr="00D8194D">
              <w:t>ecifieke plannen, meetbare doelen en processen om</w:t>
            </w:r>
            <w:r>
              <w:t xml:space="preserve"> zo</w:t>
            </w:r>
            <w:r w:rsidRPr="00D8194D">
              <w:t xml:space="preserve"> de financiële risico</w:t>
            </w:r>
            <w:r>
              <w:t>’</w:t>
            </w:r>
            <w:r w:rsidRPr="00D8194D">
              <w:t xml:space="preserve">s die ontstaan door duurzaamheidsfactoren op korte, middellange en lange termijn te </w:t>
            </w:r>
            <w:r w:rsidRPr="00D8194D">
              <w:lastRenderedPageBreak/>
              <w:t>behe</w:t>
            </w:r>
            <w:r>
              <w:t>ersen. Hierbij moeten ook de risico’s worden meegenomen die voortvloeien uit klimaatadaptatie en klimaattransitie zoals vastgelegd in de relevante nationale en Europese wet- en regelgeving,</w:t>
            </w:r>
            <w:r w:rsidR="00013D1D">
              <w:t xml:space="preserve"> </w:t>
            </w:r>
            <w:r>
              <w:t>met i</w:t>
            </w:r>
            <w:r w:rsidRPr="00D8194D">
              <w:t>n het bijzonder die in Verordening (EU) 2021/1119 (Europese Klimaatwet)</w:t>
            </w:r>
            <w:r>
              <w:t>.</w:t>
            </w:r>
          </w:p>
        </w:tc>
      </w:tr>
    </w:tbl>
    <w:p w:rsidRPr="001F2F1F" w:rsidR="007F7160" w:rsidP="007F7160" w:rsidRDefault="007F7160" w14:paraId="448CB4B2" w14:textId="77777777"/>
    <w:p w:rsidRPr="001F2F1F" w:rsidR="007F7160" w:rsidP="007F7160" w:rsidRDefault="007F7160" w14:paraId="64FCD90B" w14:textId="5CF14380">
      <w:r w:rsidRPr="001F2F1F">
        <w:rPr>
          <w:b/>
          <w:bCs/>
        </w:rPr>
        <w:t>Een aantal partijen stel</w:t>
      </w:r>
      <w:r>
        <w:rPr>
          <w:b/>
          <w:bCs/>
        </w:rPr>
        <w:t>t</w:t>
      </w:r>
      <w:r w:rsidRPr="001F2F1F">
        <w:rPr>
          <w:b/>
          <w:bCs/>
        </w:rPr>
        <w:t xml:space="preserve"> geen voorstander te zijn van nationale regelgeving op het gebied van </w:t>
      </w:r>
      <w:r w:rsidRPr="001561D2">
        <w:rPr>
          <w:b/>
          <w:bCs/>
        </w:rPr>
        <w:t>klimaattransitieplannen, bovenop de (aankomende) Europese regelgeving.</w:t>
      </w:r>
      <w:r w:rsidRPr="001561D2">
        <w:t xml:space="preserve"> De redenen die hiervoor aangehaald worden zijn voornamelijk dat nationale regelgeving mogelijk een negatieve invloed zou hebben op het vestigings- en ondernemingsklimaat en dat op basis van de aankomende regelgeving er al veel verplichtingen op de financiële sector partijen afkomen. Voor wat betreft dit laatste punt, riepen partijen op de implementatie</w:t>
      </w:r>
      <w:r w:rsidRPr="001F2F1F">
        <w:t xml:space="preserve"> en uitwerking hiervan af te wachten alvorens tot nadere nationale regelgeving wordt overgegaan. </w:t>
      </w:r>
      <w:r w:rsidR="00971B8B">
        <w:t xml:space="preserve">In Europa </w:t>
      </w:r>
      <w:r w:rsidR="002668E8">
        <w:t xml:space="preserve">wordt </w:t>
      </w:r>
      <w:r w:rsidR="00971B8B">
        <w:t>nog gewerkt aan nadere duiding</w:t>
      </w:r>
      <w:r w:rsidR="002668E8">
        <w:t xml:space="preserve"> van de klimaatransitieplannenvereisten</w:t>
      </w:r>
      <w:r w:rsidR="00971B8B">
        <w:t xml:space="preserve">. Door </w:t>
      </w:r>
      <w:r w:rsidR="002668E8">
        <w:t xml:space="preserve">tegelijkertijd </w:t>
      </w:r>
      <w:r w:rsidR="00971B8B">
        <w:t xml:space="preserve">met nationale verplichtingen te komen kan </w:t>
      </w:r>
      <w:r w:rsidR="002668E8">
        <w:t>het zijn dat er verschillen ontstaan en kan het implementatie van de Europese vereisten bemoeilijken</w:t>
      </w:r>
      <w:r w:rsidR="00971B8B">
        <w:t xml:space="preserve">, aldus diverse partijen. </w:t>
      </w:r>
    </w:p>
    <w:p w:rsidRPr="001F2F1F" w:rsidR="007F7160" w:rsidP="007F7160" w:rsidRDefault="007F7160" w14:paraId="531F66AB" w14:textId="77777777"/>
    <w:p w:rsidRPr="001F2F1F" w:rsidR="007F7160" w:rsidP="007F7160" w:rsidRDefault="007F7160" w14:paraId="76B288A2" w14:textId="25678EBD">
      <w:r w:rsidRPr="001F2F1F">
        <w:rPr>
          <w:b/>
          <w:bCs/>
        </w:rPr>
        <w:t>Daarentegen stel</w:t>
      </w:r>
      <w:r>
        <w:rPr>
          <w:b/>
          <w:bCs/>
        </w:rPr>
        <w:t>t</w:t>
      </w:r>
      <w:r w:rsidRPr="001F2F1F">
        <w:rPr>
          <w:b/>
          <w:bCs/>
        </w:rPr>
        <w:t xml:space="preserve"> een aantal partijen dat een klimaat</w:t>
      </w:r>
      <w:r>
        <w:rPr>
          <w:b/>
          <w:bCs/>
        </w:rPr>
        <w:t>transitie</w:t>
      </w:r>
      <w:r w:rsidRPr="001F2F1F">
        <w:rPr>
          <w:b/>
          <w:bCs/>
        </w:rPr>
        <w:t xml:space="preserve">planverplichting </w:t>
      </w:r>
      <w:r w:rsidR="002668E8">
        <w:rPr>
          <w:b/>
          <w:bCs/>
        </w:rPr>
        <w:t xml:space="preserve">wel </w:t>
      </w:r>
      <w:r w:rsidRPr="001F2F1F">
        <w:rPr>
          <w:b/>
          <w:bCs/>
        </w:rPr>
        <w:t>voor een groter deel van de financiële sector zou moeten gelden</w:t>
      </w:r>
      <w:r w:rsidRPr="001F2F1F">
        <w:t xml:space="preserve">. </w:t>
      </w:r>
      <w:r w:rsidR="002668E8">
        <w:t>Zij stellen dat d</w:t>
      </w:r>
      <w:r w:rsidRPr="001F2F1F" w:rsidR="002668E8">
        <w:t>oor een nationale klimaat</w:t>
      </w:r>
      <w:r w:rsidR="002668E8">
        <w:t>transitie</w:t>
      </w:r>
      <w:r w:rsidRPr="001F2F1F" w:rsidR="002668E8">
        <w:t xml:space="preserve">planverplichting in te stellen </w:t>
      </w:r>
      <w:r w:rsidR="002668E8">
        <w:t xml:space="preserve">er </w:t>
      </w:r>
      <w:r w:rsidRPr="001F2F1F" w:rsidR="002668E8">
        <w:t xml:space="preserve">een gelijk speelveld in Nederland gecreëerd </w:t>
      </w:r>
      <w:r w:rsidR="002668E8">
        <w:t xml:space="preserve">wordt voor de financiële sector </w:t>
      </w:r>
      <w:r w:rsidRPr="001F2F1F" w:rsidR="002668E8">
        <w:t>en wordt het niveau tussen de verschillende klimaat</w:t>
      </w:r>
      <w:r w:rsidR="002668E8">
        <w:t>transitie</w:t>
      </w:r>
      <w:r w:rsidRPr="001F2F1F" w:rsidR="002668E8">
        <w:t>plannen gelijkgetrokken</w:t>
      </w:r>
      <w:r w:rsidR="002668E8">
        <w:t xml:space="preserve">. Zij stellen bovendien dat </w:t>
      </w:r>
      <w:r>
        <w:t xml:space="preserve">de kwaliteit van de </w:t>
      </w:r>
      <w:r w:rsidRPr="001F2F1F">
        <w:t xml:space="preserve">klimaatactieplannen die in het kader van het Klimaatcommitment </w:t>
      </w:r>
      <w:r>
        <w:t>uiteenloopt</w:t>
      </w:r>
      <w:r w:rsidR="002668E8">
        <w:t>, en dat wettelijke vereisten dit kan verbeteren</w:t>
      </w:r>
      <w:r w:rsidRPr="001F2F1F">
        <w:t xml:space="preserve">. </w:t>
      </w:r>
    </w:p>
    <w:p w:rsidRPr="001F2F1F" w:rsidR="007F7160" w:rsidP="007F7160" w:rsidRDefault="007F7160" w14:paraId="3A3098E0" w14:textId="77777777"/>
    <w:p w:rsidR="007F7160" w:rsidP="007F7160" w:rsidRDefault="007F7160" w14:paraId="7565A41C" w14:textId="798CF6E9">
      <w:r w:rsidRPr="001F2F1F">
        <w:rPr>
          <w:b/>
          <w:bCs/>
        </w:rPr>
        <w:t xml:space="preserve">Verder kwam uit de verkenning naar voren dat </w:t>
      </w:r>
      <w:r>
        <w:rPr>
          <w:b/>
          <w:bCs/>
        </w:rPr>
        <w:t>partijen het</w:t>
      </w:r>
      <w:r w:rsidR="002668E8">
        <w:rPr>
          <w:b/>
          <w:bCs/>
        </w:rPr>
        <w:t xml:space="preserve"> soms</w:t>
      </w:r>
      <w:r>
        <w:rPr>
          <w:b/>
          <w:bCs/>
        </w:rPr>
        <w:t xml:space="preserve"> lastig vinden om de samenhang te zien tussen de verschillende </w:t>
      </w:r>
      <w:r w:rsidRPr="001F2F1F">
        <w:rPr>
          <w:b/>
          <w:bCs/>
        </w:rPr>
        <w:t>klimaat</w:t>
      </w:r>
      <w:r>
        <w:rPr>
          <w:b/>
          <w:bCs/>
        </w:rPr>
        <w:t>transitie</w:t>
      </w:r>
      <w:r w:rsidRPr="001F2F1F">
        <w:rPr>
          <w:b/>
          <w:bCs/>
        </w:rPr>
        <w:t>planverplichtingen</w:t>
      </w:r>
      <w:r>
        <w:rPr>
          <w:b/>
          <w:bCs/>
        </w:rPr>
        <w:t xml:space="preserve"> volgend uit de CSRD, CRD, Solvency II en de CSDDD</w:t>
      </w:r>
      <w:r>
        <w:rPr>
          <w:b/>
        </w:rPr>
        <w:t xml:space="preserve">. </w:t>
      </w:r>
      <w:r>
        <w:t xml:space="preserve">Daarbij wordt onder andere genoemd </w:t>
      </w:r>
      <w:r w:rsidRPr="001F2F1F">
        <w:t xml:space="preserve">dat </w:t>
      </w:r>
      <w:r>
        <w:t>de terminologie</w:t>
      </w:r>
      <w:r w:rsidRPr="001F2F1F">
        <w:t xml:space="preserve"> van de </w:t>
      </w:r>
      <w:r w:rsidR="00506C2E">
        <w:t>transitieplan</w:t>
      </w:r>
      <w:r w:rsidRPr="00506C2E">
        <w:t>verplichtingen</w:t>
      </w:r>
      <w:r w:rsidRPr="001F2F1F">
        <w:t xml:space="preserve"> </w:t>
      </w:r>
      <w:r>
        <w:t>volgens partijen uiteenloopt</w:t>
      </w:r>
      <w:r w:rsidR="00D0659F">
        <w:t>, zoals</w:t>
      </w:r>
      <w:r w:rsidRPr="001F2F1F">
        <w:t xml:space="preserve"> </w:t>
      </w:r>
      <w:r>
        <w:t>‘ecologische, sociale en governance-factoren’</w:t>
      </w:r>
      <w:r w:rsidRPr="001F2F1F">
        <w:t xml:space="preserve"> (ESG</w:t>
      </w:r>
      <w:r>
        <w:t>-factoren</w:t>
      </w:r>
      <w:r w:rsidRPr="001F2F1F">
        <w:t xml:space="preserve">) voor de </w:t>
      </w:r>
      <w:r>
        <w:t>CRD</w:t>
      </w:r>
      <w:r w:rsidRPr="001F2F1F">
        <w:t xml:space="preserve">, </w:t>
      </w:r>
      <w:r>
        <w:t>‘</w:t>
      </w:r>
      <w:r w:rsidRPr="001F2F1F">
        <w:t>klimaat</w:t>
      </w:r>
      <w:r>
        <w:t>’</w:t>
      </w:r>
      <w:r w:rsidRPr="001F2F1F">
        <w:t xml:space="preserve"> voor de CSDDD</w:t>
      </w:r>
      <w:r>
        <w:t xml:space="preserve"> en</w:t>
      </w:r>
      <w:r w:rsidRPr="001F2F1F">
        <w:t xml:space="preserve"> </w:t>
      </w:r>
      <w:r>
        <w:t>‘</w:t>
      </w:r>
      <w:r w:rsidRPr="001F2F1F">
        <w:t>duurzaamheid</w:t>
      </w:r>
      <w:r>
        <w:t>’</w:t>
      </w:r>
      <w:r w:rsidRPr="001F2F1F">
        <w:t xml:space="preserve"> voor de richtlijn Solvency II. </w:t>
      </w:r>
      <w:r w:rsidR="00971B8B">
        <w:t xml:space="preserve">Ook geven partijen aan dat </w:t>
      </w:r>
      <w:r>
        <w:t>de doelstellingen achter de Europese wetgeving van elkaar verschillen: t</w:t>
      </w:r>
      <w:r w:rsidRPr="00F81A6C">
        <w:t xml:space="preserve">erwijl het doel van de CRD en Solvency II is om financiële risico’s gerelateerd aan duurzaamheidsfactoren te beheersen, is het doel </w:t>
      </w:r>
      <w:r>
        <w:t xml:space="preserve">van </w:t>
      </w:r>
      <w:r w:rsidRPr="00F81A6C">
        <w:t xml:space="preserve">de CSRD </w:t>
      </w:r>
      <w:r w:rsidR="00971B8B">
        <w:t xml:space="preserve">om transparantie te bevorderen </w:t>
      </w:r>
      <w:r w:rsidRPr="00F81A6C">
        <w:t xml:space="preserve">en </w:t>
      </w:r>
      <w:r w:rsidR="00971B8B">
        <w:t xml:space="preserve">van </w:t>
      </w:r>
      <w:r w:rsidRPr="00F81A6C">
        <w:t>de CSDD</w:t>
      </w:r>
      <w:r>
        <w:t>D</w:t>
      </w:r>
      <w:r w:rsidRPr="00F81A6C">
        <w:t xml:space="preserve"> om de </w:t>
      </w:r>
      <w:r w:rsidR="00971B8B">
        <w:t xml:space="preserve">negatieve impact </w:t>
      </w:r>
      <w:r w:rsidRPr="00F81A6C">
        <w:t xml:space="preserve">van de bedrijfsactiviteiten </w:t>
      </w:r>
      <w:r>
        <w:t>op</w:t>
      </w:r>
      <w:r w:rsidRPr="00F81A6C">
        <w:t xml:space="preserve"> </w:t>
      </w:r>
      <w:r w:rsidR="007A2D20">
        <w:t>mensenrechten en milieu te voorkomen of</w:t>
      </w:r>
      <w:r w:rsidRPr="00F81A6C">
        <w:t xml:space="preserve"> te beperken. </w:t>
      </w:r>
    </w:p>
    <w:p w:rsidRPr="001F2F1F" w:rsidR="007F7160" w:rsidP="007F7160" w:rsidRDefault="007F7160" w14:paraId="107744E6" w14:textId="77777777"/>
    <w:p w:rsidR="007F7160" w:rsidP="007F7160" w:rsidRDefault="007F7160" w14:paraId="33709BCF" w14:textId="15EF7735">
      <w:r>
        <w:rPr>
          <w:b/>
          <w:bCs/>
        </w:rPr>
        <w:t>Tijdens de verkenning kwam</w:t>
      </w:r>
      <w:r w:rsidRPr="001F2F1F">
        <w:rPr>
          <w:b/>
          <w:bCs/>
        </w:rPr>
        <w:t xml:space="preserve"> een duidelijke roep om meer duiding en begeleiding rondom het opstellen en uitvoeren van klimaattransitieplannen</w:t>
      </w:r>
      <w:r w:rsidRPr="001F2F1F">
        <w:t xml:space="preserve">, </w:t>
      </w:r>
      <w:r>
        <w:rPr>
          <w:b/>
          <w:bCs/>
        </w:rPr>
        <w:t xml:space="preserve">juist </w:t>
      </w:r>
      <w:r w:rsidRPr="001F2F1F">
        <w:rPr>
          <w:b/>
          <w:bCs/>
        </w:rPr>
        <w:t xml:space="preserve">ook </w:t>
      </w:r>
      <w:r>
        <w:rPr>
          <w:b/>
          <w:bCs/>
        </w:rPr>
        <w:t xml:space="preserve">bij het bewaken van </w:t>
      </w:r>
      <w:r w:rsidRPr="001F2F1F">
        <w:rPr>
          <w:b/>
          <w:bCs/>
        </w:rPr>
        <w:t xml:space="preserve">de samenhang tussen de verplichtingen </w:t>
      </w:r>
      <w:r>
        <w:rPr>
          <w:b/>
          <w:bCs/>
        </w:rPr>
        <w:t xml:space="preserve">volgend uit </w:t>
      </w:r>
      <w:r w:rsidRPr="001F2F1F">
        <w:rPr>
          <w:b/>
          <w:bCs/>
        </w:rPr>
        <w:t>de Europese wetgeving</w:t>
      </w:r>
      <w:r w:rsidRPr="001F2F1F">
        <w:t xml:space="preserve">. </w:t>
      </w:r>
      <w:r>
        <w:t xml:space="preserve">Sommige partijen brachten </w:t>
      </w:r>
      <w:r w:rsidRPr="001F2F1F">
        <w:t xml:space="preserve">de mogelijkheid </w:t>
      </w:r>
      <w:r>
        <w:t>op</w:t>
      </w:r>
      <w:r w:rsidRPr="001F2F1F">
        <w:t xml:space="preserve"> dat de overheid in samenwerking met de sector nadere vrijwillige begeleiding en duiding geeft </w:t>
      </w:r>
      <w:r>
        <w:t xml:space="preserve">aan financiële instellingen over </w:t>
      </w:r>
      <w:r w:rsidRPr="001F2F1F">
        <w:t xml:space="preserve">de invulling van de klimaattransitieplannen. De uitgewerkte, vrijwillige, sectorale begeleiding van </w:t>
      </w:r>
      <w:r>
        <w:t>de</w:t>
      </w:r>
      <w:r w:rsidRPr="001F2F1F">
        <w:t xml:space="preserve"> Transition Plan Taskforce in het Verenigd Koninkrijk werd als voorbeeld aangehaald van dergelijke begeleiding vanuit de overheid. </w:t>
      </w:r>
      <w:r>
        <w:t xml:space="preserve">De partijen die dit benoemen geven aan dat dit ook een kans biedt </w:t>
      </w:r>
      <w:r w:rsidRPr="001F2F1F">
        <w:t>om als overheid duiding te geven over de samenhang van klimaat met andere milieudoelen</w:t>
      </w:r>
      <w:r>
        <w:t>,</w:t>
      </w:r>
      <w:r w:rsidRPr="001F2F1F">
        <w:t xml:space="preserve"> zoals </w:t>
      </w:r>
      <w:r>
        <w:t xml:space="preserve">het behoud van </w:t>
      </w:r>
      <w:r w:rsidRPr="001F2F1F">
        <w:t xml:space="preserve">biodiversiteit. </w:t>
      </w:r>
    </w:p>
    <w:p w:rsidR="007F7160" w:rsidP="007F7160" w:rsidRDefault="007F7160" w14:paraId="7C7B657F" w14:textId="77777777"/>
    <w:p w:rsidR="009B4206" w:rsidP="007F7160" w:rsidRDefault="007F7160" w14:paraId="4BBF37AF" w14:textId="709C09B8">
      <w:pPr>
        <w:rPr>
          <w:u w:val="single"/>
        </w:rPr>
      </w:pPr>
      <w:r w:rsidRPr="001E6FFD">
        <w:rPr>
          <w:u w:val="single"/>
        </w:rPr>
        <w:t>Betrokkenheid</w:t>
      </w:r>
      <w:r w:rsidR="00B97A13">
        <w:rPr>
          <w:u w:val="single"/>
        </w:rPr>
        <w:t>sbeleid</w:t>
      </w:r>
      <w:r w:rsidRPr="001E6FFD">
        <w:rPr>
          <w:u w:val="single"/>
        </w:rPr>
        <w:t xml:space="preserve"> </w:t>
      </w:r>
    </w:p>
    <w:p w:rsidRPr="001E6FFD" w:rsidR="00B5573D" w:rsidP="007F7160" w:rsidRDefault="00B5573D" w14:paraId="1033FC42" w14:textId="77777777">
      <w:pPr>
        <w:rPr>
          <w:u w:val="single"/>
        </w:rPr>
      </w:pPr>
    </w:p>
    <w:p w:rsidR="007F7160" w:rsidP="007F7160" w:rsidRDefault="007F7160" w14:paraId="6585F133" w14:textId="27BA71F5">
      <w:r w:rsidRPr="001E6FFD">
        <w:rPr>
          <w:b/>
          <w:bCs/>
        </w:rPr>
        <w:t>Betrokkenheidsbeleid ziet op de wijze waarop een instelling gebruik maakt van haar invloed in de bedrijven waarin zij investeert of die zij financiert om bepaalde (maatschappelijke) doelstellingen te behalen</w:t>
      </w:r>
      <w:r w:rsidRPr="001E6FFD">
        <w:t>.</w:t>
      </w:r>
      <w:r w:rsidRPr="001E6FFD">
        <w:rPr>
          <w:rStyle w:val="Voetnootmarkering"/>
          <w:b/>
          <w:bCs/>
        </w:rPr>
        <w:footnoteReference w:id="7"/>
      </w:r>
      <w:r w:rsidRPr="001E6FFD">
        <w:t xml:space="preserve"> De</w:t>
      </w:r>
      <w:r>
        <w:t xml:space="preserve"> wettelijke verplichtingen met betrekking tot betrokkenheidsbeleid zijn primair gericht op beleggers. Zo zijn bepaalde categorieën </w:t>
      </w:r>
      <w:r>
        <w:lastRenderedPageBreak/>
        <w:t>institutionele beleggers</w:t>
      </w:r>
      <w:r>
        <w:rPr>
          <w:rStyle w:val="Voetnootmarkering"/>
        </w:rPr>
        <w:footnoteReference w:id="8"/>
      </w:r>
      <w:r>
        <w:t xml:space="preserve"> en vermogensbeheerders</w:t>
      </w:r>
      <w:r>
        <w:rPr>
          <w:rStyle w:val="Voetnootmarkering"/>
        </w:rPr>
        <w:footnoteReference w:id="9"/>
      </w:r>
      <w:r>
        <w:t xml:space="preserve"> ingevolge de herziene richtlijn aandeelhoudersrechten (SRD II)</w:t>
      </w:r>
      <w:r>
        <w:rPr>
          <w:rStyle w:val="Voetnootmarkering"/>
        </w:rPr>
        <w:footnoteReference w:id="10"/>
      </w:r>
      <w:r>
        <w:t xml:space="preserve"> verplicht tot het ontwikkelen en openbaar maken van een betrokkenheidsbeleid (via een pas toe of leg uit-bepaling).</w:t>
      </w:r>
      <w:r>
        <w:rPr>
          <w:rStyle w:val="Voetnootmarkering"/>
        </w:rPr>
        <w:footnoteReference w:id="11"/>
      </w:r>
      <w:r>
        <w:t xml:space="preserve"> Onderdeel hiervan is onder andere een beschrijving van hoe zij toezien op de maatschappelijke en ecologische effecten van de vennootschappen waarin is belegd. Naast deze Europese regels bevat ook de in de in december 2022 geactualiseerde Nederlandse Corporate Governance Code bepalingen over betrokkenheidsbeleid voor beleggers.</w:t>
      </w:r>
      <w:r>
        <w:rPr>
          <w:rStyle w:val="Voetnootmarkering"/>
        </w:rPr>
        <w:footnoteReference w:id="12"/>
      </w:r>
      <w:r>
        <w:t xml:space="preserve"> In de Code is onder meer opgenomen dat aandeelhouders, waaronder institutionele beleggers,</w:t>
      </w:r>
      <w:r>
        <w:rPr>
          <w:rStyle w:val="Voetnootmarkering"/>
        </w:rPr>
        <w:footnoteReference w:id="13"/>
      </w:r>
      <w:r>
        <w:t xml:space="preserve"> het belang van een strategie gericht op duurzame langetermijnwaardecreatie onderkennen</w:t>
      </w:r>
      <w:r>
        <w:rPr>
          <w:rStyle w:val="Voetnootmarkering"/>
        </w:rPr>
        <w:footnoteReference w:id="14"/>
      </w:r>
      <w:r>
        <w:t xml:space="preserve"> en dat institutionele beleggers hieraan invulling geven bij het opstellen van hun betrokkenheidsbeleid, dat zij dat beleid op de website plaatsen en verslag doen van de uitvoering van dat beleid.</w:t>
      </w:r>
      <w:r>
        <w:rPr>
          <w:rStyle w:val="Voetnootmarkering"/>
        </w:rPr>
        <w:footnoteReference w:id="15"/>
      </w:r>
      <w:r>
        <w:t xml:space="preserve"> </w:t>
      </w:r>
    </w:p>
    <w:p w:rsidR="007F7160" w:rsidP="007F7160" w:rsidRDefault="007F7160" w14:paraId="5E831CD3" w14:textId="77777777"/>
    <w:p w:rsidR="007F7160" w:rsidP="007F7160" w:rsidRDefault="007F7160" w14:paraId="66F5A8AF" w14:textId="77777777">
      <w:r>
        <w:t xml:space="preserve">Voor het realiseren van een duurzame langetermijnwaardecreatie is van belang dat alle stakeholders ondernemingen waar mogelijk stimuleren, aansporen of ter verantwoording roepen over de stappen die ze in dit kader zetten. Uitbreiding of versteviging van de betrokkenheidsverplichtingen kan hieraan bijdragen. Tijdens de </w:t>
      </w:r>
      <w:r w:rsidRPr="002407EB">
        <w:t xml:space="preserve">verkenning </w:t>
      </w:r>
      <w:r>
        <w:t xml:space="preserve">is dan ook uitgevraagd </w:t>
      </w:r>
      <w:r w:rsidRPr="002407EB">
        <w:t xml:space="preserve">of de bestaande </w:t>
      </w:r>
      <w:r>
        <w:t xml:space="preserve">wettelijke </w:t>
      </w:r>
      <w:r w:rsidRPr="002407EB">
        <w:t>verplichtingen</w:t>
      </w:r>
      <w:r>
        <w:t xml:space="preserve"> voor beleggers</w:t>
      </w:r>
      <w:r w:rsidRPr="002407EB">
        <w:t xml:space="preserve"> met betrekking tot betrokkenheidsbeleid uitgebreid</w:t>
      </w:r>
      <w:r>
        <w:t xml:space="preserve"> moeten worden naar andere partijen, zoals kredietverstrekkers. Voorts is bezien of deze wettelijke verplichtingen</w:t>
      </w:r>
      <w:r w:rsidRPr="002407EB">
        <w:t xml:space="preserve"> inhoudelijk verstevigd dienen te worden waar het de ecologische effecten betreft.</w:t>
      </w:r>
      <w:r w:rsidRPr="00154C39">
        <w:t xml:space="preserve"> </w:t>
      </w:r>
    </w:p>
    <w:p w:rsidRPr="002407EB" w:rsidR="007F7160" w:rsidP="007F7160" w:rsidRDefault="007F7160" w14:paraId="79554033" w14:textId="77777777"/>
    <w:p w:rsidRPr="002407EB" w:rsidR="007F7160" w:rsidP="00291290" w:rsidRDefault="007F7160" w14:paraId="76076D7D" w14:textId="03176356">
      <w:pPr>
        <w:pStyle w:val="Tekstopmerking"/>
        <w:spacing w:line="240" w:lineRule="atLeast"/>
        <w:rPr>
          <w:sz w:val="18"/>
          <w:szCs w:val="18"/>
        </w:rPr>
      </w:pPr>
      <w:r>
        <w:rPr>
          <w:b/>
          <w:bCs/>
          <w:sz w:val="18"/>
          <w:szCs w:val="18"/>
        </w:rPr>
        <w:t>Tijdens</w:t>
      </w:r>
      <w:r w:rsidRPr="002407EB">
        <w:rPr>
          <w:b/>
          <w:bCs/>
          <w:sz w:val="18"/>
          <w:szCs w:val="18"/>
        </w:rPr>
        <w:t xml:space="preserve"> de verkenning hebben veel partijen zich uitgesproken tegen nationale aanscherping van de </w:t>
      </w:r>
      <w:r>
        <w:rPr>
          <w:b/>
          <w:bCs/>
          <w:sz w:val="18"/>
          <w:szCs w:val="18"/>
        </w:rPr>
        <w:t xml:space="preserve">bestaande </w:t>
      </w:r>
      <w:r w:rsidRPr="002407EB">
        <w:rPr>
          <w:b/>
          <w:bCs/>
          <w:sz w:val="18"/>
          <w:szCs w:val="18"/>
        </w:rPr>
        <w:t>Europese verplichtingen voor betrokkenheidsbeleid</w:t>
      </w:r>
      <w:r>
        <w:rPr>
          <w:b/>
          <w:bCs/>
          <w:sz w:val="18"/>
          <w:szCs w:val="18"/>
        </w:rPr>
        <w:t xml:space="preserve"> op klimaatgebied</w:t>
      </w:r>
      <w:r>
        <w:rPr>
          <w:sz w:val="18"/>
          <w:szCs w:val="18"/>
        </w:rPr>
        <w:t xml:space="preserve">. Zij brengen naar voren </w:t>
      </w:r>
      <w:r w:rsidRPr="002407EB">
        <w:rPr>
          <w:sz w:val="18"/>
          <w:szCs w:val="18"/>
        </w:rPr>
        <w:t>dat er al veel verplichtingen gelden voor betrokkenheidsbeleid, zowel wettelijk als in code</w:t>
      </w:r>
      <w:r>
        <w:rPr>
          <w:sz w:val="18"/>
          <w:szCs w:val="18"/>
        </w:rPr>
        <w:t xml:space="preserve">s, op het ecologisch vlak. Zij geven hierbij aan dat </w:t>
      </w:r>
      <w:r w:rsidRPr="00291290">
        <w:rPr>
          <w:sz w:val="18"/>
          <w:szCs w:val="18"/>
        </w:rPr>
        <w:t>de Europese regelgeving voldoende is, en dat die bovendien goed rekening houdt met de verschillen tussen financiële instellingen en de aard van hun activiteiten (onder andere in SRD II, CSRD, SFDR, CSDDD en sectorale richtsnoeren).</w:t>
      </w:r>
      <w:r w:rsidRPr="00291290">
        <w:rPr>
          <w:sz w:val="18"/>
          <w:szCs w:val="18"/>
          <w:vertAlign w:val="superscript"/>
        </w:rPr>
        <w:footnoteReference w:id="16"/>
      </w:r>
      <w:r w:rsidRPr="00291290">
        <w:rPr>
          <w:sz w:val="18"/>
          <w:szCs w:val="18"/>
          <w:vertAlign w:val="superscript"/>
        </w:rPr>
        <w:t xml:space="preserve"> </w:t>
      </w:r>
      <w:r w:rsidRPr="00291290">
        <w:rPr>
          <w:sz w:val="18"/>
          <w:szCs w:val="18"/>
        </w:rPr>
        <w:t>Ook is naar voren gebracht dat er, in aanvulling op wet- en regelgeving, op dit terrein al veel gebeurt, onder andere via internationale samenwerkingsverbanden, coalities en initiatieven. Partijen noemen hierbij dat betrokkenheidsbeleid al een centraal onderdeel is van relatiebeheer en transitieplanning, waaronder klimaattransitieplannen, van bijvoorbeeld kredietverstrekkers, zoals banken. Een aanvullende nationale aanscherping van regelgeving doorkruist volgens hen deze bestaande praktijk en doet afbreuk aan de impact hiervan. Ook zou dit ten koste gaan van het vestigingsklimaat in Nederland, temeer nu betrokkenheidsbeleid volgens partijen het meest effectief is als dit via internationale samenwerking wordt toegepast.</w:t>
      </w:r>
      <w:r w:rsidRPr="002407EB">
        <w:rPr>
          <w:sz w:val="18"/>
          <w:szCs w:val="18"/>
        </w:rPr>
        <w:t xml:space="preserve"> </w:t>
      </w:r>
    </w:p>
    <w:p w:rsidR="007F7160" w:rsidP="007F7160" w:rsidRDefault="007F7160" w14:paraId="1600481A" w14:textId="77777777">
      <w:pPr>
        <w:rPr>
          <w:b/>
          <w:bCs/>
        </w:rPr>
      </w:pPr>
    </w:p>
    <w:p w:rsidR="007F7160" w:rsidP="007F7160" w:rsidRDefault="007F7160" w14:paraId="23DAD24E" w14:textId="77777777">
      <w:r>
        <w:rPr>
          <w:b/>
          <w:bCs/>
        </w:rPr>
        <w:t xml:space="preserve">Enkele </w:t>
      </w:r>
      <w:r w:rsidRPr="002407EB">
        <w:rPr>
          <w:b/>
          <w:bCs/>
        </w:rPr>
        <w:t>partijen geven daarentegen</w:t>
      </w:r>
      <w:r w:rsidRPr="00CE5FD5">
        <w:rPr>
          <w:b/>
          <w:bCs/>
        </w:rPr>
        <w:t xml:space="preserve"> aan </w:t>
      </w:r>
      <w:r>
        <w:rPr>
          <w:b/>
          <w:bCs/>
        </w:rPr>
        <w:t>wel</w:t>
      </w:r>
      <w:r w:rsidRPr="00CE5FD5">
        <w:rPr>
          <w:b/>
          <w:bCs/>
        </w:rPr>
        <w:t xml:space="preserve"> meerwaarde te zien in nationale aanscherping</w:t>
      </w:r>
      <w:r>
        <w:t xml:space="preserve"> </w:t>
      </w:r>
      <w:r w:rsidRPr="00957B4E">
        <w:rPr>
          <w:b/>
        </w:rPr>
        <w:t xml:space="preserve">van de </w:t>
      </w:r>
      <w:r>
        <w:rPr>
          <w:b/>
          <w:bCs/>
        </w:rPr>
        <w:t>bestaande Europese regelgeving over</w:t>
      </w:r>
      <w:r w:rsidRPr="00957B4E">
        <w:rPr>
          <w:b/>
          <w:bCs/>
        </w:rPr>
        <w:t xml:space="preserve"> betrokkenheidsbe</w:t>
      </w:r>
      <w:r>
        <w:rPr>
          <w:b/>
          <w:bCs/>
        </w:rPr>
        <w:t>leid</w:t>
      </w:r>
      <w:r>
        <w:t xml:space="preserve">, zowel wat betreft reikwijdte als qua inhoud (al dan niet met ruimte voor proportionaliteit). Zij vinden dat wettelijke betrokkenheidsverplichtingen ook van toepassing moeten zijn op financiers, zoals banken, of alle typen financiële ondernemingen, en niet vooral alleen op beleggers/investeerders. Ook </w:t>
      </w:r>
      <w:r w:rsidRPr="00D65A5E">
        <w:t xml:space="preserve">zouden de verplichtingen volgens enkele partijen </w:t>
      </w:r>
      <w:r>
        <w:t>inhoudelijk</w:t>
      </w:r>
      <w:r w:rsidRPr="00D65A5E">
        <w:t xml:space="preserve"> aangescherpt kunnen worden</w:t>
      </w:r>
      <w:r>
        <w:t xml:space="preserve"> op nationaal niveau</w:t>
      </w:r>
      <w:r w:rsidRPr="00D65A5E">
        <w:t xml:space="preserve">. </w:t>
      </w:r>
      <w:r>
        <w:t>Zij geven aan dat deze aanscherping als voordeel heeft dat</w:t>
      </w:r>
      <w:r w:rsidRPr="00D65A5E">
        <w:t xml:space="preserve"> voorlopers op het gebied van betrokkenheid</w:t>
      </w:r>
      <w:r>
        <w:t xml:space="preserve">sbeleid beter in staat zijn </w:t>
      </w:r>
      <w:r w:rsidRPr="00D65A5E">
        <w:t xml:space="preserve">om een brede samenwerking met andere </w:t>
      </w:r>
      <w:r w:rsidRPr="00D65A5E">
        <w:lastRenderedPageBreak/>
        <w:t xml:space="preserve">partijen </w:t>
      </w:r>
      <w:r>
        <w:t xml:space="preserve">te vormen voor het realiseren van meer impact </w:t>
      </w:r>
      <w:r w:rsidRPr="00D65A5E">
        <w:t>in de onderneming waarin ze investeren. In dit ka</w:t>
      </w:r>
      <w:r>
        <w:t>der zijn onder meer de volgende ideeën naar voren gebracht:</w:t>
      </w:r>
    </w:p>
    <w:p w:rsidRPr="00CA79E8" w:rsidR="007F7160" w:rsidP="007F7160" w:rsidRDefault="007F7160" w14:paraId="1CC2D168" w14:textId="77777777">
      <w:pPr>
        <w:pStyle w:val="Lijstalinea"/>
        <w:numPr>
          <w:ilvl w:val="0"/>
          <w:numId w:val="13"/>
        </w:numPr>
      </w:pPr>
      <w:r w:rsidRPr="00CA79E8">
        <w:t>Openbaarmaking van betrokkenheidsplannen volgens een gestandaardiseerd en vergelijkbaar format;</w:t>
      </w:r>
    </w:p>
    <w:p w:rsidRPr="00CA79E8" w:rsidR="007F7160" w:rsidP="007F7160" w:rsidRDefault="007F7160" w14:paraId="78E838CD" w14:textId="77777777">
      <w:pPr>
        <w:pStyle w:val="Lijstalinea"/>
        <w:numPr>
          <w:ilvl w:val="0"/>
          <w:numId w:val="13"/>
        </w:numPr>
      </w:pPr>
      <w:r w:rsidRPr="00CA79E8">
        <w:t>Verplichte procesbeschrijving met onder andere doelstellingen, tijdslijn, monitoring, evaluatie, rapportage over wel of niet gehaalde KPI’s en escalatiemogelijkheden, of verplichte tijdgebonden escalatiestrategie, of verankering van escalatieprocedure in de Corporate Governance Code via pas toe of leg-uit</w:t>
      </w:r>
      <w:r w:rsidRPr="00CA79E8">
        <w:rPr>
          <w:rStyle w:val="Voetnootmarkering"/>
        </w:rPr>
        <w:footnoteReference w:id="17"/>
      </w:r>
      <w:r w:rsidRPr="00CA79E8">
        <w:t>;</w:t>
      </w:r>
    </w:p>
    <w:p w:rsidRPr="00CA79E8" w:rsidR="007F7160" w:rsidP="007F7160" w:rsidRDefault="007F7160" w14:paraId="7FD80F3F" w14:textId="77777777">
      <w:pPr>
        <w:pStyle w:val="Lijstalinea"/>
        <w:numPr>
          <w:ilvl w:val="0"/>
          <w:numId w:val="13"/>
        </w:numPr>
      </w:pPr>
      <w:r w:rsidRPr="00CA79E8">
        <w:t>Betrokkenheid</w:t>
      </w:r>
      <w:r>
        <w:t>sbeleid</w:t>
      </w:r>
      <w:r w:rsidRPr="00CA79E8">
        <w:t xml:space="preserve"> voorwaardelijk maken van prestatie-indicatoren of verplichting van minimaal betrokkenheidsbeleid op percentage grootste uitstoters; en</w:t>
      </w:r>
    </w:p>
    <w:p w:rsidRPr="00CA79E8" w:rsidR="007F7160" w:rsidP="007F7160" w:rsidRDefault="007F7160" w14:paraId="1ECDF0FB" w14:textId="77777777">
      <w:pPr>
        <w:pStyle w:val="Lijstalinea"/>
        <w:numPr>
          <w:ilvl w:val="0"/>
          <w:numId w:val="13"/>
        </w:numPr>
      </w:pPr>
      <w:r w:rsidRPr="00CA79E8">
        <w:t>Stemverplichtingen, zoals tegenstem management bij het ontbreken van adequate klimaattransitieplannen.</w:t>
      </w:r>
    </w:p>
    <w:p w:rsidRPr="0093225A" w:rsidR="007F7160" w:rsidP="007F7160" w:rsidRDefault="007F7160" w14:paraId="5DA281DB" w14:textId="77777777">
      <w:r w:rsidRPr="00CA79E8">
        <w:t>Deze voorstellen roepen echter vragen en bezwaren op bij andere</w:t>
      </w:r>
      <w:r>
        <w:t xml:space="preserve"> partijen. Zo stellen sommige partijen nut en noodzaak van enkele voorstellen ter discussie. Daarnaast werpen deze partijen op dat het op onderdelen moeilijk zou zijn om de effecten te meten en wordt naar voren gebracht dat enkele voorstellen zouden tornen aan de bevoegdheidsverdeling van betrokkenen.</w:t>
      </w:r>
    </w:p>
    <w:p w:rsidR="007F7160" w:rsidP="007F7160" w:rsidRDefault="007F7160" w14:paraId="3E5CA2FF" w14:textId="77777777">
      <w:pPr>
        <w:rPr>
          <w:b/>
          <w:bCs/>
        </w:rPr>
      </w:pPr>
    </w:p>
    <w:p w:rsidR="007F7160" w:rsidP="007F7160" w:rsidRDefault="007F7160" w14:paraId="02E5F4D2" w14:textId="2EF12CEB">
      <w:r>
        <w:rPr>
          <w:b/>
          <w:bCs/>
        </w:rPr>
        <w:t>Tegelijkertijd plaatst (ook) een deel van de voorstanders van aanscherping vraagtekens bij de effectiviteit van betrokkenheidsbeleid</w:t>
      </w:r>
      <w:r>
        <w:t xml:space="preserve">. Zij vinden het zinvoller om primair in te zetten op andere </w:t>
      </w:r>
      <w:r w:rsidRPr="005F0B5C">
        <w:t xml:space="preserve">instrumenten, bijvoorbeeld via klimaattransitieplannen. Zo zou er geen empirisch bewijs zijn van de effectiviteit van betrokkenheidsbeleid. Ook </w:t>
      </w:r>
      <w:r>
        <w:t>wordt</w:t>
      </w:r>
      <w:r w:rsidRPr="005F0B5C">
        <w:t xml:space="preserve"> opgeworpen dat een betrokkenheidsbeleid bij indexportefeuilles minder </w:t>
      </w:r>
      <w:r>
        <w:t>effectief is</w:t>
      </w:r>
      <w:r w:rsidRPr="005F0B5C">
        <w:t xml:space="preserve">, nu </w:t>
      </w:r>
      <w:r>
        <w:t xml:space="preserve">bij dergelijke portefeuilles </w:t>
      </w:r>
      <w:r w:rsidRPr="005F0B5C">
        <w:t>primair de index wordt gevolgd. Daarbij</w:t>
      </w:r>
      <w:r w:rsidR="006E378C">
        <w:t xml:space="preserve"> vragen</w:t>
      </w:r>
      <w:r>
        <w:t xml:space="preserve"> enkele partijen </w:t>
      </w:r>
      <w:r w:rsidR="006E378C">
        <w:t>zich af</w:t>
      </w:r>
      <w:r>
        <w:t xml:space="preserve"> of (de meerderheid van de) </w:t>
      </w:r>
      <w:r w:rsidRPr="00114ECE">
        <w:t>aandeelhouders als het er op aankomt niet veeleer gericht is op korte termijn doelen c.q. de dividenduitkering in plaats van op duurzame langetermijnwaardecreatie. In het verlengde hiervan hebben sommige partijen naar voren gebracht dat</w:t>
      </w:r>
      <w:r>
        <w:t xml:space="preserve"> </w:t>
      </w:r>
      <w:r w:rsidRPr="00114ECE">
        <w:t>het (dan ook) niet zozeer zou moeten gaan om uitbreiding of aanscherping van de betrokkenheidsbeleid</w:t>
      </w:r>
      <w:r>
        <w:t>sverplichtingen</w:t>
      </w:r>
      <w:r w:rsidRPr="00114ECE">
        <w:t>, maar veeleer zou moeten gaan om de vraag hoe een klimaatplan beoordeeld moet worden</w:t>
      </w:r>
      <w:r>
        <w:t xml:space="preserve">. Dit omvat naar hun oordeel ook </w:t>
      </w:r>
      <w:r w:rsidRPr="00114ECE">
        <w:t xml:space="preserve">verduidelijking van wat onder een goed betrokkenheidsbeleid moet worden verstaan. </w:t>
      </w:r>
    </w:p>
    <w:p w:rsidR="007F7160" w:rsidP="007F7160" w:rsidRDefault="007F7160" w14:paraId="4AEDCA25" w14:textId="77777777"/>
    <w:p w:rsidR="007F7160" w:rsidP="007F7160" w:rsidRDefault="007C02E0" w14:paraId="458B72F8" w14:textId="75550E2E">
      <w:pPr>
        <w:autoSpaceDN/>
        <w:spacing w:line="259" w:lineRule="auto"/>
        <w:textAlignment w:val="auto"/>
      </w:pPr>
      <w:r>
        <w:rPr>
          <w:b/>
          <w:bCs/>
        </w:rPr>
        <w:t>Veel</w:t>
      </w:r>
      <w:r w:rsidRPr="00A768C6">
        <w:rPr>
          <w:b/>
          <w:bCs/>
        </w:rPr>
        <w:t xml:space="preserve"> </w:t>
      </w:r>
      <w:r w:rsidRPr="00A768C6" w:rsidR="007F7160">
        <w:rPr>
          <w:b/>
          <w:bCs/>
        </w:rPr>
        <w:t>partijen lijken evenwel het belang van transparantie</w:t>
      </w:r>
      <w:r w:rsidR="007F7160">
        <w:rPr>
          <w:b/>
          <w:bCs/>
        </w:rPr>
        <w:t xml:space="preserve"> </w:t>
      </w:r>
      <w:r w:rsidRPr="00A768C6" w:rsidR="007F7160">
        <w:rPr>
          <w:b/>
          <w:bCs/>
        </w:rPr>
        <w:t>over betrokkenheidsbeleid te onderschrijven.</w:t>
      </w:r>
      <w:r w:rsidR="007F7160">
        <w:t xml:space="preserve"> Zowel institutionele beleggers, NGO’s als marktpartijen benadrukken het belang van het hebben van een escalatieladder, het geven van inzicht in de wijze waarop die wordt toegepast en standaardisatie. Partijen verschillen evenwel van mening of dit via (uitbreiding van) wetgeving of zelfregulering zou moeten. </w:t>
      </w:r>
    </w:p>
    <w:p w:rsidR="007F7160" w:rsidP="007F7160" w:rsidRDefault="007F7160" w14:paraId="11C66385" w14:textId="77777777">
      <w:pPr>
        <w:rPr>
          <w:u w:val="single"/>
        </w:rPr>
      </w:pPr>
    </w:p>
    <w:p w:rsidRPr="00B97A13" w:rsidR="00B97A13" w:rsidP="00B97A13" w:rsidRDefault="00B97A13" w14:paraId="59C3F835" w14:textId="2D6DEADE">
      <w:pPr>
        <w:pStyle w:val="Lijstalinea"/>
        <w:numPr>
          <w:ilvl w:val="0"/>
          <w:numId w:val="19"/>
        </w:numPr>
        <w:rPr>
          <w:b/>
          <w:bCs/>
        </w:rPr>
      </w:pPr>
      <w:r w:rsidRPr="00B97A13">
        <w:rPr>
          <w:b/>
          <w:bCs/>
        </w:rPr>
        <w:t>Overige opgehaalde ideeën en reacties</w:t>
      </w:r>
    </w:p>
    <w:p w:rsidR="00B97A13" w:rsidP="007F7160" w:rsidRDefault="00B97A13" w14:paraId="36529BE6" w14:textId="5B8E07B2">
      <w:r>
        <w:t xml:space="preserve">Naast de drie denkrichtingen is aan respondenten in brede zin gevraagd welke ideeën zij hebben bij het vergroten van de bijdragen van de financiële sector aan de klimaattransitie. Verschillende ideeën en reacties zijn daarbij opgekomen. </w:t>
      </w:r>
    </w:p>
    <w:p w:rsidR="00B97A13" w:rsidP="007F7160" w:rsidRDefault="00B97A13" w14:paraId="52774BFE" w14:textId="77777777"/>
    <w:p w:rsidRPr="008D4623" w:rsidR="008D4623" w:rsidP="007F7160" w:rsidRDefault="008D4623" w14:paraId="4A453733" w14:textId="394D70FA">
      <w:pPr>
        <w:rPr>
          <w:u w:val="single"/>
        </w:rPr>
      </w:pPr>
      <w:r w:rsidRPr="008D4623">
        <w:rPr>
          <w:u w:val="single"/>
        </w:rPr>
        <w:t>Algemene reacties</w:t>
      </w:r>
    </w:p>
    <w:p w:rsidR="008D4623" w:rsidP="007F7160" w:rsidRDefault="008D4623" w14:paraId="2E2BE0AC" w14:textId="77777777">
      <w:pPr>
        <w:rPr>
          <w:u w:val="single"/>
        </w:rPr>
      </w:pPr>
    </w:p>
    <w:p w:rsidRPr="008D4623" w:rsidR="007F7160" w:rsidP="007F7160" w:rsidRDefault="007F7160" w14:paraId="02E4AD7A" w14:textId="6AF40334">
      <w:pPr>
        <w:rPr>
          <w:i/>
          <w:iCs/>
        </w:rPr>
      </w:pPr>
      <w:r w:rsidRPr="008D4623">
        <w:rPr>
          <w:i/>
          <w:iCs/>
        </w:rPr>
        <w:t xml:space="preserve">Rol overheidsbeleid, transitiepaden en (publiek-private) financiering </w:t>
      </w:r>
    </w:p>
    <w:p w:rsidR="007F7160" w:rsidP="007F7160" w:rsidRDefault="007F7160" w14:paraId="19DFD1BA" w14:textId="0C6E7292">
      <w:pPr>
        <w:rPr>
          <w:rFonts w:ascii="Calibri" w:hAnsi="Calibri"/>
          <w:color w:val="auto"/>
          <w:sz w:val="22"/>
          <w:szCs w:val="22"/>
        </w:rPr>
      </w:pPr>
      <w:r w:rsidRPr="00836B2D">
        <w:rPr>
          <w:b/>
          <w:bCs/>
        </w:rPr>
        <w:t xml:space="preserve">Uit de consultatiereacties en ronde tafels blijkt dat er ook een sterke roep is om helder overheidsbeleid gericht </w:t>
      </w:r>
      <w:r>
        <w:rPr>
          <w:b/>
          <w:bCs/>
        </w:rPr>
        <w:t>op het bereiken van de klimaatdoelen van het kabinet</w:t>
      </w:r>
      <w:r w:rsidRPr="00836B2D">
        <w:rPr>
          <w:b/>
          <w:bCs/>
        </w:rPr>
        <w:t>.</w:t>
      </w:r>
      <w:r>
        <w:t xml:space="preserve"> Specifiek wordt daarbij opgeroepen om duidelijkere sectorale transitiepaden in Nederland en Europa te ontwikkelen, zodat de financiële sector goed kan beoordelen of haar</w:t>
      </w:r>
      <w:r w:rsidR="00013D1D">
        <w:t xml:space="preserve"> </w:t>
      </w:r>
      <w:r>
        <w:t>financiering hierbij aansluit</w:t>
      </w:r>
      <w:r w:rsidR="00C824EE">
        <w:t>.</w:t>
      </w:r>
      <w:r>
        <w:t xml:space="preserve"> Ook roepen partijen op tot publiek-private samenwerking om barrières voor private financiering van de klimaat- en energietransitie weg te nemen. In dit kader wordt ook de versnippering van het overheidsaanbod van stimuleringsmaatregelen als probleem genoemd. Partijen brachten daarnaast op dat een centrale investeringsinstelling met een duidelijke focus op nieuwe technologieën en </w:t>
      </w:r>
      <w:r>
        <w:lastRenderedPageBreak/>
        <w:t xml:space="preserve">transitiesectoren als primaire gesprekspartner voor institutionele investeerders en Brussel dient op te treden. </w:t>
      </w:r>
    </w:p>
    <w:p w:rsidR="007F7160" w:rsidP="007F7160" w:rsidRDefault="007F7160" w14:paraId="3A7D8D16" w14:textId="77777777"/>
    <w:p w:rsidRPr="008D4623" w:rsidR="007F7160" w:rsidP="007F7160" w:rsidRDefault="007F7160" w14:paraId="7D9A5E87" w14:textId="77777777">
      <w:pPr>
        <w:rPr>
          <w:i/>
          <w:iCs/>
        </w:rPr>
      </w:pPr>
      <w:r w:rsidRPr="008D4623">
        <w:rPr>
          <w:i/>
          <w:iCs/>
        </w:rPr>
        <w:t>Impact op het MKB</w:t>
      </w:r>
    </w:p>
    <w:p w:rsidRPr="00836B2D" w:rsidR="007F7160" w:rsidP="007F7160" w:rsidRDefault="007F7160" w14:paraId="26296392" w14:textId="2EF54139">
      <w:r>
        <w:rPr>
          <w:b/>
          <w:bCs/>
        </w:rPr>
        <w:t xml:space="preserve">Uit de consultatie blijkt ook dat er zorgen leven over de financierbaarheid van het (klein) mkb bij verdergaande duurzaamheidsverplichtingen voor financiers. </w:t>
      </w:r>
      <w:r>
        <w:t xml:space="preserve">Volgens enkele respondenten kunnen additionele klimaatmaatregelen leiden tot hogere kosten en dus hogere rentes voor MKB bedrijven. Andere geven juist aan dat klimaatmaatregelen voor de financiële sector de verduurzaming van het MKB of nieuwe groene industrie </w:t>
      </w:r>
      <w:r w:rsidR="00013D1D">
        <w:t xml:space="preserve">juist </w:t>
      </w:r>
      <w:r>
        <w:t>k</w:t>
      </w:r>
      <w:r w:rsidR="00013D1D">
        <w:t>unnen</w:t>
      </w:r>
      <w:r>
        <w:t xml:space="preserve"> stimuleren, omdat financiële instellingen zich verbinden aan duurzame financieringsdoelstellingen</w:t>
      </w:r>
      <w:r w:rsidRPr="001F2F1F">
        <w:t>.</w:t>
      </w:r>
    </w:p>
    <w:p w:rsidRPr="00E024E4" w:rsidR="007F7160" w:rsidP="007F7160" w:rsidRDefault="007F7160" w14:paraId="1CDD9BB4" w14:textId="77777777">
      <w:pPr>
        <w:rPr>
          <w:u w:val="single"/>
        </w:rPr>
      </w:pPr>
    </w:p>
    <w:p w:rsidRPr="00E14781" w:rsidR="007F7160" w:rsidP="007F7160" w:rsidRDefault="007F7160" w14:paraId="7CAAFCB0" w14:textId="6456E6D9">
      <w:pPr>
        <w:rPr>
          <w:u w:val="single"/>
        </w:rPr>
      </w:pPr>
      <w:r w:rsidRPr="00E024E4">
        <w:rPr>
          <w:u w:val="single"/>
        </w:rPr>
        <w:t xml:space="preserve">Aanvullende ideeën </w:t>
      </w:r>
    </w:p>
    <w:p w:rsidR="007F7160" w:rsidP="007F7160" w:rsidRDefault="007F7160" w14:paraId="71AFC10C" w14:textId="77777777">
      <w:pPr>
        <w:rPr>
          <w:u w:val="single"/>
        </w:rPr>
      </w:pPr>
    </w:p>
    <w:p w:rsidRPr="005914A0" w:rsidR="007F7160" w:rsidP="007F7160" w:rsidRDefault="007F7160" w14:paraId="7E8DE909" w14:textId="77777777">
      <w:pPr>
        <w:rPr>
          <w:i/>
          <w:iCs/>
        </w:rPr>
      </w:pPr>
      <w:r w:rsidRPr="005914A0">
        <w:rPr>
          <w:i/>
          <w:iCs/>
        </w:rPr>
        <w:t>Versterken aandeelhoudersrechten</w:t>
      </w:r>
    </w:p>
    <w:p w:rsidR="007F7160" w:rsidP="007F7160" w:rsidRDefault="007F7160" w14:paraId="2531EBE4" w14:textId="77777777">
      <w:pPr>
        <w:rPr>
          <w:b/>
          <w:bCs/>
        </w:rPr>
      </w:pPr>
      <w:r>
        <w:rPr>
          <w:b/>
          <w:bCs/>
        </w:rPr>
        <w:t>Een aantal</w:t>
      </w:r>
      <w:r w:rsidRPr="00C8196F">
        <w:rPr>
          <w:b/>
          <w:bCs/>
        </w:rPr>
        <w:t xml:space="preserve"> consultatiepartijen bepleit het treffen van (nationale) maatregelen ter versterking van </w:t>
      </w:r>
      <w:r>
        <w:rPr>
          <w:b/>
          <w:bCs/>
        </w:rPr>
        <w:t>de rechten van aandeelhouders op het terrein van duurzaamheid</w:t>
      </w:r>
      <w:r w:rsidRPr="00C8196F">
        <w:rPr>
          <w:b/>
          <w:bCs/>
        </w:rPr>
        <w:t>.</w:t>
      </w:r>
      <w:r>
        <w:t xml:space="preserve"> Zij geven aan dat aanvullende wetgeving de betrokkenheid van aandeelhouders op dit terrein kan verstevigen bij de ondernemingen waarin wordt belegd. </w:t>
      </w:r>
      <w:r w:rsidRPr="00C8196F">
        <w:rPr>
          <w:b/>
          <w:bCs/>
        </w:rPr>
        <w:t xml:space="preserve">Hiertoe </w:t>
      </w:r>
      <w:r>
        <w:rPr>
          <w:b/>
          <w:bCs/>
        </w:rPr>
        <w:t>hebben zij twee</w:t>
      </w:r>
      <w:r w:rsidRPr="00C8196F">
        <w:rPr>
          <w:b/>
          <w:bCs/>
        </w:rPr>
        <w:t xml:space="preserve"> voorstellen aangedragen.</w:t>
      </w:r>
      <w:r>
        <w:rPr>
          <w:b/>
          <w:bCs/>
        </w:rPr>
        <w:t xml:space="preserve"> </w:t>
      </w:r>
    </w:p>
    <w:p w:rsidR="007F7160" w:rsidP="007F7160" w:rsidRDefault="007F7160" w14:paraId="073359C8" w14:textId="77777777">
      <w:pPr>
        <w:rPr>
          <w:b/>
          <w:bCs/>
        </w:rPr>
      </w:pPr>
    </w:p>
    <w:p w:rsidR="007F7160" w:rsidP="007F7160" w:rsidRDefault="007F7160" w14:paraId="5807F9DD" w14:textId="781AA1D5">
      <w:r w:rsidRPr="00C8196F">
        <w:rPr>
          <w:b/>
          <w:bCs/>
        </w:rPr>
        <w:t xml:space="preserve">Ten eerste </w:t>
      </w:r>
      <w:r>
        <w:rPr>
          <w:b/>
          <w:bCs/>
        </w:rPr>
        <w:t>stellen partijen voor</w:t>
      </w:r>
      <w:r w:rsidRPr="00C8196F">
        <w:rPr>
          <w:b/>
          <w:bCs/>
        </w:rPr>
        <w:t xml:space="preserve"> </w:t>
      </w:r>
      <w:r>
        <w:rPr>
          <w:b/>
          <w:bCs/>
        </w:rPr>
        <w:t xml:space="preserve">om </w:t>
      </w:r>
      <w:r w:rsidRPr="00C8196F">
        <w:rPr>
          <w:b/>
          <w:bCs/>
        </w:rPr>
        <w:t xml:space="preserve">de algemene vergadering </w:t>
      </w:r>
      <w:r w:rsidR="00106E0A">
        <w:rPr>
          <w:b/>
          <w:bCs/>
        </w:rPr>
        <w:t xml:space="preserve">van aandeelhouders </w:t>
      </w:r>
      <w:r>
        <w:rPr>
          <w:b/>
          <w:bCs/>
        </w:rPr>
        <w:t>d</w:t>
      </w:r>
      <w:r w:rsidRPr="00C8196F">
        <w:rPr>
          <w:b/>
          <w:bCs/>
        </w:rPr>
        <w:t>e bevoegdheid te geven om de duurzaamheidsrapportering vast te stellen.</w:t>
      </w:r>
      <w:r>
        <w:t xml:space="preserve"> Hierbij verwijzen partijen naar de jaarrekening die ook door de algemene vergadering wordt vastgesteld </w:t>
      </w:r>
      <w:r w:rsidRPr="00CE6F9D">
        <w:t xml:space="preserve">en geven ze aan dat het wenselijk is om daarbij aan te sluiten. Op deze manier worden institutionele beleggers volgens deze partijen (beter) in staat gesteld om invulling te geven aan de door de (Europese) wetgever </w:t>
      </w:r>
      <w:r>
        <w:t xml:space="preserve">aan hen </w:t>
      </w:r>
      <w:r w:rsidRPr="00CE6F9D">
        <w:t>toebedeelde rol ten aanzien van het duurzaamheidsbeleid van beursvennootschappen, waaronder het klimaatbeleid.</w:t>
      </w:r>
      <w:r w:rsidRPr="00CE6F9D">
        <w:rPr>
          <w:rStyle w:val="Voetnootmarkering"/>
        </w:rPr>
        <w:footnoteReference w:id="18"/>
      </w:r>
      <w:r w:rsidRPr="00CE6F9D">
        <w:t xml:space="preserve"> Partijen wijzen er hierbij </w:t>
      </w:r>
      <w:r>
        <w:t xml:space="preserve">onder meer </w:t>
      </w:r>
      <w:r w:rsidRPr="00CE6F9D">
        <w:t xml:space="preserve">op dat aandeelhouders die bezwaren hebben tegen de wijze waarop het </w:t>
      </w:r>
      <w:r>
        <w:t xml:space="preserve">bestuur van een onderneming haar </w:t>
      </w:r>
      <w:r w:rsidRPr="00CE6F9D">
        <w:t xml:space="preserve">duurzaamheidsbeleid </w:t>
      </w:r>
      <w:r>
        <w:t xml:space="preserve">heeft </w:t>
      </w:r>
      <w:r w:rsidRPr="00CE6F9D">
        <w:t xml:space="preserve">uitgevoerd, dit </w:t>
      </w:r>
      <w:r>
        <w:t xml:space="preserve">momenteel </w:t>
      </w:r>
      <w:r w:rsidRPr="00CE6F9D">
        <w:t>alleen tot uitdrukking kunnen brengen door tegen het ‘voorstel tot verlening van decharge van het bestuur’ te stemmen</w:t>
      </w:r>
      <w:r>
        <w:t>,</w:t>
      </w:r>
      <w:r w:rsidRPr="00CE6F9D">
        <w:t xml:space="preserve"> hetgeen als paardenmiddel wordt gezien</w:t>
      </w:r>
      <w:r w:rsidR="00C824EE">
        <w:t>.</w:t>
      </w:r>
      <w:r>
        <w:t xml:space="preserve"> Ook wordt aangevoerd dat aandeelhouders in andere landen</w:t>
      </w:r>
      <w:r w:rsidR="004A46CE">
        <w:t>,</w:t>
      </w:r>
      <w:r w:rsidRPr="004A46CE" w:rsidR="004A46CE">
        <w:t xml:space="preserve"> </w:t>
      </w:r>
      <w:r w:rsidR="004A46CE">
        <w:t>zoals Spanje en Zwitserland,</w:t>
      </w:r>
      <w:r w:rsidR="004A46CE">
        <w:rPr>
          <w:rStyle w:val="Voetnootmarkering"/>
        </w:rPr>
        <w:footnoteReference w:id="19"/>
      </w:r>
      <w:r w:rsidR="004A46CE">
        <w:t xml:space="preserve"> </w:t>
      </w:r>
      <w:r>
        <w:t>al de bevoegdheid hebben om de duurzaamheidsrapportage vast te stellen.</w:t>
      </w:r>
    </w:p>
    <w:p w:rsidR="007F7160" w:rsidP="007F7160" w:rsidRDefault="007F7160" w14:paraId="45097391" w14:textId="77777777"/>
    <w:p w:rsidR="007F7160" w:rsidP="007F7160" w:rsidRDefault="007F7160" w14:paraId="16A36B2D" w14:textId="77777777">
      <w:r w:rsidRPr="00C8196F">
        <w:rPr>
          <w:b/>
          <w:bCs/>
        </w:rPr>
        <w:t xml:space="preserve">Ten tweede </w:t>
      </w:r>
      <w:r>
        <w:rPr>
          <w:b/>
          <w:bCs/>
        </w:rPr>
        <w:t>wordt voorgesteld om</w:t>
      </w:r>
      <w:r w:rsidRPr="00C8196F">
        <w:rPr>
          <w:b/>
          <w:bCs/>
        </w:rPr>
        <w:t xml:space="preserve"> te verduidelijken dat een aandeelhouder een verzoek tot aanscherping van het duurzaamheidsbeleid of een onderdeel daarvan als niet-bindend stempunt op de agenda van een algemene vergadering kan laten plaatsen.</w:t>
      </w:r>
      <w:r>
        <w:t xml:space="preserve"> Hierbij is toegelicht dat uit de parlementaire geschiedenis volgt dat het bestuur en de raad van commissarissen verplicht zijn een eventueel aandeelhoudersverzoek tot aanpassing van het duurzaamheidsbeleid of een onderdeel daarvan als bespreekpunt op de agenda van de algemene vergadering te plaatsen</w:t>
      </w:r>
      <w:r>
        <w:rPr>
          <w:rStyle w:val="Voetnootmarkering"/>
        </w:rPr>
        <w:footnoteReference w:id="20"/>
      </w:r>
      <w:r>
        <w:t xml:space="preserve"> maar dat in de literatuur een discussie is ontstaan in hoeverre aandeelhouders een duurzaamheidsonderwerp als adviserend of niet-bindend stempunt kunnen agenderen.</w:t>
      </w:r>
      <w:r>
        <w:rPr>
          <w:rStyle w:val="Voetnootmarkering"/>
        </w:rPr>
        <w:footnoteReference w:id="21"/>
      </w:r>
      <w:r>
        <w:t xml:space="preserve"> Om die reden stelt deze partij – evenals enkele andere partijen – dat verduidelijking op dit punt wenselijk is.</w:t>
      </w:r>
    </w:p>
    <w:p w:rsidR="007F7160" w:rsidP="007F7160" w:rsidRDefault="007F7160" w14:paraId="16536D99" w14:textId="77777777"/>
    <w:p w:rsidR="007F7160" w:rsidP="007F7160" w:rsidRDefault="007F7160" w14:paraId="19A04EAA" w14:textId="0813B8CA">
      <w:r w:rsidRPr="00C8196F">
        <w:rPr>
          <w:b/>
          <w:bCs/>
        </w:rPr>
        <w:t xml:space="preserve">Andere partijen hebben </w:t>
      </w:r>
      <w:r>
        <w:rPr>
          <w:b/>
          <w:bCs/>
        </w:rPr>
        <w:t xml:space="preserve">laten weten </w:t>
      </w:r>
      <w:r w:rsidRPr="00C8196F">
        <w:rPr>
          <w:b/>
          <w:bCs/>
        </w:rPr>
        <w:t xml:space="preserve">fundamentele bezwaren </w:t>
      </w:r>
      <w:r>
        <w:rPr>
          <w:b/>
          <w:bCs/>
        </w:rPr>
        <w:t>te hebben</w:t>
      </w:r>
      <w:r w:rsidRPr="00C8196F">
        <w:rPr>
          <w:b/>
          <w:bCs/>
        </w:rPr>
        <w:t xml:space="preserve"> tegen d</w:t>
      </w:r>
      <w:r>
        <w:rPr>
          <w:b/>
          <w:bCs/>
        </w:rPr>
        <w:t>eze voorgestelde</w:t>
      </w:r>
      <w:r w:rsidRPr="00C8196F">
        <w:rPr>
          <w:b/>
          <w:bCs/>
        </w:rPr>
        <w:t xml:space="preserve"> versterking van aandeelhoudersrechten</w:t>
      </w:r>
      <w:r>
        <w:rPr>
          <w:b/>
          <w:bCs/>
        </w:rPr>
        <w:t>,</w:t>
      </w:r>
      <w:r w:rsidRPr="00C8196F">
        <w:rPr>
          <w:b/>
          <w:bCs/>
        </w:rPr>
        <w:t xml:space="preserve"> </w:t>
      </w:r>
      <w:r>
        <w:rPr>
          <w:b/>
          <w:bCs/>
        </w:rPr>
        <w:t xml:space="preserve">of geven aan </w:t>
      </w:r>
      <w:r w:rsidRPr="00C8196F">
        <w:rPr>
          <w:b/>
          <w:bCs/>
        </w:rPr>
        <w:t>dat dit een separate afweging vergt.</w:t>
      </w:r>
      <w:r>
        <w:t xml:space="preserve"> De geuite bezwaren hebben met name betrekking op het voorstel tot het laten vaststellen van de duurzaamheidsrapportering door de algemene vergadering. Tegenstanders stellen dat de vaststelling door de algemene vergadering niet zonder meer kan worden toegepast op de duurzaamheidsrapportering. Nederlandse beursondernemingen kenmerken zich door het zogenaamde Rijnlandse model, waarin langetermijnwaardecreatie centraal staat en belangen van betrokkenen (stakeholders) bij de onderneming worden meegewogen. De strategie van de onderneming is daarbij primair aan het bestuur, onder toezicht van de raad van commissarissen. Het toekennen van de bevoegdheid aan de algemene vergadering om de duurzaamheidsrapportage vast te stellen zou volgens enkele partijen een fundamentele verschuiving in deze bevoegdheidsverdeling (kunnen) betekenen. Dit stuit op bezwaren van enkele partijen of vergt volgens (andere) partijen een separate afweging. De vergelijking met de vaststelling van de jaarrekening zou niet opgaan nu dit een ander soort document betreft, waarvan de vaststelling door de algemene vergadering samenhangt met daarop gebaseerde beslissingen, zoals het bestemmen van de in de jaarrekening vastgestelde winst. Ook in het buitenland zou dit volgens deze partijen niet gelden in de mate zoals door de voorstanders geschetst.</w:t>
      </w:r>
      <w:r>
        <w:rPr>
          <w:rStyle w:val="Voetnootmarkering"/>
        </w:rPr>
        <w:footnoteReference w:id="22"/>
      </w:r>
      <w:r>
        <w:t xml:space="preserve"> Daarnaast hebben partijen vraagtekens geplaatst bij de effectiviteit van deze maatregel. Enerzijds wijzen partijen er op dat uit onderzoek volgt dat de betreffende wetgeving in Spanje niet heeft geleid tot een daadwerkelijke verandering. Anderzijds uiten partijen zorgen over de invulling door aandeelhouders van een dergelijke bevoegdheid. Zo wierpen zij op of (de meerderheid van de) </w:t>
      </w:r>
      <w:r w:rsidRPr="00114ECE">
        <w:t>aandeelhouders</w:t>
      </w:r>
      <w:r>
        <w:t>,</w:t>
      </w:r>
      <w:r w:rsidRPr="00114ECE">
        <w:t xml:space="preserve"> als het er op aankomt</w:t>
      </w:r>
      <w:r>
        <w:t>,</w:t>
      </w:r>
      <w:r w:rsidRPr="00114ECE">
        <w:t xml:space="preserve"> niet veeleer gericht is op korte termijn doelen c.q. de dividenduitkering in plaats van op duurzame langetermijnwaardecreatie</w:t>
      </w:r>
      <w:r>
        <w:t xml:space="preserve"> en juist eventuele voortgang c.q. versnelling zou kunnen bemoeilijken.</w:t>
      </w:r>
    </w:p>
    <w:p w:rsidR="007F7160" w:rsidP="007F7160" w:rsidRDefault="007F7160" w14:paraId="35F69F8F" w14:textId="77777777">
      <w:pPr>
        <w:rPr>
          <w:b/>
          <w:bCs/>
        </w:rPr>
      </w:pPr>
    </w:p>
    <w:p w:rsidRPr="005914A0" w:rsidR="007F7160" w:rsidP="007F7160" w:rsidRDefault="007F7160" w14:paraId="5153F595" w14:textId="77777777">
      <w:pPr>
        <w:rPr>
          <w:i/>
          <w:iCs/>
        </w:rPr>
      </w:pPr>
      <w:r>
        <w:rPr>
          <w:i/>
          <w:iCs/>
        </w:rPr>
        <w:t>Data-uitdagingen</w:t>
      </w:r>
    </w:p>
    <w:p w:rsidR="007F7160" w:rsidP="007F7160" w:rsidRDefault="007F7160" w14:paraId="1D013DA8" w14:textId="5982EEB1">
      <w:r>
        <w:rPr>
          <w:b/>
          <w:bCs/>
        </w:rPr>
        <w:t>Veel partijen geven aan dat h</w:t>
      </w:r>
      <w:r w:rsidRPr="00E14781">
        <w:rPr>
          <w:b/>
          <w:bCs/>
        </w:rPr>
        <w:t xml:space="preserve">et verbeteren van </w:t>
      </w:r>
      <w:r>
        <w:rPr>
          <w:b/>
          <w:bCs/>
        </w:rPr>
        <w:t>de kwaliteit en de beschikbaarheid van</w:t>
      </w:r>
      <w:r w:rsidRPr="00E14781">
        <w:rPr>
          <w:b/>
          <w:bCs/>
        </w:rPr>
        <w:t xml:space="preserve"> klimaatdata </w:t>
      </w:r>
      <w:r>
        <w:rPr>
          <w:b/>
          <w:bCs/>
        </w:rPr>
        <w:t>noodzakelijk is</w:t>
      </w:r>
      <w:r w:rsidRPr="00E14781">
        <w:rPr>
          <w:b/>
          <w:bCs/>
        </w:rPr>
        <w:t xml:space="preserve">. </w:t>
      </w:r>
      <w:r w:rsidRPr="0094619F">
        <w:t>Zij noemen</w:t>
      </w:r>
      <w:r>
        <w:rPr>
          <w:b/>
          <w:bCs/>
        </w:rPr>
        <w:t xml:space="preserve"> </w:t>
      </w:r>
      <w:r w:rsidRPr="00E14781">
        <w:t xml:space="preserve">een paar concrete voorbeelden. Financiële instellingen noemen ten eerste dat het voor hen lastig is om </w:t>
      </w:r>
      <w:r>
        <w:t xml:space="preserve">bij hun hypotheekverstrekking in </w:t>
      </w:r>
      <w:r w:rsidRPr="00E14781">
        <w:t xml:space="preserve">de gebouwde omgeving te sturen op werkelijk energieverbruik aangezien zij vanwege privacywetgeving geen toegang hebben tot die informatie. Dit maakt dat zij moeten sturen op de </w:t>
      </w:r>
      <w:r>
        <w:t>energie</w:t>
      </w:r>
      <w:r w:rsidRPr="00E14781">
        <w:t xml:space="preserve">labels van woningen, </w:t>
      </w:r>
      <w:r>
        <w:t xml:space="preserve">terwijl </w:t>
      </w:r>
      <w:r w:rsidRPr="00E14781">
        <w:t xml:space="preserve">deze niet altijd een goede reflectie zijn van daadwerkelijk energieverbruik en bovendien regelmatig niet up-to-date zijn omdat eigenaren bij het verduurzamen van een woning niet altijd een nieuw Energielabel aanvragen. Ten tweede </w:t>
      </w:r>
      <w:r>
        <w:t>geven zij aan dat het problematisch is</w:t>
      </w:r>
      <w:r w:rsidRPr="00E14781">
        <w:t xml:space="preserve"> dat</w:t>
      </w:r>
      <w:r w:rsidR="0094619F">
        <w:t xml:space="preserve"> ruwe</w:t>
      </w:r>
      <w:r w:rsidRPr="00E14781">
        <w:t xml:space="preserve"> ESG data zelf </w:t>
      </w:r>
      <w:r>
        <w:t>zijn</w:t>
      </w:r>
      <w:r w:rsidRPr="00E14781">
        <w:t xml:space="preserve"> uitgezonderd van de ESG-Ratings Verordening. Bedrijven die ESG-ratings aanbieden worden wel door deze Verordening gereguleerd, </w:t>
      </w:r>
      <w:r>
        <w:t>m</w:t>
      </w:r>
      <w:r w:rsidRPr="00E14781">
        <w:t>aar het aanbieden van ruwe ESG</w:t>
      </w:r>
      <w:r w:rsidR="002668E8">
        <w:t xml:space="preserve"> </w:t>
      </w:r>
      <w:r w:rsidRPr="00E14781">
        <w:t>data</w:t>
      </w:r>
      <w:r w:rsidR="002668E8">
        <w:t xml:space="preserve"> die aan de basis staan van de beoordelingen</w:t>
      </w:r>
      <w:r w:rsidRPr="00E14781">
        <w:t xml:space="preserve"> niet. Ten slotte </w:t>
      </w:r>
      <w:r>
        <w:t>noemen partijen als mogelijk idee</w:t>
      </w:r>
      <w:r w:rsidRPr="00E14781">
        <w:t xml:space="preserve"> </w:t>
      </w:r>
      <w:r>
        <w:t xml:space="preserve">dat de </w:t>
      </w:r>
      <w:r w:rsidRPr="00E14781">
        <w:t xml:space="preserve">financiële sector gezamenlijk </w:t>
      </w:r>
      <w:r>
        <w:t>data-</w:t>
      </w:r>
      <w:r w:rsidRPr="00E14781">
        <w:t xml:space="preserve">eisen </w:t>
      </w:r>
      <w:r>
        <w:t>gaat</w:t>
      </w:r>
      <w:r w:rsidRPr="00E14781">
        <w:t xml:space="preserve"> stellen aan bedrijven en sectoren</w:t>
      </w:r>
      <w:r>
        <w:t xml:space="preserve">, zodat zij hiermee </w:t>
      </w:r>
      <w:r w:rsidRPr="00E14781">
        <w:t>de administratieve last</w:t>
      </w:r>
      <w:r>
        <w:t>en</w:t>
      </w:r>
      <w:r w:rsidRPr="00E14781">
        <w:t xml:space="preserve"> voor bedrijven verminderen en de kwaliteit van de financieringsbeslissingen van instellingen vergroten.</w:t>
      </w:r>
    </w:p>
    <w:p w:rsidR="007F7160" w:rsidP="007F7160" w:rsidRDefault="007F7160" w14:paraId="53A7186B" w14:textId="77777777"/>
    <w:p w:rsidRPr="005914A0" w:rsidR="007F7160" w:rsidP="007F7160" w:rsidRDefault="007F7160" w14:paraId="4C60982A" w14:textId="77777777">
      <w:pPr>
        <w:rPr>
          <w:i/>
          <w:iCs/>
        </w:rPr>
      </w:pPr>
      <w:r w:rsidRPr="005914A0">
        <w:rPr>
          <w:i/>
          <w:iCs/>
        </w:rPr>
        <w:t>Verzekerbaarheid innovatie</w:t>
      </w:r>
      <w:r>
        <w:rPr>
          <w:i/>
          <w:iCs/>
        </w:rPr>
        <w:t>s</w:t>
      </w:r>
    </w:p>
    <w:p w:rsidR="007F7160" w:rsidP="007F7160" w:rsidRDefault="007F7160" w14:paraId="30BA4E30" w14:textId="253D58B6">
      <w:pPr>
        <w:rPr>
          <w:b/>
          <w:bCs/>
        </w:rPr>
      </w:pPr>
      <w:r w:rsidRPr="005914A0">
        <w:rPr>
          <w:b/>
          <w:bCs/>
        </w:rPr>
        <w:t>Een aantal partijen noemt dat het op de markt brengen van innovatie</w:t>
      </w:r>
      <w:r>
        <w:rPr>
          <w:b/>
          <w:bCs/>
        </w:rPr>
        <w:t>ve</w:t>
      </w:r>
      <w:r w:rsidRPr="005914A0">
        <w:rPr>
          <w:b/>
          <w:bCs/>
        </w:rPr>
        <w:t xml:space="preserve"> producten en technologieën vertraagd lijkt te worden door </w:t>
      </w:r>
      <w:r>
        <w:rPr>
          <w:b/>
          <w:bCs/>
        </w:rPr>
        <w:t xml:space="preserve">de </w:t>
      </w:r>
      <w:r w:rsidRPr="005914A0">
        <w:rPr>
          <w:b/>
          <w:bCs/>
        </w:rPr>
        <w:t xml:space="preserve">hoge kosten van verzekerbaarheid </w:t>
      </w:r>
      <w:r>
        <w:rPr>
          <w:b/>
          <w:bCs/>
        </w:rPr>
        <w:t xml:space="preserve">vanwege </w:t>
      </w:r>
      <w:r w:rsidRPr="005914A0">
        <w:rPr>
          <w:b/>
          <w:bCs/>
        </w:rPr>
        <w:t>beperkte ervaringscijfers</w:t>
      </w:r>
      <w:r w:rsidRPr="00E14781">
        <w:t xml:space="preserve">. Een partij oppert dat een garantiefonds hierbij zou kunnen helpen. </w:t>
      </w:r>
      <w:r>
        <w:t xml:space="preserve">Andere partijen geven aan </w:t>
      </w:r>
      <w:r w:rsidRPr="00E14781">
        <w:t xml:space="preserve">dat het probleem niet </w:t>
      </w:r>
      <w:r>
        <w:t>t</w:t>
      </w:r>
      <w:r w:rsidR="002668E8">
        <w:t>e</w:t>
      </w:r>
      <w:r>
        <w:t xml:space="preserve"> maken heeft met</w:t>
      </w:r>
      <w:r w:rsidRPr="00E14781">
        <w:t xml:space="preserve"> de verzekerbaarheid, maar dat </w:t>
      </w:r>
      <w:r>
        <w:t xml:space="preserve">bedrijven </w:t>
      </w:r>
      <w:r w:rsidRPr="00E14781">
        <w:t xml:space="preserve">verzekeraars niet </w:t>
      </w:r>
      <w:r>
        <w:t>tijdig betrekken</w:t>
      </w:r>
      <w:r w:rsidRPr="00E14781">
        <w:t xml:space="preserve"> bij de uitrol en ontwikkeling van deze producten of technologieën. Wanneer dit wel gebeurt, k</w:t>
      </w:r>
      <w:r>
        <w:t xml:space="preserve">unnen verzekeraars </w:t>
      </w:r>
      <w:r w:rsidRPr="00E14781">
        <w:t>al vroegtijdig rekening</w:t>
      </w:r>
      <w:r w:rsidR="00013D1D">
        <w:t xml:space="preserve"> </w:t>
      </w:r>
      <w:r w:rsidRPr="00E14781">
        <w:t xml:space="preserve">houden met eisen rondom bijvoorbeeld brandveiligheid. </w:t>
      </w:r>
    </w:p>
    <w:p w:rsidR="007F7160" w:rsidP="007F7160" w:rsidRDefault="007F7160" w14:paraId="7656537D" w14:textId="77777777">
      <w:pPr>
        <w:rPr>
          <w:b/>
          <w:bCs/>
        </w:rPr>
      </w:pPr>
    </w:p>
    <w:p w:rsidRPr="005914A0" w:rsidR="007F7160" w:rsidP="007F7160" w:rsidRDefault="007F7160" w14:paraId="68CDCA42" w14:textId="77777777">
      <w:pPr>
        <w:rPr>
          <w:i/>
          <w:iCs/>
        </w:rPr>
      </w:pPr>
      <w:r>
        <w:rPr>
          <w:i/>
          <w:iCs/>
        </w:rPr>
        <w:t>Transitiefinanciering</w:t>
      </w:r>
    </w:p>
    <w:p w:rsidRPr="005A6D0A" w:rsidR="007F7160" w:rsidP="007F7160" w:rsidRDefault="007F7160" w14:paraId="39D53CE3" w14:textId="43434EA2">
      <w:pPr>
        <w:rPr>
          <w:b/>
          <w:bCs/>
        </w:rPr>
      </w:pPr>
      <w:r w:rsidRPr="005914A0">
        <w:rPr>
          <w:b/>
          <w:bCs/>
        </w:rPr>
        <w:t>Door sommige partijen wordt opgeroepen om binnen het Europese raamwerk meer in te zetten op transitiefinanciering</w:t>
      </w:r>
      <w:r w:rsidRPr="00E14781">
        <w:t xml:space="preserve">. Het idee daarachter is dat de focus niet alleen zou moeten liggen op dat wat al groen is, maar ook </w:t>
      </w:r>
      <w:r>
        <w:t xml:space="preserve">op </w:t>
      </w:r>
      <w:r w:rsidRPr="00E14781">
        <w:t>dat wat vergroen</w:t>
      </w:r>
      <w:r w:rsidR="00013D1D">
        <w:t>d</w:t>
      </w:r>
      <w:r w:rsidRPr="00E14781">
        <w:t xml:space="preserve"> </w:t>
      </w:r>
      <w:r>
        <w:t>moet worden</w:t>
      </w:r>
      <w:r w:rsidRPr="00E14781">
        <w:t xml:space="preserve">. </w:t>
      </w:r>
      <w:r w:rsidR="002668E8">
        <w:t xml:space="preserve">Enkele partijen geven </w:t>
      </w:r>
      <w:r w:rsidR="002668E8">
        <w:lastRenderedPageBreak/>
        <w:t xml:space="preserve">aan dat het </w:t>
      </w:r>
      <w:r w:rsidRPr="00E14781">
        <w:t xml:space="preserve">huidige duurzame financieringsraamwerk hier al </w:t>
      </w:r>
      <w:r w:rsidR="002668E8">
        <w:t xml:space="preserve">enige </w:t>
      </w:r>
      <w:r w:rsidRPr="00E14781">
        <w:t>ruimte voor</w:t>
      </w:r>
      <w:r w:rsidR="002668E8">
        <w:t xml:space="preserve"> biedt</w:t>
      </w:r>
      <w:r w:rsidRPr="00E14781">
        <w:t xml:space="preserve">. Zo staat het financiële instellingen grotendeels vrij binnen de </w:t>
      </w:r>
      <w:r>
        <w:t>SFDR</w:t>
      </w:r>
      <w:r w:rsidRPr="00E14781">
        <w:t xml:space="preserve"> om hun eigen invulling aan “duurzame investeringen” te geven, en kunnen zij dus ook transitie-investeringen daarin meenemen. </w:t>
      </w:r>
      <w:r w:rsidR="002668E8">
        <w:t>P</w:t>
      </w:r>
      <w:r w:rsidRPr="00E14781">
        <w:t xml:space="preserve">artijen </w:t>
      </w:r>
      <w:r w:rsidR="002668E8">
        <w:t xml:space="preserve">geven aan echter </w:t>
      </w:r>
      <w:r w:rsidRPr="00E14781">
        <w:t xml:space="preserve">in de praktijk huiverig te zijn om transitiefinanciering als duurzaam in de markt te zetten uit angst te worden beschuldigd van greenwashing. </w:t>
      </w:r>
    </w:p>
    <w:p w:rsidR="007F7160" w:rsidP="007F7160" w:rsidRDefault="007F7160" w14:paraId="448DB46B" w14:textId="77777777"/>
    <w:p w:rsidRPr="00882119" w:rsidR="004A46CE" w:rsidP="007F7160" w:rsidRDefault="004A46CE" w14:paraId="0DE4A1F6" w14:textId="77777777"/>
    <w:p w:rsidRPr="00882119" w:rsidR="007F7160" w:rsidP="007F7160" w:rsidRDefault="007F7160" w14:paraId="0B4F528D" w14:textId="77777777">
      <w:pPr>
        <w:rPr>
          <w:i/>
          <w:iCs/>
        </w:rPr>
      </w:pPr>
      <w:r w:rsidRPr="00882119">
        <w:rPr>
          <w:i/>
          <w:iCs/>
        </w:rPr>
        <w:t>Bredere duurzaamheidsoverwegingen</w:t>
      </w:r>
    </w:p>
    <w:p w:rsidRPr="005914A0" w:rsidR="007F7160" w:rsidP="007F7160" w:rsidRDefault="007F7160" w14:paraId="7D1EB15A" w14:textId="77777777">
      <w:pPr>
        <w:rPr>
          <w:b/>
          <w:bCs/>
        </w:rPr>
      </w:pPr>
      <w:r>
        <w:rPr>
          <w:b/>
          <w:bCs/>
        </w:rPr>
        <w:t xml:space="preserve">Meerdere </w:t>
      </w:r>
      <w:r w:rsidRPr="005914A0">
        <w:rPr>
          <w:b/>
          <w:bCs/>
        </w:rPr>
        <w:t>partijen roep</w:t>
      </w:r>
      <w:r>
        <w:rPr>
          <w:b/>
          <w:bCs/>
        </w:rPr>
        <w:t>en</w:t>
      </w:r>
      <w:r w:rsidRPr="005914A0">
        <w:rPr>
          <w:b/>
          <w:bCs/>
        </w:rPr>
        <w:t xml:space="preserve"> op om bij eventuele maatregelen als een inspanningsverplichting of een klimaat</w:t>
      </w:r>
      <w:r>
        <w:rPr>
          <w:b/>
          <w:bCs/>
        </w:rPr>
        <w:t>transitie</w:t>
      </w:r>
      <w:r w:rsidRPr="005914A0">
        <w:rPr>
          <w:b/>
          <w:bCs/>
        </w:rPr>
        <w:t xml:space="preserve">planverplichting ook gelijk eisen </w:t>
      </w:r>
      <w:r>
        <w:rPr>
          <w:b/>
          <w:bCs/>
        </w:rPr>
        <w:t>te stellen over behoud van</w:t>
      </w:r>
      <w:r w:rsidRPr="005914A0">
        <w:rPr>
          <w:b/>
          <w:bCs/>
        </w:rPr>
        <w:t xml:space="preserve"> biodiversiteit en circulariteit.</w:t>
      </w:r>
      <w:r w:rsidRPr="00E14781">
        <w:t xml:space="preserve"> </w:t>
      </w:r>
      <w:r w:rsidRPr="00241DD1">
        <w:t xml:space="preserve">Partijen wijzen erop dat deze </w:t>
      </w:r>
      <w:r>
        <w:t>uitdagingen</w:t>
      </w:r>
      <w:r w:rsidRPr="00241DD1">
        <w:t xml:space="preserve"> onlosmakelijk verbonden zijn met de klimaat- en energietransitie. Ook </w:t>
      </w:r>
      <w:r>
        <w:t>onderstrepen</w:t>
      </w:r>
      <w:r w:rsidRPr="00241DD1">
        <w:t xml:space="preserve"> enkele partijen het belang om kansen op synergie te benutten door middel van </w:t>
      </w:r>
      <w:r w:rsidRPr="00241DD1">
        <w:rPr>
          <w:i/>
          <w:iCs/>
        </w:rPr>
        <w:t xml:space="preserve">nature-based </w:t>
      </w:r>
      <w:r>
        <w:rPr>
          <w:i/>
          <w:iCs/>
        </w:rPr>
        <w:t xml:space="preserve">climate </w:t>
      </w:r>
      <w:r w:rsidRPr="00241DD1">
        <w:rPr>
          <w:i/>
          <w:iCs/>
        </w:rPr>
        <w:t>solutions</w:t>
      </w:r>
      <w:r w:rsidRPr="00241DD1">
        <w:t>, en om ervoor te zorgen dat klimaatmaatregelen geen schade toebrengen aan biodiversiteit en milieu. Wel wijzen partijen erop dat data rondom biodiversiteit in vergelijking met klimaat minder ontwikkeld zijn, maar dat er tegelijkertijd wettelijke maatregelen zijn zoals de CSRD die de datakwaliteit de komende jaren moet</w:t>
      </w:r>
      <w:r>
        <w:t xml:space="preserve"> </w:t>
      </w:r>
      <w:r w:rsidRPr="00241DD1">
        <w:t xml:space="preserve">verbeteren of vrijwillige initiatieven zoals de </w:t>
      </w:r>
      <w:r w:rsidRPr="00241DD1">
        <w:rPr>
          <w:i/>
          <w:iCs/>
        </w:rPr>
        <w:t>Taskforce on Nature-related Financial Disclosures</w:t>
      </w:r>
      <w:r w:rsidRPr="00241DD1">
        <w:t xml:space="preserve"> en het </w:t>
      </w:r>
      <w:r w:rsidRPr="00241DD1">
        <w:rPr>
          <w:i/>
          <w:iCs/>
        </w:rPr>
        <w:t>Partnership Biodiversity Accounting Financials</w:t>
      </w:r>
      <w:r w:rsidRPr="00241DD1">
        <w:t xml:space="preserve"> die frameworks en methoden hebben ontwikkeld waar </w:t>
      </w:r>
      <w:r>
        <w:t>partijen</w:t>
      </w:r>
      <w:r w:rsidRPr="00241DD1">
        <w:t xml:space="preserve"> nu al mee aan de slag </w:t>
      </w:r>
      <w:r>
        <w:t>kunnen</w:t>
      </w:r>
      <w:r w:rsidRPr="00241DD1">
        <w:t>. Ook hier wijzen sommige partijen erop dat dit soort maatregelen dan beter op Europees niveau genomen kunnen worden, en dat meer stimulerend, beprijzend en normerend beleid vanuit de overheid gericht op de reële economie nodig is.</w:t>
      </w:r>
      <w:r>
        <w:t xml:space="preserve"> Verder brengen andere partijen, mede onder verwijzing naar genoemde uitdagingen en aandachtspunten, naar voren dat het van belang is om nu de focus te leggen op het tegengaan van klimaatverandering te focussen en pas in een latere fase biodiversiteit en circulaire economie te betrekken.</w:t>
      </w:r>
    </w:p>
    <w:p w:rsidR="007F7160" w:rsidP="007F7160" w:rsidRDefault="007F7160" w14:paraId="1D86CA80" w14:textId="77777777"/>
    <w:p w:rsidRPr="00606053" w:rsidR="00BD7EB4" w:rsidP="00F81DEB" w:rsidRDefault="00BD7EB4" w14:paraId="5096C109" w14:textId="2980CE60">
      <w:pPr>
        <w:spacing w:line="240" w:lineRule="auto"/>
      </w:pPr>
      <w:r>
        <w:t xml:space="preserve"> </w:t>
      </w:r>
    </w:p>
    <w:p w:rsidR="00525F07" w:rsidRDefault="00525F07" w14:paraId="6C768CBE" w14:textId="77777777"/>
    <w:sectPr w:rsidR="00525F07" w:rsidSect="007F71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0A7E" w14:textId="77777777" w:rsidR="00210991" w:rsidRDefault="00210991" w:rsidP="007F7160">
      <w:pPr>
        <w:spacing w:line="240" w:lineRule="auto"/>
      </w:pPr>
      <w:r>
        <w:separator/>
      </w:r>
    </w:p>
  </w:endnote>
  <w:endnote w:type="continuationSeparator" w:id="0">
    <w:p w14:paraId="6039B927" w14:textId="77777777" w:rsidR="00210991" w:rsidRDefault="00210991" w:rsidP="007F7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5DD" w14:textId="77777777" w:rsidR="0060268D" w:rsidRDefault="00602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20833"/>
      <w:docPartObj>
        <w:docPartGallery w:val="Page Numbers (Bottom of Page)"/>
        <w:docPartUnique/>
      </w:docPartObj>
    </w:sdtPr>
    <w:sdtEndPr/>
    <w:sdtContent>
      <w:sdt>
        <w:sdtPr>
          <w:id w:val="-1769616900"/>
          <w:docPartObj>
            <w:docPartGallery w:val="Page Numbers (Top of Page)"/>
            <w:docPartUnique/>
          </w:docPartObj>
        </w:sdtPr>
        <w:sdtEndPr/>
        <w:sdtContent>
          <w:p w14:paraId="7E0531C6" w14:textId="783F4FB0" w:rsidR="0094619F" w:rsidRDefault="0094619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76A5BA4" w14:textId="77777777" w:rsidR="007F7160" w:rsidRDefault="007F71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1F79" w14:textId="77777777" w:rsidR="0060268D" w:rsidRDefault="00602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0227" w14:textId="77777777" w:rsidR="00210991" w:rsidRDefault="00210991" w:rsidP="007F7160">
      <w:pPr>
        <w:spacing w:line="240" w:lineRule="auto"/>
      </w:pPr>
      <w:r>
        <w:separator/>
      </w:r>
    </w:p>
  </w:footnote>
  <w:footnote w:type="continuationSeparator" w:id="0">
    <w:p w14:paraId="2C0DAE5F" w14:textId="77777777" w:rsidR="00210991" w:rsidRDefault="00210991" w:rsidP="007F7160">
      <w:pPr>
        <w:spacing w:line="240" w:lineRule="auto"/>
      </w:pPr>
      <w:r>
        <w:continuationSeparator/>
      </w:r>
    </w:p>
  </w:footnote>
  <w:footnote w:id="1">
    <w:p w14:paraId="3DC35008" w14:textId="77777777" w:rsidR="007F7160" w:rsidRPr="00982306" w:rsidRDefault="007F7160" w:rsidP="007F7160">
      <w:pPr>
        <w:pStyle w:val="Voetnoottekst"/>
        <w:rPr>
          <w:sz w:val="16"/>
          <w:szCs w:val="16"/>
        </w:rPr>
      </w:pPr>
      <w:r w:rsidRPr="00982306">
        <w:rPr>
          <w:rStyle w:val="Voetnootmarkering"/>
          <w:sz w:val="16"/>
          <w:szCs w:val="16"/>
        </w:rPr>
        <w:footnoteRef/>
      </w:r>
      <w:r w:rsidRPr="00982306">
        <w:rPr>
          <w:sz w:val="16"/>
          <w:szCs w:val="16"/>
        </w:rPr>
        <w:t xml:space="preserve"> Kamerstukken II, 2022/2023, 32 013, nr. 281. </w:t>
      </w:r>
    </w:p>
  </w:footnote>
  <w:footnote w:id="2">
    <w:p w14:paraId="08E21B8D" w14:textId="77777777" w:rsidR="007F7160" w:rsidRDefault="007F7160" w:rsidP="007F7160">
      <w:pPr>
        <w:pStyle w:val="Voetnoottekst"/>
      </w:pPr>
      <w:r w:rsidRPr="00982306">
        <w:rPr>
          <w:rStyle w:val="Voetnootmarkering"/>
          <w:sz w:val="16"/>
          <w:szCs w:val="16"/>
        </w:rPr>
        <w:footnoteRef/>
      </w:r>
      <w:r w:rsidRPr="00982306">
        <w:rPr>
          <w:sz w:val="16"/>
          <w:szCs w:val="16"/>
        </w:rPr>
        <w:t xml:space="preserve"> De periode van consultatie betrof 21 december 2023 tot en met 15 februari 2024. De ronde tafels vonden 23 en 30 april 2024 plaats.</w:t>
      </w:r>
    </w:p>
  </w:footnote>
  <w:footnote w:id="3">
    <w:p w14:paraId="19B50017" w14:textId="77777777" w:rsidR="007F7160" w:rsidRDefault="007F7160" w:rsidP="007F7160">
      <w:pPr>
        <w:pStyle w:val="Voetnoottekst"/>
      </w:pPr>
      <w:r w:rsidRPr="0014131F">
        <w:rPr>
          <w:rStyle w:val="Voetnootmarkering"/>
          <w:sz w:val="16"/>
          <w:szCs w:val="16"/>
        </w:rPr>
        <w:footnoteRef/>
      </w:r>
      <w:r w:rsidRPr="0014131F">
        <w:rPr>
          <w:sz w:val="16"/>
          <w:szCs w:val="16"/>
        </w:rPr>
        <w:t xml:space="preserve"> Bijlage 1 geeft een overzicht van wat al verwacht wordt van financiële instellingen op het gebied van klimaat en duurzaamheidsgebied</w:t>
      </w:r>
    </w:p>
  </w:footnote>
  <w:footnote w:id="4">
    <w:p w14:paraId="4FD129BA" w14:textId="77777777" w:rsidR="007F7160" w:rsidRPr="00122C85" w:rsidRDefault="007F7160" w:rsidP="007F7160">
      <w:pPr>
        <w:pStyle w:val="Voetnoottekst"/>
      </w:pPr>
      <w:r w:rsidRPr="00122C85">
        <w:rPr>
          <w:rStyle w:val="Voetnootmarkering"/>
          <w:sz w:val="16"/>
          <w:szCs w:val="16"/>
        </w:rPr>
        <w:footnoteRef/>
      </w:r>
      <w:r>
        <w:rPr>
          <w:rStyle w:val="Voetnootmarkering"/>
          <w:sz w:val="16"/>
          <w:szCs w:val="16"/>
        </w:rPr>
        <w:t xml:space="preserve"> </w:t>
      </w:r>
      <w:r w:rsidRPr="00EF1617">
        <w:rPr>
          <w:rStyle w:val="Voetnootmarkering"/>
          <w:sz w:val="16"/>
          <w:szCs w:val="16"/>
          <w:vertAlign w:val="baseline"/>
        </w:rPr>
        <w:t>R</w:t>
      </w:r>
      <w:r>
        <w:rPr>
          <w:sz w:val="16"/>
          <w:szCs w:val="16"/>
        </w:rPr>
        <w:t>echtbank Den Haag 26 mei 2021, ECLI:RDBHA:2021:5337 (Milieudefensie/Shell).</w:t>
      </w:r>
    </w:p>
  </w:footnote>
  <w:footnote w:id="5">
    <w:p w14:paraId="263AA754" w14:textId="77777777" w:rsidR="007F7160" w:rsidRDefault="007F7160" w:rsidP="007F7160">
      <w:pPr>
        <w:pStyle w:val="Voetnoottekst"/>
      </w:pPr>
      <w:r w:rsidRPr="0007182C">
        <w:rPr>
          <w:rStyle w:val="Voetnootmarkering"/>
          <w:sz w:val="16"/>
          <w:szCs w:val="16"/>
        </w:rPr>
        <w:footnoteRef/>
      </w:r>
      <w:r w:rsidRPr="0007182C">
        <w:rPr>
          <w:sz w:val="16"/>
          <w:szCs w:val="16"/>
        </w:rPr>
        <w:t xml:space="preserve"> Tegen deze uitspraak loopt momenteel een hoger beroep. Grofweg zijn scope 1 emissies</w:t>
      </w:r>
      <w:r>
        <w:rPr>
          <w:sz w:val="16"/>
          <w:szCs w:val="16"/>
        </w:rPr>
        <w:t>,</w:t>
      </w:r>
      <w:r w:rsidRPr="0007182C">
        <w:rPr>
          <w:sz w:val="16"/>
          <w:szCs w:val="16"/>
        </w:rPr>
        <w:t xml:space="preserve"> emissies die een organisatie zelf direct uitstoot door het verbranden van fossiele brandstoffen (denk hoogovens of kolencentrales)</w:t>
      </w:r>
      <w:r>
        <w:rPr>
          <w:sz w:val="16"/>
          <w:szCs w:val="16"/>
        </w:rPr>
        <w:t>. S</w:t>
      </w:r>
      <w:r w:rsidRPr="0007182C">
        <w:rPr>
          <w:sz w:val="16"/>
          <w:szCs w:val="16"/>
        </w:rPr>
        <w:t>cope 2 emissies zijn emissies als gevolg van het inkopen van stroom, warmte, etc. Scope 3 emissies zijn emissies in de waardeketen van een bedrijf.</w:t>
      </w:r>
    </w:p>
  </w:footnote>
  <w:footnote w:id="6">
    <w:p w14:paraId="5E5A6DE8" w14:textId="45109F35" w:rsidR="00EF1617" w:rsidRPr="00EF1617" w:rsidRDefault="00EF1617" w:rsidP="00EF1617">
      <w:pPr>
        <w:pStyle w:val="Voetnoottekst"/>
        <w:rPr>
          <w:sz w:val="16"/>
          <w:szCs w:val="16"/>
        </w:rPr>
      </w:pPr>
      <w:r w:rsidRPr="00EF1617">
        <w:rPr>
          <w:rStyle w:val="Voetnootmarkering"/>
          <w:sz w:val="16"/>
          <w:szCs w:val="16"/>
        </w:rPr>
        <w:footnoteRef/>
      </w:r>
      <w:r>
        <w:t xml:space="preserve"> </w:t>
      </w:r>
      <w:r w:rsidRPr="00EF1617">
        <w:rPr>
          <w:sz w:val="16"/>
          <w:szCs w:val="16"/>
        </w:rPr>
        <w:t>Een market maker is een beurshandelaar die de handel in bepaalde effecten zoals aandelen of opties onderhoudt.</w:t>
      </w:r>
      <w:r>
        <w:rPr>
          <w:sz w:val="16"/>
          <w:szCs w:val="16"/>
        </w:rPr>
        <w:t xml:space="preserve"> </w:t>
      </w:r>
      <w:r w:rsidRPr="00EF1617">
        <w:rPr>
          <w:sz w:val="16"/>
          <w:szCs w:val="16"/>
        </w:rPr>
        <w:t>Een market maker stelt continu bied- en laatprijzen af in de effecten. Dat betekent dat hij koop- en verkoopopdrachten naar de beurs stuurt waartegen beleggers en concurrerende handelaren kunnen handelen. In principe verdient de market maker alleen aan het verschil tussen de koop- en verkoopprijzen, dit noemt men verdienen aan de bid-ask spread.</w:t>
      </w:r>
    </w:p>
  </w:footnote>
  <w:footnote w:id="7">
    <w:p w14:paraId="6618A3C7" w14:textId="77777777" w:rsidR="007F7160" w:rsidRPr="000C6C81" w:rsidRDefault="007F7160" w:rsidP="007F7160">
      <w:pPr>
        <w:pStyle w:val="Voetnoottekst"/>
        <w:rPr>
          <w:sz w:val="16"/>
          <w:szCs w:val="16"/>
        </w:rPr>
      </w:pPr>
      <w:r w:rsidRPr="000C6C81">
        <w:rPr>
          <w:rStyle w:val="Voetnootmarkering"/>
          <w:sz w:val="16"/>
          <w:szCs w:val="16"/>
        </w:rPr>
        <w:footnoteRef/>
      </w:r>
      <w:r w:rsidRPr="000C6C81">
        <w:rPr>
          <w:sz w:val="16"/>
          <w:szCs w:val="16"/>
        </w:rPr>
        <w:t xml:space="preserve"> De herziene richtlijn aandeelhoudersrechten (SRDII) </w:t>
      </w:r>
      <w:r>
        <w:rPr>
          <w:sz w:val="16"/>
          <w:szCs w:val="16"/>
        </w:rPr>
        <w:t xml:space="preserve">stelt in dit kader dat het betrokkenheidsbeleid van institutionele beleggers en vermogensbeheerders ingaat op de wijze waarop zij toezien op (a) de relevante aangelegenheden van de vennootschappen waarin is belegd, (b) een dialoog voeren met deze vennootschappen, (c) hun stemrechten uitoefenen, (d) met andere aandeelhouders samenwerken en (e) communiceren met relevante belanghebbenden van deze vennootschappen. Relevante aangelegenheden (a) zijn onder meer de </w:t>
      </w:r>
      <w:r w:rsidRPr="000C6C81">
        <w:rPr>
          <w:sz w:val="16"/>
          <w:szCs w:val="16"/>
        </w:rPr>
        <w:t xml:space="preserve">strategie, de </w:t>
      </w:r>
      <w:r>
        <w:rPr>
          <w:sz w:val="16"/>
          <w:szCs w:val="16"/>
        </w:rPr>
        <w:t xml:space="preserve">(financiële en niet financiële) </w:t>
      </w:r>
      <w:r w:rsidRPr="000C6C81">
        <w:rPr>
          <w:sz w:val="16"/>
          <w:szCs w:val="16"/>
        </w:rPr>
        <w:t xml:space="preserve">prestaties en risico’s, de kapitaalstructuur, </w:t>
      </w:r>
      <w:r>
        <w:rPr>
          <w:sz w:val="16"/>
          <w:szCs w:val="16"/>
        </w:rPr>
        <w:t>de</w:t>
      </w:r>
      <w:r w:rsidRPr="000C6C81">
        <w:rPr>
          <w:sz w:val="16"/>
          <w:szCs w:val="16"/>
        </w:rPr>
        <w:t xml:space="preserve"> maatschappelijke </w:t>
      </w:r>
      <w:r>
        <w:rPr>
          <w:sz w:val="16"/>
          <w:szCs w:val="16"/>
        </w:rPr>
        <w:t xml:space="preserve">en ecologische </w:t>
      </w:r>
      <w:r w:rsidRPr="000C6C81">
        <w:rPr>
          <w:sz w:val="16"/>
          <w:szCs w:val="16"/>
        </w:rPr>
        <w:t>effecten en corporate governance</w:t>
      </w:r>
      <w:r>
        <w:rPr>
          <w:sz w:val="16"/>
          <w:szCs w:val="16"/>
        </w:rPr>
        <w:t xml:space="preserve"> van de vennootschappen</w:t>
      </w:r>
      <w:r w:rsidRPr="000C6C81">
        <w:rPr>
          <w:sz w:val="16"/>
          <w:szCs w:val="16"/>
        </w:rPr>
        <w:t>.</w:t>
      </w:r>
    </w:p>
  </w:footnote>
  <w:footnote w:id="8">
    <w:p w14:paraId="5A4FFE54" w14:textId="77777777" w:rsidR="007F7160" w:rsidRPr="00101FBD" w:rsidRDefault="007F7160" w:rsidP="007F7160">
      <w:pPr>
        <w:pStyle w:val="Voetnoottekst"/>
        <w:rPr>
          <w:sz w:val="16"/>
          <w:szCs w:val="16"/>
        </w:rPr>
      </w:pPr>
      <w:r w:rsidRPr="00101FBD">
        <w:rPr>
          <w:rStyle w:val="Voetnootmarkering"/>
          <w:sz w:val="16"/>
          <w:szCs w:val="16"/>
        </w:rPr>
        <w:footnoteRef/>
      </w:r>
      <w:r w:rsidRPr="00101FBD">
        <w:rPr>
          <w:sz w:val="16"/>
          <w:szCs w:val="16"/>
        </w:rPr>
        <w:t xml:space="preserve"> Kort gezegd levensverzekeraars en pensioenfondsen.</w:t>
      </w:r>
    </w:p>
  </w:footnote>
  <w:footnote w:id="9">
    <w:p w14:paraId="49DCD214" w14:textId="77777777" w:rsidR="007F7160" w:rsidRDefault="007F7160" w:rsidP="007F7160">
      <w:pPr>
        <w:pStyle w:val="Voetnoottekst"/>
      </w:pPr>
      <w:r w:rsidRPr="00101FBD">
        <w:rPr>
          <w:rStyle w:val="Voetnootmarkering"/>
          <w:sz w:val="16"/>
          <w:szCs w:val="16"/>
        </w:rPr>
        <w:footnoteRef/>
      </w:r>
      <w:r w:rsidRPr="00101FBD">
        <w:rPr>
          <w:sz w:val="16"/>
          <w:szCs w:val="16"/>
        </w:rPr>
        <w:t xml:space="preserve"> Beleggingsonderneming, beheerder van een icbe, beheerder van een beleggingsinstelling of een beleggingsmaatschappij.</w:t>
      </w:r>
    </w:p>
  </w:footnote>
  <w:footnote w:id="10">
    <w:p w14:paraId="377422E1" w14:textId="77777777" w:rsidR="007F7160" w:rsidRPr="00F77BE1" w:rsidRDefault="007F7160" w:rsidP="007F7160">
      <w:pPr>
        <w:pStyle w:val="Voetnoottekst"/>
        <w:rPr>
          <w:sz w:val="16"/>
          <w:szCs w:val="16"/>
        </w:rPr>
      </w:pPr>
      <w:r w:rsidRPr="00F77BE1">
        <w:rPr>
          <w:rStyle w:val="Voetnootmarkering"/>
          <w:sz w:val="16"/>
          <w:szCs w:val="16"/>
        </w:rPr>
        <w:footnoteRef/>
      </w:r>
      <w:r w:rsidRPr="00F77BE1">
        <w:rPr>
          <w:sz w:val="16"/>
          <w:szCs w:val="16"/>
        </w:rPr>
        <w:t xml:space="preserve"> Richtlijn (EU) 2017/828 van het Europees Parlement en de Raad van 17 mei 2017 tot wijziging van Richtlijn 2007/36/EG wat het bevorderen van de langetermijnbetrokkenheid van aandeelhouders betreft (PbEU2017/ L 132).</w:t>
      </w:r>
    </w:p>
  </w:footnote>
  <w:footnote w:id="11">
    <w:p w14:paraId="7D6AF4DD" w14:textId="77777777" w:rsidR="007F7160" w:rsidRPr="00F77BE1" w:rsidRDefault="007F7160" w:rsidP="007F7160">
      <w:pPr>
        <w:pStyle w:val="Voetnoottekst"/>
        <w:rPr>
          <w:sz w:val="16"/>
          <w:szCs w:val="16"/>
        </w:rPr>
      </w:pPr>
      <w:r w:rsidRPr="00F77BE1">
        <w:rPr>
          <w:rStyle w:val="Voetnootmarkering"/>
          <w:sz w:val="16"/>
          <w:szCs w:val="16"/>
        </w:rPr>
        <w:footnoteRef/>
      </w:r>
      <w:r w:rsidRPr="00F77BE1">
        <w:rPr>
          <w:sz w:val="16"/>
          <w:szCs w:val="16"/>
        </w:rPr>
        <w:t xml:space="preserve"> Vergelijk artikel 5:87c, eerste tot en met vierde lid, Wft. </w:t>
      </w:r>
    </w:p>
  </w:footnote>
  <w:footnote w:id="12">
    <w:p w14:paraId="503B12AB" w14:textId="77777777" w:rsidR="007F7160" w:rsidRPr="00E00C4D" w:rsidRDefault="007F7160" w:rsidP="007F7160">
      <w:pPr>
        <w:pStyle w:val="Voetnoottekst"/>
        <w:rPr>
          <w:sz w:val="16"/>
          <w:szCs w:val="16"/>
        </w:rPr>
      </w:pPr>
      <w:r w:rsidRPr="00E00C4D">
        <w:rPr>
          <w:rStyle w:val="Voetnootmarkering"/>
          <w:sz w:val="16"/>
          <w:szCs w:val="16"/>
        </w:rPr>
        <w:footnoteRef/>
      </w:r>
      <w:r w:rsidRPr="00E00C4D">
        <w:rPr>
          <w:sz w:val="16"/>
          <w:szCs w:val="16"/>
        </w:rPr>
        <w:t xml:space="preserve"> </w:t>
      </w:r>
      <w:r>
        <w:rPr>
          <w:sz w:val="16"/>
          <w:szCs w:val="16"/>
        </w:rPr>
        <w:t xml:space="preserve">De Code is wettelijk verankerd. </w:t>
      </w:r>
      <w:r w:rsidRPr="00E00C4D">
        <w:rPr>
          <w:sz w:val="16"/>
          <w:szCs w:val="16"/>
        </w:rPr>
        <w:t xml:space="preserve">Beursondernemingen zijn verplicht over de naleving hiervan verantwoording af te leggen via het pas toe of leg uit-beginsel. </w:t>
      </w:r>
    </w:p>
  </w:footnote>
  <w:footnote w:id="13">
    <w:p w14:paraId="05480E61" w14:textId="77777777" w:rsidR="007F7160" w:rsidRPr="00E00C4D" w:rsidRDefault="007F7160" w:rsidP="007F7160">
      <w:pPr>
        <w:pStyle w:val="Voetnoottekst"/>
        <w:rPr>
          <w:sz w:val="16"/>
          <w:szCs w:val="16"/>
        </w:rPr>
      </w:pPr>
      <w:r w:rsidRPr="00E00C4D">
        <w:rPr>
          <w:rStyle w:val="Voetnootmarkering"/>
          <w:sz w:val="16"/>
          <w:szCs w:val="16"/>
        </w:rPr>
        <w:footnoteRef/>
      </w:r>
      <w:r w:rsidRPr="00E00C4D">
        <w:rPr>
          <w:sz w:val="16"/>
          <w:szCs w:val="16"/>
        </w:rPr>
        <w:t xml:space="preserve"> Pensioenfondsen, verzekeraars, beleggingsinstellingen en vermogensbeheerders.</w:t>
      </w:r>
    </w:p>
  </w:footnote>
  <w:footnote w:id="14">
    <w:p w14:paraId="385C5410" w14:textId="77777777" w:rsidR="007F7160" w:rsidRPr="00E00C4D" w:rsidRDefault="007F7160" w:rsidP="007F7160">
      <w:pPr>
        <w:pStyle w:val="Voetnoottekst"/>
        <w:rPr>
          <w:sz w:val="16"/>
          <w:szCs w:val="16"/>
        </w:rPr>
      </w:pPr>
      <w:r w:rsidRPr="00E00C4D">
        <w:rPr>
          <w:rStyle w:val="Voetnootmarkering"/>
          <w:sz w:val="16"/>
          <w:szCs w:val="16"/>
        </w:rPr>
        <w:footnoteRef/>
      </w:r>
      <w:r w:rsidRPr="00E00C4D">
        <w:rPr>
          <w:sz w:val="16"/>
          <w:szCs w:val="16"/>
        </w:rPr>
        <w:t xml:space="preserve"> Principe 4.4 van de in december 2022 geactualiseerde Corporate Governance Code.</w:t>
      </w:r>
    </w:p>
  </w:footnote>
  <w:footnote w:id="15">
    <w:p w14:paraId="4911C5D3" w14:textId="77777777" w:rsidR="007F7160" w:rsidRPr="00F20404" w:rsidRDefault="007F7160" w:rsidP="007F7160">
      <w:pPr>
        <w:pStyle w:val="Voetnoottekst"/>
        <w:rPr>
          <w:sz w:val="16"/>
          <w:szCs w:val="16"/>
        </w:rPr>
      </w:pPr>
      <w:r w:rsidRPr="00E00C4D">
        <w:rPr>
          <w:rStyle w:val="Voetnootmarkering"/>
          <w:sz w:val="16"/>
          <w:szCs w:val="16"/>
        </w:rPr>
        <w:footnoteRef/>
      </w:r>
      <w:r w:rsidRPr="00E00C4D">
        <w:rPr>
          <w:sz w:val="16"/>
          <w:szCs w:val="16"/>
        </w:rPr>
        <w:t xml:space="preserve"> Best practice bepalingen 4.3.5 en 4.3.6 van de in december 2022 geactualiseerde Corporate Governance Code.</w:t>
      </w:r>
    </w:p>
  </w:footnote>
  <w:footnote w:id="16">
    <w:p w14:paraId="49DF0B97" w14:textId="77777777" w:rsidR="007F7160" w:rsidRPr="000933D2" w:rsidRDefault="007F7160" w:rsidP="007F7160">
      <w:pPr>
        <w:pStyle w:val="Voetnoottekst"/>
        <w:rPr>
          <w:sz w:val="16"/>
          <w:szCs w:val="16"/>
        </w:rPr>
      </w:pPr>
      <w:r w:rsidRPr="000933D2">
        <w:rPr>
          <w:rStyle w:val="Voetnootmarkering"/>
          <w:sz w:val="16"/>
          <w:szCs w:val="16"/>
        </w:rPr>
        <w:footnoteRef/>
      </w:r>
      <w:r w:rsidRPr="000933D2">
        <w:rPr>
          <w:sz w:val="16"/>
          <w:szCs w:val="16"/>
        </w:rPr>
        <w:t xml:space="preserve"> Zo zou een betrokkenheidsverplichting specifiek voor handelaren voor eigen rekening niet gepast zijn gegeven hun rol in de kapitaalmarkten (met een korte doorlooptijd van de honderden/duizenden transacties). </w:t>
      </w:r>
    </w:p>
  </w:footnote>
  <w:footnote w:id="17">
    <w:p w14:paraId="0CCC74D4" w14:textId="77777777" w:rsidR="007F7160" w:rsidRPr="00A87E18" w:rsidRDefault="007F7160" w:rsidP="007F7160">
      <w:pPr>
        <w:pStyle w:val="Voetnoottekst"/>
        <w:rPr>
          <w:sz w:val="16"/>
          <w:szCs w:val="16"/>
        </w:rPr>
      </w:pPr>
      <w:r w:rsidRPr="00A87E18">
        <w:rPr>
          <w:rStyle w:val="Voetnootmarkering"/>
          <w:sz w:val="16"/>
          <w:szCs w:val="16"/>
        </w:rPr>
        <w:footnoteRef/>
      </w:r>
      <w:r w:rsidRPr="00A87E18">
        <w:rPr>
          <w:sz w:val="16"/>
          <w:szCs w:val="16"/>
        </w:rPr>
        <w:t xml:space="preserve"> Dit gaat van het aan de orde stellen van klimaat en mensen- en werknemersrechten in de betrokkenheidsgesprekken, tot het indienen of mee-tekenen (en eventueel meestemmen) van aandeelhoudersresoluties, het ontslaan/niet herbenoemen van bepaalde bestuurders en commissarissen, het voordragen van nieuwe bestuurders en commissarissen, het eventueel aanspannen van een rechtszaak of het eventueel verkopen van de aandelen, aldus 1 van de consultatiepartijen.</w:t>
      </w:r>
    </w:p>
  </w:footnote>
  <w:footnote w:id="18">
    <w:p w14:paraId="1AAA9BBF" w14:textId="77777777" w:rsidR="007F7160" w:rsidRPr="00BC1A80" w:rsidRDefault="007F7160" w:rsidP="007F7160">
      <w:pPr>
        <w:pStyle w:val="Voetnoottekst"/>
        <w:rPr>
          <w:rFonts w:ascii="MS Gothic" w:eastAsia="MS Gothic" w:hAnsi="MS Gothic" w:cs="MS Gothic"/>
          <w:sz w:val="16"/>
          <w:szCs w:val="16"/>
          <w:lang w:eastAsia="ja-JP"/>
        </w:rPr>
      </w:pPr>
      <w:r w:rsidRPr="00F515FD">
        <w:rPr>
          <w:rStyle w:val="Voetnootmarkering"/>
          <w:sz w:val="16"/>
          <w:szCs w:val="16"/>
        </w:rPr>
        <w:footnoteRef/>
      </w:r>
      <w:r w:rsidRPr="00F515FD">
        <w:rPr>
          <w:sz w:val="16"/>
          <w:szCs w:val="16"/>
        </w:rPr>
        <w:t xml:space="preserve"> In dit kader wordt verwezen naar de verplichting uit artikel 5:87c Wft ter implementatie van de SRD II voor </w:t>
      </w:r>
      <w:r>
        <w:rPr>
          <w:sz w:val="16"/>
          <w:szCs w:val="16"/>
        </w:rPr>
        <w:t xml:space="preserve">bepaalde </w:t>
      </w:r>
      <w:r w:rsidRPr="00F515FD">
        <w:rPr>
          <w:sz w:val="16"/>
          <w:szCs w:val="16"/>
        </w:rPr>
        <w:t>institutionele beleggers en vermogensbeheerders om toe te zien op de vennootschappen waarin is belegd ten aanzien van onder meer de strategie, niet-financiële prestaties, en maatschappelijke en ecologische effecten</w:t>
      </w:r>
      <w:r>
        <w:rPr>
          <w:sz w:val="16"/>
          <w:szCs w:val="16"/>
        </w:rPr>
        <w:t xml:space="preserve"> (via het pas toe of leg uit-beginsel)</w:t>
      </w:r>
      <w:r w:rsidRPr="00F515FD">
        <w:rPr>
          <w:sz w:val="16"/>
          <w:szCs w:val="16"/>
        </w:rPr>
        <w:t xml:space="preserve">. Ook wordt </w:t>
      </w:r>
      <w:r>
        <w:rPr>
          <w:sz w:val="16"/>
          <w:szCs w:val="16"/>
        </w:rPr>
        <w:t>de verplichting genoemd</w:t>
      </w:r>
      <w:r w:rsidRPr="00F515FD">
        <w:rPr>
          <w:sz w:val="16"/>
          <w:szCs w:val="16"/>
        </w:rPr>
        <w:t xml:space="preserve"> voor grote fi</w:t>
      </w:r>
      <w:r>
        <w:rPr>
          <w:sz w:val="16"/>
          <w:szCs w:val="16"/>
        </w:rPr>
        <w:t>na</w:t>
      </w:r>
      <w:r w:rsidRPr="00F515FD">
        <w:rPr>
          <w:sz w:val="16"/>
          <w:szCs w:val="16"/>
        </w:rPr>
        <w:t xml:space="preserve">nciëlemarktdeelnemers op grond van de SFDR om op hun website een verklaring over hun </w:t>
      </w:r>
      <w:r>
        <w:rPr>
          <w:sz w:val="16"/>
          <w:szCs w:val="16"/>
        </w:rPr>
        <w:t>gepaste zorgvuldigheids</w:t>
      </w:r>
      <w:r w:rsidRPr="00F515FD">
        <w:rPr>
          <w:sz w:val="16"/>
          <w:szCs w:val="16"/>
        </w:rPr>
        <w:t xml:space="preserve">beleid </w:t>
      </w:r>
      <w:r w:rsidRPr="00BC1A80">
        <w:rPr>
          <w:sz w:val="16"/>
          <w:szCs w:val="16"/>
        </w:rPr>
        <w:t>ten aanzien van de belangrijkste ongunstige effecten van beleggingsbeslissingen op duurzaamheidsfactoren te publiceren.</w:t>
      </w:r>
    </w:p>
  </w:footnote>
  <w:footnote w:id="19">
    <w:p w14:paraId="083C2CFB" w14:textId="77777777" w:rsidR="004A46CE" w:rsidRDefault="004A46CE" w:rsidP="004A46CE">
      <w:pPr>
        <w:pStyle w:val="Voetnoottekst"/>
      </w:pPr>
      <w:r w:rsidRPr="00BC1A80">
        <w:rPr>
          <w:rStyle w:val="Voetnootmarkering"/>
          <w:sz w:val="16"/>
          <w:szCs w:val="16"/>
        </w:rPr>
        <w:footnoteRef/>
      </w:r>
      <w:r w:rsidRPr="00BC1A80">
        <w:rPr>
          <w:sz w:val="16"/>
          <w:szCs w:val="16"/>
        </w:rPr>
        <w:t xml:space="preserve"> Of deze bevoegdheid tot vaststelling mogelijk gaan krijgen, zoals in Frankrijk. Gewezen werd op een </w:t>
      </w:r>
      <w:r>
        <w:rPr>
          <w:sz w:val="16"/>
          <w:szCs w:val="16"/>
        </w:rPr>
        <w:t xml:space="preserve">destijds </w:t>
      </w:r>
      <w:r w:rsidRPr="00BC1A80">
        <w:rPr>
          <w:sz w:val="16"/>
          <w:szCs w:val="16"/>
        </w:rPr>
        <w:t>hiertoe ingediend amendement</w:t>
      </w:r>
      <w:r>
        <w:rPr>
          <w:sz w:val="16"/>
          <w:szCs w:val="16"/>
        </w:rPr>
        <w:t xml:space="preserve"> dat echter is vervallen.</w:t>
      </w:r>
    </w:p>
  </w:footnote>
  <w:footnote w:id="20">
    <w:p w14:paraId="24944EE6" w14:textId="77777777" w:rsidR="007F7160" w:rsidRPr="00F515FD" w:rsidRDefault="007F7160" w:rsidP="007F7160">
      <w:pPr>
        <w:pStyle w:val="Voetnoottekst"/>
        <w:rPr>
          <w:sz w:val="16"/>
          <w:szCs w:val="16"/>
        </w:rPr>
      </w:pPr>
      <w:r w:rsidRPr="00F515FD">
        <w:rPr>
          <w:rStyle w:val="Voetnootmarkering"/>
          <w:sz w:val="16"/>
          <w:szCs w:val="16"/>
        </w:rPr>
        <w:footnoteRef/>
      </w:r>
      <w:r w:rsidRPr="00F515FD">
        <w:rPr>
          <w:sz w:val="16"/>
          <w:szCs w:val="16"/>
        </w:rPr>
        <w:t xml:space="preserve"> Zie Kamerstukken II 2008/</w:t>
      </w:r>
      <w:r>
        <w:rPr>
          <w:sz w:val="16"/>
          <w:szCs w:val="16"/>
        </w:rPr>
        <w:t>20</w:t>
      </w:r>
      <w:r w:rsidRPr="00F515FD">
        <w:rPr>
          <w:sz w:val="16"/>
          <w:szCs w:val="16"/>
        </w:rPr>
        <w:t xml:space="preserve">09, 31 746, </w:t>
      </w:r>
      <w:r>
        <w:rPr>
          <w:sz w:val="16"/>
          <w:szCs w:val="16"/>
        </w:rPr>
        <w:t xml:space="preserve">nr. </w:t>
      </w:r>
      <w:r w:rsidRPr="00F515FD">
        <w:rPr>
          <w:sz w:val="16"/>
          <w:szCs w:val="16"/>
        </w:rPr>
        <w:t>7, p. 12.</w:t>
      </w:r>
    </w:p>
  </w:footnote>
  <w:footnote w:id="21">
    <w:p w14:paraId="68A39808" w14:textId="77777777" w:rsidR="007F7160" w:rsidRPr="00096656" w:rsidRDefault="007F7160" w:rsidP="007F7160">
      <w:pPr>
        <w:pStyle w:val="Voetnoottekst"/>
        <w:rPr>
          <w:sz w:val="16"/>
          <w:szCs w:val="16"/>
        </w:rPr>
      </w:pPr>
      <w:r w:rsidRPr="00DF3573">
        <w:rPr>
          <w:rStyle w:val="Voetnootmarkering"/>
          <w:sz w:val="16"/>
          <w:szCs w:val="16"/>
        </w:rPr>
        <w:footnoteRef/>
      </w:r>
      <w:r w:rsidRPr="00DF3573">
        <w:rPr>
          <w:sz w:val="16"/>
          <w:szCs w:val="16"/>
        </w:rPr>
        <w:t xml:space="preserve"> Zie J.M. de Jongh, ‘Say on climate; Over negatieve externe effecten en verdeling van bevoegdheden’, Ondernemingsrecht 2021/110, M. van Olffen &amp; E.J. Breukink, ‘Say on what’s next?’, Ondernemingsrecht 2022/17, R. Abma, ‘De duurzaamheid van de algemene vergadering’, in: Bulten e.a., Duurzaam ondernemingsrecht (VDHI nr. 184) 2023/2.3.3, D.J.F.F.M. Duynstee, T. Drenth &amp; A.C.W. Pijls, ‘Aandeelhoudersactivisme en esg: van sprinkhaan naar groene ridder?’, in: Strijbos, Schuijling, Bierens &amp; Cent (red.), Duurzaam bankieren (O&amp;R nr. 143) 2023/16.4.4, M. Elias &amp; G. Poolman, ‘Verslag symposium </w:t>
      </w:r>
      <w:r w:rsidRPr="00096656">
        <w:rPr>
          <w:sz w:val="16"/>
          <w:szCs w:val="16"/>
        </w:rPr>
        <w:t>‘ESG &amp; aandeelhoudersactivisme’’, Ondernemingsrecht 2023/60.</w:t>
      </w:r>
    </w:p>
  </w:footnote>
  <w:footnote w:id="22">
    <w:p w14:paraId="670C59DF" w14:textId="77777777" w:rsidR="007F7160" w:rsidRDefault="007F7160" w:rsidP="007F7160">
      <w:pPr>
        <w:pStyle w:val="Voetnoottekst"/>
      </w:pPr>
      <w:r w:rsidRPr="00096656">
        <w:rPr>
          <w:rStyle w:val="Voetnootmarkering"/>
          <w:sz w:val="16"/>
          <w:szCs w:val="16"/>
        </w:rPr>
        <w:footnoteRef/>
      </w:r>
      <w:r w:rsidRPr="00096656">
        <w:rPr>
          <w:sz w:val="16"/>
          <w:szCs w:val="16"/>
        </w:rPr>
        <w:t xml:space="preserve"> Zo is het volgens partijen niet zeker dat Frankrijk met dergelijke wetgeving komt.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67B3" w14:textId="77777777" w:rsidR="0060268D" w:rsidRDefault="00602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0CAE" w14:textId="77777777" w:rsidR="0060268D" w:rsidRDefault="00602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4453" w14:textId="1E9303AF" w:rsidR="007F7160" w:rsidRDefault="007F7160" w:rsidP="007F7160">
    <w:pPr>
      <w:pStyle w:val="Koptekst"/>
      <w:jc w:val="center"/>
    </w:pPr>
    <w:r>
      <w:rPr>
        <w:noProof/>
      </w:rPr>
      <w:drawing>
        <wp:anchor distT="0" distB="0" distL="114300" distR="114300" simplePos="0" relativeHeight="251658240" behindDoc="1" locked="0" layoutInCell="1" allowOverlap="1" wp14:anchorId="281380F2" wp14:editId="7C2F3134">
          <wp:simplePos x="0" y="0"/>
          <wp:positionH relativeFrom="column">
            <wp:posOffset>3111500</wp:posOffset>
          </wp:positionH>
          <wp:positionV relativeFrom="paragraph">
            <wp:posOffset>1270</wp:posOffset>
          </wp:positionV>
          <wp:extent cx="2339975" cy="1582420"/>
          <wp:effectExtent l="0" t="0" r="3175" b="0"/>
          <wp:wrapNone/>
          <wp:docPr id="1329277850" name="Afbeelding 1329277850"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Pr>
        <w:noProof/>
      </w:rPr>
      <w:drawing>
        <wp:inline distT="0" distB="0" distL="0" distR="0" wp14:anchorId="22520A08" wp14:editId="73696737">
          <wp:extent cx="467995" cy="1583865"/>
          <wp:effectExtent l="0" t="0" r="0" b="0"/>
          <wp:docPr id="1329277851" name="Afbeelding 1329277851"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C72833"/>
    <w:multiLevelType w:val="multilevel"/>
    <w:tmpl w:val="773273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D1AC2"/>
    <w:multiLevelType w:val="hybridMultilevel"/>
    <w:tmpl w:val="85A44B6E"/>
    <w:lvl w:ilvl="0" w:tplc="C0A4EA2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F31823"/>
    <w:multiLevelType w:val="hybridMultilevel"/>
    <w:tmpl w:val="E6E43768"/>
    <w:lvl w:ilvl="0" w:tplc="50F64AD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19A1AE9"/>
    <w:multiLevelType w:val="hybridMultilevel"/>
    <w:tmpl w:val="1958C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2D4731"/>
    <w:multiLevelType w:val="hybridMultilevel"/>
    <w:tmpl w:val="942ABA2A"/>
    <w:lvl w:ilvl="0" w:tplc="7A62762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E94146"/>
    <w:multiLevelType w:val="hybridMultilevel"/>
    <w:tmpl w:val="C102DAE6"/>
    <w:lvl w:ilvl="0" w:tplc="93442F6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1517F6"/>
    <w:multiLevelType w:val="hybridMultilevel"/>
    <w:tmpl w:val="BA7813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465330A7"/>
    <w:multiLevelType w:val="hybridMultilevel"/>
    <w:tmpl w:val="6B16A7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1183B6"/>
    <w:multiLevelType w:val="multilevel"/>
    <w:tmpl w:val="A8D2DA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18B1D81"/>
    <w:multiLevelType w:val="multilevel"/>
    <w:tmpl w:val="2B6F3E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54353B70"/>
    <w:multiLevelType w:val="hybridMultilevel"/>
    <w:tmpl w:val="B9884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7C0853"/>
    <w:multiLevelType w:val="multilevel"/>
    <w:tmpl w:val="312835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CD9C940"/>
    <w:multiLevelType w:val="multilevel"/>
    <w:tmpl w:val="6FF3FE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5CEB77B7"/>
    <w:multiLevelType w:val="hybridMultilevel"/>
    <w:tmpl w:val="CDA82C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36724F1"/>
    <w:multiLevelType w:val="hybridMultilevel"/>
    <w:tmpl w:val="96F60362"/>
    <w:lvl w:ilvl="0" w:tplc="0413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E42DE9"/>
    <w:multiLevelType w:val="multilevel"/>
    <w:tmpl w:val="E485C9A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6F9A2376"/>
    <w:multiLevelType w:val="hybridMultilevel"/>
    <w:tmpl w:val="5118608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313990"/>
    <w:multiLevelType w:val="hybridMultilevel"/>
    <w:tmpl w:val="5644D20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3733E9"/>
    <w:multiLevelType w:val="hybridMultilevel"/>
    <w:tmpl w:val="65421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8535112">
    <w:abstractNumId w:val="15"/>
  </w:num>
  <w:num w:numId="2" w16cid:durableId="781999501">
    <w:abstractNumId w:val="8"/>
  </w:num>
  <w:num w:numId="3" w16cid:durableId="1068184567">
    <w:abstractNumId w:val="12"/>
  </w:num>
  <w:num w:numId="4" w16cid:durableId="1022129278">
    <w:abstractNumId w:val="0"/>
  </w:num>
  <w:num w:numId="5" w16cid:durableId="1384140516">
    <w:abstractNumId w:val="9"/>
  </w:num>
  <w:num w:numId="6" w16cid:durableId="1005477320">
    <w:abstractNumId w:val="18"/>
  </w:num>
  <w:num w:numId="7" w16cid:durableId="109015421">
    <w:abstractNumId w:val="1"/>
  </w:num>
  <w:num w:numId="8" w16cid:durableId="381372235">
    <w:abstractNumId w:val="5"/>
  </w:num>
  <w:num w:numId="9" w16cid:durableId="1066032617">
    <w:abstractNumId w:val="10"/>
  </w:num>
  <w:num w:numId="10" w16cid:durableId="173150415">
    <w:abstractNumId w:val="14"/>
  </w:num>
  <w:num w:numId="11" w16cid:durableId="23361606">
    <w:abstractNumId w:val="16"/>
  </w:num>
  <w:num w:numId="12" w16cid:durableId="1711147001">
    <w:abstractNumId w:val="2"/>
  </w:num>
  <w:num w:numId="13" w16cid:durableId="265040269">
    <w:abstractNumId w:val="6"/>
  </w:num>
  <w:num w:numId="14" w16cid:durableId="549264909">
    <w:abstractNumId w:val="3"/>
  </w:num>
  <w:num w:numId="15" w16cid:durableId="83695034">
    <w:abstractNumId w:val="17"/>
  </w:num>
  <w:num w:numId="16" w16cid:durableId="612901622">
    <w:abstractNumId w:val="11"/>
  </w:num>
  <w:num w:numId="17" w16cid:durableId="1968313828">
    <w:abstractNumId w:val="4"/>
  </w:num>
  <w:num w:numId="18" w16cid:durableId="2084983251">
    <w:abstractNumId w:val="13"/>
  </w:num>
  <w:num w:numId="19" w16cid:durableId="675957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60"/>
    <w:rsid w:val="00013D1D"/>
    <w:rsid w:val="00044BBD"/>
    <w:rsid w:val="00106E0A"/>
    <w:rsid w:val="00131F5F"/>
    <w:rsid w:val="001561D2"/>
    <w:rsid w:val="00161CC7"/>
    <w:rsid w:val="001C6D76"/>
    <w:rsid w:val="00210991"/>
    <w:rsid w:val="002668E8"/>
    <w:rsid w:val="00283EC7"/>
    <w:rsid w:val="00291290"/>
    <w:rsid w:val="00327092"/>
    <w:rsid w:val="004A46CE"/>
    <w:rsid w:val="004A77E0"/>
    <w:rsid w:val="0050495C"/>
    <w:rsid w:val="00506C2E"/>
    <w:rsid w:val="00525F07"/>
    <w:rsid w:val="0060268D"/>
    <w:rsid w:val="006E378C"/>
    <w:rsid w:val="006E4608"/>
    <w:rsid w:val="00701F5B"/>
    <w:rsid w:val="00772C05"/>
    <w:rsid w:val="00793F0C"/>
    <w:rsid w:val="007A2D20"/>
    <w:rsid w:val="007B599F"/>
    <w:rsid w:val="007C02E0"/>
    <w:rsid w:val="007F7160"/>
    <w:rsid w:val="008D4623"/>
    <w:rsid w:val="0094619F"/>
    <w:rsid w:val="00971B8B"/>
    <w:rsid w:val="00982306"/>
    <w:rsid w:val="009B4206"/>
    <w:rsid w:val="00A11457"/>
    <w:rsid w:val="00A51B92"/>
    <w:rsid w:val="00A87DFA"/>
    <w:rsid w:val="00B1486F"/>
    <w:rsid w:val="00B5573D"/>
    <w:rsid w:val="00B97A13"/>
    <w:rsid w:val="00BB0D48"/>
    <w:rsid w:val="00BD7EB4"/>
    <w:rsid w:val="00BE265A"/>
    <w:rsid w:val="00C24027"/>
    <w:rsid w:val="00C824EE"/>
    <w:rsid w:val="00D0659F"/>
    <w:rsid w:val="00E02641"/>
    <w:rsid w:val="00E14D16"/>
    <w:rsid w:val="00EF1617"/>
    <w:rsid w:val="00F81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4EFE"/>
  <w15:chartTrackingRefBased/>
  <w15:docId w15:val="{DAA00DF7-5FF7-46C0-84B9-74091357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160"/>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1"/>
    <w:qFormat/>
    <w:rsid w:val="007F7160"/>
    <w:pPr>
      <w:tabs>
        <w:tab w:val="left" w:pos="0"/>
      </w:tabs>
      <w:spacing w:before="240"/>
      <w:outlineLvl w:val="0"/>
    </w:pPr>
    <w:rPr>
      <w:b/>
    </w:rPr>
  </w:style>
  <w:style w:type="paragraph" w:styleId="Kop2">
    <w:name w:val="heading 2"/>
    <w:basedOn w:val="Standaard"/>
    <w:next w:val="Standaard"/>
    <w:link w:val="Kop2Char"/>
    <w:uiPriority w:val="2"/>
    <w:qFormat/>
    <w:rsid w:val="007F7160"/>
    <w:pPr>
      <w:tabs>
        <w:tab w:val="left" w:pos="0"/>
      </w:tabs>
      <w:spacing w:before="240" w:line="240" w:lineRule="exact"/>
      <w:outlineLvl w:val="1"/>
    </w:pPr>
    <w:rPr>
      <w:i/>
    </w:rPr>
  </w:style>
  <w:style w:type="paragraph" w:styleId="Kop3">
    <w:name w:val="heading 3"/>
    <w:basedOn w:val="Standaard"/>
    <w:next w:val="Standaard"/>
    <w:link w:val="Kop3Char"/>
    <w:rsid w:val="007F7160"/>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71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160"/>
  </w:style>
  <w:style w:type="paragraph" w:styleId="Voettekst">
    <w:name w:val="footer"/>
    <w:basedOn w:val="Standaard"/>
    <w:link w:val="VoettekstChar"/>
    <w:uiPriority w:val="99"/>
    <w:unhideWhenUsed/>
    <w:rsid w:val="007F71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7160"/>
  </w:style>
  <w:style w:type="character" w:customStyle="1" w:styleId="Kop1Char">
    <w:name w:val="Kop 1 Char"/>
    <w:basedOn w:val="Standaardalinea-lettertype"/>
    <w:link w:val="Kop1"/>
    <w:uiPriority w:val="1"/>
    <w:rsid w:val="007F7160"/>
    <w:rPr>
      <w:rFonts w:ascii="Verdana" w:eastAsia="DejaVu Sans" w:hAnsi="Verdana" w:cs="Lohit Hindi"/>
      <w:b/>
      <w:color w:val="000000"/>
      <w:sz w:val="18"/>
      <w:szCs w:val="18"/>
      <w:lang w:eastAsia="nl-NL"/>
    </w:rPr>
  </w:style>
  <w:style w:type="character" w:customStyle="1" w:styleId="Kop2Char">
    <w:name w:val="Kop 2 Char"/>
    <w:basedOn w:val="Standaardalinea-lettertype"/>
    <w:link w:val="Kop2"/>
    <w:uiPriority w:val="2"/>
    <w:rsid w:val="007F7160"/>
    <w:rPr>
      <w:rFonts w:ascii="Verdana" w:eastAsia="DejaVu Sans" w:hAnsi="Verdana" w:cs="Lohit Hindi"/>
      <w:i/>
      <w:color w:val="000000"/>
      <w:sz w:val="18"/>
      <w:szCs w:val="18"/>
      <w:lang w:eastAsia="nl-NL"/>
    </w:rPr>
  </w:style>
  <w:style w:type="character" w:customStyle="1" w:styleId="Kop3Char">
    <w:name w:val="Kop 3 Char"/>
    <w:basedOn w:val="Standaardalinea-lettertype"/>
    <w:link w:val="Kop3"/>
    <w:rsid w:val="007F7160"/>
    <w:rPr>
      <w:rFonts w:ascii="Verdana" w:eastAsia="DejaVu Sans" w:hAnsi="Verdana" w:cs="Lohit Hindi"/>
      <w:color w:val="000000"/>
      <w:sz w:val="18"/>
      <w:szCs w:val="18"/>
      <w:lang w:eastAsia="nl-NL"/>
    </w:rPr>
  </w:style>
  <w:style w:type="character" w:styleId="Hyperlink">
    <w:name w:val="Hyperlink"/>
    <w:basedOn w:val="Standaardalinea-lettertype"/>
    <w:uiPriority w:val="99"/>
    <w:unhideWhenUsed/>
    <w:rsid w:val="007F7160"/>
    <w:rPr>
      <w:color w:val="0563C1" w:themeColor="hyperlink"/>
      <w:u w:val="single"/>
    </w:rPr>
  </w:style>
  <w:style w:type="paragraph" w:customStyle="1" w:styleId="Artikelstreepje">
    <w:name w:val="Artikel streepje"/>
    <w:basedOn w:val="Standaard"/>
    <w:next w:val="Standaard"/>
    <w:rsid w:val="007F7160"/>
    <w:pPr>
      <w:numPr>
        <w:ilvl w:val="3"/>
        <w:numId w:val="1"/>
      </w:numPr>
      <w:tabs>
        <w:tab w:val="num" w:pos="360"/>
      </w:tabs>
      <w:ind w:left="0" w:firstLine="0"/>
    </w:pPr>
  </w:style>
  <w:style w:type="paragraph" w:customStyle="1" w:styleId="Artikelstreepjeinspringen">
    <w:name w:val="Artikel streepje inspringen"/>
    <w:basedOn w:val="Standaard"/>
    <w:next w:val="Standaard"/>
    <w:rsid w:val="007F7160"/>
    <w:pPr>
      <w:numPr>
        <w:ilvl w:val="4"/>
        <w:numId w:val="1"/>
      </w:numPr>
    </w:pPr>
  </w:style>
  <w:style w:type="paragraph" w:customStyle="1" w:styleId="Artikelnummer">
    <w:name w:val="Artikelnummer"/>
    <w:basedOn w:val="Standaard"/>
    <w:rsid w:val="007F7160"/>
    <w:pPr>
      <w:numPr>
        <w:numId w:val="1"/>
      </w:numPr>
      <w:spacing w:before="360"/>
    </w:pPr>
    <w:rPr>
      <w:b/>
    </w:rPr>
  </w:style>
  <w:style w:type="paragraph" w:customStyle="1" w:styleId="Comparitienummer">
    <w:name w:val="Comparitienummer"/>
    <w:basedOn w:val="Standaard"/>
    <w:next w:val="Standaard"/>
    <w:rsid w:val="007F7160"/>
    <w:pPr>
      <w:numPr>
        <w:numId w:val="2"/>
      </w:numPr>
      <w:tabs>
        <w:tab w:val="num" w:pos="360"/>
      </w:tabs>
      <w:ind w:left="0" w:firstLine="0"/>
    </w:pPr>
  </w:style>
  <w:style w:type="numbering" w:customStyle="1" w:styleId="Genummerdelijst">
    <w:name w:val="Genummerde lijst"/>
    <w:rsid w:val="007F7160"/>
    <w:pPr>
      <w:numPr>
        <w:numId w:val="3"/>
      </w:numPr>
    </w:pPr>
  </w:style>
  <w:style w:type="paragraph" w:styleId="Inhopg1">
    <w:name w:val="toc 1"/>
    <w:basedOn w:val="Standaard"/>
    <w:next w:val="Standaard"/>
    <w:rsid w:val="007F7160"/>
    <w:pPr>
      <w:spacing w:line="240" w:lineRule="exact"/>
    </w:pPr>
  </w:style>
  <w:style w:type="paragraph" w:styleId="Inhopg2">
    <w:name w:val="toc 2"/>
    <w:basedOn w:val="Inhopg1"/>
    <w:next w:val="Standaard"/>
    <w:rsid w:val="007F7160"/>
  </w:style>
  <w:style w:type="paragraph" w:styleId="Inhopg3">
    <w:name w:val="toc 3"/>
    <w:basedOn w:val="Inhopg2"/>
    <w:next w:val="Standaard"/>
    <w:rsid w:val="007F7160"/>
  </w:style>
  <w:style w:type="paragraph" w:styleId="Inhopg4">
    <w:name w:val="toc 4"/>
    <w:basedOn w:val="Inhopg3"/>
    <w:next w:val="Standaard"/>
    <w:rsid w:val="007F7160"/>
  </w:style>
  <w:style w:type="paragraph" w:styleId="Inhopg5">
    <w:name w:val="toc 5"/>
    <w:basedOn w:val="Inhopg4"/>
    <w:next w:val="Standaard"/>
    <w:rsid w:val="007F7160"/>
  </w:style>
  <w:style w:type="paragraph" w:styleId="Inhopg6">
    <w:name w:val="toc 6"/>
    <w:basedOn w:val="Inhopg5"/>
    <w:next w:val="Standaard"/>
    <w:rsid w:val="007F7160"/>
  </w:style>
  <w:style w:type="paragraph" w:styleId="Inhopg7">
    <w:name w:val="toc 7"/>
    <w:basedOn w:val="Inhopg6"/>
    <w:next w:val="Standaard"/>
    <w:rsid w:val="007F7160"/>
  </w:style>
  <w:style w:type="paragraph" w:styleId="Inhopg8">
    <w:name w:val="toc 8"/>
    <w:basedOn w:val="Inhopg7"/>
    <w:next w:val="Standaard"/>
    <w:rsid w:val="007F7160"/>
  </w:style>
  <w:style w:type="paragraph" w:styleId="Inhopg9">
    <w:name w:val="toc 9"/>
    <w:basedOn w:val="Inhopg8"/>
    <w:next w:val="Standaard"/>
    <w:rsid w:val="007F7160"/>
  </w:style>
  <w:style w:type="paragraph" w:customStyle="1" w:styleId="KixBarcode">
    <w:name w:val="Kix Barcode"/>
    <w:basedOn w:val="Standaard"/>
    <w:next w:val="Standaard"/>
    <w:rsid w:val="007F7160"/>
    <w:pPr>
      <w:spacing w:before="120" w:line="240" w:lineRule="exact"/>
    </w:pPr>
    <w:rPr>
      <w:rFonts w:ascii="KIX Barcode" w:hAnsi="KIX Barcode"/>
      <w:sz w:val="20"/>
      <w:szCs w:val="20"/>
    </w:rPr>
  </w:style>
  <w:style w:type="paragraph" w:customStyle="1" w:styleId="Lidnummer">
    <w:name w:val="Lidnummer"/>
    <w:basedOn w:val="Standaard"/>
    <w:rsid w:val="007F7160"/>
    <w:pPr>
      <w:numPr>
        <w:ilvl w:val="1"/>
        <w:numId w:val="1"/>
      </w:numPr>
      <w:tabs>
        <w:tab w:val="left" w:pos="419"/>
      </w:tabs>
    </w:pPr>
  </w:style>
  <w:style w:type="paragraph" w:customStyle="1" w:styleId="Lidnummerabc">
    <w:name w:val="Lidnummer abc"/>
    <w:basedOn w:val="Standaard"/>
    <w:rsid w:val="007F7160"/>
    <w:pPr>
      <w:numPr>
        <w:ilvl w:val="2"/>
        <w:numId w:val="1"/>
      </w:numPr>
      <w:tabs>
        <w:tab w:val="left" w:pos="402"/>
      </w:tabs>
    </w:pPr>
  </w:style>
  <w:style w:type="numbering" w:customStyle="1" w:styleId="Lijstmetopsommingstekens">
    <w:name w:val="Lijst met opsommingstekens"/>
    <w:rsid w:val="007F7160"/>
    <w:pPr>
      <w:numPr>
        <w:numId w:val="5"/>
      </w:numPr>
    </w:pPr>
  </w:style>
  <w:style w:type="paragraph" w:customStyle="1" w:styleId="Lijstniveau1">
    <w:name w:val="Lijst niveau 1"/>
    <w:basedOn w:val="Standaard"/>
    <w:uiPriority w:val="3"/>
    <w:qFormat/>
    <w:rsid w:val="007F7160"/>
    <w:pPr>
      <w:numPr>
        <w:numId w:val="4"/>
      </w:numPr>
      <w:spacing w:line="240" w:lineRule="exact"/>
    </w:pPr>
  </w:style>
  <w:style w:type="paragraph" w:customStyle="1" w:styleId="Lijstniveau2">
    <w:name w:val="Lijst niveau 2"/>
    <w:basedOn w:val="Standaard"/>
    <w:uiPriority w:val="4"/>
    <w:qFormat/>
    <w:rsid w:val="007F7160"/>
    <w:pPr>
      <w:numPr>
        <w:ilvl w:val="1"/>
        <w:numId w:val="4"/>
      </w:numPr>
      <w:spacing w:line="240" w:lineRule="exact"/>
    </w:pPr>
  </w:style>
  <w:style w:type="paragraph" w:customStyle="1" w:styleId="Lijstniveau3">
    <w:name w:val="Lijst niveau 3"/>
    <w:basedOn w:val="Standaard"/>
    <w:uiPriority w:val="5"/>
    <w:qFormat/>
    <w:rsid w:val="007F7160"/>
    <w:pPr>
      <w:numPr>
        <w:ilvl w:val="2"/>
        <w:numId w:val="4"/>
      </w:numPr>
      <w:spacing w:line="240" w:lineRule="exact"/>
    </w:pPr>
  </w:style>
  <w:style w:type="paragraph" w:customStyle="1" w:styleId="Lijstniveau4">
    <w:name w:val="Lijst niveau 4"/>
    <w:basedOn w:val="Lijstniveau3"/>
    <w:uiPriority w:val="6"/>
    <w:qFormat/>
    <w:rsid w:val="007F7160"/>
    <w:pPr>
      <w:numPr>
        <w:ilvl w:val="3"/>
      </w:numPr>
    </w:pPr>
  </w:style>
  <w:style w:type="paragraph" w:styleId="Ondertitel">
    <w:name w:val="Subtitle"/>
    <w:basedOn w:val="Standaard"/>
    <w:next w:val="Standaard"/>
    <w:link w:val="OndertitelChar"/>
    <w:rsid w:val="007F7160"/>
    <w:pPr>
      <w:spacing w:line="320" w:lineRule="atLeast"/>
    </w:pPr>
    <w:rPr>
      <w:sz w:val="24"/>
      <w:szCs w:val="24"/>
    </w:rPr>
  </w:style>
  <w:style w:type="character" w:customStyle="1" w:styleId="OndertitelChar">
    <w:name w:val="Ondertitel Char"/>
    <w:basedOn w:val="Standaardalinea-lettertype"/>
    <w:link w:val="Ondertitel"/>
    <w:rsid w:val="007F7160"/>
    <w:rPr>
      <w:rFonts w:ascii="Verdana" w:eastAsia="DejaVu Sans" w:hAnsi="Verdana" w:cs="Lohit Hindi"/>
      <w:color w:val="000000"/>
      <w:sz w:val="24"/>
      <w:szCs w:val="24"/>
      <w:lang w:eastAsia="nl-NL"/>
    </w:rPr>
  </w:style>
  <w:style w:type="paragraph" w:customStyle="1" w:styleId="Pagina-eindeKop1">
    <w:name w:val="Pagina-einde Kop 1"/>
    <w:basedOn w:val="Standaard"/>
    <w:next w:val="Standaard"/>
    <w:rsid w:val="007F7160"/>
    <w:pPr>
      <w:pageBreakBefore/>
      <w:spacing w:line="240" w:lineRule="exact"/>
      <w:outlineLvl w:val="0"/>
    </w:pPr>
    <w:rPr>
      <w:b/>
    </w:rPr>
  </w:style>
  <w:style w:type="paragraph" w:customStyle="1" w:styleId="Referentiegegevens">
    <w:name w:val="Referentiegegevens"/>
    <w:basedOn w:val="Standaard"/>
    <w:next w:val="Standaard"/>
    <w:rsid w:val="007F7160"/>
    <w:pPr>
      <w:spacing w:line="180" w:lineRule="exact"/>
    </w:pPr>
    <w:rPr>
      <w:sz w:val="13"/>
      <w:szCs w:val="13"/>
    </w:rPr>
  </w:style>
  <w:style w:type="paragraph" w:customStyle="1" w:styleId="Referentiegegevensbold">
    <w:name w:val="Referentiegegevens bold"/>
    <w:basedOn w:val="Standaard"/>
    <w:next w:val="Standaard"/>
    <w:rsid w:val="007F7160"/>
    <w:pPr>
      <w:spacing w:line="180" w:lineRule="exact"/>
    </w:pPr>
    <w:rPr>
      <w:b/>
      <w:sz w:val="13"/>
      <w:szCs w:val="13"/>
    </w:rPr>
  </w:style>
  <w:style w:type="paragraph" w:customStyle="1" w:styleId="Referentiegegevenscursief">
    <w:name w:val="Referentiegegevens cursief"/>
    <w:basedOn w:val="Standaard"/>
    <w:next w:val="Standaard"/>
    <w:rsid w:val="007F7160"/>
    <w:pPr>
      <w:spacing w:line="180" w:lineRule="exact"/>
    </w:pPr>
    <w:rPr>
      <w:i/>
      <w:sz w:val="13"/>
      <w:szCs w:val="13"/>
    </w:rPr>
  </w:style>
  <w:style w:type="paragraph" w:customStyle="1" w:styleId="Referentiegegevensrechtsuitgelijnd">
    <w:name w:val="Referentiegegevens rechts uitgelijnd"/>
    <w:basedOn w:val="Standaard"/>
    <w:next w:val="Standaard"/>
    <w:rsid w:val="007F7160"/>
    <w:pPr>
      <w:spacing w:line="180" w:lineRule="exact"/>
      <w:jc w:val="right"/>
    </w:pPr>
    <w:rPr>
      <w:sz w:val="13"/>
      <w:szCs w:val="13"/>
    </w:rPr>
  </w:style>
  <w:style w:type="paragraph" w:customStyle="1" w:styleId="Rubricering">
    <w:name w:val="Rubricering"/>
    <w:basedOn w:val="Standaard"/>
    <w:next w:val="Standaard"/>
    <w:rsid w:val="007F7160"/>
    <w:pPr>
      <w:spacing w:line="180" w:lineRule="exact"/>
    </w:pPr>
    <w:rPr>
      <w:b/>
      <w:caps/>
      <w:sz w:val="13"/>
      <w:szCs w:val="13"/>
    </w:rPr>
  </w:style>
  <w:style w:type="paragraph" w:customStyle="1" w:styleId="Standaardcursief">
    <w:name w:val="Standaard cursief"/>
    <w:basedOn w:val="Standaard"/>
    <w:next w:val="Standaard"/>
    <w:qFormat/>
    <w:rsid w:val="007F7160"/>
    <w:pPr>
      <w:spacing w:line="240" w:lineRule="exact"/>
    </w:pPr>
    <w:rPr>
      <w:i/>
    </w:rPr>
  </w:style>
  <w:style w:type="paragraph" w:customStyle="1" w:styleId="StandaarddeDE">
    <w:name w:val="Standaard de_DE"/>
    <w:basedOn w:val="Standaard"/>
    <w:next w:val="Standaard"/>
    <w:rsid w:val="007F7160"/>
    <w:rPr>
      <w:lang w:val="de-DE"/>
    </w:rPr>
  </w:style>
  <w:style w:type="paragraph" w:customStyle="1" w:styleId="StandaardenGB">
    <w:name w:val="Standaard en_GB"/>
    <w:basedOn w:val="Standaard"/>
    <w:next w:val="Standaard"/>
    <w:rsid w:val="007F7160"/>
    <w:rPr>
      <w:lang w:val="en-GB"/>
    </w:rPr>
  </w:style>
  <w:style w:type="paragraph" w:customStyle="1" w:styleId="StandaardesES">
    <w:name w:val="Standaard es_ES"/>
    <w:basedOn w:val="Standaard"/>
    <w:next w:val="Standaard"/>
    <w:rsid w:val="007F7160"/>
    <w:rPr>
      <w:lang w:val="es-ES"/>
    </w:rPr>
  </w:style>
  <w:style w:type="paragraph" w:customStyle="1" w:styleId="StandaardfrFR">
    <w:name w:val="Standaard fr_FR"/>
    <w:basedOn w:val="Standaard"/>
    <w:next w:val="Standaard"/>
    <w:rsid w:val="007F7160"/>
    <w:rPr>
      <w:lang w:val="fr-FR"/>
    </w:rPr>
  </w:style>
  <w:style w:type="paragraph" w:customStyle="1" w:styleId="Standaardvet">
    <w:name w:val="Standaard vet"/>
    <w:basedOn w:val="Standaard"/>
    <w:next w:val="Standaard"/>
    <w:qFormat/>
    <w:rsid w:val="007F7160"/>
    <w:pPr>
      <w:spacing w:line="240" w:lineRule="exact"/>
    </w:pPr>
    <w:rPr>
      <w:b/>
    </w:rPr>
  </w:style>
  <w:style w:type="table" w:customStyle="1" w:styleId="TabelRijkshuisstijl">
    <w:name w:val="Tabel Rijkshuisstijl"/>
    <w:rsid w:val="007F7160"/>
    <w:pPr>
      <w:autoSpaceDN w:val="0"/>
      <w:spacing w:after="0" w:line="240" w:lineRule="auto"/>
      <w:textAlignment w:val="baseline"/>
    </w:pPr>
    <w:rPr>
      <w:rFonts w:ascii="Verdana" w:eastAsia="DejaVu Sans" w:hAnsi="Verdana" w:cs="Lohit Hindi"/>
      <w:sz w:val="18"/>
      <w:szCs w:val="18"/>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7F7160"/>
    <w:pPr>
      <w:autoSpaceDN w:val="0"/>
      <w:spacing w:after="0" w:line="240" w:lineRule="auto"/>
      <w:textAlignment w:val="baseline"/>
    </w:pPr>
    <w:rPr>
      <w:rFonts w:ascii="Verdana" w:eastAsia="DejaVu Sans" w:hAnsi="Verdana" w:cs="Lohit Hindi"/>
      <w:color w:val="000000"/>
      <w:sz w:val="24"/>
      <w:szCs w:val="24"/>
      <w:lang w:eastAsia="nl-NL"/>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7F7160"/>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rsid w:val="007F7160"/>
    <w:pPr>
      <w:spacing w:line="320" w:lineRule="atLeast"/>
    </w:pPr>
    <w:rPr>
      <w:b/>
      <w:sz w:val="24"/>
      <w:szCs w:val="24"/>
    </w:rPr>
  </w:style>
  <w:style w:type="character" w:customStyle="1" w:styleId="TitelChar">
    <w:name w:val="Titel Char"/>
    <w:basedOn w:val="Standaardalinea-lettertype"/>
    <w:link w:val="Titel"/>
    <w:rsid w:val="007F7160"/>
    <w:rPr>
      <w:rFonts w:ascii="Verdana" w:eastAsia="DejaVu Sans" w:hAnsi="Verdana" w:cs="Lohit Hindi"/>
      <w:b/>
      <w:color w:val="000000"/>
      <w:sz w:val="24"/>
      <w:szCs w:val="24"/>
      <w:lang w:eastAsia="nl-NL"/>
    </w:rPr>
  </w:style>
  <w:style w:type="paragraph" w:customStyle="1" w:styleId="WitregelW1">
    <w:name w:val="Witregel W1"/>
    <w:basedOn w:val="Standaard"/>
    <w:next w:val="Standaard"/>
    <w:rsid w:val="007F7160"/>
    <w:pPr>
      <w:spacing w:line="90" w:lineRule="exact"/>
    </w:pPr>
    <w:rPr>
      <w:sz w:val="9"/>
      <w:szCs w:val="9"/>
    </w:rPr>
  </w:style>
  <w:style w:type="paragraph" w:customStyle="1" w:styleId="WitregelW1bodytekst">
    <w:name w:val="Witregel W1 (bodytekst)"/>
    <w:basedOn w:val="Standaard"/>
    <w:next w:val="Standaard"/>
    <w:rsid w:val="007F7160"/>
    <w:pPr>
      <w:spacing w:line="240" w:lineRule="exact"/>
    </w:pPr>
  </w:style>
  <w:style w:type="paragraph" w:customStyle="1" w:styleId="WitregelW2">
    <w:name w:val="Witregel W2"/>
    <w:basedOn w:val="Standaard"/>
    <w:next w:val="Standaard"/>
    <w:rsid w:val="007F7160"/>
    <w:pPr>
      <w:spacing w:line="270" w:lineRule="exact"/>
    </w:pPr>
    <w:rPr>
      <w:sz w:val="27"/>
      <w:szCs w:val="27"/>
    </w:rPr>
  </w:style>
  <w:style w:type="paragraph" w:styleId="Lijstalinea">
    <w:name w:val="List Paragraph"/>
    <w:basedOn w:val="Standaard"/>
    <w:uiPriority w:val="34"/>
    <w:qFormat/>
    <w:rsid w:val="007F7160"/>
    <w:pPr>
      <w:ind w:left="720"/>
      <w:contextualSpacing/>
    </w:pPr>
  </w:style>
  <w:style w:type="paragraph" w:styleId="Voetnoottekst">
    <w:name w:val="footnote text"/>
    <w:basedOn w:val="Standaard"/>
    <w:link w:val="VoetnoottekstChar"/>
    <w:uiPriority w:val="99"/>
    <w:unhideWhenUsed/>
    <w:rsid w:val="007F7160"/>
    <w:pPr>
      <w:spacing w:line="240" w:lineRule="auto"/>
    </w:pPr>
    <w:rPr>
      <w:sz w:val="20"/>
      <w:szCs w:val="20"/>
    </w:rPr>
  </w:style>
  <w:style w:type="character" w:customStyle="1" w:styleId="VoetnoottekstChar">
    <w:name w:val="Voetnoottekst Char"/>
    <w:basedOn w:val="Standaardalinea-lettertype"/>
    <w:link w:val="Voetnoottekst"/>
    <w:uiPriority w:val="99"/>
    <w:rsid w:val="007F7160"/>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7F7160"/>
    <w:rPr>
      <w:vertAlign w:val="superscript"/>
    </w:rPr>
  </w:style>
  <w:style w:type="character" w:styleId="Verwijzingopmerking">
    <w:name w:val="annotation reference"/>
    <w:basedOn w:val="Standaardalinea-lettertype"/>
    <w:uiPriority w:val="99"/>
    <w:semiHidden/>
    <w:unhideWhenUsed/>
    <w:rsid w:val="007F7160"/>
    <w:rPr>
      <w:sz w:val="16"/>
      <w:szCs w:val="16"/>
    </w:rPr>
  </w:style>
  <w:style w:type="paragraph" w:styleId="Tekstopmerking">
    <w:name w:val="annotation text"/>
    <w:basedOn w:val="Standaard"/>
    <w:link w:val="TekstopmerkingChar"/>
    <w:uiPriority w:val="99"/>
    <w:unhideWhenUsed/>
    <w:rsid w:val="007F7160"/>
    <w:pPr>
      <w:spacing w:line="240" w:lineRule="auto"/>
    </w:pPr>
    <w:rPr>
      <w:sz w:val="20"/>
      <w:szCs w:val="20"/>
    </w:rPr>
  </w:style>
  <w:style w:type="character" w:customStyle="1" w:styleId="TekstopmerkingChar">
    <w:name w:val="Tekst opmerking Char"/>
    <w:basedOn w:val="Standaardalinea-lettertype"/>
    <w:link w:val="Tekstopmerking"/>
    <w:uiPriority w:val="99"/>
    <w:rsid w:val="007F7160"/>
    <w:rPr>
      <w:rFonts w:ascii="Verdana" w:eastAsia="DejaVu Sans" w:hAnsi="Verdana" w:cs="Lohit Hindi"/>
      <w:color w:val="000000"/>
      <w:sz w:val="20"/>
      <w:szCs w:val="20"/>
      <w:lang w:eastAsia="nl-NL"/>
    </w:rPr>
  </w:style>
  <w:style w:type="paragraph" w:customStyle="1" w:styleId="Default">
    <w:name w:val="Default"/>
    <w:rsid w:val="007F7160"/>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7F7160"/>
    <w:rPr>
      <w:b/>
      <w:bCs/>
    </w:rPr>
  </w:style>
  <w:style w:type="character" w:customStyle="1" w:styleId="OnderwerpvanopmerkingChar">
    <w:name w:val="Onderwerp van opmerking Char"/>
    <w:basedOn w:val="TekstopmerkingChar"/>
    <w:link w:val="Onderwerpvanopmerking"/>
    <w:uiPriority w:val="99"/>
    <w:semiHidden/>
    <w:rsid w:val="007F7160"/>
    <w:rPr>
      <w:rFonts w:ascii="Verdana" w:eastAsia="DejaVu Sans" w:hAnsi="Verdana" w:cs="Lohit Hindi"/>
      <w:b/>
      <w:bCs/>
      <w:color w:val="000000"/>
      <w:sz w:val="20"/>
      <w:szCs w:val="20"/>
      <w:lang w:eastAsia="nl-NL"/>
    </w:rPr>
  </w:style>
  <w:style w:type="paragraph" w:styleId="Revisie">
    <w:name w:val="Revision"/>
    <w:hidden/>
    <w:uiPriority w:val="99"/>
    <w:semiHidden/>
    <w:rsid w:val="007F7160"/>
    <w:pPr>
      <w:spacing w:after="0" w:line="240" w:lineRule="auto"/>
    </w:pPr>
    <w:rPr>
      <w:rFonts w:ascii="Verdana" w:eastAsia="DejaVu Sans" w:hAnsi="Verdana" w:cs="Lohit Hindi"/>
      <w:color w:val="000000"/>
      <w:sz w:val="18"/>
      <w:szCs w:val="18"/>
      <w:lang w:eastAsia="nl-NL"/>
    </w:rPr>
  </w:style>
  <w:style w:type="paragraph" w:customStyle="1" w:styleId="pf0">
    <w:name w:val="pf0"/>
    <w:basedOn w:val="Standaard"/>
    <w:rsid w:val="007F716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F716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7F7160"/>
    <w:rPr>
      <w:color w:val="605E5C"/>
      <w:shd w:val="clear" w:color="auto" w:fill="E1DFDD"/>
    </w:rPr>
  </w:style>
  <w:style w:type="character" w:styleId="GevolgdeHyperlink">
    <w:name w:val="FollowedHyperlink"/>
    <w:basedOn w:val="Standaardalinea-lettertype"/>
    <w:uiPriority w:val="99"/>
    <w:semiHidden/>
    <w:unhideWhenUsed/>
    <w:rsid w:val="007F7160"/>
    <w:rPr>
      <w:color w:val="954F72" w:themeColor="followedHyperlink"/>
      <w:u w:val="single"/>
    </w:rPr>
  </w:style>
  <w:style w:type="character" w:customStyle="1" w:styleId="cf11">
    <w:name w:val="cf11"/>
    <w:basedOn w:val="Standaardalinea-lettertype"/>
    <w:rsid w:val="007F71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5427</ap:Words>
  <ap:Characters>29849</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2025-04-08T10:46:00.0000000Z</lastPrinted>
  <dcterms:created xsi:type="dcterms:W3CDTF">2025-04-08T10:46:00.0000000Z</dcterms:created>
  <dcterms:modified xsi:type="dcterms:W3CDTF">2025-04-08T10:46:00.0000000Z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2024-09-25T08:58:33Z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b53bd8c9-5d86-4dc2-bf9d-1e24aed3323e</vt:lpwstr>
  </property>
  <property fmtid="{D5CDD505-2E9C-101B-9397-08002B2CF9AE}" pid="8" name="MSIP_Label_6800fede-0e59-47ad-af95-4e63bbdb932d_ContentBits">
    <vt:lpwstr>0</vt:lpwstr>
  </property>
</Properties>
</file>