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5B74" w:rsidR="00CD5B74" w:rsidRDefault="00CD5B74" w14:paraId="18189CC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sz w:val="24"/>
          <w:szCs w:val="24"/>
        </w:rPr>
        <w:t>27 428</w:t>
      </w:r>
      <w:r w:rsidRPr="00CD5B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5B74">
        <w:rPr>
          <w:rFonts w:ascii="Times New Roman" w:hAnsi="Times New Roman" w:cs="Times New Roman"/>
          <w:b/>
          <w:bCs/>
          <w:sz w:val="24"/>
          <w:szCs w:val="24"/>
        </w:rPr>
        <w:tab/>
        <w:t>Beleidsnota Biotechnologie</w:t>
      </w:r>
    </w:p>
    <w:p w:rsidRPr="00CD5B74" w:rsidR="00CD5B74" w:rsidRDefault="00CD5B74" w14:paraId="718D1D44" w14:textId="0342FC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CD5B74" w:rsidR="009858BD" w:rsidP="00CD5B74" w:rsidRDefault="00CD5B74" w14:paraId="558DD9AF" w14:textId="62C1739A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sz w:val="24"/>
          <w:szCs w:val="24"/>
        </w:rPr>
        <w:t>Nr.  407</w:t>
      </w:r>
      <w:r w:rsidRPr="00CD5B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5B74">
        <w:rPr>
          <w:rFonts w:ascii="Times New Roman" w:hAnsi="Times New Roman" w:cs="Times New Roman"/>
          <w:b/>
          <w:bCs/>
          <w:sz w:val="24"/>
          <w:szCs w:val="24"/>
        </w:rPr>
        <w:t>VERSLAG VAN DE RAPPORTEUR</w:t>
      </w:r>
      <w:r w:rsidRPr="00CD5B7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D5B74" w:rsidR="009858BD">
        <w:rPr>
          <w:rFonts w:ascii="Times New Roman" w:hAnsi="Times New Roman" w:cs="Times New Roman"/>
          <w:sz w:val="24"/>
          <w:szCs w:val="24"/>
        </w:rPr>
        <w:t>Vastgesteld</w:t>
      </w:r>
      <w:r w:rsidRPr="00CD5B74" w:rsidR="001C2706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AC1A51">
        <w:rPr>
          <w:rFonts w:ascii="Times New Roman" w:hAnsi="Times New Roman" w:cs="Times New Roman"/>
          <w:sz w:val="24"/>
          <w:szCs w:val="24"/>
        </w:rPr>
        <w:t>9 april 2025</w:t>
      </w:r>
    </w:p>
    <w:p w:rsidRPr="00CD5B74" w:rsidR="006E625D" w:rsidRDefault="006E625D" w14:paraId="3233F2C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CD5B74" w:rsidR="00E308CB" w:rsidRDefault="00E308CB" w14:paraId="5B4479C5" w14:textId="78CD0C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sz w:val="24"/>
          <w:szCs w:val="24"/>
        </w:rPr>
        <w:t>Introductie</w:t>
      </w:r>
    </w:p>
    <w:p w:rsidRPr="00CD5B74" w:rsidR="00E308CB" w:rsidRDefault="00E308CB" w14:paraId="5A7BD607" w14:textId="51DE5E8D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De vaste commissie voor Landbouw, Visserij, Voedselzekerheid en Natuur (LVVN) heeft mij aangesteld als rapporteur op het EU-voorstel voor een verordening inzake nieuwe </w:t>
      </w:r>
      <w:proofErr w:type="spellStart"/>
      <w:r w:rsidRPr="00CD5B74">
        <w:rPr>
          <w:rFonts w:ascii="Times New Roman" w:hAnsi="Times New Roman" w:cs="Times New Roman"/>
          <w:sz w:val="24"/>
          <w:szCs w:val="24"/>
        </w:rPr>
        <w:t>genomische</w:t>
      </w:r>
      <w:proofErr w:type="spellEnd"/>
      <w:r w:rsidRPr="00CD5B74">
        <w:rPr>
          <w:rFonts w:ascii="Times New Roman" w:hAnsi="Times New Roman" w:cs="Times New Roman"/>
          <w:sz w:val="24"/>
          <w:szCs w:val="24"/>
        </w:rPr>
        <w:t xml:space="preserve"> technieken (NGT</w:t>
      </w:r>
      <w:r w:rsidRPr="00CD5B74" w:rsidR="00C61F7D">
        <w:rPr>
          <w:rFonts w:ascii="Times New Roman" w:hAnsi="Times New Roman" w:cs="Times New Roman"/>
          <w:sz w:val="24"/>
          <w:szCs w:val="24"/>
        </w:rPr>
        <w:t>-voorstel</w:t>
      </w:r>
      <w:r w:rsidRPr="00CD5B74">
        <w:rPr>
          <w:rFonts w:ascii="Times New Roman" w:hAnsi="Times New Roman" w:cs="Times New Roman"/>
          <w:sz w:val="24"/>
          <w:szCs w:val="24"/>
        </w:rPr>
        <w:t>).</w:t>
      </w:r>
      <w:r w:rsidRPr="00CD5B74" w:rsidR="00E01652"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  <w:r w:rsidRPr="00CD5B7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D5B74" w:rsidR="00881C18" w:rsidRDefault="00637DCB" w14:paraId="585278AE" w14:textId="2CBB4EDC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>De Raad heeft na lang onderhandelen inmiddels een onderhandelingspositie ingenomen.</w:t>
      </w:r>
      <w:r w:rsidRPr="00CD5B74" w:rsidR="00DE381E">
        <w:rPr>
          <w:rStyle w:val="Voetnootmarkering"/>
          <w:rFonts w:ascii="Times New Roman" w:hAnsi="Times New Roman" w:cs="Times New Roman"/>
          <w:sz w:val="24"/>
          <w:szCs w:val="24"/>
        </w:rPr>
        <w:footnoteReference w:id="2"/>
      </w:r>
      <w:r w:rsidRPr="00CD5B74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F208D5">
        <w:rPr>
          <w:rFonts w:ascii="Times New Roman" w:hAnsi="Times New Roman" w:cs="Times New Roman"/>
          <w:sz w:val="24"/>
          <w:szCs w:val="24"/>
        </w:rPr>
        <w:t>Eerder deed het Europees Parlement</w:t>
      </w:r>
      <w:r w:rsidRPr="00CD5B74" w:rsidR="007830C6">
        <w:rPr>
          <w:rFonts w:ascii="Times New Roman" w:hAnsi="Times New Roman" w:cs="Times New Roman"/>
          <w:sz w:val="24"/>
          <w:szCs w:val="24"/>
        </w:rPr>
        <w:t xml:space="preserve"> (EP)</w:t>
      </w:r>
      <w:r w:rsidRPr="00CD5B74" w:rsidR="00F47DBC">
        <w:rPr>
          <w:rFonts w:ascii="Times New Roman" w:hAnsi="Times New Roman" w:cs="Times New Roman"/>
          <w:sz w:val="24"/>
          <w:szCs w:val="24"/>
        </w:rPr>
        <w:t xml:space="preserve"> dit</w:t>
      </w:r>
      <w:r w:rsidRPr="00CD5B74" w:rsidR="00F208D5">
        <w:rPr>
          <w:rFonts w:ascii="Times New Roman" w:hAnsi="Times New Roman" w:cs="Times New Roman"/>
          <w:sz w:val="24"/>
          <w:szCs w:val="24"/>
        </w:rPr>
        <w:t xml:space="preserve"> ook al.</w:t>
      </w:r>
      <w:r w:rsidRPr="00CD5B74" w:rsidR="00F47DBC">
        <w:rPr>
          <w:rStyle w:val="Voetnootmarkering"/>
          <w:rFonts w:ascii="Times New Roman" w:hAnsi="Times New Roman" w:cs="Times New Roman"/>
          <w:sz w:val="24"/>
          <w:szCs w:val="24"/>
        </w:rPr>
        <w:footnoteReference w:id="3"/>
      </w:r>
      <w:r w:rsidRPr="00CD5B74" w:rsidR="00F47DBC">
        <w:rPr>
          <w:rFonts w:ascii="Times New Roman" w:hAnsi="Times New Roman" w:cs="Times New Roman"/>
          <w:sz w:val="24"/>
          <w:szCs w:val="24"/>
        </w:rPr>
        <w:t xml:space="preserve"> Hiermee </w:t>
      </w:r>
      <w:r w:rsidRPr="00CD5B74" w:rsidR="00C61F7D">
        <w:rPr>
          <w:rFonts w:ascii="Times New Roman" w:hAnsi="Times New Roman" w:cs="Times New Roman"/>
          <w:sz w:val="24"/>
          <w:szCs w:val="24"/>
        </w:rPr>
        <w:t xml:space="preserve">gaat </w:t>
      </w:r>
      <w:r w:rsidRPr="00CD5B74" w:rsidR="00F47DBC">
        <w:rPr>
          <w:rFonts w:ascii="Times New Roman" w:hAnsi="Times New Roman" w:cs="Times New Roman"/>
          <w:sz w:val="24"/>
          <w:szCs w:val="24"/>
        </w:rPr>
        <w:t>het dossier dan ook een nieuwe fase in</w:t>
      </w:r>
      <w:r w:rsidRPr="00CD5B74" w:rsidR="00B578E8">
        <w:rPr>
          <w:rFonts w:ascii="Times New Roman" w:hAnsi="Times New Roman" w:cs="Times New Roman"/>
          <w:sz w:val="24"/>
          <w:szCs w:val="24"/>
        </w:rPr>
        <w:t>, namelijk de start</w:t>
      </w:r>
      <w:r w:rsidRPr="00CD5B74" w:rsidR="00F47DBC">
        <w:rPr>
          <w:rFonts w:ascii="Times New Roman" w:hAnsi="Times New Roman" w:cs="Times New Roman"/>
          <w:sz w:val="24"/>
          <w:szCs w:val="24"/>
        </w:rPr>
        <w:t xml:space="preserve"> van de onderhandelingen tussen de EU-instellingen.</w:t>
      </w:r>
      <w:r w:rsidRPr="00CD5B74" w:rsidR="00F208D5">
        <w:rPr>
          <w:rFonts w:ascii="Times New Roman" w:hAnsi="Times New Roman" w:cs="Times New Roman"/>
          <w:sz w:val="24"/>
          <w:szCs w:val="24"/>
        </w:rPr>
        <w:t xml:space="preserve"> </w:t>
      </w:r>
      <w:r w:rsidRPr="00CD5B74">
        <w:rPr>
          <w:rFonts w:ascii="Times New Roman" w:hAnsi="Times New Roman" w:cs="Times New Roman"/>
          <w:sz w:val="24"/>
          <w:szCs w:val="24"/>
        </w:rPr>
        <w:t xml:space="preserve">Daarom </w:t>
      </w:r>
      <w:r w:rsidRPr="00CD5B74" w:rsidR="007A15A1">
        <w:rPr>
          <w:rFonts w:ascii="Times New Roman" w:hAnsi="Times New Roman" w:cs="Times New Roman"/>
          <w:sz w:val="24"/>
          <w:szCs w:val="24"/>
        </w:rPr>
        <w:t>breng</w:t>
      </w:r>
      <w:r w:rsidRPr="00CD5B74">
        <w:rPr>
          <w:rFonts w:ascii="Times New Roman" w:hAnsi="Times New Roman" w:cs="Times New Roman"/>
          <w:sz w:val="24"/>
          <w:szCs w:val="24"/>
        </w:rPr>
        <w:t xml:space="preserve"> ik</w:t>
      </w:r>
      <w:r w:rsidRPr="00CD5B74" w:rsidR="007A15A1">
        <w:rPr>
          <w:rFonts w:ascii="Times New Roman" w:hAnsi="Times New Roman" w:cs="Times New Roman"/>
          <w:sz w:val="24"/>
          <w:szCs w:val="24"/>
        </w:rPr>
        <w:t xml:space="preserve"> tussentijds verslag</w:t>
      </w:r>
      <w:r w:rsidRPr="00CD5B74" w:rsidR="00C61F7D">
        <w:rPr>
          <w:rFonts w:ascii="Times New Roman" w:hAnsi="Times New Roman" w:cs="Times New Roman"/>
          <w:sz w:val="24"/>
          <w:szCs w:val="24"/>
        </w:rPr>
        <w:t xml:space="preserve"> uit,</w:t>
      </w:r>
      <w:r w:rsidRPr="00CD5B74" w:rsidR="007A15A1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F47DBC">
        <w:rPr>
          <w:rFonts w:ascii="Times New Roman" w:hAnsi="Times New Roman" w:cs="Times New Roman"/>
          <w:sz w:val="24"/>
          <w:szCs w:val="24"/>
        </w:rPr>
        <w:t>om in kaart te brengen hoe de onderhandelingsposities zich tot elkaar en het voorstel van de Europese Commissie verhouden en waar de belangrijkste discussiepunten liggen.</w:t>
      </w:r>
      <w:r w:rsidRPr="00CD5B74" w:rsidR="00590AA2">
        <w:rPr>
          <w:rFonts w:ascii="Times New Roman" w:hAnsi="Times New Roman" w:cs="Times New Roman"/>
          <w:sz w:val="24"/>
          <w:szCs w:val="24"/>
        </w:rPr>
        <w:t xml:space="preserve"> In dit verslag </w:t>
      </w:r>
      <w:r w:rsidRPr="00CD5B74" w:rsidR="00C61F7D">
        <w:rPr>
          <w:rFonts w:ascii="Times New Roman" w:hAnsi="Times New Roman" w:cs="Times New Roman"/>
          <w:sz w:val="24"/>
          <w:szCs w:val="24"/>
        </w:rPr>
        <w:t xml:space="preserve">koppel </w:t>
      </w:r>
      <w:r w:rsidRPr="00CD5B74" w:rsidR="00590AA2">
        <w:rPr>
          <w:rFonts w:ascii="Times New Roman" w:hAnsi="Times New Roman" w:cs="Times New Roman"/>
          <w:sz w:val="24"/>
          <w:szCs w:val="24"/>
        </w:rPr>
        <w:t>ik ook terug over het gesprek dat ik heb gevoerd met vertegenwoordigers van het Europees Octrooibureau.</w:t>
      </w:r>
    </w:p>
    <w:p w:rsidRPr="00CD5B74" w:rsidR="000C2318" w:rsidRDefault="000C2318" w14:paraId="43A2DC95" w14:textId="77777777">
      <w:pPr>
        <w:rPr>
          <w:rFonts w:ascii="Times New Roman" w:hAnsi="Times New Roman" w:cs="Times New Roman"/>
          <w:sz w:val="24"/>
          <w:szCs w:val="24"/>
        </w:rPr>
      </w:pPr>
    </w:p>
    <w:p w:rsidRPr="00CD5B74" w:rsidR="000C2318" w:rsidRDefault="000C2318" w14:paraId="2D25776B" w14:textId="6AC56B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sz w:val="24"/>
          <w:szCs w:val="24"/>
        </w:rPr>
        <w:t>Aanbeveling van de rapporteur</w:t>
      </w:r>
    </w:p>
    <w:p w:rsidRPr="00CD5B74" w:rsidR="000C2318" w:rsidRDefault="000C2318" w14:paraId="460CBFFD" w14:textId="5A7F7E58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De commissie LVVN kan de toelichting in dit verslag gebruiken bij toekomstige commissiedebatten en schriftelijk overleggen over de Landbouw- en Visserijraad. </w:t>
      </w:r>
    </w:p>
    <w:p w:rsidRPr="00CD5B74" w:rsidR="000C2318" w:rsidRDefault="000C2318" w14:paraId="02505BC7" w14:textId="77777777">
      <w:pPr>
        <w:rPr>
          <w:rFonts w:ascii="Times New Roman" w:hAnsi="Times New Roman" w:cs="Times New Roman"/>
          <w:sz w:val="24"/>
          <w:szCs w:val="24"/>
        </w:rPr>
      </w:pPr>
    </w:p>
    <w:p w:rsidRPr="00CD5B74" w:rsidR="000C2318" w:rsidRDefault="000C2318" w14:paraId="543C28BF" w14:textId="77CF8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sz w:val="24"/>
          <w:szCs w:val="24"/>
        </w:rPr>
        <w:t>Doel van het EU-</w:t>
      </w:r>
      <w:proofErr w:type="spellStart"/>
      <w:r w:rsidRPr="00CD5B74">
        <w:rPr>
          <w:rFonts w:ascii="Times New Roman" w:hAnsi="Times New Roman" w:cs="Times New Roman"/>
          <w:b/>
          <w:bCs/>
          <w:sz w:val="24"/>
          <w:szCs w:val="24"/>
        </w:rPr>
        <w:t>rapporteurschap</w:t>
      </w:r>
      <w:proofErr w:type="spellEnd"/>
    </w:p>
    <w:p w:rsidRPr="00CD5B74" w:rsidR="000C2318" w:rsidRDefault="000C2318" w14:paraId="0F5756C6" w14:textId="3E66AF97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Het </w:t>
      </w:r>
      <w:proofErr w:type="spellStart"/>
      <w:r w:rsidRPr="00CD5B74">
        <w:rPr>
          <w:rFonts w:ascii="Times New Roman" w:hAnsi="Times New Roman" w:cs="Times New Roman"/>
          <w:sz w:val="24"/>
          <w:szCs w:val="24"/>
        </w:rPr>
        <w:t>rapporteurschap</w:t>
      </w:r>
      <w:proofErr w:type="spellEnd"/>
      <w:r w:rsidRPr="00CD5B74">
        <w:rPr>
          <w:rFonts w:ascii="Times New Roman" w:hAnsi="Times New Roman" w:cs="Times New Roman"/>
          <w:sz w:val="24"/>
          <w:szCs w:val="24"/>
        </w:rPr>
        <w:t xml:space="preserve"> richt zich op de behandeling in Brussel van het EU-</w:t>
      </w:r>
      <w:r w:rsidRPr="00CD5B74" w:rsidR="00C61F7D">
        <w:rPr>
          <w:rFonts w:ascii="Times New Roman" w:hAnsi="Times New Roman" w:cs="Times New Roman"/>
          <w:sz w:val="24"/>
          <w:szCs w:val="24"/>
        </w:rPr>
        <w:t>NGT-</w:t>
      </w:r>
      <w:r w:rsidRPr="00CD5B74">
        <w:rPr>
          <w:rFonts w:ascii="Times New Roman" w:hAnsi="Times New Roman" w:cs="Times New Roman"/>
          <w:sz w:val="24"/>
          <w:szCs w:val="24"/>
        </w:rPr>
        <w:t xml:space="preserve">voorstel. Het </w:t>
      </w:r>
      <w:proofErr w:type="spellStart"/>
      <w:r w:rsidRPr="00CD5B74">
        <w:rPr>
          <w:rFonts w:ascii="Times New Roman" w:hAnsi="Times New Roman" w:cs="Times New Roman"/>
          <w:sz w:val="24"/>
          <w:szCs w:val="24"/>
        </w:rPr>
        <w:t>rapporteurschap</w:t>
      </w:r>
      <w:proofErr w:type="spellEnd"/>
      <w:r w:rsidRPr="00CD5B74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225FC7">
        <w:rPr>
          <w:rFonts w:ascii="Times New Roman" w:hAnsi="Times New Roman" w:cs="Times New Roman"/>
          <w:sz w:val="24"/>
          <w:szCs w:val="24"/>
        </w:rPr>
        <w:t>heeft als doel</w:t>
      </w:r>
      <w:r w:rsidRPr="00CD5B74">
        <w:rPr>
          <w:rFonts w:ascii="Times New Roman" w:hAnsi="Times New Roman" w:cs="Times New Roman"/>
          <w:sz w:val="24"/>
          <w:szCs w:val="24"/>
        </w:rPr>
        <w:t xml:space="preserve"> om de informatiepositie</w:t>
      </w:r>
      <w:r w:rsidRPr="00CD5B74" w:rsidR="000A52DB">
        <w:rPr>
          <w:rFonts w:ascii="Times New Roman" w:hAnsi="Times New Roman" w:cs="Times New Roman"/>
          <w:sz w:val="24"/>
          <w:szCs w:val="24"/>
        </w:rPr>
        <w:t xml:space="preserve"> van de commissie LVVN te versterken </w:t>
      </w:r>
      <w:r w:rsidRPr="00CD5B74" w:rsidR="00F16A93">
        <w:rPr>
          <w:rFonts w:ascii="Times New Roman" w:hAnsi="Times New Roman" w:cs="Times New Roman"/>
          <w:sz w:val="24"/>
          <w:szCs w:val="24"/>
        </w:rPr>
        <w:t xml:space="preserve">en </w:t>
      </w:r>
      <w:r w:rsidRPr="00CD5B74" w:rsidR="000A52DB">
        <w:rPr>
          <w:rFonts w:ascii="Times New Roman" w:hAnsi="Times New Roman" w:cs="Times New Roman"/>
          <w:sz w:val="24"/>
          <w:szCs w:val="24"/>
        </w:rPr>
        <w:t xml:space="preserve">bij te dragen aan een optimale behandeling van het dossier in de Kamer </w:t>
      </w:r>
      <w:r w:rsidRPr="00CD5B74" w:rsidR="00A23887">
        <w:rPr>
          <w:rFonts w:ascii="Times New Roman" w:hAnsi="Times New Roman" w:cs="Times New Roman"/>
          <w:sz w:val="24"/>
          <w:szCs w:val="24"/>
        </w:rPr>
        <w:t xml:space="preserve">door te zorgen voor aandacht en tijdige behandeling. </w:t>
      </w:r>
    </w:p>
    <w:p w:rsidRPr="00CD5B74" w:rsidR="00A23887" w:rsidRDefault="00A23887" w14:paraId="33B29ABC" w14:textId="77777777">
      <w:pPr>
        <w:rPr>
          <w:rFonts w:ascii="Times New Roman" w:hAnsi="Times New Roman" w:cs="Times New Roman"/>
          <w:sz w:val="24"/>
          <w:szCs w:val="24"/>
        </w:rPr>
      </w:pPr>
    </w:p>
    <w:p w:rsidRPr="00CD5B74" w:rsidR="00A23887" w:rsidRDefault="00A23887" w14:paraId="66014875" w14:textId="5F064D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D5B74" w:rsidR="00A53963">
        <w:rPr>
          <w:rFonts w:ascii="Times New Roman" w:hAnsi="Times New Roman" w:cs="Times New Roman"/>
          <w:b/>
          <w:bCs/>
          <w:sz w:val="24"/>
          <w:szCs w:val="24"/>
        </w:rPr>
        <w:t>erugkoppeling over de ondernomen activiteiten en bevindingen van de rapporteur</w:t>
      </w:r>
    </w:p>
    <w:p w:rsidRPr="00CD5B74" w:rsidR="00A53963" w:rsidRDefault="00B578E8" w14:paraId="724A6CD0" w14:textId="44B45BB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Gesprek Europees Octrooibureau</w:t>
      </w:r>
    </w:p>
    <w:p w:rsidRPr="00CD5B74" w:rsidR="00B578E8" w:rsidRDefault="00F16A93" w14:paraId="6CDB4B25" w14:textId="243AA6D6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Op </w:t>
      </w:r>
      <w:r w:rsidRPr="00CD5B74" w:rsidR="000824E5">
        <w:rPr>
          <w:rFonts w:ascii="Times New Roman" w:hAnsi="Times New Roman" w:cs="Times New Roman"/>
          <w:sz w:val="24"/>
          <w:szCs w:val="24"/>
        </w:rPr>
        <w:t xml:space="preserve">maandag 10 maart 2024 heb ik conform het aan mij verleende mandaat een gesprek gevoerd met vertegenwoordigers van het Europees Octrooibureau. </w:t>
      </w:r>
      <w:r w:rsidRPr="00CD5B74" w:rsidR="00AA6322">
        <w:rPr>
          <w:rFonts w:ascii="Times New Roman" w:hAnsi="Times New Roman" w:cs="Times New Roman"/>
          <w:sz w:val="24"/>
          <w:szCs w:val="24"/>
        </w:rPr>
        <w:t xml:space="preserve">Uit het gesprek kwam allereerst naar voren dat het Europees Octrooibureau geen standpunt heeft </w:t>
      </w:r>
      <w:r w:rsidRPr="00CD5B74" w:rsidR="00EF6D8C">
        <w:rPr>
          <w:rFonts w:ascii="Times New Roman" w:hAnsi="Times New Roman" w:cs="Times New Roman"/>
          <w:sz w:val="24"/>
          <w:szCs w:val="24"/>
        </w:rPr>
        <w:t xml:space="preserve">geuit </w:t>
      </w:r>
      <w:r w:rsidRPr="00CD5B74" w:rsidR="00AA6322">
        <w:rPr>
          <w:rFonts w:ascii="Times New Roman" w:hAnsi="Times New Roman" w:cs="Times New Roman"/>
          <w:sz w:val="24"/>
          <w:szCs w:val="24"/>
        </w:rPr>
        <w:t xml:space="preserve">richting de EU-instellingen over het </w:t>
      </w:r>
      <w:r w:rsidRPr="00CD5B74" w:rsidR="00C61F7D">
        <w:rPr>
          <w:rFonts w:ascii="Times New Roman" w:hAnsi="Times New Roman" w:cs="Times New Roman"/>
          <w:sz w:val="24"/>
          <w:szCs w:val="24"/>
        </w:rPr>
        <w:t>NGT-</w:t>
      </w:r>
      <w:r w:rsidRPr="00CD5B74" w:rsidR="00AA6322">
        <w:rPr>
          <w:rFonts w:ascii="Times New Roman" w:hAnsi="Times New Roman" w:cs="Times New Roman"/>
          <w:sz w:val="24"/>
          <w:szCs w:val="24"/>
        </w:rPr>
        <w:t>voorstel.</w:t>
      </w:r>
      <w:r w:rsidRPr="00CD5B74" w:rsidR="001401CF">
        <w:rPr>
          <w:rFonts w:ascii="Times New Roman" w:hAnsi="Times New Roman" w:cs="Times New Roman"/>
          <w:sz w:val="24"/>
          <w:szCs w:val="24"/>
        </w:rPr>
        <w:t xml:space="preserve"> Zij zien als uitvoerder van het Europees Octrooiverdrag hierin geen rol voor zichzelf.</w:t>
      </w:r>
      <w:r w:rsidRPr="00CD5B74" w:rsidR="00BB2CA9">
        <w:rPr>
          <w:rFonts w:ascii="Times New Roman" w:hAnsi="Times New Roman" w:cs="Times New Roman"/>
          <w:sz w:val="24"/>
          <w:szCs w:val="24"/>
        </w:rPr>
        <w:t xml:space="preserve"> Zij geven aan dat de verordening </w:t>
      </w:r>
      <w:r w:rsidRPr="00CD5B74" w:rsidR="0043040A">
        <w:rPr>
          <w:rFonts w:ascii="Times New Roman" w:hAnsi="Times New Roman" w:cs="Times New Roman"/>
          <w:sz w:val="24"/>
          <w:szCs w:val="24"/>
        </w:rPr>
        <w:t xml:space="preserve">er </w:t>
      </w:r>
      <w:r w:rsidRPr="00CD5B74" w:rsidR="00BB2CA9">
        <w:rPr>
          <w:rFonts w:ascii="Times New Roman" w:hAnsi="Times New Roman" w:cs="Times New Roman"/>
          <w:sz w:val="24"/>
          <w:szCs w:val="24"/>
        </w:rPr>
        <w:t xml:space="preserve">mogelijk </w:t>
      </w:r>
      <w:r w:rsidRPr="00CD5B74" w:rsidR="0043040A">
        <w:rPr>
          <w:rFonts w:ascii="Times New Roman" w:hAnsi="Times New Roman" w:cs="Times New Roman"/>
          <w:sz w:val="24"/>
          <w:szCs w:val="24"/>
        </w:rPr>
        <w:lastRenderedPageBreak/>
        <w:t>wel toe zal</w:t>
      </w:r>
      <w:r w:rsidRPr="00CD5B74" w:rsidR="00BB2CA9">
        <w:rPr>
          <w:rFonts w:ascii="Times New Roman" w:hAnsi="Times New Roman" w:cs="Times New Roman"/>
          <w:sz w:val="24"/>
          <w:szCs w:val="24"/>
        </w:rPr>
        <w:t xml:space="preserve"> leiden </w:t>
      </w:r>
      <w:r w:rsidRPr="00CD5B74" w:rsidR="0043040A">
        <w:rPr>
          <w:rFonts w:ascii="Times New Roman" w:hAnsi="Times New Roman" w:cs="Times New Roman"/>
          <w:sz w:val="24"/>
          <w:szCs w:val="24"/>
        </w:rPr>
        <w:t xml:space="preserve">dat een wijziging van </w:t>
      </w:r>
      <w:r w:rsidRPr="00CD5B74" w:rsidR="001401CF">
        <w:rPr>
          <w:rFonts w:ascii="Times New Roman" w:hAnsi="Times New Roman" w:cs="Times New Roman"/>
          <w:sz w:val="24"/>
          <w:szCs w:val="24"/>
        </w:rPr>
        <w:t>het Europees Octrooiverdrag</w:t>
      </w:r>
      <w:r w:rsidRPr="00CD5B74" w:rsidR="0043040A">
        <w:rPr>
          <w:rFonts w:ascii="Times New Roman" w:hAnsi="Times New Roman" w:cs="Times New Roman"/>
          <w:sz w:val="24"/>
          <w:szCs w:val="24"/>
        </w:rPr>
        <w:t xml:space="preserve"> nodig zal zijn</w:t>
      </w:r>
      <w:r w:rsidRPr="00CD5B74" w:rsidR="001401CF">
        <w:rPr>
          <w:rFonts w:ascii="Times New Roman" w:hAnsi="Times New Roman" w:cs="Times New Roman"/>
          <w:sz w:val="24"/>
          <w:szCs w:val="24"/>
        </w:rPr>
        <w:t>.</w:t>
      </w:r>
      <w:r w:rsidRPr="00CD5B74" w:rsidR="00FA0FCA">
        <w:rPr>
          <w:rFonts w:ascii="Times New Roman" w:hAnsi="Times New Roman" w:cs="Times New Roman"/>
          <w:sz w:val="24"/>
          <w:szCs w:val="24"/>
        </w:rPr>
        <w:t xml:space="preserve"> Het is daarom belangrijk dat er duidelijke richtsnoeren komen vanuit de </w:t>
      </w:r>
      <w:r w:rsidRPr="00CD5B74" w:rsidR="00C16103">
        <w:rPr>
          <w:rFonts w:ascii="Times New Roman" w:hAnsi="Times New Roman" w:cs="Times New Roman"/>
          <w:sz w:val="24"/>
          <w:szCs w:val="24"/>
        </w:rPr>
        <w:t xml:space="preserve">EU </w:t>
      </w:r>
      <w:r w:rsidRPr="00CD5B74" w:rsidR="00C61F7D">
        <w:rPr>
          <w:rFonts w:ascii="Times New Roman" w:hAnsi="Times New Roman" w:cs="Times New Roman"/>
          <w:sz w:val="24"/>
          <w:szCs w:val="24"/>
        </w:rPr>
        <w:t xml:space="preserve">voor </w:t>
      </w:r>
      <w:r w:rsidRPr="00CD5B74" w:rsidR="00C16103">
        <w:rPr>
          <w:rFonts w:ascii="Times New Roman" w:hAnsi="Times New Roman" w:cs="Times New Roman"/>
          <w:sz w:val="24"/>
          <w:szCs w:val="24"/>
        </w:rPr>
        <w:t>de uitvoering van de verordening.</w:t>
      </w:r>
      <w:r w:rsidRPr="00CD5B74" w:rsidR="0043040A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EF6D8C">
        <w:rPr>
          <w:rFonts w:ascii="Times New Roman" w:hAnsi="Times New Roman" w:cs="Times New Roman"/>
          <w:sz w:val="24"/>
          <w:szCs w:val="24"/>
        </w:rPr>
        <w:t xml:space="preserve">Dit helpt bij het beoordelen waar eventuele tegenstrijdigheden bestaan tussen de EU-wetgeving en het Europees Octrooiverdrag. Of een wijziging van het Europees Octrooiverdrag er daadwerkelijk komt is </w:t>
      </w:r>
      <w:r w:rsidRPr="00CD5B74" w:rsidR="0043040A">
        <w:rPr>
          <w:rFonts w:ascii="Times New Roman" w:hAnsi="Times New Roman" w:cs="Times New Roman"/>
          <w:sz w:val="24"/>
          <w:szCs w:val="24"/>
        </w:rPr>
        <w:t xml:space="preserve">echter aan de lidstaten bij het Europees Octrooiverdrag. </w:t>
      </w:r>
      <w:r w:rsidRPr="00CD5B74" w:rsidR="00EF6D8C">
        <w:rPr>
          <w:rFonts w:ascii="Times New Roman" w:hAnsi="Times New Roman" w:cs="Times New Roman"/>
          <w:sz w:val="24"/>
          <w:szCs w:val="24"/>
        </w:rPr>
        <w:t>Dit is een grotere groep dan alleen de EU-lidstaten.</w:t>
      </w:r>
      <w:r w:rsidRPr="00CD5B74" w:rsidR="001401CF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D3713F">
        <w:rPr>
          <w:rFonts w:ascii="Times New Roman" w:hAnsi="Times New Roman" w:cs="Times New Roman"/>
          <w:sz w:val="24"/>
          <w:szCs w:val="24"/>
        </w:rPr>
        <w:t xml:space="preserve">Op dit moment kent het Europees Octrooiverdrag al wel </w:t>
      </w:r>
      <w:r w:rsidRPr="00CD5B74" w:rsidR="00393E47">
        <w:rPr>
          <w:rFonts w:ascii="Times New Roman" w:hAnsi="Times New Roman" w:cs="Times New Roman"/>
          <w:sz w:val="24"/>
          <w:szCs w:val="24"/>
        </w:rPr>
        <w:t xml:space="preserve">een beleid van </w:t>
      </w:r>
      <w:proofErr w:type="spellStart"/>
      <w:r w:rsidRPr="00CD5B74" w:rsidR="00393E47">
        <w:rPr>
          <w:rFonts w:ascii="Times New Roman" w:hAnsi="Times New Roman" w:cs="Times New Roman"/>
          <w:sz w:val="24"/>
          <w:szCs w:val="24"/>
        </w:rPr>
        <w:t>disclaimers</w:t>
      </w:r>
      <w:proofErr w:type="spellEnd"/>
      <w:r w:rsidRPr="00CD5B74" w:rsidR="00393E47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EF6D8C">
        <w:rPr>
          <w:rFonts w:ascii="Times New Roman" w:hAnsi="Times New Roman" w:cs="Times New Roman"/>
          <w:sz w:val="24"/>
          <w:szCs w:val="24"/>
        </w:rPr>
        <w:t xml:space="preserve">dat </w:t>
      </w:r>
      <w:r w:rsidRPr="00CD5B74" w:rsidR="00393E47">
        <w:rPr>
          <w:rFonts w:ascii="Times New Roman" w:hAnsi="Times New Roman" w:cs="Times New Roman"/>
          <w:sz w:val="24"/>
          <w:szCs w:val="24"/>
        </w:rPr>
        <w:t>patenten</w:t>
      </w:r>
      <w:r w:rsidRPr="00CD5B74" w:rsidR="00EF6D8C">
        <w:rPr>
          <w:rFonts w:ascii="Times New Roman" w:hAnsi="Times New Roman" w:cs="Times New Roman"/>
          <w:sz w:val="24"/>
          <w:szCs w:val="24"/>
        </w:rPr>
        <w:t xml:space="preserve"> niet kunnen worden aangevraagd</w:t>
      </w:r>
      <w:r w:rsidRPr="00CD5B74" w:rsidR="00393E47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EF6D8C">
        <w:rPr>
          <w:rFonts w:ascii="Times New Roman" w:hAnsi="Times New Roman" w:cs="Times New Roman"/>
          <w:sz w:val="24"/>
          <w:szCs w:val="24"/>
        </w:rPr>
        <w:t>voor</w:t>
      </w:r>
      <w:r w:rsidRPr="00CD5B74" w:rsidR="00393E47">
        <w:rPr>
          <w:rFonts w:ascii="Times New Roman" w:hAnsi="Times New Roman" w:cs="Times New Roman"/>
          <w:sz w:val="24"/>
          <w:szCs w:val="24"/>
        </w:rPr>
        <w:t xml:space="preserve"> conventionele planten</w:t>
      </w:r>
      <w:r w:rsidRPr="00CD5B74" w:rsidR="00CC24E1">
        <w:rPr>
          <w:rFonts w:ascii="Times New Roman" w:hAnsi="Times New Roman" w:cs="Times New Roman"/>
          <w:sz w:val="24"/>
          <w:szCs w:val="24"/>
        </w:rPr>
        <w:t xml:space="preserve"> die met biologische methoden worden ontwikkeld</w:t>
      </w:r>
      <w:r w:rsidRPr="00CD5B74" w:rsidR="00393E47">
        <w:rPr>
          <w:rFonts w:ascii="Times New Roman" w:hAnsi="Times New Roman" w:cs="Times New Roman"/>
          <w:sz w:val="24"/>
          <w:szCs w:val="24"/>
        </w:rPr>
        <w:t>.</w:t>
      </w:r>
      <w:r w:rsidRPr="00CD5B74" w:rsidR="00D655A5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7338FF">
        <w:rPr>
          <w:rFonts w:ascii="Times New Roman" w:hAnsi="Times New Roman" w:cs="Times New Roman"/>
          <w:sz w:val="24"/>
          <w:szCs w:val="24"/>
        </w:rPr>
        <w:t xml:space="preserve">De vraag is of NGT 1 (planten verkregen met nieuwe </w:t>
      </w:r>
      <w:proofErr w:type="spellStart"/>
      <w:r w:rsidRPr="00CD5B74" w:rsidR="007338FF">
        <w:rPr>
          <w:rFonts w:ascii="Times New Roman" w:hAnsi="Times New Roman" w:cs="Times New Roman"/>
          <w:sz w:val="24"/>
          <w:szCs w:val="24"/>
        </w:rPr>
        <w:t>genomische</w:t>
      </w:r>
      <w:proofErr w:type="spellEnd"/>
      <w:r w:rsidRPr="00CD5B74" w:rsidR="007338FF">
        <w:rPr>
          <w:rFonts w:ascii="Times New Roman" w:hAnsi="Times New Roman" w:cs="Times New Roman"/>
          <w:sz w:val="24"/>
          <w:szCs w:val="24"/>
        </w:rPr>
        <w:t xml:space="preserve"> technieken die vergelijkbaar zijn met conventionele planten) hier op aansluit. Dit is nog niet geheel duidelijk, omdat d</w:t>
      </w:r>
      <w:r w:rsidRPr="00CD5B74" w:rsidR="00D655A5">
        <w:rPr>
          <w:rFonts w:ascii="Times New Roman" w:hAnsi="Times New Roman" w:cs="Times New Roman"/>
          <w:sz w:val="24"/>
          <w:szCs w:val="24"/>
        </w:rPr>
        <w:t xml:space="preserve">e term </w:t>
      </w:r>
      <w:r w:rsidRPr="00CD5B74" w:rsidR="00397CCE">
        <w:rPr>
          <w:rFonts w:ascii="Times New Roman" w:hAnsi="Times New Roman" w:cs="Times New Roman"/>
          <w:sz w:val="24"/>
          <w:szCs w:val="24"/>
        </w:rPr>
        <w:t xml:space="preserve">nieuwe </w:t>
      </w:r>
      <w:proofErr w:type="spellStart"/>
      <w:r w:rsidRPr="00CD5B74" w:rsidR="00397CCE">
        <w:rPr>
          <w:rFonts w:ascii="Times New Roman" w:hAnsi="Times New Roman" w:cs="Times New Roman"/>
          <w:sz w:val="24"/>
          <w:szCs w:val="24"/>
        </w:rPr>
        <w:t>genomische</w:t>
      </w:r>
      <w:proofErr w:type="spellEnd"/>
      <w:r w:rsidRPr="00CD5B74" w:rsidR="00397CCE">
        <w:rPr>
          <w:rFonts w:ascii="Times New Roman" w:hAnsi="Times New Roman" w:cs="Times New Roman"/>
          <w:sz w:val="24"/>
          <w:szCs w:val="24"/>
        </w:rPr>
        <w:t xml:space="preserve"> technieken geen term </w:t>
      </w:r>
      <w:r w:rsidRPr="00CD5B74" w:rsidR="007338FF">
        <w:rPr>
          <w:rFonts w:ascii="Times New Roman" w:hAnsi="Times New Roman" w:cs="Times New Roman"/>
          <w:sz w:val="24"/>
          <w:szCs w:val="24"/>
        </w:rPr>
        <w:t xml:space="preserve">is </w:t>
      </w:r>
      <w:r w:rsidRPr="00CD5B74" w:rsidR="00397CCE">
        <w:rPr>
          <w:rFonts w:ascii="Times New Roman" w:hAnsi="Times New Roman" w:cs="Times New Roman"/>
          <w:sz w:val="24"/>
          <w:szCs w:val="24"/>
        </w:rPr>
        <w:t xml:space="preserve">die op dit moment in het Europees Octrooiverdrag wordt gehanteerd. </w:t>
      </w:r>
    </w:p>
    <w:p w:rsidRPr="00CD5B74" w:rsidR="007830C6" w:rsidRDefault="007830C6" w14:paraId="66EE0CB2" w14:textId="7C53BD5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Stand van zaken onderhandelingen Raad en Europees Parlement</w:t>
      </w:r>
    </w:p>
    <w:p w:rsidRPr="00CD5B74" w:rsidR="0067441F" w:rsidRDefault="00722A11" w14:paraId="4A40FCB6" w14:textId="7DAD3017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Op vrijdag 14 maart hebben de permanente vertegenwoordigers van de lidstaten in </w:t>
      </w:r>
      <w:proofErr w:type="spellStart"/>
      <w:r w:rsidRPr="00CD5B74">
        <w:rPr>
          <w:rFonts w:ascii="Times New Roman" w:hAnsi="Times New Roman" w:cs="Times New Roman"/>
          <w:sz w:val="24"/>
          <w:szCs w:val="24"/>
        </w:rPr>
        <w:t>Coreper</w:t>
      </w:r>
      <w:proofErr w:type="spellEnd"/>
      <w:r w:rsidRPr="00CD5B74">
        <w:rPr>
          <w:rFonts w:ascii="Times New Roman" w:hAnsi="Times New Roman" w:cs="Times New Roman"/>
          <w:sz w:val="24"/>
          <w:szCs w:val="24"/>
        </w:rPr>
        <w:t xml:space="preserve"> een akkoord bereikt over het onderhandelingsmandaat van de Raad op het voorstel voor </w:t>
      </w:r>
      <w:r w:rsidRPr="00CD5B74" w:rsidR="00C61F7D">
        <w:rPr>
          <w:rFonts w:ascii="Times New Roman" w:hAnsi="Times New Roman" w:cs="Times New Roman"/>
          <w:sz w:val="24"/>
          <w:szCs w:val="24"/>
        </w:rPr>
        <w:t>de NGT-</w:t>
      </w:r>
      <w:r w:rsidRPr="00CD5B74">
        <w:rPr>
          <w:rFonts w:ascii="Times New Roman" w:hAnsi="Times New Roman" w:cs="Times New Roman"/>
          <w:sz w:val="24"/>
          <w:szCs w:val="24"/>
        </w:rPr>
        <w:t xml:space="preserve"> verordening</w:t>
      </w:r>
      <w:r w:rsidRPr="00CD5B74" w:rsidR="0067441F">
        <w:rPr>
          <w:rFonts w:ascii="Times New Roman" w:hAnsi="Times New Roman" w:cs="Times New Roman"/>
          <w:sz w:val="24"/>
          <w:szCs w:val="24"/>
        </w:rPr>
        <w:t xml:space="preserve">. Eerder bereikte het Europees Parlement al een akkoord over hun onderhandelingsmandaat. </w:t>
      </w:r>
      <w:r w:rsidRPr="00CD5B74" w:rsidR="005A2604">
        <w:rPr>
          <w:rFonts w:ascii="Times New Roman" w:hAnsi="Times New Roman" w:cs="Times New Roman"/>
          <w:sz w:val="24"/>
          <w:szCs w:val="24"/>
        </w:rPr>
        <w:t>Nu zowel de Raad als het EP een onderhandelingspositie hebben vastgesteld</w:t>
      </w:r>
      <w:r w:rsidRPr="00CD5B74" w:rsidR="00C61F7D">
        <w:rPr>
          <w:rFonts w:ascii="Times New Roman" w:hAnsi="Times New Roman" w:cs="Times New Roman"/>
          <w:sz w:val="24"/>
          <w:szCs w:val="24"/>
        </w:rPr>
        <w:t>,</w:t>
      </w:r>
      <w:r w:rsidRPr="00CD5B74" w:rsidR="005A2604">
        <w:rPr>
          <w:rFonts w:ascii="Times New Roman" w:hAnsi="Times New Roman" w:cs="Times New Roman"/>
          <w:sz w:val="24"/>
          <w:szCs w:val="24"/>
        </w:rPr>
        <w:t xml:space="preserve"> zullen de </w:t>
      </w:r>
      <w:proofErr w:type="spellStart"/>
      <w:r w:rsidRPr="00CD5B74" w:rsidR="005A2604">
        <w:rPr>
          <w:rFonts w:ascii="Times New Roman" w:hAnsi="Times New Roman" w:cs="Times New Roman"/>
          <w:sz w:val="24"/>
          <w:szCs w:val="24"/>
        </w:rPr>
        <w:t>triloog</w:t>
      </w:r>
      <w:proofErr w:type="spellEnd"/>
      <w:r w:rsidRPr="00CD5B74" w:rsidR="00C61F7D">
        <w:rPr>
          <w:rFonts w:ascii="Times New Roman" w:hAnsi="Times New Roman" w:cs="Times New Roman"/>
          <w:sz w:val="24"/>
          <w:szCs w:val="24"/>
        </w:rPr>
        <w:t>-</w:t>
      </w:r>
      <w:r w:rsidRPr="00CD5B74" w:rsidR="005A2604">
        <w:rPr>
          <w:rFonts w:ascii="Times New Roman" w:hAnsi="Times New Roman" w:cs="Times New Roman"/>
          <w:sz w:val="24"/>
          <w:szCs w:val="24"/>
        </w:rPr>
        <w:t xml:space="preserve">onderhandelingen van start gaan tussen de EU-instellingen. </w:t>
      </w:r>
      <w:r w:rsidRPr="00CD5B74" w:rsidR="0067441F">
        <w:rPr>
          <w:rFonts w:ascii="Times New Roman" w:hAnsi="Times New Roman" w:cs="Times New Roman"/>
          <w:sz w:val="24"/>
          <w:szCs w:val="24"/>
        </w:rPr>
        <w:t xml:space="preserve">In deze paragraaf zet ik uiteen </w:t>
      </w:r>
      <w:r w:rsidRPr="00CD5B74" w:rsidR="005A2604">
        <w:rPr>
          <w:rFonts w:ascii="Times New Roman" w:hAnsi="Times New Roman" w:cs="Times New Roman"/>
          <w:sz w:val="24"/>
          <w:szCs w:val="24"/>
        </w:rPr>
        <w:t xml:space="preserve">hoe de onderhandelingsmandaten zich tot elkaar en tot het voorstel van de Europese Commissie verhouden en waar de belangrijkste discussiepunten in de onderhandelingen lijken te gaan liggen. </w:t>
      </w:r>
    </w:p>
    <w:p w:rsidRPr="00CD5B74" w:rsidR="004762D6" w:rsidRDefault="000A1599" w14:paraId="3FBBF322" w14:textId="18604E7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5B74">
        <w:rPr>
          <w:rFonts w:ascii="Times New Roman" w:hAnsi="Times New Roman" w:cs="Times New Roman"/>
          <w:i/>
          <w:iCs/>
          <w:sz w:val="24"/>
          <w:szCs w:val="24"/>
        </w:rPr>
        <w:t>Categorisering en d</w:t>
      </w:r>
      <w:r w:rsidRPr="00CD5B74" w:rsidR="004762D6">
        <w:rPr>
          <w:rFonts w:ascii="Times New Roman" w:hAnsi="Times New Roman" w:cs="Times New Roman"/>
          <w:i/>
          <w:iCs/>
          <w:sz w:val="24"/>
          <w:szCs w:val="24"/>
        </w:rPr>
        <w:t>efinities</w:t>
      </w:r>
      <w:r w:rsidRPr="00CD5B74" w:rsidR="00FB790D">
        <w:rPr>
          <w:rFonts w:ascii="Times New Roman" w:hAnsi="Times New Roman" w:cs="Times New Roman"/>
          <w:i/>
          <w:iCs/>
          <w:sz w:val="24"/>
          <w:szCs w:val="24"/>
        </w:rPr>
        <w:t xml:space="preserve"> NGT 1 en NGT 2</w:t>
      </w:r>
    </w:p>
    <w:p w:rsidRPr="00CD5B74" w:rsidR="00B4255D" w:rsidRDefault="00565920" w14:paraId="103A9990" w14:textId="2C7E3BAE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De Europese Commissie maakt in haar voorstel een </w:t>
      </w:r>
      <w:r w:rsidRPr="00CD5B74" w:rsidR="003D0669">
        <w:rPr>
          <w:rFonts w:ascii="Times New Roman" w:hAnsi="Times New Roman" w:cs="Times New Roman"/>
          <w:sz w:val="24"/>
          <w:szCs w:val="24"/>
        </w:rPr>
        <w:t>splitsing</w:t>
      </w:r>
      <w:r w:rsidRPr="00CD5B74">
        <w:rPr>
          <w:rFonts w:ascii="Times New Roman" w:hAnsi="Times New Roman" w:cs="Times New Roman"/>
          <w:sz w:val="24"/>
          <w:szCs w:val="24"/>
        </w:rPr>
        <w:t xml:space="preserve"> tussen twee categorieën NGT-planten</w:t>
      </w:r>
      <w:r w:rsidRPr="00CD5B74" w:rsidR="003D0669">
        <w:rPr>
          <w:rFonts w:ascii="Times New Roman" w:hAnsi="Times New Roman" w:cs="Times New Roman"/>
          <w:sz w:val="24"/>
          <w:szCs w:val="24"/>
        </w:rPr>
        <w:t xml:space="preserve"> met elk een apart risicoprofiel</w:t>
      </w:r>
      <w:r w:rsidRPr="00CD5B74">
        <w:rPr>
          <w:rFonts w:ascii="Times New Roman" w:hAnsi="Times New Roman" w:cs="Times New Roman"/>
          <w:sz w:val="24"/>
          <w:szCs w:val="24"/>
        </w:rPr>
        <w:t xml:space="preserve">. </w:t>
      </w:r>
      <w:r w:rsidRPr="00CD5B74" w:rsidR="00F54138">
        <w:rPr>
          <w:rFonts w:ascii="Times New Roman" w:hAnsi="Times New Roman" w:cs="Times New Roman"/>
          <w:sz w:val="24"/>
          <w:szCs w:val="24"/>
        </w:rPr>
        <w:t>Categorie NGT-1</w:t>
      </w:r>
      <w:r w:rsidRPr="00CD5B74" w:rsidR="0021483F">
        <w:rPr>
          <w:rFonts w:ascii="Times New Roman" w:hAnsi="Times New Roman" w:cs="Times New Roman"/>
          <w:sz w:val="24"/>
          <w:szCs w:val="24"/>
        </w:rPr>
        <w:t xml:space="preserve"> planten</w:t>
      </w:r>
      <w:r w:rsidRPr="00CD5B74" w:rsidR="005B5632">
        <w:rPr>
          <w:rFonts w:ascii="Times New Roman" w:hAnsi="Times New Roman" w:cs="Times New Roman"/>
          <w:sz w:val="24"/>
          <w:szCs w:val="24"/>
        </w:rPr>
        <w:t xml:space="preserve"> worden gezien </w:t>
      </w:r>
      <w:r w:rsidRPr="00CD5B74" w:rsidR="00F4163E">
        <w:rPr>
          <w:rFonts w:ascii="Times New Roman" w:hAnsi="Times New Roman" w:cs="Times New Roman"/>
          <w:sz w:val="24"/>
          <w:szCs w:val="24"/>
        </w:rPr>
        <w:t>als vergelijkbaar met planten die ook</w:t>
      </w:r>
      <w:r w:rsidRPr="00CD5B74" w:rsidR="0021483F">
        <w:rPr>
          <w:rFonts w:ascii="Times New Roman" w:hAnsi="Times New Roman" w:cs="Times New Roman"/>
          <w:sz w:val="24"/>
          <w:szCs w:val="24"/>
        </w:rPr>
        <w:t xml:space="preserve"> van nature voorkomen of via conventionele kweekmethoden </w:t>
      </w:r>
      <w:r w:rsidRPr="00CD5B74" w:rsidR="00F4163E">
        <w:rPr>
          <w:rFonts w:ascii="Times New Roman" w:hAnsi="Times New Roman" w:cs="Times New Roman"/>
          <w:sz w:val="24"/>
          <w:szCs w:val="24"/>
        </w:rPr>
        <w:t xml:space="preserve">kunnen </w:t>
      </w:r>
      <w:r w:rsidRPr="00CD5B74" w:rsidR="0021483F">
        <w:rPr>
          <w:rFonts w:ascii="Times New Roman" w:hAnsi="Times New Roman" w:cs="Times New Roman"/>
          <w:sz w:val="24"/>
          <w:szCs w:val="24"/>
        </w:rPr>
        <w:t xml:space="preserve">worden verkregen. Deze planten en plantmaterialen worden daarom vrijgesteld van de </w:t>
      </w:r>
      <w:r w:rsidRPr="00CD5B74" w:rsidR="00C61F7D">
        <w:rPr>
          <w:rFonts w:ascii="Times New Roman" w:hAnsi="Times New Roman" w:cs="Times New Roman"/>
          <w:sz w:val="24"/>
          <w:szCs w:val="24"/>
        </w:rPr>
        <w:t xml:space="preserve">bestaande </w:t>
      </w:r>
      <w:r w:rsidRPr="00CD5B74" w:rsidR="0021483F">
        <w:rPr>
          <w:rFonts w:ascii="Times New Roman" w:hAnsi="Times New Roman" w:cs="Times New Roman"/>
          <w:sz w:val="24"/>
          <w:szCs w:val="24"/>
        </w:rPr>
        <w:t>regelgeving voor genetisch gemodificeerde organismen (</w:t>
      </w:r>
      <w:proofErr w:type="spellStart"/>
      <w:r w:rsidRPr="00CD5B74" w:rsidR="0021483F">
        <w:rPr>
          <w:rFonts w:ascii="Times New Roman" w:hAnsi="Times New Roman" w:cs="Times New Roman"/>
          <w:sz w:val="24"/>
          <w:szCs w:val="24"/>
        </w:rPr>
        <w:t>ggo</w:t>
      </w:r>
      <w:proofErr w:type="spellEnd"/>
      <w:r w:rsidRPr="00CD5B74" w:rsidR="0021483F">
        <w:rPr>
          <w:rFonts w:ascii="Times New Roman" w:hAnsi="Times New Roman" w:cs="Times New Roman"/>
          <w:sz w:val="24"/>
          <w:szCs w:val="24"/>
        </w:rPr>
        <w:t xml:space="preserve">-regelgeving). </w:t>
      </w:r>
      <w:r w:rsidRPr="00CD5B74" w:rsidR="00353BF3">
        <w:rPr>
          <w:rFonts w:ascii="Times New Roman" w:hAnsi="Times New Roman" w:cs="Times New Roman"/>
          <w:sz w:val="24"/>
          <w:szCs w:val="24"/>
        </w:rPr>
        <w:t>Categorie NGT-2 planten zijn alle andere NGT-planten</w:t>
      </w:r>
      <w:r w:rsidRPr="00CD5B74" w:rsidR="006E5505">
        <w:rPr>
          <w:rFonts w:ascii="Times New Roman" w:hAnsi="Times New Roman" w:cs="Times New Roman"/>
          <w:sz w:val="24"/>
          <w:szCs w:val="24"/>
        </w:rPr>
        <w:t xml:space="preserve">. Deze </w:t>
      </w:r>
      <w:r w:rsidRPr="00CD5B74" w:rsidR="00353BF3">
        <w:rPr>
          <w:rFonts w:ascii="Times New Roman" w:hAnsi="Times New Roman" w:cs="Times New Roman"/>
          <w:sz w:val="24"/>
          <w:szCs w:val="24"/>
        </w:rPr>
        <w:t>blijven wel onder de</w:t>
      </w:r>
      <w:r w:rsidRPr="00CD5B74" w:rsidR="00F4163E">
        <w:rPr>
          <w:rFonts w:ascii="Times New Roman" w:hAnsi="Times New Roman" w:cs="Times New Roman"/>
          <w:sz w:val="24"/>
          <w:szCs w:val="24"/>
        </w:rPr>
        <w:t xml:space="preserve"> reeds bestaande</w:t>
      </w:r>
      <w:r w:rsidRPr="00CD5B74" w:rsidR="00353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B74" w:rsidR="00353BF3">
        <w:rPr>
          <w:rFonts w:ascii="Times New Roman" w:hAnsi="Times New Roman" w:cs="Times New Roman"/>
          <w:sz w:val="24"/>
          <w:szCs w:val="24"/>
        </w:rPr>
        <w:t>ggo</w:t>
      </w:r>
      <w:proofErr w:type="spellEnd"/>
      <w:r w:rsidRPr="00CD5B74" w:rsidR="00353BF3">
        <w:rPr>
          <w:rFonts w:ascii="Times New Roman" w:hAnsi="Times New Roman" w:cs="Times New Roman"/>
          <w:sz w:val="24"/>
          <w:szCs w:val="24"/>
        </w:rPr>
        <w:t xml:space="preserve">-regelgeving vallen. </w:t>
      </w:r>
      <w:r w:rsidRPr="00CD5B74" w:rsidR="00FB790D">
        <w:rPr>
          <w:rFonts w:ascii="Times New Roman" w:hAnsi="Times New Roman" w:cs="Times New Roman"/>
          <w:sz w:val="24"/>
          <w:szCs w:val="24"/>
        </w:rPr>
        <w:t>Het EP en de Raad volgen deze categorisering en definitie</w:t>
      </w:r>
      <w:r w:rsidRPr="00CD5B74" w:rsidR="00553C4C">
        <w:rPr>
          <w:rFonts w:ascii="Times New Roman" w:hAnsi="Times New Roman" w:cs="Times New Roman"/>
          <w:sz w:val="24"/>
          <w:szCs w:val="24"/>
        </w:rPr>
        <w:t xml:space="preserve"> in grote lijnen. De Raad doet één kleine toevoeging aan de NGT-1 definitie, namelijk dat herbicide resistentie </w:t>
      </w:r>
      <w:r w:rsidRPr="00CD5B74" w:rsidR="00F5546C">
        <w:rPr>
          <w:rFonts w:ascii="Times New Roman" w:hAnsi="Times New Roman" w:cs="Times New Roman"/>
          <w:sz w:val="24"/>
          <w:szCs w:val="24"/>
        </w:rPr>
        <w:t>niet tot de eigenschappen voor een NGT-1 plant mag behoren.</w:t>
      </w:r>
    </w:p>
    <w:p w:rsidRPr="00CD5B74" w:rsidR="007266AE" w:rsidRDefault="00092075" w14:paraId="3F116273" w14:textId="0DDCE98D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>Om te toetsen of een plant onder categorie 1 valt moet een verificatieprocedure worden gevolgd</w:t>
      </w:r>
      <w:r w:rsidRPr="00CD5B74" w:rsidR="00574EDC">
        <w:rPr>
          <w:rFonts w:ascii="Times New Roman" w:hAnsi="Times New Roman" w:cs="Times New Roman"/>
          <w:sz w:val="24"/>
          <w:szCs w:val="24"/>
        </w:rPr>
        <w:t xml:space="preserve">. </w:t>
      </w:r>
      <w:r w:rsidRPr="00CD5B74" w:rsidR="000367C4">
        <w:rPr>
          <w:rFonts w:ascii="Times New Roman" w:hAnsi="Times New Roman" w:cs="Times New Roman"/>
          <w:sz w:val="24"/>
          <w:szCs w:val="24"/>
        </w:rPr>
        <w:t xml:space="preserve">Hierbij wordt getoetst aan de gelijkwaardigheidscriteria die in bijlage 1 bij de </w:t>
      </w:r>
      <w:r w:rsidRPr="00CD5B74" w:rsidR="00C61F7D">
        <w:rPr>
          <w:rFonts w:ascii="Times New Roman" w:hAnsi="Times New Roman" w:cs="Times New Roman"/>
          <w:sz w:val="24"/>
          <w:szCs w:val="24"/>
        </w:rPr>
        <w:t>NGT-</w:t>
      </w:r>
      <w:r w:rsidRPr="00CD5B74" w:rsidR="000367C4">
        <w:rPr>
          <w:rFonts w:ascii="Times New Roman" w:hAnsi="Times New Roman" w:cs="Times New Roman"/>
          <w:sz w:val="24"/>
          <w:szCs w:val="24"/>
        </w:rPr>
        <w:t xml:space="preserve">verordening staan opgenomen. </w:t>
      </w:r>
      <w:r w:rsidRPr="00CD5B74" w:rsidR="00C61F7D">
        <w:rPr>
          <w:rFonts w:ascii="Times New Roman" w:hAnsi="Times New Roman" w:cs="Times New Roman"/>
          <w:sz w:val="24"/>
          <w:szCs w:val="24"/>
        </w:rPr>
        <w:t xml:space="preserve">Over </w:t>
      </w:r>
      <w:r w:rsidRPr="00CD5B74" w:rsidR="008E2A9A">
        <w:rPr>
          <w:rFonts w:ascii="Times New Roman" w:hAnsi="Times New Roman" w:cs="Times New Roman"/>
          <w:sz w:val="24"/>
          <w:szCs w:val="24"/>
        </w:rPr>
        <w:t>de</w:t>
      </w:r>
      <w:r w:rsidRPr="00CD5B74" w:rsidR="000367C4">
        <w:rPr>
          <w:rFonts w:ascii="Times New Roman" w:hAnsi="Times New Roman" w:cs="Times New Roman"/>
          <w:sz w:val="24"/>
          <w:szCs w:val="24"/>
        </w:rPr>
        <w:t>ze</w:t>
      </w:r>
      <w:r w:rsidRPr="00CD5B74" w:rsidR="008E2A9A">
        <w:rPr>
          <w:rFonts w:ascii="Times New Roman" w:hAnsi="Times New Roman" w:cs="Times New Roman"/>
          <w:sz w:val="24"/>
          <w:szCs w:val="24"/>
        </w:rPr>
        <w:t xml:space="preserve"> criteria voor de gelijkwaardigheid van NGT-planten aan conventionele planten hebben de Raad en het EP uiteenlopende ideeën</w:t>
      </w:r>
      <w:r w:rsidRPr="00CD5B74" w:rsidR="00773055">
        <w:rPr>
          <w:rFonts w:ascii="Times New Roman" w:hAnsi="Times New Roman" w:cs="Times New Roman"/>
          <w:sz w:val="24"/>
          <w:szCs w:val="24"/>
        </w:rPr>
        <w:t xml:space="preserve">. </w:t>
      </w:r>
      <w:r w:rsidRPr="00CD5B74" w:rsidR="0010131A">
        <w:rPr>
          <w:rFonts w:ascii="Times New Roman" w:hAnsi="Times New Roman" w:cs="Times New Roman"/>
          <w:sz w:val="24"/>
          <w:szCs w:val="24"/>
        </w:rPr>
        <w:t xml:space="preserve">Zo </w:t>
      </w:r>
      <w:r w:rsidRPr="00CD5B74" w:rsidR="00534F81">
        <w:rPr>
          <w:rFonts w:ascii="Times New Roman" w:hAnsi="Times New Roman" w:cs="Times New Roman"/>
          <w:sz w:val="24"/>
          <w:szCs w:val="24"/>
        </w:rPr>
        <w:t xml:space="preserve">zijn er </w:t>
      </w:r>
      <w:r w:rsidRPr="00CD5B74" w:rsidR="00C61F7D">
        <w:rPr>
          <w:rFonts w:ascii="Times New Roman" w:hAnsi="Times New Roman" w:cs="Times New Roman"/>
          <w:sz w:val="24"/>
          <w:szCs w:val="24"/>
        </w:rPr>
        <w:t xml:space="preserve">verschillende </w:t>
      </w:r>
      <w:r w:rsidRPr="00CD5B74" w:rsidR="005B097F">
        <w:rPr>
          <w:rFonts w:ascii="Times New Roman" w:hAnsi="Times New Roman" w:cs="Times New Roman"/>
          <w:sz w:val="24"/>
          <w:szCs w:val="24"/>
        </w:rPr>
        <w:t>ideeën</w:t>
      </w:r>
      <w:r w:rsidRPr="00CD5B74" w:rsidR="00C61F7D">
        <w:rPr>
          <w:rFonts w:ascii="Times New Roman" w:hAnsi="Times New Roman" w:cs="Times New Roman"/>
          <w:sz w:val="24"/>
          <w:szCs w:val="24"/>
        </w:rPr>
        <w:t xml:space="preserve"> </w:t>
      </w:r>
      <w:r w:rsidRPr="00CD5B74" w:rsidR="00534F81">
        <w:rPr>
          <w:rFonts w:ascii="Times New Roman" w:hAnsi="Times New Roman" w:cs="Times New Roman"/>
          <w:sz w:val="24"/>
          <w:szCs w:val="24"/>
        </w:rPr>
        <w:t>over het aantal genetische modificaties</w:t>
      </w:r>
      <w:r w:rsidRPr="00CD5B74" w:rsidR="005132FF">
        <w:rPr>
          <w:rFonts w:ascii="Times New Roman" w:hAnsi="Times New Roman" w:cs="Times New Roman"/>
          <w:sz w:val="24"/>
          <w:szCs w:val="24"/>
        </w:rPr>
        <w:t xml:space="preserve">. Ook maakt de Raad een onderscheid in criteria </w:t>
      </w:r>
      <w:r w:rsidRPr="00CD5B74" w:rsidR="004C07D9">
        <w:rPr>
          <w:rFonts w:ascii="Times New Roman" w:hAnsi="Times New Roman" w:cs="Times New Roman"/>
          <w:sz w:val="24"/>
          <w:szCs w:val="24"/>
        </w:rPr>
        <w:t xml:space="preserve">voor het gebruik van verschillende technieken, mutagenese en </w:t>
      </w:r>
      <w:proofErr w:type="spellStart"/>
      <w:r w:rsidRPr="00CD5B74" w:rsidR="004C07D9">
        <w:rPr>
          <w:rFonts w:ascii="Times New Roman" w:hAnsi="Times New Roman" w:cs="Times New Roman"/>
          <w:sz w:val="24"/>
          <w:szCs w:val="24"/>
        </w:rPr>
        <w:t>cisgenese</w:t>
      </w:r>
      <w:proofErr w:type="spellEnd"/>
      <w:r w:rsidRPr="00CD5B74" w:rsidR="004C07D9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CD5B74" w:rsidR="000019BB" w:rsidRDefault="000019BB" w14:paraId="10CD65E5" w14:textId="7478335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5B74">
        <w:rPr>
          <w:rFonts w:ascii="Times New Roman" w:hAnsi="Times New Roman" w:cs="Times New Roman"/>
          <w:i/>
          <w:iCs/>
          <w:sz w:val="24"/>
          <w:szCs w:val="24"/>
        </w:rPr>
        <w:t>Intellectueel eigendom</w:t>
      </w:r>
      <w:r w:rsidRPr="00CD5B74" w:rsidR="00655899">
        <w:rPr>
          <w:rFonts w:ascii="Times New Roman" w:hAnsi="Times New Roman" w:cs="Times New Roman"/>
          <w:i/>
          <w:iCs/>
          <w:sz w:val="24"/>
          <w:szCs w:val="24"/>
        </w:rPr>
        <w:t xml:space="preserve"> / patenten</w:t>
      </w:r>
    </w:p>
    <w:p w:rsidRPr="00CD5B74" w:rsidR="00F31221" w:rsidRDefault="00B22F8E" w14:paraId="5697DEB2" w14:textId="1149B901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Het voorstel van de Europese Commissie gaat niet in op </w:t>
      </w:r>
      <w:r w:rsidRPr="00CD5B74" w:rsidR="00655899">
        <w:rPr>
          <w:rFonts w:ascii="Times New Roman" w:hAnsi="Times New Roman" w:cs="Times New Roman"/>
          <w:sz w:val="24"/>
          <w:szCs w:val="24"/>
        </w:rPr>
        <w:t xml:space="preserve">het vraagstuk rondom patenten op </w:t>
      </w:r>
      <w:proofErr w:type="spellStart"/>
      <w:r w:rsidRPr="00CD5B74" w:rsidR="00655899">
        <w:rPr>
          <w:rFonts w:ascii="Times New Roman" w:hAnsi="Times New Roman" w:cs="Times New Roman"/>
          <w:sz w:val="24"/>
          <w:szCs w:val="24"/>
        </w:rPr>
        <w:t>NGT’s</w:t>
      </w:r>
      <w:proofErr w:type="spellEnd"/>
      <w:r w:rsidRPr="00CD5B74" w:rsidR="00655899">
        <w:rPr>
          <w:rFonts w:ascii="Times New Roman" w:hAnsi="Times New Roman" w:cs="Times New Roman"/>
          <w:sz w:val="24"/>
          <w:szCs w:val="24"/>
        </w:rPr>
        <w:t xml:space="preserve">. </w:t>
      </w:r>
      <w:r w:rsidRPr="00CD5B74" w:rsidR="00950A3E">
        <w:rPr>
          <w:rFonts w:ascii="Times New Roman" w:hAnsi="Times New Roman" w:cs="Times New Roman"/>
          <w:sz w:val="24"/>
          <w:szCs w:val="24"/>
        </w:rPr>
        <w:t>Volgens de Europese Commissie is deze verordening niet de juist</w:t>
      </w:r>
      <w:r w:rsidRPr="00CD5B74" w:rsidR="00071BE3">
        <w:rPr>
          <w:rFonts w:ascii="Times New Roman" w:hAnsi="Times New Roman" w:cs="Times New Roman"/>
          <w:sz w:val="24"/>
          <w:szCs w:val="24"/>
        </w:rPr>
        <w:t>e</w:t>
      </w:r>
      <w:r w:rsidRPr="00CD5B74" w:rsidR="00950A3E">
        <w:rPr>
          <w:rFonts w:ascii="Times New Roman" w:hAnsi="Times New Roman" w:cs="Times New Roman"/>
          <w:sz w:val="24"/>
          <w:szCs w:val="24"/>
        </w:rPr>
        <w:t xml:space="preserve"> plek om dit vraagstuk te reguleren. </w:t>
      </w:r>
    </w:p>
    <w:p w:rsidRPr="00CD5B74" w:rsidR="00DD5AE7" w:rsidRDefault="00F63555" w14:paraId="4E981A2C" w14:textId="5F83E260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lastRenderedPageBreak/>
        <w:t>Het Europees Parlement stelt in een nieuw voorgesteld artikel (artikel 4a) voor</w:t>
      </w:r>
      <w:r w:rsidRPr="00CD5B74" w:rsidR="00BD1127">
        <w:rPr>
          <w:rFonts w:ascii="Times New Roman" w:hAnsi="Times New Roman" w:cs="Times New Roman"/>
          <w:sz w:val="24"/>
          <w:szCs w:val="24"/>
        </w:rPr>
        <w:t xml:space="preserve"> om een verbod te introduceren </w:t>
      </w:r>
      <w:r w:rsidRPr="00CD5B74" w:rsidR="00606022">
        <w:rPr>
          <w:rFonts w:ascii="Times New Roman" w:hAnsi="Times New Roman" w:cs="Times New Roman"/>
          <w:sz w:val="24"/>
          <w:szCs w:val="24"/>
        </w:rPr>
        <w:t xml:space="preserve">op alle patenten voor NGT-planten, plantaardig materiaal, delen daarvan, genetische NGT-informatie en de daarin vervatte proceskenmerken. </w:t>
      </w:r>
      <w:r w:rsidRPr="00CD5B74" w:rsidR="00EB23C0">
        <w:rPr>
          <w:rFonts w:ascii="Times New Roman" w:hAnsi="Times New Roman" w:cs="Times New Roman"/>
          <w:sz w:val="24"/>
          <w:szCs w:val="24"/>
        </w:rPr>
        <w:t>Tijdens de verificatieprocedure voor NGT-1 planten of producten stelt het EP net als de Raad voor dat de aanv</w:t>
      </w:r>
      <w:r w:rsidRPr="00CD5B74" w:rsidR="00FE303C">
        <w:rPr>
          <w:rFonts w:ascii="Times New Roman" w:hAnsi="Times New Roman" w:cs="Times New Roman"/>
          <w:sz w:val="24"/>
          <w:szCs w:val="24"/>
        </w:rPr>
        <w:t xml:space="preserve">rager ook informatie deelt over lopende of aangevraagde patenten. </w:t>
      </w:r>
    </w:p>
    <w:p w:rsidRPr="00CD5B74" w:rsidR="00F31221" w:rsidRDefault="00F31221" w14:paraId="13B9EB97" w14:textId="783D1897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>De Raad</w:t>
      </w:r>
      <w:r w:rsidRPr="00CD5B74" w:rsidR="00B112F9">
        <w:rPr>
          <w:rFonts w:ascii="Times New Roman" w:hAnsi="Times New Roman" w:cs="Times New Roman"/>
          <w:sz w:val="24"/>
          <w:szCs w:val="24"/>
        </w:rPr>
        <w:t xml:space="preserve"> steunt een dergelijk algemeen verbod op alle patenten voor NGT planten niet.</w:t>
      </w:r>
      <w:r w:rsidRPr="00CD5B74" w:rsidR="007B553B">
        <w:rPr>
          <w:rFonts w:ascii="Times New Roman" w:hAnsi="Times New Roman" w:cs="Times New Roman"/>
          <w:sz w:val="24"/>
          <w:szCs w:val="24"/>
        </w:rPr>
        <w:t xml:space="preserve"> De Raad</w:t>
      </w:r>
      <w:r w:rsidRPr="00CD5B74">
        <w:rPr>
          <w:rFonts w:ascii="Times New Roman" w:hAnsi="Times New Roman" w:cs="Times New Roman"/>
          <w:sz w:val="24"/>
          <w:szCs w:val="24"/>
        </w:rPr>
        <w:t xml:space="preserve"> neemt een wat complexer standpunt in ten aanzien van patenten</w:t>
      </w:r>
      <w:r w:rsidRPr="00CD5B74" w:rsidR="00071BE3">
        <w:rPr>
          <w:rFonts w:ascii="Times New Roman" w:hAnsi="Times New Roman" w:cs="Times New Roman"/>
          <w:sz w:val="24"/>
          <w:szCs w:val="24"/>
        </w:rPr>
        <w:t>. Dit</w:t>
      </w:r>
      <w:r w:rsidRPr="00CD5B74" w:rsidR="00074FDE">
        <w:rPr>
          <w:rFonts w:ascii="Times New Roman" w:hAnsi="Times New Roman" w:cs="Times New Roman"/>
          <w:sz w:val="24"/>
          <w:szCs w:val="24"/>
        </w:rPr>
        <w:t xml:space="preserve"> bestaat uit de volgende elementen:</w:t>
      </w:r>
    </w:p>
    <w:p w:rsidRPr="00CD5B74" w:rsidR="00074FDE" w:rsidP="00074FDE" w:rsidRDefault="00074FDE" w14:paraId="522E1843" w14:textId="0F14175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>Bij de verificatieprocedure voor NGT-1 planten of producten moeten bedrijven of kwekers informatie verstrekken over alle bestaande of aangevraagde patenten. Deze informatie moet ook worden ingevoerd in een openbaar toegankelijke databank</w:t>
      </w:r>
      <w:r w:rsidRPr="00CD5B74" w:rsidR="009212A3">
        <w:rPr>
          <w:rFonts w:ascii="Times New Roman" w:hAnsi="Times New Roman" w:cs="Times New Roman"/>
          <w:sz w:val="24"/>
          <w:szCs w:val="24"/>
        </w:rPr>
        <w:t xml:space="preserve"> van de Europese Commissie die alle categorie NGT-1 planten bevat. </w:t>
      </w:r>
    </w:p>
    <w:p w:rsidRPr="00CD5B74" w:rsidR="009212A3" w:rsidP="00074FDE" w:rsidRDefault="009212A3" w14:paraId="6F46C0E0" w14:textId="020BA38F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Bedrijven of kwekers kunnen op vrijwillige basis ook het voornemen van de octrooihouder kenbaar maken om een vergunning te verlenen voor het gebruik onder billijke voorwaarden van een NGT-1 plant of </w:t>
      </w:r>
      <w:r w:rsidRPr="00CD5B74" w:rsidR="005B097F">
        <w:rPr>
          <w:rFonts w:ascii="Times New Roman" w:hAnsi="Times New Roman" w:cs="Times New Roman"/>
          <w:sz w:val="24"/>
          <w:szCs w:val="24"/>
        </w:rPr>
        <w:t>-</w:t>
      </w:r>
      <w:r w:rsidRPr="00CD5B74">
        <w:rPr>
          <w:rFonts w:ascii="Times New Roman" w:hAnsi="Times New Roman" w:cs="Times New Roman"/>
          <w:sz w:val="24"/>
          <w:szCs w:val="24"/>
        </w:rPr>
        <w:t xml:space="preserve">product waarvoor een patent geldt. </w:t>
      </w:r>
      <w:r w:rsidRPr="00CD5B74" w:rsidR="00F85456">
        <w:rPr>
          <w:rFonts w:ascii="Times New Roman" w:hAnsi="Times New Roman" w:cs="Times New Roman"/>
          <w:sz w:val="24"/>
          <w:szCs w:val="24"/>
        </w:rPr>
        <w:t>Deze informatie moet ook worden ingevoerd in een openbaar toegankelijke databank van de Europese Commissie die alle categorie NGT-1 planten bevat.</w:t>
      </w:r>
    </w:p>
    <w:p w:rsidRPr="00CD5B74" w:rsidR="00F85456" w:rsidP="00074FDE" w:rsidRDefault="00F85456" w14:paraId="0267E19B" w14:textId="00310FE4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Mochten er wijzigingen </w:t>
      </w:r>
      <w:r w:rsidRPr="00CD5B74" w:rsidR="00173DD5">
        <w:rPr>
          <w:rFonts w:ascii="Times New Roman" w:hAnsi="Times New Roman" w:cs="Times New Roman"/>
          <w:sz w:val="24"/>
          <w:szCs w:val="24"/>
        </w:rPr>
        <w:t>ontstaan in de situatie rondom patenten dan wordt de aanvrager verzocht dit zo snel mogelijk door te geven aan de Europese Commissie, zodat de databank zo actueel mogelijk blijft.</w:t>
      </w:r>
    </w:p>
    <w:p w:rsidRPr="00CD5B74" w:rsidR="009212A3" w:rsidP="00074FDE" w:rsidRDefault="00A9632B" w14:paraId="43F7D581" w14:textId="01C15D22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>Er moet een deskundigengroep komen</w:t>
      </w:r>
      <w:r w:rsidRPr="00CD5B74" w:rsidR="005B097F">
        <w:rPr>
          <w:rFonts w:ascii="Times New Roman" w:hAnsi="Times New Roman" w:cs="Times New Roman"/>
          <w:sz w:val="24"/>
          <w:szCs w:val="24"/>
        </w:rPr>
        <w:t>,</w:t>
      </w:r>
      <w:r w:rsidRPr="00CD5B74">
        <w:rPr>
          <w:rFonts w:ascii="Times New Roman" w:hAnsi="Times New Roman" w:cs="Times New Roman"/>
          <w:sz w:val="24"/>
          <w:szCs w:val="24"/>
        </w:rPr>
        <w:t xml:space="preserve"> bestaande uit deskundigen uit alle lidstaten en deskundigen van het Europees Octrooibureau rond de gevolgen van patenten op NGT-planten. </w:t>
      </w:r>
    </w:p>
    <w:p w:rsidRPr="00CD5B74" w:rsidR="00A9632B" w:rsidP="00074FDE" w:rsidRDefault="00EE4FD2" w14:paraId="31D56FF9" w14:textId="08778B4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Een jaar na inwerkingtreding van de NGT verordening moet de Europese Commissie een onderzoek publiceren naar de gevolgen van </w:t>
      </w:r>
      <w:proofErr w:type="spellStart"/>
      <w:r w:rsidRPr="00CD5B74">
        <w:rPr>
          <w:rFonts w:ascii="Times New Roman" w:hAnsi="Times New Roman" w:cs="Times New Roman"/>
          <w:sz w:val="24"/>
          <w:szCs w:val="24"/>
        </w:rPr>
        <w:t>patentering</w:t>
      </w:r>
      <w:proofErr w:type="spellEnd"/>
      <w:r w:rsidRPr="00CD5B74">
        <w:rPr>
          <w:rFonts w:ascii="Times New Roman" w:hAnsi="Times New Roman" w:cs="Times New Roman"/>
          <w:sz w:val="24"/>
          <w:szCs w:val="24"/>
        </w:rPr>
        <w:t xml:space="preserve"> voor innovatie, de beschikbaarheid van zaden voor landbouwers, het concurrentievermogen</w:t>
      </w:r>
      <w:r w:rsidRPr="00CD5B74" w:rsidR="00ED6693">
        <w:rPr>
          <w:rFonts w:ascii="Times New Roman" w:hAnsi="Times New Roman" w:cs="Times New Roman"/>
          <w:sz w:val="24"/>
          <w:szCs w:val="24"/>
        </w:rPr>
        <w:t xml:space="preserve"> en</w:t>
      </w:r>
      <w:r w:rsidRPr="00CD5B74">
        <w:rPr>
          <w:rFonts w:ascii="Times New Roman" w:hAnsi="Times New Roman" w:cs="Times New Roman"/>
          <w:sz w:val="24"/>
          <w:szCs w:val="24"/>
        </w:rPr>
        <w:t xml:space="preserve"> de gewasveredelingssector in de EU</w:t>
      </w:r>
      <w:r w:rsidRPr="00CD5B74" w:rsidR="00ED6693">
        <w:rPr>
          <w:rFonts w:ascii="Times New Roman" w:hAnsi="Times New Roman" w:cs="Times New Roman"/>
          <w:sz w:val="24"/>
          <w:szCs w:val="24"/>
        </w:rPr>
        <w:t xml:space="preserve">. Ook moet de Europese Commissie daarbij ingaan op de toegang van kwekers tot geoctrooieerde NGT-planten. </w:t>
      </w:r>
    </w:p>
    <w:p w:rsidRPr="00CD5B74" w:rsidR="002504F2" w:rsidP="00074FDE" w:rsidRDefault="002504F2" w14:paraId="4BFC7063" w14:textId="59AC5CF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>Het onderzoek van de E</w:t>
      </w:r>
      <w:r w:rsidRPr="00CD5B74" w:rsidR="00A71B17">
        <w:rPr>
          <w:rFonts w:ascii="Times New Roman" w:hAnsi="Times New Roman" w:cs="Times New Roman"/>
          <w:sz w:val="24"/>
          <w:szCs w:val="24"/>
        </w:rPr>
        <w:t>uropese Commissie</w:t>
      </w:r>
      <w:r w:rsidRPr="00CD5B74">
        <w:rPr>
          <w:rFonts w:ascii="Times New Roman" w:hAnsi="Times New Roman" w:cs="Times New Roman"/>
          <w:sz w:val="24"/>
          <w:szCs w:val="24"/>
        </w:rPr>
        <w:t xml:space="preserve"> moet eventueel gevolgd worden door nieuwe maatregelen of nieuwe wetsvoorstellen om eventuele problemen die aan het licht zijn gekomen aan te pakken.</w:t>
      </w:r>
    </w:p>
    <w:p w:rsidRPr="00CD5B74" w:rsidR="002504F2" w:rsidP="00074FDE" w:rsidRDefault="002504F2" w14:paraId="5D038CF4" w14:textId="0E50B14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>Na 4 tot 6 jaar moet de E</w:t>
      </w:r>
      <w:r w:rsidRPr="00CD5B74" w:rsidR="001162C2">
        <w:rPr>
          <w:rFonts w:ascii="Times New Roman" w:hAnsi="Times New Roman" w:cs="Times New Roman"/>
          <w:sz w:val="24"/>
          <w:szCs w:val="24"/>
        </w:rPr>
        <w:t xml:space="preserve">uropese Commissie </w:t>
      </w:r>
      <w:r w:rsidRPr="00CD5B74">
        <w:rPr>
          <w:rFonts w:ascii="Times New Roman" w:hAnsi="Times New Roman" w:cs="Times New Roman"/>
          <w:sz w:val="24"/>
          <w:szCs w:val="24"/>
        </w:rPr>
        <w:t>een nieuw onderzoek doen indien het eerste onderzoek nog geen resultaten opleverde.</w:t>
      </w:r>
    </w:p>
    <w:p w:rsidRPr="00CD5B74" w:rsidR="000019BB" w:rsidRDefault="000019BB" w14:paraId="3A73C80D" w14:textId="785713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5B74">
        <w:rPr>
          <w:rFonts w:ascii="Times New Roman" w:hAnsi="Times New Roman" w:cs="Times New Roman"/>
          <w:i/>
          <w:iCs/>
          <w:sz w:val="24"/>
          <w:szCs w:val="24"/>
        </w:rPr>
        <w:t>Etikettering</w:t>
      </w:r>
      <w:r w:rsidRPr="00CD5B74" w:rsidR="001B0F6B">
        <w:rPr>
          <w:rFonts w:ascii="Times New Roman" w:hAnsi="Times New Roman" w:cs="Times New Roman"/>
          <w:i/>
          <w:iCs/>
          <w:sz w:val="24"/>
          <w:szCs w:val="24"/>
        </w:rPr>
        <w:t xml:space="preserve"> NGT-</w:t>
      </w:r>
      <w:r w:rsidRPr="00CD5B74" w:rsidR="000A1599">
        <w:rPr>
          <w:rFonts w:ascii="Times New Roman" w:hAnsi="Times New Roman" w:cs="Times New Roman"/>
          <w:i/>
          <w:iCs/>
          <w:sz w:val="24"/>
          <w:szCs w:val="24"/>
        </w:rPr>
        <w:t>1 en NGT-2</w:t>
      </w:r>
    </w:p>
    <w:p w:rsidRPr="00CD5B74" w:rsidR="004762D6" w:rsidRDefault="00C4073C" w14:paraId="3049C772" w14:textId="0154C257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Voor </w:t>
      </w:r>
      <w:r w:rsidRPr="00CD5B74" w:rsidR="00411961">
        <w:rPr>
          <w:rFonts w:ascii="Times New Roman" w:hAnsi="Times New Roman" w:cs="Times New Roman"/>
          <w:sz w:val="24"/>
          <w:szCs w:val="24"/>
        </w:rPr>
        <w:t xml:space="preserve">de categorie NGT-1 stelt de Europese Commissie voor dat etikettering </w:t>
      </w:r>
      <w:r w:rsidRPr="00CD5B74" w:rsidR="00A13D3B">
        <w:rPr>
          <w:rFonts w:ascii="Times New Roman" w:hAnsi="Times New Roman" w:cs="Times New Roman"/>
          <w:sz w:val="24"/>
          <w:szCs w:val="24"/>
        </w:rPr>
        <w:t xml:space="preserve">alleen nodig is voor plantaardig teeltmateriaal (inclusief kweekmateriaal). </w:t>
      </w:r>
      <w:r w:rsidRPr="00CD5B74" w:rsidR="0027319B">
        <w:rPr>
          <w:rFonts w:ascii="Times New Roman" w:hAnsi="Times New Roman" w:cs="Times New Roman"/>
          <w:sz w:val="24"/>
          <w:szCs w:val="24"/>
        </w:rPr>
        <w:t>De Raad volgt dit standpunt</w:t>
      </w:r>
      <w:r w:rsidRPr="00CD5B74" w:rsidR="00504A82">
        <w:rPr>
          <w:rFonts w:ascii="Times New Roman" w:hAnsi="Times New Roman" w:cs="Times New Roman"/>
          <w:sz w:val="24"/>
          <w:szCs w:val="24"/>
        </w:rPr>
        <w:t>. Het EP daarentegen wil d</w:t>
      </w:r>
      <w:r w:rsidRPr="00CD5B74" w:rsidR="001B0F6B">
        <w:rPr>
          <w:rFonts w:ascii="Times New Roman" w:hAnsi="Times New Roman" w:cs="Times New Roman"/>
          <w:sz w:val="24"/>
          <w:szCs w:val="24"/>
        </w:rPr>
        <w:t>it uitbreiden naar alle producten gemaakt met NGT-1 planten</w:t>
      </w:r>
      <w:r w:rsidRPr="00CD5B74" w:rsidR="001162C2">
        <w:rPr>
          <w:rFonts w:ascii="Times New Roman" w:hAnsi="Times New Roman" w:cs="Times New Roman"/>
          <w:sz w:val="24"/>
          <w:szCs w:val="24"/>
        </w:rPr>
        <w:t xml:space="preserve"> of plantaardig teeltmateriaal</w:t>
      </w:r>
      <w:r w:rsidRPr="00CD5B74" w:rsidR="001B0F6B">
        <w:rPr>
          <w:rFonts w:ascii="Times New Roman" w:hAnsi="Times New Roman" w:cs="Times New Roman"/>
          <w:sz w:val="24"/>
          <w:szCs w:val="24"/>
        </w:rPr>
        <w:t xml:space="preserve">. </w:t>
      </w:r>
      <w:r w:rsidRPr="00CD5B74" w:rsidR="00965377">
        <w:rPr>
          <w:rFonts w:ascii="Times New Roman" w:hAnsi="Times New Roman" w:cs="Times New Roman"/>
          <w:sz w:val="24"/>
          <w:szCs w:val="24"/>
        </w:rPr>
        <w:t>Het EP benadrukt daarbij het belang van traceerbaarheid.</w:t>
      </w:r>
    </w:p>
    <w:p w:rsidRPr="00CD5B74" w:rsidR="00E74925" w:rsidRDefault="00E74925" w14:paraId="395CEF99" w14:textId="3E965225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Voor NGT-2 </w:t>
      </w:r>
      <w:r w:rsidRPr="00CD5B74" w:rsidR="00377921">
        <w:rPr>
          <w:rFonts w:ascii="Times New Roman" w:hAnsi="Times New Roman" w:cs="Times New Roman"/>
          <w:sz w:val="24"/>
          <w:szCs w:val="24"/>
        </w:rPr>
        <w:t xml:space="preserve">zijn de drie EU-instellingen het eens dat de </w:t>
      </w:r>
      <w:proofErr w:type="spellStart"/>
      <w:r w:rsidRPr="00CD5B74" w:rsidR="00377921">
        <w:rPr>
          <w:rFonts w:ascii="Times New Roman" w:hAnsi="Times New Roman" w:cs="Times New Roman"/>
          <w:sz w:val="24"/>
          <w:szCs w:val="24"/>
        </w:rPr>
        <w:t>ggo</w:t>
      </w:r>
      <w:proofErr w:type="spellEnd"/>
      <w:r w:rsidRPr="00CD5B74" w:rsidR="00377921">
        <w:rPr>
          <w:rFonts w:ascii="Times New Roman" w:hAnsi="Times New Roman" w:cs="Times New Roman"/>
          <w:sz w:val="24"/>
          <w:szCs w:val="24"/>
        </w:rPr>
        <w:t xml:space="preserve">-regelgeving blijft gelden </w:t>
      </w:r>
      <w:r w:rsidRPr="00CD5B74" w:rsidR="005B097F">
        <w:rPr>
          <w:rFonts w:ascii="Times New Roman" w:hAnsi="Times New Roman" w:cs="Times New Roman"/>
          <w:sz w:val="24"/>
          <w:szCs w:val="24"/>
        </w:rPr>
        <w:t>voor</w:t>
      </w:r>
      <w:r w:rsidRPr="00CD5B74" w:rsidR="00377921">
        <w:rPr>
          <w:rFonts w:ascii="Times New Roman" w:hAnsi="Times New Roman" w:cs="Times New Roman"/>
          <w:sz w:val="24"/>
          <w:szCs w:val="24"/>
        </w:rPr>
        <w:t xml:space="preserve"> de etikettering</w:t>
      </w:r>
      <w:r w:rsidRPr="00CD5B74" w:rsidR="00F14927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CD5B74" w:rsidR="00F14927" w:rsidRDefault="00F14927" w14:paraId="2B3A000B" w14:textId="38AC75CD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D5B74">
        <w:rPr>
          <w:rFonts w:ascii="Times New Roman" w:hAnsi="Times New Roman" w:cs="Times New Roman"/>
          <w:i/>
          <w:iCs/>
          <w:sz w:val="24"/>
          <w:szCs w:val="24"/>
        </w:rPr>
        <w:t>Opt</w:t>
      </w:r>
      <w:proofErr w:type="spellEnd"/>
      <w:r w:rsidRPr="00CD5B74">
        <w:rPr>
          <w:rFonts w:ascii="Times New Roman" w:hAnsi="Times New Roman" w:cs="Times New Roman"/>
          <w:i/>
          <w:iCs/>
          <w:sz w:val="24"/>
          <w:szCs w:val="24"/>
        </w:rPr>
        <w:t>-out</w:t>
      </w:r>
    </w:p>
    <w:p w:rsidRPr="00CD5B74" w:rsidR="00F14927" w:rsidRDefault="00F14927" w14:paraId="0A6543A6" w14:textId="7185BB8C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De Raad stelt een </w:t>
      </w:r>
      <w:proofErr w:type="spellStart"/>
      <w:r w:rsidRPr="00CD5B74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CD5B74">
        <w:rPr>
          <w:rFonts w:ascii="Times New Roman" w:hAnsi="Times New Roman" w:cs="Times New Roman"/>
          <w:sz w:val="24"/>
          <w:szCs w:val="24"/>
        </w:rPr>
        <w:t>-out voor lidstaten voor</w:t>
      </w:r>
      <w:r w:rsidRPr="00CD5B74" w:rsidR="00585512">
        <w:rPr>
          <w:rFonts w:ascii="Times New Roman" w:hAnsi="Times New Roman" w:cs="Times New Roman"/>
          <w:sz w:val="24"/>
          <w:szCs w:val="24"/>
        </w:rPr>
        <w:t>, waardoor</w:t>
      </w:r>
      <w:r w:rsidRPr="00CD5B74">
        <w:rPr>
          <w:rFonts w:ascii="Times New Roman" w:hAnsi="Times New Roman" w:cs="Times New Roman"/>
          <w:sz w:val="24"/>
          <w:szCs w:val="24"/>
        </w:rPr>
        <w:t xml:space="preserve"> lidstaten de teelt van NGT-planten van categorie 2 op hun grondgebied kunnen verbieden. </w:t>
      </w:r>
      <w:r w:rsidRPr="00CD5B74" w:rsidR="00B154B6">
        <w:rPr>
          <w:rFonts w:ascii="Times New Roman" w:hAnsi="Times New Roman" w:cs="Times New Roman"/>
          <w:sz w:val="24"/>
          <w:szCs w:val="24"/>
        </w:rPr>
        <w:t xml:space="preserve">Hierbij volgt de Raad de bestaande </w:t>
      </w:r>
      <w:proofErr w:type="spellStart"/>
      <w:r w:rsidRPr="00CD5B74" w:rsidR="00E17BB6">
        <w:rPr>
          <w:rFonts w:ascii="Times New Roman" w:hAnsi="Times New Roman" w:cs="Times New Roman"/>
          <w:sz w:val="24"/>
          <w:szCs w:val="24"/>
        </w:rPr>
        <w:lastRenderedPageBreak/>
        <w:t>procedure</w:t>
      </w:r>
      <w:r w:rsidRPr="00CD5B74" w:rsidR="00B154B6">
        <w:rPr>
          <w:rFonts w:ascii="Times New Roman" w:hAnsi="Times New Roman" w:cs="Times New Roman"/>
          <w:sz w:val="24"/>
          <w:szCs w:val="24"/>
        </w:rPr>
        <w:t>uit</w:t>
      </w:r>
      <w:proofErr w:type="spellEnd"/>
      <w:r w:rsidRPr="00CD5B74" w:rsidR="00B154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5B74" w:rsidR="00B154B6">
        <w:rPr>
          <w:rFonts w:ascii="Times New Roman" w:hAnsi="Times New Roman" w:cs="Times New Roman"/>
          <w:sz w:val="24"/>
          <w:szCs w:val="24"/>
        </w:rPr>
        <w:t>ggo</w:t>
      </w:r>
      <w:proofErr w:type="spellEnd"/>
      <w:r w:rsidRPr="00CD5B74" w:rsidR="00B154B6">
        <w:rPr>
          <w:rFonts w:ascii="Times New Roman" w:hAnsi="Times New Roman" w:cs="Times New Roman"/>
          <w:sz w:val="24"/>
          <w:szCs w:val="24"/>
        </w:rPr>
        <w:t xml:space="preserve">-regelgeving. </w:t>
      </w:r>
      <w:r w:rsidRPr="00CD5B74" w:rsidR="00585512">
        <w:rPr>
          <w:rFonts w:ascii="Times New Roman" w:hAnsi="Times New Roman" w:cs="Times New Roman"/>
          <w:sz w:val="24"/>
          <w:szCs w:val="24"/>
        </w:rPr>
        <w:t xml:space="preserve">Zowel het voorstel van de Europese Commissie als de positie van het EP </w:t>
      </w:r>
      <w:r w:rsidRPr="00CD5B74" w:rsidR="00A50398">
        <w:rPr>
          <w:rFonts w:ascii="Times New Roman" w:hAnsi="Times New Roman" w:cs="Times New Roman"/>
          <w:sz w:val="24"/>
          <w:szCs w:val="24"/>
        </w:rPr>
        <w:t>bevatten geen der</w:t>
      </w:r>
      <w:r w:rsidRPr="00CD5B74" w:rsidR="004052A7">
        <w:rPr>
          <w:rFonts w:ascii="Times New Roman" w:hAnsi="Times New Roman" w:cs="Times New Roman"/>
          <w:sz w:val="24"/>
          <w:szCs w:val="24"/>
        </w:rPr>
        <w:t xml:space="preserve">gelijke </w:t>
      </w:r>
      <w:proofErr w:type="spellStart"/>
      <w:r w:rsidRPr="00CD5B74" w:rsidR="004052A7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CD5B74" w:rsidR="004052A7">
        <w:rPr>
          <w:rFonts w:ascii="Times New Roman" w:hAnsi="Times New Roman" w:cs="Times New Roman"/>
          <w:sz w:val="24"/>
          <w:szCs w:val="24"/>
        </w:rPr>
        <w:t>-out.</w:t>
      </w:r>
    </w:p>
    <w:p w:rsidRPr="00CD5B74" w:rsidR="001162C2" w:rsidRDefault="001162C2" w14:paraId="57D60FAC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Pr="00CD5B74" w:rsidR="001162C2" w:rsidRDefault="001162C2" w14:paraId="68368418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Pr="00CD5B74" w:rsidR="00B4255D" w:rsidRDefault="00B4255D" w14:paraId="71B0503A" w14:textId="4A2428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5B74">
        <w:rPr>
          <w:rFonts w:ascii="Times New Roman" w:hAnsi="Times New Roman" w:cs="Times New Roman"/>
          <w:i/>
          <w:iCs/>
          <w:sz w:val="24"/>
          <w:szCs w:val="24"/>
        </w:rPr>
        <w:t>NGT in de biologische sector</w:t>
      </w:r>
    </w:p>
    <w:p w:rsidRPr="00CD5B74" w:rsidR="00690F87" w:rsidRDefault="00690F87" w14:paraId="589F30C2" w14:textId="24F2B8B9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De drie EU-instellingen zitten op dezelfde lijn dat </w:t>
      </w:r>
      <w:proofErr w:type="spellStart"/>
      <w:r w:rsidRPr="00CD5B74">
        <w:rPr>
          <w:rFonts w:ascii="Times New Roman" w:hAnsi="Times New Roman" w:cs="Times New Roman"/>
          <w:sz w:val="24"/>
          <w:szCs w:val="24"/>
        </w:rPr>
        <w:t>NGT</w:t>
      </w:r>
      <w:r w:rsidRPr="00CD5B74" w:rsidR="009A3F91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Pr="00CD5B74" w:rsidR="009A3F91">
        <w:rPr>
          <w:rFonts w:ascii="Times New Roman" w:hAnsi="Times New Roman" w:cs="Times New Roman"/>
          <w:sz w:val="24"/>
          <w:szCs w:val="24"/>
        </w:rPr>
        <w:t xml:space="preserve"> </w:t>
      </w:r>
      <w:r w:rsidRPr="00CD5B74">
        <w:rPr>
          <w:rFonts w:ascii="Times New Roman" w:hAnsi="Times New Roman" w:cs="Times New Roman"/>
          <w:sz w:val="24"/>
          <w:szCs w:val="24"/>
        </w:rPr>
        <w:t xml:space="preserve">worden verboden in de biologische </w:t>
      </w:r>
      <w:r w:rsidRPr="00CD5B74" w:rsidR="009A3F91">
        <w:rPr>
          <w:rFonts w:ascii="Times New Roman" w:hAnsi="Times New Roman" w:cs="Times New Roman"/>
          <w:sz w:val="24"/>
          <w:szCs w:val="24"/>
        </w:rPr>
        <w:t>teelt.</w:t>
      </w:r>
      <w:r w:rsidRPr="00CD5B74" w:rsidR="00F3223A">
        <w:rPr>
          <w:rFonts w:ascii="Times New Roman" w:hAnsi="Times New Roman" w:cs="Times New Roman"/>
          <w:sz w:val="24"/>
          <w:szCs w:val="24"/>
        </w:rPr>
        <w:t xml:space="preserve"> De Raad geeft daarbij </w:t>
      </w:r>
      <w:r w:rsidRPr="00CD5B74" w:rsidR="0060159E">
        <w:rPr>
          <w:rFonts w:ascii="Times New Roman" w:hAnsi="Times New Roman" w:cs="Times New Roman"/>
          <w:sz w:val="24"/>
          <w:szCs w:val="24"/>
        </w:rPr>
        <w:t xml:space="preserve">ook specifiek nog aan dat lidstaten de mogelijkheid moeten hebben om maatregelen te nemen tegen de onbedoelde aanwezigheid van NGT-1 planten in de biologische landbouw op hun grondgebied, met name in gebieden met specifieke geografische kenmerken zoals eilandstaten. </w:t>
      </w:r>
    </w:p>
    <w:p w:rsidRPr="00CD5B74" w:rsidR="00B82F95" w:rsidP="003C3BA0" w:rsidRDefault="0056363E" w14:paraId="29DF5EC8" w14:textId="2EC03C6B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D5B74" w:rsidR="006D356A" w:rsidRDefault="0090400C" w14:paraId="63B80D75" w14:textId="21339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B74">
        <w:rPr>
          <w:rFonts w:ascii="Times New Roman" w:hAnsi="Times New Roman" w:cs="Times New Roman"/>
          <w:b/>
          <w:bCs/>
          <w:sz w:val="24"/>
          <w:szCs w:val="24"/>
        </w:rPr>
        <w:t>Vervolg van het EU-</w:t>
      </w:r>
      <w:proofErr w:type="spellStart"/>
      <w:r w:rsidRPr="00CD5B74">
        <w:rPr>
          <w:rFonts w:ascii="Times New Roman" w:hAnsi="Times New Roman" w:cs="Times New Roman"/>
          <w:b/>
          <w:bCs/>
          <w:sz w:val="24"/>
          <w:szCs w:val="24"/>
        </w:rPr>
        <w:t>rapporteurschap</w:t>
      </w:r>
      <w:proofErr w:type="spellEnd"/>
    </w:p>
    <w:p w:rsidRPr="00CD5B74" w:rsidR="00321722" w:rsidP="00321722" w:rsidRDefault="00321722" w14:paraId="2672B76F" w14:textId="56F7DFD4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 xml:space="preserve">Op korte termijn zal ik als rapporteur een werkbezoek brengen aan Brussel om nader in kaart te brengen hoe de EU-instellingen de onderhandelingen </w:t>
      </w:r>
      <w:r w:rsidRPr="00CD5B74" w:rsidR="002A4FD5">
        <w:rPr>
          <w:rFonts w:ascii="Times New Roman" w:hAnsi="Times New Roman" w:cs="Times New Roman"/>
          <w:sz w:val="24"/>
          <w:szCs w:val="24"/>
        </w:rPr>
        <w:t>in zullen gaa</w:t>
      </w:r>
      <w:r w:rsidRPr="00CD5B74" w:rsidR="0004472E">
        <w:rPr>
          <w:rFonts w:ascii="Times New Roman" w:hAnsi="Times New Roman" w:cs="Times New Roman"/>
          <w:sz w:val="24"/>
          <w:szCs w:val="24"/>
        </w:rPr>
        <w:t xml:space="preserve">n over de belangrijkste punten waarin de posities van elkaar afwijken. </w:t>
      </w:r>
      <w:r w:rsidRPr="00CD5B74">
        <w:rPr>
          <w:rFonts w:ascii="Times New Roman" w:hAnsi="Times New Roman" w:cs="Times New Roman"/>
          <w:sz w:val="24"/>
          <w:szCs w:val="24"/>
        </w:rPr>
        <w:t xml:space="preserve">Over deze activiteit zal ik na afloop wederom verslag doen. </w:t>
      </w:r>
    </w:p>
    <w:p w:rsidRPr="00CD5B74" w:rsidR="0090400C" w:rsidRDefault="0090400C" w14:paraId="3C03A63D" w14:textId="35381763">
      <w:pPr>
        <w:rPr>
          <w:rFonts w:ascii="Times New Roman" w:hAnsi="Times New Roman" w:cs="Times New Roman"/>
          <w:sz w:val="24"/>
          <w:szCs w:val="24"/>
        </w:rPr>
      </w:pPr>
    </w:p>
    <w:p w:rsidRPr="00CD5B74" w:rsidR="0090400C" w:rsidRDefault="0090400C" w14:paraId="5CE4F34E" w14:textId="344A6C81">
      <w:pPr>
        <w:rPr>
          <w:rFonts w:ascii="Times New Roman" w:hAnsi="Times New Roman" w:cs="Times New Roman"/>
          <w:sz w:val="24"/>
          <w:szCs w:val="24"/>
        </w:rPr>
      </w:pPr>
      <w:r w:rsidRPr="00CD5B74">
        <w:rPr>
          <w:rFonts w:ascii="Times New Roman" w:hAnsi="Times New Roman" w:cs="Times New Roman"/>
          <w:sz w:val="24"/>
          <w:szCs w:val="24"/>
        </w:rPr>
        <w:t>Meulenkamp</w:t>
      </w:r>
    </w:p>
    <w:sectPr w:rsidRPr="00CD5B74" w:rsidR="0090400C" w:rsidSect="00196ED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9013" w14:textId="77777777" w:rsidR="0077335B" w:rsidRDefault="0077335B" w:rsidP="003B2021">
      <w:pPr>
        <w:spacing w:after="0" w:line="240" w:lineRule="auto"/>
      </w:pPr>
      <w:r>
        <w:separator/>
      </w:r>
    </w:p>
  </w:endnote>
  <w:endnote w:type="continuationSeparator" w:id="0">
    <w:p w14:paraId="4F919D32" w14:textId="77777777" w:rsidR="0077335B" w:rsidRDefault="0077335B" w:rsidP="003B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91BC" w14:textId="77777777" w:rsidR="0077335B" w:rsidRDefault="0077335B" w:rsidP="003B2021">
      <w:pPr>
        <w:spacing w:after="0" w:line="240" w:lineRule="auto"/>
      </w:pPr>
      <w:r>
        <w:separator/>
      </w:r>
    </w:p>
  </w:footnote>
  <w:footnote w:type="continuationSeparator" w:id="0">
    <w:p w14:paraId="1ECC4506" w14:textId="77777777" w:rsidR="0077335B" w:rsidRDefault="0077335B" w:rsidP="003B2021">
      <w:pPr>
        <w:spacing w:after="0" w:line="240" w:lineRule="auto"/>
      </w:pPr>
      <w:r>
        <w:continuationSeparator/>
      </w:r>
    </w:p>
  </w:footnote>
  <w:footnote w:id="1">
    <w:p w14:paraId="31957EC6" w14:textId="6FB5F07D" w:rsidR="00E01652" w:rsidRPr="00767CB0" w:rsidRDefault="00E01652">
      <w:pPr>
        <w:pStyle w:val="Voetnoottekst"/>
        <w:rPr>
          <w:rFonts w:ascii="Times New Roman" w:hAnsi="Times New Roman" w:cs="Times New Roman"/>
          <w:sz w:val="18"/>
          <w:szCs w:val="18"/>
        </w:rPr>
      </w:pPr>
      <w:r w:rsidRPr="00767CB0">
        <w:rPr>
          <w:rStyle w:val="Voetnootmarkering"/>
          <w:rFonts w:ascii="Times New Roman" w:hAnsi="Times New Roman" w:cs="Times New Roman"/>
          <w:sz w:val="18"/>
          <w:szCs w:val="18"/>
        </w:rPr>
        <w:footnoteRef/>
      </w:r>
      <w:r w:rsidRPr="00767CB0">
        <w:rPr>
          <w:rFonts w:ascii="Times New Roman" w:hAnsi="Times New Roman" w:cs="Times New Roman"/>
          <w:sz w:val="18"/>
          <w:szCs w:val="18"/>
        </w:rPr>
        <w:t xml:space="preserve"> De Europese Commissie heeft het voorstel voor een verordening inzake nieuwe </w:t>
      </w:r>
      <w:proofErr w:type="spellStart"/>
      <w:r w:rsidRPr="00767CB0">
        <w:rPr>
          <w:rFonts w:ascii="Times New Roman" w:hAnsi="Times New Roman" w:cs="Times New Roman"/>
          <w:sz w:val="18"/>
          <w:szCs w:val="18"/>
        </w:rPr>
        <w:t>genomische</w:t>
      </w:r>
      <w:proofErr w:type="spellEnd"/>
      <w:r w:rsidRPr="00767CB0">
        <w:rPr>
          <w:rFonts w:ascii="Times New Roman" w:hAnsi="Times New Roman" w:cs="Times New Roman"/>
          <w:sz w:val="18"/>
          <w:szCs w:val="18"/>
        </w:rPr>
        <w:t xml:space="preserve"> technieken (COM</w:t>
      </w:r>
      <w:r w:rsidR="00CD5B74">
        <w:rPr>
          <w:rFonts w:ascii="Times New Roman" w:hAnsi="Times New Roman" w:cs="Times New Roman"/>
          <w:sz w:val="18"/>
          <w:szCs w:val="18"/>
        </w:rPr>
        <w:t xml:space="preserve"> </w:t>
      </w:r>
      <w:r w:rsidRPr="00767CB0">
        <w:rPr>
          <w:rFonts w:ascii="Times New Roman" w:hAnsi="Times New Roman" w:cs="Times New Roman"/>
          <w:sz w:val="18"/>
          <w:szCs w:val="18"/>
        </w:rPr>
        <w:t>(2023)</w:t>
      </w:r>
      <w:r w:rsidR="00CD5B74">
        <w:rPr>
          <w:rFonts w:ascii="Times New Roman" w:hAnsi="Times New Roman" w:cs="Times New Roman"/>
          <w:sz w:val="18"/>
          <w:szCs w:val="18"/>
        </w:rPr>
        <w:t xml:space="preserve"> </w:t>
      </w:r>
      <w:r w:rsidRPr="00767CB0">
        <w:rPr>
          <w:rFonts w:ascii="Times New Roman" w:hAnsi="Times New Roman" w:cs="Times New Roman"/>
          <w:sz w:val="18"/>
          <w:szCs w:val="18"/>
        </w:rPr>
        <w:t>411) gepresenteerd op 5 juli 2023.</w:t>
      </w:r>
    </w:p>
  </w:footnote>
  <w:footnote w:id="2">
    <w:p w14:paraId="6FA987E2" w14:textId="453853FC" w:rsidR="00DE381E" w:rsidRPr="00767CB0" w:rsidRDefault="00DE381E">
      <w:pPr>
        <w:pStyle w:val="Voetnoottekst"/>
        <w:rPr>
          <w:rFonts w:ascii="Times New Roman" w:hAnsi="Times New Roman" w:cs="Times New Roman"/>
          <w:sz w:val="18"/>
          <w:szCs w:val="18"/>
        </w:rPr>
      </w:pPr>
      <w:r w:rsidRPr="00767CB0">
        <w:rPr>
          <w:rStyle w:val="Voetnootmarkering"/>
          <w:rFonts w:ascii="Times New Roman" w:hAnsi="Times New Roman" w:cs="Times New Roman"/>
          <w:sz w:val="18"/>
          <w:szCs w:val="18"/>
        </w:rPr>
        <w:footnoteRef/>
      </w:r>
      <w:r w:rsidRPr="00767CB0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767CB0">
          <w:rPr>
            <w:rStyle w:val="Hyperlink"/>
            <w:rFonts w:ascii="Times New Roman" w:hAnsi="Times New Roman" w:cs="Times New Roman"/>
            <w:sz w:val="18"/>
            <w:szCs w:val="18"/>
          </w:rPr>
          <w:t>6426/25</w:t>
        </w:r>
      </w:hyperlink>
      <w:r w:rsidRPr="00767CB0">
        <w:rPr>
          <w:rFonts w:ascii="Times New Roman" w:hAnsi="Times New Roman" w:cs="Times New Roman"/>
          <w:sz w:val="18"/>
          <w:szCs w:val="18"/>
        </w:rPr>
        <w:t>,</w:t>
      </w:r>
      <w:r w:rsidR="005D582B" w:rsidRPr="00767CB0">
        <w:rPr>
          <w:rFonts w:ascii="Times New Roman" w:hAnsi="Times New Roman" w:cs="Times New Roman"/>
          <w:sz w:val="18"/>
          <w:szCs w:val="18"/>
        </w:rPr>
        <w:t xml:space="preserve"> </w:t>
      </w:r>
      <w:r w:rsidR="00FB31A9" w:rsidRPr="00767CB0">
        <w:rPr>
          <w:rFonts w:ascii="Times New Roman" w:hAnsi="Times New Roman" w:cs="Times New Roman"/>
          <w:sz w:val="18"/>
          <w:szCs w:val="18"/>
        </w:rPr>
        <w:t xml:space="preserve">algemene oriëntatie </w:t>
      </w:r>
      <w:r w:rsidR="005D582B" w:rsidRPr="00767CB0">
        <w:rPr>
          <w:rFonts w:ascii="Times New Roman" w:hAnsi="Times New Roman" w:cs="Times New Roman"/>
          <w:sz w:val="18"/>
          <w:szCs w:val="18"/>
        </w:rPr>
        <w:t>van de Raad.</w:t>
      </w:r>
      <w:hyperlink r:id="rId2" w:history="1"/>
    </w:p>
  </w:footnote>
  <w:footnote w:id="3">
    <w:p w14:paraId="65C5CD62" w14:textId="7289ED42" w:rsidR="00F47DBC" w:rsidRDefault="00F47DBC">
      <w:pPr>
        <w:pStyle w:val="Voetnoottekst"/>
      </w:pPr>
      <w:r w:rsidRPr="00767CB0">
        <w:rPr>
          <w:rStyle w:val="Voetnootmarkering"/>
          <w:rFonts w:ascii="Times New Roman" w:hAnsi="Times New Roman" w:cs="Times New Roman"/>
          <w:sz w:val="18"/>
          <w:szCs w:val="18"/>
        </w:rPr>
        <w:footnoteRef/>
      </w:r>
      <w:r w:rsidRPr="00767CB0">
        <w:rPr>
          <w:rFonts w:ascii="Times New Roman" w:hAnsi="Times New Roman" w:cs="Times New Roman"/>
          <w:sz w:val="18"/>
          <w:szCs w:val="18"/>
        </w:rPr>
        <w:t xml:space="preserve"> </w:t>
      </w:r>
      <w:hyperlink r:id="rId3" w:history="1">
        <w:r w:rsidRPr="00767CB0">
          <w:rPr>
            <w:rStyle w:val="Hyperlink"/>
            <w:rFonts w:ascii="Times New Roman" w:hAnsi="Times New Roman" w:cs="Times New Roman"/>
            <w:sz w:val="18"/>
            <w:szCs w:val="18"/>
          </w:rPr>
          <w:t>P9_TA(2024)0325</w:t>
        </w:r>
      </w:hyperlink>
      <w:r w:rsidRPr="00767CB0">
        <w:rPr>
          <w:rFonts w:ascii="Times New Roman" w:hAnsi="Times New Roman" w:cs="Times New Roman"/>
          <w:sz w:val="18"/>
          <w:szCs w:val="18"/>
        </w:rPr>
        <w:t>, algemene oriëntatie van het Europees Parlement.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0CE5" w14:textId="77777777" w:rsidR="003B2021" w:rsidRPr="003B2021" w:rsidRDefault="003B2021" w:rsidP="003B2021">
    <w:pPr>
      <w:pStyle w:val="Koptekst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F6279"/>
    <w:multiLevelType w:val="hybridMultilevel"/>
    <w:tmpl w:val="0220D834"/>
    <w:lvl w:ilvl="0" w:tplc="67FCA3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4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11"/>
    <w:rsid w:val="00001069"/>
    <w:rsid w:val="000019BB"/>
    <w:rsid w:val="00006072"/>
    <w:rsid w:val="000367C4"/>
    <w:rsid w:val="0004472E"/>
    <w:rsid w:val="00071BE3"/>
    <w:rsid w:val="00071C1D"/>
    <w:rsid w:val="00074FDE"/>
    <w:rsid w:val="000824E5"/>
    <w:rsid w:val="00092075"/>
    <w:rsid w:val="000A1599"/>
    <w:rsid w:val="000A52DB"/>
    <w:rsid w:val="000C2318"/>
    <w:rsid w:val="000E30D2"/>
    <w:rsid w:val="000E3869"/>
    <w:rsid w:val="0010131A"/>
    <w:rsid w:val="00112120"/>
    <w:rsid w:val="001162C2"/>
    <w:rsid w:val="00121468"/>
    <w:rsid w:val="001401CF"/>
    <w:rsid w:val="0016061B"/>
    <w:rsid w:val="001626BC"/>
    <w:rsid w:val="00165C66"/>
    <w:rsid w:val="00173DD5"/>
    <w:rsid w:val="00182665"/>
    <w:rsid w:val="00190426"/>
    <w:rsid w:val="001912C7"/>
    <w:rsid w:val="00196ED0"/>
    <w:rsid w:val="001A0867"/>
    <w:rsid w:val="001B0F6B"/>
    <w:rsid w:val="001C2706"/>
    <w:rsid w:val="0021483F"/>
    <w:rsid w:val="00225FC7"/>
    <w:rsid w:val="00237D4E"/>
    <w:rsid w:val="002464DE"/>
    <w:rsid w:val="002504F2"/>
    <w:rsid w:val="0027319B"/>
    <w:rsid w:val="00273EBF"/>
    <w:rsid w:val="0028508E"/>
    <w:rsid w:val="00286580"/>
    <w:rsid w:val="002A3FDD"/>
    <w:rsid w:val="002A4FD5"/>
    <w:rsid w:val="002C6652"/>
    <w:rsid w:val="0030639E"/>
    <w:rsid w:val="00321722"/>
    <w:rsid w:val="00335FEE"/>
    <w:rsid w:val="00353BF3"/>
    <w:rsid w:val="00377921"/>
    <w:rsid w:val="0039008E"/>
    <w:rsid w:val="0039037C"/>
    <w:rsid w:val="003906DA"/>
    <w:rsid w:val="00393E47"/>
    <w:rsid w:val="00397CCE"/>
    <w:rsid w:val="003A7540"/>
    <w:rsid w:val="003B2021"/>
    <w:rsid w:val="003C3BA0"/>
    <w:rsid w:val="003D0669"/>
    <w:rsid w:val="004052A7"/>
    <w:rsid w:val="004072EF"/>
    <w:rsid w:val="00411961"/>
    <w:rsid w:val="0041464C"/>
    <w:rsid w:val="0043040A"/>
    <w:rsid w:val="00470B67"/>
    <w:rsid w:val="0047123C"/>
    <w:rsid w:val="00476027"/>
    <w:rsid w:val="004762D6"/>
    <w:rsid w:val="004C07D9"/>
    <w:rsid w:val="004E6287"/>
    <w:rsid w:val="00504A82"/>
    <w:rsid w:val="0050714C"/>
    <w:rsid w:val="005132FF"/>
    <w:rsid w:val="00534F81"/>
    <w:rsid w:val="00553C4C"/>
    <w:rsid w:val="0056363E"/>
    <w:rsid w:val="00565920"/>
    <w:rsid w:val="00574EDC"/>
    <w:rsid w:val="00585512"/>
    <w:rsid w:val="00590AA2"/>
    <w:rsid w:val="005A2604"/>
    <w:rsid w:val="005B097F"/>
    <w:rsid w:val="005B5632"/>
    <w:rsid w:val="005D01FB"/>
    <w:rsid w:val="005D582B"/>
    <w:rsid w:val="005E608C"/>
    <w:rsid w:val="005F7688"/>
    <w:rsid w:val="0060159E"/>
    <w:rsid w:val="006029C9"/>
    <w:rsid w:val="00606022"/>
    <w:rsid w:val="00637DCB"/>
    <w:rsid w:val="0065319B"/>
    <w:rsid w:val="00655899"/>
    <w:rsid w:val="0065691A"/>
    <w:rsid w:val="00666E68"/>
    <w:rsid w:val="0067441F"/>
    <w:rsid w:val="00690F87"/>
    <w:rsid w:val="006B1DF5"/>
    <w:rsid w:val="006D041D"/>
    <w:rsid w:val="006D356A"/>
    <w:rsid w:val="006E08EB"/>
    <w:rsid w:val="006E0E52"/>
    <w:rsid w:val="006E5505"/>
    <w:rsid w:val="006E625D"/>
    <w:rsid w:val="00722A11"/>
    <w:rsid w:val="007266AE"/>
    <w:rsid w:val="007338FF"/>
    <w:rsid w:val="0074042E"/>
    <w:rsid w:val="00744DEC"/>
    <w:rsid w:val="00760E08"/>
    <w:rsid w:val="007637C7"/>
    <w:rsid w:val="00767CB0"/>
    <w:rsid w:val="00773055"/>
    <w:rsid w:val="0077335B"/>
    <w:rsid w:val="007830C6"/>
    <w:rsid w:val="00797761"/>
    <w:rsid w:val="00797D06"/>
    <w:rsid w:val="007A15A1"/>
    <w:rsid w:val="007B553B"/>
    <w:rsid w:val="007E396D"/>
    <w:rsid w:val="008102CF"/>
    <w:rsid w:val="008110C1"/>
    <w:rsid w:val="0082153C"/>
    <w:rsid w:val="00881C18"/>
    <w:rsid w:val="008B4BFD"/>
    <w:rsid w:val="008B63EC"/>
    <w:rsid w:val="008E2A9A"/>
    <w:rsid w:val="008F5843"/>
    <w:rsid w:val="0090400C"/>
    <w:rsid w:val="00910B43"/>
    <w:rsid w:val="009212A3"/>
    <w:rsid w:val="00950A3E"/>
    <w:rsid w:val="00965377"/>
    <w:rsid w:val="00975429"/>
    <w:rsid w:val="009802C3"/>
    <w:rsid w:val="009858BD"/>
    <w:rsid w:val="00992804"/>
    <w:rsid w:val="009A3F91"/>
    <w:rsid w:val="00A13D3B"/>
    <w:rsid w:val="00A23887"/>
    <w:rsid w:val="00A45DD3"/>
    <w:rsid w:val="00A50398"/>
    <w:rsid w:val="00A53963"/>
    <w:rsid w:val="00A71B17"/>
    <w:rsid w:val="00A810E1"/>
    <w:rsid w:val="00A946E4"/>
    <w:rsid w:val="00A9632B"/>
    <w:rsid w:val="00A97EA2"/>
    <w:rsid w:val="00AA2210"/>
    <w:rsid w:val="00AA6322"/>
    <w:rsid w:val="00AC1A51"/>
    <w:rsid w:val="00B112F9"/>
    <w:rsid w:val="00B154B6"/>
    <w:rsid w:val="00B22F8E"/>
    <w:rsid w:val="00B378F2"/>
    <w:rsid w:val="00B423A1"/>
    <w:rsid w:val="00B4255D"/>
    <w:rsid w:val="00B5411A"/>
    <w:rsid w:val="00B578E8"/>
    <w:rsid w:val="00B63BD7"/>
    <w:rsid w:val="00B82F95"/>
    <w:rsid w:val="00B90571"/>
    <w:rsid w:val="00B920BC"/>
    <w:rsid w:val="00BA4D0B"/>
    <w:rsid w:val="00BB2CA9"/>
    <w:rsid w:val="00BD1127"/>
    <w:rsid w:val="00BF5B89"/>
    <w:rsid w:val="00C16103"/>
    <w:rsid w:val="00C21FAB"/>
    <w:rsid w:val="00C23DCE"/>
    <w:rsid w:val="00C2583C"/>
    <w:rsid w:val="00C3438E"/>
    <w:rsid w:val="00C4073C"/>
    <w:rsid w:val="00C61F7D"/>
    <w:rsid w:val="00C64F0C"/>
    <w:rsid w:val="00C9337B"/>
    <w:rsid w:val="00CB4B01"/>
    <w:rsid w:val="00CC24E1"/>
    <w:rsid w:val="00CD5B74"/>
    <w:rsid w:val="00CF1DFF"/>
    <w:rsid w:val="00CF5017"/>
    <w:rsid w:val="00D03168"/>
    <w:rsid w:val="00D15FD2"/>
    <w:rsid w:val="00D3713F"/>
    <w:rsid w:val="00D4287D"/>
    <w:rsid w:val="00D655A5"/>
    <w:rsid w:val="00DD0400"/>
    <w:rsid w:val="00DD5AE7"/>
    <w:rsid w:val="00DE381E"/>
    <w:rsid w:val="00DE4B5B"/>
    <w:rsid w:val="00E01652"/>
    <w:rsid w:val="00E17BB6"/>
    <w:rsid w:val="00E22FBC"/>
    <w:rsid w:val="00E308CB"/>
    <w:rsid w:val="00E31F42"/>
    <w:rsid w:val="00E61716"/>
    <w:rsid w:val="00E62C87"/>
    <w:rsid w:val="00E64F32"/>
    <w:rsid w:val="00E714B1"/>
    <w:rsid w:val="00E74925"/>
    <w:rsid w:val="00E804ED"/>
    <w:rsid w:val="00EB0321"/>
    <w:rsid w:val="00EB17D1"/>
    <w:rsid w:val="00EB23C0"/>
    <w:rsid w:val="00EB7995"/>
    <w:rsid w:val="00ED6693"/>
    <w:rsid w:val="00EE4FD2"/>
    <w:rsid w:val="00EF1153"/>
    <w:rsid w:val="00EF6D8C"/>
    <w:rsid w:val="00F130EE"/>
    <w:rsid w:val="00F14927"/>
    <w:rsid w:val="00F16A93"/>
    <w:rsid w:val="00F208D5"/>
    <w:rsid w:val="00F31221"/>
    <w:rsid w:val="00F3223A"/>
    <w:rsid w:val="00F4163E"/>
    <w:rsid w:val="00F47DBC"/>
    <w:rsid w:val="00F54138"/>
    <w:rsid w:val="00F5546C"/>
    <w:rsid w:val="00F63555"/>
    <w:rsid w:val="00F84197"/>
    <w:rsid w:val="00F85456"/>
    <w:rsid w:val="00FA0FCA"/>
    <w:rsid w:val="00FB2544"/>
    <w:rsid w:val="00FB31A9"/>
    <w:rsid w:val="00FB790D"/>
    <w:rsid w:val="00FD1080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A9FF"/>
  <w15:chartTrackingRefBased/>
  <w15:docId w15:val="{36EB4601-6A47-4D4B-ACC0-DFA8505F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2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2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2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2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2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2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2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2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2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2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2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2A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2A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2A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2A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2A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2A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2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2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2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2A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2A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2A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2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2A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2A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810E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10E1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8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">
    <w:name w:val="Grid Table 4"/>
    <w:basedOn w:val="Standaardtabel"/>
    <w:uiPriority w:val="49"/>
    <w:rsid w:val="00E714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B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2021"/>
  </w:style>
  <w:style w:type="paragraph" w:styleId="Voettekst">
    <w:name w:val="footer"/>
    <w:basedOn w:val="Standaard"/>
    <w:link w:val="VoettekstChar"/>
    <w:uiPriority w:val="99"/>
    <w:unhideWhenUsed/>
    <w:rsid w:val="003B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202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0165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0165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01652"/>
    <w:rPr>
      <w:vertAlign w:val="superscript"/>
    </w:rPr>
  </w:style>
  <w:style w:type="paragraph" w:styleId="Revisie">
    <w:name w:val="Revision"/>
    <w:hidden/>
    <w:uiPriority w:val="99"/>
    <w:semiHidden/>
    <w:rsid w:val="00C61F7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61F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1F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1F7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1F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1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uroparl.europa.eu/doceo/document/TA-9-2024-0325_EN.pdf" TargetMode="External"/><Relationship Id="rId2" Type="http://schemas.openxmlformats.org/officeDocument/2006/relationships/hyperlink" Target="https://data.consilium.europa.eu/doc/document/ST-6426-2025-INIT/en/pdf" TargetMode="External"/><Relationship Id="rId1" Type="http://schemas.openxmlformats.org/officeDocument/2006/relationships/hyperlink" Target="https://data.consilium.europa.eu/doc/document/ST-6426-2025-INIT/en/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1422</ap:Words>
  <ap:Characters>7822</ap:Characters>
  <ap:DocSecurity>4</ap:DocSecurity>
  <ap:Lines>65</ap:Lines>
  <ap:Paragraphs>18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2025-04-09T12:02:00.0000000Z</dcterms:created>
  <dcterms:modified xsi:type="dcterms:W3CDTF">2025-04-09T12:02:00.0000000Z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0x0101001B56AFEF3630CE4FABC8A84935CF8FD7</vt:lpwstr>
  </property>
</Properties>
</file>