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D82" w:rsidR="00825354" w:rsidP="007F3D82" w:rsidRDefault="00B17F0E" w14:paraId="04752368" w14:textId="690FBB5D">
      <w:pPr>
        <w:ind w:left="1416" w:hanging="1416"/>
        <w:rPr>
          <w:rFonts w:ascii="Calibri" w:hAnsi="Calibri" w:cs="Calibri"/>
        </w:rPr>
      </w:pPr>
      <w:r w:rsidRPr="007F3D82">
        <w:rPr>
          <w:rFonts w:ascii="Calibri" w:hAnsi="Calibri" w:cs="Calibri"/>
        </w:rPr>
        <w:t>36600</w:t>
      </w:r>
      <w:r w:rsidRPr="007F3D82" w:rsidR="007F3D82">
        <w:rPr>
          <w:rFonts w:ascii="Calibri" w:hAnsi="Calibri" w:cs="Calibri"/>
        </w:rPr>
        <w:t xml:space="preserve"> </w:t>
      </w:r>
      <w:r w:rsidRPr="007F3D82">
        <w:rPr>
          <w:rFonts w:ascii="Calibri" w:hAnsi="Calibri" w:cs="Calibri"/>
        </w:rPr>
        <w:t>V</w:t>
      </w:r>
      <w:r w:rsidRPr="007F3D82" w:rsidR="00825354">
        <w:rPr>
          <w:rFonts w:ascii="Calibri" w:hAnsi="Calibri" w:cs="Calibri"/>
        </w:rPr>
        <w:tab/>
        <w:t>Vaststelling van de begrotingsstaat van het Ministerie van Buitenlandse Zaken (V) voor het jaar 2025</w:t>
      </w:r>
    </w:p>
    <w:p w:rsidRPr="007F3D82" w:rsidR="007F3D82" w:rsidP="00D80872" w:rsidRDefault="007F3D82" w14:paraId="70CE170F" w14:textId="77777777">
      <w:pPr>
        <w:rPr>
          <w:rFonts w:ascii="Calibri" w:hAnsi="Calibri" w:cs="Calibri"/>
        </w:rPr>
      </w:pPr>
      <w:r w:rsidRPr="007F3D82">
        <w:rPr>
          <w:rFonts w:ascii="Calibri" w:hAnsi="Calibri" w:cs="Calibri"/>
        </w:rPr>
        <w:t xml:space="preserve">Nr. </w:t>
      </w:r>
      <w:r w:rsidRPr="007F3D82">
        <w:rPr>
          <w:rFonts w:ascii="Calibri" w:hAnsi="Calibri" w:cs="Calibri"/>
        </w:rPr>
        <w:t>67</w:t>
      </w:r>
      <w:r w:rsidRPr="007F3D82">
        <w:rPr>
          <w:rFonts w:ascii="Calibri" w:hAnsi="Calibri" w:cs="Calibri"/>
        </w:rPr>
        <w:tab/>
      </w:r>
      <w:r w:rsidRPr="007F3D82">
        <w:rPr>
          <w:rFonts w:ascii="Calibri" w:hAnsi="Calibri" w:cs="Calibri"/>
        </w:rPr>
        <w:tab/>
        <w:t>Brief van de minister van Buitenlandse Zaken</w:t>
      </w:r>
    </w:p>
    <w:p w:rsidRPr="007F3D82" w:rsidR="00B17F0E" w:rsidP="00B17F0E" w:rsidRDefault="007F3D82" w14:paraId="77650443" w14:textId="569DA6DD">
      <w:pPr>
        <w:rPr>
          <w:rFonts w:ascii="Calibri" w:hAnsi="Calibri" w:cs="Calibri"/>
        </w:rPr>
      </w:pPr>
      <w:r w:rsidRPr="007F3D82">
        <w:rPr>
          <w:rFonts w:ascii="Calibri" w:hAnsi="Calibri" w:cs="Calibri"/>
        </w:rPr>
        <w:t>Aan de Voorzitter van de Tweede Kamer der Staten-Generaal</w:t>
      </w:r>
    </w:p>
    <w:p w:rsidRPr="007F3D82" w:rsidR="007F3D82" w:rsidP="00B17F0E" w:rsidRDefault="007F3D82" w14:paraId="0FF50841" w14:textId="525ED07E">
      <w:pPr>
        <w:rPr>
          <w:rFonts w:ascii="Calibri" w:hAnsi="Calibri" w:cs="Calibri"/>
        </w:rPr>
      </w:pPr>
      <w:r w:rsidRPr="007F3D82">
        <w:rPr>
          <w:rFonts w:ascii="Calibri" w:hAnsi="Calibri" w:cs="Calibri"/>
        </w:rPr>
        <w:t>Den Haag, 7 april 2025</w:t>
      </w:r>
    </w:p>
    <w:p w:rsidRPr="007F3D82" w:rsidR="00B17F0E" w:rsidP="00B17F0E" w:rsidRDefault="00B17F0E" w14:paraId="2A4C42BF" w14:textId="77777777">
      <w:pPr>
        <w:rPr>
          <w:rFonts w:ascii="Calibri" w:hAnsi="Calibri" w:cs="Calibri"/>
        </w:rPr>
      </w:pPr>
    </w:p>
    <w:p w:rsidRPr="007F3D82" w:rsidR="00B17F0E" w:rsidP="00B17F0E" w:rsidRDefault="00B17F0E" w14:paraId="35D7865F" w14:textId="79617180">
      <w:pPr>
        <w:rPr>
          <w:rFonts w:ascii="Calibri" w:hAnsi="Calibri" w:cs="Calibri"/>
        </w:rPr>
      </w:pPr>
      <w:r w:rsidRPr="007F3D82">
        <w:rPr>
          <w:rFonts w:ascii="Calibri" w:hAnsi="Calibri" w:cs="Calibri"/>
        </w:rPr>
        <w:t>Zoals bekend is het gebruik dat de regering jaarlijks aan het parlement een overzicht verstrekt van tot stand gekomen verdragen, waarbij partij worden van het Koninkrijk tot de reële mogelijkheden behoort, maar die nog niet ter goedkeuring zijn ingediend. Een opgave van de stand van zaken met betrekking tot de voorbereiding van de parlementaire goedkeuring wordt dan eveneens gegeven.</w:t>
      </w:r>
    </w:p>
    <w:p w:rsidRPr="007F3D82" w:rsidR="00B17F0E" w:rsidP="00B17F0E" w:rsidRDefault="00B17F0E" w14:paraId="284AAC3A" w14:textId="77777777">
      <w:pPr>
        <w:rPr>
          <w:rFonts w:ascii="Calibri" w:hAnsi="Calibri" w:cs="Calibri"/>
        </w:rPr>
      </w:pPr>
      <w:r w:rsidRPr="007F3D82">
        <w:rPr>
          <w:rFonts w:ascii="Calibri" w:hAnsi="Calibri" w:cs="Calibri"/>
        </w:rPr>
        <w:t xml:space="preserve">Een en ander geschiedt in het kader van het door parlement en regering gewenste streven naar een vlottere voorbereiding van de goedkeuring van verdragen. </w:t>
      </w:r>
    </w:p>
    <w:p w:rsidRPr="007F3D82" w:rsidR="00B17F0E" w:rsidP="00B17F0E" w:rsidRDefault="00B17F0E" w14:paraId="3813F8BF" w14:textId="77777777">
      <w:pPr>
        <w:rPr>
          <w:rFonts w:ascii="Calibri" w:hAnsi="Calibri" w:cs="Calibri"/>
        </w:rPr>
      </w:pPr>
      <w:r w:rsidRPr="007F3D82">
        <w:rPr>
          <w:rFonts w:ascii="Calibri" w:hAnsi="Calibri" w:cs="Calibri"/>
        </w:rPr>
        <w:t>Bijgaand bied ik u, mede namens mijn ambtgenoten, het 44ste overzicht, met als peildatum 1 januari 2025, aan.</w:t>
      </w:r>
    </w:p>
    <w:p w:rsidRPr="007F3D82" w:rsidR="00B17F0E" w:rsidP="00B17F0E" w:rsidRDefault="00B17F0E" w14:paraId="6C4FED5B" w14:textId="77777777">
      <w:pPr>
        <w:rPr>
          <w:rFonts w:ascii="Calibri" w:hAnsi="Calibri" w:cs="Calibri"/>
        </w:rPr>
      </w:pPr>
      <w:r w:rsidRPr="007F3D82">
        <w:rPr>
          <w:rFonts w:ascii="Calibri" w:hAnsi="Calibri" w:cs="Calibri"/>
        </w:rPr>
        <w:t>Het overzicht bestaat uit drie lijsten. Ten eerste een lijst van verdragen waarvan verwacht wordt dat zij in de loop van 2025 ter parlementaire goedkeuring worden ingediend (lijst I, 38 verdragen).</w:t>
      </w:r>
    </w:p>
    <w:p w:rsidRPr="007F3D82" w:rsidR="00B17F0E" w:rsidP="00B17F0E" w:rsidRDefault="00B17F0E" w14:paraId="5151AC86" w14:textId="77777777">
      <w:pPr>
        <w:rPr>
          <w:rFonts w:ascii="Calibri" w:hAnsi="Calibri" w:cs="Calibri"/>
        </w:rPr>
      </w:pPr>
      <w:r w:rsidRPr="007F3D82">
        <w:rPr>
          <w:rFonts w:ascii="Calibri" w:hAnsi="Calibri" w:cs="Calibri"/>
        </w:rPr>
        <w:t>Ten tweede, een lijst van verdragen waarvan de indiening ter goedkeuring eerst op langere termijn te verwachten valt, of ten aanzien waarvan nog geen beslissing is genomen over de wenselijkheid van partij worden (lijst II, 37 verdragen).</w:t>
      </w:r>
    </w:p>
    <w:p w:rsidRPr="007F3D82" w:rsidR="00B17F0E" w:rsidP="00B17F0E" w:rsidRDefault="00B17F0E" w14:paraId="4554833F" w14:textId="77777777">
      <w:pPr>
        <w:rPr>
          <w:rFonts w:ascii="Calibri" w:hAnsi="Calibri" w:cs="Calibri"/>
        </w:rPr>
      </w:pPr>
      <w:r w:rsidRPr="007F3D82">
        <w:rPr>
          <w:rFonts w:ascii="Calibri" w:hAnsi="Calibri" w:cs="Calibri"/>
        </w:rPr>
        <w:t>Ten derde, een lijst van verdragen ten aanzien waarvan is besloten dat partij daarbij worden onder de huidige omstandigheden niet wenselijk is, maar waarbij onderkend is dat, als de omstandigheden zich zouden wijzigen, heroverweging van deze beslissing nodig zou kunnen zijn (lijst III, 24 verdragen).</w:t>
      </w:r>
    </w:p>
    <w:p w:rsidRPr="007F3D82" w:rsidR="00B17F0E" w:rsidP="00B17F0E" w:rsidRDefault="00B17F0E" w14:paraId="50BFE038" w14:textId="77777777">
      <w:pPr>
        <w:rPr>
          <w:rFonts w:ascii="Calibri" w:hAnsi="Calibri" w:cs="Calibri"/>
        </w:rPr>
      </w:pPr>
      <w:r w:rsidRPr="007F3D82">
        <w:rPr>
          <w:rFonts w:ascii="Calibri" w:hAnsi="Calibri" w:cs="Calibri"/>
        </w:rPr>
        <w:t>Ik zou het zeer op prijs stellen indien uw Kamer te zijner tijd medewerking zou willen verlenen aan een voortvarende behandeling van de verdragen van lijst I.</w:t>
      </w:r>
    </w:p>
    <w:p w:rsidRPr="007F3D82" w:rsidR="00B17F0E" w:rsidP="00B17F0E" w:rsidRDefault="00B17F0E" w14:paraId="6C099B1C" w14:textId="77777777">
      <w:pPr>
        <w:rPr>
          <w:rFonts w:ascii="Calibri" w:hAnsi="Calibri" w:cs="Calibri"/>
        </w:rPr>
      </w:pPr>
      <w:r w:rsidRPr="007F3D82">
        <w:rPr>
          <w:rFonts w:ascii="Calibri" w:hAnsi="Calibri" w:cs="Calibri"/>
        </w:rPr>
        <w:t xml:space="preserve"> </w:t>
      </w:r>
    </w:p>
    <w:p w:rsidRPr="007F3D82" w:rsidR="007F3D82" w:rsidP="007F3D82" w:rsidRDefault="007F3D82" w14:paraId="57DB857B" w14:textId="06E2F697">
      <w:pPr>
        <w:pStyle w:val="Geenafstand"/>
        <w:rPr>
          <w:rFonts w:ascii="Calibri" w:hAnsi="Calibri" w:cs="Calibri"/>
        </w:rPr>
      </w:pPr>
      <w:r w:rsidRPr="007F3D82">
        <w:rPr>
          <w:rFonts w:ascii="Calibri" w:hAnsi="Calibri" w:cs="Calibri"/>
        </w:rPr>
        <w:t xml:space="preserve">De </w:t>
      </w:r>
      <w:r w:rsidRPr="007F3D82">
        <w:rPr>
          <w:rFonts w:ascii="Calibri" w:hAnsi="Calibri" w:cs="Calibri"/>
        </w:rPr>
        <w:t>m</w:t>
      </w:r>
      <w:r w:rsidRPr="007F3D82">
        <w:rPr>
          <w:rFonts w:ascii="Calibri" w:hAnsi="Calibri" w:cs="Calibri"/>
        </w:rPr>
        <w:t>inister van Buitenlandse Zaken,</w:t>
      </w:r>
    </w:p>
    <w:p w:rsidRPr="007F3D82" w:rsidR="00B17F0E" w:rsidP="007F3D82" w:rsidRDefault="007F3D82" w14:paraId="4790680C" w14:textId="7E8E8030">
      <w:pPr>
        <w:pStyle w:val="Geenafstand"/>
        <w:rPr>
          <w:rFonts w:ascii="Calibri" w:hAnsi="Calibri" w:cs="Calibri"/>
        </w:rPr>
      </w:pPr>
      <w:r w:rsidRPr="007F3D82">
        <w:rPr>
          <w:rFonts w:ascii="Calibri" w:hAnsi="Calibri" w:cs="Calibri"/>
        </w:rPr>
        <w:t xml:space="preserve">C.C.J. </w:t>
      </w:r>
      <w:r w:rsidRPr="007F3D82">
        <w:rPr>
          <w:rFonts w:ascii="Calibri" w:hAnsi="Calibri" w:cs="Calibri"/>
        </w:rPr>
        <w:t>Veldkamp</w:t>
      </w:r>
    </w:p>
    <w:p w:rsidRPr="007F3D82" w:rsidR="00B17F0E" w:rsidP="00B17F0E" w:rsidRDefault="00B17F0E" w14:paraId="17DD670F" w14:textId="77777777">
      <w:pPr>
        <w:rPr>
          <w:rFonts w:ascii="Calibri" w:hAnsi="Calibri" w:cs="Calibri"/>
        </w:rPr>
      </w:pPr>
    </w:p>
    <w:p w:rsidRPr="007F3D82" w:rsidR="00B17F0E" w:rsidP="00B17F0E" w:rsidRDefault="00B17F0E" w14:paraId="23C76DA9" w14:textId="77777777">
      <w:pPr>
        <w:rPr>
          <w:rFonts w:ascii="Calibri" w:hAnsi="Calibri" w:cs="Calibri"/>
        </w:rPr>
      </w:pPr>
    </w:p>
    <w:p w:rsidRPr="007F3D82" w:rsidR="00E6311E" w:rsidRDefault="00E6311E" w14:paraId="34C6C39D" w14:textId="77777777">
      <w:pPr>
        <w:rPr>
          <w:rFonts w:ascii="Calibri" w:hAnsi="Calibri" w:cs="Calibri"/>
        </w:rPr>
      </w:pPr>
    </w:p>
    <w:sectPr w:rsidRPr="007F3D82" w:rsidR="00E6311E" w:rsidSect="00B17F0E">
      <w:headerReference w:type="even" r:id="rId6"/>
      <w:headerReference w:type="default" r:id="rId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1D01" w14:textId="77777777" w:rsidR="00B17F0E" w:rsidRDefault="00B17F0E" w:rsidP="00B17F0E">
      <w:pPr>
        <w:spacing w:after="0" w:line="240" w:lineRule="auto"/>
      </w:pPr>
      <w:r>
        <w:separator/>
      </w:r>
    </w:p>
  </w:endnote>
  <w:endnote w:type="continuationSeparator" w:id="0">
    <w:p w14:paraId="02CCF3BB" w14:textId="77777777" w:rsidR="00B17F0E" w:rsidRDefault="00B17F0E" w:rsidP="00B1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1E4C" w14:textId="77777777" w:rsidR="00B17F0E" w:rsidRDefault="00B17F0E" w:rsidP="00B17F0E">
      <w:pPr>
        <w:spacing w:after="0" w:line="240" w:lineRule="auto"/>
      </w:pPr>
      <w:r>
        <w:separator/>
      </w:r>
    </w:p>
  </w:footnote>
  <w:footnote w:type="continuationSeparator" w:id="0">
    <w:p w14:paraId="1E3E529B" w14:textId="77777777" w:rsidR="00B17F0E" w:rsidRDefault="00B17F0E" w:rsidP="00B17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0F50" w14:textId="77777777" w:rsidR="00B17F0E" w:rsidRPr="00B17F0E" w:rsidRDefault="00B17F0E" w:rsidP="00B17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D6C" w14:textId="77777777" w:rsidR="00B17F0E" w:rsidRPr="00B17F0E" w:rsidRDefault="00B17F0E" w:rsidP="00B17F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0E"/>
    <w:rsid w:val="0025703A"/>
    <w:rsid w:val="002F7CA8"/>
    <w:rsid w:val="006B6F47"/>
    <w:rsid w:val="007F3D82"/>
    <w:rsid w:val="00825354"/>
    <w:rsid w:val="00B17F0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1E7E"/>
  <w15:chartTrackingRefBased/>
  <w15:docId w15:val="{E2C84D7E-7590-4188-AEEE-98229243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7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7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7F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7F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7F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7F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7F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7F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7F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7F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7F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7F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7F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7F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7F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7F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7F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7F0E"/>
    <w:rPr>
      <w:rFonts w:eastAsiaTheme="majorEastAsia" w:cstheme="majorBidi"/>
      <w:color w:val="272727" w:themeColor="text1" w:themeTint="D8"/>
    </w:rPr>
  </w:style>
  <w:style w:type="paragraph" w:styleId="Titel">
    <w:name w:val="Title"/>
    <w:basedOn w:val="Standaard"/>
    <w:next w:val="Standaard"/>
    <w:link w:val="TitelChar"/>
    <w:uiPriority w:val="10"/>
    <w:qFormat/>
    <w:rsid w:val="00B17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7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7F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7F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7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7F0E"/>
    <w:rPr>
      <w:i/>
      <w:iCs/>
      <w:color w:val="404040" w:themeColor="text1" w:themeTint="BF"/>
    </w:rPr>
  </w:style>
  <w:style w:type="paragraph" w:styleId="Lijstalinea">
    <w:name w:val="List Paragraph"/>
    <w:basedOn w:val="Standaard"/>
    <w:uiPriority w:val="34"/>
    <w:qFormat/>
    <w:rsid w:val="00B17F0E"/>
    <w:pPr>
      <w:ind w:left="720"/>
      <w:contextualSpacing/>
    </w:pPr>
  </w:style>
  <w:style w:type="character" w:styleId="Intensievebenadrukking">
    <w:name w:val="Intense Emphasis"/>
    <w:basedOn w:val="Standaardalinea-lettertype"/>
    <w:uiPriority w:val="21"/>
    <w:qFormat/>
    <w:rsid w:val="00B17F0E"/>
    <w:rPr>
      <w:i/>
      <w:iCs/>
      <w:color w:val="0F4761" w:themeColor="accent1" w:themeShade="BF"/>
    </w:rPr>
  </w:style>
  <w:style w:type="paragraph" w:styleId="Duidelijkcitaat">
    <w:name w:val="Intense Quote"/>
    <w:basedOn w:val="Standaard"/>
    <w:next w:val="Standaard"/>
    <w:link w:val="DuidelijkcitaatChar"/>
    <w:uiPriority w:val="30"/>
    <w:qFormat/>
    <w:rsid w:val="00B17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7F0E"/>
    <w:rPr>
      <w:i/>
      <w:iCs/>
      <w:color w:val="0F4761" w:themeColor="accent1" w:themeShade="BF"/>
    </w:rPr>
  </w:style>
  <w:style w:type="character" w:styleId="Intensieveverwijzing">
    <w:name w:val="Intense Reference"/>
    <w:basedOn w:val="Standaardalinea-lettertype"/>
    <w:uiPriority w:val="32"/>
    <w:qFormat/>
    <w:rsid w:val="00B17F0E"/>
    <w:rPr>
      <w:b/>
      <w:bCs/>
      <w:smallCaps/>
      <w:color w:val="0F4761" w:themeColor="accent1" w:themeShade="BF"/>
      <w:spacing w:val="5"/>
    </w:rPr>
  </w:style>
  <w:style w:type="paragraph" w:styleId="Koptekst">
    <w:name w:val="header"/>
    <w:basedOn w:val="Standaard"/>
    <w:link w:val="KoptekstChar"/>
    <w:rsid w:val="00B17F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17F0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17F0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17F0E"/>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B17F0E"/>
    <w:rPr>
      <w:rFonts w:ascii="Verdana" w:hAnsi="Verdana"/>
      <w:noProof/>
      <w:sz w:val="13"/>
      <w:szCs w:val="24"/>
    </w:rPr>
  </w:style>
  <w:style w:type="paragraph" w:customStyle="1" w:styleId="Huisstijl-Gegeven">
    <w:name w:val="Huisstijl-Gegeven"/>
    <w:basedOn w:val="Standaard"/>
    <w:link w:val="Huisstijl-GegevenCharChar"/>
    <w:rsid w:val="00B17F0E"/>
    <w:pPr>
      <w:spacing w:after="92" w:line="180" w:lineRule="exact"/>
    </w:pPr>
    <w:rPr>
      <w:rFonts w:ascii="Verdana" w:hAnsi="Verdana"/>
      <w:noProof/>
      <w:sz w:val="13"/>
      <w:szCs w:val="24"/>
    </w:rPr>
  </w:style>
  <w:style w:type="paragraph" w:customStyle="1" w:styleId="Huisstijl-NAW">
    <w:name w:val="Huisstijl-NAW"/>
    <w:basedOn w:val="Standaard"/>
    <w:rsid w:val="00B17F0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B17F0E"/>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7F3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1566</ap:Characters>
  <ap:DocSecurity>0</ap:DocSecurity>
  <ap:Lines>13</ap:Lines>
  <ap:Paragraphs>3</ap:Paragraphs>
  <ap:ScaleCrop>false</ap:ScaleCrop>
  <ap:LinksUpToDate>false</ap:LinksUpToDate>
  <ap:CharactersWithSpaces>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2025-04-14T09:32:00.0000000Z</dcterms:created>
  <dcterms:modified xsi:type="dcterms:W3CDTF">2025-04-14T09:32:00.0000000Z</dcterms:modified>
  <version/>
  <category/>
</coreProperties>
</file>