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5B90979" w14:textId="77777777">
        <w:tc>
          <w:tcPr>
            <w:tcW w:w="6379" w:type="dxa"/>
            <w:gridSpan w:val="2"/>
            <w:tcBorders>
              <w:top w:val="nil"/>
              <w:left w:val="nil"/>
              <w:bottom w:val="nil"/>
              <w:right w:val="nil"/>
            </w:tcBorders>
            <w:vAlign w:val="center"/>
          </w:tcPr>
          <w:p w:rsidR="004330ED" w:rsidP="00EA1CE4" w:rsidRDefault="004330ED" w14:paraId="07D7FE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5AAD5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CCFE3FB" w14:textId="77777777">
        <w:trPr>
          <w:cantSplit/>
        </w:trPr>
        <w:tc>
          <w:tcPr>
            <w:tcW w:w="10348" w:type="dxa"/>
            <w:gridSpan w:val="3"/>
            <w:tcBorders>
              <w:top w:val="single" w:color="auto" w:sz="4" w:space="0"/>
              <w:left w:val="nil"/>
              <w:bottom w:val="nil"/>
              <w:right w:val="nil"/>
            </w:tcBorders>
          </w:tcPr>
          <w:p w:rsidR="004330ED" w:rsidP="004A1E29" w:rsidRDefault="004330ED" w14:paraId="46AD2E2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18DD18" w14:textId="77777777">
        <w:trPr>
          <w:cantSplit/>
        </w:trPr>
        <w:tc>
          <w:tcPr>
            <w:tcW w:w="10348" w:type="dxa"/>
            <w:gridSpan w:val="3"/>
            <w:tcBorders>
              <w:top w:val="nil"/>
              <w:left w:val="nil"/>
              <w:bottom w:val="nil"/>
              <w:right w:val="nil"/>
            </w:tcBorders>
          </w:tcPr>
          <w:p w:rsidR="004330ED" w:rsidP="00BF623B" w:rsidRDefault="004330ED" w14:paraId="4E6A0A45" w14:textId="77777777">
            <w:pPr>
              <w:pStyle w:val="Amendement"/>
              <w:tabs>
                <w:tab w:val="clear" w:pos="3310"/>
                <w:tab w:val="clear" w:pos="3600"/>
              </w:tabs>
              <w:rPr>
                <w:rFonts w:ascii="Times New Roman" w:hAnsi="Times New Roman"/>
                <w:b w:val="0"/>
              </w:rPr>
            </w:pPr>
          </w:p>
        </w:tc>
      </w:tr>
      <w:tr w:rsidR="004330ED" w:rsidTr="00EA1CE4" w14:paraId="7287AE28" w14:textId="77777777">
        <w:trPr>
          <w:cantSplit/>
        </w:trPr>
        <w:tc>
          <w:tcPr>
            <w:tcW w:w="10348" w:type="dxa"/>
            <w:gridSpan w:val="3"/>
            <w:tcBorders>
              <w:top w:val="nil"/>
              <w:left w:val="nil"/>
              <w:bottom w:val="single" w:color="auto" w:sz="4" w:space="0"/>
              <w:right w:val="nil"/>
            </w:tcBorders>
          </w:tcPr>
          <w:p w:rsidR="004330ED" w:rsidP="00BF623B" w:rsidRDefault="004330ED" w14:paraId="35E6CE5E" w14:textId="77777777">
            <w:pPr>
              <w:pStyle w:val="Amendement"/>
              <w:tabs>
                <w:tab w:val="clear" w:pos="3310"/>
                <w:tab w:val="clear" w:pos="3600"/>
              </w:tabs>
              <w:rPr>
                <w:rFonts w:ascii="Times New Roman" w:hAnsi="Times New Roman"/>
              </w:rPr>
            </w:pPr>
          </w:p>
        </w:tc>
      </w:tr>
      <w:tr w:rsidR="004330ED" w:rsidTr="00EA1CE4" w14:paraId="183D2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3135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CE6404A" w14:textId="77777777">
            <w:pPr>
              <w:suppressAutoHyphens/>
              <w:ind w:left="-70"/>
              <w:rPr>
                <w:b/>
              </w:rPr>
            </w:pPr>
          </w:p>
        </w:tc>
      </w:tr>
      <w:tr w:rsidR="003C21AC" w:rsidTr="00EA1CE4" w14:paraId="409D3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34C50" w14:paraId="7C2A35E8" w14:textId="549D23AC">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F34C50" w:rsidR="003C21AC" w:rsidP="00F34C50" w:rsidRDefault="00F34C50" w14:paraId="7A62EFFA" w14:textId="590D2A00">
            <w:pPr>
              <w:rPr>
                <w:b/>
                <w:bCs/>
              </w:rPr>
            </w:pPr>
            <w:r w:rsidRPr="00F34C50">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6FD5A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B33B0A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90E2CB3" w14:textId="77777777">
            <w:pPr>
              <w:pStyle w:val="Amendement"/>
              <w:tabs>
                <w:tab w:val="clear" w:pos="3310"/>
                <w:tab w:val="clear" w:pos="3600"/>
              </w:tabs>
              <w:ind w:left="-70"/>
              <w:rPr>
                <w:rFonts w:ascii="Times New Roman" w:hAnsi="Times New Roman"/>
              </w:rPr>
            </w:pPr>
          </w:p>
        </w:tc>
      </w:tr>
      <w:tr w:rsidR="003C21AC" w:rsidTr="00EA1CE4" w14:paraId="3532A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0426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499054" w14:textId="77777777">
            <w:pPr>
              <w:pStyle w:val="Amendement"/>
              <w:tabs>
                <w:tab w:val="clear" w:pos="3310"/>
                <w:tab w:val="clear" w:pos="3600"/>
              </w:tabs>
              <w:ind w:left="-70"/>
              <w:rPr>
                <w:rFonts w:ascii="Times New Roman" w:hAnsi="Times New Roman"/>
              </w:rPr>
            </w:pPr>
          </w:p>
        </w:tc>
      </w:tr>
      <w:tr w:rsidR="003C21AC" w:rsidTr="00EA1CE4" w14:paraId="1F98D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CE59F9" w14:textId="278B32E9">
            <w:pPr>
              <w:pStyle w:val="Amendement"/>
              <w:tabs>
                <w:tab w:val="clear" w:pos="3310"/>
                <w:tab w:val="clear" w:pos="3600"/>
              </w:tabs>
              <w:rPr>
                <w:rFonts w:ascii="Times New Roman" w:hAnsi="Times New Roman"/>
              </w:rPr>
            </w:pPr>
            <w:r w:rsidRPr="00C035D4">
              <w:rPr>
                <w:rFonts w:ascii="Times New Roman" w:hAnsi="Times New Roman"/>
              </w:rPr>
              <w:t xml:space="preserve">Nr. </w:t>
            </w:r>
            <w:r w:rsidR="001D7E73">
              <w:rPr>
                <w:rFonts w:ascii="Times New Roman" w:hAnsi="Times New Roman"/>
                <w:caps/>
              </w:rPr>
              <w:t>1</w:t>
            </w:r>
            <w:r w:rsidR="00F12910">
              <w:rPr>
                <w:rFonts w:ascii="Times New Roman" w:hAnsi="Times New Roman"/>
                <w:caps/>
              </w:rPr>
              <w:t>3</w:t>
            </w:r>
          </w:p>
        </w:tc>
        <w:tc>
          <w:tcPr>
            <w:tcW w:w="7371" w:type="dxa"/>
            <w:gridSpan w:val="2"/>
          </w:tcPr>
          <w:p w:rsidRPr="00C035D4" w:rsidR="003C21AC" w:rsidP="006E0971" w:rsidRDefault="00F93821" w14:paraId="4E5EA2D0" w14:textId="2702A91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256D6E">
              <w:rPr>
                <w:rFonts w:ascii="Times New Roman" w:hAnsi="Times New Roman"/>
                <w:caps/>
              </w:rPr>
              <w:t xml:space="preserve">de leden </w:t>
            </w:r>
            <w:r w:rsidR="001E0222">
              <w:rPr>
                <w:rFonts w:ascii="Times New Roman" w:hAnsi="Times New Roman"/>
                <w:caps/>
              </w:rPr>
              <w:t>SIX DIJKSTRA</w:t>
            </w:r>
            <w:r w:rsidR="00256D6E">
              <w:rPr>
                <w:rFonts w:ascii="Times New Roman" w:hAnsi="Times New Roman"/>
                <w:caps/>
              </w:rPr>
              <w:t xml:space="preserve"> en Haage ter vervanging van dat gedrukt onder nr. </w:t>
            </w:r>
            <w:r>
              <w:rPr>
                <w:rFonts w:ascii="Times New Roman" w:hAnsi="Times New Roman"/>
                <w:caps/>
              </w:rPr>
              <w:t>10</w:t>
            </w:r>
          </w:p>
        </w:tc>
      </w:tr>
      <w:tr w:rsidR="003C21AC" w:rsidTr="00EA1CE4" w14:paraId="194CE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188B9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B00216" w14:textId="4E274FE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17F38">
              <w:rPr>
                <w:rFonts w:ascii="Times New Roman" w:hAnsi="Times New Roman"/>
                <w:b w:val="0"/>
              </w:rPr>
              <w:t>10</w:t>
            </w:r>
            <w:r w:rsidR="001E0222">
              <w:rPr>
                <w:rFonts w:ascii="Times New Roman" w:hAnsi="Times New Roman"/>
                <w:b w:val="0"/>
              </w:rPr>
              <w:t xml:space="preserve"> april 2025</w:t>
            </w:r>
          </w:p>
        </w:tc>
      </w:tr>
      <w:tr w:rsidR="00B01BA6" w:rsidTr="00EA1CE4" w14:paraId="39140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F457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C942C9" w14:textId="77777777">
            <w:pPr>
              <w:pStyle w:val="Amendement"/>
              <w:tabs>
                <w:tab w:val="clear" w:pos="3310"/>
                <w:tab w:val="clear" w:pos="3600"/>
              </w:tabs>
              <w:ind w:left="-70"/>
              <w:rPr>
                <w:rFonts w:ascii="Times New Roman" w:hAnsi="Times New Roman"/>
                <w:b w:val="0"/>
              </w:rPr>
            </w:pPr>
          </w:p>
        </w:tc>
      </w:tr>
      <w:tr w:rsidRPr="00EA69AC" w:rsidR="00B01BA6" w:rsidTr="00EA1CE4" w14:paraId="6873F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F5E1C64" w14:textId="33D49A7C">
            <w:pPr>
              <w:ind w:firstLine="284"/>
            </w:pPr>
            <w:r w:rsidRPr="00EA69AC">
              <w:t>De ondergetekende</w:t>
            </w:r>
            <w:r w:rsidR="00256D6E">
              <w:t>n</w:t>
            </w:r>
            <w:r w:rsidRPr="00EA69AC">
              <w:t xml:space="preserve"> stel</w:t>
            </w:r>
            <w:r w:rsidR="00256D6E">
              <w:t>len</w:t>
            </w:r>
            <w:r w:rsidRPr="00EA69AC">
              <w:t xml:space="preserve"> het volgende amendement voor:</w:t>
            </w:r>
          </w:p>
        </w:tc>
      </w:tr>
    </w:tbl>
    <w:p w:rsidRPr="00EA69AC" w:rsidR="004330ED" w:rsidP="00D774B3" w:rsidRDefault="004330ED" w14:paraId="448FA849" w14:textId="77777777"/>
    <w:p w:rsidR="00F34C50" w:rsidP="00F34C50" w:rsidRDefault="00F34C50" w14:paraId="7321BC77" w14:textId="77777777">
      <w:pPr>
        <w:ind w:firstLine="284"/>
      </w:pPr>
      <w:r>
        <w:t>Artikel I wordt als volgt gewijzigd:</w:t>
      </w:r>
    </w:p>
    <w:p w:rsidR="00F34C50" w:rsidP="00F34C50" w:rsidRDefault="00F34C50" w14:paraId="704826D3" w14:textId="77777777">
      <w:pPr>
        <w:ind w:firstLine="284"/>
      </w:pPr>
    </w:p>
    <w:p w:rsidR="00F34C50" w:rsidP="00F34C50" w:rsidRDefault="00F34C50" w14:paraId="7D93816D" w14:textId="1BB68CF8">
      <w:pPr>
        <w:pStyle w:val="Lijstalinea"/>
        <w:ind w:left="284"/>
      </w:pPr>
      <w:r>
        <w:t>1. Aan het voorgestelde artikel 1:39 wordt een lid toegevoegd, luidende:</w:t>
      </w:r>
    </w:p>
    <w:p w:rsidR="00F34C50" w:rsidP="00F34C50" w:rsidRDefault="00F34C50" w14:paraId="1ED91BCD" w14:textId="67DA4A98">
      <w:pPr>
        <w:ind w:firstLine="284"/>
      </w:pPr>
      <w:r>
        <w:t xml:space="preserve">6. </w:t>
      </w:r>
      <w:r w:rsidRPr="00FC78CA">
        <w:t>De voordracht voor een krachtens het vijfde lid</w:t>
      </w:r>
      <w:r w:rsidR="00C1499F">
        <w:t>, onderdelen a</w:t>
      </w:r>
      <w:r w:rsidR="00F93821">
        <w:t>, d</w:t>
      </w:r>
      <w:r w:rsidR="00C1499F">
        <w:t xml:space="preserve"> of e</w:t>
      </w:r>
      <w:r w:rsidR="0034023E">
        <w:t>,</w:t>
      </w:r>
      <w:r w:rsidRPr="00FC78CA">
        <w:t xml:space="preserve"> vast te stellen algemene maatregel van bestuur wordt niet eerder gedaan dan vier weken nadat het ontwerp aan beide Kamers der Staten-Generaal is overgelegd.</w:t>
      </w:r>
    </w:p>
    <w:p w:rsidR="00F34C50" w:rsidP="00F34C50" w:rsidRDefault="00F34C50" w14:paraId="0A0C3BDA" w14:textId="77777777"/>
    <w:p w:rsidR="00F34C50" w:rsidP="00F34C50" w:rsidRDefault="00F34C50" w14:paraId="20223BD5" w14:textId="73183FFB">
      <w:pPr>
        <w:ind w:firstLine="284"/>
      </w:pPr>
      <w:r>
        <w:t xml:space="preserve">2. Aan het voorgestelde artikel 1:40 wordt een lid toegevoegd, luidende: </w:t>
      </w:r>
    </w:p>
    <w:p w:rsidR="00F34C50" w:rsidP="00F34C50" w:rsidRDefault="00F34C50" w14:paraId="5C5E1B6A" w14:textId="32FFE638">
      <w:pPr>
        <w:ind w:firstLine="284"/>
      </w:pPr>
      <w:r>
        <w:t xml:space="preserve">6. </w:t>
      </w:r>
      <w:r w:rsidRPr="00FC78CA">
        <w:t>De voordracht voor een krachtens het vijfde lid</w:t>
      </w:r>
      <w:r w:rsidR="00C1499F">
        <w:t>, onderdelen a of d</w:t>
      </w:r>
      <w:r w:rsidR="0034023E">
        <w:t xml:space="preserve">, </w:t>
      </w:r>
      <w:r w:rsidRPr="00FC78CA">
        <w:t>vast te stellen algemene maatregel van bestuur wordt niet eerder gedaan dan vier weken nadat het ontwerp aan beide Kamers der Staten-Generaal is overgelegd.</w:t>
      </w:r>
    </w:p>
    <w:p w:rsidR="00EA1CE4" w:rsidP="00EA1CE4" w:rsidRDefault="00EA1CE4" w14:paraId="1C9F53C5" w14:textId="77777777"/>
    <w:p w:rsidR="003C21AC" w:rsidP="00EA1CE4" w:rsidRDefault="003C21AC" w14:paraId="275D6151" w14:textId="77777777">
      <w:pPr>
        <w:rPr>
          <w:b/>
        </w:rPr>
      </w:pPr>
      <w:r w:rsidRPr="00EA69AC">
        <w:rPr>
          <w:b/>
        </w:rPr>
        <w:t>Toelichting</w:t>
      </w:r>
    </w:p>
    <w:p w:rsidR="00260CC3" w:rsidP="00EA1CE4" w:rsidRDefault="00260CC3" w14:paraId="2B390A6B" w14:textId="77777777">
      <w:pPr>
        <w:rPr>
          <w:b/>
        </w:rPr>
      </w:pPr>
    </w:p>
    <w:p w:rsidR="00260CC3" w:rsidP="00EA1CE4" w:rsidRDefault="00260CC3" w14:paraId="02C9545F" w14:textId="1E2FCF42">
      <w:pPr>
        <w:rPr>
          <w:bCs/>
        </w:rPr>
      </w:pPr>
      <w:r w:rsidRPr="00260CC3">
        <w:rPr>
          <w:bCs/>
        </w:rPr>
        <w:t xml:space="preserve">De regering geeft in de </w:t>
      </w:r>
      <w:r w:rsidR="001E0222">
        <w:rPr>
          <w:bCs/>
        </w:rPr>
        <w:t xml:space="preserve">memorie van toelichting </w:t>
      </w:r>
      <w:r w:rsidRPr="00260CC3">
        <w:rPr>
          <w:bCs/>
        </w:rPr>
        <w:t>(blz. 5)</w:t>
      </w:r>
      <w:r w:rsidR="002A2CDF">
        <w:rPr>
          <w:rStyle w:val="Voetnootmarkering"/>
          <w:bCs/>
        </w:rPr>
        <w:footnoteReference w:id="1"/>
      </w:r>
      <w:r w:rsidRPr="00260CC3">
        <w:rPr>
          <w:bCs/>
        </w:rPr>
        <w:t xml:space="preserve"> </w:t>
      </w:r>
      <w:r>
        <w:rPr>
          <w:bCs/>
        </w:rPr>
        <w:t xml:space="preserve">aan dat het verstrekken van </w:t>
      </w:r>
      <w:r w:rsidR="00C1499F">
        <w:rPr>
          <w:bCs/>
        </w:rPr>
        <w:t xml:space="preserve">persoonsgegevens een </w:t>
      </w:r>
      <w:r>
        <w:rPr>
          <w:bCs/>
        </w:rPr>
        <w:t>inbreuk</w:t>
      </w:r>
      <w:r w:rsidR="00C1499F">
        <w:rPr>
          <w:bCs/>
        </w:rPr>
        <w:t xml:space="preserve"> vormt</w:t>
      </w:r>
      <w:r>
        <w:rPr>
          <w:bCs/>
        </w:rPr>
        <w:t xml:space="preserve"> op de persoonlijke levenssfeer van </w:t>
      </w:r>
      <w:r w:rsidR="00C1499F">
        <w:rPr>
          <w:bCs/>
        </w:rPr>
        <w:t xml:space="preserve">(mogelijk </w:t>
      </w:r>
      <w:r>
        <w:rPr>
          <w:bCs/>
        </w:rPr>
        <w:t>een grote groep</w:t>
      </w:r>
      <w:r w:rsidR="00C1499F">
        <w:rPr>
          <w:bCs/>
        </w:rPr>
        <w:t>)</w:t>
      </w:r>
      <w:r>
        <w:rPr>
          <w:bCs/>
        </w:rPr>
        <w:t xml:space="preserve"> personen. Daarom worden er in het Algemeen </w:t>
      </w:r>
      <w:r w:rsidR="001E0222">
        <w:rPr>
          <w:bCs/>
        </w:rPr>
        <w:t>d</w:t>
      </w:r>
      <w:r>
        <w:rPr>
          <w:bCs/>
        </w:rPr>
        <w:t>ouanebesluit eisen ge</w:t>
      </w:r>
      <w:r w:rsidR="001E0222">
        <w:rPr>
          <w:bCs/>
        </w:rPr>
        <w:t>s</w:t>
      </w:r>
      <w:r>
        <w:rPr>
          <w:bCs/>
        </w:rPr>
        <w:t xml:space="preserve">teld aan de afbakening van het verzoek om gegevensdeling, over de periode waarin gegevensdeling noodzakelijk is, </w:t>
      </w:r>
      <w:r w:rsidRPr="00E17F38">
        <w:rPr>
          <w:bCs/>
        </w:rPr>
        <w:t>of gegevensdeling überhaupt al dan niet strikt noodzakelijk is, wanneer gegevens geanonimiseerd dienen</w:t>
      </w:r>
      <w:r>
        <w:rPr>
          <w:bCs/>
        </w:rPr>
        <w:t xml:space="preserve"> te worden, de soort gegevens die mogen worden verstrekt, de wijze waarop gegevens worden beveiligd, de wijze waarop de belangenafweging wordt gemaakt, en de eisen waaraan een verzoek om gegevensdeling worden gesteld.</w:t>
      </w:r>
    </w:p>
    <w:p w:rsidR="00875057" w:rsidP="00EA1CE4" w:rsidRDefault="00875057" w14:paraId="26623DF7" w14:textId="77777777">
      <w:pPr>
        <w:rPr>
          <w:bCs/>
        </w:rPr>
      </w:pPr>
    </w:p>
    <w:p w:rsidRPr="00260CC3" w:rsidR="00260CC3" w:rsidP="00EA1CE4" w:rsidRDefault="00260CC3" w14:paraId="3EF5BBF5" w14:textId="6B29AF1D">
      <w:pPr>
        <w:rPr>
          <w:bCs/>
        </w:rPr>
      </w:pPr>
      <w:r>
        <w:rPr>
          <w:bCs/>
        </w:rPr>
        <w:t xml:space="preserve">Aangezien deze </w:t>
      </w:r>
      <w:r w:rsidR="001E0222">
        <w:rPr>
          <w:bCs/>
        </w:rPr>
        <w:t>algemene maatregel van bestuur (</w:t>
      </w:r>
      <w:r>
        <w:rPr>
          <w:bCs/>
        </w:rPr>
        <w:t>AMvB</w:t>
      </w:r>
      <w:r w:rsidR="001E0222">
        <w:rPr>
          <w:bCs/>
        </w:rPr>
        <w:t>)</w:t>
      </w:r>
      <w:r>
        <w:rPr>
          <w:bCs/>
        </w:rPr>
        <w:t xml:space="preserve"> van invloed is op de manier waarop de bepalingen in dit wetsvoorstel gaan worden toegepast, is parlementaire betrokkenheid</w:t>
      </w:r>
      <w:r w:rsidR="00C1499F">
        <w:rPr>
          <w:bCs/>
        </w:rPr>
        <w:t xml:space="preserve"> bij de meest ingrijpende onderdelen</w:t>
      </w:r>
      <w:r w:rsidR="008430CD">
        <w:rPr>
          <w:bCs/>
        </w:rPr>
        <w:t xml:space="preserve"> hiervan</w:t>
      </w:r>
      <w:r w:rsidR="00C1499F">
        <w:rPr>
          <w:bCs/>
        </w:rPr>
        <w:t xml:space="preserve"> </w:t>
      </w:r>
      <w:r>
        <w:rPr>
          <w:bCs/>
        </w:rPr>
        <w:t>gewenst. Dit amendement voorziet daarom in een lichte voorhang voor</w:t>
      </w:r>
      <w:r w:rsidR="00C1499F">
        <w:rPr>
          <w:bCs/>
        </w:rPr>
        <w:t xml:space="preserve"> wijzigingen in</w:t>
      </w:r>
      <w:r w:rsidR="008430CD">
        <w:rPr>
          <w:bCs/>
        </w:rPr>
        <w:t xml:space="preserve"> het Algemeen douanebesluit</w:t>
      </w:r>
      <w:r w:rsidR="001E0222">
        <w:rPr>
          <w:bCs/>
        </w:rPr>
        <w:t xml:space="preserve"> op grond van artikel 1:39, vijfde lid</w:t>
      </w:r>
      <w:r w:rsidR="00C1499F">
        <w:rPr>
          <w:bCs/>
        </w:rPr>
        <w:t>, onderdelen a</w:t>
      </w:r>
      <w:r w:rsidR="00F93821">
        <w:rPr>
          <w:bCs/>
        </w:rPr>
        <w:t>, d</w:t>
      </w:r>
      <w:r w:rsidR="00C1499F">
        <w:rPr>
          <w:bCs/>
        </w:rPr>
        <w:t xml:space="preserve"> </w:t>
      </w:r>
      <w:r w:rsidR="008430CD">
        <w:rPr>
          <w:bCs/>
        </w:rPr>
        <w:t>of</w:t>
      </w:r>
      <w:r w:rsidR="00C1499F">
        <w:rPr>
          <w:bCs/>
        </w:rPr>
        <w:t xml:space="preserve"> e</w:t>
      </w:r>
      <w:r w:rsidR="008430CD">
        <w:rPr>
          <w:bCs/>
        </w:rPr>
        <w:t>,</w:t>
      </w:r>
      <w:r w:rsidR="001E0222">
        <w:rPr>
          <w:bCs/>
        </w:rPr>
        <w:t xml:space="preserve"> </w:t>
      </w:r>
      <w:r w:rsidR="008430CD">
        <w:rPr>
          <w:bCs/>
        </w:rPr>
        <w:t>of</w:t>
      </w:r>
      <w:r w:rsidR="001E0222">
        <w:rPr>
          <w:bCs/>
        </w:rPr>
        <w:t xml:space="preserve"> </w:t>
      </w:r>
      <w:r w:rsidR="008430CD">
        <w:rPr>
          <w:bCs/>
        </w:rPr>
        <w:t xml:space="preserve">artikel </w:t>
      </w:r>
      <w:r w:rsidR="001E0222">
        <w:rPr>
          <w:bCs/>
        </w:rPr>
        <w:t xml:space="preserve">1:40, vijfde lid, </w:t>
      </w:r>
      <w:r w:rsidR="00C1499F">
        <w:rPr>
          <w:bCs/>
        </w:rPr>
        <w:t xml:space="preserve">onderdelen a </w:t>
      </w:r>
      <w:r w:rsidR="008430CD">
        <w:rPr>
          <w:bCs/>
        </w:rPr>
        <w:t>of</w:t>
      </w:r>
      <w:r w:rsidR="00C1499F">
        <w:rPr>
          <w:bCs/>
        </w:rPr>
        <w:t xml:space="preserve"> d</w:t>
      </w:r>
      <w:r w:rsidR="008430CD">
        <w:rPr>
          <w:bCs/>
        </w:rPr>
        <w:t>.</w:t>
      </w:r>
    </w:p>
    <w:p w:rsidR="00B4708A" w:rsidP="00EA1CE4" w:rsidRDefault="00B4708A" w14:paraId="54C271F3" w14:textId="1E81975E"/>
    <w:p w:rsidR="00256D6E" w:rsidP="00EA1CE4" w:rsidRDefault="003405AE" w14:paraId="2C6D4312" w14:textId="77777777">
      <w:r>
        <w:t>Six Dijkstra</w:t>
      </w:r>
    </w:p>
    <w:p w:rsidRPr="00EA69AC" w:rsidR="003405AE" w:rsidP="00EA1CE4" w:rsidRDefault="00256D6E" w14:paraId="3963039B" w14:textId="09064203">
      <w:r>
        <w:t>Haage</w:t>
      </w:r>
      <w:r w:rsidR="003405AE">
        <w:t xml:space="preserve"> </w:t>
      </w:r>
    </w:p>
    <w:sectPr w:rsidRPr="00EA69AC" w:rsidR="003405A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0380" w14:textId="77777777" w:rsidR="003E073D" w:rsidRDefault="003E073D">
      <w:pPr>
        <w:spacing w:line="20" w:lineRule="exact"/>
      </w:pPr>
    </w:p>
  </w:endnote>
  <w:endnote w:type="continuationSeparator" w:id="0">
    <w:p w14:paraId="6FC563B5" w14:textId="77777777" w:rsidR="003E073D" w:rsidRDefault="003E073D">
      <w:pPr>
        <w:pStyle w:val="Amendement"/>
      </w:pPr>
      <w:r>
        <w:rPr>
          <w:b w:val="0"/>
        </w:rPr>
        <w:t xml:space="preserve"> </w:t>
      </w:r>
    </w:p>
  </w:endnote>
  <w:endnote w:type="continuationNotice" w:id="1">
    <w:p w14:paraId="4390A7DC" w14:textId="77777777" w:rsidR="003E073D" w:rsidRDefault="003E07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E56A" w14:textId="77777777" w:rsidR="003E073D" w:rsidRDefault="003E073D">
      <w:pPr>
        <w:pStyle w:val="Amendement"/>
      </w:pPr>
      <w:r>
        <w:rPr>
          <w:b w:val="0"/>
        </w:rPr>
        <w:separator/>
      </w:r>
    </w:p>
  </w:footnote>
  <w:footnote w:type="continuationSeparator" w:id="0">
    <w:p w14:paraId="26B002D1" w14:textId="77777777" w:rsidR="003E073D" w:rsidRDefault="003E073D">
      <w:r>
        <w:continuationSeparator/>
      </w:r>
    </w:p>
  </w:footnote>
  <w:footnote w:id="1">
    <w:p w14:paraId="6DBCA025" w14:textId="2A7FABEE" w:rsidR="002A2CDF" w:rsidRPr="002A2CDF" w:rsidRDefault="002A2CDF">
      <w:pPr>
        <w:pStyle w:val="Voetnoottekst"/>
        <w:rPr>
          <w:sz w:val="20"/>
        </w:rPr>
      </w:pPr>
      <w:r w:rsidRPr="002A2CDF">
        <w:rPr>
          <w:rStyle w:val="Voetnootmarkering"/>
          <w:sz w:val="20"/>
        </w:rPr>
        <w:footnoteRef/>
      </w:r>
      <w:r w:rsidRPr="002A2CDF">
        <w:rPr>
          <w:sz w:val="20"/>
        </w:rPr>
        <w:t xml:space="preserve"> Kamerstukken II 2024/25, 36 668,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A5D59"/>
    <w:multiLevelType w:val="hybridMultilevel"/>
    <w:tmpl w:val="B622B64A"/>
    <w:lvl w:ilvl="0" w:tplc="1F7E7A4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247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64"/>
    <w:rsid w:val="0007471A"/>
    <w:rsid w:val="000D17BF"/>
    <w:rsid w:val="000E79CC"/>
    <w:rsid w:val="00157CAF"/>
    <w:rsid w:val="001638D1"/>
    <w:rsid w:val="001656EE"/>
    <w:rsid w:val="0016653D"/>
    <w:rsid w:val="001D56AF"/>
    <w:rsid w:val="001D7E73"/>
    <w:rsid w:val="001E0222"/>
    <w:rsid w:val="001E0E21"/>
    <w:rsid w:val="00212E0A"/>
    <w:rsid w:val="002153B0"/>
    <w:rsid w:val="0021777F"/>
    <w:rsid w:val="00241DD0"/>
    <w:rsid w:val="00256D6E"/>
    <w:rsid w:val="00260CC3"/>
    <w:rsid w:val="002A0713"/>
    <w:rsid w:val="002A2CDF"/>
    <w:rsid w:val="00331D0C"/>
    <w:rsid w:val="0034023E"/>
    <w:rsid w:val="003405AE"/>
    <w:rsid w:val="0034376E"/>
    <w:rsid w:val="003C21AC"/>
    <w:rsid w:val="003C5218"/>
    <w:rsid w:val="003C7876"/>
    <w:rsid w:val="003E073D"/>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A764F"/>
    <w:rsid w:val="005B1DCC"/>
    <w:rsid w:val="005B7323"/>
    <w:rsid w:val="005C25B9"/>
    <w:rsid w:val="006267E6"/>
    <w:rsid w:val="006558D2"/>
    <w:rsid w:val="00672D25"/>
    <w:rsid w:val="006738BC"/>
    <w:rsid w:val="006D3E69"/>
    <w:rsid w:val="006E068C"/>
    <w:rsid w:val="006E0971"/>
    <w:rsid w:val="007709F6"/>
    <w:rsid w:val="00783215"/>
    <w:rsid w:val="007965FC"/>
    <w:rsid w:val="007A02E8"/>
    <w:rsid w:val="007D2608"/>
    <w:rsid w:val="008164E5"/>
    <w:rsid w:val="00830081"/>
    <w:rsid w:val="008430CD"/>
    <w:rsid w:val="008467D7"/>
    <w:rsid w:val="00852541"/>
    <w:rsid w:val="00865D47"/>
    <w:rsid w:val="00875057"/>
    <w:rsid w:val="0088452C"/>
    <w:rsid w:val="008D7DCB"/>
    <w:rsid w:val="008E5E5C"/>
    <w:rsid w:val="009055DB"/>
    <w:rsid w:val="00905ECB"/>
    <w:rsid w:val="00914CDD"/>
    <w:rsid w:val="0096165D"/>
    <w:rsid w:val="00993E91"/>
    <w:rsid w:val="009A409F"/>
    <w:rsid w:val="009B5845"/>
    <w:rsid w:val="009C0C1F"/>
    <w:rsid w:val="009C19EE"/>
    <w:rsid w:val="00A10505"/>
    <w:rsid w:val="00A1288B"/>
    <w:rsid w:val="00A53203"/>
    <w:rsid w:val="00A772EB"/>
    <w:rsid w:val="00AC7D32"/>
    <w:rsid w:val="00B01BA6"/>
    <w:rsid w:val="00B4708A"/>
    <w:rsid w:val="00B70F9F"/>
    <w:rsid w:val="00BB4164"/>
    <w:rsid w:val="00BF623B"/>
    <w:rsid w:val="00C035D4"/>
    <w:rsid w:val="00C06EA9"/>
    <w:rsid w:val="00C1499F"/>
    <w:rsid w:val="00C679BF"/>
    <w:rsid w:val="00C81BBD"/>
    <w:rsid w:val="00CD3132"/>
    <w:rsid w:val="00CE27CD"/>
    <w:rsid w:val="00D134F3"/>
    <w:rsid w:val="00D47D01"/>
    <w:rsid w:val="00D76F11"/>
    <w:rsid w:val="00D774B3"/>
    <w:rsid w:val="00D962DD"/>
    <w:rsid w:val="00DD35A5"/>
    <w:rsid w:val="00DE2948"/>
    <w:rsid w:val="00DF68BE"/>
    <w:rsid w:val="00DF712A"/>
    <w:rsid w:val="00E17F38"/>
    <w:rsid w:val="00E25DF4"/>
    <w:rsid w:val="00E3485D"/>
    <w:rsid w:val="00E6619B"/>
    <w:rsid w:val="00E908D7"/>
    <w:rsid w:val="00EA1CE4"/>
    <w:rsid w:val="00EA69AC"/>
    <w:rsid w:val="00EB23C3"/>
    <w:rsid w:val="00EB40A1"/>
    <w:rsid w:val="00EC3112"/>
    <w:rsid w:val="00ED5E57"/>
    <w:rsid w:val="00EE1BD8"/>
    <w:rsid w:val="00F12910"/>
    <w:rsid w:val="00F203B8"/>
    <w:rsid w:val="00F34C50"/>
    <w:rsid w:val="00F9382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2A55C3"/>
  <w15:docId w15:val="{53F71129-F2C1-4813-98D6-3308B969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34C50"/>
    <w:pPr>
      <w:ind w:left="720"/>
      <w:contextualSpacing/>
    </w:pPr>
  </w:style>
  <w:style w:type="paragraph" w:styleId="Revisie">
    <w:name w:val="Revision"/>
    <w:hidden/>
    <w:uiPriority w:val="99"/>
    <w:semiHidden/>
    <w:rsid w:val="001E0222"/>
    <w:rPr>
      <w:sz w:val="24"/>
    </w:rPr>
  </w:style>
  <w:style w:type="character" w:styleId="Verwijzingopmerking">
    <w:name w:val="annotation reference"/>
    <w:basedOn w:val="Standaardalinea-lettertype"/>
    <w:semiHidden/>
    <w:unhideWhenUsed/>
    <w:rsid w:val="001E0222"/>
    <w:rPr>
      <w:sz w:val="16"/>
      <w:szCs w:val="16"/>
    </w:rPr>
  </w:style>
  <w:style w:type="paragraph" w:styleId="Tekstopmerking">
    <w:name w:val="annotation text"/>
    <w:basedOn w:val="Standaard"/>
    <w:link w:val="TekstopmerkingChar"/>
    <w:unhideWhenUsed/>
    <w:rsid w:val="001E0222"/>
    <w:rPr>
      <w:sz w:val="20"/>
    </w:rPr>
  </w:style>
  <w:style w:type="character" w:customStyle="1" w:styleId="TekstopmerkingChar">
    <w:name w:val="Tekst opmerking Char"/>
    <w:basedOn w:val="Standaardalinea-lettertype"/>
    <w:link w:val="Tekstopmerking"/>
    <w:rsid w:val="001E0222"/>
  </w:style>
  <w:style w:type="paragraph" w:styleId="Onderwerpvanopmerking">
    <w:name w:val="annotation subject"/>
    <w:basedOn w:val="Tekstopmerking"/>
    <w:next w:val="Tekstopmerking"/>
    <w:link w:val="OnderwerpvanopmerkingChar"/>
    <w:semiHidden/>
    <w:unhideWhenUsed/>
    <w:rsid w:val="001E0222"/>
    <w:rPr>
      <w:b/>
      <w:bCs/>
    </w:rPr>
  </w:style>
  <w:style w:type="character" w:customStyle="1" w:styleId="OnderwerpvanopmerkingChar">
    <w:name w:val="Onderwerp van opmerking Char"/>
    <w:basedOn w:val="TekstopmerkingChar"/>
    <w:link w:val="Onderwerpvanopmerking"/>
    <w:semiHidden/>
    <w:rsid w:val="001E0222"/>
    <w:rPr>
      <w:b/>
      <w:bCs/>
    </w:rPr>
  </w:style>
  <w:style w:type="character" w:styleId="Voetnootmarkering">
    <w:name w:val="footnote reference"/>
    <w:basedOn w:val="Standaardalinea-lettertype"/>
    <w:semiHidden/>
    <w:unhideWhenUsed/>
    <w:rsid w:val="002A2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9487">
      <w:bodyDiv w:val="1"/>
      <w:marLeft w:val="0"/>
      <w:marRight w:val="0"/>
      <w:marTop w:val="0"/>
      <w:marBottom w:val="0"/>
      <w:divBdr>
        <w:top w:val="none" w:sz="0" w:space="0" w:color="auto"/>
        <w:left w:val="none" w:sz="0" w:space="0" w:color="auto"/>
        <w:bottom w:val="none" w:sz="0" w:space="0" w:color="auto"/>
        <w:right w:val="none" w:sz="0" w:space="0" w:color="auto"/>
      </w:divBdr>
    </w:div>
    <w:div w:id="12005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366</ap:Words>
  <ap:Characters>2145</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2025-04-10T10:17:00.0000000Z</dcterms:created>
  <dcterms:modified xsi:type="dcterms:W3CDTF">2025-04-10T10:17:00.0000000Z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2025-04-09T13:45:09Z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13080dc9-0312-4f24-a0ce-5bed056c9c26</vt:lpwstr>
  </property>
  <property fmtid="{D5CDD505-2E9C-101B-9397-08002B2CF9AE}" pid="8" name="MSIP_Label_b2aa6e22-2c82-48c6-bf24-1790f4b9c128_ContentBits">
    <vt:lpwstr>0</vt:lpwstr>
  </property>
</Properties>
</file>