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1C6C" w:rsidR="004367F3" w:rsidP="007F6A66" w:rsidRDefault="009857F7" w14:paraId="5319967A" w14:textId="6831F7F8">
      <w:pPr>
        <w:pStyle w:val="Kop2"/>
        <w:ind w:left="0"/>
        <w:jc w:val="center"/>
        <w:rPr>
          <w:lang w:val="en-GB"/>
        </w:rPr>
      </w:pPr>
      <w:r>
        <w:rPr>
          <w:lang w:val="en-GB"/>
        </w:rPr>
        <w:t xml:space="preserve">Financing </w:t>
      </w:r>
      <w:r w:rsidR="00FB49CB">
        <w:rPr>
          <w:lang w:val="en-GB"/>
        </w:rPr>
        <w:t>D</w:t>
      </w:r>
      <w:r>
        <w:rPr>
          <w:lang w:val="en-GB"/>
        </w:rPr>
        <w:t>efence</w:t>
      </w:r>
      <w:r w:rsidR="00B45752">
        <w:rPr>
          <w:lang w:val="en-GB"/>
        </w:rPr>
        <w:t xml:space="preserve"> in Europe – </w:t>
      </w:r>
      <w:r w:rsidR="00FB49CB">
        <w:rPr>
          <w:lang w:val="en-GB"/>
        </w:rPr>
        <w:t>the</w:t>
      </w:r>
      <w:r w:rsidR="00B45752">
        <w:rPr>
          <w:lang w:val="en-GB"/>
        </w:rPr>
        <w:t xml:space="preserve"> </w:t>
      </w:r>
      <w:r w:rsidR="00FB49CB">
        <w:rPr>
          <w:lang w:val="en-GB"/>
        </w:rPr>
        <w:t>W</w:t>
      </w:r>
      <w:r w:rsidR="00B45752">
        <w:rPr>
          <w:lang w:val="en-GB"/>
        </w:rPr>
        <w:t xml:space="preserve">ay </w:t>
      </w:r>
      <w:r w:rsidR="00FB49CB">
        <w:rPr>
          <w:lang w:val="en-GB"/>
        </w:rPr>
        <w:t>A</w:t>
      </w:r>
      <w:r w:rsidR="00B45752">
        <w:rPr>
          <w:lang w:val="en-GB"/>
        </w:rPr>
        <w:t xml:space="preserve">head </w:t>
      </w:r>
    </w:p>
    <w:p w:rsidRPr="00EF1C6C" w:rsidR="007F6A66" w:rsidP="007F6A66" w:rsidRDefault="000506CC" w14:paraId="13A21CF5" w14:textId="23444013">
      <w:pPr>
        <w:pStyle w:val="Kop3"/>
        <w:ind w:left="0"/>
        <w:jc w:val="center"/>
        <w:rPr>
          <w:lang w:val="en-GB"/>
        </w:rPr>
      </w:pPr>
      <w:r>
        <w:rPr>
          <w:lang w:val="en-GB"/>
        </w:rPr>
        <w:t xml:space="preserve">Presidency </w:t>
      </w:r>
      <w:r w:rsidRPr="00EF1C6C" w:rsidR="007F6A66">
        <w:rPr>
          <w:lang w:val="en-GB"/>
        </w:rPr>
        <w:t xml:space="preserve">Issues note for the </w:t>
      </w:r>
      <w:r>
        <w:rPr>
          <w:lang w:val="en-GB"/>
        </w:rPr>
        <w:t xml:space="preserve">April Informal </w:t>
      </w:r>
      <w:r w:rsidRPr="00EF1C6C" w:rsidR="007F6A66">
        <w:rPr>
          <w:lang w:val="en-GB"/>
        </w:rPr>
        <w:t>E</w:t>
      </w:r>
      <w:r>
        <w:rPr>
          <w:lang w:val="en-GB"/>
        </w:rPr>
        <w:t>COFIN</w:t>
      </w:r>
      <w:r w:rsidRPr="00EF1C6C" w:rsidR="007F6A66">
        <w:rPr>
          <w:lang w:val="en-GB"/>
        </w:rPr>
        <w:t xml:space="preserve"> Council</w:t>
      </w:r>
    </w:p>
    <w:p w:rsidR="00887189" w:rsidP="007F6A66" w:rsidRDefault="00887189" w14:paraId="26EA887B" w14:textId="77777777">
      <w:pPr>
        <w:ind w:left="0"/>
        <w:rPr>
          <w:lang w:val="en-GB"/>
        </w:rPr>
      </w:pPr>
    </w:p>
    <w:p w:rsidRPr="00EF1C6C" w:rsidR="00EF1C6C" w:rsidP="00E86DC1" w:rsidRDefault="00EF1C6C" w14:paraId="781DE96C" w14:textId="59C553A3">
      <w:pPr>
        <w:pStyle w:val="Kop3"/>
        <w:spacing w:before="120" w:line="360" w:lineRule="auto"/>
        <w:ind w:left="0"/>
        <w:rPr>
          <w:lang w:val="en-GB"/>
        </w:rPr>
      </w:pPr>
      <w:r w:rsidRPr="00EF1C6C">
        <w:rPr>
          <w:lang w:val="en-GB"/>
        </w:rPr>
        <w:t>Introduction</w:t>
      </w:r>
    </w:p>
    <w:p w:rsidRPr="006B21E6" w:rsidR="006B21E6" w:rsidP="00E86DC1" w:rsidRDefault="006B21E6" w14:paraId="224AE704" w14:textId="1893E1FE">
      <w:pPr>
        <w:spacing w:before="120" w:after="160" w:line="360" w:lineRule="auto"/>
        <w:ind w:left="0"/>
        <w:jc w:val="both"/>
        <w:rPr>
          <w:lang w:val="en-GB"/>
        </w:rPr>
      </w:pPr>
      <w:r w:rsidRPr="00800949">
        <w:rPr>
          <w:rFonts w:eastAsia="Calibri" w:cs="Times New Roman"/>
          <w:lang w:val="en-GB"/>
        </w:rPr>
        <w:t xml:space="preserve">The EU has taken significant steps in recent </w:t>
      </w:r>
      <w:r w:rsidR="00FB49CB">
        <w:rPr>
          <w:rFonts w:eastAsia="Calibri" w:cs="Times New Roman"/>
          <w:lang w:val="en-GB"/>
        </w:rPr>
        <w:t>months</w:t>
      </w:r>
      <w:r w:rsidRPr="00800949">
        <w:rPr>
          <w:rFonts w:eastAsia="Calibri" w:cs="Times New Roman"/>
          <w:lang w:val="en-GB"/>
        </w:rPr>
        <w:t xml:space="preserve"> to increase defence funding</w:t>
      </w:r>
      <w:r>
        <w:rPr>
          <w:rFonts w:eastAsia="Calibri" w:cs="Times New Roman"/>
          <w:lang w:val="en-GB"/>
        </w:rPr>
        <w:t xml:space="preserve"> in response to </w:t>
      </w:r>
      <w:r w:rsidR="00A7480B">
        <w:rPr>
          <w:rFonts w:eastAsia="Calibri" w:cs="Times New Roman"/>
          <w:lang w:val="en-GB"/>
        </w:rPr>
        <w:t>growing</w:t>
      </w:r>
      <w:r w:rsidRPr="00800949" w:rsidR="00A7480B">
        <w:rPr>
          <w:rFonts w:eastAsia="Calibri" w:cs="Times New Roman"/>
          <w:lang w:val="en-GB"/>
        </w:rPr>
        <w:t xml:space="preserve"> </w:t>
      </w:r>
      <w:r w:rsidRPr="00800949">
        <w:rPr>
          <w:rFonts w:eastAsia="Calibri" w:cs="Times New Roman"/>
          <w:lang w:val="en-GB"/>
        </w:rPr>
        <w:t xml:space="preserve">geopolitical tensions. </w:t>
      </w:r>
      <w:r w:rsidRPr="006D02C1">
        <w:rPr>
          <w:rFonts w:eastAsia="Calibri" w:cs="Times New Roman"/>
          <w:lang w:val="en-GB"/>
        </w:rPr>
        <w:t>In March 2025, the European Council held two summits, on the 6</w:t>
      </w:r>
      <w:r w:rsidRPr="006B21E6">
        <w:rPr>
          <w:rFonts w:eastAsia="Calibri" w:cs="Times New Roman"/>
          <w:vertAlign w:val="superscript"/>
          <w:lang w:val="en-GB"/>
        </w:rPr>
        <w:t>th</w:t>
      </w:r>
      <w:r>
        <w:rPr>
          <w:rFonts w:eastAsia="Calibri" w:cs="Times New Roman"/>
          <w:lang w:val="en-GB"/>
        </w:rPr>
        <w:t xml:space="preserve"> </w:t>
      </w:r>
      <w:r w:rsidRPr="006D02C1">
        <w:rPr>
          <w:rFonts w:eastAsia="Calibri" w:cs="Times New Roman"/>
          <w:lang w:val="en-GB"/>
        </w:rPr>
        <w:t xml:space="preserve"> and 20</w:t>
      </w:r>
      <w:r w:rsidRPr="006B21E6">
        <w:rPr>
          <w:rFonts w:eastAsia="Calibri" w:cs="Times New Roman"/>
          <w:vertAlign w:val="superscript"/>
          <w:lang w:val="en-GB"/>
        </w:rPr>
        <w:t>th</w:t>
      </w:r>
      <w:r>
        <w:rPr>
          <w:rFonts w:eastAsia="Calibri" w:cs="Times New Roman"/>
          <w:lang w:val="en-GB"/>
        </w:rPr>
        <w:t xml:space="preserve"> </w:t>
      </w:r>
      <w:r w:rsidRPr="006D02C1">
        <w:rPr>
          <w:rFonts w:eastAsia="Calibri" w:cs="Times New Roman"/>
          <w:lang w:val="en-GB"/>
        </w:rPr>
        <w:t>, focusing on strengthening the EU’s defen</w:t>
      </w:r>
      <w:r>
        <w:rPr>
          <w:rFonts w:eastAsia="Calibri" w:cs="Times New Roman"/>
          <w:lang w:val="en-GB"/>
        </w:rPr>
        <w:t>c</w:t>
      </w:r>
      <w:r w:rsidRPr="006D02C1">
        <w:rPr>
          <w:rFonts w:eastAsia="Calibri" w:cs="Times New Roman"/>
          <w:lang w:val="en-GB"/>
        </w:rPr>
        <w:t>e capabilities. A major outcome was the endorsement of the “ReArm Europe” initiative, a five-point plan aiming to mobilize up to €800 billion in defen</w:t>
      </w:r>
      <w:r>
        <w:rPr>
          <w:rFonts w:eastAsia="Calibri" w:cs="Times New Roman"/>
          <w:lang w:val="en-GB"/>
        </w:rPr>
        <w:t>c</w:t>
      </w:r>
      <w:r w:rsidRPr="006D02C1">
        <w:rPr>
          <w:rFonts w:eastAsia="Calibri" w:cs="Times New Roman"/>
          <w:lang w:val="en-GB"/>
        </w:rPr>
        <w:t>e spending over the next four years.</w:t>
      </w:r>
      <w:r w:rsidR="0076050C">
        <w:rPr>
          <w:lang w:val="en-GB"/>
        </w:rPr>
        <w:t xml:space="preserve"> L</w:t>
      </w:r>
      <w:r>
        <w:rPr>
          <w:lang w:val="en-GB"/>
        </w:rPr>
        <w:t>eaders</w:t>
      </w:r>
      <w:r w:rsidR="0076050C">
        <w:rPr>
          <w:lang w:val="en-GB"/>
        </w:rPr>
        <w:t xml:space="preserve"> also </w:t>
      </w:r>
      <w:r>
        <w:rPr>
          <w:rFonts w:eastAsia="Calibri" w:cs="Times New Roman"/>
          <w:lang w:val="en-GB"/>
        </w:rPr>
        <w:t xml:space="preserve">urged </w:t>
      </w:r>
      <w:r w:rsidRPr="006D02C1">
        <w:rPr>
          <w:rFonts w:eastAsia="Calibri" w:cs="Times New Roman"/>
          <w:lang w:val="en-GB"/>
        </w:rPr>
        <w:t xml:space="preserve">the Council and </w:t>
      </w:r>
      <w:r w:rsidR="00FB49CB">
        <w:rPr>
          <w:rFonts w:eastAsia="Calibri" w:cs="Times New Roman"/>
          <w:lang w:val="en-GB"/>
        </w:rPr>
        <w:t xml:space="preserve">the </w:t>
      </w:r>
      <w:r>
        <w:rPr>
          <w:rFonts w:eastAsia="Calibri" w:cs="Times New Roman"/>
          <w:lang w:val="en-GB"/>
        </w:rPr>
        <w:t xml:space="preserve">Parliament </w:t>
      </w:r>
      <w:r w:rsidRPr="006D02C1">
        <w:rPr>
          <w:rFonts w:eastAsia="Calibri" w:cs="Times New Roman"/>
          <w:lang w:val="en-GB"/>
        </w:rPr>
        <w:t>to quickly advance new proposals on defen</w:t>
      </w:r>
      <w:r>
        <w:rPr>
          <w:rFonts w:eastAsia="Calibri" w:cs="Times New Roman"/>
          <w:lang w:val="en-GB"/>
        </w:rPr>
        <w:t>c</w:t>
      </w:r>
      <w:r w:rsidRPr="006D02C1">
        <w:rPr>
          <w:rFonts w:eastAsia="Calibri" w:cs="Times New Roman"/>
          <w:lang w:val="en-GB"/>
        </w:rPr>
        <w:t>e funding and procurement</w:t>
      </w:r>
      <w:r>
        <w:rPr>
          <w:rFonts w:eastAsia="Calibri" w:cs="Times New Roman"/>
          <w:lang w:val="en-GB"/>
        </w:rPr>
        <w:t>.</w:t>
      </w:r>
    </w:p>
    <w:p w:rsidRPr="009E60AF" w:rsidR="009E60AF" w:rsidP="00E86DC1" w:rsidRDefault="009E60AF" w14:paraId="5F19AEBA" w14:textId="4550ECE2">
      <w:pPr>
        <w:spacing w:before="120" w:after="160" w:line="360" w:lineRule="auto"/>
        <w:ind w:left="0"/>
        <w:jc w:val="both"/>
        <w:rPr>
          <w:rFonts w:ascii="Lato Black" w:hAnsi="Lato Black" w:eastAsia="Calibri" w:cs="Times New Roman"/>
          <w:b/>
          <w:bCs/>
          <w:lang w:val="en-GB"/>
        </w:rPr>
      </w:pPr>
      <w:r w:rsidRPr="009E60AF">
        <w:rPr>
          <w:rFonts w:ascii="Lato Black" w:hAnsi="Lato Black" w:eastAsia="Calibri" w:cs="Times New Roman"/>
          <w:b/>
          <w:bCs/>
          <w:lang w:val="en-GB"/>
        </w:rPr>
        <w:t>New initiatives of defence financing in Europe</w:t>
      </w:r>
    </w:p>
    <w:p w:rsidRPr="000941FD" w:rsidR="000941FD" w:rsidP="00E86DC1" w:rsidRDefault="00A50E03" w14:paraId="083767BD" w14:textId="3BF59E84">
      <w:pPr>
        <w:spacing w:before="120" w:after="160" w:line="360" w:lineRule="auto"/>
        <w:ind w:left="0"/>
        <w:jc w:val="both"/>
        <w:rPr>
          <w:lang w:val="en-GB"/>
        </w:rPr>
      </w:pPr>
      <w:r w:rsidRPr="00A50E03">
        <w:rPr>
          <w:lang w:val="en-GB"/>
        </w:rPr>
        <w:t>The ReArm Europe Plan presented by the European Commission outlines several key methods for financing increased European defen</w:t>
      </w:r>
      <w:r w:rsidR="007260CA">
        <w:rPr>
          <w:lang w:val="en-GB"/>
        </w:rPr>
        <w:t>c</w:t>
      </w:r>
      <w:r w:rsidRPr="00A50E03">
        <w:rPr>
          <w:lang w:val="en-GB"/>
        </w:rPr>
        <w:t xml:space="preserve">e spending. One of the key components is the </w:t>
      </w:r>
      <w:r w:rsidRPr="000941FD">
        <w:rPr>
          <w:b/>
          <w:bCs/>
          <w:lang w:val="en-GB"/>
        </w:rPr>
        <w:t>Security Action for Europe (SAFE)</w:t>
      </w:r>
      <w:r w:rsidRPr="00A50E03">
        <w:rPr>
          <w:lang w:val="en-GB"/>
        </w:rPr>
        <w:t xml:space="preserve">, a loan mechanism worth up to €150 billion aimed at supporting joint procurement. Additionally, the plan proposes </w:t>
      </w:r>
      <w:r w:rsidR="0076050C">
        <w:rPr>
          <w:b/>
          <w:bCs/>
          <w:lang w:val="en-GB"/>
        </w:rPr>
        <w:t xml:space="preserve">using </w:t>
      </w:r>
      <w:r w:rsidRPr="000941FD">
        <w:rPr>
          <w:b/>
          <w:bCs/>
          <w:lang w:val="en-GB"/>
        </w:rPr>
        <w:t xml:space="preserve">flexibility </w:t>
      </w:r>
      <w:r w:rsidR="0076050C">
        <w:rPr>
          <w:b/>
          <w:bCs/>
          <w:lang w:val="en-GB"/>
        </w:rPr>
        <w:t>of</w:t>
      </w:r>
      <w:r w:rsidRPr="000941FD">
        <w:rPr>
          <w:b/>
          <w:bCs/>
          <w:lang w:val="en-GB"/>
        </w:rPr>
        <w:t xml:space="preserve"> </w:t>
      </w:r>
      <w:r w:rsidR="0076050C">
        <w:rPr>
          <w:b/>
          <w:bCs/>
          <w:lang w:val="en-GB"/>
        </w:rPr>
        <w:t xml:space="preserve">the </w:t>
      </w:r>
      <w:r w:rsidRPr="000941FD">
        <w:rPr>
          <w:b/>
          <w:bCs/>
          <w:lang w:val="en-GB"/>
        </w:rPr>
        <w:t>EU fiscal rules</w:t>
      </w:r>
      <w:r w:rsidRPr="00A50E03">
        <w:rPr>
          <w:lang w:val="en-GB"/>
        </w:rPr>
        <w:t xml:space="preserve">, thus providing </w:t>
      </w:r>
      <w:r w:rsidR="00D70DD2">
        <w:rPr>
          <w:lang w:val="en-GB"/>
        </w:rPr>
        <w:t>M</w:t>
      </w:r>
      <w:r w:rsidRPr="00A50E03">
        <w:rPr>
          <w:lang w:val="en-GB"/>
        </w:rPr>
        <w:t xml:space="preserve">ember </w:t>
      </w:r>
      <w:r w:rsidR="00D70DD2">
        <w:rPr>
          <w:lang w:val="en-GB"/>
        </w:rPr>
        <w:t>S</w:t>
      </w:r>
      <w:r w:rsidRPr="00A50E03">
        <w:rPr>
          <w:lang w:val="en-GB"/>
        </w:rPr>
        <w:t xml:space="preserve">tates with more room to </w:t>
      </w:r>
      <w:r w:rsidR="0076050C">
        <w:rPr>
          <w:lang w:val="en-GB"/>
        </w:rPr>
        <w:t>spend on defence</w:t>
      </w:r>
      <w:r w:rsidRPr="00A50E03">
        <w:rPr>
          <w:lang w:val="en-GB"/>
        </w:rPr>
        <w:t xml:space="preserve">. </w:t>
      </w:r>
      <w:r w:rsidRPr="000941FD" w:rsidR="000941FD">
        <w:rPr>
          <w:lang w:val="en-GB"/>
        </w:rPr>
        <w:t>In the communication published on 19 March, the European Commission proposed the possibility of coordinated use of</w:t>
      </w:r>
      <w:r w:rsidR="00A7480B">
        <w:rPr>
          <w:lang w:val="en-GB"/>
        </w:rPr>
        <w:t xml:space="preserve"> </w:t>
      </w:r>
      <w:r w:rsidRPr="000941FD" w:rsidR="00A7480B">
        <w:rPr>
          <w:lang w:val="en-GB"/>
        </w:rPr>
        <w:t>the</w:t>
      </w:r>
      <w:r w:rsidRPr="00A7480B" w:rsidR="00A7480B">
        <w:rPr>
          <w:lang w:val="en-GB"/>
        </w:rPr>
        <w:t xml:space="preserve"> national escape clause</w:t>
      </w:r>
      <w:r w:rsidRPr="000941FD" w:rsidR="000941FD">
        <w:rPr>
          <w:lang w:val="en-GB"/>
        </w:rPr>
        <w:t xml:space="preserve"> </w:t>
      </w:r>
      <w:r w:rsidR="00A7480B">
        <w:rPr>
          <w:lang w:val="en-GB"/>
        </w:rPr>
        <w:t>(</w:t>
      </w:r>
      <w:r w:rsidRPr="000941FD" w:rsidR="000941FD">
        <w:rPr>
          <w:lang w:val="en-GB"/>
        </w:rPr>
        <w:t>NEC</w:t>
      </w:r>
      <w:r w:rsidR="00A7480B">
        <w:rPr>
          <w:lang w:val="en-GB"/>
        </w:rPr>
        <w:t xml:space="preserve">) </w:t>
      </w:r>
      <w:r w:rsidRPr="00A7480B" w:rsidR="00A7480B">
        <w:rPr>
          <w:lang w:val="en-GB"/>
        </w:rPr>
        <w:t>of the Stability and Growth Pact</w:t>
      </w:r>
      <w:r w:rsidRPr="000941FD" w:rsidR="000941FD">
        <w:rPr>
          <w:lang w:val="en-GB"/>
        </w:rPr>
        <w:t xml:space="preserve"> by all </w:t>
      </w:r>
      <w:r w:rsidR="00D70DD2">
        <w:rPr>
          <w:lang w:val="en-GB"/>
        </w:rPr>
        <w:t>M</w:t>
      </w:r>
      <w:r w:rsidRPr="000941FD" w:rsidR="000941FD">
        <w:rPr>
          <w:lang w:val="en-GB"/>
        </w:rPr>
        <w:t xml:space="preserve">ember </w:t>
      </w:r>
      <w:r w:rsidR="00D70DD2">
        <w:rPr>
          <w:lang w:val="en-GB"/>
        </w:rPr>
        <w:t>S</w:t>
      </w:r>
      <w:r w:rsidRPr="000941FD" w:rsidR="000941FD">
        <w:rPr>
          <w:lang w:val="en-GB"/>
        </w:rPr>
        <w:t xml:space="preserve">tates due to the exceptional circumstances of Russia's aggression against Ukraine and the deteriorating security environment. The Commission encourages states to submit NEC applications </w:t>
      </w:r>
      <w:r w:rsidR="0076050C">
        <w:rPr>
          <w:lang w:val="en-GB"/>
        </w:rPr>
        <w:t xml:space="preserve">still </w:t>
      </w:r>
      <w:r w:rsidRPr="000941FD" w:rsidR="000941FD">
        <w:rPr>
          <w:lang w:val="en-GB"/>
        </w:rPr>
        <w:t>in April and anticipates that the Ecofin Council could adopt the relevant recommendations in July.</w:t>
      </w:r>
    </w:p>
    <w:p w:rsidRPr="009E60AF" w:rsidR="00375569" w:rsidP="00E86DC1" w:rsidRDefault="00A50E03" w14:paraId="48C924E6" w14:textId="39678892">
      <w:pPr>
        <w:spacing w:before="120" w:after="160" w:line="360" w:lineRule="auto"/>
        <w:ind w:left="0"/>
        <w:jc w:val="both"/>
        <w:rPr>
          <w:lang w:val="en-GB"/>
        </w:rPr>
      </w:pPr>
      <w:r w:rsidRPr="00A50E03">
        <w:rPr>
          <w:lang w:val="en-GB"/>
        </w:rPr>
        <w:t xml:space="preserve">Another aspect of the plan is the exploration of </w:t>
      </w:r>
      <w:r w:rsidRPr="0021002B" w:rsidR="00981BE8">
        <w:rPr>
          <w:b/>
          <w:bCs/>
          <w:lang w:val="en-GB"/>
        </w:rPr>
        <w:t xml:space="preserve">more flexibility of </w:t>
      </w:r>
      <w:r w:rsidR="00D97A5A">
        <w:rPr>
          <w:b/>
          <w:bCs/>
          <w:lang w:val="en-GB"/>
        </w:rPr>
        <w:t xml:space="preserve">the </w:t>
      </w:r>
      <w:r w:rsidRPr="00F753E5" w:rsidR="00F753E5">
        <w:rPr>
          <w:b/>
          <w:bCs/>
          <w:lang w:val="en-GB"/>
        </w:rPr>
        <w:t>European Regional Development Fund within cohesion polic</w:t>
      </w:r>
      <w:r w:rsidR="00F753E5">
        <w:rPr>
          <w:b/>
          <w:bCs/>
          <w:lang w:val="en-GB"/>
        </w:rPr>
        <w:t>y</w:t>
      </w:r>
      <w:r w:rsidRPr="00A50E03">
        <w:rPr>
          <w:lang w:val="en-GB"/>
        </w:rPr>
        <w:t>, to support defen</w:t>
      </w:r>
      <w:r w:rsidR="007260CA">
        <w:rPr>
          <w:lang w:val="en-GB"/>
        </w:rPr>
        <w:t>c</w:t>
      </w:r>
      <w:r w:rsidRPr="00A50E03">
        <w:rPr>
          <w:lang w:val="en-GB"/>
        </w:rPr>
        <w:t>e-industrial production</w:t>
      </w:r>
      <w:r w:rsidR="00F753E5">
        <w:rPr>
          <w:lang w:val="en-GB"/>
        </w:rPr>
        <w:t>.</w:t>
      </w:r>
      <w:r w:rsidR="0021002B">
        <w:rPr>
          <w:lang w:val="en-GB"/>
        </w:rPr>
        <w:t xml:space="preserve"> </w:t>
      </w:r>
      <w:r w:rsidRPr="00A50E03">
        <w:rPr>
          <w:lang w:val="en-GB"/>
        </w:rPr>
        <w:t>However, public funding alone will not be sufficient to meet the scale of Europe's defen</w:t>
      </w:r>
      <w:r w:rsidR="007260CA">
        <w:rPr>
          <w:lang w:val="en-GB"/>
        </w:rPr>
        <w:t>c</w:t>
      </w:r>
      <w:r w:rsidRPr="00A50E03">
        <w:rPr>
          <w:lang w:val="en-GB"/>
        </w:rPr>
        <w:t xml:space="preserve">e needs. This is why one of the </w:t>
      </w:r>
      <w:r w:rsidR="00D97A5A">
        <w:rPr>
          <w:lang w:val="en-GB"/>
        </w:rPr>
        <w:t>supplementing</w:t>
      </w:r>
      <w:r w:rsidRPr="00A50E03">
        <w:rPr>
          <w:lang w:val="en-GB"/>
        </w:rPr>
        <w:t xml:space="preserve"> elements of the European plan is the </w:t>
      </w:r>
      <w:r w:rsidRPr="009E60AF">
        <w:rPr>
          <w:b/>
          <w:bCs/>
          <w:lang w:val="en-GB"/>
        </w:rPr>
        <w:t xml:space="preserve">mobilization </w:t>
      </w:r>
      <w:r w:rsidRPr="009E60AF">
        <w:rPr>
          <w:b/>
          <w:bCs/>
          <w:lang w:val="en-GB"/>
        </w:rPr>
        <w:lastRenderedPageBreak/>
        <w:t>of private capital to increase investment in defen</w:t>
      </w:r>
      <w:r w:rsidRPr="009E60AF" w:rsidR="007260CA">
        <w:rPr>
          <w:b/>
          <w:bCs/>
          <w:lang w:val="en-GB"/>
        </w:rPr>
        <w:t>c</w:t>
      </w:r>
      <w:r w:rsidRPr="009E60AF">
        <w:rPr>
          <w:b/>
          <w:bCs/>
          <w:lang w:val="en-GB"/>
        </w:rPr>
        <w:t>e</w:t>
      </w:r>
      <w:r w:rsidRPr="00A50E03">
        <w:rPr>
          <w:lang w:val="en-GB"/>
        </w:rPr>
        <w:t>. Historically, European defen</w:t>
      </w:r>
      <w:r w:rsidR="007260CA">
        <w:rPr>
          <w:lang w:val="en-GB"/>
        </w:rPr>
        <w:t>c</w:t>
      </w:r>
      <w:r w:rsidRPr="00A50E03">
        <w:rPr>
          <w:lang w:val="en-GB"/>
        </w:rPr>
        <w:t>e companies have faced challenges in accessing private financing due to several factors. Many institutional investors have been hesitant to fund defen</w:t>
      </w:r>
      <w:r w:rsidR="007260CA">
        <w:rPr>
          <w:lang w:val="en-GB"/>
        </w:rPr>
        <w:t>c</w:t>
      </w:r>
      <w:r w:rsidRPr="00A50E03">
        <w:rPr>
          <w:lang w:val="en-GB"/>
        </w:rPr>
        <w:t xml:space="preserve">e industries because of reputational concerns. </w:t>
      </w:r>
      <w:r w:rsidR="0076050C">
        <w:rPr>
          <w:lang w:val="en-GB"/>
        </w:rPr>
        <w:t>In particular, u</w:t>
      </w:r>
      <w:r w:rsidRPr="00A50E03">
        <w:rPr>
          <w:lang w:val="en-GB"/>
        </w:rPr>
        <w:t>ntil recently, the European Investment Bank (EIB) excluded nearly all defen</w:t>
      </w:r>
      <w:r w:rsidR="007260CA">
        <w:rPr>
          <w:lang w:val="en-GB"/>
        </w:rPr>
        <w:t>c</w:t>
      </w:r>
      <w:r w:rsidRPr="00A50E03">
        <w:rPr>
          <w:lang w:val="en-GB"/>
        </w:rPr>
        <w:t>e-related financing. Additionally, regulatory complexity has discouraged long-term private investment in th</w:t>
      </w:r>
      <w:r w:rsidR="00D97A5A">
        <w:rPr>
          <w:lang w:val="en-GB"/>
        </w:rPr>
        <w:t>is area</w:t>
      </w:r>
      <w:r w:rsidRPr="00A50E03">
        <w:rPr>
          <w:lang w:val="en-GB"/>
        </w:rPr>
        <w:t>.</w:t>
      </w:r>
      <w:r w:rsidR="009E60AF">
        <w:rPr>
          <w:lang w:val="en-GB"/>
        </w:rPr>
        <w:t xml:space="preserve"> </w:t>
      </w:r>
      <w:r w:rsidRPr="00E763B0" w:rsidR="00375569">
        <w:rPr>
          <w:rFonts w:eastAsia="Calibri" w:cs="Times New Roman"/>
          <w:lang w:val="en-GB"/>
        </w:rPr>
        <w:t xml:space="preserve">Therefore, </w:t>
      </w:r>
      <w:r w:rsidRPr="00E763B0" w:rsidR="00375569">
        <w:rPr>
          <w:rFonts w:eastAsia="Calibri" w:cs="Times New Roman"/>
          <w:b/>
          <w:bCs/>
          <w:lang w:val="en-GB"/>
        </w:rPr>
        <w:t xml:space="preserve">the </w:t>
      </w:r>
      <w:r w:rsidR="00D97A5A">
        <w:rPr>
          <w:rFonts w:eastAsia="Calibri" w:cs="Times New Roman"/>
          <w:b/>
          <w:bCs/>
          <w:lang w:val="en-GB"/>
        </w:rPr>
        <w:t xml:space="preserve">recent </w:t>
      </w:r>
      <w:r w:rsidRPr="00E763B0" w:rsidR="00375569">
        <w:rPr>
          <w:rFonts w:eastAsia="Calibri" w:cs="Times New Roman"/>
          <w:b/>
          <w:bCs/>
          <w:lang w:val="en-GB"/>
        </w:rPr>
        <w:t xml:space="preserve">change in the EIB's lending policy has become crucial </w:t>
      </w:r>
      <w:r w:rsidRPr="00472115" w:rsidR="0076050C">
        <w:rPr>
          <w:rFonts w:eastAsia="Calibri" w:cs="Times New Roman"/>
          <w:lang w:val="en-GB"/>
        </w:rPr>
        <w:t>for</w:t>
      </w:r>
      <w:r w:rsidRPr="00E763B0" w:rsidR="00375569">
        <w:rPr>
          <w:rFonts w:eastAsia="Calibri" w:cs="Times New Roman"/>
          <w:lang w:val="en-GB"/>
        </w:rPr>
        <w:t xml:space="preserve"> engag</w:t>
      </w:r>
      <w:r w:rsidR="0076050C">
        <w:rPr>
          <w:rFonts w:eastAsia="Calibri" w:cs="Times New Roman"/>
          <w:lang w:val="en-GB"/>
        </w:rPr>
        <w:t>ing</w:t>
      </w:r>
      <w:r w:rsidRPr="00E763B0" w:rsidR="00375569">
        <w:rPr>
          <w:rFonts w:eastAsia="Calibri" w:cs="Times New Roman"/>
          <w:lang w:val="en-GB"/>
        </w:rPr>
        <w:t xml:space="preserve"> the EIB in defence </w:t>
      </w:r>
      <w:r w:rsidR="00D97A5A">
        <w:rPr>
          <w:rFonts w:eastAsia="Calibri" w:cs="Times New Roman"/>
          <w:lang w:val="en-GB"/>
        </w:rPr>
        <w:t xml:space="preserve">and security </w:t>
      </w:r>
      <w:r w:rsidRPr="00E763B0" w:rsidR="00375569">
        <w:rPr>
          <w:rFonts w:eastAsia="Calibri" w:cs="Times New Roman"/>
          <w:lang w:val="en-GB"/>
        </w:rPr>
        <w:t>financing and send</w:t>
      </w:r>
      <w:r w:rsidR="00472115">
        <w:rPr>
          <w:rFonts w:eastAsia="Calibri" w:cs="Times New Roman"/>
          <w:lang w:val="en-GB"/>
        </w:rPr>
        <w:t>ing</w:t>
      </w:r>
      <w:r w:rsidRPr="00E763B0" w:rsidR="00375569">
        <w:rPr>
          <w:rFonts w:eastAsia="Calibri" w:cs="Times New Roman"/>
          <w:lang w:val="en-GB"/>
        </w:rPr>
        <w:t xml:space="preserve"> a strong signal to the markets that investments in defence are just as legitimate as those in </w:t>
      </w:r>
      <w:r w:rsidR="00D97A5A">
        <w:rPr>
          <w:rFonts w:eastAsia="Calibri" w:cs="Times New Roman"/>
          <w:lang w:val="en-GB"/>
        </w:rPr>
        <w:t>infrastructure</w:t>
      </w:r>
      <w:r w:rsidRPr="00E763B0" w:rsidR="00375569">
        <w:rPr>
          <w:rFonts w:eastAsia="Calibri" w:cs="Times New Roman"/>
          <w:lang w:val="en-GB"/>
        </w:rPr>
        <w:t xml:space="preserve"> or</w:t>
      </w:r>
      <w:r w:rsidR="00D97A5A">
        <w:rPr>
          <w:rFonts w:eastAsia="Calibri" w:cs="Times New Roman"/>
          <w:lang w:val="en-GB"/>
        </w:rPr>
        <w:t xml:space="preserve"> any</w:t>
      </w:r>
      <w:r w:rsidRPr="00E763B0" w:rsidR="00375569">
        <w:rPr>
          <w:rFonts w:eastAsia="Calibri" w:cs="Times New Roman"/>
          <w:lang w:val="en-GB"/>
        </w:rPr>
        <w:t xml:space="preserve"> other </w:t>
      </w:r>
      <w:r w:rsidR="00D97A5A">
        <w:rPr>
          <w:rFonts w:eastAsia="Calibri" w:cs="Times New Roman"/>
          <w:lang w:val="en-GB"/>
        </w:rPr>
        <w:t>priority</w:t>
      </w:r>
      <w:r w:rsidRPr="00E763B0" w:rsidR="00375569">
        <w:rPr>
          <w:rFonts w:eastAsia="Calibri" w:cs="Times New Roman"/>
          <w:lang w:val="en-GB"/>
        </w:rPr>
        <w:t xml:space="preserve"> projects.</w:t>
      </w:r>
    </w:p>
    <w:p w:rsidRPr="00981BE8" w:rsidR="00375569" w:rsidP="00E86DC1" w:rsidRDefault="002D0C5A" w14:paraId="679978B9" w14:textId="15FF5FAB">
      <w:pPr>
        <w:spacing w:before="120" w:after="160" w:line="360" w:lineRule="auto"/>
        <w:ind w:left="0"/>
        <w:jc w:val="both"/>
        <w:rPr>
          <w:rFonts w:eastAsia="Calibri" w:cs="Times New Roman"/>
          <w:lang w:val="en-GB"/>
        </w:rPr>
      </w:pPr>
      <w:r>
        <w:rPr>
          <w:rFonts w:eastAsia="Calibri" w:cs="Times New Roman"/>
          <w:lang w:val="en-GB"/>
        </w:rPr>
        <w:t>Furthermore</w:t>
      </w:r>
      <w:r w:rsidRPr="0021002B" w:rsidR="00375569">
        <w:rPr>
          <w:rFonts w:eastAsia="Calibri" w:cs="Times New Roman"/>
          <w:lang w:val="en-GB"/>
        </w:rPr>
        <w:t xml:space="preserve">, </w:t>
      </w:r>
      <w:r w:rsidR="00472115">
        <w:rPr>
          <w:rFonts w:eastAsia="Calibri" w:cs="Times New Roman"/>
          <w:b/>
          <w:bCs/>
          <w:lang w:val="en-GB"/>
        </w:rPr>
        <w:t>the Polish Presidency is</w:t>
      </w:r>
      <w:r w:rsidRPr="0021002B" w:rsidR="00375569">
        <w:rPr>
          <w:rFonts w:eastAsia="Calibri" w:cs="Times New Roman"/>
          <w:b/>
          <w:bCs/>
          <w:lang w:val="en-GB"/>
        </w:rPr>
        <w:t xml:space="preserve"> committed to simplifying regulations</w:t>
      </w:r>
      <w:r w:rsidRPr="0021002B" w:rsidR="00375569">
        <w:rPr>
          <w:rFonts w:eastAsia="Calibri" w:cs="Times New Roman"/>
          <w:lang w:val="en-GB"/>
        </w:rPr>
        <w:t>. This means not only improving rules specific to the defence sector but also reviewing broader EU policies that, even if not directly related to defence, make it harder for the European</w:t>
      </w:r>
      <w:r w:rsidRPr="00E763B0" w:rsidR="00375569">
        <w:rPr>
          <w:rFonts w:eastAsia="Calibri" w:cs="Times New Roman"/>
          <w:lang w:val="en-GB"/>
        </w:rPr>
        <w:t xml:space="preserve"> defence industry to respond quickly to </w:t>
      </w:r>
      <w:r>
        <w:rPr>
          <w:rFonts w:eastAsia="Calibri" w:cs="Times New Roman"/>
          <w:lang w:val="en-GB"/>
        </w:rPr>
        <w:t xml:space="preserve">our </w:t>
      </w:r>
      <w:r w:rsidRPr="00E763B0" w:rsidR="00375569">
        <w:rPr>
          <w:rFonts w:eastAsia="Calibri" w:cs="Times New Roman"/>
          <w:lang w:val="en-GB"/>
        </w:rPr>
        <w:t xml:space="preserve">security needs. </w:t>
      </w:r>
      <w:r w:rsidR="00472115">
        <w:rPr>
          <w:lang w:val="en-GB"/>
        </w:rPr>
        <w:t>T</w:t>
      </w:r>
      <w:r w:rsidRPr="00981BE8" w:rsidR="00981BE8">
        <w:rPr>
          <w:lang w:val="en-GB"/>
        </w:rPr>
        <w:t xml:space="preserve">he </w:t>
      </w:r>
      <w:r w:rsidR="00981BE8">
        <w:rPr>
          <w:lang w:val="en-GB"/>
        </w:rPr>
        <w:t>D</w:t>
      </w:r>
      <w:r w:rsidRPr="00981BE8" w:rsidR="00981BE8">
        <w:rPr>
          <w:lang w:val="en-GB"/>
        </w:rPr>
        <w:t>efen</w:t>
      </w:r>
      <w:r w:rsidR="00981BE8">
        <w:rPr>
          <w:lang w:val="en-GB"/>
        </w:rPr>
        <w:t>c</w:t>
      </w:r>
      <w:r w:rsidRPr="00981BE8" w:rsidR="00981BE8">
        <w:rPr>
          <w:lang w:val="en-GB"/>
        </w:rPr>
        <w:t xml:space="preserve">e </w:t>
      </w:r>
      <w:r w:rsidR="00981BE8">
        <w:rPr>
          <w:lang w:val="en-GB"/>
        </w:rPr>
        <w:t>Om</w:t>
      </w:r>
      <w:r w:rsidRPr="00981BE8" w:rsidR="00981BE8">
        <w:rPr>
          <w:lang w:val="en-GB"/>
        </w:rPr>
        <w:t>nibus</w:t>
      </w:r>
      <w:r w:rsidR="00981BE8">
        <w:rPr>
          <w:lang w:val="en-GB"/>
        </w:rPr>
        <w:t xml:space="preserve"> Simplification</w:t>
      </w:r>
      <w:r w:rsidRPr="00981BE8" w:rsidR="00981BE8">
        <w:rPr>
          <w:lang w:val="en-GB"/>
        </w:rPr>
        <w:t>, which will be published in June</w:t>
      </w:r>
      <w:r w:rsidR="00472115">
        <w:rPr>
          <w:lang w:val="en-GB"/>
        </w:rPr>
        <w:t>, should contribute to this process.</w:t>
      </w:r>
    </w:p>
    <w:p w:rsidRPr="00D337A0" w:rsidR="00D337A0" w:rsidP="00E86DC1" w:rsidRDefault="00D337A0" w14:paraId="4E48CB7E" w14:textId="664BE3DF">
      <w:pPr>
        <w:spacing w:before="120" w:after="160" w:line="360" w:lineRule="auto"/>
        <w:ind w:left="0"/>
        <w:jc w:val="both"/>
        <w:rPr>
          <w:rFonts w:ascii="Lato Black" w:hAnsi="Lato Black" w:eastAsia="Calibri" w:cs="Times New Roman"/>
          <w:b/>
          <w:bCs/>
          <w:lang w:val="en-GB"/>
        </w:rPr>
      </w:pPr>
      <w:r w:rsidRPr="00D337A0">
        <w:rPr>
          <w:rFonts w:ascii="Lato Black" w:hAnsi="Lato Black" w:eastAsia="Calibri" w:cs="Times New Roman"/>
          <w:b/>
          <w:bCs/>
          <w:lang w:val="en-GB"/>
        </w:rPr>
        <w:t>Are our efforts enough?</w:t>
      </w:r>
    </w:p>
    <w:p w:rsidR="0021002B" w:rsidP="00E86DC1" w:rsidRDefault="00472115" w14:paraId="0500B9CA" w14:textId="29FC5C0A">
      <w:pPr>
        <w:spacing w:before="120" w:after="160" w:line="360" w:lineRule="auto"/>
        <w:ind w:left="0"/>
        <w:jc w:val="both"/>
        <w:rPr>
          <w:rFonts w:eastAsia="Calibri" w:cs="Times New Roman"/>
          <w:lang w:val="en-GB"/>
        </w:rPr>
      </w:pPr>
      <w:r>
        <w:rPr>
          <w:lang w:val="en-GB"/>
        </w:rPr>
        <w:t xml:space="preserve">The Polish Presidency has </w:t>
      </w:r>
      <w:r w:rsidR="00D70DD2">
        <w:rPr>
          <w:lang w:val="en-GB"/>
        </w:rPr>
        <w:t>commissioned</w:t>
      </w:r>
      <w:r w:rsidRPr="00D337A0" w:rsidR="0021002B">
        <w:rPr>
          <w:lang w:val="en-GB"/>
        </w:rPr>
        <w:t xml:space="preserve"> </w:t>
      </w:r>
      <w:r w:rsidR="0021002B">
        <w:rPr>
          <w:lang w:val="en-GB"/>
        </w:rPr>
        <w:t>Bruegel</w:t>
      </w:r>
      <w:r w:rsidRPr="00D337A0" w:rsidR="0021002B">
        <w:rPr>
          <w:lang w:val="en-GB"/>
        </w:rPr>
        <w:t xml:space="preserve"> to prepare an analysis assessing the adequacy of </w:t>
      </w:r>
      <w:r>
        <w:rPr>
          <w:lang w:val="en-GB"/>
        </w:rPr>
        <w:t>the</w:t>
      </w:r>
      <w:r w:rsidRPr="00D337A0" w:rsidR="0021002B">
        <w:rPr>
          <w:lang w:val="en-GB"/>
        </w:rPr>
        <w:t xml:space="preserve"> recent efforts and proposing additional solutions to the </w:t>
      </w:r>
      <w:r w:rsidR="002D0C5A">
        <w:rPr>
          <w:lang w:val="en-GB"/>
        </w:rPr>
        <w:t>existing</w:t>
      </w:r>
      <w:r w:rsidRPr="00D337A0" w:rsidR="0021002B">
        <w:rPr>
          <w:lang w:val="en-GB"/>
        </w:rPr>
        <w:t xml:space="preserve"> challenge of insufficient defence financing.</w:t>
      </w:r>
    </w:p>
    <w:p w:rsidRPr="006B21E6" w:rsidR="0021002B" w:rsidP="00E86DC1" w:rsidRDefault="0021002B" w14:paraId="07E425B2" w14:textId="6A356159">
      <w:pPr>
        <w:spacing w:before="120" w:after="160" w:line="360" w:lineRule="auto"/>
        <w:ind w:left="0"/>
        <w:jc w:val="both"/>
        <w:rPr>
          <w:lang w:val="en-GB"/>
        </w:rPr>
      </w:pPr>
      <w:r w:rsidRPr="000F3BFF">
        <w:rPr>
          <w:rFonts w:eastAsia="Calibri" w:cs="Times New Roman"/>
          <w:lang w:val="en-GB"/>
        </w:rPr>
        <w:t xml:space="preserve">According to Bruegel’s assessment, </w:t>
      </w:r>
      <w:r w:rsidR="0037741F">
        <w:rPr>
          <w:rFonts w:eastAsia="Calibri" w:cs="Times New Roman"/>
          <w:lang w:val="en-GB"/>
        </w:rPr>
        <w:t xml:space="preserve">ambitious rearmament goals set by the EU need improved governance and </w:t>
      </w:r>
      <w:r w:rsidR="00EF7AEE">
        <w:rPr>
          <w:rFonts w:eastAsia="Calibri" w:cs="Times New Roman"/>
          <w:lang w:val="en-GB"/>
        </w:rPr>
        <w:t xml:space="preserve">fiscally feasible </w:t>
      </w:r>
      <w:r w:rsidR="0037741F">
        <w:rPr>
          <w:rFonts w:eastAsia="Calibri" w:cs="Times New Roman"/>
          <w:lang w:val="en-GB"/>
        </w:rPr>
        <w:t>financing</w:t>
      </w:r>
      <w:r w:rsidRPr="000F3BFF">
        <w:rPr>
          <w:rFonts w:eastAsia="Calibri" w:cs="Times New Roman"/>
          <w:lang w:val="en-GB"/>
        </w:rPr>
        <w:t xml:space="preserve">. </w:t>
      </w:r>
      <w:r w:rsidRPr="007260CA">
        <w:rPr>
          <w:lang w:val="en-GB"/>
        </w:rPr>
        <w:t>The procurement and production processes suffer from limited scale</w:t>
      </w:r>
      <w:r w:rsidR="00094903">
        <w:rPr>
          <w:lang w:val="en-GB"/>
        </w:rPr>
        <w:t xml:space="preserve"> and low competition</w:t>
      </w:r>
      <w:r w:rsidRPr="007260CA">
        <w:rPr>
          <w:lang w:val="en-GB"/>
        </w:rPr>
        <w:t>, which leads to high costs for weapons and other military equipment. Europe's defen</w:t>
      </w:r>
      <w:r>
        <w:rPr>
          <w:lang w:val="en-GB"/>
        </w:rPr>
        <w:t>c</w:t>
      </w:r>
      <w:r w:rsidRPr="007260CA">
        <w:rPr>
          <w:lang w:val="en-GB"/>
        </w:rPr>
        <w:t>e industry is fragmented, and the development timelines for advanced technologies are lengthy.</w:t>
      </w:r>
      <w:r>
        <w:rPr>
          <w:lang w:val="en-GB"/>
        </w:rPr>
        <w:t xml:space="preserve"> </w:t>
      </w:r>
      <w:r w:rsidRPr="007260CA">
        <w:rPr>
          <w:lang w:val="en-GB"/>
        </w:rPr>
        <w:t xml:space="preserve">As they note, </w:t>
      </w:r>
      <w:r w:rsidRPr="009E60AF">
        <w:rPr>
          <w:b/>
          <w:bCs/>
          <w:lang w:val="en-GB"/>
        </w:rPr>
        <w:t>military burdens are unevenly distributed</w:t>
      </w:r>
      <w:r w:rsidRPr="007260CA">
        <w:rPr>
          <w:lang w:val="en-GB"/>
        </w:rPr>
        <w:t>, with significantly higher defen</w:t>
      </w:r>
      <w:r>
        <w:rPr>
          <w:lang w:val="en-GB"/>
        </w:rPr>
        <w:t>c</w:t>
      </w:r>
      <w:r w:rsidRPr="007260CA">
        <w:rPr>
          <w:lang w:val="en-GB"/>
        </w:rPr>
        <w:t xml:space="preserve">e spending in countries located on the EU's eastern border, particularly those sharing a border with Russia and Belarus. This trend is evident in the figures, as in 2024, the US fell to third place in NATO military spending as a percentage of GDP, following </w:t>
      </w:r>
      <w:r w:rsidR="00616E05">
        <w:rPr>
          <w:lang w:val="en-GB"/>
        </w:rPr>
        <w:t>Poland</w:t>
      </w:r>
      <w:r w:rsidRPr="007260CA" w:rsidR="00616E05">
        <w:rPr>
          <w:lang w:val="en-GB"/>
        </w:rPr>
        <w:t xml:space="preserve"> </w:t>
      </w:r>
      <w:r w:rsidRPr="007260CA">
        <w:rPr>
          <w:lang w:val="en-GB"/>
        </w:rPr>
        <w:t xml:space="preserve">and </w:t>
      </w:r>
      <w:r w:rsidR="00616E05">
        <w:rPr>
          <w:lang w:val="en-GB"/>
        </w:rPr>
        <w:t>Estonia</w:t>
      </w:r>
      <w:r w:rsidRPr="007260CA">
        <w:rPr>
          <w:lang w:val="en-GB"/>
        </w:rPr>
        <w:t xml:space="preserve">. </w:t>
      </w:r>
    </w:p>
    <w:p w:rsidR="008F1BFA" w:rsidP="00E86DC1" w:rsidRDefault="0014172C" w14:paraId="7803460B" w14:textId="0790295C">
      <w:pPr>
        <w:spacing w:before="120" w:after="100" w:afterAutospacing="1" w:line="360" w:lineRule="auto"/>
        <w:ind w:left="0"/>
        <w:jc w:val="both"/>
        <w:rPr>
          <w:lang w:val="en-GB"/>
        </w:rPr>
      </w:pPr>
      <w:r w:rsidRPr="004F6235">
        <w:rPr>
          <w:lang w:val="en-GB"/>
        </w:rPr>
        <w:lastRenderedPageBreak/>
        <w:t xml:space="preserve">As Bruegel stresses, greater cooperation, joint procurement, and reduced fragmentation of the European defence market are essential to lowering the cost of </w:t>
      </w:r>
      <w:r w:rsidR="00CC126B">
        <w:rPr>
          <w:lang w:val="en-GB"/>
        </w:rPr>
        <w:t xml:space="preserve">planned </w:t>
      </w:r>
      <w:r w:rsidRPr="004F6235">
        <w:rPr>
          <w:lang w:val="en-GB"/>
        </w:rPr>
        <w:t>rearmament.</w:t>
      </w:r>
      <w:r>
        <w:rPr>
          <w:lang w:val="en-GB"/>
        </w:rPr>
        <w:t xml:space="preserve"> </w:t>
      </w:r>
      <w:r w:rsidRPr="008F1BFA" w:rsidR="008F1BFA">
        <w:rPr>
          <w:lang w:val="en-GB"/>
        </w:rPr>
        <w:t>Although the authors acknowledge progress in the EU's efforts to strengthen Europe's defen</w:t>
      </w:r>
      <w:r w:rsidR="008F1BFA">
        <w:rPr>
          <w:lang w:val="en-GB"/>
        </w:rPr>
        <w:t>c</w:t>
      </w:r>
      <w:r w:rsidRPr="008F1BFA" w:rsidR="008F1BFA">
        <w:rPr>
          <w:lang w:val="en-GB"/>
        </w:rPr>
        <w:t>e capabilities</w:t>
      </w:r>
      <w:r w:rsidR="00EA151A">
        <w:rPr>
          <w:lang w:val="en-GB"/>
        </w:rPr>
        <w:t xml:space="preserve"> (in particular by strengthening the supply of military goods – EDF, ASAP and coordinate</w:t>
      </w:r>
      <w:r w:rsidR="002D0C5A">
        <w:rPr>
          <w:lang w:val="en-GB"/>
        </w:rPr>
        <w:t>d</w:t>
      </w:r>
      <w:r w:rsidR="00EA151A">
        <w:rPr>
          <w:lang w:val="en-GB"/>
        </w:rPr>
        <w:t xml:space="preserve"> procurement demand – EDIRPA, ReArm Europe Plan)</w:t>
      </w:r>
      <w:r w:rsidRPr="008F1BFA" w:rsidR="008F1BFA">
        <w:rPr>
          <w:lang w:val="en-GB"/>
        </w:rPr>
        <w:t xml:space="preserve">, they remain moderate in their assessment of how effectively these measures will help </w:t>
      </w:r>
      <w:r w:rsidR="00B36CF9">
        <w:rPr>
          <w:lang w:val="en-GB"/>
        </w:rPr>
        <w:t xml:space="preserve">overcome the current weaknesses of the European defence market and </w:t>
      </w:r>
      <w:r w:rsidRPr="008F1BFA" w:rsidR="008F1BFA">
        <w:rPr>
          <w:lang w:val="en-GB"/>
        </w:rPr>
        <w:t>achieve the goal set by EU leaders at the European Council summit in March, which is to ensure Europe's defen</w:t>
      </w:r>
      <w:r w:rsidR="008F1BFA">
        <w:rPr>
          <w:lang w:val="en-GB"/>
        </w:rPr>
        <w:t>c</w:t>
      </w:r>
      <w:r w:rsidRPr="008F1BFA" w:rsidR="008F1BFA">
        <w:rPr>
          <w:lang w:val="en-GB"/>
        </w:rPr>
        <w:t xml:space="preserve">e readiness by 2030. </w:t>
      </w:r>
    </w:p>
    <w:p w:rsidR="00F301CA" w:rsidP="00E86DC1" w:rsidRDefault="004706EE" w14:paraId="18249512" w14:textId="186758C4">
      <w:pPr>
        <w:spacing w:before="120" w:after="100" w:afterAutospacing="1" w:line="360" w:lineRule="auto"/>
        <w:ind w:left="0"/>
        <w:jc w:val="both"/>
        <w:rPr>
          <w:rFonts w:eastAsia="Times New Roman" w:cs="Times New Roman"/>
          <w:lang w:val="en-GB" w:eastAsia="pl-PL"/>
        </w:rPr>
      </w:pPr>
      <w:r w:rsidRPr="0021002B">
        <w:rPr>
          <w:lang w:val="en-GB"/>
        </w:rPr>
        <w:t xml:space="preserve">According to the authors, the interest rates on loans under the SAFE mechanism will not be a significant incentive for many EU countries. Any potential savings, and thus the motivation to use this instrument, will be limited. </w:t>
      </w:r>
      <w:r w:rsidR="00A21B2A">
        <w:rPr>
          <w:lang w:val="en-GB"/>
        </w:rPr>
        <w:t xml:space="preserve">The authors also expect that the NEC will have limited impact on increasing the defence expenditure. </w:t>
      </w:r>
      <w:r w:rsidR="00C047FB">
        <w:rPr>
          <w:lang w:val="en-GB"/>
        </w:rPr>
        <w:t>Moreover</w:t>
      </w:r>
      <w:r w:rsidRPr="00B77143" w:rsidR="00012A56">
        <w:rPr>
          <w:lang w:val="en-GB"/>
        </w:rPr>
        <w:t xml:space="preserve">, according to Bruegel, under ReArm, the cost of higher defence spending would be </w:t>
      </w:r>
      <w:r w:rsidRPr="00B77143" w:rsidR="00012A56">
        <w:rPr>
          <w:i/>
          <w:iCs/>
          <w:lang w:val="en-GB"/>
        </w:rPr>
        <w:t>entirely (or in the case of high yield countries borrowing through SAFE, almost entirely) borne at the national level</w:t>
      </w:r>
      <w:r w:rsidR="004F6235">
        <w:rPr>
          <w:lang w:val="en-GB"/>
        </w:rPr>
        <w:t>. T</w:t>
      </w:r>
      <w:r w:rsidR="00094903">
        <w:rPr>
          <w:lang w:val="en-GB"/>
        </w:rPr>
        <w:t xml:space="preserve">his may further </w:t>
      </w:r>
      <w:r w:rsidR="0014172C">
        <w:rPr>
          <w:lang w:val="en-GB"/>
        </w:rPr>
        <w:t>discourage coordination</w:t>
      </w:r>
      <w:r w:rsidR="00771511">
        <w:rPr>
          <w:lang w:val="en-GB"/>
        </w:rPr>
        <w:t xml:space="preserve"> and </w:t>
      </w:r>
      <w:r w:rsidRPr="00BF60D8" w:rsidR="00771511">
        <w:rPr>
          <w:lang w:val="en-GB"/>
        </w:rPr>
        <w:t>lead to higher prices</w:t>
      </w:r>
      <w:r w:rsidR="00771511">
        <w:rPr>
          <w:lang w:val="en-GB"/>
        </w:rPr>
        <w:t>.</w:t>
      </w:r>
      <w:r w:rsidR="00B823B0">
        <w:rPr>
          <w:lang w:val="en-GB"/>
        </w:rPr>
        <w:t xml:space="preserve"> </w:t>
      </w:r>
      <w:r w:rsidRPr="00605F27" w:rsidR="00605F27">
        <w:rPr>
          <w:lang w:val="en-GB"/>
        </w:rPr>
        <w:t xml:space="preserve">Finally, the authors argue that the new EU proposals do not address the challenges of </w:t>
      </w:r>
      <w:r w:rsidR="007573AA">
        <w:rPr>
          <w:lang w:val="en-GB"/>
        </w:rPr>
        <w:t>delivering</w:t>
      </w:r>
      <w:r w:rsidRPr="00605F27" w:rsidR="00605F27">
        <w:rPr>
          <w:lang w:val="en-GB"/>
        </w:rPr>
        <w:t xml:space="preserve"> large-scale projects such as strategic enablers, nor do they tackle what </w:t>
      </w:r>
      <w:r w:rsidR="007573AA">
        <w:rPr>
          <w:lang w:val="en-GB"/>
        </w:rPr>
        <w:t>is</w:t>
      </w:r>
      <w:r w:rsidRPr="00605F27" w:rsidR="00605F27">
        <w:rPr>
          <w:lang w:val="en-GB"/>
        </w:rPr>
        <w:t xml:space="preserve"> refer</w:t>
      </w:r>
      <w:r w:rsidR="007573AA">
        <w:rPr>
          <w:lang w:val="en-GB"/>
        </w:rPr>
        <w:t>red</w:t>
      </w:r>
      <w:r w:rsidRPr="00605F27" w:rsidR="00605F27">
        <w:rPr>
          <w:lang w:val="en-GB"/>
        </w:rPr>
        <w:t xml:space="preserve"> to as “free riding” on frontier countries.</w:t>
      </w:r>
      <w:r w:rsidR="00823883">
        <w:rPr>
          <w:lang w:val="en-GB"/>
        </w:rPr>
        <w:t xml:space="preserve"> </w:t>
      </w:r>
      <w:r w:rsidRPr="00B77143" w:rsidR="00B77143">
        <w:rPr>
          <w:lang w:val="en-GB"/>
        </w:rPr>
        <w:t xml:space="preserve">The authors suggest </w:t>
      </w:r>
      <w:r w:rsidRPr="00FA464D" w:rsidR="00FA464D">
        <w:rPr>
          <w:rFonts w:eastAsia="Times New Roman" w:cs="Times New Roman"/>
          <w:lang w:val="en-GB" w:eastAsia="pl-PL"/>
        </w:rPr>
        <w:t>two possible approaches to addressing the current shortcomings in European defen</w:t>
      </w:r>
      <w:r w:rsidRPr="00B77143" w:rsidR="00B77143">
        <w:rPr>
          <w:rFonts w:eastAsia="Times New Roman" w:cs="Times New Roman"/>
          <w:lang w:val="en-GB" w:eastAsia="pl-PL"/>
        </w:rPr>
        <w:t>c</w:t>
      </w:r>
      <w:r w:rsidRPr="00FA464D" w:rsidR="00FA464D">
        <w:rPr>
          <w:rFonts w:eastAsia="Times New Roman" w:cs="Times New Roman"/>
          <w:lang w:val="en-GB" w:eastAsia="pl-PL"/>
        </w:rPr>
        <w:t xml:space="preserve">e policy. The </w:t>
      </w:r>
      <w:r w:rsidRPr="00FA464D" w:rsidR="00FA464D">
        <w:rPr>
          <w:rFonts w:eastAsia="Times New Roman" w:cs="Times New Roman"/>
          <w:b/>
          <w:bCs/>
          <w:lang w:val="en-GB" w:eastAsia="pl-PL"/>
        </w:rPr>
        <w:t>incremental approach</w:t>
      </w:r>
      <w:r w:rsidRPr="00FA464D" w:rsidR="00FA464D">
        <w:rPr>
          <w:rFonts w:eastAsia="Times New Roman" w:cs="Times New Roman"/>
          <w:lang w:val="en-GB" w:eastAsia="pl-PL"/>
        </w:rPr>
        <w:t xml:space="preserve"> focuses on strengthening existing institutions for procurement and funding</w:t>
      </w:r>
      <w:r w:rsidRPr="00B77143" w:rsidR="00012A56">
        <w:rPr>
          <w:rFonts w:eastAsia="Times New Roman" w:cs="Times New Roman"/>
          <w:lang w:val="en-GB" w:eastAsia="pl-PL"/>
        </w:rPr>
        <w:t xml:space="preserve"> to achieve</w:t>
      </w:r>
      <w:r w:rsidRPr="00FA464D" w:rsidR="00FA464D">
        <w:rPr>
          <w:rFonts w:eastAsia="Times New Roman" w:cs="Times New Roman"/>
          <w:lang w:val="en-GB" w:eastAsia="pl-PL"/>
        </w:rPr>
        <w:t xml:space="preserve"> better coordination. </w:t>
      </w:r>
      <w:r w:rsidRPr="00FA464D" w:rsidR="00F301CA">
        <w:rPr>
          <w:rFonts w:eastAsia="Times New Roman" w:cs="Times New Roman"/>
          <w:lang w:val="en-GB" w:eastAsia="pl-PL"/>
        </w:rPr>
        <w:t xml:space="preserve">It suggests reinforcing EDA </w:t>
      </w:r>
      <w:r w:rsidR="00B77143">
        <w:rPr>
          <w:rFonts w:eastAsia="Times New Roman" w:cs="Times New Roman"/>
          <w:lang w:val="en-GB" w:eastAsia="pl-PL"/>
        </w:rPr>
        <w:t xml:space="preserve">to </w:t>
      </w:r>
      <w:r w:rsidR="00B77143">
        <w:rPr>
          <w:rFonts w:eastAsiaTheme="minorEastAsia"/>
          <w:b/>
          <w:lang w:val="en-GB"/>
        </w:rPr>
        <w:t>c</w:t>
      </w:r>
      <w:r w:rsidRPr="00791F70" w:rsidR="00B77143">
        <w:rPr>
          <w:rFonts w:eastAsiaTheme="minorEastAsia"/>
          <w:b/>
          <w:lang w:val="en-GB"/>
        </w:rPr>
        <w:t>entraliz</w:t>
      </w:r>
      <w:r w:rsidR="00B77143">
        <w:rPr>
          <w:rFonts w:eastAsiaTheme="minorEastAsia"/>
          <w:b/>
          <w:lang w:val="en-GB"/>
        </w:rPr>
        <w:t>e</w:t>
      </w:r>
      <w:r w:rsidRPr="00791F70" w:rsidR="00B77143">
        <w:rPr>
          <w:rFonts w:eastAsiaTheme="minorEastAsia"/>
          <w:b/>
          <w:lang w:val="en-GB"/>
        </w:rPr>
        <w:t xml:space="preserve"> procurement and capability planning </w:t>
      </w:r>
      <w:r w:rsidRPr="00B77143" w:rsidR="00F301CA">
        <w:rPr>
          <w:rFonts w:eastAsia="Times New Roman" w:cs="Times New Roman"/>
          <w:lang w:val="en-GB" w:eastAsia="pl-PL"/>
        </w:rPr>
        <w:t xml:space="preserve">and PESCO </w:t>
      </w:r>
      <w:r w:rsidRPr="00791F70" w:rsidR="00B77143">
        <w:rPr>
          <w:rFonts w:eastAsiaTheme="minorEastAsia"/>
          <w:lang w:val="en-GB"/>
        </w:rPr>
        <w:t>a</w:t>
      </w:r>
      <w:r w:rsidR="00B77143">
        <w:rPr>
          <w:rFonts w:eastAsiaTheme="minorEastAsia"/>
          <w:lang w:val="en-GB"/>
        </w:rPr>
        <w:t>s a</w:t>
      </w:r>
      <w:r w:rsidRPr="00791F70" w:rsidR="00B77143">
        <w:rPr>
          <w:rFonts w:eastAsiaTheme="minorEastAsia"/>
          <w:lang w:val="en-GB"/>
        </w:rPr>
        <w:t xml:space="preserve"> framework for coalitions willing to develop “strategic enablers”</w:t>
      </w:r>
      <w:r w:rsidRPr="00FA464D" w:rsidR="00F301CA">
        <w:rPr>
          <w:rFonts w:eastAsia="Times New Roman" w:cs="Times New Roman"/>
          <w:lang w:val="en-GB" w:eastAsia="pl-PL"/>
        </w:rPr>
        <w:t xml:space="preserve">. </w:t>
      </w:r>
      <w:r w:rsidR="00FB49CB">
        <w:rPr>
          <w:rFonts w:eastAsia="Times New Roman" w:cs="Times New Roman"/>
          <w:lang w:val="en-GB" w:eastAsia="pl-PL"/>
        </w:rPr>
        <w:t>It would include also</w:t>
      </w:r>
      <w:r w:rsidRPr="00FA464D" w:rsidR="00F301CA">
        <w:rPr>
          <w:rFonts w:eastAsia="Times New Roman" w:cs="Times New Roman"/>
          <w:lang w:val="en-GB" w:eastAsia="pl-PL"/>
        </w:rPr>
        <w:t xml:space="preserve"> a </w:t>
      </w:r>
      <w:r w:rsidRPr="00B77143" w:rsidR="00B77143">
        <w:rPr>
          <w:rFonts w:eastAsia="Times New Roman" w:cs="Times New Roman"/>
          <w:lang w:val="en-GB" w:eastAsia="pl-PL"/>
        </w:rPr>
        <w:t xml:space="preserve">so-called </w:t>
      </w:r>
      <w:r w:rsidRPr="00FA464D" w:rsidR="00F301CA">
        <w:rPr>
          <w:rFonts w:eastAsia="Times New Roman" w:cs="Times New Roman"/>
          <w:b/>
          <w:bCs/>
          <w:lang w:val="en-GB" w:eastAsia="pl-PL"/>
        </w:rPr>
        <w:t>"SURE Plus" funding mechanism</w:t>
      </w:r>
      <w:r w:rsidRPr="00B77143" w:rsidR="00012A56">
        <w:rPr>
          <w:rFonts w:eastAsia="Times New Roman" w:cs="Times New Roman"/>
          <w:lang w:val="en-GB" w:eastAsia="pl-PL"/>
        </w:rPr>
        <w:t xml:space="preserve">, which </w:t>
      </w:r>
      <w:r w:rsidRPr="00B77143" w:rsidR="002C3705">
        <w:rPr>
          <w:rFonts w:eastAsia="Times New Roman" w:cs="Times New Roman"/>
          <w:lang w:val="en-GB" w:eastAsia="pl-PL"/>
        </w:rPr>
        <w:t xml:space="preserve">would involve not only </w:t>
      </w:r>
      <w:r w:rsidR="002C3705">
        <w:rPr>
          <w:rFonts w:eastAsia="Times New Roman" w:cs="Times New Roman"/>
          <w:lang w:val="en-GB" w:eastAsia="pl-PL"/>
        </w:rPr>
        <w:t xml:space="preserve">EU </w:t>
      </w:r>
      <w:r w:rsidRPr="00FA464D" w:rsidR="002C3705">
        <w:rPr>
          <w:rFonts w:eastAsia="Times New Roman" w:cs="Times New Roman"/>
          <w:lang w:val="en-GB" w:eastAsia="pl-PL"/>
        </w:rPr>
        <w:t>budgetary headroom</w:t>
      </w:r>
      <w:r w:rsidRPr="00B77143" w:rsidR="002C3705">
        <w:rPr>
          <w:rFonts w:eastAsia="Times New Roman" w:cs="Times New Roman"/>
          <w:lang w:val="en-GB" w:eastAsia="pl-PL"/>
        </w:rPr>
        <w:t>, but also guaranties of the participating states.</w:t>
      </w:r>
      <w:r w:rsidR="002C3705">
        <w:rPr>
          <w:rFonts w:eastAsia="Times New Roman" w:cs="Times New Roman"/>
          <w:lang w:val="en-GB" w:eastAsia="pl-PL"/>
        </w:rPr>
        <w:t xml:space="preserve"> In order to </w:t>
      </w:r>
      <w:r w:rsidRPr="00FA464D" w:rsidR="002C3705">
        <w:rPr>
          <w:rFonts w:eastAsia="Times New Roman" w:cs="Times New Roman"/>
          <w:lang w:val="en-GB" w:eastAsia="pl-PL"/>
        </w:rPr>
        <w:t>significantly increase available financial resources</w:t>
      </w:r>
      <w:r w:rsidR="002C3705">
        <w:rPr>
          <w:rFonts w:eastAsia="Times New Roman" w:cs="Times New Roman"/>
          <w:lang w:val="en-GB" w:eastAsia="pl-PL"/>
        </w:rPr>
        <w:t xml:space="preserve">, it </w:t>
      </w:r>
      <w:r w:rsidRPr="00B77143" w:rsidR="00012A56">
        <w:rPr>
          <w:rFonts w:eastAsia="Times New Roman" w:cs="Times New Roman"/>
          <w:lang w:val="en-GB" w:eastAsia="pl-PL"/>
        </w:rPr>
        <w:t xml:space="preserve">could </w:t>
      </w:r>
      <w:r w:rsidRPr="00FA464D" w:rsidR="00F301CA">
        <w:rPr>
          <w:rFonts w:eastAsia="Times New Roman" w:cs="Times New Roman"/>
          <w:lang w:val="en-GB" w:eastAsia="pl-PL"/>
        </w:rPr>
        <w:t xml:space="preserve">extend EU-based lending to non-EU </w:t>
      </w:r>
      <w:r w:rsidR="00FB49CB">
        <w:rPr>
          <w:rFonts w:eastAsia="Times New Roman" w:cs="Times New Roman"/>
          <w:lang w:val="en-GB" w:eastAsia="pl-PL"/>
        </w:rPr>
        <w:t>countries</w:t>
      </w:r>
      <w:r w:rsidR="002C3705">
        <w:rPr>
          <w:rFonts w:eastAsia="Times New Roman" w:cs="Times New Roman"/>
          <w:lang w:val="en-GB" w:eastAsia="pl-PL"/>
        </w:rPr>
        <w:t xml:space="preserve">. </w:t>
      </w:r>
    </w:p>
    <w:p w:rsidR="00D70DD2" w:rsidP="00E86DC1" w:rsidRDefault="00F301CA" w14:paraId="1F1C40AB" w14:textId="77777777">
      <w:pPr>
        <w:spacing w:before="120" w:after="100" w:afterAutospacing="1" w:line="360" w:lineRule="auto"/>
        <w:ind w:left="0"/>
        <w:jc w:val="both"/>
        <w:rPr>
          <w:lang w:val="en-GB"/>
        </w:rPr>
      </w:pPr>
      <w:r w:rsidRPr="00B77143">
        <w:rPr>
          <w:rFonts w:eastAsia="Times New Roman" w:cs="Times New Roman"/>
          <w:lang w:val="en-GB" w:eastAsia="pl-PL"/>
        </w:rPr>
        <w:t>The second approach</w:t>
      </w:r>
      <w:r w:rsidR="002D0C5A">
        <w:rPr>
          <w:rFonts w:eastAsia="Times New Roman" w:cs="Times New Roman"/>
          <w:lang w:val="en-GB" w:eastAsia="pl-PL"/>
        </w:rPr>
        <w:t>,</w:t>
      </w:r>
      <w:r w:rsidRPr="00B77143">
        <w:rPr>
          <w:rFonts w:eastAsia="Times New Roman" w:cs="Times New Roman"/>
          <w:lang w:val="en-GB" w:eastAsia="pl-PL"/>
        </w:rPr>
        <w:t xml:space="preserve"> called</w:t>
      </w:r>
      <w:r w:rsidR="002C3705">
        <w:rPr>
          <w:rFonts w:eastAsia="Times New Roman" w:cs="Times New Roman"/>
          <w:lang w:val="en-GB" w:eastAsia="pl-PL"/>
        </w:rPr>
        <w:t xml:space="preserve"> by the authors</w:t>
      </w:r>
      <w:r w:rsidR="002D0C5A">
        <w:rPr>
          <w:rFonts w:eastAsia="Times New Roman" w:cs="Times New Roman"/>
          <w:lang w:val="en-GB" w:eastAsia="pl-PL"/>
        </w:rPr>
        <w:t xml:space="preserve"> a</w:t>
      </w:r>
      <w:r w:rsidRPr="00B77143">
        <w:rPr>
          <w:rFonts w:eastAsia="Times New Roman" w:cs="Times New Roman"/>
          <w:lang w:val="en-GB" w:eastAsia="pl-PL"/>
        </w:rPr>
        <w:t xml:space="preserve"> </w:t>
      </w:r>
      <w:r w:rsidRPr="00FA464D" w:rsidR="00FA464D">
        <w:rPr>
          <w:rFonts w:eastAsia="Times New Roman" w:cs="Times New Roman"/>
          <w:b/>
          <w:bCs/>
          <w:lang w:val="en-GB" w:eastAsia="pl-PL"/>
        </w:rPr>
        <w:t>transformational</w:t>
      </w:r>
      <w:r w:rsidRPr="00A31693" w:rsidR="002D0C5A">
        <w:rPr>
          <w:rFonts w:eastAsia="Times New Roman" w:cs="Times New Roman"/>
          <w:lang w:val="en-GB" w:eastAsia="pl-PL"/>
        </w:rPr>
        <w:t xml:space="preserve"> </w:t>
      </w:r>
      <w:r w:rsidRPr="002D0C5A" w:rsidR="002D0C5A">
        <w:rPr>
          <w:rFonts w:eastAsia="Times New Roman" w:cs="Times New Roman"/>
          <w:lang w:val="en-GB" w:eastAsia="pl-PL"/>
        </w:rPr>
        <w:t>one</w:t>
      </w:r>
      <w:r w:rsidRPr="00A31693">
        <w:rPr>
          <w:rFonts w:eastAsia="Times New Roman" w:cs="Times New Roman"/>
          <w:lang w:val="en-GB" w:eastAsia="pl-PL"/>
        </w:rPr>
        <w:t xml:space="preserve">, </w:t>
      </w:r>
      <w:r w:rsidRPr="00FA464D" w:rsidR="00FA464D">
        <w:rPr>
          <w:rFonts w:eastAsia="Times New Roman" w:cs="Times New Roman"/>
          <w:lang w:val="en-GB" w:eastAsia="pl-PL"/>
        </w:rPr>
        <w:t xml:space="preserve">proposes creating a </w:t>
      </w:r>
      <w:r w:rsidRPr="00FA464D" w:rsidR="00FA464D">
        <w:rPr>
          <w:rFonts w:eastAsia="Times New Roman" w:cs="Times New Roman"/>
          <w:b/>
          <w:bCs/>
          <w:lang w:val="en-GB" w:eastAsia="pl-PL"/>
        </w:rPr>
        <w:t>European Defence Mechanism</w:t>
      </w:r>
      <w:r w:rsidRPr="00A31693" w:rsidR="00012A56">
        <w:rPr>
          <w:rFonts w:eastAsia="Times New Roman" w:cs="Times New Roman"/>
          <w:lang w:val="en-GB" w:eastAsia="pl-PL"/>
        </w:rPr>
        <w:t xml:space="preserve">, </w:t>
      </w:r>
      <w:r w:rsidRPr="00B77143" w:rsidR="00012A56">
        <w:rPr>
          <w:lang w:val="en-GB"/>
        </w:rPr>
        <w:t xml:space="preserve">a new intergovernmental institution, </w:t>
      </w:r>
      <w:r w:rsidRPr="00FA464D" w:rsidR="00FA464D">
        <w:rPr>
          <w:rFonts w:eastAsia="Times New Roman" w:cs="Times New Roman"/>
          <w:lang w:val="en-GB" w:eastAsia="pl-PL"/>
        </w:rPr>
        <w:t xml:space="preserve">to centralize procurement and financing. </w:t>
      </w:r>
      <w:r w:rsidR="002C3705">
        <w:rPr>
          <w:rFonts w:eastAsia="Times New Roman" w:cs="Times New Roman"/>
          <w:lang w:val="en-GB" w:eastAsia="pl-PL"/>
        </w:rPr>
        <w:t>Its members</w:t>
      </w:r>
      <w:r w:rsidR="002D0C5A">
        <w:rPr>
          <w:rFonts w:eastAsia="Times New Roman" w:cs="Times New Roman"/>
          <w:lang w:val="en-GB" w:eastAsia="pl-PL"/>
        </w:rPr>
        <w:t>hip</w:t>
      </w:r>
      <w:r w:rsidR="002C3705">
        <w:rPr>
          <w:rFonts w:eastAsia="Times New Roman" w:cs="Times New Roman"/>
          <w:lang w:val="en-GB" w:eastAsia="pl-PL"/>
        </w:rPr>
        <w:t xml:space="preserve"> would </w:t>
      </w:r>
      <w:r w:rsidR="00C81D69">
        <w:rPr>
          <w:rFonts w:eastAsia="Times New Roman" w:cs="Times New Roman"/>
          <w:lang w:val="en-GB" w:eastAsia="pl-PL"/>
        </w:rPr>
        <w:t xml:space="preserve">comprise </w:t>
      </w:r>
      <w:r w:rsidR="002C3705">
        <w:rPr>
          <w:bCs/>
          <w:lang w:val="en-GB"/>
        </w:rPr>
        <w:t>t</w:t>
      </w:r>
      <w:r w:rsidRPr="00791F70" w:rsidR="002C3705">
        <w:rPr>
          <w:bCs/>
          <w:lang w:val="en-GB"/>
        </w:rPr>
        <w:t xml:space="preserve">he largest European countries, </w:t>
      </w:r>
      <w:r w:rsidRPr="00791F70" w:rsidR="002C3705">
        <w:rPr>
          <w:bCs/>
          <w:lang w:val="en-GB"/>
        </w:rPr>
        <w:lastRenderedPageBreak/>
        <w:t>including the UK</w:t>
      </w:r>
      <w:r w:rsidR="00C81D69">
        <w:rPr>
          <w:bCs/>
          <w:lang w:val="en-GB"/>
        </w:rPr>
        <w:t>,</w:t>
      </w:r>
      <w:r w:rsidR="002C3705">
        <w:rPr>
          <w:bCs/>
          <w:lang w:val="en-GB"/>
        </w:rPr>
        <w:t xml:space="preserve"> </w:t>
      </w:r>
      <w:r w:rsidR="00C81D69">
        <w:rPr>
          <w:bCs/>
          <w:lang w:val="en-GB"/>
        </w:rPr>
        <w:t xml:space="preserve">as well as </w:t>
      </w:r>
      <w:r w:rsidR="002C3705">
        <w:rPr>
          <w:bCs/>
          <w:lang w:val="en-GB"/>
        </w:rPr>
        <w:t>other willing European countries.</w:t>
      </w:r>
      <w:r w:rsidR="002A0B82">
        <w:rPr>
          <w:bCs/>
          <w:lang w:val="en-GB"/>
        </w:rPr>
        <w:t xml:space="preserve"> </w:t>
      </w:r>
      <w:r w:rsidRPr="009A423F" w:rsidR="009A423F">
        <w:rPr>
          <w:lang w:val="en-GB"/>
        </w:rPr>
        <w:t xml:space="preserve">Members would adhere to </w:t>
      </w:r>
      <w:r w:rsidR="009A423F">
        <w:rPr>
          <w:lang w:val="en-GB"/>
        </w:rPr>
        <w:t>d</w:t>
      </w:r>
      <w:r w:rsidRPr="009A423F" w:rsidR="009A423F">
        <w:rPr>
          <w:lang w:val="en-GB"/>
        </w:rPr>
        <w:t xml:space="preserve">efence </w:t>
      </w:r>
      <w:r w:rsidR="009A423F">
        <w:rPr>
          <w:lang w:val="en-GB"/>
        </w:rPr>
        <w:t>s</w:t>
      </w:r>
      <w:r w:rsidRPr="009A423F" w:rsidR="009A423F">
        <w:rPr>
          <w:lang w:val="en-GB"/>
        </w:rPr>
        <w:t xml:space="preserve">ingle </w:t>
      </w:r>
      <w:r w:rsidR="009A423F">
        <w:rPr>
          <w:lang w:val="en-GB"/>
        </w:rPr>
        <w:t>m</w:t>
      </w:r>
      <w:r w:rsidRPr="009A423F" w:rsidR="009A423F">
        <w:rPr>
          <w:lang w:val="en-GB"/>
        </w:rPr>
        <w:t>arket rules and refrain from national procurement in areas where joint procurement has been agreed.</w:t>
      </w:r>
      <w:r w:rsidR="009A423F">
        <w:rPr>
          <w:lang w:val="en-GB"/>
        </w:rPr>
        <w:t xml:space="preserve"> </w:t>
      </w:r>
      <w:r w:rsidRPr="002A0B82" w:rsidR="002A0B82">
        <w:rPr>
          <w:lang w:val="en-GB"/>
        </w:rPr>
        <w:t>The borrowed funds would be allocated for joint procurement</w:t>
      </w:r>
      <w:r w:rsidR="00536DE4">
        <w:rPr>
          <w:lang w:val="en-GB"/>
        </w:rPr>
        <w:t xml:space="preserve"> in critical areas</w:t>
      </w:r>
      <w:r w:rsidRPr="002A0B82" w:rsidR="002A0B82">
        <w:rPr>
          <w:lang w:val="en-GB"/>
        </w:rPr>
        <w:t xml:space="preserve">, financing </w:t>
      </w:r>
      <w:r w:rsidR="00536DE4">
        <w:rPr>
          <w:lang w:val="en-GB"/>
        </w:rPr>
        <w:t xml:space="preserve">and ownership </w:t>
      </w:r>
      <w:r w:rsidRPr="002A0B82" w:rsidR="002A0B82">
        <w:rPr>
          <w:lang w:val="en-GB"/>
        </w:rPr>
        <w:t>of European strategic enablers</w:t>
      </w:r>
      <w:r w:rsidR="000F3BFF">
        <w:rPr>
          <w:lang w:val="en-GB"/>
        </w:rPr>
        <w:t xml:space="preserve"> and d</w:t>
      </w:r>
      <w:r w:rsidRPr="000F3BFF" w:rsidR="000F3BFF">
        <w:rPr>
          <w:lang w:val="en-GB"/>
        </w:rPr>
        <w:t xml:space="preserve">efence-related lending for </w:t>
      </w:r>
      <w:r w:rsidR="00D70DD2">
        <w:rPr>
          <w:lang w:val="en-GB"/>
        </w:rPr>
        <w:t>M</w:t>
      </w:r>
      <w:r w:rsidRPr="000F3BFF" w:rsidR="000F3BFF">
        <w:rPr>
          <w:lang w:val="en-GB"/>
        </w:rPr>
        <w:t xml:space="preserve">ember </w:t>
      </w:r>
      <w:r w:rsidR="00D70DD2">
        <w:rPr>
          <w:lang w:val="en-GB"/>
        </w:rPr>
        <w:t>S</w:t>
      </w:r>
      <w:r w:rsidRPr="000F3BFF" w:rsidR="000F3BFF">
        <w:rPr>
          <w:lang w:val="en-GB"/>
        </w:rPr>
        <w:t>tates</w:t>
      </w:r>
      <w:r w:rsidR="000F3BFF">
        <w:rPr>
          <w:lang w:val="en-GB"/>
        </w:rPr>
        <w:t xml:space="preserve">, </w:t>
      </w:r>
      <w:r w:rsidRPr="002A0B82" w:rsidR="002A0B82">
        <w:rPr>
          <w:lang w:val="en-GB"/>
        </w:rPr>
        <w:t>with lending available through two channels: a standard option accessible to all members and a subsidized option</w:t>
      </w:r>
      <w:r w:rsidR="00852801">
        <w:rPr>
          <w:lang w:val="en-GB"/>
        </w:rPr>
        <w:t xml:space="preserve"> </w:t>
      </w:r>
      <w:r w:rsidRPr="002A0B82" w:rsidR="002A0B82">
        <w:rPr>
          <w:lang w:val="en-GB"/>
        </w:rPr>
        <w:t>reserved exclusively for "frontline states."</w:t>
      </w:r>
      <w:r w:rsidR="00A31693">
        <w:rPr>
          <w:lang w:val="en-GB"/>
        </w:rPr>
        <w:t xml:space="preserve"> </w:t>
      </w:r>
      <w:r w:rsidRPr="0023098F" w:rsidR="0023098F">
        <w:rPr>
          <w:lang w:val="en-GB"/>
        </w:rPr>
        <w:t xml:space="preserve">Member States would pay for the assets procured through the </w:t>
      </w:r>
      <w:r w:rsidR="0023098F">
        <w:rPr>
          <w:lang w:val="en-GB"/>
        </w:rPr>
        <w:t>EDM</w:t>
      </w:r>
      <w:r w:rsidRPr="0023098F" w:rsidR="0023098F">
        <w:rPr>
          <w:lang w:val="en-GB"/>
        </w:rPr>
        <w:t xml:space="preserve"> upon delivery </w:t>
      </w:r>
      <w:r w:rsidR="00C81D69">
        <w:rPr>
          <w:lang w:val="en-GB"/>
        </w:rPr>
        <w:t xml:space="preserve">or </w:t>
      </w:r>
      <w:r w:rsidRPr="0023098F" w:rsidR="0023098F">
        <w:rPr>
          <w:lang w:val="en-GB"/>
        </w:rPr>
        <w:t xml:space="preserve">via a leasing model. Under this model, the </w:t>
      </w:r>
      <w:r w:rsidR="0023098F">
        <w:rPr>
          <w:lang w:val="en-GB"/>
        </w:rPr>
        <w:t>EDM</w:t>
      </w:r>
      <w:r w:rsidRPr="0023098F" w:rsidR="0023098F">
        <w:rPr>
          <w:lang w:val="en-GB"/>
        </w:rPr>
        <w:t xml:space="preserve"> would acquire the assets and lease them to Member States. The </w:t>
      </w:r>
      <w:r w:rsidR="0023098F">
        <w:rPr>
          <w:lang w:val="en-GB"/>
        </w:rPr>
        <w:t>“</w:t>
      </w:r>
      <w:r w:rsidRPr="0023098F" w:rsidR="0023098F">
        <w:rPr>
          <w:lang w:val="en-GB"/>
        </w:rPr>
        <w:t>share</w:t>
      </w:r>
      <w:r w:rsidR="0023098F">
        <w:rPr>
          <w:lang w:val="en-GB"/>
        </w:rPr>
        <w:t>”</w:t>
      </w:r>
      <w:r w:rsidRPr="0023098F" w:rsidR="0023098F">
        <w:rPr>
          <w:lang w:val="en-GB"/>
        </w:rPr>
        <w:t xml:space="preserve"> of assets allocated to each state would be determined either by the offtake-share agreed at the beginning of the procurement project or by the capital key for projects in the area of strategic enablers.</w:t>
      </w:r>
      <w:r w:rsidR="003D0BF3">
        <w:rPr>
          <w:lang w:val="en-GB"/>
        </w:rPr>
        <w:t xml:space="preserve"> </w:t>
      </w:r>
      <w:r w:rsidRPr="00605F27" w:rsidR="00605F27">
        <w:rPr>
          <w:lang w:val="en-GB"/>
        </w:rPr>
        <w:t>The EDM could also own defence assets that generate shared benefits, such as highly costly strategic enablers, and charge usage fees to its members, thereby reducing the budgetary impact of rearmament.</w:t>
      </w:r>
      <w:r w:rsidR="00823883">
        <w:rPr>
          <w:lang w:val="en-GB"/>
        </w:rPr>
        <w:t xml:space="preserve"> </w:t>
      </w:r>
    </w:p>
    <w:p w:rsidRPr="0023098F" w:rsidR="00C9225C" w:rsidP="00E86DC1" w:rsidRDefault="00C9225C" w14:paraId="58FED99A" w14:textId="3BA7600A">
      <w:pPr>
        <w:spacing w:before="120" w:after="100" w:afterAutospacing="1" w:line="360" w:lineRule="auto"/>
        <w:ind w:left="0"/>
        <w:jc w:val="both"/>
        <w:rPr>
          <w:lang w:val="en-GB"/>
        </w:rPr>
      </w:pPr>
      <w:r w:rsidRPr="00C9225C">
        <w:rPr>
          <w:lang w:val="en-GB"/>
        </w:rPr>
        <w:t xml:space="preserve">The Bruegel paper represents the sole responsibility of its authors but should serve as a candid and constructive basis for </w:t>
      </w:r>
      <w:r w:rsidR="00D70DD2">
        <w:rPr>
          <w:lang w:val="en-GB"/>
        </w:rPr>
        <w:t>discussion among ministers</w:t>
      </w:r>
      <w:r w:rsidRPr="00C9225C">
        <w:rPr>
          <w:lang w:val="en-GB"/>
        </w:rPr>
        <w:t>.</w:t>
      </w:r>
    </w:p>
    <w:p w:rsidRPr="00EF1C6C" w:rsidR="007F6A66" w:rsidP="00B9536A" w:rsidRDefault="007F6A66" w14:paraId="4FB458FA" w14:textId="5AFAFC4E">
      <w:pPr>
        <w:pStyle w:val="Kop3"/>
        <w:keepNext/>
        <w:ind w:left="0"/>
        <w:jc w:val="both"/>
        <w:rPr>
          <w:lang w:val="en-GB"/>
        </w:rPr>
      </w:pPr>
      <w:r w:rsidRPr="00EF1C6C">
        <w:rPr>
          <w:lang w:val="en-GB"/>
        </w:rPr>
        <w:t>Questions for discussion</w:t>
      </w:r>
    </w:p>
    <w:p w:rsidRPr="00A84E67" w:rsidR="00234FC6" w:rsidP="0066227C" w:rsidRDefault="00A84E67" w14:paraId="2F14DC2E" w14:textId="0E6685A8">
      <w:pPr>
        <w:pStyle w:val="Punktory"/>
        <w:numPr>
          <w:ilvl w:val="0"/>
          <w:numId w:val="7"/>
        </w:numPr>
        <w:jc w:val="both"/>
        <w:rPr>
          <w:i/>
          <w:iCs/>
          <w:lang w:val="en-GB"/>
        </w:rPr>
      </w:pPr>
      <w:bookmarkStart w:name="_Hlk194510399" w:id="0"/>
      <w:r w:rsidRPr="00A84E67">
        <w:rPr>
          <w:i/>
          <w:iCs/>
          <w:lang w:val="en-GB"/>
        </w:rPr>
        <w:t xml:space="preserve">Do you agree with Bruegel’s assessment that </w:t>
      </w:r>
      <w:r w:rsidRPr="00771511" w:rsidR="00F36DE4">
        <w:rPr>
          <w:i/>
          <w:iCs/>
          <w:lang w:val="en-GB"/>
        </w:rPr>
        <w:t xml:space="preserve">placing the cost of increased defence spending almost entirely at the national level may discourage cooperation and </w:t>
      </w:r>
      <w:r w:rsidR="00823883">
        <w:rPr>
          <w:i/>
          <w:iCs/>
          <w:lang w:val="en-GB"/>
        </w:rPr>
        <w:t>drive up the</w:t>
      </w:r>
      <w:r w:rsidRPr="00771511" w:rsidR="00F36DE4">
        <w:rPr>
          <w:i/>
          <w:iCs/>
          <w:lang w:val="en-GB"/>
        </w:rPr>
        <w:t xml:space="preserve"> </w:t>
      </w:r>
      <w:r w:rsidR="00605F27">
        <w:rPr>
          <w:i/>
          <w:iCs/>
          <w:lang w:val="en-GB"/>
        </w:rPr>
        <w:t>cost of planned rearmament</w:t>
      </w:r>
      <w:r w:rsidRPr="00771511" w:rsidR="00F36DE4">
        <w:rPr>
          <w:i/>
          <w:iCs/>
          <w:lang w:val="en-GB"/>
        </w:rPr>
        <w:t>?</w:t>
      </w:r>
      <w:bookmarkEnd w:id="0"/>
    </w:p>
    <w:p w:rsidRPr="00FC47B2" w:rsidR="000F3BFF" w:rsidP="006E5210" w:rsidRDefault="000F3BFF" w14:paraId="5A59D5E2" w14:textId="7617A5F4">
      <w:pPr>
        <w:pStyle w:val="Punktory"/>
        <w:numPr>
          <w:ilvl w:val="0"/>
          <w:numId w:val="7"/>
        </w:numPr>
        <w:jc w:val="both"/>
        <w:rPr>
          <w:i/>
          <w:iCs/>
          <w:lang w:val="en-GB"/>
        </w:rPr>
      </w:pPr>
      <w:r w:rsidRPr="00FC47B2">
        <w:rPr>
          <w:i/>
          <w:iCs/>
          <w:lang w:val="en-GB"/>
        </w:rPr>
        <w:t>What are your thoughts on the proposals</w:t>
      </w:r>
      <w:r w:rsidRPr="00FC47B2" w:rsidR="00706DC7">
        <w:rPr>
          <w:i/>
          <w:iCs/>
          <w:lang w:val="en-GB"/>
        </w:rPr>
        <w:t xml:space="preserve"> presented in the analysis</w:t>
      </w:r>
      <w:r w:rsidR="00DE1968">
        <w:rPr>
          <w:i/>
          <w:iCs/>
          <w:lang w:val="en-GB"/>
        </w:rPr>
        <w:t>?</w:t>
      </w:r>
      <w:r w:rsidRPr="00FC47B2">
        <w:rPr>
          <w:i/>
          <w:iCs/>
          <w:lang w:val="en-GB"/>
        </w:rPr>
        <w:t xml:space="preserve"> </w:t>
      </w:r>
    </w:p>
    <w:p w:rsidRPr="002D0C5A" w:rsidR="002D0C5A" w:rsidP="00DE1968" w:rsidRDefault="002D0C5A" w14:paraId="2F5B372A" w14:textId="53EF2487">
      <w:pPr>
        <w:pStyle w:val="Punktory"/>
        <w:numPr>
          <w:ilvl w:val="0"/>
          <w:numId w:val="0"/>
        </w:numPr>
        <w:ind w:left="3782" w:hanging="360"/>
        <w:jc w:val="both"/>
        <w:rPr>
          <w:i/>
          <w:iCs/>
          <w:highlight w:val="yellow"/>
          <w:lang w:val="en-GB"/>
        </w:rPr>
      </w:pPr>
    </w:p>
    <w:sectPr w:rsidRPr="002D0C5A" w:rsidR="002D0C5A" w:rsidSect="004367F3">
      <w:headerReference w:type="even" r:id="rId7"/>
      <w:headerReference w:type="default" r:id="rId8"/>
      <w:footerReference w:type="even" r:id="rId9"/>
      <w:footerReference w:type="default" r:id="rId10"/>
      <w:headerReference w:type="first" r:id="rId11"/>
      <w:footerReference w:type="first" r:id="rId12"/>
      <w:pgSz w:w="11906" w:h="16838"/>
      <w:pgMar w:top="2835" w:right="1418" w:bottom="1418" w:left="907" w:header="703"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2854" w14:textId="77777777" w:rsidR="00DD1468" w:rsidRDefault="00DD1468" w:rsidP="004367F3">
      <w:r>
        <w:separator/>
      </w:r>
    </w:p>
  </w:endnote>
  <w:endnote w:type="continuationSeparator" w:id="0">
    <w:p w14:paraId="6DD2F25F" w14:textId="77777777" w:rsidR="00DD1468" w:rsidRDefault="00DD1468" w:rsidP="0043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Black">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D07F" w14:textId="77777777" w:rsidR="000C2AC4" w:rsidRDefault="000C2A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208E" w14:textId="77777777" w:rsidR="000C2AC4" w:rsidRDefault="000C2A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E97B" w14:textId="77777777" w:rsidR="000C2AC4" w:rsidRDefault="000C2A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164B" w14:textId="77777777" w:rsidR="00DD1468" w:rsidRDefault="00DD1468" w:rsidP="004367F3">
      <w:r>
        <w:separator/>
      </w:r>
    </w:p>
  </w:footnote>
  <w:footnote w:type="continuationSeparator" w:id="0">
    <w:p w14:paraId="468BEE33" w14:textId="77777777" w:rsidR="00DD1468" w:rsidRDefault="00DD1468" w:rsidP="0043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3D01" w14:textId="77777777" w:rsidR="000C2AC4" w:rsidRDefault="000C2A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D6BD" w14:textId="77777777" w:rsidR="00A27E98" w:rsidRPr="008E7A5B" w:rsidRDefault="004367F3" w:rsidP="004367F3">
    <w:pPr>
      <w:pStyle w:val="Koptekst"/>
    </w:pPr>
    <w:r w:rsidRPr="008E7A5B">
      <w:rPr>
        <w:noProof/>
        <w:lang w:eastAsia="pl-PL"/>
      </w:rPr>
      <w:drawing>
        <wp:anchor distT="0" distB="0" distL="114300" distR="114300" simplePos="0" relativeHeight="251660288" behindDoc="1" locked="1" layoutInCell="1" allowOverlap="1" wp14:anchorId="37C1C17C" wp14:editId="1F287FE6">
          <wp:simplePos x="0" y="0"/>
          <wp:positionH relativeFrom="margin">
            <wp:align>left</wp:align>
          </wp:positionH>
          <wp:positionV relativeFrom="page">
            <wp:posOffset>575945</wp:posOffset>
          </wp:positionV>
          <wp:extent cx="4582800" cy="622800"/>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wakowski Adam\AppData\Local\Microsoft\Windows\INetCache\Content.Word\znak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82800" cy="62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71F6" w14:textId="77777777" w:rsidR="000C2AC4" w:rsidRDefault="000C2A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7AF"/>
    <w:multiLevelType w:val="hybridMultilevel"/>
    <w:tmpl w:val="9AC89502"/>
    <w:lvl w:ilvl="0" w:tplc="04150001">
      <w:start w:val="1"/>
      <w:numFmt w:val="bullet"/>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1" w15:restartNumberingAfterBreak="0">
    <w:nsid w:val="1B19494F"/>
    <w:multiLevelType w:val="multilevel"/>
    <w:tmpl w:val="44AA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E3F6D"/>
    <w:multiLevelType w:val="multilevel"/>
    <w:tmpl w:val="04D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C2A64"/>
    <w:multiLevelType w:val="multilevel"/>
    <w:tmpl w:val="F7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828AF"/>
    <w:multiLevelType w:val="hybridMultilevel"/>
    <w:tmpl w:val="A86A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23682"/>
    <w:multiLevelType w:val="multilevel"/>
    <w:tmpl w:val="A3FE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230A9"/>
    <w:multiLevelType w:val="multilevel"/>
    <w:tmpl w:val="FE1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915B2"/>
    <w:multiLevelType w:val="hybridMultilevel"/>
    <w:tmpl w:val="4A286A68"/>
    <w:lvl w:ilvl="0" w:tplc="9DA0708E">
      <w:start w:val="1"/>
      <w:numFmt w:val="decimal"/>
      <w:pStyle w:val="Wyliczenie"/>
      <w:lvlText w:val="%1."/>
      <w:lvlJc w:val="left"/>
      <w:pPr>
        <w:ind w:left="4122" w:hanging="360"/>
      </w:pPr>
    </w:lvl>
    <w:lvl w:ilvl="1" w:tplc="04150019" w:tentative="1">
      <w:start w:val="1"/>
      <w:numFmt w:val="lowerLetter"/>
      <w:lvlText w:val="%2."/>
      <w:lvlJc w:val="left"/>
      <w:pPr>
        <w:ind w:left="4842" w:hanging="360"/>
      </w:p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abstractNum w:abstractNumId="8" w15:restartNumberingAfterBreak="0">
    <w:nsid w:val="70205757"/>
    <w:multiLevelType w:val="hybridMultilevel"/>
    <w:tmpl w:val="BF522004"/>
    <w:lvl w:ilvl="0" w:tplc="8DA2ED66">
      <w:numFmt w:val="bullet"/>
      <w:lvlText w:val="-"/>
      <w:lvlJc w:val="left"/>
      <w:pPr>
        <w:ind w:left="785" w:hanging="360"/>
      </w:pPr>
      <w:rPr>
        <w:rFonts w:ascii="Lato Light" w:eastAsiaTheme="minorHAnsi" w:hAnsi="Lato Light" w:cstheme="minorBidi"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71F80F38"/>
    <w:multiLevelType w:val="hybridMultilevel"/>
    <w:tmpl w:val="4D54FEA8"/>
    <w:lvl w:ilvl="0" w:tplc="0B1EFA54">
      <w:start w:val="1"/>
      <w:numFmt w:val="bullet"/>
      <w:pStyle w:val="Punktory"/>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10" w15:restartNumberingAfterBreak="0">
    <w:nsid w:val="7457755B"/>
    <w:multiLevelType w:val="hybridMultilevel"/>
    <w:tmpl w:val="13608C6E"/>
    <w:lvl w:ilvl="0" w:tplc="8DA2ED66">
      <w:numFmt w:val="bullet"/>
      <w:lvlText w:val="-"/>
      <w:lvlJc w:val="left"/>
      <w:pPr>
        <w:ind w:left="720" w:hanging="360"/>
      </w:pPr>
      <w:rPr>
        <w:rFonts w:ascii="Lato Light" w:eastAsiaTheme="minorHAnsi" w:hAnsi="La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94D91"/>
    <w:multiLevelType w:val="hybridMultilevel"/>
    <w:tmpl w:val="D882B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156104">
    <w:abstractNumId w:val="0"/>
  </w:num>
  <w:num w:numId="2" w16cid:durableId="1315573861">
    <w:abstractNumId w:val="9"/>
  </w:num>
  <w:num w:numId="3" w16cid:durableId="1045980877">
    <w:abstractNumId w:val="7"/>
  </w:num>
  <w:num w:numId="4" w16cid:durableId="2090736876">
    <w:abstractNumId w:val="9"/>
  </w:num>
  <w:num w:numId="5" w16cid:durableId="209802627">
    <w:abstractNumId w:val="9"/>
  </w:num>
  <w:num w:numId="6" w16cid:durableId="731268832">
    <w:abstractNumId w:val="9"/>
  </w:num>
  <w:num w:numId="7" w16cid:durableId="821197482">
    <w:abstractNumId w:val="4"/>
  </w:num>
  <w:num w:numId="8" w16cid:durableId="1336494881">
    <w:abstractNumId w:val="10"/>
  </w:num>
  <w:num w:numId="9" w16cid:durableId="1979341288">
    <w:abstractNumId w:val="8"/>
  </w:num>
  <w:num w:numId="10" w16cid:durableId="718820727">
    <w:abstractNumId w:val="9"/>
  </w:num>
  <w:num w:numId="11" w16cid:durableId="172496899">
    <w:abstractNumId w:val="5"/>
  </w:num>
  <w:num w:numId="12" w16cid:durableId="311100884">
    <w:abstractNumId w:val="1"/>
  </w:num>
  <w:num w:numId="13" w16cid:durableId="1065646171">
    <w:abstractNumId w:val="3"/>
  </w:num>
  <w:num w:numId="14" w16cid:durableId="1133520410">
    <w:abstractNumId w:val="6"/>
  </w:num>
  <w:num w:numId="15" w16cid:durableId="632910214">
    <w:abstractNumId w:val="2"/>
  </w:num>
  <w:num w:numId="16" w16cid:durableId="1150092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BB"/>
    <w:rsid w:val="00010572"/>
    <w:rsid w:val="00012A56"/>
    <w:rsid w:val="00014248"/>
    <w:rsid w:val="00021A3B"/>
    <w:rsid w:val="00032870"/>
    <w:rsid w:val="0004035E"/>
    <w:rsid w:val="000506CC"/>
    <w:rsid w:val="00072637"/>
    <w:rsid w:val="00074EA9"/>
    <w:rsid w:val="000941FD"/>
    <w:rsid w:val="00094903"/>
    <w:rsid w:val="00096B5D"/>
    <w:rsid w:val="000A2437"/>
    <w:rsid w:val="000B44EC"/>
    <w:rsid w:val="000B4852"/>
    <w:rsid w:val="000B79B4"/>
    <w:rsid w:val="000C2AC4"/>
    <w:rsid w:val="000C595A"/>
    <w:rsid w:val="000D13EE"/>
    <w:rsid w:val="000F0715"/>
    <w:rsid w:val="000F3BFF"/>
    <w:rsid w:val="000F5DCA"/>
    <w:rsid w:val="00102825"/>
    <w:rsid w:val="001152D3"/>
    <w:rsid w:val="00127BF1"/>
    <w:rsid w:val="0013203E"/>
    <w:rsid w:val="0014172C"/>
    <w:rsid w:val="00145774"/>
    <w:rsid w:val="00154881"/>
    <w:rsid w:val="0016014D"/>
    <w:rsid w:val="00162155"/>
    <w:rsid w:val="001634F9"/>
    <w:rsid w:val="00177E29"/>
    <w:rsid w:val="001A1683"/>
    <w:rsid w:val="001B7920"/>
    <w:rsid w:val="001C7AB9"/>
    <w:rsid w:val="001E19DB"/>
    <w:rsid w:val="001E558A"/>
    <w:rsid w:val="001F6492"/>
    <w:rsid w:val="0021002B"/>
    <w:rsid w:val="00213540"/>
    <w:rsid w:val="002228F7"/>
    <w:rsid w:val="0023098F"/>
    <w:rsid w:val="00234293"/>
    <w:rsid w:val="00234FC6"/>
    <w:rsid w:val="0024254C"/>
    <w:rsid w:val="00243F05"/>
    <w:rsid w:val="002529FD"/>
    <w:rsid w:val="0028427F"/>
    <w:rsid w:val="002861D8"/>
    <w:rsid w:val="00287EA5"/>
    <w:rsid w:val="00295C96"/>
    <w:rsid w:val="002A0427"/>
    <w:rsid w:val="002A0B82"/>
    <w:rsid w:val="002B069D"/>
    <w:rsid w:val="002B33C8"/>
    <w:rsid w:val="002B5AB2"/>
    <w:rsid w:val="002B5AE3"/>
    <w:rsid w:val="002C0593"/>
    <w:rsid w:val="002C3705"/>
    <w:rsid w:val="002C4C9D"/>
    <w:rsid w:val="002D0C5A"/>
    <w:rsid w:val="002D1FF0"/>
    <w:rsid w:val="002E22D3"/>
    <w:rsid w:val="002E252E"/>
    <w:rsid w:val="002E61C9"/>
    <w:rsid w:val="002F19A6"/>
    <w:rsid w:val="002F1ACF"/>
    <w:rsid w:val="002F213A"/>
    <w:rsid w:val="002F6CC4"/>
    <w:rsid w:val="003048F9"/>
    <w:rsid w:val="0031447C"/>
    <w:rsid w:val="003152D9"/>
    <w:rsid w:val="003264F2"/>
    <w:rsid w:val="003469A0"/>
    <w:rsid w:val="00356B1B"/>
    <w:rsid w:val="00363505"/>
    <w:rsid w:val="003710B0"/>
    <w:rsid w:val="003715FA"/>
    <w:rsid w:val="00372E0C"/>
    <w:rsid w:val="00375569"/>
    <w:rsid w:val="0037741F"/>
    <w:rsid w:val="00383913"/>
    <w:rsid w:val="00386FB7"/>
    <w:rsid w:val="003A113F"/>
    <w:rsid w:val="003B335D"/>
    <w:rsid w:val="003B4E81"/>
    <w:rsid w:val="003B587C"/>
    <w:rsid w:val="003C0A2F"/>
    <w:rsid w:val="003C6D06"/>
    <w:rsid w:val="003C7854"/>
    <w:rsid w:val="003D0BF3"/>
    <w:rsid w:val="003D194A"/>
    <w:rsid w:val="003D198F"/>
    <w:rsid w:val="003E3F2E"/>
    <w:rsid w:val="003E4180"/>
    <w:rsid w:val="003F07A7"/>
    <w:rsid w:val="003F0DEE"/>
    <w:rsid w:val="003F6333"/>
    <w:rsid w:val="00406D35"/>
    <w:rsid w:val="00415405"/>
    <w:rsid w:val="004216E8"/>
    <w:rsid w:val="00423626"/>
    <w:rsid w:val="00426E09"/>
    <w:rsid w:val="00427C27"/>
    <w:rsid w:val="004348F9"/>
    <w:rsid w:val="004367F3"/>
    <w:rsid w:val="00445C09"/>
    <w:rsid w:val="00461B3A"/>
    <w:rsid w:val="00466D3D"/>
    <w:rsid w:val="0046764F"/>
    <w:rsid w:val="004706EE"/>
    <w:rsid w:val="00472115"/>
    <w:rsid w:val="0047720C"/>
    <w:rsid w:val="00483C97"/>
    <w:rsid w:val="004A067D"/>
    <w:rsid w:val="004A269F"/>
    <w:rsid w:val="004B2261"/>
    <w:rsid w:val="004B2AC4"/>
    <w:rsid w:val="004C1E8E"/>
    <w:rsid w:val="004D0833"/>
    <w:rsid w:val="004E1245"/>
    <w:rsid w:val="004E31B1"/>
    <w:rsid w:val="004E643E"/>
    <w:rsid w:val="004F26B6"/>
    <w:rsid w:val="004F6235"/>
    <w:rsid w:val="004F65E8"/>
    <w:rsid w:val="005025F4"/>
    <w:rsid w:val="00503AC2"/>
    <w:rsid w:val="00536DE4"/>
    <w:rsid w:val="00540D4A"/>
    <w:rsid w:val="00550360"/>
    <w:rsid w:val="00550F15"/>
    <w:rsid w:val="00587AE5"/>
    <w:rsid w:val="00590A26"/>
    <w:rsid w:val="00591DCD"/>
    <w:rsid w:val="005B40DF"/>
    <w:rsid w:val="005B788D"/>
    <w:rsid w:val="005C3567"/>
    <w:rsid w:val="005D31A2"/>
    <w:rsid w:val="005D42F4"/>
    <w:rsid w:val="005F7DD9"/>
    <w:rsid w:val="006004A9"/>
    <w:rsid w:val="00605F27"/>
    <w:rsid w:val="00616E05"/>
    <w:rsid w:val="00622219"/>
    <w:rsid w:val="00625DE7"/>
    <w:rsid w:val="0063569A"/>
    <w:rsid w:val="00640ED3"/>
    <w:rsid w:val="0064304A"/>
    <w:rsid w:val="00661E8C"/>
    <w:rsid w:val="0066227C"/>
    <w:rsid w:val="00663F98"/>
    <w:rsid w:val="0066739C"/>
    <w:rsid w:val="0067267A"/>
    <w:rsid w:val="006749E5"/>
    <w:rsid w:val="00691067"/>
    <w:rsid w:val="00693FDB"/>
    <w:rsid w:val="006956E6"/>
    <w:rsid w:val="00697BD5"/>
    <w:rsid w:val="006A05F7"/>
    <w:rsid w:val="006A5E59"/>
    <w:rsid w:val="006A5F85"/>
    <w:rsid w:val="006A6A77"/>
    <w:rsid w:val="006B21E6"/>
    <w:rsid w:val="006D02C1"/>
    <w:rsid w:val="006D12A1"/>
    <w:rsid w:val="006D1613"/>
    <w:rsid w:val="006D27B9"/>
    <w:rsid w:val="006D5F64"/>
    <w:rsid w:val="006D79EF"/>
    <w:rsid w:val="006E4BAC"/>
    <w:rsid w:val="006E5210"/>
    <w:rsid w:val="006F1BD4"/>
    <w:rsid w:val="006F7256"/>
    <w:rsid w:val="00706DC7"/>
    <w:rsid w:val="00714270"/>
    <w:rsid w:val="00714D88"/>
    <w:rsid w:val="007152AE"/>
    <w:rsid w:val="0071728D"/>
    <w:rsid w:val="007260CA"/>
    <w:rsid w:val="00727144"/>
    <w:rsid w:val="007364F2"/>
    <w:rsid w:val="007573AA"/>
    <w:rsid w:val="0076050C"/>
    <w:rsid w:val="00761089"/>
    <w:rsid w:val="00761787"/>
    <w:rsid w:val="00763E95"/>
    <w:rsid w:val="00771511"/>
    <w:rsid w:val="007963F7"/>
    <w:rsid w:val="007A71C6"/>
    <w:rsid w:val="007B4522"/>
    <w:rsid w:val="007C50FC"/>
    <w:rsid w:val="007D3FAF"/>
    <w:rsid w:val="007E24AF"/>
    <w:rsid w:val="007F6A66"/>
    <w:rsid w:val="00800949"/>
    <w:rsid w:val="00823883"/>
    <w:rsid w:val="00836F88"/>
    <w:rsid w:val="00841071"/>
    <w:rsid w:val="00852801"/>
    <w:rsid w:val="00862FAD"/>
    <w:rsid w:val="0086799C"/>
    <w:rsid w:val="00880739"/>
    <w:rsid w:val="00887189"/>
    <w:rsid w:val="008925B8"/>
    <w:rsid w:val="00893F20"/>
    <w:rsid w:val="008A1CC1"/>
    <w:rsid w:val="008A2228"/>
    <w:rsid w:val="008E682F"/>
    <w:rsid w:val="008E7A5B"/>
    <w:rsid w:val="008F1BFA"/>
    <w:rsid w:val="0093025B"/>
    <w:rsid w:val="009322BC"/>
    <w:rsid w:val="00944287"/>
    <w:rsid w:val="00962632"/>
    <w:rsid w:val="00981BE8"/>
    <w:rsid w:val="009857F7"/>
    <w:rsid w:val="009879E1"/>
    <w:rsid w:val="009A423F"/>
    <w:rsid w:val="009B18AE"/>
    <w:rsid w:val="009B43EE"/>
    <w:rsid w:val="009B75AC"/>
    <w:rsid w:val="009D2A74"/>
    <w:rsid w:val="009E60AF"/>
    <w:rsid w:val="00A02CE4"/>
    <w:rsid w:val="00A21B2A"/>
    <w:rsid w:val="00A25CE0"/>
    <w:rsid w:val="00A27E98"/>
    <w:rsid w:val="00A31242"/>
    <w:rsid w:val="00A31693"/>
    <w:rsid w:val="00A50E03"/>
    <w:rsid w:val="00A523B7"/>
    <w:rsid w:val="00A62B24"/>
    <w:rsid w:val="00A7480B"/>
    <w:rsid w:val="00A773A4"/>
    <w:rsid w:val="00A811E5"/>
    <w:rsid w:val="00A84E67"/>
    <w:rsid w:val="00A90484"/>
    <w:rsid w:val="00A93F9D"/>
    <w:rsid w:val="00A97E67"/>
    <w:rsid w:val="00AA029F"/>
    <w:rsid w:val="00AA743A"/>
    <w:rsid w:val="00AC0A1D"/>
    <w:rsid w:val="00AC0D57"/>
    <w:rsid w:val="00AC427F"/>
    <w:rsid w:val="00AD08A8"/>
    <w:rsid w:val="00AD5B55"/>
    <w:rsid w:val="00AE05B4"/>
    <w:rsid w:val="00AE4875"/>
    <w:rsid w:val="00AF7AED"/>
    <w:rsid w:val="00B02726"/>
    <w:rsid w:val="00B041B3"/>
    <w:rsid w:val="00B07195"/>
    <w:rsid w:val="00B36CF9"/>
    <w:rsid w:val="00B45752"/>
    <w:rsid w:val="00B50D32"/>
    <w:rsid w:val="00B54C53"/>
    <w:rsid w:val="00B57DCA"/>
    <w:rsid w:val="00B611CC"/>
    <w:rsid w:val="00B63DD7"/>
    <w:rsid w:val="00B73559"/>
    <w:rsid w:val="00B746FC"/>
    <w:rsid w:val="00B77143"/>
    <w:rsid w:val="00B823B0"/>
    <w:rsid w:val="00B86A08"/>
    <w:rsid w:val="00B90AC4"/>
    <w:rsid w:val="00B9536A"/>
    <w:rsid w:val="00BA3D58"/>
    <w:rsid w:val="00BA5754"/>
    <w:rsid w:val="00BA6B60"/>
    <w:rsid w:val="00BB04C8"/>
    <w:rsid w:val="00BB0D74"/>
    <w:rsid w:val="00BB0E01"/>
    <w:rsid w:val="00BB44A4"/>
    <w:rsid w:val="00BB60A7"/>
    <w:rsid w:val="00BB7198"/>
    <w:rsid w:val="00BB7EE9"/>
    <w:rsid w:val="00BC2562"/>
    <w:rsid w:val="00BF010D"/>
    <w:rsid w:val="00BF38A1"/>
    <w:rsid w:val="00C047FB"/>
    <w:rsid w:val="00C12D7B"/>
    <w:rsid w:val="00C22423"/>
    <w:rsid w:val="00C25CA4"/>
    <w:rsid w:val="00C307DD"/>
    <w:rsid w:val="00C37FC0"/>
    <w:rsid w:val="00C415DF"/>
    <w:rsid w:val="00C42C63"/>
    <w:rsid w:val="00C50BCB"/>
    <w:rsid w:val="00C77E42"/>
    <w:rsid w:val="00C810F3"/>
    <w:rsid w:val="00C81D69"/>
    <w:rsid w:val="00C8209E"/>
    <w:rsid w:val="00C9225C"/>
    <w:rsid w:val="00C93F9D"/>
    <w:rsid w:val="00CA5160"/>
    <w:rsid w:val="00CA7DD6"/>
    <w:rsid w:val="00CB4979"/>
    <w:rsid w:val="00CC126B"/>
    <w:rsid w:val="00CD753A"/>
    <w:rsid w:val="00CE37C2"/>
    <w:rsid w:val="00CF6A36"/>
    <w:rsid w:val="00D02C6C"/>
    <w:rsid w:val="00D06C23"/>
    <w:rsid w:val="00D111A2"/>
    <w:rsid w:val="00D179D8"/>
    <w:rsid w:val="00D33452"/>
    <w:rsid w:val="00D337A0"/>
    <w:rsid w:val="00D34397"/>
    <w:rsid w:val="00D4790A"/>
    <w:rsid w:val="00D641A4"/>
    <w:rsid w:val="00D70451"/>
    <w:rsid w:val="00D70DD2"/>
    <w:rsid w:val="00D719ED"/>
    <w:rsid w:val="00D72C73"/>
    <w:rsid w:val="00D844C4"/>
    <w:rsid w:val="00D96EF1"/>
    <w:rsid w:val="00D97A5A"/>
    <w:rsid w:val="00DA54ED"/>
    <w:rsid w:val="00DA6D74"/>
    <w:rsid w:val="00DB28F2"/>
    <w:rsid w:val="00DC6BA0"/>
    <w:rsid w:val="00DC7779"/>
    <w:rsid w:val="00DD1468"/>
    <w:rsid w:val="00DD4645"/>
    <w:rsid w:val="00DE1968"/>
    <w:rsid w:val="00DE1B36"/>
    <w:rsid w:val="00DF00FA"/>
    <w:rsid w:val="00DF2F2D"/>
    <w:rsid w:val="00E005C4"/>
    <w:rsid w:val="00E01E25"/>
    <w:rsid w:val="00E11397"/>
    <w:rsid w:val="00E11937"/>
    <w:rsid w:val="00E1575C"/>
    <w:rsid w:val="00E3382B"/>
    <w:rsid w:val="00E369FC"/>
    <w:rsid w:val="00E36E08"/>
    <w:rsid w:val="00E42221"/>
    <w:rsid w:val="00E42D6C"/>
    <w:rsid w:val="00E5342D"/>
    <w:rsid w:val="00E53464"/>
    <w:rsid w:val="00E53623"/>
    <w:rsid w:val="00E72A91"/>
    <w:rsid w:val="00E76304"/>
    <w:rsid w:val="00E763B0"/>
    <w:rsid w:val="00E80F29"/>
    <w:rsid w:val="00E86DC1"/>
    <w:rsid w:val="00EA151A"/>
    <w:rsid w:val="00EA252A"/>
    <w:rsid w:val="00EA3820"/>
    <w:rsid w:val="00EA7ED0"/>
    <w:rsid w:val="00EB3F6E"/>
    <w:rsid w:val="00ED5537"/>
    <w:rsid w:val="00ED6D61"/>
    <w:rsid w:val="00ED7419"/>
    <w:rsid w:val="00EE62F7"/>
    <w:rsid w:val="00EF1C6C"/>
    <w:rsid w:val="00EF1FFC"/>
    <w:rsid w:val="00EF7AEE"/>
    <w:rsid w:val="00F1144F"/>
    <w:rsid w:val="00F213A5"/>
    <w:rsid w:val="00F21FB0"/>
    <w:rsid w:val="00F22422"/>
    <w:rsid w:val="00F301CA"/>
    <w:rsid w:val="00F36DE4"/>
    <w:rsid w:val="00F41265"/>
    <w:rsid w:val="00F4373A"/>
    <w:rsid w:val="00F47CDB"/>
    <w:rsid w:val="00F5002F"/>
    <w:rsid w:val="00F5518B"/>
    <w:rsid w:val="00F753E5"/>
    <w:rsid w:val="00F771D0"/>
    <w:rsid w:val="00F80067"/>
    <w:rsid w:val="00F906BB"/>
    <w:rsid w:val="00FA464D"/>
    <w:rsid w:val="00FB49CB"/>
    <w:rsid w:val="00FB60C4"/>
    <w:rsid w:val="00FC47B2"/>
    <w:rsid w:val="00FD29D0"/>
    <w:rsid w:val="00FF43B8"/>
    <w:rsid w:val="00FF5E67"/>
    <w:rsid w:val="00FF7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BCA9A"/>
  <w15:chartTrackingRefBased/>
  <w15:docId w15:val="{E32BA23E-C799-499A-BB61-4F922350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7F3"/>
    <w:pPr>
      <w:spacing w:after="120" w:line="324" w:lineRule="auto"/>
      <w:ind w:left="3402"/>
    </w:pPr>
    <w:rPr>
      <w:rFonts w:ascii="Lato Light" w:hAnsi="Lato Light"/>
      <w:sz w:val="24"/>
      <w:szCs w:val="24"/>
    </w:rPr>
  </w:style>
  <w:style w:type="paragraph" w:styleId="Kop1">
    <w:name w:val="heading 1"/>
    <w:basedOn w:val="Standaard"/>
    <w:next w:val="Standaard"/>
    <w:link w:val="Kop1Char"/>
    <w:uiPriority w:val="9"/>
    <w:qFormat/>
    <w:rsid w:val="004367F3"/>
    <w:pPr>
      <w:spacing w:before="360" w:line="240" w:lineRule="auto"/>
      <w:outlineLvl w:val="0"/>
    </w:pPr>
    <w:rPr>
      <w:rFonts w:ascii="Lato Black" w:hAnsi="Lato Black"/>
      <w:sz w:val="36"/>
      <w:szCs w:val="36"/>
    </w:rPr>
  </w:style>
  <w:style w:type="paragraph" w:styleId="Kop2">
    <w:name w:val="heading 2"/>
    <w:basedOn w:val="Kop1"/>
    <w:next w:val="Standaard"/>
    <w:link w:val="Kop2Char"/>
    <w:uiPriority w:val="9"/>
    <w:unhideWhenUsed/>
    <w:qFormat/>
    <w:rsid w:val="004367F3"/>
    <w:pPr>
      <w:outlineLvl w:val="1"/>
    </w:pPr>
    <w:rPr>
      <w:sz w:val="28"/>
      <w:szCs w:val="28"/>
    </w:rPr>
  </w:style>
  <w:style w:type="paragraph" w:styleId="Kop3">
    <w:name w:val="heading 3"/>
    <w:basedOn w:val="Kop2"/>
    <w:next w:val="Standaard"/>
    <w:link w:val="Kop3Char"/>
    <w:uiPriority w:val="9"/>
    <w:unhideWhenUsed/>
    <w:qFormat/>
    <w:rsid w:val="004367F3"/>
    <w:pPr>
      <w:outlineLvl w:val="2"/>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7E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7E98"/>
  </w:style>
  <w:style w:type="paragraph" w:styleId="Voettekst">
    <w:name w:val="footer"/>
    <w:basedOn w:val="Standaard"/>
    <w:link w:val="VoettekstChar"/>
    <w:uiPriority w:val="99"/>
    <w:unhideWhenUsed/>
    <w:rsid w:val="00A27E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7E98"/>
  </w:style>
  <w:style w:type="character" w:customStyle="1" w:styleId="Kop1Char">
    <w:name w:val="Kop 1 Char"/>
    <w:basedOn w:val="Standaardalinea-lettertype"/>
    <w:link w:val="Kop1"/>
    <w:uiPriority w:val="9"/>
    <w:rsid w:val="004367F3"/>
    <w:rPr>
      <w:rFonts w:ascii="Lato Black" w:hAnsi="Lato Black"/>
      <w:sz w:val="36"/>
      <w:szCs w:val="36"/>
    </w:rPr>
  </w:style>
  <w:style w:type="character" w:customStyle="1" w:styleId="Kop2Char">
    <w:name w:val="Kop 2 Char"/>
    <w:basedOn w:val="Standaardalinea-lettertype"/>
    <w:link w:val="Kop2"/>
    <w:uiPriority w:val="9"/>
    <w:rsid w:val="004367F3"/>
    <w:rPr>
      <w:rFonts w:ascii="Lato Black" w:hAnsi="Lato Black"/>
      <w:sz w:val="28"/>
      <w:szCs w:val="28"/>
    </w:rPr>
  </w:style>
  <w:style w:type="character" w:customStyle="1" w:styleId="Kop3Char">
    <w:name w:val="Kop 3 Char"/>
    <w:basedOn w:val="Standaardalinea-lettertype"/>
    <w:link w:val="Kop3"/>
    <w:uiPriority w:val="9"/>
    <w:rsid w:val="004367F3"/>
    <w:rPr>
      <w:rFonts w:ascii="Lato Black" w:hAnsi="Lato Black"/>
      <w:sz w:val="24"/>
      <w:szCs w:val="24"/>
    </w:rPr>
  </w:style>
  <w:style w:type="paragraph" w:styleId="Lijstalinea">
    <w:name w:val="List Paragraph"/>
    <w:basedOn w:val="Standaard"/>
    <w:link w:val="LijstalineaChar"/>
    <w:uiPriority w:val="34"/>
    <w:qFormat/>
    <w:rsid w:val="008E7A5B"/>
    <w:pPr>
      <w:ind w:left="720"/>
      <w:contextualSpacing/>
    </w:pPr>
  </w:style>
  <w:style w:type="paragraph" w:customStyle="1" w:styleId="Punktory">
    <w:name w:val="Punktory"/>
    <w:basedOn w:val="Lijstalinea"/>
    <w:link w:val="PunktoryZnak"/>
    <w:qFormat/>
    <w:rsid w:val="004367F3"/>
    <w:pPr>
      <w:numPr>
        <w:numId w:val="2"/>
      </w:numPr>
    </w:pPr>
  </w:style>
  <w:style w:type="character" w:customStyle="1" w:styleId="LijstalineaChar">
    <w:name w:val="Lijstalinea Char"/>
    <w:basedOn w:val="Standaardalinea-lettertype"/>
    <w:link w:val="Lijstalinea"/>
    <w:uiPriority w:val="34"/>
    <w:rsid w:val="008E7A5B"/>
    <w:rPr>
      <w:rFonts w:ascii="Lato Light" w:hAnsi="Lato Light"/>
      <w:color w:val="707372"/>
      <w:sz w:val="24"/>
      <w:szCs w:val="24"/>
    </w:rPr>
  </w:style>
  <w:style w:type="character" w:customStyle="1" w:styleId="PunktoryZnak">
    <w:name w:val="Punktory Znak"/>
    <w:basedOn w:val="LijstalineaChar"/>
    <w:link w:val="Punktory"/>
    <w:rsid w:val="004367F3"/>
    <w:rPr>
      <w:rFonts w:ascii="Lato Light" w:hAnsi="Lato Light"/>
      <w:color w:val="707372"/>
      <w:sz w:val="24"/>
      <w:szCs w:val="24"/>
    </w:rPr>
  </w:style>
  <w:style w:type="paragraph" w:customStyle="1" w:styleId="Wyliczenie">
    <w:name w:val="Wyliczenie"/>
    <w:basedOn w:val="Lijstalinea"/>
    <w:link w:val="WyliczenieZnak"/>
    <w:qFormat/>
    <w:rsid w:val="004367F3"/>
    <w:pPr>
      <w:numPr>
        <w:numId w:val="3"/>
      </w:numPr>
      <w:ind w:left="3970" w:hanging="284"/>
    </w:pPr>
  </w:style>
  <w:style w:type="character" w:customStyle="1" w:styleId="WyliczenieZnak">
    <w:name w:val="Wyliczenie Znak"/>
    <w:basedOn w:val="LijstalineaChar"/>
    <w:link w:val="Wyliczenie"/>
    <w:rsid w:val="004367F3"/>
    <w:rPr>
      <w:rFonts w:ascii="Lato Light" w:hAnsi="Lato Light"/>
      <w:color w:val="707372"/>
      <w:sz w:val="24"/>
      <w:szCs w:val="24"/>
    </w:rPr>
  </w:style>
  <w:style w:type="paragraph" w:styleId="Voetnoottekst">
    <w:name w:val="footnote text"/>
    <w:basedOn w:val="Standaard"/>
    <w:link w:val="VoetnoottekstChar"/>
    <w:uiPriority w:val="99"/>
    <w:unhideWhenUsed/>
    <w:rsid w:val="005F7DD9"/>
    <w:pPr>
      <w:spacing w:after="0" w:line="240" w:lineRule="auto"/>
    </w:pPr>
    <w:rPr>
      <w:sz w:val="20"/>
      <w:szCs w:val="20"/>
    </w:rPr>
  </w:style>
  <w:style w:type="character" w:customStyle="1" w:styleId="VoetnoottekstChar">
    <w:name w:val="Voetnoottekst Char"/>
    <w:basedOn w:val="Standaardalinea-lettertype"/>
    <w:link w:val="Voetnoottekst"/>
    <w:uiPriority w:val="99"/>
    <w:rsid w:val="005F7DD9"/>
    <w:rPr>
      <w:rFonts w:ascii="Lato Light" w:hAnsi="Lato Light"/>
      <w:sz w:val="20"/>
      <w:szCs w:val="20"/>
    </w:rPr>
  </w:style>
  <w:style w:type="character" w:styleId="Voetnootmarkering">
    <w:name w:val="footnote reference"/>
    <w:basedOn w:val="Standaardalinea-lettertype"/>
    <w:uiPriority w:val="99"/>
    <w:semiHidden/>
    <w:unhideWhenUsed/>
    <w:rsid w:val="005F7DD9"/>
    <w:rPr>
      <w:vertAlign w:val="superscript"/>
    </w:rPr>
  </w:style>
  <w:style w:type="character" w:styleId="Hyperlink">
    <w:name w:val="Hyperlink"/>
    <w:basedOn w:val="Standaardalinea-lettertype"/>
    <w:uiPriority w:val="99"/>
    <w:unhideWhenUsed/>
    <w:rsid w:val="00550360"/>
    <w:rPr>
      <w:color w:val="0563C1" w:themeColor="hyperlink"/>
      <w:u w:val="single"/>
    </w:rPr>
  </w:style>
  <w:style w:type="character" w:styleId="Onopgelostemelding">
    <w:name w:val="Unresolved Mention"/>
    <w:basedOn w:val="Standaardalinea-lettertype"/>
    <w:uiPriority w:val="99"/>
    <w:semiHidden/>
    <w:unhideWhenUsed/>
    <w:rsid w:val="00550360"/>
    <w:rPr>
      <w:color w:val="605E5C"/>
      <w:shd w:val="clear" w:color="auto" w:fill="E1DFDD"/>
    </w:rPr>
  </w:style>
  <w:style w:type="character" w:styleId="GevolgdeHyperlink">
    <w:name w:val="FollowedHyperlink"/>
    <w:basedOn w:val="Standaardalinea-lettertype"/>
    <w:uiPriority w:val="99"/>
    <w:semiHidden/>
    <w:unhideWhenUsed/>
    <w:rsid w:val="00D02C6C"/>
    <w:rPr>
      <w:color w:val="954F72" w:themeColor="followedHyperlink"/>
      <w:u w:val="single"/>
    </w:rPr>
  </w:style>
  <w:style w:type="character" w:styleId="Verwijzingopmerking">
    <w:name w:val="annotation reference"/>
    <w:basedOn w:val="Standaardalinea-lettertype"/>
    <w:uiPriority w:val="99"/>
    <w:semiHidden/>
    <w:unhideWhenUsed/>
    <w:rsid w:val="00693FDB"/>
    <w:rPr>
      <w:sz w:val="16"/>
      <w:szCs w:val="16"/>
    </w:rPr>
  </w:style>
  <w:style w:type="paragraph" w:styleId="Tekstopmerking">
    <w:name w:val="annotation text"/>
    <w:basedOn w:val="Standaard"/>
    <w:link w:val="TekstopmerkingChar"/>
    <w:uiPriority w:val="99"/>
    <w:unhideWhenUsed/>
    <w:rsid w:val="00693FDB"/>
    <w:pPr>
      <w:spacing w:line="240" w:lineRule="auto"/>
    </w:pPr>
    <w:rPr>
      <w:sz w:val="20"/>
      <w:szCs w:val="20"/>
    </w:rPr>
  </w:style>
  <w:style w:type="character" w:customStyle="1" w:styleId="TekstopmerkingChar">
    <w:name w:val="Tekst opmerking Char"/>
    <w:basedOn w:val="Standaardalinea-lettertype"/>
    <w:link w:val="Tekstopmerking"/>
    <w:uiPriority w:val="99"/>
    <w:rsid w:val="00693FDB"/>
    <w:rPr>
      <w:rFonts w:ascii="Lato Light" w:hAnsi="Lato Light"/>
      <w:sz w:val="20"/>
      <w:szCs w:val="20"/>
    </w:rPr>
  </w:style>
  <w:style w:type="paragraph" w:styleId="Onderwerpvanopmerking">
    <w:name w:val="annotation subject"/>
    <w:basedOn w:val="Tekstopmerking"/>
    <w:next w:val="Tekstopmerking"/>
    <w:link w:val="OnderwerpvanopmerkingChar"/>
    <w:uiPriority w:val="99"/>
    <w:semiHidden/>
    <w:unhideWhenUsed/>
    <w:rsid w:val="00693FDB"/>
    <w:rPr>
      <w:b/>
      <w:bCs/>
    </w:rPr>
  </w:style>
  <w:style w:type="character" w:customStyle="1" w:styleId="OnderwerpvanopmerkingChar">
    <w:name w:val="Onderwerp van opmerking Char"/>
    <w:basedOn w:val="TekstopmerkingChar"/>
    <w:link w:val="Onderwerpvanopmerking"/>
    <w:uiPriority w:val="99"/>
    <w:semiHidden/>
    <w:rsid w:val="00693FDB"/>
    <w:rPr>
      <w:rFonts w:ascii="Lato Light" w:hAnsi="Lato Light"/>
      <w:b/>
      <w:bCs/>
      <w:sz w:val="20"/>
      <w:szCs w:val="20"/>
    </w:rPr>
  </w:style>
  <w:style w:type="paragraph" w:styleId="Revisie">
    <w:name w:val="Revision"/>
    <w:hidden/>
    <w:uiPriority w:val="99"/>
    <w:semiHidden/>
    <w:rsid w:val="00356B1B"/>
    <w:pPr>
      <w:spacing w:after="0" w:line="240" w:lineRule="auto"/>
    </w:pPr>
    <w:rPr>
      <w:rFonts w:ascii="Lato Light" w:hAnsi="Lato Light"/>
      <w:sz w:val="24"/>
      <w:szCs w:val="24"/>
    </w:rPr>
  </w:style>
  <w:style w:type="paragraph" w:customStyle="1" w:styleId="Default">
    <w:name w:val="Default"/>
    <w:rsid w:val="00BB60A7"/>
    <w:pPr>
      <w:autoSpaceDE w:val="0"/>
      <w:autoSpaceDN w:val="0"/>
      <w:adjustRightInd w:val="0"/>
      <w:spacing w:after="0" w:line="240" w:lineRule="auto"/>
    </w:pPr>
    <w:rPr>
      <w:rFonts w:ascii="Aptos" w:hAnsi="Aptos" w:cs="Aptos"/>
      <w:color w:val="000000"/>
      <w:sz w:val="24"/>
      <w:szCs w:val="24"/>
    </w:rPr>
  </w:style>
  <w:style w:type="character" w:styleId="Zwaar">
    <w:name w:val="Strong"/>
    <w:basedOn w:val="Standaardalinea-lettertype"/>
    <w:uiPriority w:val="22"/>
    <w:qFormat/>
    <w:rsid w:val="00FA464D"/>
    <w:rPr>
      <w:b/>
      <w:bCs/>
    </w:rPr>
  </w:style>
  <w:style w:type="character" w:styleId="Nadruk">
    <w:name w:val="Emphasis"/>
    <w:basedOn w:val="Standaardalinea-lettertype"/>
    <w:uiPriority w:val="20"/>
    <w:qFormat/>
    <w:rsid w:val="006B2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73">
      <w:bodyDiv w:val="1"/>
      <w:marLeft w:val="0"/>
      <w:marRight w:val="0"/>
      <w:marTop w:val="0"/>
      <w:marBottom w:val="0"/>
      <w:divBdr>
        <w:top w:val="none" w:sz="0" w:space="0" w:color="auto"/>
        <w:left w:val="none" w:sz="0" w:space="0" w:color="auto"/>
        <w:bottom w:val="none" w:sz="0" w:space="0" w:color="auto"/>
        <w:right w:val="none" w:sz="0" w:space="0" w:color="auto"/>
      </w:divBdr>
    </w:div>
    <w:div w:id="89857446">
      <w:bodyDiv w:val="1"/>
      <w:marLeft w:val="0"/>
      <w:marRight w:val="0"/>
      <w:marTop w:val="0"/>
      <w:marBottom w:val="0"/>
      <w:divBdr>
        <w:top w:val="none" w:sz="0" w:space="0" w:color="auto"/>
        <w:left w:val="none" w:sz="0" w:space="0" w:color="auto"/>
        <w:bottom w:val="none" w:sz="0" w:space="0" w:color="auto"/>
        <w:right w:val="none" w:sz="0" w:space="0" w:color="auto"/>
      </w:divBdr>
    </w:div>
    <w:div w:id="94179316">
      <w:bodyDiv w:val="1"/>
      <w:marLeft w:val="0"/>
      <w:marRight w:val="0"/>
      <w:marTop w:val="0"/>
      <w:marBottom w:val="0"/>
      <w:divBdr>
        <w:top w:val="none" w:sz="0" w:space="0" w:color="auto"/>
        <w:left w:val="none" w:sz="0" w:space="0" w:color="auto"/>
        <w:bottom w:val="none" w:sz="0" w:space="0" w:color="auto"/>
        <w:right w:val="none" w:sz="0" w:space="0" w:color="auto"/>
      </w:divBdr>
    </w:div>
    <w:div w:id="117144011">
      <w:bodyDiv w:val="1"/>
      <w:marLeft w:val="0"/>
      <w:marRight w:val="0"/>
      <w:marTop w:val="0"/>
      <w:marBottom w:val="0"/>
      <w:divBdr>
        <w:top w:val="none" w:sz="0" w:space="0" w:color="auto"/>
        <w:left w:val="none" w:sz="0" w:space="0" w:color="auto"/>
        <w:bottom w:val="none" w:sz="0" w:space="0" w:color="auto"/>
        <w:right w:val="none" w:sz="0" w:space="0" w:color="auto"/>
      </w:divBdr>
    </w:div>
    <w:div w:id="232470612">
      <w:bodyDiv w:val="1"/>
      <w:marLeft w:val="0"/>
      <w:marRight w:val="0"/>
      <w:marTop w:val="0"/>
      <w:marBottom w:val="0"/>
      <w:divBdr>
        <w:top w:val="none" w:sz="0" w:space="0" w:color="auto"/>
        <w:left w:val="none" w:sz="0" w:space="0" w:color="auto"/>
        <w:bottom w:val="none" w:sz="0" w:space="0" w:color="auto"/>
        <w:right w:val="none" w:sz="0" w:space="0" w:color="auto"/>
      </w:divBdr>
    </w:div>
    <w:div w:id="495459996">
      <w:bodyDiv w:val="1"/>
      <w:marLeft w:val="0"/>
      <w:marRight w:val="0"/>
      <w:marTop w:val="0"/>
      <w:marBottom w:val="0"/>
      <w:divBdr>
        <w:top w:val="none" w:sz="0" w:space="0" w:color="auto"/>
        <w:left w:val="none" w:sz="0" w:space="0" w:color="auto"/>
        <w:bottom w:val="none" w:sz="0" w:space="0" w:color="auto"/>
        <w:right w:val="none" w:sz="0" w:space="0" w:color="auto"/>
      </w:divBdr>
    </w:div>
    <w:div w:id="528876850">
      <w:bodyDiv w:val="1"/>
      <w:marLeft w:val="0"/>
      <w:marRight w:val="0"/>
      <w:marTop w:val="0"/>
      <w:marBottom w:val="0"/>
      <w:divBdr>
        <w:top w:val="none" w:sz="0" w:space="0" w:color="auto"/>
        <w:left w:val="none" w:sz="0" w:space="0" w:color="auto"/>
        <w:bottom w:val="none" w:sz="0" w:space="0" w:color="auto"/>
        <w:right w:val="none" w:sz="0" w:space="0" w:color="auto"/>
      </w:divBdr>
    </w:div>
    <w:div w:id="618800720">
      <w:bodyDiv w:val="1"/>
      <w:marLeft w:val="0"/>
      <w:marRight w:val="0"/>
      <w:marTop w:val="0"/>
      <w:marBottom w:val="0"/>
      <w:divBdr>
        <w:top w:val="none" w:sz="0" w:space="0" w:color="auto"/>
        <w:left w:val="none" w:sz="0" w:space="0" w:color="auto"/>
        <w:bottom w:val="none" w:sz="0" w:space="0" w:color="auto"/>
        <w:right w:val="none" w:sz="0" w:space="0" w:color="auto"/>
      </w:divBdr>
    </w:div>
    <w:div w:id="687369376">
      <w:bodyDiv w:val="1"/>
      <w:marLeft w:val="0"/>
      <w:marRight w:val="0"/>
      <w:marTop w:val="0"/>
      <w:marBottom w:val="0"/>
      <w:divBdr>
        <w:top w:val="none" w:sz="0" w:space="0" w:color="auto"/>
        <w:left w:val="none" w:sz="0" w:space="0" w:color="auto"/>
        <w:bottom w:val="none" w:sz="0" w:space="0" w:color="auto"/>
        <w:right w:val="none" w:sz="0" w:space="0" w:color="auto"/>
      </w:divBdr>
    </w:div>
    <w:div w:id="1077359757">
      <w:bodyDiv w:val="1"/>
      <w:marLeft w:val="0"/>
      <w:marRight w:val="0"/>
      <w:marTop w:val="0"/>
      <w:marBottom w:val="0"/>
      <w:divBdr>
        <w:top w:val="none" w:sz="0" w:space="0" w:color="auto"/>
        <w:left w:val="none" w:sz="0" w:space="0" w:color="auto"/>
        <w:bottom w:val="none" w:sz="0" w:space="0" w:color="auto"/>
        <w:right w:val="none" w:sz="0" w:space="0" w:color="auto"/>
      </w:divBdr>
    </w:div>
    <w:div w:id="1175530349">
      <w:bodyDiv w:val="1"/>
      <w:marLeft w:val="0"/>
      <w:marRight w:val="0"/>
      <w:marTop w:val="0"/>
      <w:marBottom w:val="0"/>
      <w:divBdr>
        <w:top w:val="none" w:sz="0" w:space="0" w:color="auto"/>
        <w:left w:val="none" w:sz="0" w:space="0" w:color="auto"/>
        <w:bottom w:val="none" w:sz="0" w:space="0" w:color="auto"/>
        <w:right w:val="none" w:sz="0" w:space="0" w:color="auto"/>
      </w:divBdr>
    </w:div>
    <w:div w:id="1298756601">
      <w:bodyDiv w:val="1"/>
      <w:marLeft w:val="0"/>
      <w:marRight w:val="0"/>
      <w:marTop w:val="0"/>
      <w:marBottom w:val="0"/>
      <w:divBdr>
        <w:top w:val="none" w:sz="0" w:space="0" w:color="auto"/>
        <w:left w:val="none" w:sz="0" w:space="0" w:color="auto"/>
        <w:bottom w:val="none" w:sz="0" w:space="0" w:color="auto"/>
        <w:right w:val="none" w:sz="0" w:space="0" w:color="auto"/>
      </w:divBdr>
    </w:div>
    <w:div w:id="1325888073">
      <w:bodyDiv w:val="1"/>
      <w:marLeft w:val="0"/>
      <w:marRight w:val="0"/>
      <w:marTop w:val="0"/>
      <w:marBottom w:val="0"/>
      <w:divBdr>
        <w:top w:val="none" w:sz="0" w:space="0" w:color="auto"/>
        <w:left w:val="none" w:sz="0" w:space="0" w:color="auto"/>
        <w:bottom w:val="none" w:sz="0" w:space="0" w:color="auto"/>
        <w:right w:val="none" w:sz="0" w:space="0" w:color="auto"/>
      </w:divBdr>
    </w:div>
    <w:div w:id="1510103151">
      <w:bodyDiv w:val="1"/>
      <w:marLeft w:val="0"/>
      <w:marRight w:val="0"/>
      <w:marTop w:val="0"/>
      <w:marBottom w:val="0"/>
      <w:divBdr>
        <w:top w:val="none" w:sz="0" w:space="0" w:color="auto"/>
        <w:left w:val="none" w:sz="0" w:space="0" w:color="auto"/>
        <w:bottom w:val="none" w:sz="0" w:space="0" w:color="auto"/>
        <w:right w:val="none" w:sz="0" w:space="0" w:color="auto"/>
      </w:divBdr>
      <w:divsChild>
        <w:div w:id="364646463">
          <w:marLeft w:val="0"/>
          <w:marRight w:val="0"/>
          <w:marTop w:val="0"/>
          <w:marBottom w:val="0"/>
          <w:divBdr>
            <w:top w:val="none" w:sz="0" w:space="0" w:color="auto"/>
            <w:left w:val="none" w:sz="0" w:space="0" w:color="auto"/>
            <w:bottom w:val="none" w:sz="0" w:space="0" w:color="auto"/>
            <w:right w:val="none" w:sz="0" w:space="0" w:color="auto"/>
          </w:divBdr>
          <w:divsChild>
            <w:div w:id="315887811">
              <w:marLeft w:val="0"/>
              <w:marRight w:val="0"/>
              <w:marTop w:val="0"/>
              <w:marBottom w:val="0"/>
              <w:divBdr>
                <w:top w:val="none" w:sz="0" w:space="0" w:color="auto"/>
                <w:left w:val="none" w:sz="0" w:space="0" w:color="auto"/>
                <w:bottom w:val="none" w:sz="0" w:space="0" w:color="auto"/>
                <w:right w:val="none" w:sz="0" w:space="0" w:color="auto"/>
              </w:divBdr>
              <w:divsChild>
                <w:div w:id="923798819">
                  <w:marLeft w:val="0"/>
                  <w:marRight w:val="0"/>
                  <w:marTop w:val="0"/>
                  <w:marBottom w:val="0"/>
                  <w:divBdr>
                    <w:top w:val="none" w:sz="0" w:space="0" w:color="auto"/>
                    <w:left w:val="none" w:sz="0" w:space="0" w:color="auto"/>
                    <w:bottom w:val="none" w:sz="0" w:space="0" w:color="auto"/>
                    <w:right w:val="none" w:sz="0" w:space="0" w:color="auto"/>
                  </w:divBdr>
                  <w:divsChild>
                    <w:div w:id="5231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72179">
      <w:bodyDiv w:val="1"/>
      <w:marLeft w:val="0"/>
      <w:marRight w:val="0"/>
      <w:marTop w:val="0"/>
      <w:marBottom w:val="0"/>
      <w:divBdr>
        <w:top w:val="none" w:sz="0" w:space="0" w:color="auto"/>
        <w:left w:val="none" w:sz="0" w:space="0" w:color="auto"/>
        <w:bottom w:val="none" w:sz="0" w:space="0" w:color="auto"/>
        <w:right w:val="none" w:sz="0" w:space="0" w:color="auto"/>
      </w:divBdr>
    </w:div>
    <w:div w:id="1928339282">
      <w:bodyDiv w:val="1"/>
      <w:marLeft w:val="0"/>
      <w:marRight w:val="0"/>
      <w:marTop w:val="0"/>
      <w:marBottom w:val="0"/>
      <w:divBdr>
        <w:top w:val="none" w:sz="0" w:space="0" w:color="auto"/>
        <w:left w:val="none" w:sz="0" w:space="0" w:color="auto"/>
        <w:bottom w:val="none" w:sz="0" w:space="0" w:color="auto"/>
        <w:right w:val="none" w:sz="0" w:space="0" w:color="auto"/>
      </w:divBdr>
    </w:div>
    <w:div w:id="2048093332">
      <w:bodyDiv w:val="1"/>
      <w:marLeft w:val="0"/>
      <w:marRight w:val="0"/>
      <w:marTop w:val="0"/>
      <w:marBottom w:val="0"/>
      <w:divBdr>
        <w:top w:val="none" w:sz="0" w:space="0" w:color="auto"/>
        <w:left w:val="none" w:sz="0" w:space="0" w:color="auto"/>
        <w:bottom w:val="none" w:sz="0" w:space="0" w:color="auto"/>
        <w:right w:val="none" w:sz="0" w:space="0" w:color="auto"/>
      </w:divBdr>
    </w:div>
    <w:div w:id="21225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1270</ap:Words>
  <ap:Characters>6991</ap:Characters>
  <ap:DocSecurity>4</ap:DocSecurity>
  <ap:Lines>58</ap:Lines>
  <ap:Paragraphs>16</ap:Paragraphs>
  <ap:ScaleCrop>false</ap:ScaleCrop>
  <ap:HeadingPairs>
    <vt:vector baseType="variant" size="6">
      <vt:variant>
        <vt:lpstr>Titel</vt:lpstr>
      </vt:variant>
      <vt:variant>
        <vt:i4>1</vt:i4>
      </vt:variant>
      <vt:variant>
        <vt:lpstr>Tytuł</vt:lpstr>
      </vt:variant>
      <vt:variant>
        <vt:i4>1</vt:i4>
      </vt:variant>
      <vt:variant>
        <vt:lpstr>Title</vt:lpstr>
      </vt:variant>
      <vt:variant>
        <vt:i4>1</vt:i4>
      </vt:variant>
    </vt:vector>
  </ap:HeadingPairs>
  <ap:TitlesOfParts>
    <vt:vector baseType="lpstr" size="3">
      <vt:lpstr/>
      <vt:lpstr/>
      <vt:lpstr/>
    </vt:vector>
  </ap:TitlesOfParts>
  <ap:LinksUpToDate>false</ap:LinksUpToDate>
  <ap:CharactersWithSpaces>8245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2025-03-07T14:55:00.0000000Z</lastPrinted>
  <dcterms:created xsi:type="dcterms:W3CDTF">2025-04-10T13:55:00.0000000Z</dcterms:created>
  <dcterms:modified xsi:type="dcterms:W3CDTF">2025-04-10T13:55:00.0000000Z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2025-03-06T12:58:43Z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47afec76-e131-4a36-b6c5-e3983b52968d</vt:lpwstr>
  </property>
  <property fmtid="{D5CDD505-2E9C-101B-9397-08002B2CF9AE}" pid="8" name="MSIP_Label_6bd9ddd1-4d20-43f6-abfa-fc3c07406f94_ContentBits">
    <vt:lpwstr>0</vt:lpwstr>
  </property>
  <property fmtid="{D5CDD505-2E9C-101B-9397-08002B2CF9AE}" pid="9" name="MFCATEGORY">
    <vt:lpwstr>InformacjeMiedzynarodowe</vt:lpwstr>
  </property>
  <property fmtid="{D5CDD505-2E9C-101B-9397-08002B2CF9AE}" pid="10" name="MFClassifiedBy">
    <vt:lpwstr>UxC4dwLulzfINJ8nQH+xvX5LNGipWa4BRSZhPgxsCvldAADzfw9I17Oee/QVopijUyOBVeFgZjJvVnq2KjIZlQ==</vt:lpwstr>
  </property>
  <property fmtid="{D5CDD505-2E9C-101B-9397-08002B2CF9AE}" pid="11" name="MFClassificationDate">
    <vt:lpwstr>2025-02-28T15:46:55.5114959+01:00</vt:lpwstr>
  </property>
  <property fmtid="{D5CDD505-2E9C-101B-9397-08002B2CF9AE}" pid="12" name="MFClassifiedBySID">
    <vt:lpwstr>UxC4dwLulzfINJ8nQH+xvX5LNGipWa4BRSZhPgxsCvm42mrIC/DSDv0ggS+FjUN/2v1BBotkLlY5aAiEhoi6uc5w3PvnPsXtXrkEYT522zC1Orz519eip/wXNclAwUei</vt:lpwstr>
  </property>
  <property fmtid="{D5CDD505-2E9C-101B-9397-08002B2CF9AE}" pid="13" name="MFGRNItemId">
    <vt:lpwstr>GRN-7e793bae-6cbf-42ae-b876-0d745db35dc5</vt:lpwstr>
  </property>
  <property fmtid="{D5CDD505-2E9C-101B-9397-08002B2CF9AE}" pid="14" name="MFHash">
    <vt:lpwstr>To9AoC3o1mel/N32UXic+RR6CHJ3PxtI1RqSB5xM7xw=</vt:lpwstr>
  </property>
  <property fmtid="{D5CDD505-2E9C-101B-9397-08002B2CF9AE}" pid="15" name="MFVisualMarkingsSettings">
    <vt:lpwstr>HeaderAlignment=1;FooterAlignment=1</vt:lpwstr>
  </property>
  <property fmtid="{D5CDD505-2E9C-101B-9397-08002B2CF9AE}" pid="16" name="DLPManualFileClassification">
    <vt:lpwstr>{fda3041b-e405-41d9-ab17-3871d5906b2d}</vt:lpwstr>
  </property>
  <property fmtid="{D5CDD505-2E9C-101B-9397-08002B2CF9AE}" pid="17" name="MFRefresh">
    <vt:lpwstr>False</vt:lpwstr>
  </property>
  <property fmtid="{D5CDD505-2E9C-101B-9397-08002B2CF9AE}" pid="18" name="MSIP_Label_112e3eac-4767-4d29-949e-d809b1160d11_Enabled">
    <vt:lpwstr>true</vt:lpwstr>
  </property>
  <property fmtid="{D5CDD505-2E9C-101B-9397-08002B2CF9AE}" pid="19" name="MSIP_Label_112e3eac-4767-4d29-949e-d809b1160d11_SetDate">
    <vt:lpwstr>2025-04-10T13:54:47Z</vt:lpwstr>
  </property>
  <property fmtid="{D5CDD505-2E9C-101B-9397-08002B2CF9AE}" pid="20" name="MSIP_Label_112e3eac-4767-4d29-949e-d809b1160d11_Method">
    <vt:lpwstr>Standard</vt:lpwstr>
  </property>
  <property fmtid="{D5CDD505-2E9C-101B-9397-08002B2CF9AE}" pid="21" name="MSIP_Label_112e3eac-4767-4d29-949e-d809b1160d11_Name">
    <vt:lpwstr>Rijksoverheid (SGC)</vt:lpwstr>
  </property>
  <property fmtid="{D5CDD505-2E9C-101B-9397-08002B2CF9AE}" pid="22" name="MSIP_Label_112e3eac-4767-4d29-949e-d809b1160d11_SiteId">
    <vt:lpwstr>84712536-f524-40a0-913b-5d25ba502732</vt:lpwstr>
  </property>
  <property fmtid="{D5CDD505-2E9C-101B-9397-08002B2CF9AE}" pid="23" name="MSIP_Label_112e3eac-4767-4d29-949e-d809b1160d11_ActionId">
    <vt:lpwstr>5c95ddc8-bfe4-4d04-aaf1-02fe42a8208c</vt:lpwstr>
  </property>
  <property fmtid="{D5CDD505-2E9C-101B-9397-08002B2CF9AE}" pid="24" name="MSIP_Label_112e3eac-4767-4d29-949e-d809b1160d11_ContentBits">
    <vt:lpwstr>0</vt:lpwstr>
  </property>
</Properties>
</file>