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4A7" w:rsidP="00AA04A7" w:rsidRDefault="00AA04A7" w14:paraId="74001A9E"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de Raad Buitenlandse Zaken d.d. 14 april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A04A7" w:rsidP="00AA04A7" w:rsidRDefault="00AA04A7" w14:paraId="430A206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een onafhankelijk internationaal onderzoek naar de moord op het Palestijnse hulpkonvooi door Israël in Gaza (21501-02, nr. 3105);</w:t>
      </w:r>
    </w:p>
    <w:p w:rsidR="00AA04A7" w:rsidP="00AA04A7" w:rsidRDefault="00AA04A7" w14:paraId="768AC75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in Europees verband pleiten voor sancties tegen Israël en de regering-Netanyahu (21501-02, nr. 3106);</w:t>
      </w:r>
    </w:p>
    <w:p w:rsidR="00AA04A7" w:rsidP="00AA04A7" w:rsidRDefault="00AA04A7" w14:paraId="450E5B5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motie-Kahraman/Ceder over er bij de Israëlische autoriteiten (21501-02, nr. 3107);</w:t>
      </w:r>
    </w:p>
    <w:p w:rsidR="00AA04A7" w:rsidP="00AA04A7" w:rsidRDefault="00AA04A7" w14:paraId="52D26FC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een briefadvies van de CAVV en AIV over welke instrumenten Nederland kan inzetten om de straffeloosheid voor geweldpleging tegen hulpverleners te bestrijden (21501-02, nr. 3108);</w:t>
      </w:r>
    </w:p>
    <w:p w:rsidR="00AA04A7" w:rsidP="00AA04A7" w:rsidRDefault="00AA04A7" w14:paraId="6E16B2A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aan Polen, Finland en de Baltische staten vragen niet uit het Verdrag van Ottawa tegen landmijnen te stappen (21501-02, nr. 3109);</w:t>
      </w:r>
    </w:p>
    <w:p w:rsidR="00AA04A7" w:rsidP="00AA04A7" w:rsidRDefault="00AA04A7" w14:paraId="77CFB11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standpunt uitdragen dat het EU-</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 Action Plan ook na 2025 wordt verlengd (21501-02, nr. 3110);</w:t>
      </w:r>
    </w:p>
    <w:p w:rsidR="00AA04A7" w:rsidP="00AA04A7" w:rsidRDefault="00AA04A7" w14:paraId="75C8A64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totaal wapenembargo tegen Israël (21501-02, nr. 3111);</w:t>
      </w:r>
    </w:p>
    <w:p w:rsidR="00AA04A7" w:rsidP="00AA04A7" w:rsidRDefault="00AA04A7" w14:paraId="2D9FC83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erkennen dat Israël genocide pleegt in Gaza (21501-02, nr. 3112);</w:t>
      </w:r>
    </w:p>
    <w:p w:rsidR="00AA04A7" w:rsidP="00AA04A7" w:rsidRDefault="00AA04A7" w14:paraId="65CF9D8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c.s. over een klacht tegen Hongarije in verband met het besluit zich terug te trekken uit het Internationaal Strafhof (21501-02, nr. 3113);</w:t>
      </w:r>
    </w:p>
    <w:p w:rsidR="00AA04A7" w:rsidP="00AA04A7" w:rsidRDefault="00AA04A7" w14:paraId="68DBE1F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overgaan tot politieke en economische (21501-02, nr. 3114);</w:t>
      </w:r>
    </w:p>
    <w:p w:rsidR="00AA04A7" w:rsidP="00AA04A7" w:rsidRDefault="00AA04A7" w14:paraId="5678C65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ervoor pleiten Netanyahu op de EU-sanctielijst te plaatsen (21501-02, nr. 3115);</w:t>
      </w:r>
    </w:p>
    <w:p w:rsidR="00AA04A7" w:rsidP="00AA04A7" w:rsidRDefault="00AA04A7" w14:paraId="725D592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in navolging van 146 andere landen overgaan tot erkenning van de Palestijnse Staat (21501-02, nr. 3116);</w:t>
      </w:r>
    </w:p>
    <w:p w:rsidR="00AA04A7" w:rsidP="00AA04A7" w:rsidRDefault="00AA04A7" w14:paraId="023343A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in navolging van Duitsland en Oostenrijk (21501-02, nr. 3117);</w:t>
      </w:r>
    </w:p>
    <w:p w:rsidR="00AA04A7" w:rsidP="00AA04A7" w:rsidRDefault="00AA04A7" w14:paraId="03B746F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 c.s. over zich actiever inzetten op lange termijn ontmoedigingsbeleid in Europees verband met betrekking tot de import van Russisch LNG (21501-02, nr. 3118);</w:t>
      </w:r>
    </w:p>
    <w:p w:rsidR="00AA04A7" w:rsidP="00AA04A7" w:rsidRDefault="00AA04A7" w14:paraId="29296D4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Houwelingen over </w:t>
      </w:r>
      <w:proofErr w:type="spellStart"/>
      <w:r>
        <w:rPr>
          <w:rFonts w:ascii="Arial" w:hAnsi="Arial" w:eastAsia="Times New Roman" w:cs="Arial"/>
          <w:sz w:val="22"/>
          <w:szCs w:val="22"/>
        </w:rPr>
        <w:t>nederland</w:t>
      </w:r>
      <w:proofErr w:type="spellEnd"/>
      <w:r>
        <w:rPr>
          <w:rFonts w:ascii="Arial" w:hAnsi="Arial" w:eastAsia="Times New Roman" w:cs="Arial"/>
          <w:sz w:val="22"/>
          <w:szCs w:val="22"/>
        </w:rPr>
        <w:t xml:space="preserve"> terugtrekken uit het Internationaal Strafhof (21501-02, nr. 3119);</w:t>
      </w:r>
    </w:p>
    <w:p w:rsidR="00AA04A7" w:rsidP="00AA04A7" w:rsidRDefault="00AA04A7" w14:paraId="3551686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motie-Teunissen c.s. over honden die als wapen kunnen worden ingezet toevoegen aan de controlelijst van de EU-verordening voor </w:t>
      </w:r>
      <w:proofErr w:type="spellStart"/>
      <w:r>
        <w:rPr>
          <w:rFonts w:ascii="Arial" w:hAnsi="Arial" w:eastAsia="Times New Roman" w:cs="Arial"/>
          <w:sz w:val="22"/>
          <w:szCs w:val="22"/>
        </w:rPr>
        <w:t>dual-use</w:t>
      </w:r>
      <w:proofErr w:type="spellEnd"/>
      <w:r>
        <w:rPr>
          <w:rFonts w:ascii="Arial" w:hAnsi="Arial" w:eastAsia="Times New Roman" w:cs="Arial"/>
          <w:sz w:val="22"/>
          <w:szCs w:val="22"/>
        </w:rPr>
        <w:t xml:space="preserve"> (21501-02, nr. 3120);</w:t>
      </w:r>
    </w:p>
    <w:p w:rsidR="00AA04A7" w:rsidP="00AA04A7" w:rsidRDefault="00AA04A7" w14:paraId="0F1F873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motie-Ceder over </w:t>
      </w:r>
      <w:proofErr w:type="spellStart"/>
      <w:r>
        <w:rPr>
          <w:rFonts w:ascii="Arial" w:hAnsi="Arial" w:eastAsia="Times New Roman" w:cs="Arial"/>
          <w:sz w:val="22"/>
          <w:szCs w:val="22"/>
        </w:rPr>
        <w:t>israël</w:t>
      </w:r>
      <w:proofErr w:type="spellEnd"/>
      <w:r>
        <w:rPr>
          <w:rFonts w:ascii="Arial" w:hAnsi="Arial" w:eastAsia="Times New Roman" w:cs="Arial"/>
          <w:sz w:val="22"/>
          <w:szCs w:val="22"/>
        </w:rPr>
        <w:t xml:space="preserve"> oproepen tot onmiddellijke toelating van humanitaire hulp en herstel van de stroomvoorziening in Gaza (21501-02, nr. 3121);</w:t>
      </w:r>
    </w:p>
    <w:p w:rsidR="00AA04A7" w:rsidP="00AA04A7" w:rsidRDefault="00AA04A7" w14:paraId="4793C70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uiterlijk per 24 april 2025 niet meer spreken van "de kwestie” van de Armeense genocide (21501-02, nr. 3122);</w:t>
      </w:r>
    </w:p>
    <w:p w:rsidR="00AA04A7" w:rsidP="00AA04A7" w:rsidRDefault="00AA04A7" w14:paraId="0B47188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c.s. over het opstellen van een Amerikastrategie (21501-02, nr. 3123).</w:t>
      </w:r>
    </w:p>
    <w:p w:rsidR="00AA04A7" w:rsidP="00AA04A7" w:rsidRDefault="00AA04A7" w14:paraId="4185691C" w14:textId="77777777">
      <w:pPr>
        <w:rPr>
          <w:rFonts w:ascii="Arial" w:hAnsi="Arial" w:eastAsia="Times New Roman" w:cs="Arial"/>
          <w:sz w:val="22"/>
          <w:szCs w:val="22"/>
        </w:rPr>
      </w:pPr>
    </w:p>
    <w:p w:rsidR="00AA04A7" w:rsidP="00AA04A7" w:rsidRDefault="00AA04A7" w14:paraId="361E1E21"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A04A7" w:rsidP="00AA04A7" w:rsidRDefault="00AA04A7" w14:paraId="3C76B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Paternotte stel ik voor zijn motie (21501-02, nr. 3113)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A04A7" w:rsidP="00AA04A7" w:rsidRDefault="00AA04A7" w14:paraId="30A502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(21501-02, nr. 3105).</w:t>
      </w:r>
    </w:p>
    <w:p w:rsidR="00AA04A7" w:rsidP="00AA04A7" w:rsidRDefault="00AA04A7" w14:paraId="456895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AA04A7" w:rsidP="00AA04A7" w:rsidRDefault="00AA04A7" w14:paraId="583E86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(21501-02, nr. 3106).</w:t>
      </w:r>
    </w:p>
    <w:p w:rsidR="00AA04A7" w:rsidP="00AA04A7" w:rsidRDefault="00AA04A7" w14:paraId="71ADAC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A04A7" w:rsidP="00AA04A7" w:rsidRDefault="00AA04A7" w14:paraId="2EBA1A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motie-Kahraman/Ceder (21501-02, nr. 3107).</w:t>
      </w:r>
    </w:p>
    <w:p w:rsidR="00AA04A7" w:rsidP="00AA04A7" w:rsidRDefault="00AA04A7" w14:paraId="349BE7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JA21 en FVD voor deze motie hebben gestemd en de leden van de overige fracties ertegen, zodat zij is aangenomen.</w:t>
      </w:r>
    </w:p>
    <w:p w:rsidR="00AA04A7" w:rsidP="00AA04A7" w:rsidRDefault="00AA04A7" w14:paraId="5BFDCA2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(21501-02, nr. 3108).</w:t>
      </w:r>
    </w:p>
    <w:p w:rsidR="00AA04A7" w:rsidP="00AA04A7" w:rsidRDefault="00AA04A7" w14:paraId="32402D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A04A7" w:rsidP="00AA04A7" w:rsidRDefault="00AA04A7" w14:paraId="6313F0B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(21501-02, nr. 3109).</w:t>
      </w:r>
    </w:p>
    <w:p w:rsidR="00AA04A7" w:rsidP="00AA04A7" w:rsidRDefault="00AA04A7" w14:paraId="0F06BD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en JA21 voor deze motie hebben gestemd en de leden van de overige fracties ertegen, zodat zij is aangenomen.</w:t>
      </w:r>
    </w:p>
    <w:p w:rsidR="00AA04A7" w:rsidP="00AA04A7" w:rsidRDefault="00AA04A7" w14:paraId="10953F1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3110).</w:t>
      </w:r>
    </w:p>
    <w:p w:rsidR="00AA04A7" w:rsidP="00AA04A7" w:rsidRDefault="00AA04A7" w14:paraId="48A349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Dan doen we 'm toch gewoon een keer over?</w:t>
      </w:r>
    </w:p>
    <w:p w:rsidR="00AA04A7" w:rsidP="00AA04A7" w:rsidRDefault="00AA04A7" w14:paraId="3B53FB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3110).</w:t>
      </w:r>
    </w:p>
    <w:p w:rsidR="00AA04A7" w:rsidP="00AA04A7" w:rsidRDefault="00AA04A7" w14:paraId="1FD1C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AA04A7" w:rsidP="00AA04A7" w:rsidRDefault="00AA04A7" w14:paraId="4CDAF469" w14:textId="77777777">
      <w:pPr>
        <w:spacing w:after="240"/>
        <w:rPr>
          <w:rFonts w:ascii="Arial" w:hAnsi="Arial" w:eastAsia="Times New Roman" w:cs="Arial"/>
          <w:sz w:val="22"/>
          <w:szCs w:val="22"/>
        </w:rPr>
      </w:pPr>
      <w:r>
        <w:rPr>
          <w:rFonts w:ascii="Arial" w:hAnsi="Arial" w:eastAsia="Times New Roman" w:cs="Arial"/>
          <w:sz w:val="22"/>
          <w:szCs w:val="22"/>
        </w:rPr>
        <w:t>Die moet hoofdelijk. Dat betekent dat we er dinsdag nog een keer over gaan stemmen.</w:t>
      </w:r>
    </w:p>
    <w:p w:rsidR="00AA04A7" w:rsidP="00AA04A7" w:rsidRDefault="00AA04A7" w14:paraId="06DF48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3111).</w:t>
      </w:r>
    </w:p>
    <w:p w:rsidR="00AA04A7" w:rsidP="00AA04A7" w:rsidRDefault="00AA04A7" w14:paraId="3EE831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AA04A7" w:rsidP="00AA04A7" w:rsidRDefault="00AA04A7" w14:paraId="6CBB8A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3112).</w:t>
      </w:r>
    </w:p>
    <w:p w:rsidR="00AA04A7" w:rsidP="00AA04A7" w:rsidRDefault="00AA04A7" w14:paraId="71C664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A04A7" w:rsidP="00AA04A7" w:rsidRDefault="00AA04A7" w14:paraId="630890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(21501-02, nr. 3114).</w:t>
      </w:r>
    </w:p>
    <w:p w:rsidR="00AA04A7" w:rsidP="00AA04A7" w:rsidRDefault="00AA04A7" w14:paraId="5A93E1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A04A7" w:rsidP="00AA04A7" w:rsidRDefault="00AA04A7" w14:paraId="763B6F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(21501-02, nr. 3115).</w:t>
      </w:r>
    </w:p>
    <w:p w:rsidR="00AA04A7" w:rsidP="00AA04A7" w:rsidRDefault="00AA04A7" w14:paraId="612CCE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A04A7" w:rsidP="00AA04A7" w:rsidRDefault="00AA04A7" w14:paraId="0EEF85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(21501-02, nr. 3116).</w:t>
      </w:r>
    </w:p>
    <w:p w:rsidR="00AA04A7" w:rsidP="00AA04A7" w:rsidRDefault="00AA04A7" w14:paraId="15DC57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AA04A7" w:rsidP="00AA04A7" w:rsidRDefault="00AA04A7" w14:paraId="410BB52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(21501-02, nr. 3117).</w:t>
      </w:r>
    </w:p>
    <w:p w:rsidR="00AA04A7" w:rsidP="00AA04A7" w:rsidRDefault="00AA04A7" w14:paraId="793236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A04A7" w:rsidP="00AA04A7" w:rsidRDefault="00AA04A7" w14:paraId="165034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 c.s. (21501-02, nr. 3118).</w:t>
      </w:r>
    </w:p>
    <w:p w:rsidR="00AA04A7" w:rsidP="00AA04A7" w:rsidRDefault="00AA04A7" w14:paraId="1E0504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deze motie hebben gestemd en de leden van de overige fracties ertegen, zodat zij is aangenomen.</w:t>
      </w:r>
    </w:p>
    <w:p w:rsidR="00AA04A7" w:rsidP="00AA04A7" w:rsidRDefault="00AA04A7" w14:paraId="419A6A5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(21501-02, nr. 3119).</w:t>
      </w:r>
    </w:p>
    <w:p w:rsidR="00AA04A7" w:rsidP="00AA04A7" w:rsidRDefault="00AA04A7" w14:paraId="5BED48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AA04A7" w:rsidP="00AA04A7" w:rsidRDefault="00AA04A7" w14:paraId="390B8386"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(21501-02, nr. 3120).</w:t>
      </w:r>
    </w:p>
    <w:p w:rsidR="00AA04A7" w:rsidP="00AA04A7" w:rsidRDefault="00AA04A7" w14:paraId="09C18C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JA21 voor deze motie hebben gestemd en de leden van de overige fracties ertegen, zodat zij is aangenomen.</w:t>
      </w:r>
    </w:p>
    <w:p w:rsidR="00AA04A7" w:rsidP="00AA04A7" w:rsidRDefault="00AA04A7" w14:paraId="6145C450"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(21501-02, nr. 3121).</w:t>
      </w:r>
    </w:p>
    <w:p w:rsidR="00AA04A7" w:rsidP="00AA04A7" w:rsidRDefault="00AA04A7" w14:paraId="4C891C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JA21 en FVD voor deze motie hebben gestemd en de leden van de overige fracties ertegen, zodat zij is aangenomen.</w:t>
      </w:r>
    </w:p>
    <w:p w:rsidR="00AA04A7" w:rsidP="00AA04A7" w:rsidRDefault="00AA04A7" w14:paraId="431A73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(21501-02, nr. 3122).</w:t>
      </w:r>
    </w:p>
    <w:p w:rsidR="00AA04A7" w:rsidP="00AA04A7" w:rsidRDefault="00AA04A7" w14:paraId="68BD45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AA04A7" w:rsidP="00AA04A7" w:rsidRDefault="00AA04A7" w14:paraId="401DD9F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c.s. (21501-02, nr. 3123).</w:t>
      </w:r>
    </w:p>
    <w:p w:rsidR="00AA04A7" w:rsidP="00AA04A7" w:rsidRDefault="00AA04A7" w14:paraId="543FB1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de VVD, BBB, JA21 en FVD voor deze motie hebben gestemd en de leden van de overige fracties ertegen, zodat zij is aangenomen.</w:t>
      </w:r>
    </w:p>
    <w:p w:rsidR="00AA04A7" w:rsidP="00AA04A7" w:rsidRDefault="00AA04A7" w14:paraId="2A845EC8"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enkele ogenblikken en dan gaan we door met het onderwijsdebat.</w:t>
      </w:r>
    </w:p>
    <w:p w:rsidR="00AA04A7" w:rsidP="00AA04A7" w:rsidRDefault="00AA04A7" w14:paraId="3334ED4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D5BFF" w:rsidRDefault="00CD5BFF" w14:paraId="20418F02"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22CA7"/>
    <w:multiLevelType w:val="multilevel"/>
    <w:tmpl w:val="6EE0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43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A7"/>
    <w:rsid w:val="0035694D"/>
    <w:rsid w:val="00AA04A7"/>
    <w:rsid w:val="00CD5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E4A6"/>
  <w15:chartTrackingRefBased/>
  <w15:docId w15:val="{D2374F5D-4ED4-4F06-B37E-8A81C690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04A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A04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A04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A04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A04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A04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A04A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04A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04A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04A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04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A04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A04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A04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A04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A04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04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04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04A7"/>
    <w:rPr>
      <w:rFonts w:eastAsiaTheme="majorEastAsia" w:cstheme="majorBidi"/>
      <w:color w:val="272727" w:themeColor="text1" w:themeTint="D8"/>
    </w:rPr>
  </w:style>
  <w:style w:type="paragraph" w:styleId="Titel">
    <w:name w:val="Title"/>
    <w:basedOn w:val="Standaard"/>
    <w:next w:val="Standaard"/>
    <w:link w:val="TitelChar"/>
    <w:uiPriority w:val="10"/>
    <w:qFormat/>
    <w:rsid w:val="00AA04A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04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04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04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04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04A7"/>
    <w:rPr>
      <w:i/>
      <w:iCs/>
      <w:color w:val="404040" w:themeColor="text1" w:themeTint="BF"/>
    </w:rPr>
  </w:style>
  <w:style w:type="paragraph" w:styleId="Lijstalinea">
    <w:name w:val="List Paragraph"/>
    <w:basedOn w:val="Standaard"/>
    <w:uiPriority w:val="34"/>
    <w:qFormat/>
    <w:rsid w:val="00AA04A7"/>
    <w:pPr>
      <w:ind w:left="720"/>
      <w:contextualSpacing/>
    </w:pPr>
  </w:style>
  <w:style w:type="character" w:styleId="Intensievebenadrukking">
    <w:name w:val="Intense Emphasis"/>
    <w:basedOn w:val="Standaardalinea-lettertype"/>
    <w:uiPriority w:val="21"/>
    <w:qFormat/>
    <w:rsid w:val="00AA04A7"/>
    <w:rPr>
      <w:i/>
      <w:iCs/>
      <w:color w:val="2F5496" w:themeColor="accent1" w:themeShade="BF"/>
    </w:rPr>
  </w:style>
  <w:style w:type="paragraph" w:styleId="Duidelijkcitaat">
    <w:name w:val="Intense Quote"/>
    <w:basedOn w:val="Standaard"/>
    <w:next w:val="Standaard"/>
    <w:link w:val="DuidelijkcitaatChar"/>
    <w:uiPriority w:val="30"/>
    <w:qFormat/>
    <w:rsid w:val="00AA0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A04A7"/>
    <w:rPr>
      <w:i/>
      <w:iCs/>
      <w:color w:val="2F5496" w:themeColor="accent1" w:themeShade="BF"/>
    </w:rPr>
  </w:style>
  <w:style w:type="character" w:styleId="Intensieveverwijzing">
    <w:name w:val="Intense Reference"/>
    <w:basedOn w:val="Standaardalinea-lettertype"/>
    <w:uiPriority w:val="32"/>
    <w:qFormat/>
    <w:rsid w:val="00AA04A7"/>
    <w:rPr>
      <w:b/>
      <w:bCs/>
      <w:smallCaps/>
      <w:color w:val="2F5496" w:themeColor="accent1" w:themeShade="BF"/>
      <w:spacing w:val="5"/>
    </w:rPr>
  </w:style>
  <w:style w:type="character" w:styleId="Zwaar">
    <w:name w:val="Strong"/>
    <w:basedOn w:val="Standaardalinea-lettertype"/>
    <w:uiPriority w:val="22"/>
    <w:qFormat/>
    <w:rsid w:val="00AA0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1342</ap:Words>
  <ap:Characters>7387</ap:Characters>
  <ap:DocSecurity>0</ap:DocSecurity>
  <ap:Lines>61</ap:Lines>
  <ap:Paragraphs>17</ap:Paragraphs>
  <ap:ScaleCrop>false</ap:ScaleCrop>
  <ap:LinksUpToDate>false</ap:LinksUpToDate>
  <ap:CharactersWithSpaces>8712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2025-04-11T07:35:00.0000000Z</dcterms:created>
  <dcterms:modified xsi:type="dcterms:W3CDTF">2025-04-11T07:35:00.0000000Z</dcterms:modified>
  <version/>
  <category/>
</coreProperties>
</file>