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2025Z07332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14 april 2025)</w:t>
        <w:br/>
      </w:r>
    </w:p>
    <w:p>
      <w:r>
        <w:t xml:space="preserve">Vraag van het lid Van Houwelingen (FVD) aan de staatssecretaris van Onderwijs, Cultuur en Wetenschap over herstelopdrachten van de Inspectie van het Onderwijs</w:t>
      </w:r>
      <w:r>
        <w:br/>
      </w:r>
    </w:p>
    <w:p>
      <w:r>
        <w:t xml:space="preserve">1. Hoeveel herstelopdrachten heeft de Inspectie van het Onderwijs de afgelopen vijf jaar jaarlijks in totaal aan basisscholen gegeven?</w:t>
      </w:r>
      <w:r>
        <w:br/>
      </w:r>
    </w:p>
    <w:p>
      <w:r>
        <w:t xml:space="preserve">2. Hoeveel van deze herstelopdrachten hadden betrekking op het rekenonderwijs?</w:t>
      </w:r>
      <w:r>
        <w:br/>
      </w:r>
    </w:p>
    <w:p>
      <w:r>
        <w:t xml:space="preserve">3. Hoeveel van deze herstelopdrachten hadden betrekking op het taalonderwijs?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7533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75330">
    <w:abstractNumId w:val="10047533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