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ECF" w:rsidRDefault="00784870" w14:paraId="38FDD3AC" w14:textId="62334BC8">
      <w:bookmarkStart w:name="_GoBack" w:id="0"/>
      <w:bookmarkEnd w:id="0"/>
      <w:r>
        <w:t>Geachte voorzitter,</w:t>
      </w:r>
    </w:p>
    <w:p w:rsidR="009F109C" w:rsidRDefault="009F109C" w14:paraId="7EC23E76" w14:textId="77777777"/>
    <w:p w:rsidR="009F109C" w:rsidRDefault="009F109C" w14:paraId="30A365E1" w14:textId="77777777"/>
    <w:p w:rsidR="00784870" w:rsidRDefault="00784870" w14:paraId="5CCBF6C1" w14:textId="10D32F3E">
      <w:r>
        <w:t>Met deze brief ontvangt de Tweede Kamer informatie</w:t>
      </w:r>
      <w:r w:rsidR="009C627C">
        <w:t xml:space="preserve"> ten behoeve van het commissiedebat circulaire economie op 16 april</w:t>
      </w:r>
      <w:r w:rsidR="00F240D7">
        <w:t xml:space="preserve"> aanstaande</w:t>
      </w:r>
      <w:r w:rsidR="009C627C">
        <w:t xml:space="preserve">. Hiermee wordt ook </w:t>
      </w:r>
      <w:r w:rsidR="004E1BE6">
        <w:t>tegemoetgekomen</w:t>
      </w:r>
      <w:r w:rsidR="009C627C">
        <w:t xml:space="preserve"> aan een aantal toezeggingen en verzoeken. Deze brief behandelt</w:t>
      </w:r>
      <w:r>
        <w:t xml:space="preserve"> de volgende onderwerpen:</w:t>
      </w:r>
    </w:p>
    <w:p w:rsidR="00784870" w:rsidP="00784870" w:rsidRDefault="00784870" w14:paraId="19D20F03" w14:textId="26F9DFC0">
      <w:pPr>
        <w:pStyle w:val="ListParagraph"/>
        <w:numPr>
          <w:ilvl w:val="0"/>
          <w:numId w:val="24"/>
        </w:numPr>
      </w:pPr>
      <w:r>
        <w:t>Eindrapport subjectieve monitoring zwerfafval 2024</w:t>
      </w:r>
      <w:r w:rsidR="003334CE">
        <w:t>;</w:t>
      </w:r>
    </w:p>
    <w:p w:rsidR="00784870" w:rsidP="00784870" w:rsidRDefault="00784870" w14:paraId="2A969C44" w14:textId="69D75EEA">
      <w:pPr>
        <w:pStyle w:val="ListParagraph"/>
        <w:numPr>
          <w:ilvl w:val="0"/>
          <w:numId w:val="24"/>
        </w:numPr>
      </w:pPr>
      <w:r>
        <w:t>Zwerfafval monitoring dr</w:t>
      </w:r>
      <w:r w:rsidR="006C6698">
        <w:t>a</w:t>
      </w:r>
      <w:r>
        <w:t>nkverpakkingen</w:t>
      </w:r>
      <w:r w:rsidR="003334CE">
        <w:t>;</w:t>
      </w:r>
    </w:p>
    <w:p w:rsidR="00F73242" w:rsidP="00784870" w:rsidRDefault="00F73242" w14:paraId="416D0B4A" w14:textId="02F7E032">
      <w:pPr>
        <w:pStyle w:val="ListParagraph"/>
        <w:numPr>
          <w:ilvl w:val="0"/>
          <w:numId w:val="24"/>
        </w:numPr>
      </w:pPr>
      <w:r>
        <w:t>Tariefdifferentiatie op zwerfafvalrisico</w:t>
      </w:r>
      <w:r w:rsidR="003334CE">
        <w:t>;</w:t>
      </w:r>
    </w:p>
    <w:p w:rsidR="00784870" w:rsidP="00784870" w:rsidRDefault="00784870" w14:paraId="5F8910C9" w14:textId="7247FE79">
      <w:pPr>
        <w:pStyle w:val="ListParagraph"/>
        <w:numPr>
          <w:ilvl w:val="0"/>
          <w:numId w:val="24"/>
        </w:numPr>
      </w:pPr>
      <w:r w:rsidRPr="00B57A48">
        <w:t>Opvolging aangenomen moties omtrent regelgeving kunststofproducten voor eenmalig gebruik</w:t>
      </w:r>
      <w:r w:rsidR="003334CE">
        <w:t>;</w:t>
      </w:r>
    </w:p>
    <w:p w:rsidR="00784870" w:rsidP="00784870" w:rsidRDefault="00784870" w14:paraId="2855CACF" w14:textId="01169BD9">
      <w:pPr>
        <w:pStyle w:val="ListParagraph"/>
        <w:numPr>
          <w:ilvl w:val="0"/>
          <w:numId w:val="24"/>
        </w:numPr>
      </w:pPr>
      <w:r>
        <w:t>Juridische verkenning reclameverbod wegwerpproducten</w:t>
      </w:r>
      <w:r w:rsidR="003334CE">
        <w:t>;</w:t>
      </w:r>
    </w:p>
    <w:p w:rsidR="00784870" w:rsidP="00784870" w:rsidRDefault="00784870" w14:paraId="31C46EC4" w14:textId="610FB9E0">
      <w:pPr>
        <w:pStyle w:val="ListParagraph"/>
        <w:numPr>
          <w:ilvl w:val="0"/>
          <w:numId w:val="24"/>
        </w:numPr>
      </w:pPr>
      <w:r>
        <w:t>Twee toezeggingen over einde-afval</w:t>
      </w:r>
      <w:r w:rsidR="003334CE">
        <w:t>;</w:t>
      </w:r>
    </w:p>
    <w:p w:rsidRPr="00F73242" w:rsidR="00F73242" w:rsidP="00F73242" w:rsidRDefault="00F73242" w14:paraId="1ADC0142" w14:textId="01C3A0F7">
      <w:pPr>
        <w:pStyle w:val="ListParagraph"/>
        <w:numPr>
          <w:ilvl w:val="0"/>
          <w:numId w:val="24"/>
        </w:numPr>
      </w:pPr>
      <w:r w:rsidRPr="00F73242">
        <w:t>Handreiking afvalstof of niet-afvalstof voor (afgedankte) elektrische en elektronische apparatuur</w:t>
      </w:r>
      <w:r w:rsidR="003334CE">
        <w:t>;</w:t>
      </w:r>
    </w:p>
    <w:p w:rsidR="00784870" w:rsidP="00784870" w:rsidRDefault="00784870" w14:paraId="5E79AE22" w14:textId="1DC20E79">
      <w:pPr>
        <w:pStyle w:val="ListParagraph"/>
        <w:numPr>
          <w:ilvl w:val="0"/>
          <w:numId w:val="24"/>
        </w:numPr>
      </w:pPr>
      <w:r>
        <w:t>Krachtenbundeling Rijk-Regio voor de Circulaire Economie</w:t>
      </w:r>
      <w:r w:rsidR="003334CE">
        <w:t>;</w:t>
      </w:r>
    </w:p>
    <w:p w:rsidR="00784870" w:rsidP="00784870" w:rsidRDefault="00784870" w14:paraId="7D1A39F2" w14:textId="1820FDA8">
      <w:pPr>
        <w:pStyle w:val="ListParagraph"/>
        <w:numPr>
          <w:ilvl w:val="0"/>
          <w:numId w:val="24"/>
        </w:numPr>
      </w:pPr>
      <w:r w:rsidRPr="00E66F00">
        <w:t>Vervolgonderzoek isolatiematerialen na verkenning ‘Plastics in de bouw’</w:t>
      </w:r>
      <w:r w:rsidR="003334CE">
        <w:t>;</w:t>
      </w:r>
    </w:p>
    <w:p w:rsidR="00581ECF" w:rsidP="00785974" w:rsidRDefault="007660DB" w14:paraId="7CAE4D77" w14:textId="56A7F349">
      <w:pPr>
        <w:pStyle w:val="ListParagraph"/>
        <w:numPr>
          <w:ilvl w:val="0"/>
          <w:numId w:val="24"/>
        </w:numPr>
      </w:pPr>
      <w:r>
        <w:t>Plastic recyclaat in voertuigen</w:t>
      </w:r>
      <w:r w:rsidR="003334CE">
        <w:t>;</w:t>
      </w:r>
    </w:p>
    <w:p w:rsidR="00784870" w:rsidP="00F73242" w:rsidRDefault="00785974" w14:paraId="0243F8EE" w14:textId="058E57DE">
      <w:pPr>
        <w:pStyle w:val="ListParagraph"/>
        <w:numPr>
          <w:ilvl w:val="0"/>
          <w:numId w:val="24"/>
        </w:numPr>
      </w:pPr>
      <w:r w:rsidRPr="00785974">
        <w:t>Uitstel reactie op het PBL-rapport ‘Naar een meer circulaire energietransitie met uitgebreide producentenverantwoordelijkheid’</w:t>
      </w:r>
      <w:r w:rsidR="003334CE">
        <w:t>.</w:t>
      </w:r>
    </w:p>
    <w:p w:rsidR="00A7495F" w:rsidP="00F73242" w:rsidRDefault="00A7495F" w14:paraId="11A9D565" w14:textId="25AC5F6B">
      <w:pPr>
        <w:pStyle w:val="ListParagraph"/>
        <w:numPr>
          <w:ilvl w:val="0"/>
          <w:numId w:val="24"/>
        </w:numPr>
      </w:pPr>
      <w:r w:rsidRPr="00A7495F">
        <w:t>Manifest MVO Nederland</w:t>
      </w:r>
    </w:p>
    <w:p w:rsidR="00F73242" w:rsidP="00F73242" w:rsidRDefault="00F73242" w14:paraId="4FBC38AA" w14:textId="77777777">
      <w:pPr>
        <w:pStyle w:val="ListParagraph"/>
      </w:pPr>
    </w:p>
    <w:p w:rsidR="00784870" w:rsidP="00784870" w:rsidRDefault="00784870" w14:paraId="1E63B486" w14:textId="77777777">
      <w:pPr>
        <w:rPr>
          <w:b/>
          <w:bCs/>
        </w:rPr>
      </w:pPr>
      <w:r w:rsidRPr="00784870">
        <w:rPr>
          <w:b/>
          <w:bCs/>
        </w:rPr>
        <w:t>Eindrapport subjectieve monitoring zwerfafval 2024</w:t>
      </w:r>
    </w:p>
    <w:p w:rsidR="00784870" w:rsidP="00784870" w:rsidRDefault="00784870" w14:paraId="06645805" w14:textId="2441B01E">
      <w:r w:rsidRPr="00784870">
        <w:t>Sinds 2008 laat Rijk</w:t>
      </w:r>
      <w:r w:rsidR="00B322F9">
        <w:t>s</w:t>
      </w:r>
      <w:r w:rsidRPr="00784870">
        <w:t>waterstaat, in opdracht van het ministerie van Infrastructuur en Waterstaat</w:t>
      </w:r>
      <w:r w:rsidR="00DE1EFE">
        <w:t xml:space="preserve"> (IenW)</w:t>
      </w:r>
      <w:r w:rsidRPr="00784870">
        <w:t>, jaarlijks een onderzoek uitvoeren naar de vraag of Nederland wat betreft zwerfafval schoner is geworden naar de mening van het algemeen Nederlands publiek. Een groep van ongeveer 2000 respondenten wordt op twee momenten in het jaar, gevraagd naar hun mening over zwerfafval in Nederland. Deze subjectieve monitoring wordt uitgevoerd naast de objectieve metingen, waarbij wordt gekeken naar de hoeveelheid en samenstelling van het zwerfafval.</w:t>
      </w:r>
    </w:p>
    <w:p w:rsidRPr="00784870" w:rsidR="00784870" w:rsidP="00784870" w:rsidRDefault="00784870" w14:paraId="5AE10D42" w14:textId="77777777"/>
    <w:p w:rsidRPr="00784870" w:rsidR="00784870" w:rsidP="00784870" w:rsidRDefault="00784870" w14:paraId="00D3D9F4" w14:textId="4F921FEE">
      <w:r w:rsidRPr="00784870">
        <w:t xml:space="preserve">Volgens de onderzoekers is de belangrijkste conclusie dat het aandeel Nederlanders dat Nederland schoon vindt – ongeveer één op de vijf – gelijk is gebleven ten opzichte van vorig jaar. De frequentie waarmee men zegt wel eens </w:t>
      </w:r>
      <w:r w:rsidRPr="00784870">
        <w:lastRenderedPageBreak/>
        <w:t>zwerfafval te zien</w:t>
      </w:r>
      <w:r w:rsidR="00B322F9">
        <w:t>,</w:t>
      </w:r>
      <w:r w:rsidRPr="00784870">
        <w:t xml:space="preserve"> is daarentegen significant gedaald. Het volledige onderzoeksrapport vindt u als bijlage bij deze brief.</w:t>
      </w:r>
    </w:p>
    <w:p w:rsidR="00784870" w:rsidP="00784870" w:rsidRDefault="00784870" w14:paraId="091EE6B4" w14:textId="77777777">
      <w:pPr>
        <w:rPr>
          <w:b/>
          <w:bCs/>
        </w:rPr>
      </w:pPr>
    </w:p>
    <w:p w:rsidR="00784870" w:rsidP="00784870" w:rsidRDefault="00784870" w14:paraId="72114B8C" w14:textId="1D0A5123">
      <w:pPr>
        <w:rPr>
          <w:b/>
          <w:bCs/>
        </w:rPr>
      </w:pPr>
      <w:r w:rsidRPr="00784870">
        <w:rPr>
          <w:b/>
          <w:bCs/>
        </w:rPr>
        <w:t>Zwerfafval monitoring dr</w:t>
      </w:r>
      <w:r w:rsidR="00D96708">
        <w:rPr>
          <w:b/>
          <w:bCs/>
        </w:rPr>
        <w:t>a</w:t>
      </w:r>
      <w:r w:rsidRPr="00784870">
        <w:rPr>
          <w:b/>
          <w:bCs/>
        </w:rPr>
        <w:t>nkverpakkingen</w:t>
      </w:r>
    </w:p>
    <w:p w:rsidRPr="0079477F" w:rsidR="0079477F" w:rsidP="0079477F" w:rsidRDefault="0079477F" w14:paraId="54C21C53" w14:textId="3D9A4A29">
      <w:r w:rsidRPr="0079477F">
        <w:t>Bij deze brief treft u de rapportage aan over de monitoring van drankverpakkingen in het zwerfafval</w:t>
      </w:r>
      <w:r>
        <w:t xml:space="preserve"> </w:t>
      </w:r>
      <w:r w:rsidR="00465B1F">
        <w:t xml:space="preserve">uitgevoerd </w:t>
      </w:r>
      <w:r>
        <w:t>door Rijkswaterstaat.</w:t>
      </w:r>
      <w:r w:rsidRPr="0079477F">
        <w:t xml:space="preserve"> Uit de zwerfafvalmonitoring blijkt dat blikjes (5%), plastic flessen (1,4%) en drankenkartons (1%) samen 7,4% van het </w:t>
      </w:r>
      <w:r w:rsidR="00F240D7">
        <w:t xml:space="preserve">totale </w:t>
      </w:r>
      <w:r w:rsidRPr="0079477F">
        <w:t xml:space="preserve">verpakkingenzwerfafval </w:t>
      </w:r>
      <w:r w:rsidR="00F240D7">
        <w:t>waren</w:t>
      </w:r>
      <w:r w:rsidRPr="0079477F" w:rsidR="00F240D7">
        <w:t xml:space="preserve"> </w:t>
      </w:r>
      <w:r w:rsidRPr="0079477F">
        <w:t>in 2024.</w:t>
      </w:r>
    </w:p>
    <w:p w:rsidRPr="0079477F" w:rsidR="0079477F" w:rsidP="0079477F" w:rsidRDefault="0079477F" w14:paraId="35C58ABF" w14:textId="77777777"/>
    <w:p w:rsidRPr="0079477F" w:rsidR="0079477F" w:rsidP="0079477F" w:rsidRDefault="0079477F" w14:paraId="76689F1E" w14:textId="172C13DF">
      <w:r w:rsidRPr="0079477F">
        <w:t xml:space="preserve">De monitoring van de drankverpakkingen focust zich specifiek op plastic flessen, blikjes en drankenkartons. Uit deze monitoring blijkt dat er veel minder plastic flessen en blikjes in het zwerfafval gevonden worden. Er zijn 69% minder plastic flessen gevonden in het zwerfafval ten opzichte van 2020 (het laatste jaar voor statiegeld op plastic flesjes). Daarnaast zijn er 70% minder blikjes gevonden ten opzichte van 2022 (het laatste jaar voor statiegeld op blik). Tot slot blijft het aantal gevonden drankenkartons stabiel.  </w:t>
      </w:r>
    </w:p>
    <w:p w:rsidRPr="0079477F" w:rsidR="0079477F" w:rsidP="0079477F" w:rsidRDefault="0079477F" w14:paraId="26AD4B05" w14:textId="77777777"/>
    <w:p w:rsidRPr="0079477F" w:rsidR="0079477F" w:rsidP="0079477F" w:rsidRDefault="00F240D7" w14:paraId="6123C1E0" w14:textId="1A6B922B">
      <w:r>
        <w:t>Op basis van deze monitoring wordt geconcludeerd dat s</w:t>
      </w:r>
      <w:r w:rsidRPr="0079477F" w:rsidR="0079477F">
        <w:t xml:space="preserve">tatiegeld tot een sterke afname van het aantal blikjes en </w:t>
      </w:r>
      <w:r>
        <w:t xml:space="preserve">plastic </w:t>
      </w:r>
      <w:r w:rsidRPr="0079477F" w:rsidR="0079477F">
        <w:t xml:space="preserve">flessen </w:t>
      </w:r>
      <w:r>
        <w:t xml:space="preserve">leidt </w:t>
      </w:r>
      <w:r w:rsidRPr="0079477F" w:rsidR="0079477F">
        <w:t xml:space="preserve">in het zwerfafval. </w:t>
      </w:r>
    </w:p>
    <w:p w:rsidR="00F73242" w:rsidP="007456A2" w:rsidRDefault="00F73242" w14:paraId="15CBB88D" w14:textId="77777777"/>
    <w:p w:rsidR="00F73242" w:rsidP="007456A2" w:rsidRDefault="00F73242" w14:paraId="4A996667" w14:textId="7D1A39AD">
      <w:r>
        <w:rPr>
          <w:b/>
          <w:bCs/>
        </w:rPr>
        <w:t>Tariefdifferentiatie op zwerfafvalrisico</w:t>
      </w:r>
    </w:p>
    <w:p w:rsidR="00F73242" w:rsidP="007456A2" w:rsidRDefault="00F73242" w14:paraId="48DEDDCA" w14:textId="5C975E05">
      <w:r w:rsidRPr="00F73242">
        <w:t xml:space="preserve">Tijdens het </w:t>
      </w:r>
      <w:r w:rsidR="003B735D">
        <w:t>c</w:t>
      </w:r>
      <w:r w:rsidRPr="00F73242">
        <w:t xml:space="preserve">ommissiedebat Circulaire Economie </w:t>
      </w:r>
      <w:r w:rsidR="003B735D">
        <w:t>van</w:t>
      </w:r>
      <w:r w:rsidRPr="00F73242">
        <w:t xml:space="preserve"> 19 december jl. </w:t>
      </w:r>
      <w:r w:rsidR="00054B30">
        <w:t>is de toezegging</w:t>
      </w:r>
      <w:r w:rsidR="006A669C">
        <w:rPr>
          <w:rStyle w:val="FootnoteReference"/>
        </w:rPr>
        <w:footnoteReference w:id="1"/>
      </w:r>
      <w:r w:rsidR="00054B30">
        <w:t xml:space="preserve"> </w:t>
      </w:r>
      <w:r w:rsidR="006A669C">
        <w:t xml:space="preserve">aan dhr. Gabriëls </w:t>
      </w:r>
      <w:r w:rsidR="00054B30">
        <w:t xml:space="preserve">gedaan om de Kamer te informeren over </w:t>
      </w:r>
      <w:r w:rsidRPr="00F73242">
        <w:t>de mogelijkheden om tariefdifferentiatie op basis van</w:t>
      </w:r>
      <w:r>
        <w:t xml:space="preserve"> </w:t>
      </w:r>
      <w:r w:rsidRPr="00F73242">
        <w:t xml:space="preserve">zwerfafvalrisico voor te schrijven in </w:t>
      </w:r>
      <w:r>
        <w:t xml:space="preserve">de uitgebreide producentenverantwoordelijkheid (hierna: </w:t>
      </w:r>
      <w:r w:rsidRPr="00F73242">
        <w:t>UPV</w:t>
      </w:r>
      <w:r>
        <w:t>).</w:t>
      </w:r>
    </w:p>
    <w:p w:rsidR="00F73242" w:rsidP="007456A2" w:rsidRDefault="00F73242" w14:paraId="0455BAAF" w14:textId="77777777"/>
    <w:p w:rsidR="00F73242" w:rsidP="007456A2" w:rsidRDefault="003B735D" w14:paraId="5B0FA9D9" w14:textId="7FDA7495">
      <w:r>
        <w:t xml:space="preserve">In het kader van de doorontwikkeling van het instrument UPV wordt op dit moment onderzoek gedaan naar </w:t>
      </w:r>
      <w:r w:rsidRPr="00F73242" w:rsidR="00F73242">
        <w:t xml:space="preserve">hoe het instrument, inclusief het aspect </w:t>
      </w:r>
      <w:r>
        <w:t xml:space="preserve">van </w:t>
      </w:r>
      <w:r w:rsidRPr="00F73242" w:rsidR="00F73242">
        <w:t>tariefdifferentiatie, het beste aangepast kan worden zodat het maximaal bijdraagt aan circulariteit. Het onderzoek kijkt naar het instrument als geheel, niet naar specifieke productgroepen. Het doel is het verder vullen van de UPV</w:t>
      </w:r>
      <w:r w:rsidR="00F240D7">
        <w:t>-</w:t>
      </w:r>
      <w:r w:rsidRPr="00F73242" w:rsidR="00F73242">
        <w:t xml:space="preserve">gereedschapskist, zodat het daarna toegepast kan worden op de </w:t>
      </w:r>
      <w:r w:rsidR="00B322F9">
        <w:t xml:space="preserve">verschillende </w:t>
      </w:r>
      <w:r w:rsidRPr="00F73242" w:rsidR="00F73242">
        <w:t>specifieke productgroepen</w:t>
      </w:r>
      <w:r w:rsidR="006A669C">
        <w:t>, zodat per productgroep gekeken kan worden wat werkt en proportioneel is</w:t>
      </w:r>
      <w:r w:rsidRPr="00F73242" w:rsidR="00F73242">
        <w:t>. Dit onderzoek zal dus antwoord geven</w:t>
      </w:r>
      <w:r>
        <w:t xml:space="preserve"> op de vraag</w:t>
      </w:r>
      <w:r w:rsidRPr="00F73242" w:rsidR="00F73242">
        <w:t xml:space="preserve"> of het mogelijk is om tariefdifferentiatie op basis van zwerfafvalrisico toe te passen</w:t>
      </w:r>
      <w:r w:rsidR="001760CB">
        <w:t>.</w:t>
      </w:r>
      <w:r w:rsidRPr="001760CB" w:rsidR="001760CB">
        <w:rPr>
          <w:i/>
          <w:iCs/>
          <w:color w:val="1F497D"/>
          <w:highlight w:val="yellow"/>
          <w:lang w:eastAsia="en-US"/>
        </w:rPr>
        <w:t xml:space="preserve"> </w:t>
      </w:r>
      <w:r w:rsidRPr="0097033A" w:rsidR="001760CB">
        <w:t>Vervolgens kan bezien worden of en hoe dit voor verpakkingen onderdeel kan zijn van de optimale mix aan UPV verplichtingen. Op dit moment wordt al uitvoering gegeven aan de UPV zwerfafval, op basis waarvan producenten van bepaalde kunststofproducten voor eenmalig gebruik moeten bijdragen aan de kosten van het opruimen van het zwerfafval dat daarvan afkomstig is.</w:t>
      </w:r>
      <w:r w:rsidRPr="00F73242" w:rsidR="00F73242">
        <w:t xml:space="preserve"> </w:t>
      </w:r>
    </w:p>
    <w:p w:rsidR="003B735D" w:rsidP="007456A2" w:rsidRDefault="003B735D" w14:paraId="0D622A5D" w14:textId="77777777"/>
    <w:p w:rsidR="003B735D" w:rsidP="003B735D" w:rsidRDefault="00DE1EFE" w14:paraId="6C768FFD" w14:textId="105B2209">
      <w:r>
        <w:t>D</w:t>
      </w:r>
      <w:r w:rsidRPr="00F73242" w:rsidR="003B735D">
        <w:t xml:space="preserve">e Kamer </w:t>
      </w:r>
      <w:r>
        <w:t xml:space="preserve">wordt </w:t>
      </w:r>
      <w:r w:rsidRPr="00F73242" w:rsidR="003B735D">
        <w:t xml:space="preserve">na de zomer </w:t>
      </w:r>
      <w:r>
        <w:t>geïnformeerd</w:t>
      </w:r>
      <w:r w:rsidRPr="00F73242">
        <w:t xml:space="preserve"> </w:t>
      </w:r>
      <w:r w:rsidRPr="00F73242" w:rsidR="003B735D">
        <w:t xml:space="preserve">over de bevindingen en de voortgang van het doorontwikkeltraject, evenals de verdere planning. </w:t>
      </w:r>
      <w:r w:rsidR="003B735D">
        <w:t>Hierin zullen ook de bevindingen van het genoemde onderzoek worden meegenomen.</w:t>
      </w:r>
    </w:p>
    <w:p w:rsidR="003B735D" w:rsidP="003B735D" w:rsidRDefault="003B735D" w14:paraId="1B7EBF4B" w14:textId="77777777"/>
    <w:p w:rsidRPr="0095174F" w:rsidR="00784870" w:rsidP="00784870" w:rsidRDefault="00784870" w14:paraId="1C8C3605" w14:textId="77777777">
      <w:pPr>
        <w:rPr>
          <w:b/>
          <w:bCs/>
        </w:rPr>
      </w:pPr>
      <w:r w:rsidRPr="0095174F">
        <w:rPr>
          <w:b/>
          <w:bCs/>
        </w:rPr>
        <w:t>Opvolging aangenomen moties omtrent regelgeving kunststofproducten voor eenmalig gebruik</w:t>
      </w:r>
    </w:p>
    <w:p w:rsidR="0095174F" w:rsidP="0095174F" w:rsidRDefault="0095174F" w14:paraId="0996F5D5" w14:textId="248E1982">
      <w:r w:rsidRPr="0095174F">
        <w:t>Op 11 maart heeft de Kamer drie moties aangenomen omtrent de regelgeving die geldt voor eenmalige bekers en bakjes die plastic bevatten</w:t>
      </w:r>
      <w:r w:rsidR="00216E45">
        <w:t>, in het kader van de Europese Single-Use Plastics Richtlijn. Op 18 maart is nog een motie aangenomen over vochtige doekjes, die ook samenhan</w:t>
      </w:r>
      <w:r w:rsidR="00AC3484">
        <w:t>gt met deze Europese Richtlijn.</w:t>
      </w:r>
      <w:r w:rsidRPr="0095174F">
        <w:t xml:space="preserve"> </w:t>
      </w:r>
      <w:r w:rsidR="00216E45">
        <w:t xml:space="preserve">Hieronder ga ik </w:t>
      </w:r>
      <w:r w:rsidR="00DE1EFE">
        <w:t xml:space="preserve">op verzoek van de vaste Kamercommissie van IenW </w:t>
      </w:r>
      <w:r w:rsidR="00216E45">
        <w:t>in op de opvolging van deze moties</w:t>
      </w:r>
      <w:r w:rsidR="00AC3484">
        <w:t>.</w:t>
      </w:r>
    </w:p>
    <w:p w:rsidR="00050DBB" w:rsidP="0095174F" w:rsidRDefault="00050DBB" w14:paraId="05045ACD" w14:textId="77777777"/>
    <w:p w:rsidR="0095174F" w:rsidP="0095174F" w:rsidRDefault="0095174F" w14:paraId="5B30F107" w14:textId="4B11CD78">
      <w:r w:rsidRPr="0095174F">
        <w:t xml:space="preserve">Om uitvoering te geven aan de motie Boutkan over onderzoek naar de daadwerkelijke duurzaamheid van bekers met een plastic </w:t>
      </w:r>
      <w:r w:rsidRPr="0095174F" w:rsidR="00336CE7">
        <w:t>coating</w:t>
      </w:r>
      <w:r w:rsidR="00295F05">
        <w:rPr>
          <w:rStyle w:val="FootnoteReference"/>
        </w:rPr>
        <w:footnoteReference w:id="2"/>
      </w:r>
      <w:r w:rsidRPr="0095174F" w:rsidR="00336CE7">
        <w:t xml:space="preserve"> zal</w:t>
      </w:r>
      <w:r w:rsidRPr="0095174F">
        <w:t xml:space="preserve"> het kabinet onafhankelijk onderzoek laten uitvoeren waarin vanuit milieuoogpunt een vergelijking gemaakt wordt tussen eenmalige bekers met een plastic coating en herbruikbare bekers. Het kabinet verwacht het rapport voor het einde van het jaar naar de Kamer te sturen. </w:t>
      </w:r>
      <w:r w:rsidR="00364115">
        <w:t>D</w:t>
      </w:r>
      <w:r w:rsidRPr="0095174F">
        <w:t xml:space="preserve">e uitvoerders van het onderzoek </w:t>
      </w:r>
      <w:r w:rsidR="00364115">
        <w:t xml:space="preserve">zullen worden verzocht </w:t>
      </w:r>
      <w:r w:rsidRPr="0095174F">
        <w:t>voort te bouwen op het onderzoek dat al</w:t>
      </w:r>
      <w:r w:rsidR="00AC3484">
        <w:t xml:space="preserve"> is</w:t>
      </w:r>
      <w:r w:rsidRPr="0095174F">
        <w:t xml:space="preserve"> gedaan. Zo heeft </w:t>
      </w:r>
      <w:r w:rsidR="00DE1EFE">
        <w:t xml:space="preserve">onderzoeksbureau </w:t>
      </w:r>
      <w:r w:rsidRPr="0095174F">
        <w:t xml:space="preserve">CE Delft in maart 2023 </w:t>
      </w:r>
      <w:r w:rsidRPr="0095174F" w:rsidR="00364115">
        <w:t xml:space="preserve">in opdracht van het ministerie van IenW </w:t>
      </w:r>
      <w:r w:rsidR="00AC3484">
        <w:t xml:space="preserve">onderzoek gedaan, wat heeft geresulteerd in </w:t>
      </w:r>
      <w:r w:rsidRPr="0095174F">
        <w:t>het rapport ‘LCA voor beleidsmakers met casestudie over bekers’</w:t>
      </w:r>
      <w:r w:rsidR="00295F05">
        <w:rPr>
          <w:rStyle w:val="FootnoteReference"/>
        </w:rPr>
        <w:footnoteReference w:id="3"/>
      </w:r>
      <w:r>
        <w:t>.</w:t>
      </w:r>
    </w:p>
    <w:p w:rsidRPr="0095174F" w:rsidR="0095174F" w:rsidP="0095174F" w:rsidRDefault="0095174F" w14:paraId="7F6192E3" w14:textId="462381A2">
      <w:r w:rsidRPr="0095174F">
        <w:t xml:space="preserve">   </w:t>
      </w:r>
    </w:p>
    <w:p w:rsidR="0095174F" w:rsidP="0095174F" w:rsidRDefault="0095174F" w14:paraId="5D4D1C9A" w14:textId="7A3A8D6C">
      <w:r w:rsidRPr="0095174F">
        <w:t>Om de motie Buijsse c.s. over de meerprijs voor plastic bakjes en bekers</w:t>
      </w:r>
      <w:r w:rsidR="00295F05">
        <w:rPr>
          <w:rStyle w:val="FootnoteReference"/>
        </w:rPr>
        <w:footnoteReference w:id="4"/>
      </w:r>
      <w:r w:rsidR="00AC3484">
        <w:t xml:space="preserve"> uit te voeren</w:t>
      </w:r>
      <w:r w:rsidRPr="0095174F" w:rsidR="00336CE7">
        <w:t>,</w:t>
      </w:r>
      <w:r w:rsidRPr="0095174F">
        <w:t xml:space="preserve"> zal het kabinet bij de wijziging van de Regeling kunststofproducten voor eenmalig gebruik</w:t>
      </w:r>
      <w:r w:rsidR="00AC3484">
        <w:t>,</w:t>
      </w:r>
      <w:r w:rsidRPr="0095174F">
        <w:t xml:space="preserve"> de verplichte meerprijs voor eenmalige bekers en bakjes die plastic bevatten bij consumptie onderweg uit de regelgeving </w:t>
      </w:r>
      <w:r w:rsidR="00AC3484">
        <w:t>verwijderen</w:t>
      </w:r>
      <w:r w:rsidRPr="0095174F">
        <w:t xml:space="preserve">. Deze wijziging van de Regeling is bij de Kamer aangekondigd in de Kamerbrief over de evaluatie en moties Regeling kunststofproducten voor eenmalig gebruik d.d. 13 december </w:t>
      </w:r>
      <w:r w:rsidRPr="0095174F" w:rsidR="00336CE7">
        <w:t>2024.</w:t>
      </w:r>
      <w:r w:rsidR="00CB75D7">
        <w:t xml:space="preserve"> Het streven is dat de wijzigingen per 1 januari 2026 van kracht zijn.</w:t>
      </w:r>
      <w:r w:rsidRPr="0095174F">
        <w:t xml:space="preserve"> Zoals aangegeven in deze brief, is de handhaving door de Inspectie Leefomgeving en Transport (ILT) </w:t>
      </w:r>
      <w:r w:rsidR="00AC3484">
        <w:t>al eerder</w:t>
      </w:r>
      <w:r w:rsidRPr="0095174F">
        <w:t xml:space="preserve"> aangepast</w:t>
      </w:r>
      <w:r w:rsidR="00CC60D4">
        <w:t>,</w:t>
      </w:r>
      <w:r w:rsidRPr="0095174F">
        <w:t xml:space="preserve"> </w:t>
      </w:r>
      <w:r w:rsidR="00AC3484">
        <w:t>waardoor de huidige handhaving al overeenkomt</w:t>
      </w:r>
      <w:r w:rsidRPr="0095174F">
        <w:t xml:space="preserve"> met het verzoek in de motie Buijsse c.s. Op dit moment wordt er dus niet gehandhaafd op de verplichte meerprijs. </w:t>
      </w:r>
    </w:p>
    <w:p w:rsidRPr="0095174F" w:rsidR="0095174F" w:rsidP="0095174F" w:rsidRDefault="0095174F" w14:paraId="0A2A8254" w14:textId="77777777"/>
    <w:p w:rsidRPr="0095174F" w:rsidR="0095174F" w:rsidP="0095174F" w:rsidRDefault="0095174F" w14:paraId="724F2FCF" w14:textId="604416E2">
      <w:r w:rsidRPr="0095174F">
        <w:t xml:space="preserve">Met betrekking tot de motie Buijsse over papieren bekers en bakjes met plastic coating </w:t>
      </w:r>
      <w:r w:rsidRPr="0095174F" w:rsidR="00336CE7">
        <w:t>toestaan</w:t>
      </w:r>
      <w:r w:rsidR="00295F05">
        <w:rPr>
          <w:rStyle w:val="FootnoteReference"/>
        </w:rPr>
        <w:footnoteReference w:id="5"/>
      </w:r>
      <w:r w:rsidRPr="0095174F" w:rsidR="00336CE7">
        <w:t>,</w:t>
      </w:r>
      <w:r w:rsidRPr="0095174F">
        <w:t xml:space="preserve"> is tijdens het tweeminutendebat Circulaire Economie op 6 maart jl. aangegeven dat het kabinet deze motie in de praktijk niet uitvoerbaar acht. Het verzoek in de motie is niet handhaafbaar voor de ILT</w:t>
      </w:r>
      <w:r w:rsidR="006B511F">
        <w:t xml:space="preserve"> en brengt</w:t>
      </w:r>
      <w:r w:rsidRPr="0095174F">
        <w:t xml:space="preserve"> het realiseren van de Europese verplichting om minder plastic wegwerpbekers en -bakjes te gebruiken serieus in gevaar</w:t>
      </w:r>
      <w:r w:rsidR="007D412B">
        <w:t>, t</w:t>
      </w:r>
      <w:r w:rsidRPr="007D412B" w:rsidR="007D412B">
        <w:t>erwijl Nederland die verplichting wel na moet komen</w:t>
      </w:r>
      <w:r w:rsidRPr="0095174F">
        <w:t xml:space="preserve">. Om die reden heeft het kabinet de motie ontraden. Het kabinet zal zich komende tijd beraden op opvolging van deze motie en de Kamer hier op een later moment, </w:t>
      </w:r>
      <w:r w:rsidR="006B511F">
        <w:t xml:space="preserve">maar </w:t>
      </w:r>
      <w:r w:rsidRPr="0095174F">
        <w:t xml:space="preserve">niet vóór het commissiedebat Circulaire Economie op 16 april, over informeren. </w:t>
      </w:r>
    </w:p>
    <w:p w:rsidR="007770E8" w:rsidP="0095174F" w:rsidRDefault="007770E8" w14:paraId="4DDF2085" w14:textId="77777777"/>
    <w:p w:rsidR="00A92FEF" w:rsidP="0095174F" w:rsidRDefault="0095174F" w14:paraId="16D09A08" w14:textId="5E9D2E3F">
      <w:r w:rsidRPr="0095174F">
        <w:t>Aanvullend heeft de Kamer op 18 maart een motie aangenomen die het kabinet oproept om bij de herziening van de Europese Richtlijn inzake bepaalde kunststofproducten voor eenmalig gebruik</w:t>
      </w:r>
      <w:r w:rsidR="0097619D">
        <w:t xml:space="preserve"> (de Single-Use Plastics Richtlijn),</w:t>
      </w:r>
      <w:r w:rsidRPr="0095174F">
        <w:t xml:space="preserve"> niet te pleiten voor een verbod op plastic in vochtige doekjes</w:t>
      </w:r>
      <w:r w:rsidR="00295F05">
        <w:rPr>
          <w:rStyle w:val="FootnoteReference"/>
        </w:rPr>
        <w:footnoteReference w:id="6"/>
      </w:r>
      <w:r w:rsidRPr="0095174F">
        <w:t>.</w:t>
      </w:r>
    </w:p>
    <w:p w:rsidRPr="0095174F" w:rsidR="0095174F" w:rsidP="0095174F" w:rsidRDefault="0095174F" w14:paraId="3FE19A7A" w14:textId="2852C6A7">
      <w:r w:rsidRPr="0095174F">
        <w:t xml:space="preserve"> </w:t>
      </w:r>
    </w:p>
    <w:p w:rsidR="0095174F" w:rsidP="0095174F" w:rsidRDefault="0095174F" w14:paraId="589F9147" w14:textId="22D5728D">
      <w:r w:rsidRPr="0095174F">
        <w:t xml:space="preserve">Deze motie </w:t>
      </w:r>
      <w:r w:rsidR="00F55555">
        <w:t>is</w:t>
      </w:r>
      <w:r w:rsidRPr="0095174F" w:rsidR="00F55555">
        <w:t xml:space="preserve"> </w:t>
      </w:r>
      <w:r w:rsidRPr="0095174F">
        <w:t xml:space="preserve">bij het tweeminutendebat </w:t>
      </w:r>
      <w:r w:rsidR="00AC3484">
        <w:t>C</w:t>
      </w:r>
      <w:r w:rsidRPr="0095174F">
        <w:t xml:space="preserve">irculaire </w:t>
      </w:r>
      <w:r w:rsidR="00AC3484">
        <w:t>E</w:t>
      </w:r>
      <w:r w:rsidRPr="0095174F">
        <w:t>conomie van 6 maart door het kabinet ontraden, omdat het rapport dat ten grondslag ligt aan de petitie</w:t>
      </w:r>
      <w:r w:rsidR="00A92FEF">
        <w:t xml:space="preserve"> van Stichting RIONED</w:t>
      </w:r>
      <w:r w:rsidRPr="0095174F">
        <w:t xml:space="preserve"> helder onderbouwt dat de maatschappelijke kosten als gevolg van kunststof bevattende vochtige doekjes die in het rioolsysteem belanden en daar verstoppingen veroorzaken, jaarlijks 22 tot 26 miljoen euro bedragen. </w:t>
      </w:r>
      <w:r w:rsidR="00050DBB">
        <w:t>Ook is het technisch goed mogelijk om vochtige doekjes zonder plastic te produceren</w:t>
      </w:r>
      <w:r w:rsidRPr="0095174F">
        <w:t xml:space="preserve">. Verder </w:t>
      </w:r>
      <w:r w:rsidR="00585A0D">
        <w:t>is</w:t>
      </w:r>
      <w:r w:rsidRPr="0095174F">
        <w:t xml:space="preserve"> tijdens het tweeminutendebat aangegeven </w:t>
      </w:r>
      <w:r w:rsidR="00585A0D">
        <w:t>dat er geen</w:t>
      </w:r>
      <w:r w:rsidRPr="0095174F">
        <w:t xml:space="preserve"> intentie </w:t>
      </w:r>
      <w:r w:rsidR="00585A0D">
        <w:t>is</w:t>
      </w:r>
      <w:r w:rsidRPr="0095174F">
        <w:t xml:space="preserve"> om een nationaal verbod in te stellen, ook niet in het geval een Europees verbod niet haalbaar zou blijken. Er is dan ook geen sprake van een </w:t>
      </w:r>
      <w:r w:rsidR="00A92FEF">
        <w:t xml:space="preserve">mogelijke </w:t>
      </w:r>
      <w:r w:rsidRPr="0095174F">
        <w:t>nationale kop.</w:t>
      </w:r>
    </w:p>
    <w:p w:rsidRPr="0095174F" w:rsidR="0095174F" w:rsidP="0095174F" w:rsidRDefault="0095174F" w14:paraId="337E40D5" w14:textId="77777777"/>
    <w:p w:rsidRPr="0095174F" w:rsidR="00DA3BE4" w:rsidP="0095174F" w:rsidRDefault="0095174F" w14:paraId="26260628" w14:textId="4A0C1FFA">
      <w:r w:rsidRPr="0095174F">
        <w:t>Hoewel de overwegingen van de motie dus niet herkend worden door het kabinet, zal uitvoering worden geven aan de motie</w:t>
      </w:r>
      <w:r w:rsidR="00F55555">
        <w:t>. B</w:t>
      </w:r>
      <w:r w:rsidR="00A92FEF">
        <w:t xml:space="preserve">ij de </w:t>
      </w:r>
      <w:r w:rsidRPr="0095174F" w:rsidR="00A92FEF">
        <w:t xml:space="preserve">herziening van de Europese </w:t>
      </w:r>
      <w:r w:rsidR="00A92FEF">
        <w:t xml:space="preserve">Single-Use Plastics </w:t>
      </w:r>
      <w:r w:rsidRPr="0095174F" w:rsidR="00A92FEF">
        <w:t>Richtlijn</w:t>
      </w:r>
      <w:r w:rsidR="00A92FEF">
        <w:t xml:space="preserve"> </w:t>
      </w:r>
      <w:r w:rsidR="00F55555">
        <w:t>zal het kabinet daarom niet pleiten voor een verbod, maar wel aangeven dat aanvullende maatregelen nodig zijn.</w:t>
      </w:r>
    </w:p>
    <w:p w:rsidR="00DA3BE4" w:rsidP="00784870" w:rsidRDefault="00DA3BE4" w14:paraId="3A020214" w14:textId="77777777">
      <w:pPr>
        <w:rPr>
          <w:b/>
          <w:bCs/>
        </w:rPr>
      </w:pPr>
    </w:p>
    <w:p w:rsidR="00784870" w:rsidP="00784870" w:rsidRDefault="00784870" w14:paraId="4A01108B" w14:textId="1BC6F06B">
      <w:pPr>
        <w:rPr>
          <w:b/>
          <w:bCs/>
        </w:rPr>
      </w:pPr>
      <w:r w:rsidRPr="00784870">
        <w:rPr>
          <w:b/>
          <w:bCs/>
        </w:rPr>
        <w:t>Juridische verkenning reclameverbod wegwerpproducten</w:t>
      </w:r>
    </w:p>
    <w:p w:rsidRPr="00DA3BE4" w:rsidR="00DA3BE4" w:rsidP="00DA3BE4" w:rsidRDefault="00DA3BE4" w14:paraId="47865402" w14:textId="6B2860CF">
      <w:r w:rsidRPr="00DA3BE4">
        <w:t xml:space="preserve">Tijdens het </w:t>
      </w:r>
      <w:r w:rsidR="00E143A4">
        <w:t>c</w:t>
      </w:r>
      <w:r w:rsidRPr="00DA3BE4">
        <w:t xml:space="preserve">ommissiedebat Circulaire Economie </w:t>
      </w:r>
      <w:r w:rsidR="00E143A4">
        <w:t>van</w:t>
      </w:r>
      <w:r w:rsidRPr="00DA3BE4">
        <w:t xml:space="preserve"> 19 december jl. </w:t>
      </w:r>
      <w:r w:rsidR="00E143A4">
        <w:t>is de toezegging</w:t>
      </w:r>
      <w:r w:rsidR="004A002E">
        <w:rPr>
          <w:rStyle w:val="FootnoteReference"/>
        </w:rPr>
        <w:footnoteReference w:id="7"/>
      </w:r>
      <w:r w:rsidR="00E143A4">
        <w:t xml:space="preserve"> </w:t>
      </w:r>
      <w:r w:rsidR="004A002E">
        <w:t>aan lid Kosti</w:t>
      </w:r>
      <w:r w:rsidRPr="004E1BE6" w:rsidR="004E1BE6">
        <w:t>ć</w:t>
      </w:r>
      <w:r w:rsidR="004A002E">
        <w:t xml:space="preserve"> </w:t>
      </w:r>
      <w:r w:rsidR="00E143A4">
        <w:t>gedaan om</w:t>
      </w:r>
      <w:r w:rsidRPr="00DA3BE4">
        <w:t xml:space="preserve"> te verkennen via welke juridische route een verbod op reclame voor wegwerpproducten </w:t>
      </w:r>
      <w:r w:rsidR="003B478D">
        <w:t xml:space="preserve">eventueel </w:t>
      </w:r>
      <w:r w:rsidRPr="00DA3BE4">
        <w:t>mogelijk is</w:t>
      </w:r>
      <w:r w:rsidR="006E1DDB">
        <w:t>.</w:t>
      </w:r>
      <w:r w:rsidRPr="00DA3BE4">
        <w:t xml:space="preserve"> Hierbij wordt invulling gegeven aan die toezegging.</w:t>
      </w:r>
    </w:p>
    <w:p w:rsidR="00DA3BE4" w:rsidP="00DA3BE4" w:rsidRDefault="00DA3BE4" w14:paraId="7A8A8C30" w14:textId="77777777"/>
    <w:p w:rsidR="00DA3BE4" w:rsidP="00DA3BE4" w:rsidRDefault="00DA3BE4" w14:paraId="0751A7A6" w14:textId="74A3EC9A">
      <w:r w:rsidRPr="00DA3BE4">
        <w:t>Uitgaande van de Kamerbrief</w:t>
      </w:r>
      <w:r w:rsidRPr="00DA3BE4">
        <w:rPr>
          <w:vertAlign w:val="superscript"/>
        </w:rPr>
        <w:footnoteReference w:id="8"/>
      </w:r>
      <w:r w:rsidRPr="00DA3BE4">
        <w:t xml:space="preserve"> van minister Hermans (KGG) over fossiele reclames is een reclameverbod juridisch niet uitgesloten, maar stuit </w:t>
      </w:r>
      <w:r w:rsidR="0090074B">
        <w:t xml:space="preserve">dit wel </w:t>
      </w:r>
      <w:r w:rsidRPr="00DA3BE4">
        <w:t>op substantiële uitdagingen. Net als bij fossiele producten is de begripsafbakening van 'wegwerpproducten'</w:t>
      </w:r>
      <w:r w:rsidRPr="00DA3BE4">
        <w:rPr>
          <w:vertAlign w:val="superscript"/>
        </w:rPr>
        <w:footnoteReference w:id="9"/>
      </w:r>
      <w:r w:rsidRPr="00DA3BE4">
        <w:t xml:space="preserve"> niet eenduidig, waardoor die onvoldoende afbakening biedt voor een eventueel reclameverbod. Daarnaast vereist een verbod een overtuigende onderbouwing van effectiviteit en proportionaliteit in relatie tot de inperking van het vrije verkeer van diensten en de vrijheid van meningsuiting. </w:t>
      </w:r>
    </w:p>
    <w:p w:rsidRPr="00DA3BE4" w:rsidR="00DA3BE4" w:rsidP="00DA3BE4" w:rsidRDefault="00DA3BE4" w14:paraId="6139288A" w14:textId="77777777"/>
    <w:p w:rsidR="00DA3BE4" w:rsidP="00DA3BE4" w:rsidRDefault="00DA3BE4" w14:paraId="62993364" w14:textId="0F5EAE5B">
      <w:r w:rsidRPr="00DA3BE4">
        <w:t>Onderzoek naar andere reclameverboden suggereert dat een dergelijk verbod consumptie kan beïnvloeden.</w:t>
      </w:r>
      <w:r w:rsidRPr="00DA3BE4">
        <w:rPr>
          <w:vertAlign w:val="superscript"/>
        </w:rPr>
        <w:footnoteReference w:id="10"/>
      </w:r>
      <w:r w:rsidRPr="00DA3BE4">
        <w:t xml:space="preserve"> Een fossiel reclameverbod kan, volgens wetenschappelijk advies en in samenhang met een breder maatregelenpakket, ingezet worden om overconsumptie tegen te gaan</w:t>
      </w:r>
      <w:r w:rsidRPr="00DA3BE4">
        <w:rPr>
          <w:vertAlign w:val="superscript"/>
        </w:rPr>
        <w:footnoteReference w:id="11"/>
      </w:r>
      <w:r w:rsidR="00E12735">
        <w:t>.</w:t>
      </w:r>
      <w:r w:rsidRPr="00DA3BE4">
        <w:t xml:space="preserve"> Dit is echter cijfermatig nog onvoldoende onderbouwd. Gemeentelijke pilots</w:t>
      </w:r>
      <w:r w:rsidR="00370F79">
        <w:t xml:space="preserve"> (</w:t>
      </w:r>
      <w:r w:rsidR="003B478D">
        <w:t xml:space="preserve">die dit jaar worden </w:t>
      </w:r>
      <w:r w:rsidR="00370F79">
        <w:t xml:space="preserve">uitgevoerd door </w:t>
      </w:r>
      <w:r w:rsidR="003B478D">
        <w:t>Rijkswaterstaat</w:t>
      </w:r>
      <w:r w:rsidR="00370F79">
        <w:t>)</w:t>
      </w:r>
      <w:r w:rsidRPr="00DA3BE4">
        <w:t xml:space="preserve"> kunnen hier meer inzicht in geven. Daarnaast zijn de vorm en inhoud van flankerend beleid niet voldoende in kaart gebracht. Ook alternatieve beleidsroutes, zoals positief stimuleringsbeleid, zijn nog niet voldoende duidelijk. Het Ministerie van KGG zal in het kader van het Klimaatplan onderzoeken wat nodig is om via flankerend beleid duurzame keuzes voor de consument goedkoper, makkelijker en comfortabeler te maken. Hier </w:t>
      </w:r>
      <w:r w:rsidR="00A41BF0">
        <w:t>is het ministerie van</w:t>
      </w:r>
      <w:r w:rsidRPr="00DA3BE4">
        <w:t xml:space="preserve"> IenW bij betrokken.</w:t>
      </w:r>
    </w:p>
    <w:p w:rsidRPr="00DA3BE4" w:rsidR="00DA3BE4" w:rsidP="00DA3BE4" w:rsidRDefault="00DA3BE4" w14:paraId="517C2D7F" w14:textId="77777777"/>
    <w:p w:rsidR="00DA3BE4" w:rsidP="00784870" w:rsidRDefault="005F7046" w14:paraId="6FA28F6D" w14:textId="0821C3F1">
      <w:r>
        <w:t>Uit het bovenstaande volgt dat d</w:t>
      </w:r>
      <w:r w:rsidRPr="00DA3BE4" w:rsidR="00DA3BE4">
        <w:t>e juridische en praktische uitdagingen rond een reclameverbod voor wegwerpproducten aanzienlijk</w:t>
      </w:r>
      <w:r>
        <w:t xml:space="preserve"> zijn</w:t>
      </w:r>
      <w:r w:rsidRPr="00DA3BE4" w:rsidR="00DA3BE4">
        <w:t>. Zowel de afbakening als de effectiviteit zijn onvoldoende onderbouwd om een dergelijk verbod te rechtvaardigen.</w:t>
      </w:r>
    </w:p>
    <w:p w:rsidRPr="00DA3BE4" w:rsidR="00DA3BE4" w:rsidP="00784870" w:rsidRDefault="00DA3BE4" w14:paraId="73C81F57" w14:textId="23EA53EE">
      <w:r w:rsidRPr="00DA3BE4">
        <w:t xml:space="preserve"> </w:t>
      </w:r>
    </w:p>
    <w:p w:rsidR="00784870" w:rsidP="00784870" w:rsidRDefault="00785974" w14:paraId="25E47D37" w14:textId="24FBFDDE">
      <w:pPr>
        <w:rPr>
          <w:b/>
          <w:bCs/>
        </w:rPr>
      </w:pPr>
      <w:r>
        <w:rPr>
          <w:b/>
          <w:bCs/>
        </w:rPr>
        <w:t>Opvolging t</w:t>
      </w:r>
      <w:r w:rsidRPr="00784870" w:rsidR="00784870">
        <w:rPr>
          <w:b/>
          <w:bCs/>
        </w:rPr>
        <w:t xml:space="preserve">wee toezeggingen over </w:t>
      </w:r>
      <w:r>
        <w:rPr>
          <w:b/>
          <w:bCs/>
        </w:rPr>
        <w:t>afvalstof of niet-afvalstof</w:t>
      </w:r>
    </w:p>
    <w:p w:rsidR="00B322F9" w:rsidP="00784870" w:rsidRDefault="00B322F9" w14:paraId="050DD0C1" w14:textId="77777777">
      <w:pPr>
        <w:rPr>
          <w:b/>
          <w:bCs/>
        </w:rPr>
      </w:pPr>
    </w:p>
    <w:p w:rsidRPr="00B2394B" w:rsidR="00B2394B" w:rsidP="00B2394B" w:rsidRDefault="00B2394B" w14:paraId="668D056C" w14:textId="1BC3C4ED">
      <w:pPr>
        <w:rPr>
          <w:i/>
          <w:iCs/>
        </w:rPr>
      </w:pPr>
      <w:r w:rsidRPr="00B2394B">
        <w:rPr>
          <w:i/>
          <w:iCs/>
        </w:rPr>
        <w:t>Kennisplatform Afval of niet van Omgevingsdienst-NL</w:t>
      </w:r>
    </w:p>
    <w:p w:rsidR="00F119C9" w:rsidP="00F119C9" w:rsidRDefault="00B2394B" w14:paraId="6116AAA3" w14:textId="009AE10F">
      <w:r w:rsidRPr="00B2394B">
        <w:t>In de brief</w:t>
      </w:r>
      <w:r w:rsidR="00555D9C">
        <w:rPr>
          <w:rStyle w:val="FootnoteReference"/>
        </w:rPr>
        <w:footnoteReference w:id="12"/>
      </w:r>
      <w:r w:rsidRPr="00B2394B">
        <w:t xml:space="preserve"> van 11 april 2023 is </w:t>
      </w:r>
      <w:r w:rsidR="003B478D">
        <w:t>de</w:t>
      </w:r>
      <w:r w:rsidRPr="00B2394B" w:rsidR="003B478D">
        <w:t xml:space="preserve"> </w:t>
      </w:r>
      <w:r w:rsidRPr="00B2394B">
        <w:t xml:space="preserve">Kamer geïnformeerd over het </w:t>
      </w:r>
      <w:r w:rsidR="00F119C9">
        <w:t xml:space="preserve">voornemen voor </w:t>
      </w:r>
      <w:r w:rsidR="000643DC">
        <w:t xml:space="preserve">het </w:t>
      </w:r>
      <w:r w:rsidRPr="00B2394B">
        <w:t>Kennisplatform</w:t>
      </w:r>
      <w:r w:rsidR="00AF37AB">
        <w:t xml:space="preserve"> </w:t>
      </w:r>
      <w:r w:rsidRPr="00B2394B" w:rsidR="00AF37AB">
        <w:t>‘Afval of niet’</w:t>
      </w:r>
      <w:r w:rsidR="000643DC">
        <w:t xml:space="preserve"> voor omgevingsdiensten</w:t>
      </w:r>
      <w:r w:rsidRPr="00B2394B">
        <w:t xml:space="preserve">. </w:t>
      </w:r>
      <w:r w:rsidR="00F119C9">
        <w:t>D</w:t>
      </w:r>
      <w:r w:rsidR="00EE676E">
        <w:t>aarnaast is d</w:t>
      </w:r>
      <w:r w:rsidR="00F119C9">
        <w:t>e toezegging</w:t>
      </w:r>
      <w:r w:rsidR="0092332B">
        <w:rPr>
          <w:rStyle w:val="FootnoteReference"/>
        </w:rPr>
        <w:footnoteReference w:id="13"/>
      </w:r>
      <w:r w:rsidR="00F119C9">
        <w:t xml:space="preserve"> gedaan </w:t>
      </w:r>
      <w:r w:rsidR="00A822B4">
        <w:t xml:space="preserve">aan de heer Haverkort </w:t>
      </w:r>
      <w:r w:rsidR="00EE676E">
        <w:t xml:space="preserve">om </w:t>
      </w:r>
      <w:r w:rsidR="00F119C9">
        <w:t xml:space="preserve">de Kamer te informeren </w:t>
      </w:r>
      <w:r w:rsidRPr="00B2394B" w:rsidR="00F119C9">
        <w:t xml:space="preserve">zodra het Kennisplatform operationeel </w:t>
      </w:r>
      <w:r w:rsidR="00F119C9">
        <w:t>is</w:t>
      </w:r>
      <w:r w:rsidRPr="00B2394B" w:rsidR="00F119C9">
        <w:t xml:space="preserve"> </w:t>
      </w:r>
      <w:r w:rsidR="00F119C9">
        <w:t>en daarbij</w:t>
      </w:r>
      <w:r w:rsidRPr="00B2394B" w:rsidR="00F119C9">
        <w:t xml:space="preserve"> in</w:t>
      </w:r>
      <w:r w:rsidR="00F119C9">
        <w:t xml:space="preserve"> te </w:t>
      </w:r>
      <w:r w:rsidRPr="00B2394B" w:rsidR="00F119C9">
        <w:t xml:space="preserve">gaan op de vraag hoe uniformiteit </w:t>
      </w:r>
      <w:r w:rsidR="00F119C9">
        <w:t xml:space="preserve">met betrekking tot </w:t>
      </w:r>
      <w:r w:rsidRPr="00B2394B" w:rsidR="00F119C9">
        <w:t>de einde</w:t>
      </w:r>
      <w:r w:rsidR="00F119C9">
        <w:t>-</w:t>
      </w:r>
      <w:r w:rsidRPr="00B2394B" w:rsidR="00F119C9">
        <w:t>afvalstatus wordt gerealiseerd.</w:t>
      </w:r>
      <w:r w:rsidR="00F119C9">
        <w:t xml:space="preserve"> Hiermee </w:t>
      </w:r>
      <w:r w:rsidR="003B478D">
        <w:t>wordt invulling gegeven aan</w:t>
      </w:r>
      <w:r w:rsidR="00F119C9">
        <w:t xml:space="preserve"> deze toezegging.</w:t>
      </w:r>
    </w:p>
    <w:p w:rsidRPr="00B2394B" w:rsidR="00F119C9" w:rsidP="00F119C9" w:rsidRDefault="00F119C9" w14:paraId="78C2EC3B" w14:textId="77777777"/>
    <w:p w:rsidR="00B01539" w:rsidP="00B2394B" w:rsidRDefault="00B2394B" w14:paraId="6DCA9E9D" w14:textId="4DDB3A1D">
      <w:r w:rsidRPr="00B2394B">
        <w:t>Er is in de tussenliggende periode door Omgevingsdienst</w:t>
      </w:r>
      <w:r w:rsidR="000643DC">
        <w:t>-</w:t>
      </w:r>
      <w:r w:rsidRPr="00B2394B">
        <w:t xml:space="preserve">NL in samenwerking met Rijkswaterstaat hard gewerkt aan alle voorbereidingen om </w:t>
      </w:r>
      <w:r w:rsidR="00F119C9">
        <w:t>het</w:t>
      </w:r>
      <w:r w:rsidRPr="00B2394B">
        <w:t xml:space="preserve"> </w:t>
      </w:r>
      <w:r w:rsidR="00F119C9">
        <w:t>Kennis</w:t>
      </w:r>
      <w:r w:rsidRPr="00B2394B">
        <w:t>platform</w:t>
      </w:r>
      <w:r w:rsidR="00F119C9">
        <w:t xml:space="preserve"> </w:t>
      </w:r>
      <w:r w:rsidR="00AF37AB">
        <w:t>‘</w:t>
      </w:r>
      <w:r w:rsidR="00F119C9">
        <w:t>Afval of niet</w:t>
      </w:r>
      <w:r w:rsidR="00AF37AB">
        <w:t>’</w:t>
      </w:r>
      <w:r w:rsidRPr="00B2394B">
        <w:t xml:space="preserve"> operationeel te krijgen. </w:t>
      </w:r>
      <w:r w:rsidR="00F119C9">
        <w:t xml:space="preserve">Op </w:t>
      </w:r>
      <w:r w:rsidRPr="00B2394B">
        <w:t xml:space="preserve">27 maart </w:t>
      </w:r>
      <w:r w:rsidR="00F119C9">
        <w:t xml:space="preserve">jl. </w:t>
      </w:r>
      <w:r w:rsidRPr="00B2394B">
        <w:t xml:space="preserve">was de feestelijke lancering. </w:t>
      </w:r>
      <w:r w:rsidR="00B01539">
        <w:t>H</w:t>
      </w:r>
      <w:r w:rsidRPr="00B2394B">
        <w:t xml:space="preserve">et platform </w:t>
      </w:r>
      <w:r w:rsidR="00B01539">
        <w:t xml:space="preserve">is dus </w:t>
      </w:r>
      <w:r w:rsidRPr="00B2394B">
        <w:t xml:space="preserve">nu officieel operationeel. </w:t>
      </w:r>
      <w:r w:rsidR="00F119C9">
        <w:t>O</w:t>
      </w:r>
      <w:r w:rsidRPr="00B2394B" w:rsidR="00F119C9">
        <w:t xml:space="preserve">mgevingsdiensten </w:t>
      </w:r>
      <w:r w:rsidR="00F119C9">
        <w:t>worden d</w:t>
      </w:r>
      <w:r w:rsidRPr="00B2394B">
        <w:t xml:space="preserve">oor de specialisten van het platform geadviseerd en hun beoordelingen van </w:t>
      </w:r>
      <w:r w:rsidR="000C3D01">
        <w:t xml:space="preserve">de </w:t>
      </w:r>
      <w:r w:rsidRPr="00B2394B">
        <w:t xml:space="preserve">afvalstatus </w:t>
      </w:r>
      <w:r w:rsidR="00F119C9">
        <w:t xml:space="preserve">worden </w:t>
      </w:r>
      <w:r w:rsidRPr="00B2394B">
        <w:t xml:space="preserve">gevalideerd. Het doel van het </w:t>
      </w:r>
      <w:r w:rsidR="00F119C9">
        <w:t>K</w:t>
      </w:r>
      <w:r w:rsidRPr="00B2394B">
        <w:t xml:space="preserve">ennisplatform is om te zorgen voor meer kennisopbouw en -deling en </w:t>
      </w:r>
      <w:r w:rsidR="008F4A98">
        <w:t xml:space="preserve">meer </w:t>
      </w:r>
      <w:r w:rsidRPr="00B2394B">
        <w:t xml:space="preserve">samenwerking tussen omgevingsdiensten, om zo de omgevingsdiensten op eenzelfde kennisniveau te krijgen. Door middel van het valideren van bestuurlijke rechtsoordelen en </w:t>
      </w:r>
      <w:r w:rsidR="00F119C9">
        <w:t xml:space="preserve">door </w:t>
      </w:r>
      <w:r w:rsidRPr="00B2394B">
        <w:t xml:space="preserve">omgevingsdiensten van advies te </w:t>
      </w:r>
      <w:r w:rsidRPr="00B2394B" w:rsidR="00F119C9">
        <w:t>voor</w:t>
      </w:r>
      <w:r w:rsidRPr="00B2394B">
        <w:t>zien</w:t>
      </w:r>
      <w:r w:rsidR="00B01539">
        <w:t>,</w:t>
      </w:r>
      <w:r w:rsidRPr="00B2394B">
        <w:t xml:space="preserve"> </w:t>
      </w:r>
      <w:r w:rsidR="00F119C9">
        <w:t xml:space="preserve">wordt bijgedragen aan </w:t>
      </w:r>
      <w:r w:rsidRPr="00B2394B">
        <w:t xml:space="preserve">eenduidigheid in afvalstatusbeoordelingen. Het </w:t>
      </w:r>
      <w:r w:rsidR="00F119C9">
        <w:t>K</w:t>
      </w:r>
      <w:r w:rsidRPr="00B2394B">
        <w:t xml:space="preserve">ennisplatform heeft hulpmiddelen uitgewerkt over de einde-afvalstatusbeoordeling </w:t>
      </w:r>
      <w:r w:rsidR="00F119C9">
        <w:t>die</w:t>
      </w:r>
      <w:r w:rsidRPr="00B2394B">
        <w:t xml:space="preserve"> omgevingsdiensten ondersteunen om op een uniforme manier te komen tot een goede beoordeling van de einde-afvalstatus.</w:t>
      </w:r>
    </w:p>
    <w:p w:rsidR="00B01539" w:rsidP="00B2394B" w:rsidRDefault="00B01539" w14:paraId="75FB86AE" w14:textId="77777777"/>
    <w:p w:rsidRPr="00B2394B" w:rsidR="00B2394B" w:rsidP="00B2394B" w:rsidRDefault="00B2394B" w14:paraId="4B677A1A" w14:textId="31EB2D25">
      <w:r w:rsidRPr="00B2394B">
        <w:t xml:space="preserve">Het </w:t>
      </w:r>
      <w:r w:rsidR="00F119C9">
        <w:t>K</w:t>
      </w:r>
      <w:r w:rsidRPr="00B2394B">
        <w:t>ennisplatform is voor en door omgevingsdiensten</w:t>
      </w:r>
      <w:r w:rsidR="00F119C9">
        <w:t>. V</w:t>
      </w:r>
      <w:r w:rsidRPr="00B2394B">
        <w:t xml:space="preserve">anuit verschillende omgevingsdiensten nemen werknemers zitting in het kennisplatform om, samen met experts van Rijkswaterstaat, de vragen te behandelen. Daarnaast zijn ook het Interprovinciaal Overleg (IPO) en de Vereniging van Nederlandse Gemeenten (VNG), als koepelorganisaties van de opdrachtgevers van de omgevingsdiensten, betrokken bij het </w:t>
      </w:r>
      <w:r w:rsidR="00F119C9">
        <w:t>K</w:t>
      </w:r>
      <w:r w:rsidRPr="00B2394B">
        <w:t xml:space="preserve">ennisplatform. </w:t>
      </w:r>
      <w:r w:rsidR="00F119C9">
        <w:t>Het</w:t>
      </w:r>
      <w:r w:rsidRPr="00B2394B">
        <w:t xml:space="preserve"> ministerie </w:t>
      </w:r>
      <w:r w:rsidR="00F119C9">
        <w:t>stelt</w:t>
      </w:r>
      <w:r w:rsidRPr="00B2394B">
        <w:t xml:space="preserve"> de expertise van Rijkswaterstaat beschikbaar en </w:t>
      </w:r>
      <w:r w:rsidR="00F119C9">
        <w:t xml:space="preserve">verleent </w:t>
      </w:r>
      <w:r w:rsidRPr="00B2394B">
        <w:t xml:space="preserve">een subsidie voor de eerste twee </w:t>
      </w:r>
      <w:r w:rsidR="00F119C9">
        <w:t>jaar</w:t>
      </w:r>
      <w:r w:rsidRPr="00B2394B">
        <w:t xml:space="preserve"> om de start van het </w:t>
      </w:r>
      <w:r w:rsidR="00F119C9">
        <w:t>K</w:t>
      </w:r>
      <w:r w:rsidRPr="00B2394B">
        <w:t>ennisplatform te financieren. Uiteraard blij</w:t>
      </w:r>
      <w:r w:rsidR="00F119C9">
        <w:t>ft het ministerie</w:t>
      </w:r>
      <w:r w:rsidRPr="00B2394B">
        <w:t xml:space="preserve"> kijken naar </w:t>
      </w:r>
      <w:r w:rsidR="00F119C9">
        <w:t xml:space="preserve">verdere </w:t>
      </w:r>
      <w:r w:rsidRPr="00B2394B">
        <w:t>mogelijkheden voor verbetering in de uitvoering van de afvalstatusbeoordeling.</w:t>
      </w:r>
      <w:r w:rsidR="002B0D8B">
        <w:t xml:space="preserve"> De ervaring</w:t>
      </w:r>
      <w:r w:rsidR="00BC60CF">
        <w:t>en opgedaan in</w:t>
      </w:r>
      <w:r w:rsidR="002B0D8B">
        <w:t xml:space="preserve"> het Kennisplatform </w:t>
      </w:r>
      <w:r w:rsidR="00BC60CF">
        <w:t>kunnen</w:t>
      </w:r>
      <w:r w:rsidR="002B0D8B">
        <w:t xml:space="preserve"> hier een nuttige</w:t>
      </w:r>
      <w:r w:rsidR="00BC60CF">
        <w:t xml:space="preserve"> bijdrage aan leveren.</w:t>
      </w:r>
    </w:p>
    <w:p w:rsidRPr="00B2394B" w:rsidR="00B2394B" w:rsidP="00B2394B" w:rsidRDefault="00B2394B" w14:paraId="5BC40299" w14:textId="77777777"/>
    <w:p w:rsidRPr="00B2394B" w:rsidR="00B2394B" w:rsidP="00B2394B" w:rsidRDefault="00B2394B" w14:paraId="09A4888B" w14:textId="5E33A8A5">
      <w:pPr>
        <w:rPr>
          <w:i/>
          <w:iCs/>
        </w:rPr>
      </w:pPr>
      <w:r w:rsidRPr="00B2394B">
        <w:rPr>
          <w:i/>
          <w:iCs/>
        </w:rPr>
        <w:t xml:space="preserve">Interpretatie andere lidstaten artikel </w:t>
      </w:r>
      <w:r w:rsidRPr="000643DC">
        <w:rPr>
          <w:i/>
          <w:iCs/>
        </w:rPr>
        <w:t xml:space="preserve">6 </w:t>
      </w:r>
      <w:r w:rsidRPr="00AF37AB" w:rsidR="000643DC">
        <w:rPr>
          <w:i/>
          <w:iCs/>
        </w:rPr>
        <w:t>Kaderrichtlijn afvalstoffen</w:t>
      </w:r>
      <w:r w:rsidRPr="00B2394B" w:rsidR="000643DC">
        <w:t xml:space="preserve"> </w:t>
      </w:r>
      <w:r w:rsidR="000643DC">
        <w:t>(</w:t>
      </w:r>
      <w:r w:rsidRPr="00B2394B">
        <w:rPr>
          <w:i/>
          <w:iCs/>
        </w:rPr>
        <w:t>Kra</w:t>
      </w:r>
      <w:r w:rsidR="000643DC">
        <w:rPr>
          <w:i/>
          <w:iCs/>
        </w:rPr>
        <w:t>)</w:t>
      </w:r>
    </w:p>
    <w:p w:rsidRPr="00B2394B" w:rsidR="00B2394B" w:rsidP="00B2394B" w:rsidRDefault="00EE676E" w14:paraId="0816F1A0" w14:textId="589A5CF6">
      <w:r>
        <w:t>Met betrekking tot het onderwerp einde-afval is tevens de toezegging</w:t>
      </w:r>
      <w:r w:rsidR="0092332B">
        <w:rPr>
          <w:rStyle w:val="FootnoteReference"/>
        </w:rPr>
        <w:footnoteReference w:id="14"/>
      </w:r>
      <w:r>
        <w:t xml:space="preserve"> gedaan om </w:t>
      </w:r>
      <w:r w:rsidRPr="00B2394B" w:rsidR="00B2394B">
        <w:t xml:space="preserve">bij </w:t>
      </w:r>
      <w:r>
        <w:t>andere</w:t>
      </w:r>
      <w:r w:rsidRPr="00B2394B" w:rsidR="00B2394B">
        <w:t xml:space="preserve"> lidstaten na</w:t>
      </w:r>
      <w:r>
        <w:t xml:space="preserve"> te </w:t>
      </w:r>
      <w:r w:rsidRPr="00B2394B" w:rsidR="00B2394B">
        <w:t xml:space="preserve">vragen hoe de voorwaarden uit artikel 6 van de </w:t>
      </w:r>
      <w:r>
        <w:t>Kaderrichtlijn afvalstoffen</w:t>
      </w:r>
      <w:r w:rsidRPr="00B2394B" w:rsidR="00B2394B">
        <w:t xml:space="preserve"> </w:t>
      </w:r>
      <w:r w:rsidR="005E2EEF">
        <w:t>over de einde-afvalfase</w:t>
      </w:r>
      <w:r w:rsidRPr="00B2394B" w:rsidR="005E2EEF">
        <w:t xml:space="preserve"> </w:t>
      </w:r>
      <w:r w:rsidRPr="00B2394B" w:rsidR="00B2394B">
        <w:t xml:space="preserve">in hun respectievelijke landen worden geïnterpreteerd en toegepast bij de beoordeling van de einde-afvalstatus. </w:t>
      </w:r>
      <w:r>
        <w:t>Hierbij is aangegeven dat</w:t>
      </w:r>
      <w:r w:rsidRPr="00B2394B" w:rsidR="00B2394B">
        <w:t xml:space="preserve"> zodra het overzicht van deze informatie </w:t>
      </w:r>
      <w:r>
        <w:t>er is,</w:t>
      </w:r>
      <w:r w:rsidRPr="00B2394B" w:rsidR="00B2394B">
        <w:t xml:space="preserve"> dit in</w:t>
      </w:r>
      <w:r>
        <w:t xml:space="preserve"> zou worden gebracht</w:t>
      </w:r>
      <w:r w:rsidRPr="00B2394B" w:rsidR="00B2394B">
        <w:t xml:space="preserve"> bij de </w:t>
      </w:r>
      <w:r>
        <w:t xml:space="preserve">Europese </w:t>
      </w:r>
      <w:r w:rsidRPr="00B2394B" w:rsidR="00B2394B">
        <w:t xml:space="preserve">Commissie ten behoeve van de eerstvolgende herziening van de </w:t>
      </w:r>
      <w:r>
        <w:t>Kaderrichtlijn</w:t>
      </w:r>
      <w:r w:rsidRPr="00B2394B" w:rsidR="00B2394B">
        <w:t xml:space="preserve"> en deze tevens </w:t>
      </w:r>
      <w:r>
        <w:t xml:space="preserve">te </w:t>
      </w:r>
      <w:r w:rsidRPr="00B2394B" w:rsidR="00B2394B">
        <w:t xml:space="preserve">delen met </w:t>
      </w:r>
      <w:r>
        <w:t>de</w:t>
      </w:r>
      <w:r w:rsidRPr="00B2394B" w:rsidR="00B2394B">
        <w:t xml:space="preserve"> Kamer.</w:t>
      </w:r>
    </w:p>
    <w:p w:rsidRPr="00B2394B" w:rsidR="00B2394B" w:rsidP="00B2394B" w:rsidRDefault="00B2394B" w14:paraId="73403248" w14:textId="77777777"/>
    <w:p w:rsidR="00500274" w:rsidP="00B2394B" w:rsidRDefault="005E2EEF" w14:paraId="339E9886" w14:textId="0DEAC601">
      <w:r>
        <w:t>Op de herhaalde verzoeken aan</w:t>
      </w:r>
      <w:r w:rsidRPr="00B2394B" w:rsidR="00B2394B">
        <w:t xml:space="preserve"> lidstaten </w:t>
      </w:r>
      <w:r>
        <w:t xml:space="preserve">om aan te geven </w:t>
      </w:r>
      <w:r w:rsidRPr="00B2394B" w:rsidR="00B2394B">
        <w:t>hoe de vier voorwaarden uit artikel 6 van de Kaderrichtlijn worden geïnterpreteerd en toegepast</w:t>
      </w:r>
      <w:r w:rsidR="00B01539">
        <w:t>,</w:t>
      </w:r>
      <w:r w:rsidRPr="00B2394B" w:rsidR="00B2394B">
        <w:t xml:space="preserve"> is </w:t>
      </w:r>
      <w:r>
        <w:t xml:space="preserve">helaas </w:t>
      </w:r>
      <w:r w:rsidRPr="00B2394B" w:rsidR="00B2394B">
        <w:t xml:space="preserve">weinig </w:t>
      </w:r>
      <w:r>
        <w:t xml:space="preserve">respons </w:t>
      </w:r>
      <w:r w:rsidRPr="00B2394B" w:rsidR="00B2394B">
        <w:t xml:space="preserve">gekomen. </w:t>
      </w:r>
      <w:r>
        <w:t xml:space="preserve">Om die reden </w:t>
      </w:r>
      <w:r w:rsidRPr="00B2394B" w:rsidR="00B2394B">
        <w:t xml:space="preserve">is </w:t>
      </w:r>
      <w:r>
        <w:t>besloten om aan te sluiten</w:t>
      </w:r>
      <w:r w:rsidRPr="00B2394B" w:rsidR="00B2394B">
        <w:t xml:space="preserve"> bij een initiatief van de</w:t>
      </w:r>
      <w:r>
        <w:t xml:space="preserve"> Vlaamse autoriteiten</w:t>
      </w:r>
      <w:r w:rsidR="00500274">
        <w:t xml:space="preserve"> (</w:t>
      </w:r>
      <w:r w:rsidRPr="00B2394B" w:rsidR="00B2394B">
        <w:t>OVAM</w:t>
      </w:r>
      <w:r w:rsidR="00500274">
        <w:t xml:space="preserve">, </w:t>
      </w:r>
      <w:r w:rsidRPr="00B2394B" w:rsidR="00B2394B">
        <w:t xml:space="preserve">Openbare Vlaamse Afvalstoffenmaatschappij) om een overzicht </w:t>
      </w:r>
      <w:r w:rsidR="00500274">
        <w:t xml:space="preserve">te maken </w:t>
      </w:r>
      <w:r w:rsidRPr="00B2394B" w:rsidR="00B2394B">
        <w:t xml:space="preserve">van de actuele situatie van de einde-afvalwetgeving en conformiteitsprocedures in de lidstaten. Dit overzicht van de huidige wet- en regelgeving is bijgevoegd. </w:t>
      </w:r>
      <w:r w:rsidR="00797BD2">
        <w:t>Het maakt ruimte voor harmonisatie inzichtelijk</w:t>
      </w:r>
      <w:r w:rsidR="00A12776">
        <w:t xml:space="preserve"> en geeft lidstaten de mogelijkheid om te leren van de criteria die al in andere lidstaten zijn opgesteld</w:t>
      </w:r>
      <w:r w:rsidR="00797BD2">
        <w:t xml:space="preserve">. </w:t>
      </w:r>
      <w:r w:rsidRPr="00B2394B" w:rsidR="00B2394B">
        <w:t xml:space="preserve">De OVAM is in contact met IMPEL (een netwerk van de Europese Unie voor de implementatie en handhaving van milieurecht) om te bezien of dit overzicht op hun website geplaatst kan worden. </w:t>
      </w:r>
    </w:p>
    <w:p w:rsidR="00500274" w:rsidP="00B2394B" w:rsidRDefault="00500274" w14:paraId="5ADE7F64" w14:textId="77777777"/>
    <w:p w:rsidRPr="004E5553" w:rsidR="0092332B" w:rsidP="0092332B" w:rsidRDefault="0092332B" w14:paraId="46DE460D" w14:textId="7657E4B3">
      <w:pPr>
        <w:rPr>
          <w:i/>
          <w:iCs/>
        </w:rPr>
      </w:pPr>
      <w:r w:rsidRPr="004E5553">
        <w:t xml:space="preserve">Daarnaast wil ik wijzen op een belangrijke nieuwe ontwikkeling. In het kader van de Clean Industrial Deal heeft de Europese Commissie voor 2026 een </w:t>
      </w:r>
      <w:r w:rsidRPr="004E5553">
        <w:rPr>
          <w:i/>
          <w:iCs/>
        </w:rPr>
        <w:t xml:space="preserve">Circular Economy Act </w:t>
      </w:r>
      <w:r w:rsidRPr="004E5553">
        <w:t xml:space="preserve">aangekondigd. Deze wet zal onder meer gericht zijn op de harmonisatie van einde-afvalcriteria. Harmonisatie op Europees niveau zal de meest directe bijdrage leveren aan de eenduidige toepassing van de einde-afvalcriteria en het stimuleren van een Europese interne markt voor secundaire grondstoffen. De Kamer zal </w:t>
      </w:r>
      <w:r w:rsidR="00B01539">
        <w:t>te zijner tijd</w:t>
      </w:r>
      <w:r w:rsidR="006C51E7">
        <w:t xml:space="preserve"> </w:t>
      </w:r>
      <w:r w:rsidRPr="004E5553">
        <w:t xml:space="preserve">via het gebruikelijke BNC-fiche worden geïnformeerd over de kabinetspositie </w:t>
      </w:r>
      <w:r w:rsidR="00B01539">
        <w:t>ten aanzien van</w:t>
      </w:r>
      <w:r w:rsidRPr="004E5553">
        <w:t xml:space="preserve"> de </w:t>
      </w:r>
      <w:r w:rsidRPr="004E5553">
        <w:rPr>
          <w:i/>
          <w:iCs/>
        </w:rPr>
        <w:t>Circular Economy Act.</w:t>
      </w:r>
    </w:p>
    <w:p w:rsidRPr="00784870" w:rsidR="00B2394B" w:rsidP="00B2394B" w:rsidRDefault="00B2394B" w14:paraId="5B10C9F9" w14:textId="77777777">
      <w:pPr>
        <w:rPr>
          <w:b/>
          <w:bCs/>
        </w:rPr>
      </w:pPr>
    </w:p>
    <w:p w:rsidR="00784870" w:rsidP="00784870" w:rsidRDefault="00784870" w14:paraId="49A45CDB" w14:textId="48CFD7EF">
      <w:pPr>
        <w:rPr>
          <w:b/>
          <w:bCs/>
        </w:rPr>
      </w:pPr>
      <w:r w:rsidRPr="00F73242">
        <w:rPr>
          <w:b/>
          <w:bCs/>
        </w:rPr>
        <w:t>Handreiking afvalstof</w:t>
      </w:r>
      <w:r w:rsidRPr="00F73242" w:rsidR="004F1127">
        <w:rPr>
          <w:b/>
          <w:bCs/>
        </w:rPr>
        <w:t xml:space="preserve"> of </w:t>
      </w:r>
      <w:r w:rsidRPr="00F73242">
        <w:rPr>
          <w:b/>
          <w:bCs/>
        </w:rPr>
        <w:t xml:space="preserve">niet-afvalstof </w:t>
      </w:r>
      <w:r w:rsidRPr="00F73242" w:rsidR="004F1127">
        <w:rPr>
          <w:b/>
          <w:bCs/>
        </w:rPr>
        <w:t>voor (afgedankte) elektrische en elektronische apparatuur</w:t>
      </w:r>
    </w:p>
    <w:p w:rsidR="00C408BD" w:rsidP="00784870" w:rsidRDefault="004F1127" w14:paraId="359A0EB4" w14:textId="34D820FD">
      <w:r>
        <w:t>In de brief van 12 december 2024</w:t>
      </w:r>
      <w:r>
        <w:rPr>
          <w:rStyle w:val="FootnoteReference"/>
        </w:rPr>
        <w:footnoteReference w:id="15"/>
      </w:r>
      <w:r>
        <w:t xml:space="preserve"> is </w:t>
      </w:r>
      <w:r w:rsidR="00342DD1">
        <w:t>de</w:t>
      </w:r>
      <w:r>
        <w:t xml:space="preserve"> Kamer geïnformeerd over de opvolging </w:t>
      </w:r>
      <w:r w:rsidR="006A158E">
        <w:t>van</w:t>
      </w:r>
      <w:r>
        <w:t xml:space="preserve"> de motie van het lid Stoffer c.s. over reparatie en hergebruik van elektrische en elektronische apparaten. In de Kamerbrief wordt onder meer een specifieke handreiking </w:t>
      </w:r>
      <w:r w:rsidR="006A158E">
        <w:t xml:space="preserve">aangekondigd </w:t>
      </w:r>
      <w:r>
        <w:t xml:space="preserve">voor het bepalen wanneer een apparaat een afvalstof </w:t>
      </w:r>
      <w:r w:rsidR="005A1180">
        <w:t xml:space="preserve">is </w:t>
      </w:r>
      <w:r>
        <w:t xml:space="preserve">of </w:t>
      </w:r>
      <w:r w:rsidR="005A1180">
        <w:t>niet</w:t>
      </w:r>
      <w:r>
        <w:t xml:space="preserve">. </w:t>
      </w:r>
      <w:r w:rsidRPr="007456A2">
        <w:t xml:space="preserve">Bij deze brief treft u de </w:t>
      </w:r>
      <w:r>
        <w:t>handreiking ‘hergebruik en voorbereiden voor hergebruik van (afgedankte) elektrische en elektronische apparatuur’</w:t>
      </w:r>
      <w:r w:rsidR="00B322F9">
        <w:t xml:space="preserve"> aan</w:t>
      </w:r>
      <w:r>
        <w:t xml:space="preserve">. </w:t>
      </w:r>
      <w:r w:rsidR="002A62FD">
        <w:t xml:space="preserve">De handreiking dient om de </w:t>
      </w:r>
      <w:r w:rsidRPr="004F1127" w:rsidR="002A62FD">
        <w:t xml:space="preserve">uitvoeringspraktijk te begeleiden in het vaststellen van de </w:t>
      </w:r>
      <w:r w:rsidR="002A62FD">
        <w:t>afval</w:t>
      </w:r>
      <w:r w:rsidRPr="004F1127" w:rsidR="002A62FD">
        <w:t>status</w:t>
      </w:r>
      <w:r w:rsidR="002A62FD">
        <w:t xml:space="preserve"> van een apparaat. Na deze vaststelling beschrijft de handreiking twee routes die kunnen worden doorlopen voor hergebruik van apparaten. Dit zijn de route voor hergebruik </w:t>
      </w:r>
      <w:r w:rsidR="00EA091D">
        <w:t>wanneer</w:t>
      </w:r>
      <w:r w:rsidR="002A62FD">
        <w:t xml:space="preserve"> een apparaat géén afvalstof is en de route voor voorbereiding voor hergebruik wanneer een apparaat wél een afvalstof is.</w:t>
      </w:r>
      <w:r w:rsidR="003124F0">
        <w:t xml:space="preserve"> Op deze manier wordt het makkelijker voor bedrijven om de juiste route te volgen</w:t>
      </w:r>
      <w:r w:rsidR="00C408BD">
        <w:t>,</w:t>
      </w:r>
      <w:r w:rsidR="003124F0">
        <w:t xml:space="preserve"> waarmee hergebruik van apparaten </w:t>
      </w:r>
      <w:r w:rsidR="00C408BD">
        <w:t xml:space="preserve">wordt </w:t>
      </w:r>
      <w:r w:rsidR="003124F0">
        <w:t>gestimuleerd.</w:t>
      </w:r>
      <w:r w:rsidR="00C67E89">
        <w:t xml:space="preserve"> De handreiking zal onderdeel worden van het Circulair Materialenplan.</w:t>
      </w:r>
    </w:p>
    <w:p w:rsidRPr="00784870" w:rsidR="007D412B" w:rsidP="00784870" w:rsidRDefault="007D412B" w14:paraId="2F5040F1" w14:textId="77777777">
      <w:pPr>
        <w:rPr>
          <w:b/>
          <w:bCs/>
        </w:rPr>
      </w:pPr>
    </w:p>
    <w:p w:rsidR="00784870" w:rsidP="00784870" w:rsidRDefault="00784870" w14:paraId="418B080A" w14:textId="77777777">
      <w:pPr>
        <w:rPr>
          <w:b/>
          <w:bCs/>
        </w:rPr>
      </w:pPr>
      <w:r w:rsidRPr="00784870">
        <w:rPr>
          <w:b/>
          <w:bCs/>
        </w:rPr>
        <w:t>Krachtenbundeling Rijk-Regio voor de Circulaire Economie</w:t>
      </w:r>
    </w:p>
    <w:p w:rsidRPr="00CF0A11" w:rsidR="00CF0A11" w:rsidP="00CF0A11" w:rsidRDefault="00CF0A11" w14:paraId="4605B669" w14:textId="40D5CB7A">
      <w:r w:rsidRPr="00CF0A11">
        <w:t>De Rijksoverheid, het Interprovinciaal Overleg (I</w:t>
      </w:r>
      <w:r w:rsidR="00BB4B3D">
        <w:t>P</w:t>
      </w:r>
      <w:r w:rsidRPr="00CF0A11">
        <w:t>O), de Vereniging voor Nederlandse Gemeenten (VNG) en de Unie van Waterschappen (UvW) ondertekenden donderdag 20 maart 2025 de overeenkomst 'Krachtenbundeling Rijk-Regio voor de Circulaire Economie'</w:t>
      </w:r>
      <w:r w:rsidR="0065667D">
        <w:rPr>
          <w:rStyle w:val="FootnoteReference"/>
        </w:rPr>
        <w:footnoteReference w:id="16"/>
      </w:r>
      <w:r w:rsidRPr="00CF0A11">
        <w:t xml:space="preserve">. Met deze nieuwe afspraken </w:t>
      </w:r>
      <w:r w:rsidR="00BB4B3D">
        <w:t>wordt</w:t>
      </w:r>
      <w:r w:rsidRPr="00CF0A11">
        <w:t xml:space="preserve"> de samenwerking tussen overheden</w:t>
      </w:r>
      <w:r w:rsidR="00BB4B3D">
        <w:t xml:space="preserve"> versterkt</w:t>
      </w:r>
      <w:r w:rsidRPr="00CF0A11">
        <w:t xml:space="preserve">, waardoor beleidsmaatregelen beter op elkaar kunnen </w:t>
      </w:r>
      <w:r w:rsidR="00BB4B3D">
        <w:t xml:space="preserve">worden </w:t>
      </w:r>
      <w:r w:rsidRPr="00CF0A11">
        <w:t>af</w:t>
      </w:r>
      <w:r w:rsidR="00BB4B3D">
        <w:t>ge</w:t>
      </w:r>
      <w:r w:rsidRPr="00CF0A11">
        <w:t>stem</w:t>
      </w:r>
      <w:r w:rsidR="00BB4B3D">
        <w:t>d</w:t>
      </w:r>
      <w:r w:rsidRPr="00CF0A11">
        <w:t>, dubbel werk wordt voorkomen en onze collectieve impact wordt vergroot. Tot 202</w:t>
      </w:r>
      <w:r w:rsidR="00B322F9">
        <w:t>7</w:t>
      </w:r>
      <w:r w:rsidRPr="00CF0A11">
        <w:t xml:space="preserve"> wordt gewerkt aan implementatie van de afspraken. Uitgangspunt van de afspraken is dat alle betrokken partijen eigen instrumenten en projecten nadrukkelijker (in)richten op interbestuurlijke samenwerking, daarmee krachten</w:t>
      </w:r>
      <w:r w:rsidR="007C2CBE">
        <w:t xml:space="preserve"> worden</w:t>
      </w:r>
      <w:r w:rsidRPr="00CF0A11">
        <w:t xml:space="preserve"> </w:t>
      </w:r>
      <w:r w:rsidR="007C2CBE">
        <w:t>ge</w:t>
      </w:r>
      <w:r w:rsidRPr="00CF0A11">
        <w:t>bundel</w:t>
      </w:r>
      <w:r w:rsidR="007C2CBE">
        <w:t>d</w:t>
      </w:r>
      <w:r w:rsidRPr="00CF0A11">
        <w:t xml:space="preserve"> en elkaars inzet </w:t>
      </w:r>
      <w:r w:rsidR="007C2CBE">
        <w:t>wordt versterkt</w:t>
      </w:r>
      <w:r w:rsidRPr="00CF0A11" w:rsidR="007C2CBE">
        <w:t xml:space="preserve"> </w:t>
      </w:r>
      <w:r w:rsidRPr="00CF0A11">
        <w:t xml:space="preserve">om </w:t>
      </w:r>
      <w:r w:rsidR="00630F00">
        <w:t xml:space="preserve">circulaire economie dichterbij </w:t>
      </w:r>
      <w:r w:rsidRPr="00CF0A11">
        <w:t xml:space="preserve">te </w:t>
      </w:r>
      <w:r w:rsidR="00630F00">
        <w:t>brengen</w:t>
      </w:r>
      <w:r w:rsidRPr="00CF0A11">
        <w:t>.</w:t>
      </w:r>
    </w:p>
    <w:p w:rsidRPr="00CF0A11" w:rsidR="00CF0A11" w:rsidP="00CF0A11" w:rsidRDefault="00CF0A11" w14:paraId="6433BE52" w14:textId="77777777"/>
    <w:p w:rsidRPr="00CF0A11" w:rsidR="00CF0A11" w:rsidP="00CF0A11" w:rsidRDefault="00CF0A11" w14:paraId="04A0DC58" w14:textId="0E794DD4">
      <w:r w:rsidRPr="00CF0A11">
        <w:t xml:space="preserve">De samenwerking </w:t>
      </w:r>
      <w:r w:rsidR="008A11E5">
        <w:t>wordt vormgegeven</w:t>
      </w:r>
      <w:r w:rsidRPr="00CF0A11">
        <w:t xml:space="preserve"> langs zes inhoudelijke lijnen. Voor het thema ruimte onderzoeken </w:t>
      </w:r>
      <w:r w:rsidR="000643DC">
        <w:t>de gezamenlijke partijen</w:t>
      </w:r>
      <w:r w:rsidRPr="00CF0A11" w:rsidR="000643DC">
        <w:t xml:space="preserve"> </w:t>
      </w:r>
      <w:r w:rsidRPr="00CF0A11">
        <w:t xml:space="preserve">welke ruimte nodig is voor de circulaire economie, en welke rollen de verschillende overheden kunnen spelen bij hun inzet van het ruimtelijk instrumentarium voor circulaire doelen. Daarnaast </w:t>
      </w:r>
      <w:r w:rsidR="00681E28">
        <w:t xml:space="preserve">wordt ingezet </w:t>
      </w:r>
      <w:r w:rsidRPr="00CF0A11">
        <w:t xml:space="preserve">op samenwerking rondom het Vergunningverlening, Toezicht en Handhaving-instrumentarium dat overheden tot hun beschikking hebben voor het aanjagen van de circulaire economie. </w:t>
      </w:r>
      <w:r w:rsidR="007C2CBE">
        <w:t>De betrokken partijen</w:t>
      </w:r>
      <w:r w:rsidRPr="00CF0A11" w:rsidR="007C2CBE">
        <w:t xml:space="preserve"> </w:t>
      </w:r>
      <w:r w:rsidRPr="00CF0A11">
        <w:t xml:space="preserve">maken </w:t>
      </w:r>
      <w:r w:rsidR="007C2CBE">
        <w:t>zich</w:t>
      </w:r>
      <w:r w:rsidRPr="00CF0A11" w:rsidR="007C2CBE">
        <w:t xml:space="preserve"> </w:t>
      </w:r>
      <w:r w:rsidRPr="00CF0A11">
        <w:t xml:space="preserve">sterk voor het maximaliseren van de gezamenlijke impact van circulair opdrachtgeven en inkopen, en voor het thema MKB </w:t>
      </w:r>
      <w:r w:rsidR="007C2CBE">
        <w:t xml:space="preserve">wordt </w:t>
      </w:r>
      <w:r w:rsidRPr="00CF0A11">
        <w:t>vanuit de ‘Actieagenda MKB-dienstverlening’ aan de slag</w:t>
      </w:r>
      <w:r w:rsidR="007C2CBE">
        <w:t xml:space="preserve"> gegaan</w:t>
      </w:r>
      <w:r w:rsidRPr="00CF0A11">
        <w:t xml:space="preserve"> met circulariteit. Voor het thema ketens </w:t>
      </w:r>
      <w:r w:rsidR="007C2CBE">
        <w:t>wordt verkend</w:t>
      </w:r>
      <w:r w:rsidRPr="00CF0A11">
        <w:t xml:space="preserve"> welke mogelijkheden de overheden met elkaar zien om gezamenlijke routekaarten te ontwikkelen voor prioritaire productgroepen uit de maakindustrie, en </w:t>
      </w:r>
      <w:r w:rsidR="007C2CBE">
        <w:t xml:space="preserve">worden </w:t>
      </w:r>
      <w:r w:rsidRPr="00CF0A11">
        <w:t>overheden</w:t>
      </w:r>
      <w:r w:rsidR="007C2CBE">
        <w:t xml:space="preserve"> gestimuleerd</w:t>
      </w:r>
      <w:r w:rsidRPr="00CF0A11">
        <w:t xml:space="preserve"> aansluiting te zoeken bij de programma’s Klimaatneutrale en Circulaire Infrastructuur (KCI) en de Nationale Aanpak Biobased Bouwen (NABB). Tot slot investeren </w:t>
      </w:r>
      <w:r w:rsidR="008A11E5">
        <w:t>de partijen</w:t>
      </w:r>
      <w:r w:rsidRPr="00CF0A11">
        <w:t xml:space="preserve"> in een gezamenlijke aanpak om kennisdeling tussen overheden en overheidslagen beter en efficiënter te organiseren.</w:t>
      </w:r>
      <w:r w:rsidR="00255E34">
        <w:t xml:space="preserve"> </w:t>
      </w:r>
      <w:r w:rsidRPr="00255E34" w:rsidR="00255E34">
        <w:t>In de actualisatie van het NPCE zal na de zomer de stand van zaken worden weergegeven.</w:t>
      </w:r>
    </w:p>
    <w:p w:rsidRPr="00784870" w:rsidR="00CF0A11" w:rsidP="00784870" w:rsidRDefault="00CF0A11" w14:paraId="7BA75756" w14:textId="77777777">
      <w:pPr>
        <w:rPr>
          <w:b/>
          <w:bCs/>
        </w:rPr>
      </w:pPr>
    </w:p>
    <w:p w:rsidR="00784870" w:rsidP="00784870" w:rsidRDefault="00784870" w14:paraId="0DC0303E" w14:textId="77777777">
      <w:pPr>
        <w:rPr>
          <w:b/>
          <w:bCs/>
        </w:rPr>
      </w:pPr>
      <w:r w:rsidRPr="00784870">
        <w:rPr>
          <w:b/>
          <w:bCs/>
        </w:rPr>
        <w:t>Vervolgonderzoek isolatiematerialen na verkenning ‘Plastics in de bouw’</w:t>
      </w:r>
    </w:p>
    <w:p w:rsidR="00DB6D1B" w:rsidP="00DB6D1B" w:rsidRDefault="00681E28" w14:paraId="7F0A3A97" w14:textId="29D295BA">
      <w:r>
        <w:t>De Kamer is i</w:t>
      </w:r>
      <w:r w:rsidRPr="00DB6D1B" w:rsidR="00DB6D1B">
        <w:t>n december geïnformeerd over het rapport ‘Plastics in de bouw’</w:t>
      </w:r>
      <w:r w:rsidR="00555D9C">
        <w:rPr>
          <w:rStyle w:val="FootnoteReference"/>
        </w:rPr>
        <w:footnoteReference w:id="17"/>
      </w:r>
      <w:r w:rsidR="00555D9C">
        <w:t xml:space="preserve"> </w:t>
      </w:r>
      <w:r>
        <w:t>waarbij is</w:t>
      </w:r>
      <w:r w:rsidRPr="00DB6D1B">
        <w:t xml:space="preserve"> </w:t>
      </w:r>
      <w:r w:rsidRPr="00DB6D1B" w:rsidR="00DB6D1B">
        <w:t>aangegeven met een appreciatie van de aanbevelingen te komen.</w:t>
      </w:r>
    </w:p>
    <w:p w:rsidRPr="00DB6D1B" w:rsidR="00DB6D1B" w:rsidP="00DB6D1B" w:rsidRDefault="00DB6D1B" w14:paraId="7327A743" w14:textId="77777777"/>
    <w:p w:rsidR="00DB6D1B" w:rsidP="00DB6D1B" w:rsidRDefault="00DB6D1B" w14:paraId="23925379" w14:textId="77777777">
      <w:r w:rsidRPr="00DB6D1B">
        <w:t xml:space="preserve">Op basis van de aanbevelingen uit het onderzoek en overleg met het ministerie van Volkshuisvesting en Ruimtelijke Ordening concludeert IenW dat invoering van uitgebreide producentenverantwoordelijkheid voor alle plastic in de bouwsector op dit moment niet haalbaar lijkt. </w:t>
      </w:r>
    </w:p>
    <w:p w:rsidR="00DB6D1B" w:rsidP="00DB6D1B" w:rsidRDefault="00DB6D1B" w14:paraId="10447A0D" w14:textId="77777777"/>
    <w:p w:rsidRPr="00DB6D1B" w:rsidR="00DB6D1B" w:rsidP="00DB6D1B" w:rsidRDefault="00DB6D1B" w14:paraId="46769E9A" w14:textId="4332D5E5">
      <w:r w:rsidRPr="00DB6D1B">
        <w:t xml:space="preserve">Het gaat om een heterogene markt met diverse productgroepen en materialen die in aparte ketens zijn georganiseerd. Het is daarom logischer om in te zoomen op een productcategorie binnen plastic in de bouw waar veel potentie zit.  </w:t>
      </w:r>
    </w:p>
    <w:p w:rsidRPr="00DB6D1B" w:rsidR="00DB6D1B" w:rsidP="00DB6D1B" w:rsidRDefault="00DB6D1B" w14:paraId="4FAF5B94" w14:textId="3F724196">
      <w:r w:rsidRPr="00DB6D1B">
        <w:t xml:space="preserve">Uit het onderzoek blijkt dat de urgentie voor ingrijpen het hoogst is voor plastic met hoge kosten voor inzameling en recycling, zoals bij zacht plastic voor isolatie. Hier vallen materialen zoals piepschuim (EPS/polystyreen), PUR, en PUR/PIR isolatieplaten onder. De samenstelling van deze producten zorgt er bovendien voor dat ze een buitenproportioneel hoge impact hebben op het milieu. Daarom is het interessant </w:t>
      </w:r>
      <w:r w:rsidR="00681E28">
        <w:t xml:space="preserve">om </w:t>
      </w:r>
      <w:r w:rsidR="00963230">
        <w:t xml:space="preserve">met name </w:t>
      </w:r>
      <w:r w:rsidRPr="00DB6D1B">
        <w:t xml:space="preserve">deze categorie verder te bekijken. </w:t>
      </w:r>
    </w:p>
    <w:p w:rsidRPr="00DB6D1B" w:rsidR="00DB6D1B" w:rsidP="00DB6D1B" w:rsidRDefault="00DB6D1B" w14:paraId="7C2FB7A9" w14:textId="6B3B3734">
      <w:r w:rsidRPr="00DB6D1B">
        <w:t xml:space="preserve">Als eerste stap wordt </w:t>
      </w:r>
      <w:r w:rsidR="00630F00">
        <w:t xml:space="preserve">nu </w:t>
      </w:r>
      <w:r w:rsidRPr="00DB6D1B">
        <w:t xml:space="preserve">vervolgonderzoek gedaan naar de inzet van het instrument uitgebreide producentenverantwoordelijkheid bij het stimuleren van hergebruik en hoogwaardige verwerking van isolatiematerialen uit de bouw. De Kamer wordt </w:t>
      </w:r>
      <w:r w:rsidR="009E6851">
        <w:t xml:space="preserve">eind van dit jaar </w:t>
      </w:r>
      <w:r w:rsidR="00681E28">
        <w:t xml:space="preserve">per brief </w:t>
      </w:r>
      <w:r w:rsidRPr="00DB6D1B">
        <w:t>over de uitkomsten geïnformeerd.</w:t>
      </w:r>
    </w:p>
    <w:p w:rsidRPr="00784870" w:rsidR="00CF0A11" w:rsidP="00784870" w:rsidRDefault="00CF0A11" w14:paraId="56B30320" w14:textId="77777777">
      <w:pPr>
        <w:rPr>
          <w:b/>
          <w:bCs/>
        </w:rPr>
      </w:pPr>
    </w:p>
    <w:p w:rsidR="00784870" w:rsidP="00784870" w:rsidRDefault="00555D9C" w14:paraId="21076E60" w14:textId="41C92BCB">
      <w:pPr>
        <w:rPr>
          <w:b/>
          <w:bCs/>
        </w:rPr>
      </w:pPr>
      <w:r>
        <w:rPr>
          <w:b/>
          <w:bCs/>
        </w:rPr>
        <w:t>Plasticrecyclaat in voertuigen</w:t>
      </w:r>
    </w:p>
    <w:p w:rsidR="00ED463A" w:rsidP="00784870" w:rsidRDefault="00025EEB" w14:paraId="025CBDEF" w14:textId="53CC41B3">
      <w:r>
        <w:t xml:space="preserve">Om de Europese markt voor recyclaat en de positie van plastic recyclers te versterken pleit </w:t>
      </w:r>
      <w:r w:rsidRPr="00C22854" w:rsidR="00C22854">
        <w:t xml:space="preserve">Nederland op Europees niveau voor het toepassen van een verplicht aandeel plasticrecyclaat in producten. Zo ook nu tijdens de onderhandelingen </w:t>
      </w:r>
      <w:r>
        <w:t>over</w:t>
      </w:r>
      <w:r w:rsidRPr="00C22854">
        <w:t xml:space="preserve"> </w:t>
      </w:r>
      <w:r w:rsidRPr="00C22854" w:rsidR="00C22854">
        <w:t xml:space="preserve">de Circulaire Voertuigen Verordening. Tijdens het </w:t>
      </w:r>
      <w:r>
        <w:t>c</w:t>
      </w:r>
      <w:r w:rsidRPr="00C22854" w:rsidR="00C22854">
        <w:t>ommissiedebat Milieuraad</w:t>
      </w:r>
      <w:r w:rsidR="00555D9C">
        <w:t xml:space="preserve"> </w:t>
      </w:r>
      <w:r>
        <w:t xml:space="preserve">van </w:t>
      </w:r>
      <w:r w:rsidR="008E643C">
        <w:t>13 maart</w:t>
      </w:r>
      <w:r>
        <w:t xml:space="preserve"> </w:t>
      </w:r>
      <w:r w:rsidR="00555D9C">
        <w:t>jl.</w:t>
      </w:r>
      <w:r w:rsidRPr="00C22854" w:rsidR="00C22854">
        <w:t xml:space="preserve"> </w:t>
      </w:r>
      <w:r w:rsidR="00681E28">
        <w:t>is</w:t>
      </w:r>
      <w:r>
        <w:t xml:space="preserve"> toegezegd terug te komen op</w:t>
      </w:r>
      <w:r w:rsidRPr="00C22854" w:rsidR="00C22854">
        <w:t xml:space="preserve"> de haalbaarheid van de verplichting om 25</w:t>
      </w:r>
      <w:r w:rsidRPr="00C22854" w:rsidR="00336CE7">
        <w:t>% gerecycled</w:t>
      </w:r>
      <w:r w:rsidRPr="00C22854" w:rsidR="00C22854">
        <w:t xml:space="preserve"> plastic toe te passen in voertuigen</w:t>
      </w:r>
      <w:r>
        <w:t>, naar aanleiding van een vraag van het lid Boutkan</w:t>
      </w:r>
      <w:r w:rsidRPr="00C22854" w:rsidR="00C22854">
        <w:t xml:space="preserve">. Deze verplichting zou volgens het voorstel van de Europese Commissie zes jaar na inwerkingtreding van de Verordening van kracht worden. </w:t>
      </w:r>
      <w:r w:rsidR="00ED463A">
        <w:t xml:space="preserve">Het gaat hierbij om een Europese wettelijke verplichting die voor alle betreffende </w:t>
      </w:r>
      <w:r w:rsidR="00C20B43">
        <w:t xml:space="preserve">voertuigen </w:t>
      </w:r>
      <w:r w:rsidR="00ED463A">
        <w:t xml:space="preserve">op de Europese markt geldt. Daarmee is dus geen sprake van een nationale kop. </w:t>
      </w:r>
    </w:p>
    <w:p w:rsidR="00ED463A" w:rsidP="00784870" w:rsidRDefault="00ED463A" w14:paraId="042E1A36" w14:textId="77777777"/>
    <w:p w:rsidRPr="00785974" w:rsidR="007456A2" w:rsidP="00784870" w:rsidRDefault="00C22854" w14:paraId="37EE36E7" w14:textId="37E1A062">
      <w:r w:rsidRPr="00C22854">
        <w:t xml:space="preserve">Bij het opstellen van een wetsvoorstel voert de Commissie altijd een ‘impact assessment’ uit. Hierin </w:t>
      </w:r>
      <w:r w:rsidR="00220607">
        <w:t>word</w:t>
      </w:r>
      <w:r w:rsidR="00A23F6E">
        <w:t>t onder andere</w:t>
      </w:r>
      <w:r w:rsidRPr="00C22854" w:rsidR="00220607">
        <w:t xml:space="preserve"> </w:t>
      </w:r>
      <w:r w:rsidRPr="00C22854">
        <w:t xml:space="preserve">de haalbaarheid van de </w:t>
      </w:r>
      <w:r w:rsidR="00220607">
        <w:t xml:space="preserve">voorgestelde </w:t>
      </w:r>
      <w:r w:rsidRPr="00C22854">
        <w:t xml:space="preserve">maatregelen </w:t>
      </w:r>
      <w:r w:rsidR="00220607">
        <w:t>beoordeeld</w:t>
      </w:r>
      <w:r w:rsidRPr="00C22854">
        <w:t xml:space="preserve">. Uit </w:t>
      </w:r>
      <w:r w:rsidR="00C20B43">
        <w:t>het</w:t>
      </w:r>
      <w:r w:rsidRPr="00C22854" w:rsidR="00C20B43">
        <w:t xml:space="preserve"> </w:t>
      </w:r>
      <w:r w:rsidRPr="00C22854">
        <w:t xml:space="preserve">impact assessment </w:t>
      </w:r>
      <w:r w:rsidR="00220607">
        <w:t xml:space="preserve">bij het voorstel voor de Circulaire Voertuigen Verordening </w:t>
      </w:r>
      <w:r w:rsidRPr="00C22854">
        <w:t xml:space="preserve">blijkt dat </w:t>
      </w:r>
      <w:r w:rsidR="00ED463A">
        <w:t>een verplichte toepassing van 25%</w:t>
      </w:r>
      <w:r w:rsidRPr="00C22854">
        <w:t xml:space="preserve"> </w:t>
      </w:r>
      <w:r w:rsidR="00ED463A">
        <w:t xml:space="preserve">plastic recyclaat </w:t>
      </w:r>
      <w:r w:rsidRPr="00C22854">
        <w:t xml:space="preserve">zes jaar </w:t>
      </w:r>
      <w:r w:rsidR="00ED463A">
        <w:t xml:space="preserve">na inwerkingtreding van de regelgeving, </w:t>
      </w:r>
      <w:r w:rsidRPr="00C22854">
        <w:t xml:space="preserve">haalbaar en realistisch is. Momenteel wordt er </w:t>
      </w:r>
      <w:r w:rsidR="00A23F6E">
        <w:t xml:space="preserve">in voertuigen </w:t>
      </w:r>
      <w:r w:rsidRPr="00C22854">
        <w:t xml:space="preserve">ongeveer 8% gerecycled plastic </w:t>
      </w:r>
      <w:r w:rsidRPr="00C22854" w:rsidR="00336CE7">
        <w:t>toegepast</w:t>
      </w:r>
      <w:r w:rsidR="0079070F">
        <w:rPr>
          <w:rStyle w:val="FootnoteReference"/>
        </w:rPr>
        <w:footnoteReference w:id="18"/>
      </w:r>
      <w:r w:rsidRPr="00C22854" w:rsidR="00336CE7">
        <w:t xml:space="preserve"> en</w:t>
      </w:r>
      <w:r w:rsidRPr="00C22854">
        <w:t xml:space="preserve"> de sector bereidt zich al voor op de voorgenomen doelstelling. Het kabinet is van mening</w:t>
      </w:r>
      <w:r w:rsidR="00A23F6E">
        <w:t xml:space="preserve"> dat</w:t>
      </w:r>
      <w:r w:rsidRPr="00C22854">
        <w:t>, gelet op de impact assessment en de tijdslijn, een verplichte toepassing van 25% plasticrecyclaat in voertuigen haalbaar is</w:t>
      </w:r>
      <w:r w:rsidR="00A23F6E">
        <w:t xml:space="preserve"> en bovendien een belangrijke steun en stimulans is voor</w:t>
      </w:r>
      <w:r w:rsidRPr="00C22854">
        <w:t xml:space="preserve"> onze recyclers.</w:t>
      </w:r>
    </w:p>
    <w:p w:rsidRPr="00784870" w:rsidR="007456A2" w:rsidP="00784870" w:rsidRDefault="007456A2" w14:paraId="19997DE9" w14:textId="77777777">
      <w:pPr>
        <w:rPr>
          <w:b/>
          <w:bCs/>
        </w:rPr>
      </w:pPr>
    </w:p>
    <w:p w:rsidR="00784870" w:rsidP="00784870" w:rsidRDefault="00785974" w14:paraId="276245BA" w14:textId="138D5ECC">
      <w:pPr>
        <w:rPr>
          <w:b/>
          <w:bCs/>
        </w:rPr>
      </w:pPr>
      <w:r w:rsidRPr="00785974">
        <w:rPr>
          <w:b/>
          <w:bCs/>
        </w:rPr>
        <w:t xml:space="preserve">Uitstel reactie op het </w:t>
      </w:r>
      <w:r w:rsidRPr="00785974" w:rsidR="00784870">
        <w:rPr>
          <w:b/>
          <w:bCs/>
        </w:rPr>
        <w:t>PBL</w:t>
      </w:r>
      <w:r w:rsidRPr="00785974">
        <w:rPr>
          <w:b/>
          <w:bCs/>
        </w:rPr>
        <w:t>-</w:t>
      </w:r>
      <w:r w:rsidRPr="00785974" w:rsidR="00784870">
        <w:rPr>
          <w:b/>
          <w:bCs/>
        </w:rPr>
        <w:t xml:space="preserve">rapport </w:t>
      </w:r>
      <w:r w:rsidRPr="00785974">
        <w:rPr>
          <w:b/>
          <w:bCs/>
        </w:rPr>
        <w:t>‘Naar een meer circulaire energietransitie met uitgebreide producentenverantwoordelijkheid’</w:t>
      </w:r>
    </w:p>
    <w:p w:rsidR="00785974" w:rsidP="00785974" w:rsidRDefault="00785974" w14:paraId="64F08745" w14:textId="539C372E">
      <w:pPr>
        <w:pStyle w:val="WitregelW1bodytekst"/>
      </w:pPr>
      <w:r>
        <w:t xml:space="preserve">Ten slotte heeft de vaste </w:t>
      </w:r>
      <w:r w:rsidR="00681E28">
        <w:t>Kamer</w:t>
      </w:r>
      <w:r>
        <w:t xml:space="preserve">commissie voor </w:t>
      </w:r>
      <w:r w:rsidR="00681E28">
        <w:t>IenW</w:t>
      </w:r>
      <w:r>
        <w:t xml:space="preserve"> </w:t>
      </w:r>
      <w:r w:rsidR="00CD3130">
        <w:t xml:space="preserve">op 20 februari 2025 </w:t>
      </w:r>
      <w:r>
        <w:t>verzocht om een reactie te geven op het PBL-rapport ‘Naar een meer circulaire energietransitie met uitgebreide producentenverantwoordelijkheid’</w:t>
      </w:r>
      <w:r w:rsidR="00365021">
        <w:t>.</w:t>
      </w:r>
      <w:r>
        <w:t xml:space="preserve"> </w:t>
      </w:r>
      <w:r w:rsidR="00681E28">
        <w:t xml:space="preserve">Vanwege goede interdepartementale afstemming lukt het niet om </w:t>
      </w:r>
      <w:r w:rsidR="00365021">
        <w:t xml:space="preserve">dit verzoek </w:t>
      </w:r>
      <w:r>
        <w:t>binnen de gestelde termijn in</w:t>
      </w:r>
      <w:r w:rsidR="00203C99">
        <w:t xml:space="preserve"> te </w:t>
      </w:r>
      <w:r>
        <w:t>willig</w:t>
      </w:r>
      <w:r w:rsidR="00203C99">
        <w:t>en</w:t>
      </w:r>
      <w:r>
        <w:t xml:space="preserve">. Daarnaast is het van belang het rapport de aandacht te geven die het verdient. </w:t>
      </w:r>
      <w:r w:rsidR="00203C99">
        <w:t>D</w:t>
      </w:r>
      <w:r>
        <w:t xml:space="preserve">e Kamer </w:t>
      </w:r>
      <w:r w:rsidR="00203C99">
        <w:t xml:space="preserve">ontvangt </w:t>
      </w:r>
      <w:r>
        <w:t>voor</w:t>
      </w:r>
      <w:r w:rsidR="00203C99">
        <w:t>afgaand aan</w:t>
      </w:r>
      <w:r>
        <w:t xml:space="preserve"> het zomerreces </w:t>
      </w:r>
      <w:r w:rsidR="00203C99">
        <w:t>een</w:t>
      </w:r>
      <w:r>
        <w:t xml:space="preserve"> reactie</w:t>
      </w:r>
      <w:r w:rsidR="00203C99">
        <w:t xml:space="preserve"> op het rapport</w:t>
      </w:r>
      <w:r>
        <w:t xml:space="preserve">. </w:t>
      </w:r>
    </w:p>
    <w:p w:rsidR="00A7495F" w:rsidP="00A7495F" w:rsidRDefault="00A7495F" w14:paraId="7DB1EE80" w14:textId="77777777"/>
    <w:p w:rsidRPr="00A7495F" w:rsidR="00A7495F" w:rsidP="00A7495F" w:rsidRDefault="00A7495F" w14:paraId="15308EAD" w14:textId="77777777">
      <w:pPr>
        <w:rPr>
          <w:b/>
          <w:bCs/>
        </w:rPr>
      </w:pPr>
      <w:bookmarkStart w:name="_Hlk195179843" w:id="1"/>
      <w:r w:rsidRPr="00A7495F">
        <w:rPr>
          <w:b/>
          <w:bCs/>
        </w:rPr>
        <w:t>Manifest MVO Nederland</w:t>
      </w:r>
    </w:p>
    <w:bookmarkEnd w:id="1"/>
    <w:p w:rsidRPr="00A7495F" w:rsidR="00A7495F" w:rsidP="00A7495F" w:rsidRDefault="00A7495F" w14:paraId="02DE2EC2" w14:textId="3277D525">
      <w:r w:rsidRPr="00A7495F">
        <w:t>Op 1 april publiceerde MVO</w:t>
      </w:r>
      <w:r>
        <w:t xml:space="preserve"> (</w:t>
      </w:r>
      <w:r w:rsidRPr="00A7495F">
        <w:t>maatschappelijk verantwoord ondernemen</w:t>
      </w:r>
      <w:r>
        <w:t>)</w:t>
      </w:r>
      <w:r w:rsidRPr="00A7495F">
        <w:t xml:space="preserve"> Nederland samen met een aantal grote bedrijven een manifest waarin zij oproepen tot actie om de circulaire economie op schaal te brengen. Het lid Kostić heeft in het ordedebat van 2 april jl. verzocht om een kabinetsreactie voor het commissiedebat van 16 april 2025. Het kabinet werkt aan een reactie die ingaat op de zes voorstellen uit het manifest. Een aparte brief daarover ontvangt de kamer uiterlijk </w:t>
      </w:r>
      <w:r w:rsidR="00260274">
        <w:t xml:space="preserve">in </w:t>
      </w:r>
      <w:r w:rsidRPr="00A7495F">
        <w:t>mei.</w:t>
      </w:r>
    </w:p>
    <w:p w:rsidR="00784870" w:rsidP="00784870" w:rsidRDefault="00784870" w14:paraId="646E5156" w14:textId="7338122C"/>
    <w:p w:rsidR="00581ECF" w:rsidRDefault="00F87C71" w14:paraId="45DEC238" w14:textId="04B17857">
      <w:pPr>
        <w:pStyle w:val="Slotzin"/>
      </w:pPr>
      <w:r>
        <w:t>Hoogachtend,</w:t>
      </w:r>
    </w:p>
    <w:p w:rsidR="00581ECF" w:rsidRDefault="00F87C71" w14:paraId="0DCDBF14" w14:textId="77777777">
      <w:pPr>
        <w:pStyle w:val="OndertekeningArea1"/>
      </w:pPr>
      <w:r>
        <w:t>DE STAATSSECRETARIS VAN INFRASTRUCTUUR EN WATERSTAAT - OPENBAAR VERVOER EN MILIEU,</w:t>
      </w:r>
    </w:p>
    <w:p w:rsidR="00581ECF" w:rsidRDefault="00581ECF" w14:paraId="292828DA" w14:textId="77777777"/>
    <w:p w:rsidR="00581ECF" w:rsidRDefault="00581ECF" w14:paraId="04B3EAB9" w14:textId="77777777"/>
    <w:p w:rsidR="00581ECF" w:rsidRDefault="00581ECF" w14:paraId="05405F2D" w14:textId="77777777"/>
    <w:p w:rsidR="00581ECF" w:rsidRDefault="00581ECF" w14:paraId="118FFC05" w14:textId="77777777"/>
    <w:p w:rsidR="00581ECF" w:rsidRDefault="00F87C71" w14:paraId="5BC407E8" w14:textId="77777777">
      <w:r>
        <w:t>C.A. Jansen</w:t>
      </w:r>
    </w:p>
    <w:sectPr w:rsidR="00581EC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15EB1" w14:textId="77777777" w:rsidR="00184B0A" w:rsidRDefault="00184B0A">
      <w:pPr>
        <w:spacing w:line="240" w:lineRule="auto"/>
      </w:pPr>
      <w:r>
        <w:separator/>
      </w:r>
    </w:p>
  </w:endnote>
  <w:endnote w:type="continuationSeparator" w:id="0">
    <w:p w14:paraId="0E21FC7E" w14:textId="77777777" w:rsidR="00184B0A" w:rsidRDefault="00184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167" w14:textId="77777777" w:rsidR="004E1BE6" w:rsidRDefault="004E1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F6BD2" w14:textId="77777777" w:rsidR="004E1BE6" w:rsidRDefault="004E1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E5584" w14:textId="77777777" w:rsidR="004E1BE6" w:rsidRDefault="004E1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2E4AB" w14:textId="77777777" w:rsidR="00184B0A" w:rsidRDefault="00184B0A">
      <w:pPr>
        <w:spacing w:line="240" w:lineRule="auto"/>
      </w:pPr>
      <w:r>
        <w:separator/>
      </w:r>
    </w:p>
  </w:footnote>
  <w:footnote w:type="continuationSeparator" w:id="0">
    <w:p w14:paraId="22615450" w14:textId="77777777" w:rsidR="00184B0A" w:rsidRDefault="00184B0A">
      <w:pPr>
        <w:spacing w:line="240" w:lineRule="auto"/>
      </w:pPr>
      <w:r>
        <w:continuationSeparator/>
      </w:r>
    </w:p>
  </w:footnote>
  <w:footnote w:id="1">
    <w:p w14:paraId="601EE8D6" w14:textId="77777777" w:rsidR="006A669C" w:rsidRPr="00AC3484" w:rsidRDefault="006A669C" w:rsidP="006A669C">
      <w:pPr>
        <w:pStyle w:val="FootnoteText"/>
        <w:rPr>
          <w:sz w:val="16"/>
          <w:szCs w:val="16"/>
        </w:rPr>
      </w:pPr>
      <w:r w:rsidRPr="00AC3484">
        <w:rPr>
          <w:rStyle w:val="FootnoteReference"/>
          <w:sz w:val="16"/>
          <w:szCs w:val="16"/>
        </w:rPr>
        <w:footnoteRef/>
      </w:r>
      <w:r w:rsidRPr="00AC3484">
        <w:rPr>
          <w:sz w:val="16"/>
          <w:szCs w:val="16"/>
        </w:rPr>
        <w:t xml:space="preserve"> Kamerstuk TZ202501-040</w:t>
      </w:r>
    </w:p>
  </w:footnote>
  <w:footnote w:id="2">
    <w:p w14:paraId="0908CB7C" w14:textId="55BBF082" w:rsidR="00295F05" w:rsidRPr="00AC3484" w:rsidRDefault="00295F05">
      <w:pPr>
        <w:pStyle w:val="FootnoteText"/>
        <w:rPr>
          <w:sz w:val="16"/>
          <w:szCs w:val="16"/>
        </w:rPr>
      </w:pPr>
      <w:r w:rsidRPr="00AC3484">
        <w:rPr>
          <w:rStyle w:val="FootnoteReference"/>
          <w:sz w:val="16"/>
          <w:szCs w:val="16"/>
        </w:rPr>
        <w:footnoteRef/>
      </w:r>
      <w:r w:rsidRPr="00AC3484">
        <w:rPr>
          <w:sz w:val="16"/>
          <w:szCs w:val="16"/>
        </w:rPr>
        <w:t xml:space="preserve"> Kamerstuk 32 852-349</w:t>
      </w:r>
    </w:p>
  </w:footnote>
  <w:footnote w:id="3">
    <w:p w14:paraId="1AAB1DD9" w14:textId="74B3DE10" w:rsidR="00295F05" w:rsidRPr="00AC3484" w:rsidRDefault="00295F05">
      <w:pPr>
        <w:pStyle w:val="FootnoteText"/>
        <w:rPr>
          <w:sz w:val="16"/>
          <w:szCs w:val="16"/>
        </w:rPr>
      </w:pPr>
      <w:r w:rsidRPr="00AC3484">
        <w:rPr>
          <w:rStyle w:val="FootnoteReference"/>
          <w:sz w:val="16"/>
          <w:szCs w:val="16"/>
        </w:rPr>
        <w:footnoteRef/>
      </w:r>
      <w:r w:rsidRPr="00AC3484">
        <w:rPr>
          <w:sz w:val="16"/>
          <w:szCs w:val="16"/>
        </w:rPr>
        <w:t xml:space="preserve"> </w:t>
      </w:r>
      <w:hyperlink r:id="rId1" w:history="1">
        <w:r w:rsidR="00F55555" w:rsidRPr="00F55555">
          <w:rPr>
            <w:rStyle w:val="Hyperlink"/>
            <w:sz w:val="16"/>
            <w:szCs w:val="16"/>
          </w:rPr>
          <w:t>https://www.rijksoverheid.nl/documenten/rapporten/2023/03/31/lca-voor-beleidsmakers-met-casestudie-over-bekers</w:t>
        </w:r>
      </w:hyperlink>
      <w:r w:rsidRPr="00AC3484">
        <w:rPr>
          <w:sz w:val="16"/>
          <w:szCs w:val="16"/>
        </w:rPr>
        <w:t xml:space="preserve"> </w:t>
      </w:r>
    </w:p>
  </w:footnote>
  <w:footnote w:id="4">
    <w:p w14:paraId="12C57C56" w14:textId="1B20D1F5" w:rsidR="00295F05" w:rsidRPr="00AC3484" w:rsidRDefault="00295F05">
      <w:pPr>
        <w:pStyle w:val="FootnoteText"/>
        <w:rPr>
          <w:sz w:val="16"/>
          <w:szCs w:val="16"/>
        </w:rPr>
      </w:pPr>
      <w:r w:rsidRPr="00AC3484">
        <w:rPr>
          <w:rStyle w:val="FootnoteReference"/>
          <w:sz w:val="16"/>
          <w:szCs w:val="16"/>
        </w:rPr>
        <w:footnoteRef/>
      </w:r>
      <w:r w:rsidRPr="00AC3484">
        <w:rPr>
          <w:sz w:val="16"/>
          <w:szCs w:val="16"/>
        </w:rPr>
        <w:t xml:space="preserve"> Kamerstuk 32 852-337</w:t>
      </w:r>
    </w:p>
  </w:footnote>
  <w:footnote w:id="5">
    <w:p w14:paraId="4C1B8A99" w14:textId="761D57C1" w:rsidR="00295F05" w:rsidRPr="00AC3484" w:rsidRDefault="00295F05">
      <w:pPr>
        <w:pStyle w:val="FootnoteText"/>
        <w:rPr>
          <w:sz w:val="16"/>
          <w:szCs w:val="16"/>
        </w:rPr>
      </w:pPr>
      <w:r w:rsidRPr="00AC3484">
        <w:rPr>
          <w:rStyle w:val="FootnoteReference"/>
          <w:sz w:val="16"/>
          <w:szCs w:val="16"/>
        </w:rPr>
        <w:footnoteRef/>
      </w:r>
      <w:r w:rsidRPr="00AC3484">
        <w:rPr>
          <w:sz w:val="16"/>
          <w:szCs w:val="16"/>
        </w:rPr>
        <w:t xml:space="preserve"> Kamerstuk 32 852-336</w:t>
      </w:r>
    </w:p>
  </w:footnote>
  <w:footnote w:id="6">
    <w:p w14:paraId="000D9248" w14:textId="3FAE6D8B" w:rsidR="00295F05" w:rsidRDefault="00295F05">
      <w:pPr>
        <w:pStyle w:val="FootnoteText"/>
      </w:pPr>
      <w:r w:rsidRPr="00AC3484">
        <w:rPr>
          <w:rStyle w:val="FootnoteReference"/>
          <w:sz w:val="16"/>
          <w:szCs w:val="16"/>
        </w:rPr>
        <w:footnoteRef/>
      </w:r>
      <w:r w:rsidRPr="00AC3484">
        <w:rPr>
          <w:sz w:val="16"/>
          <w:szCs w:val="16"/>
        </w:rPr>
        <w:t xml:space="preserve"> Kamerstuk 32 852-347</w:t>
      </w:r>
    </w:p>
  </w:footnote>
  <w:footnote w:id="7">
    <w:p w14:paraId="488DD7F8" w14:textId="0716DED0" w:rsidR="004A002E" w:rsidRPr="00AE680A" w:rsidRDefault="004A002E" w:rsidP="004A002E">
      <w:pPr>
        <w:pStyle w:val="FootnoteText"/>
        <w:rPr>
          <w:sz w:val="16"/>
          <w:szCs w:val="16"/>
        </w:rPr>
      </w:pPr>
      <w:r w:rsidRPr="00AE680A">
        <w:rPr>
          <w:rStyle w:val="FootnoteReference"/>
          <w:sz w:val="16"/>
          <w:szCs w:val="16"/>
        </w:rPr>
        <w:footnoteRef/>
      </w:r>
      <w:r w:rsidRPr="00AE680A">
        <w:rPr>
          <w:sz w:val="16"/>
          <w:szCs w:val="16"/>
        </w:rPr>
        <w:t xml:space="preserve"> Kamerstukken, 2024/25, 32 852, nr</w:t>
      </w:r>
      <w:r w:rsidR="004E1BE6">
        <w:rPr>
          <w:sz w:val="16"/>
          <w:szCs w:val="16"/>
        </w:rPr>
        <w:t>.</w:t>
      </w:r>
      <w:r w:rsidRPr="00AE680A">
        <w:rPr>
          <w:sz w:val="16"/>
          <w:szCs w:val="16"/>
        </w:rPr>
        <w:t xml:space="preserve"> 334; TZ202501-045</w:t>
      </w:r>
    </w:p>
  </w:footnote>
  <w:footnote w:id="8">
    <w:p w14:paraId="25C016B0" w14:textId="74CADF2A" w:rsidR="00DA3BE4" w:rsidRPr="00AE680A" w:rsidRDefault="00DA3BE4" w:rsidP="00DA3BE4">
      <w:pPr>
        <w:pStyle w:val="FootnoteText"/>
        <w:rPr>
          <w:sz w:val="16"/>
          <w:szCs w:val="16"/>
        </w:rPr>
      </w:pPr>
      <w:r w:rsidRPr="00AE680A">
        <w:rPr>
          <w:rStyle w:val="FootnoteReference"/>
          <w:sz w:val="16"/>
          <w:szCs w:val="16"/>
        </w:rPr>
        <w:footnoteRef/>
      </w:r>
      <w:r w:rsidRPr="00AE680A">
        <w:rPr>
          <w:sz w:val="16"/>
          <w:szCs w:val="16"/>
        </w:rPr>
        <w:t xml:space="preserve"> </w:t>
      </w:r>
      <w:r w:rsidR="004970F8" w:rsidRPr="00AE680A">
        <w:rPr>
          <w:sz w:val="16"/>
          <w:szCs w:val="16"/>
        </w:rPr>
        <w:t>Kamerstukken, 2024/25, 32 813, nr.1438; TZ202403-051</w:t>
      </w:r>
    </w:p>
  </w:footnote>
  <w:footnote w:id="9">
    <w:p w14:paraId="553327E4" w14:textId="77777777" w:rsidR="00DA3BE4" w:rsidRPr="000E6EF0" w:rsidRDefault="00DA3BE4" w:rsidP="00DA3BE4">
      <w:pPr>
        <w:pStyle w:val="FootnoteText"/>
        <w:rPr>
          <w:sz w:val="16"/>
          <w:szCs w:val="16"/>
        </w:rPr>
      </w:pPr>
      <w:r w:rsidRPr="00AE680A">
        <w:rPr>
          <w:rStyle w:val="FootnoteReference"/>
          <w:sz w:val="16"/>
          <w:szCs w:val="16"/>
        </w:rPr>
        <w:footnoteRef/>
      </w:r>
      <w:r w:rsidRPr="00AE680A">
        <w:rPr>
          <w:sz w:val="16"/>
          <w:szCs w:val="16"/>
        </w:rPr>
        <w:t xml:space="preserve"> In lijn met het Rli-adviesrapport</w:t>
      </w:r>
      <w:r w:rsidRPr="00AE680A">
        <w:rPr>
          <w:rStyle w:val="FootnoteReference"/>
          <w:sz w:val="16"/>
          <w:szCs w:val="16"/>
        </w:rPr>
        <w:t xml:space="preserve"> </w:t>
      </w:r>
      <w:hyperlink r:id="rId2" w:history="1">
        <w:r w:rsidRPr="00AE680A">
          <w:rPr>
            <w:rStyle w:val="Hyperlink"/>
            <w:sz w:val="16"/>
            <w:szCs w:val="16"/>
          </w:rPr>
          <w:t>'Weg van de wegwerpmaatschappij’</w:t>
        </w:r>
      </w:hyperlink>
      <w:r w:rsidRPr="00AE680A">
        <w:rPr>
          <w:sz w:val="16"/>
          <w:szCs w:val="16"/>
        </w:rPr>
        <w:t xml:space="preserve"> (november 2023) worden wegwerpproducten gedefinieerd als goedkope, niet-duurzame goederen met een korte gebruiksduur en negatieve milieueffecten. De focus ligt in dit rapport bij de productgroepen textiel, meubels en elektrische en elektronische apparaten.</w:t>
      </w:r>
    </w:p>
  </w:footnote>
  <w:footnote w:id="10">
    <w:p w14:paraId="268E3A62" w14:textId="77777777" w:rsidR="00DA3BE4" w:rsidRPr="000E6EF0" w:rsidRDefault="00DA3BE4" w:rsidP="00DA3BE4">
      <w:pPr>
        <w:pStyle w:val="FootnoteText"/>
        <w:rPr>
          <w:sz w:val="16"/>
          <w:szCs w:val="16"/>
        </w:rPr>
      </w:pPr>
      <w:r w:rsidRPr="000E6EF0">
        <w:rPr>
          <w:rStyle w:val="FootnoteReference"/>
          <w:sz w:val="16"/>
          <w:szCs w:val="16"/>
        </w:rPr>
        <w:footnoteRef/>
      </w:r>
      <w:r w:rsidRPr="000E6EF0">
        <w:rPr>
          <w:sz w:val="16"/>
          <w:szCs w:val="16"/>
        </w:rPr>
        <w:t xml:space="preserve"> Onderzoeksrapport ‘Gedragseffecten van maatregelen gericht op het verminderen van de koopprikkel’ door onderzoeksbureau D&amp;B in opdracht van IenW (nog niet gepubliceerd)</w:t>
      </w:r>
    </w:p>
  </w:footnote>
  <w:footnote w:id="11">
    <w:p w14:paraId="3962924D" w14:textId="19411FB3" w:rsidR="00DA3BE4" w:rsidRPr="0092332B" w:rsidRDefault="00DA3BE4" w:rsidP="00DA3BE4">
      <w:pPr>
        <w:pStyle w:val="FootnoteText"/>
        <w:rPr>
          <w:sz w:val="16"/>
          <w:szCs w:val="16"/>
        </w:rPr>
      </w:pPr>
      <w:r w:rsidRPr="0092332B">
        <w:rPr>
          <w:rStyle w:val="FootnoteReference"/>
          <w:sz w:val="16"/>
          <w:szCs w:val="16"/>
        </w:rPr>
        <w:footnoteRef/>
      </w:r>
      <w:r w:rsidR="00E12735" w:rsidRPr="0092332B">
        <w:rPr>
          <w:sz w:val="16"/>
          <w:szCs w:val="16"/>
        </w:rPr>
        <w:t xml:space="preserve"> Kamerstukken</w:t>
      </w:r>
      <w:r w:rsidR="00555D9C" w:rsidRPr="0092332B">
        <w:rPr>
          <w:sz w:val="16"/>
          <w:szCs w:val="16"/>
        </w:rPr>
        <w:t xml:space="preserve"> II</w:t>
      </w:r>
      <w:r w:rsidR="00E12735" w:rsidRPr="0092332B">
        <w:rPr>
          <w:sz w:val="16"/>
          <w:szCs w:val="16"/>
        </w:rPr>
        <w:t>, 2024/25, 32 813, nr.1438</w:t>
      </w:r>
    </w:p>
  </w:footnote>
  <w:footnote w:id="12">
    <w:p w14:paraId="05A1F3F0" w14:textId="45C49C04" w:rsidR="00555D9C" w:rsidRPr="0092332B" w:rsidRDefault="00555D9C">
      <w:pPr>
        <w:pStyle w:val="FootnoteText"/>
        <w:rPr>
          <w:sz w:val="16"/>
          <w:szCs w:val="16"/>
        </w:rPr>
      </w:pPr>
      <w:r w:rsidRPr="0092332B">
        <w:rPr>
          <w:rStyle w:val="FootnoteReference"/>
          <w:sz w:val="16"/>
          <w:szCs w:val="16"/>
        </w:rPr>
        <w:footnoteRef/>
      </w:r>
      <w:r w:rsidRPr="0092332B">
        <w:rPr>
          <w:sz w:val="16"/>
          <w:szCs w:val="16"/>
        </w:rPr>
        <w:t xml:space="preserve"> Kamerstukken II, 2024/25, 32 852, nr. 232</w:t>
      </w:r>
    </w:p>
  </w:footnote>
  <w:footnote w:id="13">
    <w:p w14:paraId="50B86A9A" w14:textId="02A436B2" w:rsidR="0092332B" w:rsidRDefault="0092332B">
      <w:pPr>
        <w:pStyle w:val="FootnoteText"/>
      </w:pPr>
      <w:r w:rsidRPr="0092332B">
        <w:rPr>
          <w:rStyle w:val="FootnoteReference"/>
          <w:sz w:val="16"/>
          <w:szCs w:val="16"/>
        </w:rPr>
        <w:footnoteRef/>
      </w:r>
      <w:r w:rsidRPr="0092332B">
        <w:rPr>
          <w:sz w:val="16"/>
          <w:szCs w:val="16"/>
        </w:rPr>
        <w:t xml:space="preserve"> Kamerstuk 32852, nr. 270</w:t>
      </w:r>
    </w:p>
  </w:footnote>
  <w:footnote w:id="14">
    <w:p w14:paraId="34ED20CF" w14:textId="27A72AE1" w:rsidR="0092332B" w:rsidRPr="0092332B" w:rsidRDefault="0092332B">
      <w:pPr>
        <w:pStyle w:val="FootnoteText"/>
        <w:rPr>
          <w:sz w:val="16"/>
          <w:szCs w:val="16"/>
        </w:rPr>
      </w:pPr>
      <w:r w:rsidRPr="0092332B">
        <w:rPr>
          <w:rStyle w:val="FootnoteReference"/>
          <w:sz w:val="16"/>
          <w:szCs w:val="16"/>
        </w:rPr>
        <w:footnoteRef/>
      </w:r>
      <w:r w:rsidRPr="0092332B">
        <w:rPr>
          <w:sz w:val="16"/>
          <w:szCs w:val="16"/>
        </w:rPr>
        <w:t xml:space="preserve"> Kamerstuk 21501-18, nr.913</w:t>
      </w:r>
    </w:p>
  </w:footnote>
  <w:footnote w:id="15">
    <w:p w14:paraId="68B35133" w14:textId="6FE6F807" w:rsidR="004F1127" w:rsidRDefault="004F1127">
      <w:pPr>
        <w:pStyle w:val="FootnoteText"/>
      </w:pPr>
      <w:r w:rsidRPr="0092332B">
        <w:rPr>
          <w:rStyle w:val="FootnoteReference"/>
          <w:sz w:val="16"/>
          <w:szCs w:val="16"/>
        </w:rPr>
        <w:footnoteRef/>
      </w:r>
      <w:r w:rsidRPr="0092332B">
        <w:rPr>
          <w:sz w:val="16"/>
          <w:szCs w:val="16"/>
        </w:rPr>
        <w:t xml:space="preserve"> Kamerstukken II, 2024/25, 36 600 XII, nr.78</w:t>
      </w:r>
    </w:p>
  </w:footnote>
  <w:footnote w:id="16">
    <w:p w14:paraId="6D6E0677" w14:textId="74EF2D32" w:rsidR="0065667D" w:rsidRPr="00681E19" w:rsidRDefault="0065667D">
      <w:pPr>
        <w:pStyle w:val="FootnoteText"/>
        <w:rPr>
          <w:sz w:val="16"/>
          <w:szCs w:val="16"/>
        </w:rPr>
      </w:pPr>
      <w:r w:rsidRPr="00681E19">
        <w:rPr>
          <w:rStyle w:val="FootnoteReference"/>
          <w:sz w:val="16"/>
          <w:szCs w:val="16"/>
        </w:rPr>
        <w:footnoteRef/>
      </w:r>
      <w:r w:rsidRPr="00681E19">
        <w:rPr>
          <w:sz w:val="16"/>
          <w:szCs w:val="16"/>
        </w:rPr>
        <w:t xml:space="preserve"> </w:t>
      </w:r>
      <w:hyperlink r:id="rId3" w:history="1">
        <w:r w:rsidRPr="00681E19">
          <w:rPr>
            <w:rStyle w:val="Hyperlink"/>
            <w:sz w:val="16"/>
            <w:szCs w:val="16"/>
          </w:rPr>
          <w:t>Overeenkomst krachtenbundeling Rijk-regio circulaire economie 2025-2026 | Nederland circulair in 2050</w:t>
        </w:r>
      </w:hyperlink>
    </w:p>
  </w:footnote>
  <w:footnote w:id="17">
    <w:p w14:paraId="37DEC16F" w14:textId="393832BE" w:rsidR="00555D9C" w:rsidRDefault="00555D9C">
      <w:pPr>
        <w:pStyle w:val="FootnoteText"/>
      </w:pPr>
      <w:r w:rsidRPr="00681E19">
        <w:rPr>
          <w:rStyle w:val="FootnoteReference"/>
          <w:sz w:val="16"/>
          <w:szCs w:val="16"/>
        </w:rPr>
        <w:footnoteRef/>
      </w:r>
      <w:r w:rsidRPr="00681E19">
        <w:rPr>
          <w:sz w:val="16"/>
          <w:szCs w:val="16"/>
        </w:rPr>
        <w:t xml:space="preserve"> Kamerstukken II 2024/25, 32 852, nr</w:t>
      </w:r>
      <w:r w:rsidR="00FC5D5C" w:rsidRPr="00681E19">
        <w:rPr>
          <w:sz w:val="16"/>
          <w:szCs w:val="16"/>
        </w:rPr>
        <w:t>.</w:t>
      </w:r>
      <w:r w:rsidRPr="00681E19">
        <w:rPr>
          <w:sz w:val="16"/>
          <w:szCs w:val="16"/>
        </w:rPr>
        <w:t>324</w:t>
      </w:r>
    </w:p>
  </w:footnote>
  <w:footnote w:id="18">
    <w:p w14:paraId="6AC9635E" w14:textId="77777777" w:rsidR="0079070F" w:rsidRPr="0079070F" w:rsidRDefault="0079070F" w:rsidP="0079070F">
      <w:pPr>
        <w:pStyle w:val="FootnoteText"/>
        <w:rPr>
          <w:sz w:val="16"/>
          <w:szCs w:val="16"/>
        </w:rPr>
      </w:pPr>
      <w:r w:rsidRPr="0079070F">
        <w:rPr>
          <w:rStyle w:val="FootnoteReference"/>
          <w:sz w:val="16"/>
          <w:szCs w:val="16"/>
        </w:rPr>
        <w:footnoteRef/>
      </w:r>
      <w:r w:rsidRPr="0079070F">
        <w:rPr>
          <w:sz w:val="16"/>
          <w:szCs w:val="16"/>
        </w:rPr>
        <w:t xml:space="preserve"> </w:t>
      </w:r>
      <w:hyperlink r:id="rId4" w:history="1">
        <w:r w:rsidRPr="0079070F">
          <w:rPr>
            <w:rStyle w:val="Hyperlink"/>
            <w:sz w:val="16"/>
            <w:szCs w:val="16"/>
          </w:rPr>
          <w:t>https://www.internetconsultatie.nl/nationale_circulaire_plastic_norm/document/12507</w:t>
        </w:r>
      </w:hyperlink>
    </w:p>
    <w:p w14:paraId="3B3D8AA7" w14:textId="4AF607A8" w:rsidR="0079070F" w:rsidRDefault="0079070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39B31" w14:textId="77777777" w:rsidR="004E1BE6" w:rsidRDefault="004E1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504AC" w14:textId="77777777" w:rsidR="00581ECF" w:rsidRDefault="00F87C71">
    <w:r>
      <w:rPr>
        <w:noProof/>
        <w:lang w:val="en-GB" w:eastAsia="en-GB"/>
      </w:rPr>
      <mc:AlternateContent>
        <mc:Choice Requires="wps">
          <w:drawing>
            <wp:anchor distT="0" distB="0" distL="0" distR="0" simplePos="0" relativeHeight="251651584" behindDoc="0" locked="1" layoutInCell="1" allowOverlap="1" wp14:anchorId="672145F1" wp14:editId="02850B8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98F35F7" w14:textId="77777777" w:rsidR="00581ECF" w:rsidRDefault="00F87C71">
                          <w:pPr>
                            <w:pStyle w:val="AfzendgegevensKop0"/>
                          </w:pPr>
                          <w:r>
                            <w:t>Ministerie van Infrastructuur en Waterstaat</w:t>
                          </w:r>
                        </w:p>
                        <w:p w14:paraId="0BA0A06F" w14:textId="77777777" w:rsidR="00336CE7" w:rsidRDefault="00336CE7" w:rsidP="00336CE7"/>
                        <w:p w14:paraId="685B57DF" w14:textId="600CF35C" w:rsidR="00336CE7" w:rsidRPr="00336CE7" w:rsidRDefault="00336CE7" w:rsidP="00336CE7">
                          <w:pPr>
                            <w:rPr>
                              <w:b/>
                              <w:bCs/>
                              <w:sz w:val="13"/>
                              <w:szCs w:val="13"/>
                            </w:rPr>
                          </w:pPr>
                          <w:r w:rsidRPr="00336CE7">
                            <w:rPr>
                              <w:b/>
                              <w:bCs/>
                              <w:sz w:val="13"/>
                              <w:szCs w:val="13"/>
                            </w:rPr>
                            <w:t>Ons kenmerk</w:t>
                          </w:r>
                        </w:p>
                        <w:p w14:paraId="31B2798B" w14:textId="6729DF74" w:rsidR="00336CE7" w:rsidRPr="00336CE7" w:rsidRDefault="00336CE7" w:rsidP="00336CE7">
                          <w:pPr>
                            <w:rPr>
                              <w:sz w:val="13"/>
                              <w:szCs w:val="13"/>
                            </w:rPr>
                          </w:pPr>
                          <w:r w:rsidRPr="00336CE7">
                            <w:rPr>
                              <w:sz w:val="13"/>
                              <w:szCs w:val="13"/>
                            </w:rPr>
                            <w:t>IENW/BSK-2025/75732</w:t>
                          </w:r>
                        </w:p>
                      </w:txbxContent>
                    </wps:txbx>
                    <wps:bodyPr vert="horz" wrap="square" lIns="0" tIns="0" rIns="0" bIns="0" anchor="t" anchorCtr="0"/>
                  </wps:wsp>
                </a:graphicData>
              </a:graphic>
            </wp:anchor>
          </w:drawing>
        </mc:Choice>
        <mc:Fallback>
          <w:pict>
            <v:shapetype w14:anchorId="672145F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98F35F7" w14:textId="77777777" w:rsidR="00581ECF" w:rsidRDefault="00F87C71">
                    <w:pPr>
                      <w:pStyle w:val="AfzendgegevensKop0"/>
                    </w:pPr>
                    <w:r>
                      <w:t>Ministerie van Infrastructuur en Waterstaat</w:t>
                    </w:r>
                  </w:p>
                  <w:p w14:paraId="0BA0A06F" w14:textId="77777777" w:rsidR="00336CE7" w:rsidRDefault="00336CE7" w:rsidP="00336CE7"/>
                  <w:p w14:paraId="685B57DF" w14:textId="600CF35C" w:rsidR="00336CE7" w:rsidRPr="00336CE7" w:rsidRDefault="00336CE7" w:rsidP="00336CE7">
                    <w:pPr>
                      <w:rPr>
                        <w:b/>
                        <w:bCs/>
                        <w:sz w:val="13"/>
                        <w:szCs w:val="13"/>
                      </w:rPr>
                    </w:pPr>
                    <w:r w:rsidRPr="00336CE7">
                      <w:rPr>
                        <w:b/>
                        <w:bCs/>
                        <w:sz w:val="13"/>
                        <w:szCs w:val="13"/>
                      </w:rPr>
                      <w:t>Ons kenmerk</w:t>
                    </w:r>
                  </w:p>
                  <w:p w14:paraId="31B2798B" w14:textId="6729DF74" w:rsidR="00336CE7" w:rsidRPr="00336CE7" w:rsidRDefault="00336CE7" w:rsidP="00336CE7">
                    <w:pPr>
                      <w:rPr>
                        <w:sz w:val="13"/>
                        <w:szCs w:val="13"/>
                      </w:rPr>
                    </w:pPr>
                    <w:r w:rsidRPr="00336CE7">
                      <w:rPr>
                        <w:sz w:val="13"/>
                        <w:szCs w:val="13"/>
                      </w:rPr>
                      <w:t>IENW/BSK-2025/75732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5187091" wp14:editId="55A356C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BE893F" w14:textId="59F5FBB2" w:rsidR="00581ECF" w:rsidRDefault="00F87C71">
                          <w:pPr>
                            <w:pStyle w:val="Referentiegegevens"/>
                          </w:pPr>
                          <w:r>
                            <w:t xml:space="preserve">Pagina </w:t>
                          </w:r>
                          <w:r>
                            <w:fldChar w:fldCharType="begin"/>
                          </w:r>
                          <w:r>
                            <w:instrText>PAGE</w:instrText>
                          </w:r>
                          <w:r>
                            <w:fldChar w:fldCharType="separate"/>
                          </w:r>
                          <w:r w:rsidR="00784870">
                            <w:rPr>
                              <w:noProof/>
                            </w:rPr>
                            <w:t>2</w:t>
                          </w:r>
                          <w:r>
                            <w:fldChar w:fldCharType="end"/>
                          </w:r>
                          <w:r>
                            <w:t xml:space="preserve"> van </w:t>
                          </w:r>
                          <w:r>
                            <w:fldChar w:fldCharType="begin"/>
                          </w:r>
                          <w:r>
                            <w:instrText>NUMPAGES</w:instrText>
                          </w:r>
                          <w:r>
                            <w:fldChar w:fldCharType="separate"/>
                          </w:r>
                          <w:r w:rsidR="00A70ECB">
                            <w:rPr>
                              <w:noProof/>
                            </w:rPr>
                            <w:t>1</w:t>
                          </w:r>
                          <w:r>
                            <w:fldChar w:fldCharType="end"/>
                          </w:r>
                        </w:p>
                      </w:txbxContent>
                    </wps:txbx>
                    <wps:bodyPr vert="horz" wrap="square" lIns="0" tIns="0" rIns="0" bIns="0" anchor="t" anchorCtr="0"/>
                  </wps:wsp>
                </a:graphicData>
              </a:graphic>
            </wp:anchor>
          </w:drawing>
        </mc:Choice>
        <mc:Fallback>
          <w:pict>
            <v:shape w14:anchorId="4518709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DBE893F" w14:textId="59F5FBB2" w:rsidR="00581ECF" w:rsidRDefault="00F87C71">
                    <w:pPr>
                      <w:pStyle w:val="Referentiegegevens"/>
                    </w:pPr>
                    <w:r>
                      <w:t xml:space="preserve">Pagina </w:t>
                    </w:r>
                    <w:r>
                      <w:fldChar w:fldCharType="begin"/>
                    </w:r>
                    <w:r>
                      <w:instrText>PAGE</w:instrText>
                    </w:r>
                    <w:r>
                      <w:fldChar w:fldCharType="separate"/>
                    </w:r>
                    <w:r w:rsidR="00784870">
                      <w:rPr>
                        <w:noProof/>
                      </w:rPr>
                      <w:t>2</w:t>
                    </w:r>
                    <w:r>
                      <w:fldChar w:fldCharType="end"/>
                    </w:r>
                    <w:r>
                      <w:t xml:space="preserve"> van </w:t>
                    </w:r>
                    <w:r>
                      <w:fldChar w:fldCharType="begin"/>
                    </w:r>
                    <w:r>
                      <w:instrText>NUMPAGES</w:instrText>
                    </w:r>
                    <w:r>
                      <w:fldChar w:fldCharType="separate"/>
                    </w:r>
                    <w:r w:rsidR="00A70EC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645C512" wp14:editId="6DA6322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3ADEDE" w14:textId="77777777" w:rsidR="00F87C71" w:rsidRDefault="00F87C71"/>
                      </w:txbxContent>
                    </wps:txbx>
                    <wps:bodyPr vert="horz" wrap="square" lIns="0" tIns="0" rIns="0" bIns="0" anchor="t" anchorCtr="0"/>
                  </wps:wsp>
                </a:graphicData>
              </a:graphic>
            </wp:anchor>
          </w:drawing>
        </mc:Choice>
        <mc:Fallback>
          <w:pict>
            <v:shape w14:anchorId="7645C51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13ADEDE" w14:textId="77777777" w:rsidR="00F87C71" w:rsidRDefault="00F87C7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BDE2017" wp14:editId="3381CED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1F64D5" w14:textId="77777777" w:rsidR="00F87C71" w:rsidRDefault="00F87C71"/>
                      </w:txbxContent>
                    </wps:txbx>
                    <wps:bodyPr vert="horz" wrap="square" lIns="0" tIns="0" rIns="0" bIns="0" anchor="t" anchorCtr="0"/>
                  </wps:wsp>
                </a:graphicData>
              </a:graphic>
            </wp:anchor>
          </w:drawing>
        </mc:Choice>
        <mc:Fallback>
          <w:pict>
            <v:shape w14:anchorId="1BDE201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21F64D5" w14:textId="77777777" w:rsidR="00F87C71" w:rsidRDefault="00F87C7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F5517" w14:textId="77777777" w:rsidR="00581ECF" w:rsidRDefault="00F87C7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5E83E89" wp14:editId="09B3C4F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3A8A429" w14:textId="77777777" w:rsidR="00F87C71" w:rsidRDefault="00F87C71"/>
                      </w:txbxContent>
                    </wps:txbx>
                    <wps:bodyPr vert="horz" wrap="square" lIns="0" tIns="0" rIns="0" bIns="0" anchor="t" anchorCtr="0"/>
                  </wps:wsp>
                </a:graphicData>
              </a:graphic>
            </wp:anchor>
          </w:drawing>
        </mc:Choice>
        <mc:Fallback>
          <w:pict>
            <v:shapetype w14:anchorId="15E83E8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3A8A429" w14:textId="77777777" w:rsidR="00F87C71" w:rsidRDefault="00F87C7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0991917" wp14:editId="1C6478E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F21471" w14:textId="4F6B7143" w:rsidR="00581ECF" w:rsidRDefault="00F87C71">
                          <w:pPr>
                            <w:pStyle w:val="Referentiegegevens"/>
                          </w:pPr>
                          <w:r>
                            <w:t xml:space="preserve">Pagina </w:t>
                          </w:r>
                          <w:r>
                            <w:fldChar w:fldCharType="begin"/>
                          </w:r>
                          <w:r>
                            <w:instrText>PAGE</w:instrText>
                          </w:r>
                          <w:r>
                            <w:fldChar w:fldCharType="separate"/>
                          </w:r>
                          <w:r w:rsidR="00F540C4">
                            <w:rPr>
                              <w:noProof/>
                            </w:rPr>
                            <w:t>1</w:t>
                          </w:r>
                          <w:r>
                            <w:fldChar w:fldCharType="end"/>
                          </w:r>
                          <w:r>
                            <w:t xml:space="preserve"> van </w:t>
                          </w:r>
                          <w:r>
                            <w:fldChar w:fldCharType="begin"/>
                          </w:r>
                          <w:r>
                            <w:instrText>NUMPAGES</w:instrText>
                          </w:r>
                          <w:r>
                            <w:fldChar w:fldCharType="separate"/>
                          </w:r>
                          <w:r w:rsidR="00F540C4">
                            <w:rPr>
                              <w:noProof/>
                            </w:rPr>
                            <w:t>2</w:t>
                          </w:r>
                          <w:r>
                            <w:fldChar w:fldCharType="end"/>
                          </w:r>
                        </w:p>
                      </w:txbxContent>
                    </wps:txbx>
                    <wps:bodyPr vert="horz" wrap="square" lIns="0" tIns="0" rIns="0" bIns="0" anchor="t" anchorCtr="0"/>
                  </wps:wsp>
                </a:graphicData>
              </a:graphic>
            </wp:anchor>
          </w:drawing>
        </mc:Choice>
        <mc:Fallback>
          <w:pict>
            <v:shape w14:anchorId="5099191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0F21471" w14:textId="4F6B7143" w:rsidR="00581ECF" w:rsidRDefault="00F87C71">
                    <w:pPr>
                      <w:pStyle w:val="Referentiegegevens"/>
                    </w:pPr>
                    <w:r>
                      <w:t xml:space="preserve">Pagina </w:t>
                    </w:r>
                    <w:r>
                      <w:fldChar w:fldCharType="begin"/>
                    </w:r>
                    <w:r>
                      <w:instrText>PAGE</w:instrText>
                    </w:r>
                    <w:r>
                      <w:fldChar w:fldCharType="separate"/>
                    </w:r>
                    <w:r w:rsidR="00F540C4">
                      <w:rPr>
                        <w:noProof/>
                      </w:rPr>
                      <w:t>1</w:t>
                    </w:r>
                    <w:r>
                      <w:fldChar w:fldCharType="end"/>
                    </w:r>
                    <w:r>
                      <w:t xml:space="preserve"> van </w:t>
                    </w:r>
                    <w:r>
                      <w:fldChar w:fldCharType="begin"/>
                    </w:r>
                    <w:r>
                      <w:instrText>NUMPAGES</w:instrText>
                    </w:r>
                    <w:r>
                      <w:fldChar w:fldCharType="separate"/>
                    </w:r>
                    <w:r w:rsidR="00F540C4">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57DE3F8" wp14:editId="599F7C9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3047E5" w14:textId="77777777" w:rsidR="00581ECF" w:rsidRDefault="00F87C71">
                          <w:pPr>
                            <w:pStyle w:val="AfzendgegevensKop0"/>
                          </w:pPr>
                          <w:r>
                            <w:t>Ministerie van Infrastructuur en Waterstaat</w:t>
                          </w:r>
                        </w:p>
                        <w:p w14:paraId="6142C6F9" w14:textId="77777777" w:rsidR="00581ECF" w:rsidRDefault="00581ECF">
                          <w:pPr>
                            <w:pStyle w:val="WitregelW1"/>
                          </w:pPr>
                        </w:p>
                        <w:p w14:paraId="59D833CB" w14:textId="77777777" w:rsidR="00581ECF" w:rsidRDefault="00F87C71">
                          <w:pPr>
                            <w:pStyle w:val="Afzendgegevens"/>
                          </w:pPr>
                          <w:r>
                            <w:t>Rijnstraat 8</w:t>
                          </w:r>
                        </w:p>
                        <w:p w14:paraId="5647DDD1" w14:textId="11559CE8" w:rsidR="00581ECF" w:rsidRPr="00784870" w:rsidRDefault="00F87C71">
                          <w:pPr>
                            <w:pStyle w:val="Afzendgegevens"/>
                            <w:rPr>
                              <w:lang w:val="de-DE"/>
                            </w:rPr>
                          </w:pPr>
                          <w:r w:rsidRPr="00784870">
                            <w:rPr>
                              <w:lang w:val="de-DE"/>
                            </w:rPr>
                            <w:t xml:space="preserve">2515 </w:t>
                          </w:r>
                          <w:r w:rsidR="00336CE7" w:rsidRPr="00784870">
                            <w:rPr>
                              <w:lang w:val="de-DE"/>
                            </w:rPr>
                            <w:t>XP Den</w:t>
                          </w:r>
                          <w:r w:rsidRPr="00784870">
                            <w:rPr>
                              <w:lang w:val="de-DE"/>
                            </w:rPr>
                            <w:t xml:space="preserve"> Haag</w:t>
                          </w:r>
                        </w:p>
                        <w:p w14:paraId="1E158A6C" w14:textId="77777777" w:rsidR="00581ECF" w:rsidRPr="00784870" w:rsidRDefault="00F87C71">
                          <w:pPr>
                            <w:pStyle w:val="Afzendgegevens"/>
                            <w:rPr>
                              <w:lang w:val="de-DE"/>
                            </w:rPr>
                          </w:pPr>
                          <w:r w:rsidRPr="00784870">
                            <w:rPr>
                              <w:lang w:val="de-DE"/>
                            </w:rPr>
                            <w:t>Postbus 20901</w:t>
                          </w:r>
                        </w:p>
                        <w:p w14:paraId="3B6C0F80" w14:textId="77777777" w:rsidR="00581ECF" w:rsidRPr="00784870" w:rsidRDefault="00F87C71">
                          <w:pPr>
                            <w:pStyle w:val="Afzendgegevens"/>
                            <w:rPr>
                              <w:lang w:val="de-DE"/>
                            </w:rPr>
                          </w:pPr>
                          <w:r w:rsidRPr="00784870">
                            <w:rPr>
                              <w:lang w:val="de-DE"/>
                            </w:rPr>
                            <w:t>2500 EX Den Haag</w:t>
                          </w:r>
                        </w:p>
                        <w:p w14:paraId="3B9B792B" w14:textId="77777777" w:rsidR="00581ECF" w:rsidRPr="00784870" w:rsidRDefault="00581ECF">
                          <w:pPr>
                            <w:pStyle w:val="WitregelW1"/>
                            <w:rPr>
                              <w:lang w:val="de-DE"/>
                            </w:rPr>
                          </w:pPr>
                        </w:p>
                        <w:p w14:paraId="56842E07" w14:textId="77777777" w:rsidR="00581ECF" w:rsidRPr="00784870" w:rsidRDefault="00F87C71">
                          <w:pPr>
                            <w:pStyle w:val="Afzendgegevens"/>
                            <w:rPr>
                              <w:lang w:val="de-DE"/>
                            </w:rPr>
                          </w:pPr>
                          <w:r w:rsidRPr="00784870">
                            <w:rPr>
                              <w:lang w:val="de-DE"/>
                            </w:rPr>
                            <w:t>T   070-456 0000</w:t>
                          </w:r>
                        </w:p>
                        <w:p w14:paraId="27E6A05B" w14:textId="77777777" w:rsidR="00581ECF" w:rsidRDefault="00F87C71">
                          <w:pPr>
                            <w:pStyle w:val="Afzendgegevens"/>
                          </w:pPr>
                          <w:r>
                            <w:t>F   070-456 1111</w:t>
                          </w:r>
                        </w:p>
                        <w:p w14:paraId="55780F60" w14:textId="77777777" w:rsidR="00784870" w:rsidRPr="006B1AB3" w:rsidRDefault="00784870" w:rsidP="006B1AB3">
                          <w:pPr>
                            <w:spacing w:line="276" w:lineRule="auto"/>
                            <w:rPr>
                              <w:b/>
                              <w:bCs/>
                              <w:sz w:val="13"/>
                              <w:szCs w:val="13"/>
                            </w:rPr>
                          </w:pPr>
                        </w:p>
                        <w:p w14:paraId="6EE42A4C" w14:textId="6D47C94D" w:rsidR="00784870" w:rsidRPr="006B1AB3" w:rsidRDefault="00784870" w:rsidP="006B1AB3">
                          <w:pPr>
                            <w:spacing w:line="276" w:lineRule="auto"/>
                            <w:rPr>
                              <w:b/>
                              <w:bCs/>
                              <w:sz w:val="13"/>
                              <w:szCs w:val="13"/>
                            </w:rPr>
                          </w:pPr>
                          <w:r w:rsidRPr="006B1AB3">
                            <w:rPr>
                              <w:b/>
                              <w:bCs/>
                              <w:sz w:val="13"/>
                              <w:szCs w:val="13"/>
                            </w:rPr>
                            <w:t>Ons kenmerk</w:t>
                          </w:r>
                        </w:p>
                        <w:p w14:paraId="5A5E2D20" w14:textId="05D4CC2F" w:rsidR="00784870" w:rsidRDefault="006C5426" w:rsidP="006B1AB3">
                          <w:pPr>
                            <w:spacing w:line="276" w:lineRule="auto"/>
                            <w:rPr>
                              <w:sz w:val="13"/>
                              <w:szCs w:val="13"/>
                            </w:rPr>
                          </w:pPr>
                          <w:r w:rsidRPr="006B1AB3">
                            <w:rPr>
                              <w:sz w:val="13"/>
                              <w:szCs w:val="13"/>
                            </w:rPr>
                            <w:t>IENW/BSK-2025/75732</w:t>
                          </w:r>
                        </w:p>
                        <w:p w14:paraId="5D9DF123" w14:textId="77777777" w:rsidR="006B1AB3" w:rsidRPr="006B1AB3" w:rsidRDefault="006B1AB3" w:rsidP="006B1AB3">
                          <w:pPr>
                            <w:spacing w:line="276" w:lineRule="auto"/>
                            <w:rPr>
                              <w:sz w:val="13"/>
                              <w:szCs w:val="13"/>
                            </w:rPr>
                          </w:pPr>
                        </w:p>
                        <w:p w14:paraId="4CDBD858" w14:textId="325FF674" w:rsidR="00DB495B" w:rsidRPr="006B1AB3" w:rsidRDefault="00784870" w:rsidP="006B1AB3">
                          <w:pPr>
                            <w:spacing w:line="276" w:lineRule="auto"/>
                            <w:rPr>
                              <w:sz w:val="13"/>
                              <w:szCs w:val="13"/>
                            </w:rPr>
                          </w:pPr>
                          <w:r w:rsidRPr="006B1AB3">
                            <w:rPr>
                              <w:b/>
                              <w:bCs/>
                              <w:sz w:val="13"/>
                              <w:szCs w:val="13"/>
                            </w:rPr>
                            <w:t>Bijlage(n)</w:t>
                          </w:r>
                          <w:r w:rsidR="00DB495B" w:rsidRPr="006B1AB3">
                            <w:rPr>
                              <w:b/>
                              <w:bCs/>
                              <w:sz w:val="13"/>
                              <w:szCs w:val="13"/>
                            </w:rPr>
                            <w:br/>
                          </w:r>
                          <w:r w:rsidR="00F97650" w:rsidRPr="006B1AB3">
                            <w:rPr>
                              <w:sz w:val="13"/>
                              <w:szCs w:val="13"/>
                            </w:rPr>
                            <w:t>6</w:t>
                          </w:r>
                        </w:p>
                      </w:txbxContent>
                    </wps:txbx>
                    <wps:bodyPr vert="horz" wrap="square" lIns="0" tIns="0" rIns="0" bIns="0" anchor="t" anchorCtr="0"/>
                  </wps:wsp>
                </a:graphicData>
              </a:graphic>
            </wp:anchor>
          </w:drawing>
        </mc:Choice>
        <mc:Fallback>
          <w:pict>
            <v:shape w14:anchorId="557DE3F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23047E5" w14:textId="77777777" w:rsidR="00581ECF" w:rsidRDefault="00F87C71">
                    <w:pPr>
                      <w:pStyle w:val="AfzendgegevensKop0"/>
                    </w:pPr>
                    <w:r>
                      <w:t>Ministerie van Infrastructuur en Waterstaat</w:t>
                    </w:r>
                  </w:p>
                  <w:p w14:paraId="6142C6F9" w14:textId="77777777" w:rsidR="00581ECF" w:rsidRDefault="00581ECF">
                    <w:pPr>
                      <w:pStyle w:val="WitregelW1"/>
                    </w:pPr>
                  </w:p>
                  <w:p w14:paraId="59D833CB" w14:textId="77777777" w:rsidR="00581ECF" w:rsidRDefault="00F87C71">
                    <w:pPr>
                      <w:pStyle w:val="Afzendgegevens"/>
                    </w:pPr>
                    <w:r>
                      <w:t>Rijnstraat 8</w:t>
                    </w:r>
                  </w:p>
                  <w:p w14:paraId="5647DDD1" w14:textId="11559CE8" w:rsidR="00581ECF" w:rsidRPr="00784870" w:rsidRDefault="00F87C71">
                    <w:pPr>
                      <w:pStyle w:val="Afzendgegevens"/>
                      <w:rPr>
                        <w:lang w:val="de-DE"/>
                      </w:rPr>
                    </w:pPr>
                    <w:r w:rsidRPr="00784870">
                      <w:rPr>
                        <w:lang w:val="de-DE"/>
                      </w:rPr>
                      <w:t xml:space="preserve">2515 </w:t>
                    </w:r>
                    <w:r w:rsidR="00336CE7" w:rsidRPr="00784870">
                      <w:rPr>
                        <w:lang w:val="de-DE"/>
                      </w:rPr>
                      <w:t>XP Den</w:t>
                    </w:r>
                    <w:r w:rsidRPr="00784870">
                      <w:rPr>
                        <w:lang w:val="de-DE"/>
                      </w:rPr>
                      <w:t xml:space="preserve"> Haag</w:t>
                    </w:r>
                  </w:p>
                  <w:p w14:paraId="1E158A6C" w14:textId="77777777" w:rsidR="00581ECF" w:rsidRPr="00784870" w:rsidRDefault="00F87C71">
                    <w:pPr>
                      <w:pStyle w:val="Afzendgegevens"/>
                      <w:rPr>
                        <w:lang w:val="de-DE"/>
                      </w:rPr>
                    </w:pPr>
                    <w:r w:rsidRPr="00784870">
                      <w:rPr>
                        <w:lang w:val="de-DE"/>
                      </w:rPr>
                      <w:t>Postbus 20901</w:t>
                    </w:r>
                  </w:p>
                  <w:p w14:paraId="3B6C0F80" w14:textId="77777777" w:rsidR="00581ECF" w:rsidRPr="00784870" w:rsidRDefault="00F87C71">
                    <w:pPr>
                      <w:pStyle w:val="Afzendgegevens"/>
                      <w:rPr>
                        <w:lang w:val="de-DE"/>
                      </w:rPr>
                    </w:pPr>
                    <w:r w:rsidRPr="00784870">
                      <w:rPr>
                        <w:lang w:val="de-DE"/>
                      </w:rPr>
                      <w:t>2500 EX Den Haag</w:t>
                    </w:r>
                  </w:p>
                  <w:p w14:paraId="3B9B792B" w14:textId="77777777" w:rsidR="00581ECF" w:rsidRPr="00784870" w:rsidRDefault="00581ECF">
                    <w:pPr>
                      <w:pStyle w:val="WitregelW1"/>
                      <w:rPr>
                        <w:lang w:val="de-DE"/>
                      </w:rPr>
                    </w:pPr>
                  </w:p>
                  <w:p w14:paraId="56842E07" w14:textId="77777777" w:rsidR="00581ECF" w:rsidRPr="00784870" w:rsidRDefault="00F87C71">
                    <w:pPr>
                      <w:pStyle w:val="Afzendgegevens"/>
                      <w:rPr>
                        <w:lang w:val="de-DE"/>
                      </w:rPr>
                    </w:pPr>
                    <w:r w:rsidRPr="00784870">
                      <w:rPr>
                        <w:lang w:val="de-DE"/>
                      </w:rPr>
                      <w:t>T   070-456 0000</w:t>
                    </w:r>
                  </w:p>
                  <w:p w14:paraId="27E6A05B" w14:textId="77777777" w:rsidR="00581ECF" w:rsidRDefault="00F87C71">
                    <w:pPr>
                      <w:pStyle w:val="Afzendgegevens"/>
                    </w:pPr>
                    <w:r>
                      <w:t>F   070-456 1111</w:t>
                    </w:r>
                  </w:p>
                  <w:p w14:paraId="55780F60" w14:textId="77777777" w:rsidR="00784870" w:rsidRPr="006B1AB3" w:rsidRDefault="00784870" w:rsidP="006B1AB3">
                    <w:pPr>
                      <w:spacing w:line="276" w:lineRule="auto"/>
                      <w:rPr>
                        <w:b/>
                        <w:bCs/>
                        <w:sz w:val="13"/>
                        <w:szCs w:val="13"/>
                      </w:rPr>
                    </w:pPr>
                  </w:p>
                  <w:p w14:paraId="6EE42A4C" w14:textId="6D47C94D" w:rsidR="00784870" w:rsidRPr="006B1AB3" w:rsidRDefault="00784870" w:rsidP="006B1AB3">
                    <w:pPr>
                      <w:spacing w:line="276" w:lineRule="auto"/>
                      <w:rPr>
                        <w:b/>
                        <w:bCs/>
                        <w:sz w:val="13"/>
                        <w:szCs w:val="13"/>
                      </w:rPr>
                    </w:pPr>
                    <w:r w:rsidRPr="006B1AB3">
                      <w:rPr>
                        <w:b/>
                        <w:bCs/>
                        <w:sz w:val="13"/>
                        <w:szCs w:val="13"/>
                      </w:rPr>
                      <w:t>Ons kenmerk</w:t>
                    </w:r>
                  </w:p>
                  <w:p w14:paraId="5A5E2D20" w14:textId="05D4CC2F" w:rsidR="00784870" w:rsidRDefault="006C5426" w:rsidP="006B1AB3">
                    <w:pPr>
                      <w:spacing w:line="276" w:lineRule="auto"/>
                      <w:rPr>
                        <w:sz w:val="13"/>
                        <w:szCs w:val="13"/>
                      </w:rPr>
                    </w:pPr>
                    <w:r w:rsidRPr="006B1AB3">
                      <w:rPr>
                        <w:sz w:val="13"/>
                        <w:szCs w:val="13"/>
                      </w:rPr>
                      <w:t>IENW/BSK-2025/75732</w:t>
                    </w:r>
                  </w:p>
                  <w:p w14:paraId="5D9DF123" w14:textId="77777777" w:rsidR="006B1AB3" w:rsidRPr="006B1AB3" w:rsidRDefault="006B1AB3" w:rsidP="006B1AB3">
                    <w:pPr>
                      <w:spacing w:line="276" w:lineRule="auto"/>
                      <w:rPr>
                        <w:sz w:val="13"/>
                        <w:szCs w:val="13"/>
                      </w:rPr>
                    </w:pPr>
                  </w:p>
                  <w:p w14:paraId="4CDBD858" w14:textId="325FF674" w:rsidR="00DB495B" w:rsidRPr="006B1AB3" w:rsidRDefault="00784870" w:rsidP="006B1AB3">
                    <w:pPr>
                      <w:spacing w:line="276" w:lineRule="auto"/>
                      <w:rPr>
                        <w:sz w:val="13"/>
                        <w:szCs w:val="13"/>
                      </w:rPr>
                    </w:pPr>
                    <w:r w:rsidRPr="006B1AB3">
                      <w:rPr>
                        <w:b/>
                        <w:bCs/>
                        <w:sz w:val="13"/>
                        <w:szCs w:val="13"/>
                      </w:rPr>
                      <w:t>Bijlage(n)</w:t>
                    </w:r>
                    <w:r w:rsidR="00DB495B" w:rsidRPr="006B1AB3">
                      <w:rPr>
                        <w:b/>
                        <w:bCs/>
                        <w:sz w:val="13"/>
                        <w:szCs w:val="13"/>
                      </w:rPr>
                      <w:br/>
                    </w:r>
                    <w:r w:rsidR="00F97650" w:rsidRPr="006B1AB3">
                      <w:rPr>
                        <w:sz w:val="13"/>
                        <w:szCs w:val="13"/>
                      </w:rPr>
                      <w:t>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67B31A6" wp14:editId="4F2C9F1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70B9C06" w14:textId="77777777" w:rsidR="00581ECF" w:rsidRDefault="00F87C71">
                          <w:pPr>
                            <w:spacing w:line="240" w:lineRule="auto"/>
                          </w:pPr>
                          <w:r>
                            <w:rPr>
                              <w:noProof/>
                              <w:lang w:val="en-GB" w:eastAsia="en-GB"/>
                            </w:rPr>
                            <w:drawing>
                              <wp:inline distT="0" distB="0" distL="0" distR="0" wp14:anchorId="145173EB" wp14:editId="13D8C8C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7B31A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70B9C06" w14:textId="77777777" w:rsidR="00581ECF" w:rsidRDefault="00F87C71">
                    <w:pPr>
                      <w:spacing w:line="240" w:lineRule="auto"/>
                    </w:pPr>
                    <w:r>
                      <w:rPr>
                        <w:noProof/>
                        <w:lang w:val="en-GB" w:eastAsia="en-GB"/>
                      </w:rPr>
                      <w:drawing>
                        <wp:inline distT="0" distB="0" distL="0" distR="0" wp14:anchorId="145173EB" wp14:editId="13D8C8C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DE13EBA" wp14:editId="453056F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11FF43" w14:textId="77777777" w:rsidR="00581ECF" w:rsidRDefault="00F87C71">
                          <w:pPr>
                            <w:spacing w:line="240" w:lineRule="auto"/>
                          </w:pPr>
                          <w:r>
                            <w:rPr>
                              <w:noProof/>
                              <w:lang w:val="en-GB" w:eastAsia="en-GB"/>
                            </w:rPr>
                            <w:drawing>
                              <wp:inline distT="0" distB="0" distL="0" distR="0" wp14:anchorId="7E9B3BED" wp14:editId="2456F7C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E13EB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911FF43" w14:textId="77777777" w:rsidR="00581ECF" w:rsidRDefault="00F87C71">
                    <w:pPr>
                      <w:spacing w:line="240" w:lineRule="auto"/>
                    </w:pPr>
                    <w:r>
                      <w:rPr>
                        <w:noProof/>
                        <w:lang w:val="en-GB" w:eastAsia="en-GB"/>
                      </w:rPr>
                      <w:drawing>
                        <wp:inline distT="0" distB="0" distL="0" distR="0" wp14:anchorId="7E9B3BED" wp14:editId="2456F7C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A840848" wp14:editId="663E9CD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29DB601" w14:textId="77777777" w:rsidR="00581ECF" w:rsidRDefault="00F87C7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A84084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29DB601" w14:textId="77777777" w:rsidR="00581ECF" w:rsidRDefault="00F87C7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B144A37" wp14:editId="246FCC7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1536157" w14:textId="77777777" w:rsidR="00581ECF" w:rsidRDefault="00F87C7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B144A3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1536157" w14:textId="77777777" w:rsidR="00581ECF" w:rsidRDefault="00F87C7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004AD33" wp14:editId="7E757CE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81ECF" w14:paraId="3017E76A" w14:textId="77777777">
                            <w:trPr>
                              <w:trHeight w:val="200"/>
                            </w:trPr>
                            <w:tc>
                              <w:tcPr>
                                <w:tcW w:w="1140" w:type="dxa"/>
                              </w:tcPr>
                              <w:p w14:paraId="267BE25C" w14:textId="77777777" w:rsidR="00581ECF" w:rsidRDefault="00581ECF"/>
                            </w:tc>
                            <w:tc>
                              <w:tcPr>
                                <w:tcW w:w="5400" w:type="dxa"/>
                              </w:tcPr>
                              <w:p w14:paraId="79A7A954" w14:textId="77777777" w:rsidR="00581ECF" w:rsidRDefault="00581ECF"/>
                            </w:tc>
                          </w:tr>
                          <w:tr w:rsidR="00581ECF" w14:paraId="1E2BFF3F" w14:textId="77777777">
                            <w:trPr>
                              <w:trHeight w:val="240"/>
                            </w:trPr>
                            <w:tc>
                              <w:tcPr>
                                <w:tcW w:w="1140" w:type="dxa"/>
                              </w:tcPr>
                              <w:p w14:paraId="20159691" w14:textId="77777777" w:rsidR="00581ECF" w:rsidRDefault="00F87C71">
                                <w:r>
                                  <w:t>Datum</w:t>
                                </w:r>
                              </w:p>
                            </w:tc>
                            <w:tc>
                              <w:tcPr>
                                <w:tcW w:w="5400" w:type="dxa"/>
                              </w:tcPr>
                              <w:p w14:paraId="773DEFF8" w14:textId="200E85A6" w:rsidR="00581ECF" w:rsidRDefault="006B1AB3">
                                <w:r>
                                  <w:t>14 april 2025</w:t>
                                </w:r>
                              </w:p>
                            </w:tc>
                          </w:tr>
                          <w:tr w:rsidR="00581ECF" w14:paraId="64971D3F" w14:textId="77777777">
                            <w:trPr>
                              <w:trHeight w:val="240"/>
                            </w:trPr>
                            <w:tc>
                              <w:tcPr>
                                <w:tcW w:w="1140" w:type="dxa"/>
                              </w:tcPr>
                              <w:p w14:paraId="18EBDAFF" w14:textId="77777777" w:rsidR="00581ECF" w:rsidRDefault="00F87C71">
                                <w:r>
                                  <w:t>Betreft</w:t>
                                </w:r>
                              </w:p>
                            </w:tc>
                            <w:tc>
                              <w:tcPr>
                                <w:tcW w:w="5400" w:type="dxa"/>
                              </w:tcPr>
                              <w:p w14:paraId="2B3D2A93" w14:textId="4CB3171A" w:rsidR="00581ECF" w:rsidRDefault="00784870">
                                <w:bookmarkStart w:id="2" w:name="_Hlk195004885"/>
                                <w:r>
                                  <w:t>Verzamelbrief c</w:t>
                                </w:r>
                                <w:r w:rsidR="00F87C71">
                                  <w:t>irculaire economie</w:t>
                                </w:r>
                                <w:r w:rsidR="00355945">
                                  <w:t xml:space="preserve"> april 2025</w:t>
                                </w:r>
                                <w:bookmarkEnd w:id="2"/>
                              </w:p>
                            </w:tc>
                          </w:tr>
                          <w:tr w:rsidR="00581ECF" w14:paraId="4CEA4B97" w14:textId="77777777">
                            <w:trPr>
                              <w:trHeight w:val="200"/>
                            </w:trPr>
                            <w:tc>
                              <w:tcPr>
                                <w:tcW w:w="1140" w:type="dxa"/>
                              </w:tcPr>
                              <w:p w14:paraId="1449DD8B" w14:textId="77777777" w:rsidR="00581ECF" w:rsidRDefault="00581ECF"/>
                            </w:tc>
                            <w:tc>
                              <w:tcPr>
                                <w:tcW w:w="5400" w:type="dxa"/>
                              </w:tcPr>
                              <w:p w14:paraId="70C4E74C" w14:textId="77777777" w:rsidR="00581ECF" w:rsidRDefault="00581ECF"/>
                            </w:tc>
                          </w:tr>
                        </w:tbl>
                        <w:p w14:paraId="5362B8CB" w14:textId="77777777" w:rsidR="00F87C71" w:rsidRDefault="00F87C71"/>
                      </w:txbxContent>
                    </wps:txbx>
                    <wps:bodyPr vert="horz" wrap="square" lIns="0" tIns="0" rIns="0" bIns="0" anchor="t" anchorCtr="0"/>
                  </wps:wsp>
                </a:graphicData>
              </a:graphic>
            </wp:anchor>
          </w:drawing>
        </mc:Choice>
        <mc:Fallback>
          <w:pict>
            <v:shape w14:anchorId="7004AD3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81ECF" w14:paraId="3017E76A" w14:textId="77777777">
                      <w:trPr>
                        <w:trHeight w:val="200"/>
                      </w:trPr>
                      <w:tc>
                        <w:tcPr>
                          <w:tcW w:w="1140" w:type="dxa"/>
                        </w:tcPr>
                        <w:p w14:paraId="267BE25C" w14:textId="77777777" w:rsidR="00581ECF" w:rsidRDefault="00581ECF"/>
                      </w:tc>
                      <w:tc>
                        <w:tcPr>
                          <w:tcW w:w="5400" w:type="dxa"/>
                        </w:tcPr>
                        <w:p w14:paraId="79A7A954" w14:textId="77777777" w:rsidR="00581ECF" w:rsidRDefault="00581ECF"/>
                      </w:tc>
                    </w:tr>
                    <w:tr w:rsidR="00581ECF" w14:paraId="1E2BFF3F" w14:textId="77777777">
                      <w:trPr>
                        <w:trHeight w:val="240"/>
                      </w:trPr>
                      <w:tc>
                        <w:tcPr>
                          <w:tcW w:w="1140" w:type="dxa"/>
                        </w:tcPr>
                        <w:p w14:paraId="20159691" w14:textId="77777777" w:rsidR="00581ECF" w:rsidRDefault="00F87C71">
                          <w:r>
                            <w:t>Datum</w:t>
                          </w:r>
                        </w:p>
                      </w:tc>
                      <w:tc>
                        <w:tcPr>
                          <w:tcW w:w="5400" w:type="dxa"/>
                        </w:tcPr>
                        <w:p w14:paraId="773DEFF8" w14:textId="200E85A6" w:rsidR="00581ECF" w:rsidRDefault="006B1AB3">
                          <w:r>
                            <w:t>14 april 2025</w:t>
                          </w:r>
                        </w:p>
                      </w:tc>
                    </w:tr>
                    <w:tr w:rsidR="00581ECF" w14:paraId="64971D3F" w14:textId="77777777">
                      <w:trPr>
                        <w:trHeight w:val="240"/>
                      </w:trPr>
                      <w:tc>
                        <w:tcPr>
                          <w:tcW w:w="1140" w:type="dxa"/>
                        </w:tcPr>
                        <w:p w14:paraId="18EBDAFF" w14:textId="77777777" w:rsidR="00581ECF" w:rsidRDefault="00F87C71">
                          <w:r>
                            <w:t>Betreft</w:t>
                          </w:r>
                        </w:p>
                      </w:tc>
                      <w:tc>
                        <w:tcPr>
                          <w:tcW w:w="5400" w:type="dxa"/>
                        </w:tcPr>
                        <w:p w14:paraId="2B3D2A93" w14:textId="4CB3171A" w:rsidR="00581ECF" w:rsidRDefault="00784870">
                          <w:bookmarkStart w:id="3" w:name="_Hlk195004885"/>
                          <w:r>
                            <w:t>Verzamelbrief c</w:t>
                          </w:r>
                          <w:r w:rsidR="00F87C71">
                            <w:t>irculaire economie</w:t>
                          </w:r>
                          <w:r w:rsidR="00355945">
                            <w:t xml:space="preserve"> april 2025</w:t>
                          </w:r>
                          <w:bookmarkEnd w:id="3"/>
                        </w:p>
                      </w:tc>
                    </w:tr>
                    <w:tr w:rsidR="00581ECF" w14:paraId="4CEA4B97" w14:textId="77777777">
                      <w:trPr>
                        <w:trHeight w:val="200"/>
                      </w:trPr>
                      <w:tc>
                        <w:tcPr>
                          <w:tcW w:w="1140" w:type="dxa"/>
                        </w:tcPr>
                        <w:p w14:paraId="1449DD8B" w14:textId="77777777" w:rsidR="00581ECF" w:rsidRDefault="00581ECF"/>
                      </w:tc>
                      <w:tc>
                        <w:tcPr>
                          <w:tcW w:w="5400" w:type="dxa"/>
                        </w:tcPr>
                        <w:p w14:paraId="70C4E74C" w14:textId="77777777" w:rsidR="00581ECF" w:rsidRDefault="00581ECF"/>
                      </w:tc>
                    </w:tr>
                  </w:tbl>
                  <w:p w14:paraId="5362B8CB" w14:textId="77777777" w:rsidR="00F87C71" w:rsidRDefault="00F87C7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C45A206" wp14:editId="1665C6F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F1CCF2" w14:textId="77777777" w:rsidR="00F87C71" w:rsidRDefault="00F87C71"/>
                      </w:txbxContent>
                    </wps:txbx>
                    <wps:bodyPr vert="horz" wrap="square" lIns="0" tIns="0" rIns="0" bIns="0" anchor="t" anchorCtr="0"/>
                  </wps:wsp>
                </a:graphicData>
              </a:graphic>
            </wp:anchor>
          </w:drawing>
        </mc:Choice>
        <mc:Fallback>
          <w:pict>
            <v:shape w14:anchorId="7C45A20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BF1CCF2" w14:textId="77777777" w:rsidR="00F87C71" w:rsidRDefault="00F87C7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E37004"/>
    <w:multiLevelType w:val="multilevel"/>
    <w:tmpl w:val="06DEDD9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CBE37D"/>
    <w:multiLevelType w:val="multilevel"/>
    <w:tmpl w:val="9620E51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D684F1"/>
    <w:multiLevelType w:val="multilevel"/>
    <w:tmpl w:val="E34CFA8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A1104F"/>
    <w:multiLevelType w:val="multilevel"/>
    <w:tmpl w:val="5B735C0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2AC9EB"/>
    <w:multiLevelType w:val="multilevel"/>
    <w:tmpl w:val="5577E85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043FA5"/>
    <w:multiLevelType w:val="multilevel"/>
    <w:tmpl w:val="397CCDF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A1FEAB9"/>
    <w:multiLevelType w:val="multilevel"/>
    <w:tmpl w:val="1FFB82F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BE6860"/>
    <w:multiLevelType w:val="multilevel"/>
    <w:tmpl w:val="6F98CDC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2DFC343"/>
    <w:multiLevelType w:val="multilevel"/>
    <w:tmpl w:val="46AF42B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97B0BD"/>
    <w:multiLevelType w:val="multilevel"/>
    <w:tmpl w:val="66E2353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753BE9"/>
    <w:multiLevelType w:val="multilevel"/>
    <w:tmpl w:val="BF90D06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6C9994"/>
    <w:multiLevelType w:val="multilevel"/>
    <w:tmpl w:val="520A84D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C40B48"/>
    <w:multiLevelType w:val="multilevel"/>
    <w:tmpl w:val="A82E2B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7BE6CB"/>
    <w:multiLevelType w:val="multilevel"/>
    <w:tmpl w:val="2B924D4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FD66B4"/>
    <w:multiLevelType w:val="multilevel"/>
    <w:tmpl w:val="B923246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BD09FF"/>
    <w:multiLevelType w:val="multilevel"/>
    <w:tmpl w:val="44F716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3724D1C2"/>
    <w:multiLevelType w:val="multilevel"/>
    <w:tmpl w:val="12F4188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19D376"/>
    <w:multiLevelType w:val="multilevel"/>
    <w:tmpl w:val="6528871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E2C061"/>
    <w:multiLevelType w:val="multilevel"/>
    <w:tmpl w:val="FAA589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437A5B14"/>
    <w:multiLevelType w:val="hybridMultilevel"/>
    <w:tmpl w:val="749AB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B1F91F"/>
    <w:multiLevelType w:val="multilevel"/>
    <w:tmpl w:val="09DE4C1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DA1762"/>
    <w:multiLevelType w:val="multilevel"/>
    <w:tmpl w:val="A8C1E7B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3734D4"/>
    <w:multiLevelType w:val="multilevel"/>
    <w:tmpl w:val="AA3CF97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9F85DC"/>
    <w:multiLevelType w:val="multilevel"/>
    <w:tmpl w:val="AF77CD6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2"/>
  </w:num>
  <w:num w:numId="4">
    <w:abstractNumId w:val="5"/>
  </w:num>
  <w:num w:numId="5">
    <w:abstractNumId w:val="15"/>
  </w:num>
  <w:num w:numId="6">
    <w:abstractNumId w:val="1"/>
  </w:num>
  <w:num w:numId="7">
    <w:abstractNumId w:val="4"/>
  </w:num>
  <w:num w:numId="8">
    <w:abstractNumId w:val="14"/>
  </w:num>
  <w:num w:numId="9">
    <w:abstractNumId w:val="9"/>
  </w:num>
  <w:num w:numId="10">
    <w:abstractNumId w:val="21"/>
  </w:num>
  <w:num w:numId="11">
    <w:abstractNumId w:val="6"/>
  </w:num>
  <w:num w:numId="12">
    <w:abstractNumId w:val="18"/>
  </w:num>
  <w:num w:numId="13">
    <w:abstractNumId w:val="3"/>
  </w:num>
  <w:num w:numId="14">
    <w:abstractNumId w:val="12"/>
  </w:num>
  <w:num w:numId="15">
    <w:abstractNumId w:val="20"/>
  </w:num>
  <w:num w:numId="16">
    <w:abstractNumId w:val="22"/>
  </w:num>
  <w:num w:numId="17">
    <w:abstractNumId w:val="8"/>
  </w:num>
  <w:num w:numId="18">
    <w:abstractNumId w:val="16"/>
  </w:num>
  <w:num w:numId="19">
    <w:abstractNumId w:val="23"/>
  </w:num>
  <w:num w:numId="20">
    <w:abstractNumId w:val="10"/>
  </w:num>
  <w:num w:numId="21">
    <w:abstractNumId w:val="13"/>
  </w:num>
  <w:num w:numId="22">
    <w:abstractNumId w:val="17"/>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CB"/>
    <w:rsid w:val="000176F5"/>
    <w:rsid w:val="00020760"/>
    <w:rsid w:val="00025EEB"/>
    <w:rsid w:val="00027A6F"/>
    <w:rsid w:val="00050DBB"/>
    <w:rsid w:val="000519B4"/>
    <w:rsid w:val="00052962"/>
    <w:rsid w:val="00054B30"/>
    <w:rsid w:val="000643DC"/>
    <w:rsid w:val="00080B20"/>
    <w:rsid w:val="00084F2D"/>
    <w:rsid w:val="00085D0E"/>
    <w:rsid w:val="000A371C"/>
    <w:rsid w:val="000B3D54"/>
    <w:rsid w:val="000C3D01"/>
    <w:rsid w:val="000D0DD0"/>
    <w:rsid w:val="000E6EF0"/>
    <w:rsid w:val="000F22DA"/>
    <w:rsid w:val="00125027"/>
    <w:rsid w:val="001274BF"/>
    <w:rsid w:val="00135260"/>
    <w:rsid w:val="00150F7A"/>
    <w:rsid w:val="001522B7"/>
    <w:rsid w:val="001720B5"/>
    <w:rsid w:val="00172DD0"/>
    <w:rsid w:val="001760CB"/>
    <w:rsid w:val="00184B0A"/>
    <w:rsid w:val="00191535"/>
    <w:rsid w:val="00193641"/>
    <w:rsid w:val="00194129"/>
    <w:rsid w:val="001B0781"/>
    <w:rsid w:val="001C4777"/>
    <w:rsid w:val="001D687B"/>
    <w:rsid w:val="001D7AF4"/>
    <w:rsid w:val="001E38DE"/>
    <w:rsid w:val="002000BB"/>
    <w:rsid w:val="00203C99"/>
    <w:rsid w:val="0020675C"/>
    <w:rsid w:val="00207A30"/>
    <w:rsid w:val="00216251"/>
    <w:rsid w:val="00216828"/>
    <w:rsid w:val="00216E45"/>
    <w:rsid w:val="00220607"/>
    <w:rsid w:val="0025224D"/>
    <w:rsid w:val="00255E34"/>
    <w:rsid w:val="00260274"/>
    <w:rsid w:val="00295F05"/>
    <w:rsid w:val="002A62FD"/>
    <w:rsid w:val="002B0D8B"/>
    <w:rsid w:val="002D3163"/>
    <w:rsid w:val="00300567"/>
    <w:rsid w:val="003124F0"/>
    <w:rsid w:val="00312BC9"/>
    <w:rsid w:val="003138A5"/>
    <w:rsid w:val="003262AE"/>
    <w:rsid w:val="003334CE"/>
    <w:rsid w:val="00336748"/>
    <w:rsid w:val="00336CE7"/>
    <w:rsid w:val="00342DD1"/>
    <w:rsid w:val="0034442D"/>
    <w:rsid w:val="00355945"/>
    <w:rsid w:val="00364115"/>
    <w:rsid w:val="00365021"/>
    <w:rsid w:val="00370F79"/>
    <w:rsid w:val="003746CD"/>
    <w:rsid w:val="00396FB9"/>
    <w:rsid w:val="003B2CC3"/>
    <w:rsid w:val="003B478D"/>
    <w:rsid w:val="003B519E"/>
    <w:rsid w:val="003B735D"/>
    <w:rsid w:val="003D3EFF"/>
    <w:rsid w:val="003F1398"/>
    <w:rsid w:val="00411AC9"/>
    <w:rsid w:val="00417CEE"/>
    <w:rsid w:val="00434AC6"/>
    <w:rsid w:val="00437AD5"/>
    <w:rsid w:val="00465B1F"/>
    <w:rsid w:val="004667FF"/>
    <w:rsid w:val="004939B6"/>
    <w:rsid w:val="004970F8"/>
    <w:rsid w:val="004A002E"/>
    <w:rsid w:val="004B091C"/>
    <w:rsid w:val="004B56AA"/>
    <w:rsid w:val="004D3F3C"/>
    <w:rsid w:val="004E1BE6"/>
    <w:rsid w:val="004F07C1"/>
    <w:rsid w:val="004F1127"/>
    <w:rsid w:val="004F5F8D"/>
    <w:rsid w:val="00500274"/>
    <w:rsid w:val="00530A2E"/>
    <w:rsid w:val="005422B8"/>
    <w:rsid w:val="00545429"/>
    <w:rsid w:val="00555D9C"/>
    <w:rsid w:val="00557DDA"/>
    <w:rsid w:val="00581ECF"/>
    <w:rsid w:val="00582011"/>
    <w:rsid w:val="00585A0D"/>
    <w:rsid w:val="005873D1"/>
    <w:rsid w:val="00592F5B"/>
    <w:rsid w:val="005A1180"/>
    <w:rsid w:val="005B0D5D"/>
    <w:rsid w:val="005E2EEF"/>
    <w:rsid w:val="005F475C"/>
    <w:rsid w:val="005F7046"/>
    <w:rsid w:val="00616571"/>
    <w:rsid w:val="0061771D"/>
    <w:rsid w:val="00621D7E"/>
    <w:rsid w:val="00630F00"/>
    <w:rsid w:val="00646F35"/>
    <w:rsid w:val="00650460"/>
    <w:rsid w:val="0065667D"/>
    <w:rsid w:val="006574F9"/>
    <w:rsid w:val="00665AC8"/>
    <w:rsid w:val="00681E19"/>
    <w:rsid w:val="00681E28"/>
    <w:rsid w:val="006836EF"/>
    <w:rsid w:val="006932AC"/>
    <w:rsid w:val="006952FA"/>
    <w:rsid w:val="006A158E"/>
    <w:rsid w:val="006A669C"/>
    <w:rsid w:val="006A6C60"/>
    <w:rsid w:val="006B1AB3"/>
    <w:rsid w:val="006B511F"/>
    <w:rsid w:val="006B6465"/>
    <w:rsid w:val="006B6BE7"/>
    <w:rsid w:val="006C51E7"/>
    <w:rsid w:val="006C5426"/>
    <w:rsid w:val="006C6698"/>
    <w:rsid w:val="006E1DDB"/>
    <w:rsid w:val="006E6C8D"/>
    <w:rsid w:val="00714E33"/>
    <w:rsid w:val="00716935"/>
    <w:rsid w:val="007456A2"/>
    <w:rsid w:val="00747FF8"/>
    <w:rsid w:val="00753765"/>
    <w:rsid w:val="00760691"/>
    <w:rsid w:val="007660DB"/>
    <w:rsid w:val="0077600B"/>
    <w:rsid w:val="007770E8"/>
    <w:rsid w:val="00784870"/>
    <w:rsid w:val="00785974"/>
    <w:rsid w:val="00787E79"/>
    <w:rsid w:val="0079070F"/>
    <w:rsid w:val="0079477F"/>
    <w:rsid w:val="00797BD2"/>
    <w:rsid w:val="007A2B08"/>
    <w:rsid w:val="007B495C"/>
    <w:rsid w:val="007C2CBE"/>
    <w:rsid w:val="007D1BEB"/>
    <w:rsid w:val="007D3742"/>
    <w:rsid w:val="007D412B"/>
    <w:rsid w:val="007E3BE6"/>
    <w:rsid w:val="007F1A61"/>
    <w:rsid w:val="007F68C5"/>
    <w:rsid w:val="00805861"/>
    <w:rsid w:val="0081650A"/>
    <w:rsid w:val="008266EA"/>
    <w:rsid w:val="008644D4"/>
    <w:rsid w:val="00880EA5"/>
    <w:rsid w:val="008907BE"/>
    <w:rsid w:val="008A11E5"/>
    <w:rsid w:val="008B50BD"/>
    <w:rsid w:val="008B70F3"/>
    <w:rsid w:val="008E643C"/>
    <w:rsid w:val="008F2B3A"/>
    <w:rsid w:val="008F3820"/>
    <w:rsid w:val="008F4A98"/>
    <w:rsid w:val="008F71C1"/>
    <w:rsid w:val="0090074B"/>
    <w:rsid w:val="009114EF"/>
    <w:rsid w:val="009216A7"/>
    <w:rsid w:val="0092214F"/>
    <w:rsid w:val="0092332B"/>
    <w:rsid w:val="0095174F"/>
    <w:rsid w:val="00963230"/>
    <w:rsid w:val="0097033A"/>
    <w:rsid w:val="0097619D"/>
    <w:rsid w:val="00982967"/>
    <w:rsid w:val="009840C4"/>
    <w:rsid w:val="009B1A6E"/>
    <w:rsid w:val="009C0A53"/>
    <w:rsid w:val="009C1A83"/>
    <w:rsid w:val="009C1B61"/>
    <w:rsid w:val="009C29C2"/>
    <w:rsid w:val="009C627C"/>
    <w:rsid w:val="009E0465"/>
    <w:rsid w:val="009E6851"/>
    <w:rsid w:val="009F109C"/>
    <w:rsid w:val="00A062DD"/>
    <w:rsid w:val="00A12776"/>
    <w:rsid w:val="00A1497A"/>
    <w:rsid w:val="00A22EAC"/>
    <w:rsid w:val="00A23F6E"/>
    <w:rsid w:val="00A41BF0"/>
    <w:rsid w:val="00A44129"/>
    <w:rsid w:val="00A54771"/>
    <w:rsid w:val="00A54F8C"/>
    <w:rsid w:val="00A55FCC"/>
    <w:rsid w:val="00A62CA0"/>
    <w:rsid w:val="00A70ECB"/>
    <w:rsid w:val="00A7495F"/>
    <w:rsid w:val="00A822B4"/>
    <w:rsid w:val="00A9242E"/>
    <w:rsid w:val="00A92FEF"/>
    <w:rsid w:val="00A9408E"/>
    <w:rsid w:val="00AA5D3A"/>
    <w:rsid w:val="00AA6CD4"/>
    <w:rsid w:val="00AB2552"/>
    <w:rsid w:val="00AC3484"/>
    <w:rsid w:val="00AC3592"/>
    <w:rsid w:val="00AD4784"/>
    <w:rsid w:val="00AD4C90"/>
    <w:rsid w:val="00AD6A5B"/>
    <w:rsid w:val="00AE680A"/>
    <w:rsid w:val="00AF039A"/>
    <w:rsid w:val="00AF37AB"/>
    <w:rsid w:val="00B01539"/>
    <w:rsid w:val="00B026F6"/>
    <w:rsid w:val="00B2394B"/>
    <w:rsid w:val="00B322F9"/>
    <w:rsid w:val="00B3533B"/>
    <w:rsid w:val="00B53F09"/>
    <w:rsid w:val="00B7021A"/>
    <w:rsid w:val="00B7517F"/>
    <w:rsid w:val="00B907F7"/>
    <w:rsid w:val="00B91B3C"/>
    <w:rsid w:val="00B925AC"/>
    <w:rsid w:val="00BB4B3D"/>
    <w:rsid w:val="00BC60CF"/>
    <w:rsid w:val="00BD5AD1"/>
    <w:rsid w:val="00BF2883"/>
    <w:rsid w:val="00C0478C"/>
    <w:rsid w:val="00C05EF2"/>
    <w:rsid w:val="00C20B43"/>
    <w:rsid w:val="00C22854"/>
    <w:rsid w:val="00C408BD"/>
    <w:rsid w:val="00C4237B"/>
    <w:rsid w:val="00C464E4"/>
    <w:rsid w:val="00C67E89"/>
    <w:rsid w:val="00C70406"/>
    <w:rsid w:val="00C738C3"/>
    <w:rsid w:val="00C95576"/>
    <w:rsid w:val="00CA2000"/>
    <w:rsid w:val="00CB75D7"/>
    <w:rsid w:val="00CC60D4"/>
    <w:rsid w:val="00CC739C"/>
    <w:rsid w:val="00CD0B66"/>
    <w:rsid w:val="00CD3130"/>
    <w:rsid w:val="00CE0361"/>
    <w:rsid w:val="00CE6437"/>
    <w:rsid w:val="00CF0A11"/>
    <w:rsid w:val="00D46F5F"/>
    <w:rsid w:val="00D50317"/>
    <w:rsid w:val="00D73E8B"/>
    <w:rsid w:val="00D92D5E"/>
    <w:rsid w:val="00D94395"/>
    <w:rsid w:val="00D96708"/>
    <w:rsid w:val="00DA3BE4"/>
    <w:rsid w:val="00DB495B"/>
    <w:rsid w:val="00DB6D1B"/>
    <w:rsid w:val="00DC2065"/>
    <w:rsid w:val="00DC69C6"/>
    <w:rsid w:val="00DE1EFE"/>
    <w:rsid w:val="00DE2D53"/>
    <w:rsid w:val="00DE3892"/>
    <w:rsid w:val="00E03FA1"/>
    <w:rsid w:val="00E04E09"/>
    <w:rsid w:val="00E117B1"/>
    <w:rsid w:val="00E12735"/>
    <w:rsid w:val="00E12E23"/>
    <w:rsid w:val="00E143A4"/>
    <w:rsid w:val="00E3164D"/>
    <w:rsid w:val="00E3271D"/>
    <w:rsid w:val="00E41E20"/>
    <w:rsid w:val="00E454E9"/>
    <w:rsid w:val="00E52F4B"/>
    <w:rsid w:val="00E75AB1"/>
    <w:rsid w:val="00E958AE"/>
    <w:rsid w:val="00EA091D"/>
    <w:rsid w:val="00ED463A"/>
    <w:rsid w:val="00ED7057"/>
    <w:rsid w:val="00EE676E"/>
    <w:rsid w:val="00F06F15"/>
    <w:rsid w:val="00F119C9"/>
    <w:rsid w:val="00F16515"/>
    <w:rsid w:val="00F240D7"/>
    <w:rsid w:val="00F540C4"/>
    <w:rsid w:val="00F55555"/>
    <w:rsid w:val="00F72F57"/>
    <w:rsid w:val="00F73242"/>
    <w:rsid w:val="00F87C71"/>
    <w:rsid w:val="00F97650"/>
    <w:rsid w:val="00FC5D5C"/>
    <w:rsid w:val="00FE4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84870"/>
    <w:pPr>
      <w:tabs>
        <w:tab w:val="center" w:pos="4536"/>
        <w:tab w:val="right" w:pos="9072"/>
      </w:tabs>
      <w:spacing w:line="240" w:lineRule="auto"/>
    </w:pPr>
  </w:style>
  <w:style w:type="character" w:customStyle="1" w:styleId="HeaderChar">
    <w:name w:val="Header Char"/>
    <w:basedOn w:val="DefaultParagraphFont"/>
    <w:link w:val="Header"/>
    <w:uiPriority w:val="99"/>
    <w:rsid w:val="00784870"/>
    <w:rPr>
      <w:rFonts w:ascii="Verdana" w:hAnsi="Verdana"/>
      <w:color w:val="000000"/>
      <w:sz w:val="18"/>
      <w:szCs w:val="18"/>
    </w:rPr>
  </w:style>
  <w:style w:type="paragraph" w:styleId="Footer">
    <w:name w:val="footer"/>
    <w:basedOn w:val="Normal"/>
    <w:link w:val="FooterChar"/>
    <w:uiPriority w:val="99"/>
    <w:unhideWhenUsed/>
    <w:rsid w:val="00784870"/>
    <w:pPr>
      <w:tabs>
        <w:tab w:val="center" w:pos="4536"/>
        <w:tab w:val="right" w:pos="9072"/>
      </w:tabs>
      <w:spacing w:line="240" w:lineRule="auto"/>
    </w:pPr>
  </w:style>
  <w:style w:type="character" w:customStyle="1" w:styleId="FooterChar">
    <w:name w:val="Footer Char"/>
    <w:basedOn w:val="DefaultParagraphFont"/>
    <w:link w:val="Footer"/>
    <w:uiPriority w:val="99"/>
    <w:rsid w:val="00784870"/>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784870"/>
    <w:pPr>
      <w:spacing w:line="240" w:lineRule="exact"/>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784870"/>
    <w:rPr>
      <w:rFonts w:ascii="Verdana" w:hAnsi="Verdana"/>
      <w:color w:val="000000"/>
      <w:sz w:val="18"/>
      <w:szCs w:val="18"/>
    </w:rPr>
  </w:style>
  <w:style w:type="paragraph" w:styleId="FootnoteText">
    <w:name w:val="footnote text"/>
    <w:basedOn w:val="Normal"/>
    <w:link w:val="FootnoteTextChar"/>
    <w:uiPriority w:val="99"/>
    <w:unhideWhenUsed/>
    <w:rsid w:val="00DA3BE4"/>
    <w:pPr>
      <w:spacing w:line="240" w:lineRule="auto"/>
    </w:pPr>
    <w:rPr>
      <w:sz w:val="20"/>
      <w:szCs w:val="20"/>
    </w:rPr>
  </w:style>
  <w:style w:type="character" w:customStyle="1" w:styleId="FootnoteTextChar">
    <w:name w:val="Footnote Text Char"/>
    <w:basedOn w:val="DefaultParagraphFont"/>
    <w:link w:val="FootnoteText"/>
    <w:uiPriority w:val="99"/>
    <w:rsid w:val="00DA3BE4"/>
    <w:rPr>
      <w:rFonts w:ascii="Verdana" w:hAnsi="Verdana"/>
      <w:color w:val="000000"/>
    </w:rPr>
  </w:style>
  <w:style w:type="character" w:styleId="FootnoteReference">
    <w:name w:val="footnote reference"/>
    <w:basedOn w:val="DefaultParagraphFont"/>
    <w:uiPriority w:val="99"/>
    <w:semiHidden/>
    <w:unhideWhenUsed/>
    <w:rsid w:val="00DA3BE4"/>
    <w:rPr>
      <w:vertAlign w:val="superscript"/>
    </w:rPr>
  </w:style>
  <w:style w:type="character" w:styleId="CommentReference">
    <w:name w:val="annotation reference"/>
    <w:basedOn w:val="DefaultParagraphFont"/>
    <w:uiPriority w:val="99"/>
    <w:semiHidden/>
    <w:unhideWhenUsed/>
    <w:rsid w:val="00F87C71"/>
    <w:rPr>
      <w:sz w:val="16"/>
      <w:szCs w:val="16"/>
    </w:rPr>
  </w:style>
  <w:style w:type="paragraph" w:styleId="CommentText">
    <w:name w:val="annotation text"/>
    <w:basedOn w:val="Normal"/>
    <w:link w:val="CommentTextChar"/>
    <w:uiPriority w:val="99"/>
    <w:unhideWhenUsed/>
    <w:rsid w:val="00F87C71"/>
    <w:pPr>
      <w:spacing w:line="240" w:lineRule="auto"/>
    </w:pPr>
    <w:rPr>
      <w:sz w:val="20"/>
      <w:szCs w:val="20"/>
    </w:rPr>
  </w:style>
  <w:style w:type="character" w:customStyle="1" w:styleId="CommentTextChar">
    <w:name w:val="Comment Text Char"/>
    <w:basedOn w:val="DefaultParagraphFont"/>
    <w:link w:val="CommentText"/>
    <w:uiPriority w:val="99"/>
    <w:rsid w:val="00F87C7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87C71"/>
    <w:rPr>
      <w:b/>
      <w:bCs/>
    </w:rPr>
  </w:style>
  <w:style w:type="character" w:customStyle="1" w:styleId="CommentSubjectChar">
    <w:name w:val="Comment Subject Char"/>
    <w:basedOn w:val="CommentTextChar"/>
    <w:link w:val="CommentSubject"/>
    <w:uiPriority w:val="99"/>
    <w:semiHidden/>
    <w:rsid w:val="00F87C71"/>
    <w:rPr>
      <w:rFonts w:ascii="Verdana" w:hAnsi="Verdana"/>
      <w:b/>
      <w:bCs/>
      <w:color w:val="000000"/>
    </w:rPr>
  </w:style>
  <w:style w:type="character" w:styleId="FollowedHyperlink">
    <w:name w:val="FollowedHyperlink"/>
    <w:basedOn w:val="DefaultParagraphFont"/>
    <w:uiPriority w:val="99"/>
    <w:semiHidden/>
    <w:unhideWhenUsed/>
    <w:rsid w:val="006E1DDB"/>
    <w:rPr>
      <w:color w:val="96607D" w:themeColor="followedHyperlink"/>
      <w:u w:val="single"/>
    </w:rPr>
  </w:style>
  <w:style w:type="character" w:customStyle="1" w:styleId="UnresolvedMention">
    <w:name w:val="Unresolved Mention"/>
    <w:basedOn w:val="DefaultParagraphFont"/>
    <w:uiPriority w:val="99"/>
    <w:semiHidden/>
    <w:unhideWhenUsed/>
    <w:rsid w:val="0065667D"/>
    <w:rPr>
      <w:color w:val="605E5C"/>
      <w:shd w:val="clear" w:color="auto" w:fill="E1DFDD"/>
    </w:rPr>
  </w:style>
  <w:style w:type="paragraph" w:styleId="Revision">
    <w:name w:val="Revision"/>
    <w:hidden/>
    <w:uiPriority w:val="99"/>
    <w:semiHidden/>
    <w:rsid w:val="00025EE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7397">
      <w:bodyDiv w:val="1"/>
      <w:marLeft w:val="0"/>
      <w:marRight w:val="0"/>
      <w:marTop w:val="0"/>
      <w:marBottom w:val="0"/>
      <w:divBdr>
        <w:top w:val="none" w:sz="0" w:space="0" w:color="auto"/>
        <w:left w:val="none" w:sz="0" w:space="0" w:color="auto"/>
        <w:bottom w:val="none" w:sz="0" w:space="0" w:color="auto"/>
        <w:right w:val="none" w:sz="0" w:space="0" w:color="auto"/>
      </w:divBdr>
    </w:div>
    <w:div w:id="136190135">
      <w:bodyDiv w:val="1"/>
      <w:marLeft w:val="0"/>
      <w:marRight w:val="0"/>
      <w:marTop w:val="0"/>
      <w:marBottom w:val="0"/>
      <w:divBdr>
        <w:top w:val="none" w:sz="0" w:space="0" w:color="auto"/>
        <w:left w:val="none" w:sz="0" w:space="0" w:color="auto"/>
        <w:bottom w:val="none" w:sz="0" w:space="0" w:color="auto"/>
        <w:right w:val="none" w:sz="0" w:space="0" w:color="auto"/>
      </w:divBdr>
    </w:div>
    <w:div w:id="212936213">
      <w:bodyDiv w:val="1"/>
      <w:marLeft w:val="0"/>
      <w:marRight w:val="0"/>
      <w:marTop w:val="0"/>
      <w:marBottom w:val="0"/>
      <w:divBdr>
        <w:top w:val="none" w:sz="0" w:space="0" w:color="auto"/>
        <w:left w:val="none" w:sz="0" w:space="0" w:color="auto"/>
        <w:bottom w:val="none" w:sz="0" w:space="0" w:color="auto"/>
        <w:right w:val="none" w:sz="0" w:space="0" w:color="auto"/>
      </w:divBdr>
    </w:div>
    <w:div w:id="383065576">
      <w:bodyDiv w:val="1"/>
      <w:marLeft w:val="0"/>
      <w:marRight w:val="0"/>
      <w:marTop w:val="0"/>
      <w:marBottom w:val="0"/>
      <w:divBdr>
        <w:top w:val="none" w:sz="0" w:space="0" w:color="auto"/>
        <w:left w:val="none" w:sz="0" w:space="0" w:color="auto"/>
        <w:bottom w:val="none" w:sz="0" w:space="0" w:color="auto"/>
        <w:right w:val="none" w:sz="0" w:space="0" w:color="auto"/>
      </w:divBdr>
    </w:div>
    <w:div w:id="424301804">
      <w:bodyDiv w:val="1"/>
      <w:marLeft w:val="0"/>
      <w:marRight w:val="0"/>
      <w:marTop w:val="0"/>
      <w:marBottom w:val="0"/>
      <w:divBdr>
        <w:top w:val="none" w:sz="0" w:space="0" w:color="auto"/>
        <w:left w:val="none" w:sz="0" w:space="0" w:color="auto"/>
        <w:bottom w:val="none" w:sz="0" w:space="0" w:color="auto"/>
        <w:right w:val="none" w:sz="0" w:space="0" w:color="auto"/>
      </w:divBdr>
    </w:div>
    <w:div w:id="610819337">
      <w:bodyDiv w:val="1"/>
      <w:marLeft w:val="0"/>
      <w:marRight w:val="0"/>
      <w:marTop w:val="0"/>
      <w:marBottom w:val="0"/>
      <w:divBdr>
        <w:top w:val="none" w:sz="0" w:space="0" w:color="auto"/>
        <w:left w:val="none" w:sz="0" w:space="0" w:color="auto"/>
        <w:bottom w:val="none" w:sz="0" w:space="0" w:color="auto"/>
        <w:right w:val="none" w:sz="0" w:space="0" w:color="auto"/>
      </w:divBdr>
    </w:div>
    <w:div w:id="674651190">
      <w:bodyDiv w:val="1"/>
      <w:marLeft w:val="0"/>
      <w:marRight w:val="0"/>
      <w:marTop w:val="0"/>
      <w:marBottom w:val="0"/>
      <w:divBdr>
        <w:top w:val="none" w:sz="0" w:space="0" w:color="auto"/>
        <w:left w:val="none" w:sz="0" w:space="0" w:color="auto"/>
        <w:bottom w:val="none" w:sz="0" w:space="0" w:color="auto"/>
        <w:right w:val="none" w:sz="0" w:space="0" w:color="auto"/>
      </w:divBdr>
    </w:div>
    <w:div w:id="876812965">
      <w:bodyDiv w:val="1"/>
      <w:marLeft w:val="0"/>
      <w:marRight w:val="0"/>
      <w:marTop w:val="0"/>
      <w:marBottom w:val="0"/>
      <w:divBdr>
        <w:top w:val="none" w:sz="0" w:space="0" w:color="auto"/>
        <w:left w:val="none" w:sz="0" w:space="0" w:color="auto"/>
        <w:bottom w:val="none" w:sz="0" w:space="0" w:color="auto"/>
        <w:right w:val="none" w:sz="0" w:space="0" w:color="auto"/>
      </w:divBdr>
    </w:div>
    <w:div w:id="1019821080">
      <w:bodyDiv w:val="1"/>
      <w:marLeft w:val="0"/>
      <w:marRight w:val="0"/>
      <w:marTop w:val="0"/>
      <w:marBottom w:val="0"/>
      <w:divBdr>
        <w:top w:val="none" w:sz="0" w:space="0" w:color="auto"/>
        <w:left w:val="none" w:sz="0" w:space="0" w:color="auto"/>
        <w:bottom w:val="none" w:sz="0" w:space="0" w:color="auto"/>
        <w:right w:val="none" w:sz="0" w:space="0" w:color="auto"/>
      </w:divBdr>
    </w:div>
    <w:div w:id="1078551096">
      <w:bodyDiv w:val="1"/>
      <w:marLeft w:val="0"/>
      <w:marRight w:val="0"/>
      <w:marTop w:val="0"/>
      <w:marBottom w:val="0"/>
      <w:divBdr>
        <w:top w:val="none" w:sz="0" w:space="0" w:color="auto"/>
        <w:left w:val="none" w:sz="0" w:space="0" w:color="auto"/>
        <w:bottom w:val="none" w:sz="0" w:space="0" w:color="auto"/>
        <w:right w:val="none" w:sz="0" w:space="0" w:color="auto"/>
      </w:divBdr>
      <w:divsChild>
        <w:div w:id="283733648">
          <w:marLeft w:val="0"/>
          <w:marRight w:val="0"/>
          <w:marTop w:val="0"/>
          <w:marBottom w:val="0"/>
          <w:divBdr>
            <w:top w:val="none" w:sz="0" w:space="0" w:color="auto"/>
            <w:left w:val="none" w:sz="0" w:space="0" w:color="auto"/>
            <w:bottom w:val="none" w:sz="0" w:space="0" w:color="auto"/>
            <w:right w:val="none" w:sz="0" w:space="0" w:color="auto"/>
          </w:divBdr>
        </w:div>
      </w:divsChild>
    </w:div>
    <w:div w:id="1088691932">
      <w:bodyDiv w:val="1"/>
      <w:marLeft w:val="0"/>
      <w:marRight w:val="0"/>
      <w:marTop w:val="0"/>
      <w:marBottom w:val="0"/>
      <w:divBdr>
        <w:top w:val="none" w:sz="0" w:space="0" w:color="auto"/>
        <w:left w:val="none" w:sz="0" w:space="0" w:color="auto"/>
        <w:bottom w:val="none" w:sz="0" w:space="0" w:color="auto"/>
        <w:right w:val="none" w:sz="0" w:space="0" w:color="auto"/>
      </w:divBdr>
    </w:div>
    <w:div w:id="1260989976">
      <w:bodyDiv w:val="1"/>
      <w:marLeft w:val="0"/>
      <w:marRight w:val="0"/>
      <w:marTop w:val="0"/>
      <w:marBottom w:val="0"/>
      <w:divBdr>
        <w:top w:val="none" w:sz="0" w:space="0" w:color="auto"/>
        <w:left w:val="none" w:sz="0" w:space="0" w:color="auto"/>
        <w:bottom w:val="none" w:sz="0" w:space="0" w:color="auto"/>
        <w:right w:val="none" w:sz="0" w:space="0" w:color="auto"/>
      </w:divBdr>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342512431">
      <w:bodyDiv w:val="1"/>
      <w:marLeft w:val="0"/>
      <w:marRight w:val="0"/>
      <w:marTop w:val="0"/>
      <w:marBottom w:val="0"/>
      <w:divBdr>
        <w:top w:val="none" w:sz="0" w:space="0" w:color="auto"/>
        <w:left w:val="none" w:sz="0" w:space="0" w:color="auto"/>
        <w:bottom w:val="none" w:sz="0" w:space="0" w:color="auto"/>
        <w:right w:val="none" w:sz="0" w:space="0" w:color="auto"/>
      </w:divBdr>
      <w:divsChild>
        <w:div w:id="667293866">
          <w:marLeft w:val="0"/>
          <w:marRight w:val="0"/>
          <w:marTop w:val="0"/>
          <w:marBottom w:val="0"/>
          <w:divBdr>
            <w:top w:val="none" w:sz="0" w:space="0" w:color="auto"/>
            <w:left w:val="none" w:sz="0" w:space="0" w:color="auto"/>
            <w:bottom w:val="none" w:sz="0" w:space="0" w:color="auto"/>
            <w:right w:val="none" w:sz="0" w:space="0" w:color="auto"/>
          </w:divBdr>
        </w:div>
      </w:divsChild>
    </w:div>
    <w:div w:id="1342589943">
      <w:bodyDiv w:val="1"/>
      <w:marLeft w:val="0"/>
      <w:marRight w:val="0"/>
      <w:marTop w:val="0"/>
      <w:marBottom w:val="0"/>
      <w:divBdr>
        <w:top w:val="none" w:sz="0" w:space="0" w:color="auto"/>
        <w:left w:val="none" w:sz="0" w:space="0" w:color="auto"/>
        <w:bottom w:val="none" w:sz="0" w:space="0" w:color="auto"/>
        <w:right w:val="none" w:sz="0" w:space="0" w:color="auto"/>
      </w:divBdr>
    </w:div>
    <w:div w:id="1404376528">
      <w:bodyDiv w:val="1"/>
      <w:marLeft w:val="0"/>
      <w:marRight w:val="0"/>
      <w:marTop w:val="0"/>
      <w:marBottom w:val="0"/>
      <w:divBdr>
        <w:top w:val="none" w:sz="0" w:space="0" w:color="auto"/>
        <w:left w:val="none" w:sz="0" w:space="0" w:color="auto"/>
        <w:bottom w:val="none" w:sz="0" w:space="0" w:color="auto"/>
        <w:right w:val="none" w:sz="0" w:space="0" w:color="auto"/>
      </w:divBdr>
    </w:div>
    <w:div w:id="1466969901">
      <w:bodyDiv w:val="1"/>
      <w:marLeft w:val="0"/>
      <w:marRight w:val="0"/>
      <w:marTop w:val="0"/>
      <w:marBottom w:val="0"/>
      <w:divBdr>
        <w:top w:val="none" w:sz="0" w:space="0" w:color="auto"/>
        <w:left w:val="none" w:sz="0" w:space="0" w:color="auto"/>
        <w:bottom w:val="none" w:sz="0" w:space="0" w:color="auto"/>
        <w:right w:val="none" w:sz="0" w:space="0" w:color="auto"/>
      </w:divBdr>
    </w:div>
    <w:div w:id="1505897038">
      <w:bodyDiv w:val="1"/>
      <w:marLeft w:val="0"/>
      <w:marRight w:val="0"/>
      <w:marTop w:val="0"/>
      <w:marBottom w:val="0"/>
      <w:divBdr>
        <w:top w:val="none" w:sz="0" w:space="0" w:color="auto"/>
        <w:left w:val="none" w:sz="0" w:space="0" w:color="auto"/>
        <w:bottom w:val="none" w:sz="0" w:space="0" w:color="auto"/>
        <w:right w:val="none" w:sz="0" w:space="0" w:color="auto"/>
      </w:divBdr>
    </w:div>
    <w:div w:id="1515531176">
      <w:bodyDiv w:val="1"/>
      <w:marLeft w:val="0"/>
      <w:marRight w:val="0"/>
      <w:marTop w:val="0"/>
      <w:marBottom w:val="0"/>
      <w:divBdr>
        <w:top w:val="none" w:sz="0" w:space="0" w:color="auto"/>
        <w:left w:val="none" w:sz="0" w:space="0" w:color="auto"/>
        <w:bottom w:val="none" w:sz="0" w:space="0" w:color="auto"/>
        <w:right w:val="none" w:sz="0" w:space="0" w:color="auto"/>
      </w:divBdr>
    </w:div>
    <w:div w:id="1583834892">
      <w:bodyDiv w:val="1"/>
      <w:marLeft w:val="0"/>
      <w:marRight w:val="0"/>
      <w:marTop w:val="0"/>
      <w:marBottom w:val="0"/>
      <w:divBdr>
        <w:top w:val="none" w:sz="0" w:space="0" w:color="auto"/>
        <w:left w:val="none" w:sz="0" w:space="0" w:color="auto"/>
        <w:bottom w:val="none" w:sz="0" w:space="0" w:color="auto"/>
        <w:right w:val="none" w:sz="0" w:space="0" w:color="auto"/>
      </w:divBdr>
    </w:div>
    <w:div w:id="1620643870">
      <w:bodyDiv w:val="1"/>
      <w:marLeft w:val="0"/>
      <w:marRight w:val="0"/>
      <w:marTop w:val="0"/>
      <w:marBottom w:val="0"/>
      <w:divBdr>
        <w:top w:val="none" w:sz="0" w:space="0" w:color="auto"/>
        <w:left w:val="none" w:sz="0" w:space="0" w:color="auto"/>
        <w:bottom w:val="none" w:sz="0" w:space="0" w:color="auto"/>
        <w:right w:val="none" w:sz="0" w:space="0" w:color="auto"/>
      </w:divBdr>
    </w:div>
    <w:div w:id="1635409090">
      <w:bodyDiv w:val="1"/>
      <w:marLeft w:val="0"/>
      <w:marRight w:val="0"/>
      <w:marTop w:val="0"/>
      <w:marBottom w:val="0"/>
      <w:divBdr>
        <w:top w:val="none" w:sz="0" w:space="0" w:color="auto"/>
        <w:left w:val="none" w:sz="0" w:space="0" w:color="auto"/>
        <w:bottom w:val="none" w:sz="0" w:space="0" w:color="auto"/>
        <w:right w:val="none" w:sz="0" w:space="0" w:color="auto"/>
      </w:divBdr>
    </w:div>
    <w:div w:id="1808627155">
      <w:bodyDiv w:val="1"/>
      <w:marLeft w:val="0"/>
      <w:marRight w:val="0"/>
      <w:marTop w:val="0"/>
      <w:marBottom w:val="0"/>
      <w:divBdr>
        <w:top w:val="none" w:sz="0" w:space="0" w:color="auto"/>
        <w:left w:val="none" w:sz="0" w:space="0" w:color="auto"/>
        <w:bottom w:val="none" w:sz="0" w:space="0" w:color="auto"/>
        <w:right w:val="none" w:sz="0" w:space="0" w:color="auto"/>
      </w:divBdr>
    </w:div>
    <w:div w:id="1948811227">
      <w:bodyDiv w:val="1"/>
      <w:marLeft w:val="0"/>
      <w:marRight w:val="0"/>
      <w:marTop w:val="0"/>
      <w:marBottom w:val="0"/>
      <w:divBdr>
        <w:top w:val="none" w:sz="0" w:space="0" w:color="auto"/>
        <w:left w:val="none" w:sz="0" w:space="0" w:color="auto"/>
        <w:bottom w:val="none" w:sz="0" w:space="0" w:color="auto"/>
        <w:right w:val="none" w:sz="0" w:space="0" w:color="auto"/>
      </w:divBdr>
    </w:div>
    <w:div w:id="2030984439">
      <w:bodyDiv w:val="1"/>
      <w:marLeft w:val="0"/>
      <w:marRight w:val="0"/>
      <w:marTop w:val="0"/>
      <w:marBottom w:val="0"/>
      <w:divBdr>
        <w:top w:val="none" w:sz="0" w:space="0" w:color="auto"/>
        <w:left w:val="none" w:sz="0" w:space="0" w:color="auto"/>
        <w:bottom w:val="none" w:sz="0" w:space="0" w:color="auto"/>
        <w:right w:val="none" w:sz="0" w:space="0" w:color="auto"/>
      </w:divBdr>
      <w:divsChild>
        <w:div w:id="119308043">
          <w:marLeft w:val="0"/>
          <w:marRight w:val="0"/>
          <w:marTop w:val="0"/>
          <w:marBottom w:val="0"/>
          <w:divBdr>
            <w:top w:val="none" w:sz="0" w:space="0" w:color="auto"/>
            <w:left w:val="none" w:sz="0" w:space="0" w:color="auto"/>
            <w:bottom w:val="none" w:sz="0" w:space="0" w:color="auto"/>
            <w:right w:val="none" w:sz="0" w:space="0" w:color="auto"/>
          </w:divBdr>
        </w:div>
      </w:divsChild>
    </w:div>
    <w:div w:id="2031373473">
      <w:bodyDiv w:val="1"/>
      <w:marLeft w:val="0"/>
      <w:marRight w:val="0"/>
      <w:marTop w:val="0"/>
      <w:marBottom w:val="0"/>
      <w:divBdr>
        <w:top w:val="none" w:sz="0" w:space="0" w:color="auto"/>
        <w:left w:val="none" w:sz="0" w:space="0" w:color="auto"/>
        <w:bottom w:val="none" w:sz="0" w:space="0" w:color="auto"/>
        <w:right w:val="none" w:sz="0" w:space="0" w:color="auto"/>
      </w:divBdr>
    </w:div>
    <w:div w:id="2031488104">
      <w:bodyDiv w:val="1"/>
      <w:marLeft w:val="0"/>
      <w:marRight w:val="0"/>
      <w:marTop w:val="0"/>
      <w:marBottom w:val="0"/>
      <w:divBdr>
        <w:top w:val="none" w:sz="0" w:space="0" w:color="auto"/>
        <w:left w:val="none" w:sz="0" w:space="0" w:color="auto"/>
        <w:bottom w:val="none" w:sz="0" w:space="0" w:color="auto"/>
        <w:right w:val="none" w:sz="0" w:space="0" w:color="auto"/>
      </w:divBdr>
    </w:div>
    <w:div w:id="2059619885">
      <w:bodyDiv w:val="1"/>
      <w:marLeft w:val="0"/>
      <w:marRight w:val="0"/>
      <w:marTop w:val="0"/>
      <w:marBottom w:val="0"/>
      <w:divBdr>
        <w:top w:val="none" w:sz="0" w:space="0" w:color="auto"/>
        <w:left w:val="none" w:sz="0" w:space="0" w:color="auto"/>
        <w:bottom w:val="none" w:sz="0" w:space="0" w:color="auto"/>
        <w:right w:val="none" w:sz="0" w:space="0" w:color="auto"/>
      </w:divBdr>
      <w:divsChild>
        <w:div w:id="863594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nederlandcirculairin2050.nl/documenten/2025/03/20/krachtenbundeling-rijk-regio-circulaire-economie-2025-2026" TargetMode="External"/><Relationship Id="rId2" Type="http://schemas.openxmlformats.org/officeDocument/2006/relationships/hyperlink" Target="https://www.rli.nl/publicaties/2023/advies/weg-van-de-wegwerpmaatschappij" TargetMode="External"/><Relationship Id="rId1" Type="http://schemas.openxmlformats.org/officeDocument/2006/relationships/hyperlink" Target="https://www.rijksoverheid.nl/documenten/rapporten/2023/03/31/lca-voor-beleidsmakers-met-casestudie-over-bekers" TargetMode="External"/><Relationship Id="rId4" Type="http://schemas.openxmlformats.org/officeDocument/2006/relationships/hyperlink" Target="https://www.internetconsultatie.nl/nationale_circulaire_plastic_norm/document/12507"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3402</ap:Words>
  <ap:Characters>19394</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Brief aan Parlement - Circulaire economie</vt:lpstr>
    </vt:vector>
  </ap:TitlesOfParts>
  <ap:LinksUpToDate>false</ap:LinksUpToDate>
  <ap:CharactersWithSpaces>22751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2025-04-14T11:14:00.0000000Z</dcterms:created>
  <dcterms:modified xsi:type="dcterms:W3CDTF">2025-04-14T11:14:00.0000000Z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Circulaire economie</vt:lpwstr>
  </property>
  <property fmtid="{D5CDD505-2E9C-101B-9397-08002B2CF9AE}" pid="5" name="Publicatiedatum">
    <vt:lpwstr/>
  </property>
  <property fmtid="{D5CDD505-2E9C-101B-9397-08002B2CF9AE}" pid="6" name="Verantwoordelijke organisatie">
    <vt:lpwstr>Rijkstrainees afd 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K.A. Bockting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