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01B8" w:rsidRDefault="00B90EE4" w14:paraId="3AE287EF" w14:textId="77777777">
      <w:r>
        <w:t>Geachte voorzitter,</w:t>
      </w:r>
    </w:p>
    <w:p w:rsidR="002601B8" w:rsidRDefault="002601B8" w14:paraId="3AE287F0" w14:textId="77777777"/>
    <w:p w:rsidR="00B90EE4" w:rsidP="00B90EE4" w:rsidRDefault="00B90EE4" w14:paraId="7F6B92BA" w14:textId="6A3EA87C">
      <w:r>
        <w:t>Tijdens het tweeminutendebat over China dat plaatsvond op 9 april jl. is door het Kamerlid Ceder (CU) een motie ingediend.</w:t>
      </w:r>
      <w:r w:rsidR="009F601B">
        <w:rPr>
          <w:rStyle w:val="FootnoteReference"/>
        </w:rPr>
        <w:footnoteReference w:id="1"/>
      </w:r>
      <w:r>
        <w:t xml:space="preserve"> In de motie verzoekt </w:t>
      </w:r>
      <w:r w:rsidR="005F5EA4">
        <w:t>het lid Ceder</w:t>
      </w:r>
      <w:r>
        <w:t xml:space="preserve"> </w:t>
      </w:r>
      <w:r w:rsidRPr="00FB1796">
        <w:t>de regeri</w:t>
      </w:r>
      <w:r>
        <w:t xml:space="preserve">ng </w:t>
      </w:r>
      <w:r w:rsidRPr="00FB1796">
        <w:t>in Europees verband aan ByteDance harde</w:t>
      </w:r>
      <w:r>
        <w:t xml:space="preserve"> </w:t>
      </w:r>
      <w:r w:rsidRPr="00FB1796">
        <w:t>voorwaarden te stellen om een verbod op TikTok te voorkomen, waarbij de</w:t>
      </w:r>
      <w:r>
        <w:t xml:space="preserve"> </w:t>
      </w:r>
      <w:r w:rsidRPr="00FB1796">
        <w:t>garantie dat er geen gegevens meer naar China worden gestuurd er één is</w:t>
      </w:r>
      <w:r>
        <w:t xml:space="preserve">. Tevens </w:t>
      </w:r>
      <w:r w:rsidRPr="00FB1796">
        <w:t xml:space="preserve">verzoekt de </w:t>
      </w:r>
      <w:r>
        <w:t xml:space="preserve">motie de </w:t>
      </w:r>
      <w:r w:rsidRPr="00FB1796">
        <w:t>regering om in Europees verband aan te dringen op stevige</w:t>
      </w:r>
      <w:r>
        <w:t xml:space="preserve"> </w:t>
      </w:r>
      <w:r w:rsidRPr="00FB1796">
        <w:t>handhaving van de privacywetgeving en uit te werken wanneer overgegaan</w:t>
      </w:r>
      <w:r>
        <w:t xml:space="preserve"> </w:t>
      </w:r>
      <w:r w:rsidRPr="00FB1796">
        <w:t>wordt tot het verbieden van de toegang van een apparaat of applicatie tot de</w:t>
      </w:r>
      <w:r>
        <w:t xml:space="preserve"> </w:t>
      </w:r>
      <w:r w:rsidRPr="00FB1796">
        <w:t>Europese mark</w:t>
      </w:r>
      <w:r>
        <w:t xml:space="preserve">. Beide </w:t>
      </w:r>
      <w:r w:rsidRPr="009A5D2E">
        <w:rPr>
          <w:i/>
          <w:iCs/>
        </w:rPr>
        <w:t>dicta</w:t>
      </w:r>
      <w:r>
        <w:t xml:space="preserve"> uit de motie </w:t>
      </w:r>
      <w:r w:rsidRPr="007C0C17">
        <w:t>zien op gegevensbescherming en de handhaving daarvan en vallen binnen de po</w:t>
      </w:r>
      <w:r>
        <w:t xml:space="preserve">rtefeuille </w:t>
      </w:r>
      <w:r w:rsidRPr="007C0C17">
        <w:t>van de staatssecretaris Rechtsbescherming</w:t>
      </w:r>
      <w:r>
        <w:t>, mede namens wie ik deze brief stuur</w:t>
      </w:r>
      <w:r w:rsidRPr="007C0C17">
        <w:t xml:space="preserve">. </w:t>
      </w:r>
    </w:p>
    <w:p w:rsidR="00B90EE4" w:rsidP="00B90EE4" w:rsidRDefault="00B90EE4" w14:paraId="5CE8DB3C" w14:textId="77777777"/>
    <w:p w:rsidR="00B90EE4" w:rsidP="00B90EE4" w:rsidRDefault="00B90EE4" w14:paraId="6C2F7BC3" w14:textId="12FF2123">
      <w:r>
        <w:t>Eerder werd de motie als “ontijdig” geapprecieerd omdat deze aan een andere bewindspersoon was gericht. Uw Kamer heeft vervolgens gevraagd om voorafgaand aan de stemming over de moties op dinsdag</w:t>
      </w:r>
      <w:r w:rsidR="005F5EA4">
        <w:t xml:space="preserve"> as.</w:t>
      </w:r>
      <w:r>
        <w:t xml:space="preserve"> een Kamerbrief met inhoudelijke appreciatie van de motie door het </w:t>
      </w:r>
      <w:r w:rsidR="005F5EA4">
        <w:t>k</w:t>
      </w:r>
      <w:r>
        <w:t>abinet te ontvangen.</w:t>
      </w:r>
      <w:r w:rsidR="005F5EA4">
        <w:t xml:space="preserve"> </w:t>
      </w:r>
      <w:r>
        <w:t>Met deze brief treft u de appreciatie aan van de s</w:t>
      </w:r>
      <w:r w:rsidRPr="00FC0914">
        <w:t>taatssecretaris Rechtsbescherming</w:t>
      </w:r>
      <w:r>
        <w:t xml:space="preserve">, die stelselverantwoordelijkheid draagt voor de Algemene Verordening Gegevensbescherming (AVG). </w:t>
      </w:r>
    </w:p>
    <w:p w:rsidR="00B90EE4" w:rsidP="00B90EE4" w:rsidRDefault="00B90EE4" w14:paraId="74ABE86A" w14:textId="77777777"/>
    <w:p w:rsidR="00B90EE4" w:rsidP="00B90EE4" w:rsidRDefault="00B90EE4" w14:paraId="02001F07" w14:textId="77777777">
      <w:r>
        <w:t xml:space="preserve">De motie wordt door het kabinet overbodig geacht nu in de rechtsbescherming waartoe zij oproept reeds is voorzien. De Algemene Verordening Gegevensbescherming (AVG) stelt strikte voorwaarden om persoonsgegevens te mogen verwerken. Doorgifte van persoonsgegevens naar derde landen, zoals China, is slechts toegestaan indien is voldaan de aanvullende verplichtingen in hoofdstuk V van de AVG. Als aan de diverse voorwaarden uit de AVG wordt voldaan is doorgifte van persoonsgegevens vanuit de EU naar China toegestaan. </w:t>
      </w:r>
    </w:p>
    <w:p w:rsidR="00B90EE4" w:rsidP="00B90EE4" w:rsidRDefault="00B90EE4" w14:paraId="59B2EE0A" w14:textId="77777777"/>
    <w:p w:rsidR="00B90EE4" w:rsidP="00B90EE4" w:rsidRDefault="00B90EE4" w14:paraId="4062CCB4" w14:textId="77777777">
      <w:r>
        <w:t xml:space="preserve">Het toezicht op de naleving van de AVG, waaronder internationale doorgifte, is belegd bij onafhankelijke toezichthoudende autoriteiten in de EU die beschikken over een breed instrumentarium aan toezichts- en handhavingsbevoegdheden, </w:t>
      </w:r>
      <w:r>
        <w:lastRenderedPageBreak/>
        <w:t xml:space="preserve">waaronder het verrichten van onderzoek en het opleggen van sancties (artikel 57 en 58 AVG). In verband met de motie zijn twee uitdrukkelijk genoemde bevoegdheden noemenswaardig. Allereerst noemt de AVG de mogelijkheid om aan een verwerkingsverantwoordelijke of verwerker een tijdelijke of definitieve verwerkingsbeperking, waaronder een verwerkingsverbod van persoonsgegevens, op te leggen (artikel 58, tweede lid, onder f). Hoewel een verwerkingsverbod als zodanig geen verbod is op toegang van een apparaat of applicatie tot de Europese markt, maakt een verwerkingsverbod het functioneren van een dergelijke applicatie in de praktijk zo goed als onmogelijk. </w:t>
      </w:r>
    </w:p>
    <w:p w:rsidR="00B90EE4" w:rsidP="00B90EE4" w:rsidRDefault="00B90EE4" w14:paraId="2953E26B" w14:textId="77777777"/>
    <w:p w:rsidR="00B90EE4" w:rsidP="00B90EE4" w:rsidRDefault="00B90EE4" w14:paraId="1221F239" w14:textId="77777777">
      <w:r>
        <w:t>Ook biedt de AVG een toezichthouder de bevoegdheid om de opschorting van gegevensstromen naar een ontvanger in een derde land of naar een internationale organisatie</w:t>
      </w:r>
      <w:r w:rsidRPr="00FF2D2C">
        <w:t xml:space="preserve"> </w:t>
      </w:r>
      <w:r>
        <w:t xml:space="preserve">te gelasten (artikel 58, tweede lid, onder j). Voor de gevallen waarin dit nodig is, beschikt de toezichthouder dus reeds op grond van de AVG over de mogelijkheden waar de motie om vraagt om ongewenste gegevensstromen naar China te tegen te gaan.  </w:t>
      </w:r>
    </w:p>
    <w:p w:rsidR="00B90EE4" w:rsidP="00B90EE4" w:rsidRDefault="00B90EE4" w14:paraId="3B5635E5" w14:textId="77777777"/>
    <w:p w:rsidR="00B90EE4" w:rsidP="00B90EE4" w:rsidRDefault="00B90EE4" w14:paraId="755E6D14" w14:textId="77777777">
      <w:r>
        <w:t xml:space="preserve">Binnen deze kaders heeft de toezichthouder discretionaire ruimte om te beoordelen in welke zaken zij onderzoek instelt en op welke wijze zij optreedt. Het kabinet kan op dat toezicht geen invloed uitoefenen. Dat zou immers met de onafhankelijkheid van de toezichthouder op gespannen voet staan. </w:t>
      </w:r>
    </w:p>
    <w:p w:rsidR="00B90EE4" w:rsidP="00B90EE4" w:rsidRDefault="00B90EE4" w14:paraId="428B7EC5" w14:textId="77777777"/>
    <w:p w:rsidR="00B90EE4" w:rsidP="00B90EE4" w:rsidRDefault="00B90EE4" w14:paraId="7C8B119F" w14:textId="77777777">
      <w:r>
        <w:t xml:space="preserve">De berichtgeving over een mogelijke boete voor TikTok in verband met de doorgifte van persoonsgegevens wordt uiteraard met belangstelling gevolgd. Gelet op het feit dat TikTok zijn Europese hoofdvestiging in Ierland heeft, treedt de Ierse </w:t>
      </w:r>
      <w:r w:rsidRPr="00A36123">
        <w:rPr>
          <w:i/>
          <w:iCs/>
        </w:rPr>
        <w:t>Data Protection Commission</w:t>
      </w:r>
      <w:r>
        <w:t xml:space="preserve"> op als leidende toezichthoudende autoriteit in het onderzoek naar TikTok.</w:t>
      </w:r>
      <w:r>
        <w:rPr>
          <w:rStyle w:val="FootnoteReference"/>
        </w:rPr>
        <w:footnoteReference w:id="2"/>
      </w:r>
      <w:r>
        <w:t xml:space="preserve"> Hoewel op dit moment nog niet duidelijk is of daadwerkelijk sprake is van een voorgenomen boetebesluit lijkt alles erop te wijzen dat er aan het wettelijk instrumentarium niets schort en dat toezichthouders doeltreffend invulling kunnen geven aan de handhaving van de AVG, ook waar het gaat over gegevensverwerkingen door internationale bedrijven. Het onderzoek is nog gaande en het oordeel over de rechtmatigheid van een eventueel boetebesluit is uiteindelijk aan de rechter.</w:t>
      </w:r>
    </w:p>
    <w:p w:rsidR="00B90EE4" w:rsidP="00B90EE4" w:rsidRDefault="00B90EE4" w14:paraId="7E2FFA97" w14:textId="77777777"/>
    <w:p w:rsidR="00B90EE4" w:rsidP="00B90EE4" w:rsidRDefault="005F5EA4" w14:paraId="4F511D2E" w14:textId="3ADD72FD">
      <w:r>
        <w:t xml:space="preserve">De </w:t>
      </w:r>
      <w:r w:rsidR="00B90EE4">
        <w:t>minister van Buitenlandse Zaken,</w:t>
      </w:r>
    </w:p>
    <w:p w:rsidR="00B90EE4" w:rsidP="00B90EE4" w:rsidRDefault="00B90EE4" w14:paraId="425DDD5F" w14:textId="77777777"/>
    <w:p w:rsidR="00B90EE4" w:rsidP="00B90EE4" w:rsidRDefault="00B90EE4" w14:paraId="260268A5" w14:textId="77777777"/>
    <w:p w:rsidR="005F5EA4" w:rsidP="00B90EE4" w:rsidRDefault="005F5EA4" w14:paraId="48F98BE5" w14:textId="77777777"/>
    <w:p w:rsidR="005F5EA4" w:rsidP="00B90EE4" w:rsidRDefault="005F5EA4" w14:paraId="39701773" w14:textId="77777777"/>
    <w:p w:rsidR="005F5EA4" w:rsidP="00B90EE4" w:rsidRDefault="005F5EA4" w14:paraId="6BD7757A" w14:textId="77777777"/>
    <w:p w:rsidR="00B90EE4" w:rsidP="00B90EE4" w:rsidRDefault="00B90EE4" w14:paraId="45754155" w14:textId="77777777">
      <w:r>
        <w:t>Caspar Veldkamp</w:t>
      </w:r>
    </w:p>
    <w:p w:rsidR="002601B8" w:rsidRDefault="002601B8" w14:paraId="3AE287F2" w14:textId="77777777"/>
    <w:p w:rsidR="002601B8" w:rsidRDefault="002601B8" w14:paraId="3AE287F3" w14:textId="77777777"/>
    <w:p w:rsidR="002601B8" w:rsidRDefault="002601B8" w14:paraId="3AE287F4" w14:textId="77777777"/>
    <w:p w:rsidR="002601B8" w:rsidRDefault="002601B8" w14:paraId="3AE287F5" w14:textId="77777777"/>
    <w:p w:rsidR="002601B8" w:rsidRDefault="002601B8" w14:paraId="3AE287F6" w14:textId="77777777"/>
    <w:p w:rsidR="002601B8" w:rsidRDefault="002601B8" w14:paraId="3AE287F7" w14:textId="77777777"/>
    <w:sectPr w:rsidR="002601B8" w:rsidSect="00512052">
      <w:headerReference w:type="even" r:id="rId14"/>
      <w:headerReference w:type="default" r:id="rId15"/>
      <w:footerReference w:type="even" r:id="rId16"/>
      <w:footerReference w:type="default" r:id="rId17"/>
      <w:headerReference w:type="first" r:id="rId18"/>
      <w:footerReference w:type="first" r:id="rId19"/>
      <w:pgSz w:w="11905" w:h="16837" w:code="9"/>
      <w:pgMar w:top="3096" w:right="2779" w:bottom="1080" w:left="158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9D2F" w14:textId="77777777" w:rsidR="00F30E54" w:rsidRDefault="00F30E54">
      <w:pPr>
        <w:spacing w:line="240" w:lineRule="auto"/>
      </w:pPr>
      <w:r>
        <w:separator/>
      </w:r>
    </w:p>
  </w:endnote>
  <w:endnote w:type="continuationSeparator" w:id="0">
    <w:p w14:paraId="3BBAABCA" w14:textId="77777777" w:rsidR="00F30E54" w:rsidRDefault="00F30E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C674" w14:textId="77777777" w:rsidR="00C90139" w:rsidRDefault="00C90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799755"/>
      <w:docPartObj>
        <w:docPartGallery w:val="Page Numbers (Bottom of Page)"/>
        <w:docPartUnique/>
      </w:docPartObj>
    </w:sdtPr>
    <w:sdtContent>
      <w:p w14:paraId="34073009" w14:textId="51D9970D" w:rsidR="00566919" w:rsidRDefault="00566919">
        <w:pPr>
          <w:pStyle w:val="Footer"/>
          <w:jc w:val="center"/>
        </w:pPr>
        <w:r>
          <w:fldChar w:fldCharType="begin"/>
        </w:r>
        <w:r>
          <w:instrText>PAGE   \* MERGEFORMAT</w:instrText>
        </w:r>
        <w:r>
          <w:fldChar w:fldCharType="separate"/>
        </w:r>
        <w:r>
          <w:t>2</w:t>
        </w:r>
        <w:r>
          <w:fldChar w:fldCharType="end"/>
        </w:r>
      </w:p>
    </w:sdtContent>
  </w:sdt>
  <w:p w14:paraId="5D497C58" w14:textId="77777777" w:rsidR="00566919" w:rsidRDefault="00566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947577"/>
      <w:docPartObj>
        <w:docPartGallery w:val="Page Numbers (Bottom of Page)"/>
        <w:docPartUnique/>
      </w:docPartObj>
    </w:sdtPr>
    <w:sdtContent>
      <w:p w14:paraId="1B06090C" w14:textId="20C5AF31" w:rsidR="00566919" w:rsidRDefault="00566919">
        <w:pPr>
          <w:pStyle w:val="Footer"/>
          <w:jc w:val="center"/>
        </w:pPr>
        <w:r>
          <w:fldChar w:fldCharType="begin"/>
        </w:r>
        <w:r>
          <w:instrText>PAGE   \* MERGEFORMAT</w:instrText>
        </w:r>
        <w:r>
          <w:fldChar w:fldCharType="separate"/>
        </w:r>
        <w:r>
          <w:t>2</w:t>
        </w:r>
        <w:r>
          <w:fldChar w:fldCharType="end"/>
        </w:r>
      </w:p>
    </w:sdtContent>
  </w:sdt>
  <w:p w14:paraId="58152B41" w14:textId="77777777" w:rsidR="00566919" w:rsidRDefault="00566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C840B" w14:textId="77777777" w:rsidR="00F30E54" w:rsidRDefault="00F30E54">
      <w:pPr>
        <w:spacing w:line="240" w:lineRule="auto"/>
      </w:pPr>
      <w:r>
        <w:separator/>
      </w:r>
    </w:p>
  </w:footnote>
  <w:footnote w:type="continuationSeparator" w:id="0">
    <w:p w14:paraId="3421A01E" w14:textId="77777777" w:rsidR="00F30E54" w:rsidRDefault="00F30E54">
      <w:pPr>
        <w:spacing w:line="240" w:lineRule="auto"/>
      </w:pPr>
      <w:r>
        <w:continuationSeparator/>
      </w:r>
    </w:p>
  </w:footnote>
  <w:footnote w:id="1">
    <w:p w14:paraId="00D29310" w14:textId="7649801F" w:rsidR="009F601B" w:rsidRPr="009F601B" w:rsidRDefault="009F601B">
      <w:pPr>
        <w:pStyle w:val="FootnoteText"/>
        <w:rPr>
          <w:lang w:val="en-US"/>
        </w:rPr>
      </w:pPr>
      <w:r>
        <w:rPr>
          <w:rStyle w:val="FootnoteReference"/>
        </w:rPr>
        <w:footnoteRef/>
      </w:r>
      <w:r>
        <w:t xml:space="preserve"> </w:t>
      </w:r>
      <w:r w:rsidRPr="009F601B">
        <w:rPr>
          <w:sz w:val="16"/>
          <w:szCs w:val="16"/>
          <w:lang w:val="en-US"/>
        </w:rPr>
        <w:t>Kamerstuk 35 207 nr. 85</w:t>
      </w:r>
    </w:p>
  </w:footnote>
  <w:footnote w:id="2">
    <w:p w14:paraId="3E5826FB" w14:textId="77777777" w:rsidR="00B90EE4" w:rsidRPr="009A5D2E" w:rsidRDefault="00B90EE4" w:rsidP="00B90EE4">
      <w:pPr>
        <w:pStyle w:val="FootnoteText"/>
        <w:rPr>
          <w:sz w:val="16"/>
          <w:szCs w:val="16"/>
          <w:lang w:val="en-GB"/>
        </w:rPr>
      </w:pPr>
      <w:r w:rsidRPr="009B4637">
        <w:rPr>
          <w:rStyle w:val="FootnoteReference"/>
          <w:sz w:val="16"/>
          <w:szCs w:val="16"/>
        </w:rPr>
        <w:footnoteRef/>
      </w:r>
      <w:r w:rsidRPr="009A5D2E">
        <w:rPr>
          <w:sz w:val="16"/>
          <w:szCs w:val="16"/>
          <w:lang w:val="en-GB"/>
        </w:rPr>
        <w:t xml:space="preserve"> Artikel 60 AVG. </w:t>
      </w:r>
      <w:proofErr w:type="spellStart"/>
      <w:r w:rsidRPr="009A5D2E">
        <w:rPr>
          <w:sz w:val="16"/>
          <w:szCs w:val="16"/>
          <w:lang w:val="en-GB"/>
        </w:rPr>
        <w:t>Zie</w:t>
      </w:r>
      <w:proofErr w:type="spellEnd"/>
      <w:r w:rsidRPr="009A5D2E">
        <w:rPr>
          <w:sz w:val="16"/>
          <w:szCs w:val="16"/>
          <w:lang w:val="en-GB"/>
        </w:rPr>
        <w:t xml:space="preserve"> </w:t>
      </w:r>
      <w:proofErr w:type="spellStart"/>
      <w:r w:rsidRPr="009A5D2E">
        <w:rPr>
          <w:sz w:val="16"/>
          <w:szCs w:val="16"/>
          <w:lang w:val="en-GB"/>
        </w:rPr>
        <w:t>ook</w:t>
      </w:r>
      <w:proofErr w:type="spellEnd"/>
      <w:r w:rsidRPr="009A5D2E">
        <w:rPr>
          <w:sz w:val="16"/>
          <w:szCs w:val="16"/>
          <w:lang w:val="en-GB"/>
        </w:rPr>
        <w:t xml:space="preserve">: </w:t>
      </w:r>
      <w:hyperlink r:id="rId1" w:anchor="TikTok" w:history="1">
        <w:r w:rsidRPr="009A5D2E">
          <w:rPr>
            <w:rStyle w:val="Hyperlink"/>
            <w:sz w:val="16"/>
            <w:szCs w:val="16"/>
            <w:lang w:val="en-GB"/>
          </w:rPr>
          <w:t>Irish Data Protection Commission submits Article 60 draft decision on inquiry into TikTok | 24/02/2025 | Data Protection Commission</w:t>
        </w:r>
      </w:hyperlink>
      <w:r w:rsidRPr="009A5D2E">
        <w:rPr>
          <w:rStyle w:val="Hyperlink"/>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AB8D" w14:textId="77777777" w:rsidR="00C90139" w:rsidRDefault="00C90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87F8" w14:textId="1DB09C4C" w:rsidR="002601B8" w:rsidRDefault="00B90EE4">
    <w:r>
      <w:rPr>
        <w:noProof/>
      </w:rPr>
      <mc:AlternateContent>
        <mc:Choice Requires="wps">
          <w:drawing>
            <wp:anchor distT="0" distB="0" distL="0" distR="0" simplePos="0" relativeHeight="251652608" behindDoc="0" locked="1" layoutInCell="1" allowOverlap="1" wp14:anchorId="3AE287FC" wp14:editId="6D18CB43">
              <wp:simplePos x="0" y="0"/>
              <wp:positionH relativeFrom="page">
                <wp:posOffset>5924550</wp:posOffset>
              </wp:positionH>
              <wp:positionV relativeFrom="page">
                <wp:posOffset>1962150</wp:posOffset>
              </wp:positionV>
              <wp:extent cx="14097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09700" cy="8009890"/>
                      </a:xfrm>
                      <a:prstGeom prst="rect">
                        <a:avLst/>
                      </a:prstGeom>
                      <a:noFill/>
                    </wps:spPr>
                    <wps:txbx>
                      <w:txbxContent>
                        <w:p w14:paraId="3AE2882A" w14:textId="77777777" w:rsidR="002601B8" w:rsidRDefault="00B90EE4">
                          <w:pPr>
                            <w:pStyle w:val="Referentiegegevensbold"/>
                          </w:pPr>
                          <w:r>
                            <w:t>Ministerie van Buitenlandse Zaken</w:t>
                          </w:r>
                        </w:p>
                        <w:p w14:paraId="3AE2882B" w14:textId="77777777" w:rsidR="002601B8" w:rsidRDefault="002601B8">
                          <w:pPr>
                            <w:pStyle w:val="WitregelW2"/>
                          </w:pPr>
                        </w:p>
                        <w:p w14:paraId="3AE2882C" w14:textId="77777777" w:rsidR="002601B8" w:rsidRDefault="00B90EE4">
                          <w:pPr>
                            <w:pStyle w:val="Referentiegegevensbold"/>
                          </w:pPr>
                          <w:r>
                            <w:t>Onze referentie</w:t>
                          </w:r>
                        </w:p>
                        <w:p w14:paraId="3AE2882D" w14:textId="77777777" w:rsidR="002601B8" w:rsidRDefault="00B90EE4">
                          <w:pPr>
                            <w:pStyle w:val="Referentiegegevens"/>
                          </w:pPr>
                          <w:r>
                            <w:t>BZ2515208</w:t>
                          </w:r>
                        </w:p>
                      </w:txbxContent>
                    </wps:txbx>
                    <wps:bodyPr vert="horz" wrap="square" lIns="0" tIns="0" rIns="0" bIns="0" anchor="t" anchorCtr="0"/>
                  </wps:wsp>
                </a:graphicData>
              </a:graphic>
              <wp14:sizeRelH relativeFrom="margin">
                <wp14:pctWidth>0</wp14:pctWidth>
              </wp14:sizeRelH>
            </wp:anchor>
          </w:drawing>
        </mc:Choice>
        <mc:Fallback>
          <w:pict>
            <v:shapetype w14:anchorId="3AE287FC" id="_x0000_t202" coordsize="21600,21600" o:spt="202" path="m,l,21600r21600,l21600,xe">
              <v:stroke joinstyle="miter"/>
              <v:path gradientshapeok="t" o:connecttype="rect"/>
            </v:shapetype>
            <v:shape id="41b1110a-80a4-11ea-b356-6230a4311406" o:spid="_x0000_s1026" type="#_x0000_t202" style="position:absolute;margin-left:466.5pt;margin-top:154.5pt;width:111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" filled="f" stroked="f">
              <v:textbox inset="0,0,0,0">
                <w:txbxContent>
                  <w:p w14:paraId="3AE2882A" w14:textId="77777777" w:rsidR="002601B8" w:rsidRDefault="00B90EE4">
                    <w:pPr>
                      <w:pStyle w:val="Referentiegegevensbold"/>
                    </w:pPr>
                    <w:r>
                      <w:t>Ministerie van Buitenlandse Zaken</w:t>
                    </w:r>
                  </w:p>
                  <w:p w14:paraId="3AE2882B" w14:textId="77777777" w:rsidR="002601B8" w:rsidRDefault="002601B8">
                    <w:pPr>
                      <w:pStyle w:val="WitregelW2"/>
                    </w:pPr>
                  </w:p>
                  <w:p w14:paraId="3AE2882C" w14:textId="77777777" w:rsidR="002601B8" w:rsidRDefault="00B90EE4">
                    <w:pPr>
                      <w:pStyle w:val="Referentiegegevensbold"/>
                    </w:pPr>
                    <w:r>
                      <w:t>Onze referentie</w:t>
                    </w:r>
                  </w:p>
                  <w:p w14:paraId="3AE2882D" w14:textId="77777777" w:rsidR="002601B8" w:rsidRDefault="00B90EE4">
                    <w:pPr>
                      <w:pStyle w:val="Referentiegegevens"/>
                    </w:pPr>
                    <w:r>
                      <w:t>BZ2515208</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AE28800" wp14:editId="1B68C81C">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AE2883B" w14:textId="77777777" w:rsidR="00B90EE4" w:rsidRDefault="00B90EE4"/>
                      </w:txbxContent>
                    </wps:txbx>
                    <wps:bodyPr vert="horz" wrap="square" lIns="0" tIns="0" rIns="0" bIns="0" anchor="t" anchorCtr="0"/>
                  </wps:wsp>
                </a:graphicData>
              </a:graphic>
            </wp:anchor>
          </w:drawing>
        </mc:Choice>
        <mc:Fallback>
          <w:pict>
            <v:shape w14:anchorId="3AE28800"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AE2883B" w14:textId="77777777" w:rsidR="00B90EE4" w:rsidRDefault="00B90EE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87FA" w14:textId="67BD389D" w:rsidR="002601B8" w:rsidRDefault="00B90EE4">
    <w:pPr>
      <w:spacing w:after="7131" w:line="14" w:lineRule="exact"/>
    </w:pPr>
    <w:r>
      <w:rPr>
        <w:noProof/>
      </w:rPr>
      <mc:AlternateContent>
        <mc:Choice Requires="wps">
          <w:drawing>
            <wp:anchor distT="0" distB="0" distL="0" distR="0" simplePos="0" relativeHeight="251655680" behindDoc="0" locked="1" layoutInCell="1" allowOverlap="1" wp14:anchorId="3AE28802" wp14:editId="3AE2880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AE2882F" w14:textId="77777777" w:rsidR="00B90EE4" w:rsidRDefault="00B90EE4"/>
                      </w:txbxContent>
                    </wps:txbx>
                    <wps:bodyPr vert="horz" wrap="square" lIns="0" tIns="0" rIns="0" bIns="0" anchor="t" anchorCtr="0"/>
                  </wps:wsp>
                </a:graphicData>
              </a:graphic>
            </wp:anchor>
          </w:drawing>
        </mc:Choice>
        <mc:Fallback>
          <w:pict>
            <v:shapetype w14:anchorId="3AE2880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AE2882F" w14:textId="77777777" w:rsidR="00B90EE4" w:rsidRDefault="00B90EE4"/>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AE28804" wp14:editId="3AE2880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87606F5" w14:textId="77777777" w:rsidR="009644C5" w:rsidRDefault="009644C5" w:rsidP="009644C5">
                          <w:r w:rsidRPr="009644C5">
                            <w:t xml:space="preserve">Aan de Voorzitter van de </w:t>
                          </w:r>
                        </w:p>
                        <w:p w14:paraId="4A50A300" w14:textId="77777777" w:rsidR="009644C5" w:rsidRDefault="009644C5" w:rsidP="009644C5">
                          <w:r w:rsidRPr="009644C5">
                            <w:t xml:space="preserve">Tweede Kamer der Staten-Generaal </w:t>
                          </w:r>
                        </w:p>
                        <w:p w14:paraId="563913D4" w14:textId="77777777" w:rsidR="009644C5" w:rsidRDefault="009644C5" w:rsidP="009644C5">
                          <w:r w:rsidRPr="009644C5">
                            <w:t xml:space="preserve">Prinses Irenestraat 6 </w:t>
                          </w:r>
                        </w:p>
                        <w:p w14:paraId="2FC313F1" w14:textId="128A144A" w:rsidR="009644C5" w:rsidRPr="009644C5" w:rsidRDefault="009644C5" w:rsidP="009644C5">
                          <w:r w:rsidRPr="009644C5">
                            <w:t>Den Haag</w:t>
                          </w:r>
                        </w:p>
                      </w:txbxContent>
                    </wps:txbx>
                    <wps:bodyPr vert="horz" wrap="square" lIns="0" tIns="0" rIns="0" bIns="0" anchor="t" anchorCtr="0"/>
                  </wps:wsp>
                </a:graphicData>
              </a:graphic>
            </wp:anchor>
          </w:drawing>
        </mc:Choice>
        <mc:Fallback>
          <w:pict>
            <v:shape w14:anchorId="3AE28804"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87606F5" w14:textId="77777777" w:rsidR="009644C5" w:rsidRDefault="009644C5" w:rsidP="009644C5">
                    <w:r w:rsidRPr="009644C5">
                      <w:t xml:space="preserve">Aan de Voorzitter van de </w:t>
                    </w:r>
                  </w:p>
                  <w:p w14:paraId="4A50A300" w14:textId="77777777" w:rsidR="009644C5" w:rsidRDefault="009644C5" w:rsidP="009644C5">
                    <w:r w:rsidRPr="009644C5">
                      <w:t xml:space="preserve">Tweede Kamer der Staten-Generaal </w:t>
                    </w:r>
                  </w:p>
                  <w:p w14:paraId="563913D4" w14:textId="77777777" w:rsidR="009644C5" w:rsidRDefault="009644C5" w:rsidP="009644C5">
                    <w:r w:rsidRPr="009644C5">
                      <w:t xml:space="preserve">Prinses Irenestraat 6 </w:t>
                    </w:r>
                  </w:p>
                  <w:p w14:paraId="2FC313F1" w14:textId="128A144A" w:rsidR="009644C5" w:rsidRPr="009644C5" w:rsidRDefault="009644C5" w:rsidP="009644C5">
                    <w:r w:rsidRPr="009644C5">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AE28806" wp14:editId="3AE2880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2601B8" w14:paraId="3AE28815" w14:textId="77777777">
                            <w:tc>
                              <w:tcPr>
                                <w:tcW w:w="678" w:type="dxa"/>
                              </w:tcPr>
                              <w:p w14:paraId="3AE28813" w14:textId="77777777" w:rsidR="002601B8" w:rsidRDefault="00B90EE4">
                                <w:r>
                                  <w:t>Datum</w:t>
                                </w:r>
                              </w:p>
                            </w:tc>
                            <w:tc>
                              <w:tcPr>
                                <w:tcW w:w="6851" w:type="dxa"/>
                              </w:tcPr>
                              <w:p w14:paraId="3AE28814" w14:textId="6A9140A4" w:rsidR="002601B8" w:rsidRDefault="00566919">
                                <w:r>
                                  <w:t>15</w:t>
                                </w:r>
                                <w:r w:rsidR="00B90EE4">
                                  <w:t xml:space="preserve"> april 2025</w:t>
                                </w:r>
                              </w:p>
                            </w:tc>
                          </w:tr>
                          <w:tr w:rsidR="002601B8" w14:paraId="3AE2881A" w14:textId="77777777">
                            <w:tc>
                              <w:tcPr>
                                <w:tcW w:w="678" w:type="dxa"/>
                              </w:tcPr>
                              <w:p w14:paraId="3AE28816" w14:textId="77777777" w:rsidR="002601B8" w:rsidRDefault="00B90EE4">
                                <w:r>
                                  <w:t>Betreft</w:t>
                                </w:r>
                              </w:p>
                              <w:p w14:paraId="3AE28817" w14:textId="77777777" w:rsidR="002601B8" w:rsidRDefault="002601B8"/>
                            </w:tc>
                            <w:tc>
                              <w:tcPr>
                                <w:tcW w:w="6851" w:type="dxa"/>
                              </w:tcPr>
                              <w:p w14:paraId="3AE28818" w14:textId="2A644AC7" w:rsidR="002601B8" w:rsidRDefault="00B90EE4">
                                <w:r>
                                  <w:t xml:space="preserve">Schriftelijke appreciatie motie Ceder (CU) </w:t>
                                </w:r>
                              </w:p>
                              <w:p w14:paraId="3AE28819" w14:textId="77777777" w:rsidR="002601B8" w:rsidRDefault="002601B8"/>
                            </w:tc>
                          </w:tr>
                        </w:tbl>
                        <w:p w14:paraId="3AE2881B" w14:textId="77777777" w:rsidR="002601B8" w:rsidRDefault="002601B8"/>
                        <w:p w14:paraId="3AE2881C" w14:textId="77777777" w:rsidR="002601B8" w:rsidRDefault="002601B8"/>
                      </w:txbxContent>
                    </wps:txbx>
                    <wps:bodyPr vert="horz" wrap="square" lIns="0" tIns="0" rIns="0" bIns="0" anchor="t" anchorCtr="0"/>
                  </wps:wsp>
                </a:graphicData>
              </a:graphic>
            </wp:anchor>
          </w:drawing>
        </mc:Choice>
        <mc:Fallback>
          <w:pict>
            <v:shape w14:anchorId="3AE28806"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2601B8" w14:paraId="3AE28815" w14:textId="77777777">
                      <w:tc>
                        <w:tcPr>
                          <w:tcW w:w="678" w:type="dxa"/>
                        </w:tcPr>
                        <w:p w14:paraId="3AE28813" w14:textId="77777777" w:rsidR="002601B8" w:rsidRDefault="00B90EE4">
                          <w:r>
                            <w:t>Datum</w:t>
                          </w:r>
                        </w:p>
                      </w:tc>
                      <w:tc>
                        <w:tcPr>
                          <w:tcW w:w="6851" w:type="dxa"/>
                        </w:tcPr>
                        <w:p w14:paraId="3AE28814" w14:textId="6A9140A4" w:rsidR="002601B8" w:rsidRDefault="00566919">
                          <w:r>
                            <w:t>15</w:t>
                          </w:r>
                          <w:r w:rsidR="00B90EE4">
                            <w:t xml:space="preserve"> april 2025</w:t>
                          </w:r>
                        </w:p>
                      </w:tc>
                    </w:tr>
                    <w:tr w:rsidR="002601B8" w14:paraId="3AE2881A" w14:textId="77777777">
                      <w:tc>
                        <w:tcPr>
                          <w:tcW w:w="678" w:type="dxa"/>
                        </w:tcPr>
                        <w:p w14:paraId="3AE28816" w14:textId="77777777" w:rsidR="002601B8" w:rsidRDefault="00B90EE4">
                          <w:r>
                            <w:t>Betreft</w:t>
                          </w:r>
                        </w:p>
                        <w:p w14:paraId="3AE28817" w14:textId="77777777" w:rsidR="002601B8" w:rsidRDefault="002601B8"/>
                      </w:tc>
                      <w:tc>
                        <w:tcPr>
                          <w:tcW w:w="6851" w:type="dxa"/>
                        </w:tcPr>
                        <w:p w14:paraId="3AE28818" w14:textId="2A644AC7" w:rsidR="002601B8" w:rsidRDefault="00B90EE4">
                          <w:r>
                            <w:t xml:space="preserve">Schriftelijke appreciatie motie Ceder (CU) </w:t>
                          </w:r>
                        </w:p>
                        <w:p w14:paraId="3AE28819" w14:textId="77777777" w:rsidR="002601B8" w:rsidRDefault="002601B8"/>
                      </w:tc>
                    </w:tr>
                  </w:tbl>
                  <w:p w14:paraId="3AE2881B" w14:textId="77777777" w:rsidR="002601B8" w:rsidRDefault="002601B8"/>
                  <w:p w14:paraId="3AE2881C" w14:textId="77777777" w:rsidR="002601B8" w:rsidRDefault="002601B8"/>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AE28808" wp14:editId="3634B20B">
              <wp:simplePos x="0" y="0"/>
              <wp:positionH relativeFrom="page">
                <wp:posOffset>5923915</wp:posOffset>
              </wp:positionH>
              <wp:positionV relativeFrom="page">
                <wp:posOffset>1962150</wp:posOffset>
              </wp:positionV>
              <wp:extent cx="134302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43025" cy="8009890"/>
                      </a:xfrm>
                      <a:prstGeom prst="rect">
                        <a:avLst/>
                      </a:prstGeom>
                      <a:noFill/>
                    </wps:spPr>
                    <wps:txbx>
                      <w:txbxContent>
                        <w:p w14:paraId="3AE2881F" w14:textId="0E79428F" w:rsidR="002601B8" w:rsidRDefault="00B90EE4" w:rsidP="00224A05">
                          <w:pPr>
                            <w:pStyle w:val="Referentiegegevensbold"/>
                          </w:pPr>
                          <w:r>
                            <w:t>Ministerie van Buitenlandse Zaken</w:t>
                          </w:r>
                          <w:r w:rsidR="00224A05">
                            <w:br/>
                          </w:r>
                          <w:r w:rsidR="00224A05">
                            <w:rPr>
                              <w:b w:val="0"/>
                              <w:bCs/>
                            </w:rPr>
                            <w:t>Postbus 20061</w:t>
                          </w:r>
                          <w:r w:rsidR="00224A05">
                            <w:rPr>
                              <w:b w:val="0"/>
                              <w:bCs/>
                            </w:rPr>
                            <w:br/>
                            <w:t>Rijnstraat 8</w:t>
                          </w:r>
                          <w:r w:rsidR="00224A05">
                            <w:rPr>
                              <w:b w:val="0"/>
                              <w:bCs/>
                            </w:rPr>
                            <w:br/>
                            <w:t>2500 EB Den Haag</w:t>
                          </w:r>
                          <w:r w:rsidR="00224A05">
                            <w:rPr>
                              <w:b w:val="0"/>
                              <w:bCs/>
                            </w:rPr>
                            <w:br/>
                            <w:t>Nederland</w:t>
                          </w:r>
                          <w:r>
                            <w:t xml:space="preserve"> </w:t>
                          </w:r>
                        </w:p>
                        <w:p w14:paraId="3AE28820" w14:textId="77777777" w:rsidR="002601B8" w:rsidRPr="00566919" w:rsidRDefault="00B90EE4">
                          <w:pPr>
                            <w:pStyle w:val="Referentiegegevens"/>
                            <w:rPr>
                              <w:lang w:val="de-DE"/>
                            </w:rPr>
                          </w:pPr>
                          <w:r w:rsidRPr="00566919">
                            <w:rPr>
                              <w:lang w:val="de-DE"/>
                            </w:rPr>
                            <w:t>www.minbuza.nl</w:t>
                          </w:r>
                        </w:p>
                        <w:p w14:paraId="3AE28821" w14:textId="77777777" w:rsidR="002601B8" w:rsidRPr="00566919" w:rsidRDefault="002601B8">
                          <w:pPr>
                            <w:pStyle w:val="WitregelW2"/>
                            <w:rPr>
                              <w:lang w:val="de-DE"/>
                            </w:rPr>
                          </w:pPr>
                        </w:p>
                        <w:p w14:paraId="3AE28822" w14:textId="77777777" w:rsidR="002601B8" w:rsidRPr="00566919" w:rsidRDefault="00B90EE4">
                          <w:pPr>
                            <w:pStyle w:val="Referentiegegevensbold"/>
                            <w:rPr>
                              <w:lang w:val="de-DE"/>
                            </w:rPr>
                          </w:pPr>
                          <w:r w:rsidRPr="00566919">
                            <w:rPr>
                              <w:lang w:val="de-DE"/>
                            </w:rPr>
                            <w:t>Onze referentie</w:t>
                          </w:r>
                        </w:p>
                        <w:p w14:paraId="3AE28823" w14:textId="77777777" w:rsidR="002601B8" w:rsidRPr="00566919" w:rsidRDefault="00B90EE4">
                          <w:pPr>
                            <w:pStyle w:val="Referentiegegevens"/>
                            <w:rPr>
                              <w:lang w:val="de-DE"/>
                            </w:rPr>
                          </w:pPr>
                          <w:r w:rsidRPr="00566919">
                            <w:rPr>
                              <w:lang w:val="de-DE"/>
                            </w:rPr>
                            <w:t>BZ2515208</w:t>
                          </w:r>
                        </w:p>
                        <w:p w14:paraId="3AE28824" w14:textId="77777777" w:rsidR="002601B8" w:rsidRPr="00566919" w:rsidRDefault="002601B8">
                          <w:pPr>
                            <w:pStyle w:val="WitregelW1"/>
                            <w:rPr>
                              <w:lang w:val="de-DE"/>
                            </w:rPr>
                          </w:pPr>
                        </w:p>
                        <w:p w14:paraId="3AE28825" w14:textId="77777777" w:rsidR="002601B8" w:rsidRDefault="00B90EE4">
                          <w:pPr>
                            <w:pStyle w:val="Referentiegegevensbold"/>
                          </w:pPr>
                          <w:r>
                            <w:t>Bijlage(n)</w:t>
                          </w:r>
                        </w:p>
                        <w:p w14:paraId="3AE28826" w14:textId="77777777" w:rsidR="002601B8" w:rsidRDefault="00B90EE4">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AE28808" id="41b10cd4-80a4-11ea-b356-6230a4311406" o:spid="_x0000_s1031" type="#_x0000_t202" style="position:absolute;margin-left:466.45pt;margin-top:154.5pt;width:105.7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" filled="f" stroked="f">
              <v:textbox inset="0,0,0,0">
                <w:txbxContent>
                  <w:p w14:paraId="3AE2881F" w14:textId="0E79428F" w:rsidR="002601B8" w:rsidRDefault="00B90EE4" w:rsidP="00224A05">
                    <w:pPr>
                      <w:pStyle w:val="Referentiegegevensbold"/>
                    </w:pPr>
                    <w:r>
                      <w:t>Ministerie van Buitenlandse Zaken</w:t>
                    </w:r>
                    <w:r w:rsidR="00224A05">
                      <w:br/>
                    </w:r>
                    <w:r w:rsidR="00224A05">
                      <w:rPr>
                        <w:b w:val="0"/>
                        <w:bCs/>
                      </w:rPr>
                      <w:t>Postbus 20061</w:t>
                    </w:r>
                    <w:r w:rsidR="00224A05">
                      <w:rPr>
                        <w:b w:val="0"/>
                        <w:bCs/>
                      </w:rPr>
                      <w:br/>
                      <w:t>Rijnstraat 8</w:t>
                    </w:r>
                    <w:r w:rsidR="00224A05">
                      <w:rPr>
                        <w:b w:val="0"/>
                        <w:bCs/>
                      </w:rPr>
                      <w:br/>
                      <w:t>2500 EB Den Haag</w:t>
                    </w:r>
                    <w:r w:rsidR="00224A05">
                      <w:rPr>
                        <w:b w:val="0"/>
                        <w:bCs/>
                      </w:rPr>
                      <w:br/>
                      <w:t>Nederland</w:t>
                    </w:r>
                    <w:r>
                      <w:t xml:space="preserve"> </w:t>
                    </w:r>
                  </w:p>
                  <w:p w14:paraId="3AE28820" w14:textId="77777777" w:rsidR="002601B8" w:rsidRPr="00566919" w:rsidRDefault="00B90EE4">
                    <w:pPr>
                      <w:pStyle w:val="Referentiegegevens"/>
                      <w:rPr>
                        <w:lang w:val="de-DE"/>
                      </w:rPr>
                    </w:pPr>
                    <w:r w:rsidRPr="00566919">
                      <w:rPr>
                        <w:lang w:val="de-DE"/>
                      </w:rPr>
                      <w:t>www.minbuza.nl</w:t>
                    </w:r>
                  </w:p>
                  <w:p w14:paraId="3AE28821" w14:textId="77777777" w:rsidR="002601B8" w:rsidRPr="00566919" w:rsidRDefault="002601B8">
                    <w:pPr>
                      <w:pStyle w:val="WitregelW2"/>
                      <w:rPr>
                        <w:lang w:val="de-DE"/>
                      </w:rPr>
                    </w:pPr>
                  </w:p>
                  <w:p w14:paraId="3AE28822" w14:textId="77777777" w:rsidR="002601B8" w:rsidRPr="00566919" w:rsidRDefault="00B90EE4">
                    <w:pPr>
                      <w:pStyle w:val="Referentiegegevensbold"/>
                      <w:rPr>
                        <w:lang w:val="de-DE"/>
                      </w:rPr>
                    </w:pPr>
                    <w:r w:rsidRPr="00566919">
                      <w:rPr>
                        <w:lang w:val="de-DE"/>
                      </w:rPr>
                      <w:t>Onze referentie</w:t>
                    </w:r>
                  </w:p>
                  <w:p w14:paraId="3AE28823" w14:textId="77777777" w:rsidR="002601B8" w:rsidRPr="00566919" w:rsidRDefault="00B90EE4">
                    <w:pPr>
                      <w:pStyle w:val="Referentiegegevens"/>
                      <w:rPr>
                        <w:lang w:val="de-DE"/>
                      </w:rPr>
                    </w:pPr>
                    <w:r w:rsidRPr="00566919">
                      <w:rPr>
                        <w:lang w:val="de-DE"/>
                      </w:rPr>
                      <w:t>BZ2515208</w:t>
                    </w:r>
                  </w:p>
                  <w:p w14:paraId="3AE28824" w14:textId="77777777" w:rsidR="002601B8" w:rsidRPr="00566919" w:rsidRDefault="002601B8">
                    <w:pPr>
                      <w:pStyle w:val="WitregelW1"/>
                      <w:rPr>
                        <w:lang w:val="de-DE"/>
                      </w:rPr>
                    </w:pPr>
                  </w:p>
                  <w:p w14:paraId="3AE28825" w14:textId="77777777" w:rsidR="002601B8" w:rsidRDefault="00B90EE4">
                    <w:pPr>
                      <w:pStyle w:val="Referentiegegevensbold"/>
                    </w:pPr>
                    <w:r>
                      <w:t>Bijlage(n)</w:t>
                    </w:r>
                  </w:p>
                  <w:p w14:paraId="3AE28826" w14:textId="77777777" w:rsidR="002601B8" w:rsidRDefault="00B90EE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AE2880C" wp14:editId="6131CB61">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AE28835" w14:textId="77777777" w:rsidR="00B90EE4" w:rsidRDefault="00B90EE4"/>
                      </w:txbxContent>
                    </wps:txbx>
                    <wps:bodyPr vert="horz" wrap="square" lIns="0" tIns="0" rIns="0" bIns="0" anchor="t" anchorCtr="0"/>
                  </wps:wsp>
                </a:graphicData>
              </a:graphic>
            </wp:anchor>
          </w:drawing>
        </mc:Choice>
        <mc:Fallback>
          <w:pict>
            <v:shape w14:anchorId="3AE2880C"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AE28835" w14:textId="77777777" w:rsidR="00B90EE4" w:rsidRDefault="00B90EE4"/>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AE2880E" wp14:editId="3AE2880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AE28828" w14:textId="77777777" w:rsidR="002601B8" w:rsidRDefault="00B90EE4">
                          <w:pPr>
                            <w:spacing w:line="240" w:lineRule="auto"/>
                          </w:pPr>
                          <w:r>
                            <w:rPr>
                              <w:noProof/>
                            </w:rPr>
                            <w:drawing>
                              <wp:inline distT="0" distB="0" distL="0" distR="0" wp14:anchorId="3AE2882F" wp14:editId="3AE28830">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E2880E"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AE28828" w14:textId="77777777" w:rsidR="002601B8" w:rsidRDefault="00B90EE4">
                    <w:pPr>
                      <w:spacing w:line="240" w:lineRule="auto"/>
                    </w:pPr>
                    <w:r>
                      <w:rPr>
                        <w:noProof/>
                      </w:rPr>
                      <w:drawing>
                        <wp:inline distT="0" distB="0" distL="0" distR="0" wp14:anchorId="3AE2882F" wp14:editId="3AE28830">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AE28810" wp14:editId="3AE28811">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E28829" w14:textId="77777777" w:rsidR="002601B8" w:rsidRDefault="00B90EE4">
                          <w:pPr>
                            <w:spacing w:line="240" w:lineRule="auto"/>
                          </w:pPr>
                          <w:r>
                            <w:rPr>
                              <w:noProof/>
                            </w:rPr>
                            <w:drawing>
                              <wp:inline distT="0" distB="0" distL="0" distR="0" wp14:anchorId="3AE28831" wp14:editId="3AE28832">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E28810"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AE28829" w14:textId="77777777" w:rsidR="002601B8" w:rsidRDefault="00B90EE4">
                    <w:pPr>
                      <w:spacing w:line="240" w:lineRule="auto"/>
                    </w:pPr>
                    <w:r>
                      <w:rPr>
                        <w:noProof/>
                      </w:rPr>
                      <w:drawing>
                        <wp:inline distT="0" distB="0" distL="0" distR="0" wp14:anchorId="3AE28831" wp14:editId="3AE28832">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8BB869"/>
    <w:multiLevelType w:val="multilevel"/>
    <w:tmpl w:val="1930DFD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7AF424F"/>
    <w:multiLevelType w:val="multilevel"/>
    <w:tmpl w:val="3F3E635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66CB55"/>
    <w:multiLevelType w:val="multilevel"/>
    <w:tmpl w:val="CCE149D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6A5FA0CA"/>
    <w:multiLevelType w:val="multilevel"/>
    <w:tmpl w:val="49FAE791"/>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BD500BB"/>
    <w:multiLevelType w:val="multilevel"/>
    <w:tmpl w:val="0FCA276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416370480">
    <w:abstractNumId w:val="4"/>
  </w:num>
  <w:num w:numId="2" w16cid:durableId="1780486638">
    <w:abstractNumId w:val="3"/>
  </w:num>
  <w:num w:numId="3" w16cid:durableId="1639650783">
    <w:abstractNumId w:val="2"/>
  </w:num>
  <w:num w:numId="4" w16cid:durableId="65764411">
    <w:abstractNumId w:val="0"/>
  </w:num>
  <w:num w:numId="5" w16cid:durableId="1177813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B8"/>
    <w:rsid w:val="00027B97"/>
    <w:rsid w:val="00080C89"/>
    <w:rsid w:val="00224A05"/>
    <w:rsid w:val="002601B8"/>
    <w:rsid w:val="00367F29"/>
    <w:rsid w:val="00512052"/>
    <w:rsid w:val="00566919"/>
    <w:rsid w:val="005F5EA4"/>
    <w:rsid w:val="008601F3"/>
    <w:rsid w:val="009644C5"/>
    <w:rsid w:val="009F601B"/>
    <w:rsid w:val="00A071CD"/>
    <w:rsid w:val="00A36123"/>
    <w:rsid w:val="00B020B9"/>
    <w:rsid w:val="00B42E55"/>
    <w:rsid w:val="00B46B0C"/>
    <w:rsid w:val="00B90EE4"/>
    <w:rsid w:val="00C057F3"/>
    <w:rsid w:val="00C90139"/>
    <w:rsid w:val="00CC5269"/>
    <w:rsid w:val="00E94FD6"/>
    <w:rsid w:val="00F30E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287EF"/>
  <w15:docId w15:val="{4F326CC5-12B2-43D5-AB51-EB895B3E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en-GB" w:eastAsia="en-GB"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lang w:val="nl-NL"/>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lang w:val="nl-NL"/>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lang w:val="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lang w:val="nl-NL"/>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B90EE4"/>
    <w:pPr>
      <w:spacing w:line="240" w:lineRule="auto"/>
    </w:pPr>
    <w:rPr>
      <w:sz w:val="20"/>
      <w:szCs w:val="20"/>
      <w:lang w:eastAsia="nl-NL"/>
    </w:rPr>
  </w:style>
  <w:style w:type="character" w:customStyle="1" w:styleId="FootnoteTextChar">
    <w:name w:val="Footnote Text Char"/>
    <w:basedOn w:val="DefaultParagraphFont"/>
    <w:link w:val="FootnoteText"/>
    <w:uiPriority w:val="99"/>
    <w:semiHidden/>
    <w:rsid w:val="00B90EE4"/>
    <w:rPr>
      <w:rFonts w:ascii="Verdana" w:hAnsi="Verdana"/>
      <w:color w:val="000000"/>
      <w:lang w:val="nl-NL" w:eastAsia="nl-NL"/>
    </w:rPr>
  </w:style>
  <w:style w:type="character" w:styleId="FootnoteReference">
    <w:name w:val="footnote reference"/>
    <w:basedOn w:val="DefaultParagraphFont"/>
    <w:uiPriority w:val="99"/>
    <w:semiHidden/>
    <w:unhideWhenUsed/>
    <w:rsid w:val="00B90EE4"/>
    <w:rPr>
      <w:vertAlign w:val="superscript"/>
    </w:rPr>
  </w:style>
  <w:style w:type="paragraph" w:styleId="Header">
    <w:name w:val="header"/>
    <w:basedOn w:val="Normal"/>
    <w:link w:val="HeaderChar"/>
    <w:uiPriority w:val="99"/>
    <w:unhideWhenUsed/>
    <w:rsid w:val="009644C5"/>
    <w:pPr>
      <w:tabs>
        <w:tab w:val="center" w:pos="4513"/>
        <w:tab w:val="right" w:pos="9026"/>
      </w:tabs>
      <w:spacing w:line="240" w:lineRule="auto"/>
    </w:pPr>
  </w:style>
  <w:style w:type="character" w:customStyle="1" w:styleId="HeaderChar">
    <w:name w:val="Header Char"/>
    <w:basedOn w:val="DefaultParagraphFont"/>
    <w:link w:val="Header"/>
    <w:uiPriority w:val="99"/>
    <w:rsid w:val="009644C5"/>
    <w:rPr>
      <w:rFonts w:ascii="Verdana" w:hAnsi="Verdana"/>
      <w:color w:val="000000"/>
      <w:sz w:val="18"/>
      <w:szCs w:val="18"/>
      <w:lang w:val="nl-NL"/>
    </w:rPr>
  </w:style>
  <w:style w:type="paragraph" w:styleId="Footer">
    <w:name w:val="footer"/>
    <w:basedOn w:val="Normal"/>
    <w:link w:val="FooterChar"/>
    <w:uiPriority w:val="99"/>
    <w:unhideWhenUsed/>
    <w:rsid w:val="009644C5"/>
    <w:pPr>
      <w:tabs>
        <w:tab w:val="center" w:pos="4513"/>
        <w:tab w:val="right" w:pos="9026"/>
      </w:tabs>
      <w:spacing w:line="240" w:lineRule="auto"/>
    </w:pPr>
  </w:style>
  <w:style w:type="character" w:customStyle="1" w:styleId="FooterChar">
    <w:name w:val="Footer Char"/>
    <w:basedOn w:val="DefaultParagraphFont"/>
    <w:link w:val="Footer"/>
    <w:uiPriority w:val="99"/>
    <w:rsid w:val="009644C5"/>
    <w:rPr>
      <w:rFonts w:ascii="Verdana" w:hAnsi="Verdana"/>
      <w:color w:val="000000"/>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dataprotection.ie/en/news-media/latest-news/irish-data-protection-commission-submits-article-60-draft-decision-inquiry-tikto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661</ap:Words>
  <ap:Characters>3636</ap:Characters>
  <ap:DocSecurity>0</ap:DocSecurity>
  <ap:Lines>30</ap:Lines>
  <ap:Paragraphs>8</ap:Paragraphs>
  <ap:ScaleCrop>false</ap:ScaleCrop>
  <ap:LinksUpToDate>false</ap:LinksUpToDate>
  <ap:CharactersWithSpaces>4289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2025-04-14T09:09:00.0000000Z</lastPrinted>
  <dcterms:created xsi:type="dcterms:W3CDTF">2025-04-15T07:16:00.0000000Z</dcterms:created>
  <dcterms:modified xsi:type="dcterms:W3CDTF">2025-04-15T07:18:00.0000000Z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5cab47e1-68de-4ac4-bc92-8c7ecb9653cf</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