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4B3" w:rsidRDefault="004A1EE0" w14:paraId="3EF04A1D" w14:textId="77777777">
      <w:pPr>
        <w:pStyle w:val="StandaardAanhef"/>
      </w:pPr>
      <w:r>
        <w:t>Geachte voorzitter,</w:t>
      </w:r>
    </w:p>
    <w:p w:rsidR="00F25C9B" w:rsidP="00057EFE" w:rsidRDefault="00F25C9B" w14:paraId="23582190" w14:textId="77777777">
      <w:r>
        <w:t xml:space="preserve">In 2023 heeft de Europese Commissie een voorstel gedaan voor </w:t>
      </w:r>
      <w:r w:rsidR="00057EFE">
        <w:t xml:space="preserve">een </w:t>
      </w:r>
      <w:r>
        <w:t xml:space="preserve">Retail Investment </w:t>
      </w:r>
      <w:proofErr w:type="spellStart"/>
      <w:r>
        <w:t>Strategy</w:t>
      </w:r>
      <w:proofErr w:type="spellEnd"/>
      <w:r>
        <w:t xml:space="preserve"> (de RIS). </w:t>
      </w:r>
      <w:r w:rsidR="00057EFE">
        <w:t xml:space="preserve">Met </w:t>
      </w:r>
      <w:r w:rsidR="00CF5AFB">
        <w:t>het</w:t>
      </w:r>
      <w:r w:rsidR="00057EFE">
        <w:t xml:space="preserve"> pakket aan maatregelen</w:t>
      </w:r>
      <w:r>
        <w:t xml:space="preserve"> </w:t>
      </w:r>
      <w:r w:rsidR="00510B86">
        <w:t>beoogt de</w:t>
      </w:r>
      <w:r w:rsidR="00057EFE">
        <w:t xml:space="preserve"> Commissie</w:t>
      </w:r>
      <w:r w:rsidR="00510B86">
        <w:t xml:space="preserve"> </w:t>
      </w:r>
      <w:proofErr w:type="spellStart"/>
      <w:r w:rsidR="00510B86">
        <w:t>retailbeleggersparticipatie</w:t>
      </w:r>
      <w:proofErr w:type="spellEnd"/>
      <w:r w:rsidR="00510B86">
        <w:t xml:space="preserve"> te bevorderen</w:t>
      </w:r>
      <w:r w:rsidR="00057EFE">
        <w:t xml:space="preserve">. </w:t>
      </w:r>
      <w:r w:rsidRPr="00057EFE" w:rsidR="00057EFE">
        <w:t xml:space="preserve">Op 12 juni </w:t>
      </w:r>
      <w:r w:rsidR="00057EFE">
        <w:t>20</w:t>
      </w:r>
      <w:r w:rsidR="00443FAF">
        <w:t>2</w:t>
      </w:r>
      <w:r w:rsidR="00057EFE">
        <w:t>4</w:t>
      </w:r>
      <w:r w:rsidRPr="00057EFE" w:rsidR="00057EFE">
        <w:t xml:space="preserve"> is een Raadsakkoord bereikt </w:t>
      </w:r>
      <w:r w:rsidR="00057EFE">
        <w:t>inzake de RIS</w:t>
      </w:r>
      <w:r w:rsidRPr="00057EFE" w:rsidR="00057EFE">
        <w:t>.</w:t>
      </w:r>
      <w:r w:rsidR="00057EFE">
        <w:rPr>
          <w:rStyle w:val="Voetnootmarkering"/>
        </w:rPr>
        <w:footnoteReference w:id="1"/>
      </w:r>
    </w:p>
    <w:p w:rsidR="00F25C9B" w:rsidP="005A38B5" w:rsidRDefault="00F25C9B" w14:paraId="070C61CA" w14:textId="77777777"/>
    <w:p w:rsidR="00510B86" w:rsidP="00510B86" w:rsidRDefault="00F25C9B" w14:paraId="01103902" w14:textId="77777777">
      <w:r>
        <w:t xml:space="preserve">Tijdens de eerste </w:t>
      </w:r>
      <w:proofErr w:type="spellStart"/>
      <w:r>
        <w:t>triloogonderhandeling</w:t>
      </w:r>
      <w:proofErr w:type="spellEnd"/>
      <w:r>
        <w:t xml:space="preserve"> van 18 maart 2025 hebben de Europese Raad en het Europees Parlement de Commissie verzocht </w:t>
      </w:r>
      <w:r w:rsidR="00CF5AFB">
        <w:t xml:space="preserve">om </w:t>
      </w:r>
      <w:r>
        <w:t xml:space="preserve">binnen zes weken – dus uiterlijk 29 april 2025 – voorstellen te doen </w:t>
      </w:r>
      <w:r w:rsidR="00510B86">
        <w:t>ter vereenvoudiging en stroomlijning van de RIS. De Commissie heeft dit toegezegd en zal hierbij onder andere kijken naar de geïntroduceerde kostenbenchmarks (het zogeheten ‘</w:t>
      </w:r>
      <w:r w:rsidRPr="00443FAF" w:rsidR="00510B86">
        <w:rPr>
          <w:i/>
          <w:iCs/>
        </w:rPr>
        <w:t>Value-</w:t>
      </w:r>
      <w:proofErr w:type="spellStart"/>
      <w:r w:rsidRPr="00443FAF" w:rsidR="00510B86">
        <w:rPr>
          <w:i/>
          <w:iCs/>
        </w:rPr>
        <w:t>for</w:t>
      </w:r>
      <w:proofErr w:type="spellEnd"/>
      <w:r w:rsidRPr="00443FAF" w:rsidR="00510B86">
        <w:rPr>
          <w:i/>
          <w:iCs/>
        </w:rPr>
        <w:t>-Money</w:t>
      </w:r>
      <w:r w:rsidR="00510B86">
        <w:t xml:space="preserve">-systeem’), de </w:t>
      </w:r>
      <w:r w:rsidR="00CF5AFB">
        <w:t>‘</w:t>
      </w:r>
      <w:r w:rsidR="00510B86">
        <w:t>klantreis</w:t>
      </w:r>
      <w:r w:rsidR="00CF5AFB">
        <w:t>’</w:t>
      </w:r>
      <w:r w:rsidR="00510B86">
        <w:t xml:space="preserve"> en informatieverplichtingen. Om constructief met de Commissie mee te denken, heb ik samen met de </w:t>
      </w:r>
      <w:r w:rsidR="00057EFE">
        <w:t xml:space="preserve">Autoriteit Financiële Markten </w:t>
      </w:r>
      <w:r w:rsidR="00510B86">
        <w:t xml:space="preserve">een non-paper ingediend met daarin enkele vereenvoudigingsvoorstellen en aandachtspunten. Dit non-paper </w:t>
      </w:r>
      <w:r w:rsidR="00CF5AFB">
        <w:t>stuur</w:t>
      </w:r>
      <w:r w:rsidR="00510B86">
        <w:t xml:space="preserve"> ik u bijgaand </w:t>
      </w:r>
      <w:r w:rsidR="00CF5AFB">
        <w:t>toe</w:t>
      </w:r>
      <w:r w:rsidR="00510B86">
        <w:t>.</w:t>
      </w:r>
    </w:p>
    <w:p w:rsidR="00AD34B3" w:rsidRDefault="004A1EE0" w14:paraId="6667C529" w14:textId="77777777">
      <w:pPr>
        <w:pStyle w:val="StandaardSlotzin"/>
      </w:pPr>
      <w:r>
        <w:t>Hoogachtend,</w:t>
      </w:r>
    </w:p>
    <w:p w:rsidR="00AD34B3" w:rsidRDefault="00AD34B3" w14:paraId="3603A205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D34B3" w14:paraId="014FA506" w14:textId="77777777">
        <w:tc>
          <w:tcPr>
            <w:tcW w:w="3592" w:type="dxa"/>
          </w:tcPr>
          <w:p w:rsidR="00AD34B3" w:rsidRDefault="004A1EE0" w14:paraId="446B5CE1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E. Heinen</w:t>
            </w:r>
          </w:p>
        </w:tc>
        <w:tc>
          <w:tcPr>
            <w:tcW w:w="3892" w:type="dxa"/>
          </w:tcPr>
          <w:p w:rsidR="00AD34B3" w:rsidRDefault="00AD34B3" w14:paraId="65D6ED04" w14:textId="77777777"/>
        </w:tc>
      </w:tr>
      <w:tr w:rsidR="00AD34B3" w14:paraId="6885FF71" w14:textId="77777777">
        <w:tc>
          <w:tcPr>
            <w:tcW w:w="3592" w:type="dxa"/>
          </w:tcPr>
          <w:p w:rsidR="00AD34B3" w:rsidRDefault="00AD34B3" w14:paraId="677A803D" w14:textId="77777777"/>
        </w:tc>
        <w:tc>
          <w:tcPr>
            <w:tcW w:w="3892" w:type="dxa"/>
          </w:tcPr>
          <w:p w:rsidR="00AD34B3" w:rsidRDefault="00AD34B3" w14:paraId="619692AE" w14:textId="77777777"/>
        </w:tc>
      </w:tr>
    </w:tbl>
    <w:p w:rsidR="00AD34B3" w:rsidP="0061519E" w:rsidRDefault="00AD34B3" w14:paraId="77A570E8" w14:textId="77777777">
      <w:pPr>
        <w:pStyle w:val="WitregelW1bodytekst"/>
      </w:pPr>
    </w:p>
    <w:sectPr w:rsidR="00AD34B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7DE" w14:textId="77777777" w:rsidR="00F43F19" w:rsidRDefault="00F43F19">
      <w:pPr>
        <w:spacing w:line="240" w:lineRule="auto"/>
      </w:pPr>
      <w:r>
        <w:separator/>
      </w:r>
    </w:p>
  </w:endnote>
  <w:endnote w:type="continuationSeparator" w:id="0">
    <w:p w14:paraId="515593C7" w14:textId="77777777" w:rsidR="00F43F19" w:rsidRDefault="00F43F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5482" w14:textId="77777777" w:rsidR="00F43F19" w:rsidRDefault="00F43F19">
      <w:pPr>
        <w:spacing w:line="240" w:lineRule="auto"/>
      </w:pPr>
      <w:r>
        <w:separator/>
      </w:r>
    </w:p>
  </w:footnote>
  <w:footnote w:type="continuationSeparator" w:id="0">
    <w:p w14:paraId="4BC41A04" w14:textId="77777777" w:rsidR="00F43F19" w:rsidRDefault="00F43F19">
      <w:pPr>
        <w:spacing w:line="240" w:lineRule="auto"/>
      </w:pPr>
      <w:r>
        <w:continuationSeparator/>
      </w:r>
    </w:p>
  </w:footnote>
  <w:footnote w:id="1">
    <w:p w14:paraId="4B6893E7" w14:textId="77777777" w:rsidR="00057EFE" w:rsidRPr="00443FAF" w:rsidRDefault="00057EFE">
      <w:pPr>
        <w:pStyle w:val="Voetnoottekst"/>
        <w:rPr>
          <w:lang w:val="nl-NL"/>
        </w:rPr>
      </w:pPr>
      <w:r w:rsidRPr="00443FAF">
        <w:rPr>
          <w:rStyle w:val="Voetnootmarkering"/>
          <w:sz w:val="16"/>
          <w:szCs w:val="16"/>
        </w:rPr>
        <w:footnoteRef/>
      </w:r>
      <w:r w:rsidRPr="00443FAF">
        <w:rPr>
          <w:sz w:val="16"/>
          <w:szCs w:val="16"/>
          <w:lang w:val="nl-NL"/>
        </w:rPr>
        <w:t xml:space="preserve"> </w:t>
      </w:r>
      <w:r w:rsidR="00E03542" w:rsidRPr="00443FAF">
        <w:rPr>
          <w:sz w:val="16"/>
          <w:szCs w:val="16"/>
          <w:lang w:val="nl-NL"/>
        </w:rPr>
        <w:t>Kamerstukken II, 2023/24, 21 501-07, nr. 2053.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6C542" w14:textId="77777777" w:rsidR="00AD34B3" w:rsidRDefault="004A1EE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380517A" wp14:editId="5CC2918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21C53D" w14:textId="77777777" w:rsidR="00AD34B3" w:rsidRDefault="004A1EE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098650B" w14:textId="77777777" w:rsidR="00AD34B3" w:rsidRDefault="00AD34B3">
                          <w:pPr>
                            <w:pStyle w:val="WitregelW1"/>
                          </w:pPr>
                        </w:p>
                        <w:p w14:paraId="41690D18" w14:textId="77777777" w:rsidR="00AD34B3" w:rsidRDefault="004A1EE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283119" w14:textId="77777777" w:rsidR="00F10DE4" w:rsidRDefault="000B675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2025-0000088930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80517A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E21C53D" w14:textId="77777777" w:rsidR="00AD34B3" w:rsidRDefault="004A1EE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098650B" w14:textId="77777777" w:rsidR="00AD34B3" w:rsidRDefault="00AD34B3">
                    <w:pPr>
                      <w:pStyle w:val="WitregelW1"/>
                    </w:pPr>
                  </w:p>
                  <w:p w14:paraId="41690D18" w14:textId="77777777" w:rsidR="00AD34B3" w:rsidRDefault="004A1EE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283119" w14:textId="77777777" w:rsidR="00F10DE4" w:rsidRDefault="000B675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2025-0000088930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F56E56E" wp14:editId="33AC759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92EF0F" w14:textId="77777777" w:rsidR="00F10DE4" w:rsidRDefault="000B67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56E56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E92EF0F" w14:textId="77777777" w:rsidR="00F10DE4" w:rsidRDefault="000B67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A2715E3" wp14:editId="487F99F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788B2" w14:textId="77777777" w:rsidR="00F10DE4" w:rsidRDefault="000B67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715E3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C8788B2" w14:textId="77777777" w:rsidR="00F10DE4" w:rsidRDefault="000B67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4C3F" w14:textId="77777777" w:rsidR="00AD34B3" w:rsidRDefault="004A1EE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42F70A" wp14:editId="3E0C381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00BEBB" w14:textId="77777777" w:rsidR="00AD34B3" w:rsidRDefault="004A1EE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EF0FC" wp14:editId="37DFB0E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42F70A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400BEBB" w14:textId="77777777" w:rsidR="00AD34B3" w:rsidRDefault="004A1EE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2EF0FC" wp14:editId="37DFB0E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CF9A32" wp14:editId="385B6EF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58AC" w14:textId="77777777" w:rsidR="004A1EE0" w:rsidRDefault="004A1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F9A32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1A758AC" w14:textId="77777777" w:rsidR="004A1EE0" w:rsidRDefault="004A1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BBFA48" wp14:editId="147D50C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A0D2C" w14:textId="77777777" w:rsidR="00AD34B3" w:rsidRDefault="004A1EE0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0AB81FF6" w14:textId="77777777" w:rsidR="00AD34B3" w:rsidRDefault="00AD34B3">
                          <w:pPr>
                            <w:pStyle w:val="WitregelW1"/>
                          </w:pPr>
                        </w:p>
                        <w:p w14:paraId="54AEE513" w14:textId="77777777" w:rsidR="00AD34B3" w:rsidRDefault="004A1EE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496F965" w14:textId="77777777" w:rsidR="00AD34B3" w:rsidRDefault="004A1EE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EEA7C52" w14:textId="77777777" w:rsidR="00AD34B3" w:rsidRDefault="004A1EE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B02D75" w14:textId="77777777" w:rsidR="00AD34B3" w:rsidRDefault="004A1EE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35CCA8E9" w14:textId="77777777" w:rsidR="00AD34B3" w:rsidRDefault="004A1EE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778D075" w14:textId="77777777" w:rsidR="00AD34B3" w:rsidRDefault="00AD34B3">
                          <w:pPr>
                            <w:pStyle w:val="WitregelW2"/>
                          </w:pPr>
                        </w:p>
                        <w:p w14:paraId="40E1DBDD" w14:textId="77777777" w:rsidR="00AD34B3" w:rsidRDefault="004A1EE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BC9270" w14:textId="77777777" w:rsidR="00F10DE4" w:rsidRDefault="000B675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2025-0000088930</w:t>
                          </w:r>
                          <w:r>
                            <w:fldChar w:fldCharType="end"/>
                          </w:r>
                        </w:p>
                        <w:p w14:paraId="644AB4C4" w14:textId="77777777" w:rsidR="00AD34B3" w:rsidRDefault="00AD34B3">
                          <w:pPr>
                            <w:pStyle w:val="WitregelW1"/>
                          </w:pPr>
                        </w:p>
                        <w:p w14:paraId="2105BA7E" w14:textId="77777777" w:rsidR="00AD34B3" w:rsidRDefault="00AD34B3">
                          <w:pPr>
                            <w:pStyle w:val="WitregelW1"/>
                          </w:pPr>
                        </w:p>
                        <w:p w14:paraId="73D02DD7" w14:textId="77777777" w:rsidR="00AD34B3" w:rsidRDefault="004A1EE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47B888B" w14:textId="77777777" w:rsidR="00AD34B3" w:rsidRDefault="00D457AF">
                          <w:pPr>
                            <w:pStyle w:val="StandaardReferentiegegevens"/>
                          </w:pPr>
                          <w:r>
                            <w:t>1</w:t>
                          </w:r>
                          <w:r w:rsidR="003B2C92">
                            <w:t xml:space="preserve">. </w:t>
                          </w:r>
                          <w:r w:rsidR="0051275E">
                            <w:t>Non-paper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BFA4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255A0D2C" w14:textId="77777777" w:rsidR="00AD34B3" w:rsidRDefault="004A1EE0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0AB81FF6" w14:textId="77777777" w:rsidR="00AD34B3" w:rsidRDefault="00AD34B3">
                    <w:pPr>
                      <w:pStyle w:val="WitregelW1"/>
                    </w:pPr>
                  </w:p>
                  <w:p w14:paraId="54AEE513" w14:textId="77777777" w:rsidR="00AD34B3" w:rsidRDefault="004A1EE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496F965" w14:textId="77777777" w:rsidR="00AD34B3" w:rsidRDefault="004A1EE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EEA7C52" w14:textId="77777777" w:rsidR="00AD34B3" w:rsidRDefault="004A1EE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B02D75" w14:textId="77777777" w:rsidR="00AD34B3" w:rsidRDefault="004A1EE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35CCA8E9" w14:textId="77777777" w:rsidR="00AD34B3" w:rsidRDefault="004A1EE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778D075" w14:textId="77777777" w:rsidR="00AD34B3" w:rsidRDefault="00AD34B3">
                    <w:pPr>
                      <w:pStyle w:val="WitregelW2"/>
                    </w:pPr>
                  </w:p>
                  <w:p w14:paraId="40E1DBDD" w14:textId="77777777" w:rsidR="00AD34B3" w:rsidRDefault="004A1EE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BC9270" w14:textId="77777777" w:rsidR="00F10DE4" w:rsidRDefault="000B675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2025-0000088930</w:t>
                    </w:r>
                    <w:r>
                      <w:fldChar w:fldCharType="end"/>
                    </w:r>
                  </w:p>
                  <w:p w14:paraId="644AB4C4" w14:textId="77777777" w:rsidR="00AD34B3" w:rsidRDefault="00AD34B3">
                    <w:pPr>
                      <w:pStyle w:val="WitregelW1"/>
                    </w:pPr>
                  </w:p>
                  <w:p w14:paraId="2105BA7E" w14:textId="77777777" w:rsidR="00AD34B3" w:rsidRDefault="00AD34B3">
                    <w:pPr>
                      <w:pStyle w:val="WitregelW1"/>
                    </w:pPr>
                  </w:p>
                  <w:p w14:paraId="73D02DD7" w14:textId="77777777" w:rsidR="00AD34B3" w:rsidRDefault="004A1EE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47B888B" w14:textId="77777777" w:rsidR="00AD34B3" w:rsidRDefault="00D457AF">
                    <w:pPr>
                      <w:pStyle w:val="StandaardReferentiegegevens"/>
                    </w:pPr>
                    <w:r>
                      <w:t>1</w:t>
                    </w:r>
                    <w:r w:rsidR="003B2C92">
                      <w:t xml:space="preserve">. </w:t>
                    </w:r>
                    <w:r w:rsidR="0051275E">
                      <w:t>Non-paper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8FE996" wp14:editId="7A00E16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95170" w14:textId="77777777" w:rsidR="00AD34B3" w:rsidRDefault="004A1EE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8FE996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3E95170" w14:textId="77777777" w:rsidR="00AD34B3" w:rsidRDefault="004A1EE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ED50CCF" wp14:editId="1E591E9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22EB6D" w14:textId="77777777" w:rsidR="00F10DE4" w:rsidRDefault="000B67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BAE99D3" w14:textId="77777777" w:rsidR="00AD34B3" w:rsidRDefault="004A1EE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D50CCF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922EB6D" w14:textId="77777777" w:rsidR="00F10DE4" w:rsidRDefault="000B67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BAE99D3" w14:textId="77777777" w:rsidR="00AD34B3" w:rsidRDefault="004A1EE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BF67172" wp14:editId="186B1B4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9F232" w14:textId="77777777" w:rsidR="00F10DE4" w:rsidRDefault="000B675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F6717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069F232" w14:textId="77777777" w:rsidR="00F10DE4" w:rsidRDefault="000B675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00225BE" wp14:editId="4D6ED7A5">
              <wp:simplePos x="0" y="0"/>
              <wp:positionH relativeFrom="page">
                <wp:posOffset>942975</wp:posOffset>
              </wp:positionH>
              <wp:positionV relativeFrom="page">
                <wp:posOffset>3638550</wp:posOffset>
              </wp:positionV>
              <wp:extent cx="4171950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195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D34B3" w14:paraId="481C08A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A58839" w14:textId="77777777" w:rsidR="00AD34B3" w:rsidRDefault="00AD34B3"/>
                            </w:tc>
                            <w:tc>
                              <w:tcPr>
                                <w:tcW w:w="5400" w:type="dxa"/>
                              </w:tcPr>
                              <w:p w14:paraId="2B67CC79" w14:textId="77777777" w:rsidR="00AD34B3" w:rsidRDefault="00AD34B3"/>
                            </w:tc>
                          </w:tr>
                          <w:tr w:rsidR="00AD34B3" w14:paraId="443DC9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68518E7" w14:textId="77777777" w:rsidR="00AD34B3" w:rsidRDefault="004A1EE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B194A21" w14:textId="183E3871" w:rsidR="00AD34B3" w:rsidRDefault="000B6757">
                                <w:r>
                                  <w:t>15 april 2025</w:t>
                                </w:r>
                              </w:p>
                            </w:tc>
                          </w:tr>
                          <w:tr w:rsidR="00AD34B3" w14:paraId="4A1636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6FBFA8" w14:textId="77777777" w:rsidR="00AD34B3" w:rsidRDefault="004A1EE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7184B87" w14:textId="77777777" w:rsidR="00F10DE4" w:rsidRDefault="000B675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Non-paper Retail Investment </w:t>
                                </w:r>
                                <w:proofErr w:type="spellStart"/>
                                <w:r>
                                  <w:t>Strategy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A38B5" w14:paraId="54C6BE5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24CA3F" w14:textId="77777777" w:rsidR="005A38B5" w:rsidRDefault="005A38B5"/>
                            </w:tc>
                            <w:tc>
                              <w:tcPr>
                                <w:tcW w:w="5400" w:type="dxa"/>
                              </w:tcPr>
                              <w:p w14:paraId="0B6FA2D7" w14:textId="77777777" w:rsidR="005A38B5" w:rsidRDefault="005A38B5"/>
                            </w:tc>
                          </w:tr>
                          <w:tr w:rsidR="00AD34B3" w14:paraId="5E501BD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7FE358" w14:textId="77777777" w:rsidR="00AD34B3" w:rsidRDefault="00AD34B3"/>
                            </w:tc>
                            <w:tc>
                              <w:tcPr>
                                <w:tcW w:w="4738" w:type="dxa"/>
                              </w:tcPr>
                              <w:p w14:paraId="30419078" w14:textId="77777777" w:rsidR="00AD34B3" w:rsidRDefault="00AD34B3"/>
                            </w:tc>
                          </w:tr>
                        </w:tbl>
                        <w:p w14:paraId="4248F58D" w14:textId="77777777" w:rsidR="004A1EE0" w:rsidRDefault="004A1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00225BE" id="bd4aaf7a-03a6-11ee-8f29-0242ac130005" o:spid="_x0000_s1035" type="#_x0000_t202" style="position:absolute;margin-left:74.25pt;margin-top:286.5pt;width:328.5pt;height:59.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YYkwEAABQDAAAOAAAAZHJzL2Uyb0RvYy54bWysUsFuEzEQvSPxD5bvZJOKtHQVpxJURUgI&#10;kFo+wPHaWUtrj5lxsxu+nrHTTRDcEBf7ecZ+fvNmNndTGMTBInmISq4WSylsNND5uFfy+9PDm3dS&#10;UNax0wNEq+TRkrzbvn61GVNrr6CHobMomCRSOyYl+5xT2zRkehs0LSDZyEkHGHTmI+6bDvXI7GFo&#10;rpbL62YE7BKCsUQcvT8l5bbyO2dN/uoc2SwGJVlbrivWdVfWZrvR7R516r15kaH/QUXQPvKnZ6p7&#10;nbV4Rv8XVfAGgcDlhYHQgHPe2FoDV7Na/lHNY6+TrbWwOZTONtH/ozVfDo/pG4o8vYeJG1gMGRO1&#10;xMFSz+QwlJ2VCs6zhcezbXbKwnDw7epmdbvmlOHczXp9zZhpmsvrhJQ/WgiiACWR21Ld0ofPlE9X&#10;5yvlswgPfhhK/CKloDztJuE7JW9nmTvojqyeB5Bpe8CfUozcTCXpx7NGK8XwKbJbpfMzwBnsZqCj&#10;4adKZilO8EOuEzILYOtrNS9jUnr7+7nKvAzz9hcAAAD//wMAUEsDBBQABgAIAAAAIQAqfytG4AAA&#10;AAsBAAAPAAAAZHJzL2Rvd25yZXYueG1sTI/BTsMwEETvSPyDtUjcqE0hIU3jVBWCExIiDYcendhN&#10;rMbrELtt+HuWExxn9ml2ptjMbmBnMwXrUcL9QgAz2HptsZPwWb/eZcBCVKjV4NFI+DYBNuX1VaFy&#10;7S9YmfMudoxCMORKQh/jmHMe2t44FRZ+NEi3g5+ciiSnjutJXSjcDXwpRMqdskgfejWa5960x93J&#10;SdjusXqxX+/NR3WobF2vBL6lRylvb+btGlg0c/yD4bc+VYeSOjX+hDqwgfRjlhAqIXl6oFFEZCIh&#10;p5GQrpYCeFnw/xvKHwAAAP//AwBQSwECLQAUAAYACAAAACEAtoM4kv4AAADhAQAAEwAAAAAAAAAA&#10;AAAAAAAAAAAAW0NvbnRlbnRfVHlwZXNdLnhtbFBLAQItABQABgAIAAAAIQA4/SH/1gAAAJQBAAAL&#10;AAAAAAAAAAAAAAAAAC8BAABfcmVscy8ucmVsc1BLAQItABQABgAIAAAAIQAw3dYYkwEAABQDAAAO&#10;AAAAAAAAAAAAAAAAAC4CAABkcnMvZTJvRG9jLnhtbFBLAQItABQABgAIAAAAIQAqfytG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D34B3" w14:paraId="481C08A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A58839" w14:textId="77777777" w:rsidR="00AD34B3" w:rsidRDefault="00AD34B3"/>
                      </w:tc>
                      <w:tc>
                        <w:tcPr>
                          <w:tcW w:w="5400" w:type="dxa"/>
                        </w:tcPr>
                        <w:p w14:paraId="2B67CC79" w14:textId="77777777" w:rsidR="00AD34B3" w:rsidRDefault="00AD34B3"/>
                      </w:tc>
                    </w:tr>
                    <w:tr w:rsidR="00AD34B3" w14:paraId="443DC9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68518E7" w14:textId="77777777" w:rsidR="00AD34B3" w:rsidRDefault="004A1EE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B194A21" w14:textId="183E3871" w:rsidR="00AD34B3" w:rsidRDefault="000B6757">
                          <w:r>
                            <w:t>15 april 2025</w:t>
                          </w:r>
                        </w:p>
                      </w:tc>
                    </w:tr>
                    <w:tr w:rsidR="00AD34B3" w14:paraId="4A1636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6FBFA8" w14:textId="77777777" w:rsidR="00AD34B3" w:rsidRDefault="004A1EE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7184B87" w14:textId="77777777" w:rsidR="00F10DE4" w:rsidRDefault="000B675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Non-paper Retail Investment </w:t>
                          </w:r>
                          <w:proofErr w:type="spellStart"/>
                          <w:r>
                            <w:t>Strategy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</w:tr>
                    <w:tr w:rsidR="005A38B5" w14:paraId="54C6BE5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24CA3F" w14:textId="77777777" w:rsidR="005A38B5" w:rsidRDefault="005A38B5"/>
                      </w:tc>
                      <w:tc>
                        <w:tcPr>
                          <w:tcW w:w="5400" w:type="dxa"/>
                        </w:tcPr>
                        <w:p w14:paraId="0B6FA2D7" w14:textId="77777777" w:rsidR="005A38B5" w:rsidRDefault="005A38B5"/>
                      </w:tc>
                    </w:tr>
                    <w:tr w:rsidR="00AD34B3" w14:paraId="5E501BD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7FE358" w14:textId="77777777" w:rsidR="00AD34B3" w:rsidRDefault="00AD34B3"/>
                      </w:tc>
                      <w:tc>
                        <w:tcPr>
                          <w:tcW w:w="4738" w:type="dxa"/>
                        </w:tcPr>
                        <w:p w14:paraId="30419078" w14:textId="77777777" w:rsidR="00AD34B3" w:rsidRDefault="00AD34B3"/>
                      </w:tc>
                    </w:tr>
                  </w:tbl>
                  <w:p w14:paraId="4248F58D" w14:textId="77777777" w:rsidR="004A1EE0" w:rsidRDefault="004A1EE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053A4D1" wp14:editId="13E6B18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194D1" w14:textId="77777777" w:rsidR="00F10DE4" w:rsidRDefault="000B675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53A4D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35194D1" w14:textId="77777777" w:rsidR="00F10DE4" w:rsidRDefault="000B675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4356C73" wp14:editId="608E3A8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5CACBD" w14:textId="77777777" w:rsidR="004A1EE0" w:rsidRDefault="004A1EE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356C73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5CACBD" w14:textId="77777777" w:rsidR="004A1EE0" w:rsidRDefault="004A1EE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08B65A"/>
    <w:multiLevelType w:val="multilevel"/>
    <w:tmpl w:val="B1713BE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B02D9F2"/>
    <w:multiLevelType w:val="multilevel"/>
    <w:tmpl w:val="3AE410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ED4E0F"/>
    <w:multiLevelType w:val="multilevel"/>
    <w:tmpl w:val="D7A52DC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8A5366"/>
    <w:multiLevelType w:val="multilevel"/>
    <w:tmpl w:val="A869E2DA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43F78D"/>
    <w:multiLevelType w:val="multilevel"/>
    <w:tmpl w:val="16AC193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5052E"/>
    <w:multiLevelType w:val="multilevel"/>
    <w:tmpl w:val="2981721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0195828">
    <w:abstractNumId w:val="2"/>
  </w:num>
  <w:num w:numId="2" w16cid:durableId="289091001">
    <w:abstractNumId w:val="3"/>
  </w:num>
  <w:num w:numId="3" w16cid:durableId="51972789">
    <w:abstractNumId w:val="0"/>
  </w:num>
  <w:num w:numId="4" w16cid:durableId="796877139">
    <w:abstractNumId w:val="1"/>
  </w:num>
  <w:num w:numId="5" w16cid:durableId="863906973">
    <w:abstractNumId w:val="5"/>
  </w:num>
  <w:num w:numId="6" w16cid:durableId="621813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B3"/>
    <w:rsid w:val="00057EFE"/>
    <w:rsid w:val="00065F58"/>
    <w:rsid w:val="00070377"/>
    <w:rsid w:val="00096066"/>
    <w:rsid w:val="000B6757"/>
    <w:rsid w:val="000E7870"/>
    <w:rsid w:val="001033E6"/>
    <w:rsid w:val="001245AE"/>
    <w:rsid w:val="001C762C"/>
    <w:rsid w:val="001D07B7"/>
    <w:rsid w:val="001E2457"/>
    <w:rsid w:val="00250A04"/>
    <w:rsid w:val="00261D38"/>
    <w:rsid w:val="00276E3A"/>
    <w:rsid w:val="002925A0"/>
    <w:rsid w:val="002D11C7"/>
    <w:rsid w:val="00380A35"/>
    <w:rsid w:val="003973B9"/>
    <w:rsid w:val="003B2C92"/>
    <w:rsid w:val="003B7A20"/>
    <w:rsid w:val="00443FAF"/>
    <w:rsid w:val="004A186A"/>
    <w:rsid w:val="004A1EE0"/>
    <w:rsid w:val="004E6B59"/>
    <w:rsid w:val="00510B86"/>
    <w:rsid w:val="0051275E"/>
    <w:rsid w:val="00523652"/>
    <w:rsid w:val="005573B8"/>
    <w:rsid w:val="005768D1"/>
    <w:rsid w:val="005A38B5"/>
    <w:rsid w:val="005E0DB1"/>
    <w:rsid w:val="00611008"/>
    <w:rsid w:val="0061519E"/>
    <w:rsid w:val="0080290E"/>
    <w:rsid w:val="008D077C"/>
    <w:rsid w:val="00980F2E"/>
    <w:rsid w:val="009B2261"/>
    <w:rsid w:val="00A10ACB"/>
    <w:rsid w:val="00A20FA7"/>
    <w:rsid w:val="00A5348C"/>
    <w:rsid w:val="00A92761"/>
    <w:rsid w:val="00AA4C6A"/>
    <w:rsid w:val="00AB4E44"/>
    <w:rsid w:val="00AD34B3"/>
    <w:rsid w:val="00AF20C4"/>
    <w:rsid w:val="00B01925"/>
    <w:rsid w:val="00BA64F5"/>
    <w:rsid w:val="00BC09A4"/>
    <w:rsid w:val="00C34D3F"/>
    <w:rsid w:val="00CA0255"/>
    <w:rsid w:val="00CD2C65"/>
    <w:rsid w:val="00CE22BF"/>
    <w:rsid w:val="00CF5AFB"/>
    <w:rsid w:val="00D17A45"/>
    <w:rsid w:val="00D457AF"/>
    <w:rsid w:val="00DC5364"/>
    <w:rsid w:val="00DC638D"/>
    <w:rsid w:val="00DC723A"/>
    <w:rsid w:val="00E03542"/>
    <w:rsid w:val="00E52C45"/>
    <w:rsid w:val="00E90DEA"/>
    <w:rsid w:val="00F10DE4"/>
    <w:rsid w:val="00F25C9B"/>
    <w:rsid w:val="00F43F19"/>
    <w:rsid w:val="00FA1D96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897B"/>
  <w15:docId w15:val="{869EAE63-8DA3-4BEF-9A4E-5AF3879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A38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38B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A38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38B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5A38B5"/>
    <w:pPr>
      <w:autoSpaceDN/>
      <w:spacing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A38B5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38B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A38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A38B5"/>
    <w:pPr>
      <w:autoSpaceDN/>
      <w:spacing w:after="160"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A38B5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261"/>
    <w:pPr>
      <w:autoSpaceDN w:val="0"/>
      <w:spacing w:after="0"/>
      <w:textAlignment w:val="baseline"/>
    </w:pPr>
    <w:rPr>
      <w:rFonts w:eastAsia="DejaVu Sans" w:cs="Lohit Hindi"/>
      <w:b/>
      <w:bCs/>
      <w:color w:val="000000"/>
      <w:kern w:val="0"/>
      <w:lang w:val="nl-NL"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261"/>
    <w:rPr>
      <w:rFonts w:ascii="Verdana" w:eastAsiaTheme="minorHAnsi" w:hAnsi="Verdana" w:cstheme="minorBidi"/>
      <w:b/>
      <w:bCs/>
      <w:color w:val="000000"/>
      <w:kern w:val="2"/>
      <w:lang w:val="en-US" w:eastAsia="en-US"/>
      <w14:ligatures w14:val="standardContextual"/>
    </w:rPr>
  </w:style>
  <w:style w:type="paragraph" w:styleId="Revisie">
    <w:name w:val="Revision"/>
    <w:hidden/>
    <w:uiPriority w:val="99"/>
    <w:semiHidden/>
    <w:rsid w:val="00DC5364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858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Onderzoeksrapport 'Waarschuwen bij beleggen'</vt:lpstr>
    </vt:vector>
  </ap:TitlesOfParts>
  <ap:LinksUpToDate>false</ap:LinksUpToDate>
  <ap:CharactersWithSpaces>1012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2025-04-15T14:35:00.0000000Z</dcterms:created>
  <dcterms:modified xsi:type="dcterms:W3CDTF">2025-04-15T14:35:00.0000000Z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Onderzoeksrapport 'Waarschuwen bij beleggen'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19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088-4428985</vt:lpwstr>
  </property>
  <property fmtid="{D5CDD505-2E9C-101B-9397-08002B2CF9AE}" pid="15" name="Kenmerk">
    <vt:lpwstr>2025-0000088930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Non-paper Retail Investment Strategy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2024-11-19T12:16:56Z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f9aba4fc-7bc9-4648-ad11-66a2498c667c</vt:lpwstr>
  </property>
  <property fmtid="{D5CDD505-2E9C-101B-9397-08002B2CF9AE}" pid="37" name="MSIP_Label_6800fede-0e59-47ad-af95-4e63bbdb932d_ContentBits">
    <vt:lpwstr>0</vt:lpwstr>
  </property>
</Properties>
</file>