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098" w:rsidP="00AF7098" w:rsidRDefault="00AF7098" w14:paraId="57044ED7" w14:textId="58F88BB5">
      <w:pPr>
        <w:suppressAutoHyphens/>
      </w:pPr>
      <w:r>
        <w:t>AH 1966</w:t>
      </w:r>
    </w:p>
    <w:p w:rsidR="00AF7098" w:rsidP="00AF7098" w:rsidRDefault="00AF7098" w14:paraId="7A5FA2FA" w14:textId="4ACD6CD2">
      <w:pPr>
        <w:suppressAutoHyphens/>
      </w:pPr>
      <w:r>
        <w:t>2025Z05543</w:t>
      </w:r>
    </w:p>
    <w:p w:rsidR="00AF7098" w:rsidP="00AF7098" w:rsidRDefault="00AF7098" w14:paraId="067458A1" w14:textId="3564AAFB">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16 april 2025)</w:t>
      </w:r>
    </w:p>
    <w:p w:rsidR="00AF7098" w:rsidP="00AF7098" w:rsidRDefault="00AF7098" w14:paraId="0AD26CCC" w14:textId="77777777">
      <w:pPr>
        <w:suppressAutoHyphens/>
      </w:pPr>
    </w:p>
    <w:p w:rsidR="00AF7098" w:rsidP="00AF7098" w:rsidRDefault="00AF7098" w14:paraId="5B517056" w14:textId="77777777">
      <w:pPr>
        <w:suppressAutoHyphens/>
      </w:pPr>
      <w:r>
        <w:t xml:space="preserve">Vraag 1 </w:t>
      </w:r>
    </w:p>
    <w:p w:rsidR="00AF7098" w:rsidP="00AF7098" w:rsidRDefault="00AF7098" w14:paraId="5E4F721A" w14:textId="77777777">
      <w:pPr>
        <w:suppressAutoHyphens/>
      </w:pPr>
      <w:r w:rsidRPr="00443F77">
        <w:t>Heeft u het artikel in Tubantia over de bezuinigingen van gemeenten op jeugdzorg gelezen? Herkent u het beeld dat gemeenten bezuinigen op jeugdzorg?</w:t>
      </w:r>
      <w:r>
        <w:rPr>
          <w:rStyle w:val="Voetnootmarkering"/>
        </w:rPr>
        <w:footnoteReference w:id="1"/>
      </w:r>
    </w:p>
    <w:p w:rsidR="00AF7098" w:rsidP="00AF7098" w:rsidRDefault="00AF7098" w14:paraId="28D927A3" w14:textId="77777777">
      <w:pPr>
        <w:suppressAutoHyphens/>
      </w:pPr>
    </w:p>
    <w:p w:rsidR="00AF7098" w:rsidP="00AF7098" w:rsidRDefault="00AF7098" w14:paraId="2DD26A0A" w14:textId="77777777">
      <w:pPr>
        <w:suppressAutoHyphens/>
      </w:pPr>
      <w:r>
        <w:t>Antwoord vraag 1</w:t>
      </w:r>
    </w:p>
    <w:p w:rsidR="00AF7098" w:rsidP="00AF7098" w:rsidRDefault="00AF7098" w14:paraId="7C3AC298" w14:textId="77777777">
      <w:pPr>
        <w:suppressAutoHyphens/>
      </w:pPr>
      <w:r>
        <w:t>Ja</w:t>
      </w:r>
    </w:p>
    <w:p w:rsidR="00AF7098" w:rsidP="00AF7098" w:rsidRDefault="00AF7098" w14:paraId="75482D90" w14:textId="77777777">
      <w:pPr>
        <w:suppressAutoHyphens/>
      </w:pPr>
    </w:p>
    <w:p w:rsidR="00AF7098" w:rsidP="00AF7098" w:rsidRDefault="00AF7098" w14:paraId="6D08E053" w14:textId="77777777">
      <w:pPr>
        <w:suppressAutoHyphens/>
      </w:pPr>
      <w:r>
        <w:t>Vraag 2</w:t>
      </w:r>
    </w:p>
    <w:p w:rsidR="00AF7098" w:rsidP="00AF7098" w:rsidRDefault="00AF7098" w14:paraId="0892C977" w14:textId="77777777">
      <w:pPr>
        <w:suppressAutoHyphens/>
      </w:pPr>
      <w:r w:rsidRPr="00443F77">
        <w:t>In hoeveel andere regio’s speelt dit probleem? Herkent u de worsteling van gemeenten die nu bezig zijn met hun financiële plannen voor komende jaren en voor wie onduidelijk is of er fors bezuinigd moet worden?</w:t>
      </w:r>
    </w:p>
    <w:p w:rsidR="00AF7098" w:rsidP="00AF7098" w:rsidRDefault="00AF7098" w14:paraId="024790B5" w14:textId="77777777">
      <w:pPr>
        <w:suppressAutoHyphens/>
      </w:pPr>
    </w:p>
    <w:p w:rsidR="00AF7098" w:rsidP="00AF7098" w:rsidRDefault="00AF7098" w14:paraId="0E872542" w14:textId="77777777">
      <w:pPr>
        <w:suppressAutoHyphens/>
      </w:pPr>
      <w:r>
        <w:t>Antwoord vraag 2</w:t>
      </w:r>
    </w:p>
    <w:p w:rsidRPr="005838EF" w:rsidR="00AF7098" w:rsidP="00AF7098" w:rsidRDefault="00AF7098" w14:paraId="71ACFC9D" w14:textId="77777777">
      <w:pPr>
        <w:suppressAutoHyphens/>
      </w:pPr>
      <w:r w:rsidRPr="0000343B">
        <w:t xml:space="preserve">Ik herken de worsteling van gemeenten. De financiering van de Jeugdzorg is onderdeel van het Gemeentefonds. De middelen uit de algemene uitkering van het gemeentefonds zijn beleids- en bestedingsvrij voor gemeenten. Gemeenten zijn zelf verantwoordelijk </w:t>
      </w:r>
      <w:bookmarkStart w:name="_Hlk195015398" w:id="0"/>
      <w:r w:rsidRPr="0000343B">
        <w:t>voor de financiële positie en adequate uitvoering van de taken en verantwoordelijkheden die op hen rusten</w:t>
      </w:r>
      <w:bookmarkEnd w:id="0"/>
      <w:r w:rsidRPr="0000343B">
        <w:t xml:space="preserve">. De gemeenteraad stelt jaarlijks </w:t>
      </w:r>
      <w:r w:rsidRPr="005838EF">
        <w:t xml:space="preserve">een begroting vast en de gemeente dient ervoor te zorgen dat deze structureel en reëel in evenwicht is. Binnen de kaders van de wet- en regelgeving is het aan de individuele gemeenten hoe ze hun ontvangsten uit het gemeentefonds inzetten. </w:t>
      </w:r>
    </w:p>
    <w:p w:rsidRPr="005838EF" w:rsidR="00AF7098" w:rsidP="00AF7098" w:rsidRDefault="00AF7098" w14:paraId="14640740" w14:textId="77777777">
      <w:pPr>
        <w:suppressAutoHyphens/>
      </w:pPr>
    </w:p>
    <w:p w:rsidRPr="0000343B" w:rsidR="00AF7098" w:rsidP="00AF7098" w:rsidRDefault="00AF7098" w14:paraId="5C76F199" w14:textId="77777777">
      <w:pPr>
        <w:suppressAutoHyphens/>
      </w:pPr>
      <w:r w:rsidRPr="005838EF">
        <w:t>De afgesproken bezuiniging op de jeugdzorg van structureel 511 mln. is door dit kabinet geschrapt. Wel ligt er nog de besparingsopgave vanuit de Hervormingsagenda die opbouwt tot 1 mrd structureel. In de Hervormingsagenda Jeugd zijn afspraken gemaakt om de jeugdzorg kwalitatief te verbeteren en ook het stelsel (financieel) houdbaar te maken. De commissie- Van Ark heeft zwaarwegend</w:t>
      </w:r>
      <w:r w:rsidRPr="0000343B">
        <w:t xml:space="preserve"> advies gegeven over de uitvoering van de agenda in relatie tot de uitgavenontwikkeling. Uw Kamer is per brief (Kamerstukken II 2024-2025, 33047, nr. </w:t>
      </w:r>
      <w:r w:rsidRPr="0000343B">
        <w:lastRenderedPageBreak/>
        <w:t xml:space="preserve">30) geïnformeerd </w:t>
      </w:r>
      <w:r>
        <w:t>over</w:t>
      </w:r>
      <w:r w:rsidRPr="0000343B">
        <w:t xml:space="preserve"> het overhedenoverleg van 17 maart </w:t>
      </w:r>
      <w:r>
        <w:t xml:space="preserve">jl waarin </w:t>
      </w:r>
      <w:r w:rsidRPr="0000343B">
        <w:t xml:space="preserve">de afspraak uit het overhedenoverleg van 21 november om recht te doen aan de uitkomsten van het advies van de commissie- Van Ark opnieuw is bekrachtigd. Tegelijkertijd is geconstateerd </w:t>
      </w:r>
      <w:bookmarkStart w:name="_Hlk195015611" w:id="1"/>
      <w:r w:rsidRPr="0000343B">
        <w:t>dat het kabinet nog middenin het proces van besluitvorming in het kader van de voorjaarsnota zit</w:t>
      </w:r>
      <w:bookmarkEnd w:id="1"/>
      <w:r w:rsidRPr="0000343B">
        <w:t xml:space="preserve"> </w:t>
      </w:r>
      <w:r>
        <w:t xml:space="preserve">en </w:t>
      </w:r>
      <w:r w:rsidRPr="0000343B">
        <w:t xml:space="preserve">nog een aantal punten in het kader van de jeugdzorg echt uitwerking behoeft. Ik ben op dit moment dan ook met partijen in gesprek over hoe we het advies van de Deskundigencommissie gaan opvolgen. Over de uitkomsten informeer ik uw Kamer zo spoedig mogelijk, </w:t>
      </w:r>
      <w:bookmarkStart w:name="_Hlk195015675" w:id="2"/>
      <w:r w:rsidRPr="0000343B">
        <w:t>uiterlijk voorafgaand aan het debat over het jeugdbeleid op 18 juni a.s</w:t>
      </w:r>
      <w:bookmarkEnd w:id="2"/>
      <w:r w:rsidRPr="0000343B">
        <w:t>.  </w:t>
      </w:r>
    </w:p>
    <w:p w:rsidR="00AF7098" w:rsidP="00AF7098" w:rsidRDefault="00AF7098" w14:paraId="5A1F6222" w14:textId="77777777">
      <w:pPr>
        <w:suppressAutoHyphens/>
      </w:pPr>
    </w:p>
    <w:p w:rsidR="00AF7098" w:rsidP="00AF7098" w:rsidRDefault="00AF7098" w14:paraId="5E977D04" w14:textId="77777777">
      <w:pPr>
        <w:suppressAutoHyphens/>
      </w:pPr>
      <w:r>
        <w:t>Vraag 3</w:t>
      </w:r>
    </w:p>
    <w:p w:rsidR="00AF7098" w:rsidP="00AF7098" w:rsidRDefault="00AF7098" w14:paraId="74A3E162" w14:textId="77777777">
      <w:pPr>
        <w:suppressAutoHyphens/>
      </w:pPr>
      <w:r w:rsidRPr="00443F77">
        <w:t>Wat vindt u van het concrete voorbeeld in het artikel waarbij een hulpverlener werkt aan een onderzoek naar de mogelijke terugplaatsing bij de biologische ouders en dit plotseling moet stopzetten? Deelt u de mening dat het beoordelen van het hulptraject primair aan de professional is die de gezinnen kent?</w:t>
      </w:r>
    </w:p>
    <w:p w:rsidR="00AF7098" w:rsidP="00AF7098" w:rsidRDefault="00AF7098" w14:paraId="4E0A7220" w14:textId="77777777">
      <w:pPr>
        <w:suppressAutoHyphens/>
      </w:pPr>
    </w:p>
    <w:p w:rsidR="00AF7098" w:rsidP="00AF7098" w:rsidRDefault="00AF7098" w14:paraId="01C9037B" w14:textId="77777777">
      <w:pPr>
        <w:suppressAutoHyphens/>
      </w:pPr>
      <w:r>
        <w:t>Antwoord vraag 3</w:t>
      </w:r>
    </w:p>
    <w:p w:rsidRPr="0000343B" w:rsidR="00AF7098" w:rsidP="00AF7098" w:rsidRDefault="00AF7098" w14:paraId="17972E99" w14:textId="77777777">
      <w:pPr>
        <w:suppressAutoHyphens/>
      </w:pPr>
      <w:bookmarkStart w:name="_Hlk195017054" w:id="3"/>
      <w:r w:rsidRPr="0000343B">
        <w:t xml:space="preserve">Bij een kinderbeschermingsmaatregel voert de jeugdbeschermer de regie en zet in overleg met het gezin, de gemeenten en eventueel betrokken hulpverleners de nodige hulp en ondersteuning voor het gezin in. </w:t>
      </w:r>
      <w:bookmarkEnd w:id="3"/>
      <w:r w:rsidRPr="0000343B">
        <w:t xml:space="preserve">De gemeente is verantwoordelijk voor de beschikbaarheid van een passend jeugdhulpaanbod. </w:t>
      </w:r>
    </w:p>
    <w:p w:rsidR="00AF7098" w:rsidP="00AF7098" w:rsidRDefault="00AF7098" w14:paraId="1DE35DCE" w14:textId="77777777">
      <w:pPr>
        <w:suppressAutoHyphens/>
        <w:rPr>
          <w:i/>
          <w:iCs/>
        </w:rPr>
      </w:pPr>
    </w:p>
    <w:p w:rsidR="00AF7098" w:rsidP="00AF7098" w:rsidRDefault="00AF7098" w14:paraId="3692777C" w14:textId="77777777">
      <w:pPr>
        <w:suppressAutoHyphens/>
      </w:pPr>
      <w:r>
        <w:t>Vraag 4</w:t>
      </w:r>
    </w:p>
    <w:p w:rsidR="00AF7098" w:rsidP="00AF7098" w:rsidRDefault="00AF7098" w14:paraId="2BFEAD1C" w14:textId="77777777">
      <w:pPr>
        <w:suppressAutoHyphens/>
      </w:pPr>
      <w:r w:rsidRPr="00443F77">
        <w:t>Deelt u de mening dat het plotseling stopzetten van hulpverlening, beschadigend kan zijn voor kinderen en hun familie, maar ook ingaat tegen het Kinderrechtenverdrag? In hoeverre voelt u zich verantwoordelijk om te voorkomen dat hulp ineens wordt stopgezet vanwege financiële problemen?</w:t>
      </w:r>
    </w:p>
    <w:p w:rsidR="00AF7098" w:rsidP="00AF7098" w:rsidRDefault="00AF7098" w14:paraId="6443D593" w14:textId="77777777">
      <w:pPr>
        <w:suppressAutoHyphens/>
      </w:pPr>
    </w:p>
    <w:p w:rsidR="00AF7098" w:rsidP="00AF7098" w:rsidRDefault="00AF7098" w14:paraId="19655068" w14:textId="77777777">
      <w:pPr>
        <w:suppressAutoHyphens/>
      </w:pPr>
      <w:r>
        <w:t>Antwoord vraag 4</w:t>
      </w:r>
    </w:p>
    <w:p w:rsidRPr="0000343B" w:rsidR="00AF7098" w:rsidP="00AF7098" w:rsidRDefault="00AF7098" w14:paraId="5ECA5DC0" w14:textId="77777777">
      <w:pPr>
        <w:suppressAutoHyphens/>
      </w:pPr>
      <w:r w:rsidRPr="0000343B">
        <w:t>Als hulp nodig is, moet de overheid de toegang tot voorzieningen waarborgen. Het is aan gemeenten of de verwijzer om hierin een zorgvuldige afweging te maken. Soms is een andere vorm meer passend of is hulp niet meer nodig, dan is het belangrijk goede afspraken te maken met het gezin</w:t>
      </w:r>
      <w:r>
        <w:t xml:space="preserve"> over de wijze waarop de zorg wordt gewijzigd of afgebouwd</w:t>
      </w:r>
      <w:r w:rsidRPr="0000343B">
        <w:t>.</w:t>
      </w:r>
      <w:r>
        <w:t xml:space="preserve"> Zodat er geen onverwachte veranderingen ontstaan.</w:t>
      </w:r>
    </w:p>
    <w:p w:rsidR="00AF7098" w:rsidP="00AF7098" w:rsidRDefault="00AF7098" w14:paraId="147B82E4" w14:textId="77777777">
      <w:pPr>
        <w:suppressAutoHyphens/>
      </w:pPr>
    </w:p>
    <w:p w:rsidR="00AF7098" w:rsidP="00AF7098" w:rsidRDefault="00AF7098" w14:paraId="61592D22" w14:textId="77777777">
      <w:pPr>
        <w:suppressAutoHyphens/>
      </w:pPr>
      <w:r>
        <w:t>Vraag 5</w:t>
      </w:r>
    </w:p>
    <w:p w:rsidR="00AF7098" w:rsidP="00AF7098" w:rsidRDefault="00AF7098" w14:paraId="3525560E" w14:textId="77777777">
      <w:pPr>
        <w:suppressAutoHyphens/>
      </w:pPr>
      <w:r w:rsidRPr="00443F77">
        <w:lastRenderedPageBreak/>
        <w:t>Deelt u de mening dat dit soort besluiten ook jeugdhulpverleners en jeugdbeschermers in een lastige positie brengt en als gevolg kan hebben dat zij teleurgesteld de sector verlaten, terwijl er juist personeelstekorten zijn?</w:t>
      </w:r>
    </w:p>
    <w:p w:rsidR="00AF7098" w:rsidP="00AF7098" w:rsidRDefault="00AF7098" w14:paraId="746335B8" w14:textId="77777777">
      <w:pPr>
        <w:suppressAutoHyphens/>
      </w:pPr>
    </w:p>
    <w:p w:rsidR="00AF7098" w:rsidP="00AF7098" w:rsidRDefault="00AF7098" w14:paraId="1D10BD7F" w14:textId="77777777">
      <w:pPr>
        <w:suppressAutoHyphens/>
      </w:pPr>
      <w:r>
        <w:t>Antwoord vraag 5</w:t>
      </w:r>
    </w:p>
    <w:p w:rsidRPr="0000343B" w:rsidR="00AF7098" w:rsidP="00AF7098" w:rsidRDefault="00AF7098" w14:paraId="2642691C" w14:textId="77777777">
      <w:pPr>
        <w:suppressAutoHyphens/>
      </w:pPr>
      <w:r w:rsidRPr="0000343B">
        <w:t xml:space="preserve">Jeugdhulpverleners, jeugdbeschermers, aanbieders en gemeenten zetten in op passende zorg aan jeugdigen. </w:t>
      </w:r>
      <w:bookmarkStart w:name="_Hlk195016943" w:id="4"/>
      <w:r w:rsidRPr="0000343B">
        <w:t>In de praktijk kan het voorkomen dat</w:t>
      </w:r>
      <w:r>
        <w:t xml:space="preserve"> </w:t>
      </w:r>
      <w:r w:rsidRPr="0000343B">
        <w:t>er sprake is van veranderingen in de hulpverlening</w:t>
      </w:r>
      <w:bookmarkEnd w:id="4"/>
      <w:r>
        <w:t xml:space="preserve">, indien er redenen zijn dat andere zorg beter aansluit. </w:t>
      </w:r>
      <w:r w:rsidRPr="0000343B">
        <w:t xml:space="preserve">Dit kan impact hebben op gezinnen en ook op professionals. Ik herken het beeld niet dat jeugdprofessionals om die reden de sector verlaten. </w:t>
      </w:r>
    </w:p>
    <w:p w:rsidR="00AF7098" w:rsidP="00AF7098" w:rsidRDefault="00AF7098" w14:paraId="5CC724F2" w14:textId="77777777">
      <w:pPr>
        <w:suppressAutoHyphens/>
      </w:pPr>
    </w:p>
    <w:p w:rsidR="00AF7098" w:rsidP="00AF7098" w:rsidRDefault="00AF7098" w14:paraId="5EE14695" w14:textId="77777777">
      <w:pPr>
        <w:suppressAutoHyphens/>
      </w:pPr>
      <w:r>
        <w:t>Vraag 6</w:t>
      </w:r>
    </w:p>
    <w:p w:rsidR="00AF7098" w:rsidP="00AF7098" w:rsidRDefault="00AF7098" w14:paraId="035DA6D6" w14:textId="77777777">
      <w:pPr>
        <w:suppressAutoHyphens/>
      </w:pPr>
      <w:r w:rsidRPr="00443F77">
        <w:t>Hoe reflecteert u op de opmerkingen van de FNV dat ook de bezuinigingen op onderwijs een reden kunnen zijn voor de toename van jeugdhulp? Wat vindt u van de opmerkingen van de FNV dat gemeenten niet zouden moeten vooruitlopen? Bent u bereid om snel duidelijkheid te geven?</w:t>
      </w:r>
    </w:p>
    <w:p w:rsidRPr="0000343B" w:rsidR="00AF7098" w:rsidP="00AF7098" w:rsidRDefault="00AF7098" w14:paraId="3AD61804" w14:textId="77777777">
      <w:pPr>
        <w:suppressAutoHyphens/>
      </w:pPr>
    </w:p>
    <w:p w:rsidRPr="0000343B" w:rsidR="00AF7098" w:rsidP="00AF7098" w:rsidRDefault="00AF7098" w14:paraId="426414BD" w14:textId="77777777">
      <w:pPr>
        <w:suppressAutoHyphens/>
      </w:pPr>
      <w:r w:rsidRPr="0000343B">
        <w:t>Antwoord vraag 6</w:t>
      </w:r>
    </w:p>
    <w:p w:rsidR="00AF7098" w:rsidP="00AF7098" w:rsidRDefault="00AF7098" w14:paraId="147C74D9" w14:textId="77777777">
      <w:pPr>
        <w:suppressAutoHyphens/>
      </w:pPr>
      <w:r w:rsidRPr="0000343B">
        <w:t>Ik deel de achterliggende gedachte van de FNV dat onderwijs van groot belang is voor een gezonde ontwikkeling van kinderen. Kinderen die thuis komen te zitten omdat ze uitvallen op school doen vaker een beroep op jeugdhulp.</w:t>
      </w:r>
      <w:r>
        <w:t xml:space="preserve"> </w:t>
      </w:r>
      <w:r w:rsidRPr="00CF2657">
        <w:t>De commissie van Van Ark heeft in haar advies ook erkend dat jeugdzorgproblematiek</w:t>
      </w:r>
      <w:r>
        <w:t xml:space="preserve"> zijn </w:t>
      </w:r>
    </w:p>
    <w:p w:rsidR="00AF7098" w:rsidP="00AF7098" w:rsidRDefault="00AF7098" w14:paraId="059B68AD" w14:textId="77777777">
      <w:pPr>
        <w:suppressAutoHyphens/>
      </w:pPr>
      <w:r>
        <w:t>oorsprong vaak vindt in andere domeinen.</w:t>
      </w:r>
      <w:r w:rsidRPr="0000343B">
        <w:t xml:space="preserve"> </w:t>
      </w:r>
      <w:r w:rsidRPr="004143DE">
        <w:t>Mij zijn geen onderzoeken bekend waaruit volgt dat de toegenomen vraag naar jeugdhulp deels te herleiden is tot</w:t>
      </w:r>
      <w:r>
        <w:t xml:space="preserve"> de</w:t>
      </w:r>
      <w:r w:rsidRPr="004143DE">
        <w:t xml:space="preserve"> bezuinigingen op onderwijs. </w:t>
      </w:r>
    </w:p>
    <w:p w:rsidRPr="0000343B" w:rsidR="00AF7098" w:rsidP="00AF7098" w:rsidRDefault="00AF7098" w14:paraId="360B5F09" w14:textId="77777777">
      <w:pPr>
        <w:suppressAutoHyphens/>
      </w:pPr>
    </w:p>
    <w:p w:rsidR="00AF7098" w:rsidP="00AF7098" w:rsidRDefault="00AF7098" w14:paraId="6D4999DC" w14:textId="77777777">
      <w:pPr>
        <w:suppressAutoHyphens/>
      </w:pPr>
      <w:r w:rsidRPr="005838EF">
        <w:t>Rijk en gemeenten delen de wens om de jeugdzorg voor de toekomst houdbaar en beheersbaar te maken. De afgesproken bezuiniging op de jeugdzorg van structureel 511 mln. is door dit kabinet geschrapt. Wel ligt er nog de besparingsopgave vanuit de Hervormingsagenda die opbouwt tot 1 mrd structureel. In de Hervormingsagenda Jeugd zijn afspraken</w:t>
      </w:r>
      <w:r w:rsidRPr="0000343B">
        <w:t xml:space="preserve"> gemaakt om de jeugdzorg kwalitatief te verbeteren en ook het stelsel (financieel) houdbaar te maken</w:t>
      </w:r>
      <w:r>
        <w:t>. De</w:t>
      </w:r>
      <w:r w:rsidRPr="0000343B">
        <w:t xml:space="preserve"> commissie- Van Ark</w:t>
      </w:r>
      <w:r>
        <w:t xml:space="preserve"> heeft</w:t>
      </w:r>
      <w:r w:rsidRPr="0000343B">
        <w:t xml:space="preserve"> zwaarwegend advies gegeven over de uitvoering van de agenda in relatie tot de uitgavenontwikkeling. Uw Kamer is per brief (Kamerstukken II 2024-2025, 33047, nr. 30) geïnformeerd</w:t>
      </w:r>
      <w:r>
        <w:t xml:space="preserve"> over</w:t>
      </w:r>
      <w:r w:rsidRPr="0000343B">
        <w:t xml:space="preserve"> het overhedenoverleg van 17 maart</w:t>
      </w:r>
      <w:r>
        <w:t xml:space="preserve"> jl. waarin</w:t>
      </w:r>
      <w:r w:rsidRPr="0000343B">
        <w:t xml:space="preserve"> de afspraak uit het overhedenoverleg van 21 november om recht te doen aan de uitkomsten van het advies van de commissie- Van Ark opnieuw is bekrachtigd. Tegelijkertijd is geconstateerd dat het kabinet middenin het proces van besluitvorming in het kader van de voorjaarsnota zit en nog een aantal punten in </w:t>
      </w:r>
      <w:r w:rsidRPr="0000343B">
        <w:lastRenderedPageBreak/>
        <w:t>het kader van de jeugdzorg echt uitwerking behoeft. Ik ben op dit moment dan ook met partijen in gesprek over hoe we het advies van de Deskundigencommissie gaan opvolgen. Over de uitkomsten informeer ik uw Kamer zo spoedig mogelijk, uiterlijk voorafgaand aan het debat over het jeugdbeleid op 18 juni a.s.</w:t>
      </w:r>
    </w:p>
    <w:p w:rsidRPr="0000343B" w:rsidR="00AF7098" w:rsidP="00AF7098" w:rsidRDefault="00AF7098" w14:paraId="3BA0729A" w14:textId="77777777">
      <w:pPr>
        <w:suppressAutoHyphens/>
      </w:pPr>
    </w:p>
    <w:p w:rsidRPr="0000343B" w:rsidR="00AF7098" w:rsidP="00AF7098" w:rsidRDefault="00AF7098" w14:paraId="15594428" w14:textId="77777777">
      <w:pPr>
        <w:suppressAutoHyphens/>
      </w:pPr>
      <w:r w:rsidRPr="0000343B">
        <w:t>Gemeenten zijn zelf verantwoordelijk voor de en adequate uitvoering van de taken en verantwoordelijkheden die op hen rusten. De gemeenteraad stelt jaarlijks een begroting vast en de gemeente dient ervoor te zorgen dat deze structureel en reëel in evenwicht is. Binnen de kaders van de wet- en regelgeving is het aan de individuele gemeenten hoe ze hun ontvangsten uit het gemeentefonds inzetten. De middelen uit de algemene uitkering van het gemeentefonds zijn beleids- en bestedingsvrij voor gemeenten.</w:t>
      </w:r>
    </w:p>
    <w:p w:rsidR="00AF7098" w:rsidP="00AF7098" w:rsidRDefault="00AF7098" w14:paraId="1C986D94" w14:textId="77777777">
      <w:pPr>
        <w:suppressAutoHyphens/>
      </w:pPr>
    </w:p>
    <w:p w:rsidR="00AF7098" w:rsidP="00AF7098" w:rsidRDefault="00AF7098" w14:paraId="1EB07F57" w14:textId="77777777">
      <w:pPr>
        <w:suppressAutoHyphens/>
      </w:pPr>
      <w:r>
        <w:t>Vraag 7</w:t>
      </w:r>
    </w:p>
    <w:p w:rsidR="00AF7098" w:rsidP="00AF7098" w:rsidRDefault="00AF7098" w14:paraId="7411E566" w14:textId="77777777">
      <w:pPr>
        <w:suppressAutoHyphens/>
      </w:pPr>
      <w:r w:rsidRPr="00443F77">
        <w:t>Hoeveel aanbieders zijn afgelopen jaar gecontacteerd door de Jeugdautoriteit omdat ze continuïteitsrisico’s voorzien? Kunt u ons een overzicht geven van de ontwikkeling in de afgelopen jaren? In hoeverre wordt u actief op de hoogte gebracht wanneer de financiële problemen van jeugdhulpaanbieders dusdanig groot zijn dat de Jeugdautoriteit in actie komt?</w:t>
      </w:r>
    </w:p>
    <w:p w:rsidR="00AF7098" w:rsidP="00AF7098" w:rsidRDefault="00AF7098" w14:paraId="6D9A6E1E" w14:textId="77777777">
      <w:pPr>
        <w:suppressAutoHyphens/>
      </w:pPr>
    </w:p>
    <w:p w:rsidR="00AF7098" w:rsidP="00AF7098" w:rsidRDefault="00AF7098" w14:paraId="587F5CAC" w14:textId="77777777">
      <w:pPr>
        <w:suppressAutoHyphens/>
      </w:pPr>
      <w:r>
        <w:t>Antwoord vraag 7</w:t>
      </w:r>
    </w:p>
    <w:p w:rsidR="00AF7098" w:rsidP="00AF7098" w:rsidRDefault="00AF7098" w14:paraId="2913225B" w14:textId="77777777">
      <w:pPr>
        <w:suppressAutoHyphens/>
      </w:pPr>
      <w:r w:rsidRPr="0000343B">
        <w:t xml:space="preserve">De Jeugdautoriteit monitort in het kader van vroegsignalering continu jeugdhulpaanbieders en gecertificeerde instellingen op financiële gezondheid door middel van haar Early Warning System. Daarnaast acteert zij op signalen en voert zij toetsgesprekken om mogelijke continuïteitsrisico’s te identificeren. Wanneer sprake is van ernstige continuïteitsrisico’s, wordt, indien sprake is van cruciale jeugdhulp, samen met gemeenten/regio’s en de aanbieder aan de hand van het Draaiboek Bevordering Continuïteit Jeugdzorg gewerkt aan een duurzaam herstel. In 2024 ging dit om 17 jeugdhulpaanbieders. Dit aantal is stabiel de afgelopen jaren. VWS en de Jeugdautoriteit hebben regulier overleg waarin de Jeugdautoriteit VWS bijpraat over </w:t>
      </w:r>
      <w:bookmarkStart w:name="_Hlk195016865" w:id="5"/>
      <w:r w:rsidRPr="0000343B">
        <w:t>lopende casuïstiek en continuïteitsrisico’s.</w:t>
      </w:r>
      <w:bookmarkEnd w:id="5"/>
    </w:p>
    <w:p w:rsidR="00AF7098" w:rsidP="00AF7098" w:rsidRDefault="00AF7098" w14:paraId="5E19B7CD" w14:textId="77777777">
      <w:pPr>
        <w:suppressAutoHyphens/>
      </w:pPr>
    </w:p>
    <w:p w:rsidR="00AF7098" w:rsidP="00AF7098" w:rsidRDefault="00AF7098" w14:paraId="6B6E19F1" w14:textId="77777777">
      <w:pPr>
        <w:suppressAutoHyphens/>
      </w:pPr>
      <w:r>
        <w:t>Vraag 8</w:t>
      </w:r>
    </w:p>
    <w:p w:rsidR="00AF7098" w:rsidP="00AF7098" w:rsidRDefault="00AF7098" w14:paraId="79E62856" w14:textId="77777777">
      <w:pPr>
        <w:suppressAutoHyphens/>
      </w:pPr>
      <w:r w:rsidRPr="00443F77">
        <w:t>Is aan de hand daarvan ook een beeld te maken van het aantal hulpverleners met onzekerheid over hun baan en het aantal kinderen en gezinnen van wie hulp dreigt te verdwijnen?</w:t>
      </w:r>
    </w:p>
    <w:p w:rsidR="00AF7098" w:rsidP="00AF7098" w:rsidRDefault="00AF7098" w14:paraId="0DA659C4" w14:textId="77777777">
      <w:pPr>
        <w:suppressAutoHyphens/>
      </w:pPr>
    </w:p>
    <w:p w:rsidR="00AF7098" w:rsidP="00AF7098" w:rsidRDefault="00AF7098" w14:paraId="41CE64AF" w14:textId="77777777">
      <w:pPr>
        <w:suppressAutoHyphens/>
      </w:pPr>
      <w:r>
        <w:t>Antwoord vraag 8</w:t>
      </w:r>
    </w:p>
    <w:p w:rsidRPr="0000343B" w:rsidR="00AF7098" w:rsidP="00AF7098" w:rsidRDefault="00AF7098" w14:paraId="25F9550F" w14:textId="77777777">
      <w:pPr>
        <w:suppressAutoHyphens/>
      </w:pPr>
      <w:r w:rsidRPr="0000343B">
        <w:lastRenderedPageBreak/>
        <w:t xml:space="preserve">Gemeenten en aanbieders hebben als opdrachtgevende en contracterende partijen inzicht per casus. Een totaalbeeld is niet beschikbaar. </w:t>
      </w:r>
    </w:p>
    <w:p w:rsidRPr="0000343B" w:rsidR="00AF7098" w:rsidP="00AF7098" w:rsidRDefault="00AF7098" w14:paraId="6940DEDD" w14:textId="77777777">
      <w:pPr>
        <w:suppressAutoHyphens/>
      </w:pPr>
    </w:p>
    <w:p w:rsidR="00AF7098" w:rsidP="00AF7098" w:rsidRDefault="00AF7098" w14:paraId="78B2A9E3" w14:textId="77777777">
      <w:pPr>
        <w:suppressAutoHyphens/>
      </w:pPr>
    </w:p>
    <w:p w:rsidR="00AF7098" w:rsidP="00AF7098" w:rsidRDefault="00AF7098" w14:paraId="792C4EFD" w14:textId="77777777">
      <w:pPr>
        <w:suppressAutoHyphens/>
      </w:pPr>
    </w:p>
    <w:p w:rsidRPr="0000343B" w:rsidR="00AF7098" w:rsidP="00AF7098" w:rsidRDefault="00AF7098" w14:paraId="33DF44E9" w14:textId="77777777">
      <w:pPr>
        <w:suppressAutoHyphens/>
      </w:pPr>
      <w:r w:rsidRPr="00443F77">
        <w:t xml:space="preserve">1) </w:t>
      </w:r>
      <w:bookmarkStart w:name="_Hlk195017476" w:id="6"/>
      <w:r w:rsidRPr="00443F77">
        <w:t>Tubantia, 13 maart 2025, 'Vakbond FNV noemt jeugdzorg in Twente landelijk als voorbeeld van hoe het niet moet' (Vakbond FNV noemt jeugdzorg in Twente landelijk als voorbeeld van hoe het niet moet | Enschede | tubantia.nl)</w:t>
      </w:r>
      <w:bookmarkEnd w:id="6"/>
    </w:p>
    <w:p w:rsidR="004A136A" w:rsidRDefault="004A136A" w14:paraId="17636202" w14:textId="77777777"/>
    <w:sectPr w:rsidR="004A136A" w:rsidSect="00AF709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B145" w14:textId="77777777" w:rsidR="00AF7098" w:rsidRDefault="00AF7098" w:rsidP="00AF7098">
      <w:pPr>
        <w:spacing w:after="0" w:line="240" w:lineRule="auto"/>
      </w:pPr>
      <w:r>
        <w:separator/>
      </w:r>
    </w:p>
  </w:endnote>
  <w:endnote w:type="continuationSeparator" w:id="0">
    <w:p w14:paraId="6C99FCF0" w14:textId="77777777" w:rsidR="00AF7098" w:rsidRDefault="00AF7098" w:rsidP="00AF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C036" w14:textId="77777777" w:rsidR="00AF7098" w:rsidRPr="00AF7098" w:rsidRDefault="00AF7098" w:rsidP="00AF7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FF0" w14:textId="77777777" w:rsidR="00AF7098" w:rsidRPr="00AF7098" w:rsidRDefault="00AF7098" w:rsidP="00AF7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7540" w14:textId="77777777" w:rsidR="00AF7098" w:rsidRPr="00AF7098" w:rsidRDefault="00AF7098" w:rsidP="00AF7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F6FC" w14:textId="77777777" w:rsidR="00AF7098" w:rsidRDefault="00AF7098" w:rsidP="00AF7098">
      <w:pPr>
        <w:spacing w:after="0" w:line="240" w:lineRule="auto"/>
      </w:pPr>
      <w:r>
        <w:separator/>
      </w:r>
    </w:p>
  </w:footnote>
  <w:footnote w:type="continuationSeparator" w:id="0">
    <w:p w14:paraId="1F4B4ACC" w14:textId="77777777" w:rsidR="00AF7098" w:rsidRDefault="00AF7098" w:rsidP="00AF7098">
      <w:pPr>
        <w:spacing w:after="0" w:line="240" w:lineRule="auto"/>
      </w:pPr>
      <w:r>
        <w:continuationSeparator/>
      </w:r>
    </w:p>
  </w:footnote>
  <w:footnote w:id="1">
    <w:p w14:paraId="640D105C" w14:textId="77777777" w:rsidR="00AF7098" w:rsidRDefault="00AF7098" w:rsidP="00AF7098">
      <w:pPr>
        <w:pStyle w:val="Voetnoottekst"/>
      </w:pPr>
      <w:r>
        <w:rPr>
          <w:rStyle w:val="Voetnootmarkering"/>
        </w:rPr>
        <w:footnoteRef/>
      </w:r>
      <w:r>
        <w:t xml:space="preserve"> </w:t>
      </w:r>
      <w:r w:rsidRPr="0000343B">
        <w:rPr>
          <w:sz w:val="14"/>
          <w:szCs w:val="16"/>
        </w:rPr>
        <w:t>Tubantia, 13 maart 2025, 'Vakbond FNV noemt jeugdzorg in Twente landelijk als voorbeeld van hoe het niet moet' (Vakbond FNV noemt jeugdzorg in Twente landelijk als voorbeeld van hoe het niet moet | Enschede | tubantia.nl)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5676" w14:textId="77777777" w:rsidR="00AF7098" w:rsidRPr="00AF7098" w:rsidRDefault="00AF7098" w:rsidP="00AF70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12F" w14:textId="77777777" w:rsidR="00AF7098" w:rsidRPr="00AF7098" w:rsidRDefault="00AF7098" w:rsidP="00AF70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C26A" w14:textId="77777777" w:rsidR="00AF7098" w:rsidRPr="00AF7098" w:rsidRDefault="00AF7098" w:rsidP="00AF70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98"/>
    <w:rsid w:val="003C71EC"/>
    <w:rsid w:val="004A136A"/>
    <w:rsid w:val="00AF7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8B5"/>
  <w15:chartTrackingRefBased/>
  <w15:docId w15:val="{2BE548F6-C5F1-419A-A6BB-B50D882F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7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70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70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70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7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0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70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70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70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70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7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098"/>
    <w:rPr>
      <w:rFonts w:eastAsiaTheme="majorEastAsia" w:cstheme="majorBidi"/>
      <w:color w:val="272727" w:themeColor="text1" w:themeTint="D8"/>
    </w:rPr>
  </w:style>
  <w:style w:type="paragraph" w:styleId="Titel">
    <w:name w:val="Title"/>
    <w:basedOn w:val="Standaard"/>
    <w:next w:val="Standaard"/>
    <w:link w:val="TitelChar"/>
    <w:uiPriority w:val="10"/>
    <w:qFormat/>
    <w:rsid w:val="00AF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098"/>
    <w:rPr>
      <w:i/>
      <w:iCs/>
      <w:color w:val="404040" w:themeColor="text1" w:themeTint="BF"/>
    </w:rPr>
  </w:style>
  <w:style w:type="paragraph" w:styleId="Lijstalinea">
    <w:name w:val="List Paragraph"/>
    <w:basedOn w:val="Standaard"/>
    <w:uiPriority w:val="34"/>
    <w:qFormat/>
    <w:rsid w:val="00AF7098"/>
    <w:pPr>
      <w:ind w:left="720"/>
      <w:contextualSpacing/>
    </w:pPr>
  </w:style>
  <w:style w:type="character" w:styleId="Intensievebenadrukking">
    <w:name w:val="Intense Emphasis"/>
    <w:basedOn w:val="Standaardalinea-lettertype"/>
    <w:uiPriority w:val="21"/>
    <w:qFormat/>
    <w:rsid w:val="00AF7098"/>
    <w:rPr>
      <w:i/>
      <w:iCs/>
      <w:color w:val="2F5496" w:themeColor="accent1" w:themeShade="BF"/>
    </w:rPr>
  </w:style>
  <w:style w:type="paragraph" w:styleId="Duidelijkcitaat">
    <w:name w:val="Intense Quote"/>
    <w:basedOn w:val="Standaard"/>
    <w:next w:val="Standaard"/>
    <w:link w:val="DuidelijkcitaatChar"/>
    <w:uiPriority w:val="30"/>
    <w:qFormat/>
    <w:rsid w:val="00AF7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7098"/>
    <w:rPr>
      <w:i/>
      <w:iCs/>
      <w:color w:val="2F5496" w:themeColor="accent1" w:themeShade="BF"/>
    </w:rPr>
  </w:style>
  <w:style w:type="character" w:styleId="Intensieveverwijzing">
    <w:name w:val="Intense Reference"/>
    <w:basedOn w:val="Standaardalinea-lettertype"/>
    <w:uiPriority w:val="32"/>
    <w:qFormat/>
    <w:rsid w:val="00AF7098"/>
    <w:rPr>
      <w:b/>
      <w:bCs/>
      <w:smallCaps/>
      <w:color w:val="2F5496" w:themeColor="accent1" w:themeShade="BF"/>
      <w:spacing w:val="5"/>
    </w:rPr>
  </w:style>
  <w:style w:type="paragraph" w:styleId="Voetnoottekst">
    <w:name w:val="footnote text"/>
    <w:basedOn w:val="Standaard"/>
    <w:link w:val="VoetnoottekstChar"/>
    <w:semiHidden/>
    <w:rsid w:val="00AF709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F709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F70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F70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F70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F709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AF7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1339</ap:Words>
  <ap:Characters>7365</ap:Characters>
  <ap:DocSecurity>0</ap:DocSecurity>
  <ap:Lines>61</ap:Lines>
  <ap:Paragraphs>17</ap:Paragraphs>
  <ap:ScaleCrop>false</ap:ScaleCrop>
  <ap:LinksUpToDate>false</ap:LinksUpToDate>
  <ap:CharactersWithSpaces>8687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2025-04-16T13:40:00.0000000Z</dcterms:created>
  <dcterms:modified xsi:type="dcterms:W3CDTF">2025-04-16T13:41:00.0000000Z</dcterms:modified>
  <version/>
  <category/>
</coreProperties>
</file>