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2025Z07629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april 2025)</w:t>
        <w:br/>
      </w:r>
    </w:p>
    <w:p>
      <w:r>
        <w:t xml:space="preserve">Vragen van de leden Omtzigt en Postma (beiden Nieuw Sociaal Contract) aan de minister van Economische Zaken over het artikel ‘ACM nagelt elf dure energieleveranciers aan de schandpaal’ </w:t>
      </w:r>
      <w:r>
        <w:br/>
      </w:r>
    </w:p>
    <w:p>
      <w:r>
        <w:t xml:space="preserve">1. Bent u bekend met de berichtgeving in De Telegraaf van 9 april 2025 over het feit dat elf energieleveranciers volgens de ACM (Autoriteit Consument en Markt) structureel aanzienlijk hogere tarieven rekenen dan andere aanbieders, en dat overstappen consumenten tot wel €900 per jaar kan schelen​? 1)</w:t>
      </w:r>
      <w:r>
        <w:br/>
      </w:r>
    </w:p>
    <w:p>
      <w:r>
        <w:t xml:space="preserve">2. Klopt het dat deze aanbieders ondanks een verplicht modelcontract met een variabel tarief, systematisch fors duurder zijn dan andere aanbieders met exact dezelfde levering en vergelijkbare inkoopkosten?</w:t>
      </w:r>
      <w:r>
        <w:br/>
      </w:r>
    </w:p>
    <w:p>
      <w:r>
        <w:t xml:space="preserve">3. Kunt u uitsluiten dat hier sprake is van misbruik van marktmacht of informatie-asymmetrie ten nadele van consumenten?</w:t>
      </w:r>
      <w:r>
        <w:br/>
      </w:r>
    </w:p>
    <w:p>
      <w:r>
        <w:t xml:space="preserve">4. Hoe verklaart u dat consumenten blijkbaar geen effectieve bescherming hebben tegen zulke prijsverschillen, zelfs binnen modelcontracten die juist bedoeld zijn als ‘basiscontract’?</w:t>
      </w:r>
      <w:r>
        <w:br/>
      </w:r>
    </w:p>
    <w:p>
      <w:r>
        <w:t xml:space="preserve">5. Acht u het wenselijk dat dergelijke prijsverschillen tussen modelcontracten van leveranciers überhaupt mogelijk zijn? Acht u aanvullende regulering van modelcontracten nodig?</w:t>
      </w:r>
      <w:r>
        <w:br/>
      </w:r>
    </w:p>
    <w:p>
      <w:r>
        <w:t xml:space="preserve">6. Herkent u het beeld dat in energiecontracten, net als in internetabonnementen en bankproducten, prijsvergelijking door consumenten bemoeilijkt wordt door complexe voorwaarden, verborgen kosten en ondoorzichtige prijspagina’s?</w:t>
      </w:r>
      <w:r>
        <w:br/>
      </w:r>
    </w:p>
    <w:p>
      <w:r>
        <w:t xml:space="preserve">7. Deelt u de analyse uit de initiatiefnota 'Minder inflatie, meer bestaanszekerheid' dat disfunctionele markten, een gebrek aan transparantie en onvoldoende concurrentie leiden tot structureel hogere prijzen voor essentiële diensten zoals energie? 2)</w:t>
      </w:r>
      <w:r>
        <w:br/>
      </w:r>
    </w:p>
    <w:p>
      <w:r>
        <w:t xml:space="preserve">8. Waarom zijn energieleveranciers op dit moment niet verplicht om hun prijsopbouw en gemiddelde marges per contractvorm transparant te publiceren in een gestandaardiseerd format, zoals in de initiatiefnota wordt voorgesteld?</w:t>
      </w:r>
      <w:r>
        <w:br/>
      </w:r>
    </w:p>
    <w:p>
      <w:r>
        <w:t xml:space="preserve">9. Bent u bereid om alsnog over te gaan tot een wettelijke verplichting tot periodieke transparantie over prijsopbouw en marges voor energieleveranciers, vergelijkbaar met het voorstel uit de initiatiefnota (beslispunt 4)?</w:t>
      </w:r>
      <w:r>
        <w:br/>
      </w:r>
    </w:p>
    <w:p>
      <w:r>
        <w:t xml:space="preserve">10. Wat doet de ACM momenteel met de constateringen over deze dure leveranciers? Wordt hierop gehandhaafd, en zo ja, op welke wijze?</w:t>
      </w:r>
      <w:r>
        <w:br/>
      </w:r>
    </w:p>
    <w:p>
      <w:r>
        <w:t xml:space="preserve">11. Bent u bereid een maximale marge of prijsplafond te overwegen voor modelcontracten in de energiemarkt, gezien het gebrek aan transparantie en het maatschappelijke belang van toegang tot betaalbare energie?</w:t>
      </w:r>
      <w:r>
        <w:br/>
      </w:r>
    </w:p>
    <w:p>
      <w:r>
        <w:t xml:space="preserve">12. Bent u voornemens om structureel maandelijks een overzicht te publiceren van deze prijsverschillen, niet alleen ter vergelijking, maar met vermelding van gemiddelde marges en beleidsaanbevelingen? Zo nee, waarom niet?</w:t>
      </w:r>
      <w:r>
        <w:br/>
      </w:r>
    </w:p>
    <w:p>
      <w:r>
        <w:t xml:space="preserve">1) Telegraaf, 9 april 2025, (ACM nagelt elf dure energieleveranciers aan de schandpaal: ’Overstappen kan wel €900 schelen’ | Geld | Telegraaf.nl)</w:t>
      </w:r>
      <w:r>
        <w:br/>
      </w:r>
    </w:p>
    <w:p>
      <w:r>
        <w:t xml:space="preserve">2) Kamerstuk 63 720, nr. 2, Initiatiefnota van de leden Omtzigt, Van Vroonhoven, Wilders en Tony van Dijck over minder inflatie, meer bestaanszekerheid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680">
    <w:abstractNumId w:val="100475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