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2596" w:rsidR="00D22596" w:rsidP="00D22596" w:rsidRDefault="00D22596" w14:paraId="13F1B58D" w14:textId="77777777">
      <w:pPr>
        <w:ind w:left="708" w:firstLine="708"/>
        <w:rPr>
          <w:rFonts w:ascii="Times New Roman" w:hAnsi="Times New Roman" w:cs="Times New Roman"/>
          <w:b/>
          <w:bCs/>
          <w:color w:val="000000"/>
          <w:sz w:val="24"/>
          <w:szCs w:val="24"/>
        </w:rPr>
      </w:pPr>
    </w:p>
    <w:p w:rsidRPr="00D22596" w:rsidR="00D22596" w:rsidP="00D22596" w:rsidRDefault="00D22596" w14:paraId="3ACEA61C" w14:textId="77777777">
      <w:pPr>
        <w:ind w:left="708" w:firstLine="708"/>
        <w:rPr>
          <w:rFonts w:ascii="Times New Roman" w:hAnsi="Times New Roman" w:cs="Times New Roman"/>
          <w:b/>
          <w:bCs/>
          <w:color w:val="000000"/>
          <w:sz w:val="24"/>
          <w:szCs w:val="24"/>
        </w:rPr>
      </w:pPr>
    </w:p>
    <w:p w:rsidRPr="00C67B8E" w:rsidR="00D22596" w:rsidRDefault="00D22596" w14:paraId="094D0BBA" w14:textId="774E170B">
      <w:r>
        <w:rPr>
          <w:rFonts w:ascii="Times New Roman" w:hAnsi="Times New Roman" w:cs="Times New Roman"/>
          <w:b/>
          <w:bCs/>
          <w:color w:val="000000"/>
          <w:sz w:val="24"/>
          <w:szCs w:val="24"/>
        </w:rPr>
        <w:t>34153</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D22596">
        <w:rPr>
          <w:rFonts w:ascii="Times New Roman" w:hAnsi="Times New Roman" w:cs="Times New Roman"/>
          <w:b/>
          <w:bCs/>
          <w:sz w:val="24"/>
          <w:szCs w:val="24"/>
        </w:rPr>
        <w:t>Aanbeveling voor leden van de Algemene Rekenkamer</w:t>
      </w:r>
    </w:p>
    <w:p w:rsidR="00D22596" w:rsidP="00D22596" w:rsidRDefault="00D22596" w14:paraId="5864EEB1" w14:textId="6BC78DD9">
      <w:pPr>
        <w:ind w:left="708" w:firstLine="708"/>
        <w:rPr>
          <w:rFonts w:ascii="Times New Roman" w:hAnsi="Times New Roman" w:cs="Times New Roman"/>
          <w:b/>
          <w:bCs/>
          <w:color w:val="000000"/>
          <w:sz w:val="24"/>
          <w:szCs w:val="24"/>
        </w:rPr>
      </w:pPr>
    </w:p>
    <w:p w:rsidRPr="00D22596" w:rsidR="00D22596" w:rsidP="00D22596" w:rsidRDefault="00D22596" w14:paraId="24C74961" w14:textId="6097207C">
      <w:pPr>
        <w:rPr>
          <w:rFonts w:ascii="Times New Roman" w:hAnsi="Times New Roman" w:cs="Times New Roman"/>
          <w:b/>
          <w:bCs/>
          <w:color w:val="000000"/>
          <w:sz w:val="24"/>
          <w:szCs w:val="24"/>
        </w:rPr>
      </w:pPr>
      <w:r>
        <w:rPr>
          <w:rFonts w:ascii="Times New Roman" w:hAnsi="Times New Roman" w:cs="Times New Roman"/>
          <w:b/>
          <w:bCs/>
          <w:color w:val="000000"/>
          <w:sz w:val="24"/>
          <w:szCs w:val="24"/>
        </w:rPr>
        <w:t>Nr. 20</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D22596">
        <w:rPr>
          <w:rFonts w:ascii="Times New Roman" w:hAnsi="Times New Roman" w:cs="Times New Roman"/>
          <w:b/>
          <w:bCs/>
          <w:color w:val="000000"/>
          <w:sz w:val="24"/>
          <w:szCs w:val="24"/>
        </w:rPr>
        <w:t>BRIEF VAN DE COMMISSIE VOOR DE RIJKSUITGAVEN</w:t>
      </w:r>
    </w:p>
    <w:p w:rsidRPr="00D22596" w:rsidR="00D22596" w:rsidP="00D22596" w:rsidRDefault="00D22596" w14:paraId="0C56D37A" w14:textId="77777777">
      <w:pPr>
        <w:rPr>
          <w:rFonts w:ascii="Times New Roman" w:hAnsi="Times New Roman" w:cs="Times New Roman"/>
          <w:b/>
          <w:bCs/>
          <w:color w:val="000000"/>
          <w:sz w:val="24"/>
          <w:szCs w:val="24"/>
        </w:rPr>
      </w:pPr>
    </w:p>
    <w:p w:rsidRPr="00D22596" w:rsidR="00D22596" w:rsidP="00D22596" w:rsidRDefault="00D22596" w14:paraId="79FB9C80" w14:textId="77777777">
      <w:pPr>
        <w:rPr>
          <w:rFonts w:ascii="Times New Roman" w:hAnsi="Times New Roman" w:cs="Times New Roman"/>
          <w:color w:val="000000"/>
          <w:sz w:val="24"/>
          <w:szCs w:val="24"/>
        </w:rPr>
      </w:pPr>
      <w:r w:rsidRPr="00D22596">
        <w:rPr>
          <w:rFonts w:ascii="Times New Roman" w:hAnsi="Times New Roman" w:cs="Times New Roman"/>
          <w:color w:val="000000"/>
          <w:sz w:val="24"/>
          <w:szCs w:val="24"/>
        </w:rPr>
        <w:t xml:space="preserve">Aan de Voorzitter van de Tweede Kamer der Staten-Generaal </w:t>
      </w:r>
    </w:p>
    <w:p w:rsidRPr="00D22596" w:rsidR="00D22596" w:rsidP="00D22596" w:rsidRDefault="00D22596" w14:paraId="44AFC8A5" w14:textId="77777777">
      <w:pPr>
        <w:rPr>
          <w:rFonts w:ascii="Times New Roman" w:hAnsi="Times New Roman" w:cs="Times New Roman"/>
          <w:color w:val="000000"/>
          <w:sz w:val="24"/>
          <w:szCs w:val="24"/>
        </w:rPr>
      </w:pPr>
    </w:p>
    <w:p w:rsidRPr="00D22596" w:rsidR="00D22596" w:rsidP="00D22596" w:rsidRDefault="00D22596" w14:paraId="26B13C62" w14:textId="77777777">
      <w:pPr>
        <w:rPr>
          <w:rFonts w:ascii="Times New Roman" w:hAnsi="Times New Roman" w:cs="Times New Roman"/>
          <w:color w:val="000000"/>
          <w:sz w:val="24"/>
          <w:szCs w:val="24"/>
        </w:rPr>
      </w:pPr>
      <w:r w:rsidRPr="00D22596">
        <w:rPr>
          <w:rFonts w:ascii="Times New Roman" w:hAnsi="Times New Roman" w:cs="Times New Roman"/>
          <w:color w:val="000000"/>
          <w:sz w:val="24"/>
          <w:szCs w:val="24"/>
        </w:rPr>
        <w:t>Den Haag, 17 april 2025</w:t>
      </w:r>
    </w:p>
    <w:p w:rsidRPr="00D22596" w:rsidR="00D22596" w:rsidP="00D22596" w:rsidRDefault="00D22596" w14:paraId="7866384A" w14:textId="77777777">
      <w:pPr>
        <w:rPr>
          <w:rFonts w:ascii="Times New Roman" w:hAnsi="Times New Roman" w:cs="Times New Roman"/>
          <w:color w:val="000000"/>
          <w:sz w:val="24"/>
          <w:szCs w:val="24"/>
        </w:rPr>
      </w:pPr>
    </w:p>
    <w:p w:rsidRPr="00D22596" w:rsidR="00D22596" w:rsidP="00D22596" w:rsidRDefault="00D22596" w14:paraId="048A7409" w14:textId="77777777">
      <w:pPr>
        <w:spacing w:line="283" w:lineRule="exact"/>
        <w:rPr>
          <w:rFonts w:ascii="Times New Roman" w:hAnsi="Times New Roman" w:cs="Times New Roman"/>
          <w:color w:val="000000"/>
          <w:sz w:val="24"/>
          <w:szCs w:val="24"/>
        </w:rPr>
      </w:pPr>
      <w:r w:rsidRPr="00D22596">
        <w:rPr>
          <w:rFonts w:ascii="Times New Roman" w:hAnsi="Times New Roman" w:cs="Times New Roman"/>
          <w:color w:val="000000"/>
          <w:sz w:val="24"/>
          <w:szCs w:val="24"/>
        </w:rPr>
        <w:t>De commissie voor de Rijkuitgaven legt de Tweede Kamer hierbij een voorstel voor om te komen tot een herziening van de benoemingsprocedure voor leden van de Algemene Rekenkamer en adviseert de Kamer om hiermee in te stemmen. De voorgestelde herziening betreft het openbare karakter van de door de Kamer vast te stellen voordracht van drie personen voor benoeming in een vacature.</w:t>
      </w:r>
    </w:p>
    <w:p w:rsidRPr="00D22596" w:rsidR="00D22596" w:rsidP="00D22596" w:rsidRDefault="00D22596" w14:paraId="4E922834" w14:textId="77777777">
      <w:pPr>
        <w:spacing w:line="283" w:lineRule="exact"/>
        <w:rPr>
          <w:rFonts w:ascii="Times New Roman" w:hAnsi="Times New Roman" w:cs="Times New Roman"/>
          <w:color w:val="000000"/>
          <w:sz w:val="24"/>
          <w:szCs w:val="24"/>
        </w:rPr>
      </w:pPr>
    </w:p>
    <w:p w:rsidRPr="00D22596" w:rsidR="00D22596" w:rsidP="00D22596" w:rsidRDefault="00D22596" w14:paraId="581D2FCD" w14:textId="77777777">
      <w:pPr>
        <w:rPr>
          <w:rFonts w:ascii="Times New Roman" w:hAnsi="Times New Roman" w:cs="Times New Roman"/>
          <w:sz w:val="24"/>
          <w:szCs w:val="24"/>
        </w:rPr>
      </w:pPr>
      <w:r w:rsidRPr="00D22596">
        <w:rPr>
          <w:rFonts w:ascii="Times New Roman" w:hAnsi="Times New Roman" w:cs="Times New Roman"/>
          <w:sz w:val="24"/>
          <w:szCs w:val="24"/>
        </w:rPr>
        <w:t xml:space="preserve">Op grond van artikel 77 van de Grondwet worden de leden van de Algemene Rekenkamer bij koninklijk besluit benoemd uit een voordracht van drie personen, opgemaakt door de Tweede Kamer der Staten-Generaal. Deze voordracht is, hoewel dat niet expliciet is bepaald, openbaar. Nadere regels voor de benoemingsprocedure zijn opgenomen in artikel 7.1 van de Comptabiliteitswet 2016. Ten behoeve van het opmaken van een voordracht van drie personen ontvangt de Tweede Kamer van de Algemene Rekenkamer een aanbevelingslijst met ten minste vier kandidaten. Een aanbevelingslijst van de Algemene Rekenkamer is tot en met de laatst voltooide benoemingsprocedure (in 2023) altijd openbaar gemaakt. </w:t>
      </w:r>
    </w:p>
    <w:p w:rsidRPr="00D22596" w:rsidR="00D22596" w:rsidP="00D22596" w:rsidRDefault="00D22596" w14:paraId="72BFAE4D" w14:textId="77777777">
      <w:pPr>
        <w:rPr>
          <w:rFonts w:ascii="Times New Roman" w:hAnsi="Times New Roman" w:cs="Times New Roman"/>
          <w:sz w:val="24"/>
          <w:szCs w:val="24"/>
        </w:rPr>
      </w:pPr>
      <w:r w:rsidRPr="00D22596">
        <w:rPr>
          <w:rFonts w:ascii="Times New Roman" w:hAnsi="Times New Roman" w:cs="Times New Roman"/>
          <w:sz w:val="24"/>
          <w:szCs w:val="24"/>
        </w:rPr>
        <w:t>De openbaarheid van de aanbevelingslijst is niet wettelijk voorgeschreven.</w:t>
      </w:r>
    </w:p>
    <w:p w:rsidRPr="00D22596" w:rsidR="00D22596" w:rsidP="00D22596" w:rsidRDefault="00D22596" w14:paraId="3E8EB037" w14:textId="77777777">
      <w:pPr>
        <w:rPr>
          <w:rFonts w:ascii="Times New Roman" w:hAnsi="Times New Roman" w:cs="Times New Roman"/>
          <w:sz w:val="24"/>
          <w:szCs w:val="24"/>
        </w:rPr>
      </w:pPr>
    </w:p>
    <w:p w:rsidRPr="00D22596" w:rsidR="00D22596" w:rsidP="00D22596" w:rsidRDefault="00D22596" w14:paraId="030B0BB8" w14:textId="77777777">
      <w:pPr>
        <w:rPr>
          <w:rFonts w:ascii="Times New Roman" w:hAnsi="Times New Roman" w:cs="Times New Roman"/>
          <w:sz w:val="24"/>
          <w:szCs w:val="24"/>
        </w:rPr>
      </w:pPr>
      <w:r w:rsidRPr="00D22596">
        <w:rPr>
          <w:rFonts w:ascii="Times New Roman" w:hAnsi="Times New Roman" w:cs="Times New Roman"/>
          <w:sz w:val="24"/>
          <w:szCs w:val="24"/>
        </w:rPr>
        <w:t xml:space="preserve">Deze openbare benoemingsprocedure heeft op een deel van de kandidaten een afschrikkende werking. Dat is, leert de praktijk van de Algemene Rekenkamer, een verarming geweest. </w:t>
      </w:r>
    </w:p>
    <w:p w:rsidRPr="00D22596" w:rsidR="00D22596" w:rsidP="00D22596" w:rsidRDefault="00D22596" w14:paraId="59CD4E3C" w14:textId="77777777">
      <w:pPr>
        <w:rPr>
          <w:rFonts w:ascii="Times New Roman" w:hAnsi="Times New Roman" w:cs="Times New Roman"/>
          <w:sz w:val="24"/>
          <w:szCs w:val="24"/>
        </w:rPr>
      </w:pPr>
      <w:r w:rsidRPr="00D22596">
        <w:rPr>
          <w:rFonts w:ascii="Times New Roman" w:hAnsi="Times New Roman" w:cs="Times New Roman"/>
          <w:sz w:val="24"/>
          <w:szCs w:val="24"/>
        </w:rPr>
        <w:t xml:space="preserve">Op </w:t>
      </w:r>
      <w:r w:rsidRPr="00D22596">
        <w:rPr>
          <w:rFonts w:ascii="Times New Roman" w:hAnsi="Times New Roman" w:cs="Times New Roman" w:eastAsiaTheme="majorEastAsia"/>
          <w:sz w:val="24"/>
          <w:szCs w:val="24"/>
        </w:rPr>
        <w:t>verzoek</w:t>
      </w:r>
      <w:r w:rsidRPr="00D22596">
        <w:rPr>
          <w:rFonts w:ascii="Times New Roman" w:hAnsi="Times New Roman" w:cs="Times New Roman"/>
          <w:sz w:val="24"/>
          <w:szCs w:val="24"/>
        </w:rPr>
        <w:t xml:space="preserve"> van de Kamer heeft de Raad van State op 11 december 2024 een voorlichting </w:t>
      </w:r>
      <w:r w:rsidRPr="00D22596">
        <w:rPr>
          <w:rFonts w:ascii="Times New Roman" w:hAnsi="Times New Roman" w:cs="Times New Roman" w:eastAsiaTheme="majorEastAsia"/>
          <w:sz w:val="24"/>
          <w:szCs w:val="24"/>
        </w:rPr>
        <w:t>vastgesteld</w:t>
      </w:r>
      <w:r w:rsidRPr="00D22596">
        <w:rPr>
          <w:rFonts w:ascii="Times New Roman" w:hAnsi="Times New Roman" w:cs="Times New Roman"/>
          <w:sz w:val="24"/>
          <w:szCs w:val="24"/>
        </w:rPr>
        <w:t xml:space="preserve"> over de mogelijkheden die de huidige Grondwet biedt om alleen de naam van de als eerste op de voordracht geplaatste kandidaat openbaar te maken, en daarbij ook in te gaan op mogelijke alternatieven die tegemoetkomen aan de bezwaren van de huidige procedure</w:t>
      </w:r>
      <w:r w:rsidRPr="00D22596">
        <w:rPr>
          <w:rStyle w:val="Voetnootmarkering"/>
          <w:rFonts w:ascii="Times New Roman" w:hAnsi="Times New Roman" w:cs="Times New Roman"/>
          <w:sz w:val="24"/>
          <w:szCs w:val="24"/>
        </w:rPr>
        <w:footnoteReference w:id="1"/>
      </w:r>
      <w:r w:rsidRPr="00D22596">
        <w:rPr>
          <w:rFonts w:ascii="Times New Roman" w:hAnsi="Times New Roman" w:cs="Times New Roman"/>
          <w:sz w:val="24"/>
          <w:szCs w:val="24"/>
        </w:rPr>
        <w:t>.</w:t>
      </w:r>
    </w:p>
    <w:p w:rsidRPr="00D22596" w:rsidR="00D22596" w:rsidP="00D22596" w:rsidRDefault="00D22596" w14:paraId="343F3D13" w14:textId="77777777">
      <w:pPr>
        <w:rPr>
          <w:rFonts w:ascii="Times New Roman" w:hAnsi="Times New Roman" w:cs="Times New Roman"/>
          <w:sz w:val="24"/>
          <w:szCs w:val="24"/>
        </w:rPr>
      </w:pPr>
    </w:p>
    <w:p w:rsidRPr="00D22596" w:rsidR="00D22596" w:rsidP="00D22596" w:rsidRDefault="00D22596" w14:paraId="7916D43F" w14:textId="77777777">
      <w:pPr>
        <w:rPr>
          <w:rFonts w:ascii="Times New Roman" w:hAnsi="Times New Roman" w:cs="Times New Roman"/>
          <w:sz w:val="24"/>
          <w:szCs w:val="24"/>
        </w:rPr>
      </w:pPr>
      <w:r w:rsidRPr="00D22596">
        <w:rPr>
          <w:rFonts w:ascii="Times New Roman" w:hAnsi="Times New Roman" w:cs="Times New Roman"/>
          <w:sz w:val="24"/>
          <w:szCs w:val="24"/>
        </w:rPr>
        <w:t xml:space="preserve">Conform de mogelijkheden die de Raad van State schetst, adviseert de commissie de benoemingsprocedure zo in te richten dat in het vervolg op de openbare voordracht van de </w:t>
      </w:r>
      <w:r w:rsidRPr="00D22596">
        <w:rPr>
          <w:rFonts w:ascii="Times New Roman" w:hAnsi="Times New Roman" w:cs="Times New Roman"/>
          <w:sz w:val="24"/>
          <w:szCs w:val="24"/>
        </w:rPr>
        <w:lastRenderedPageBreak/>
        <w:t xml:space="preserve">Tweede Kamer aan de regering in principe uitsluitend de naam van de </w:t>
      </w:r>
      <w:proofErr w:type="spellStart"/>
      <w:r w:rsidRPr="00D22596">
        <w:rPr>
          <w:rFonts w:ascii="Times New Roman" w:hAnsi="Times New Roman" w:cs="Times New Roman"/>
          <w:sz w:val="24"/>
          <w:szCs w:val="24"/>
        </w:rPr>
        <w:t>voorkeurskandidaat</w:t>
      </w:r>
      <w:proofErr w:type="spellEnd"/>
      <w:r w:rsidRPr="00D22596">
        <w:rPr>
          <w:rFonts w:ascii="Times New Roman" w:hAnsi="Times New Roman" w:cs="Times New Roman"/>
          <w:sz w:val="24"/>
          <w:szCs w:val="24"/>
        </w:rPr>
        <w:t xml:space="preserve"> wordt opgenomen. De namen van de personen die als tweede en derde voorkeur voor benoeming worden voorgedragen, worden dan in principe niet meer openbaar gemaakt en vertrouwelijk aan de regering aangeboden.</w:t>
      </w:r>
    </w:p>
    <w:p w:rsidRPr="00D22596" w:rsidR="00D22596" w:rsidP="00D22596" w:rsidRDefault="00D22596" w14:paraId="7BD966A0" w14:textId="77777777">
      <w:pPr>
        <w:rPr>
          <w:rFonts w:ascii="Times New Roman" w:hAnsi="Times New Roman" w:cs="Times New Roman"/>
          <w:sz w:val="24"/>
          <w:szCs w:val="24"/>
        </w:rPr>
      </w:pPr>
    </w:p>
    <w:p w:rsidRPr="00D22596" w:rsidR="00D22596" w:rsidP="00D22596" w:rsidRDefault="00D22596" w14:paraId="5E42FE23" w14:textId="77777777">
      <w:pPr>
        <w:rPr>
          <w:rFonts w:ascii="Times New Roman" w:hAnsi="Times New Roman" w:cs="Times New Roman"/>
          <w:sz w:val="24"/>
          <w:szCs w:val="24"/>
        </w:rPr>
      </w:pPr>
      <w:r w:rsidRPr="00D22596">
        <w:rPr>
          <w:rFonts w:ascii="Times New Roman" w:hAnsi="Times New Roman" w:cs="Times New Roman"/>
          <w:color w:val="000000"/>
          <w:sz w:val="24"/>
          <w:szCs w:val="24"/>
        </w:rPr>
        <w:t xml:space="preserve">Teneinde dit te bewerkstelligen, stelt de commissie aan de Tweede Kamer voor om de manier waarop de ontwerpvoordracht in stemming wordt gebracht te wijzigen. Doorgaans wordt de ontwerpvoordracht van de commissie voor de Rijksuitgaven </w:t>
      </w:r>
      <w:r w:rsidRPr="00D22596">
        <w:rPr>
          <w:rFonts w:ascii="Times New Roman" w:hAnsi="Times New Roman" w:cs="Times New Roman"/>
          <w:sz w:val="24"/>
          <w:szCs w:val="24"/>
        </w:rPr>
        <w:t>conform het voorstel overgenomen zodat stemming achterwege blijft. Om de vertrouwelijkheid van de namen van de kandidaten te borgen, stelt de commissie voor om in het vervolg de namen op de ontwerpvoordracht vertrouwelijk voor alle leden ter inzage te leggen bij het Centraal Informatiepunt (CIP) in plaats van deze op te nemen op de stemmingslijst.</w:t>
      </w:r>
    </w:p>
    <w:p w:rsidRPr="00D22596" w:rsidR="00D22596" w:rsidP="00D22596" w:rsidRDefault="00D22596" w14:paraId="4B1C61DA" w14:textId="77777777">
      <w:pPr>
        <w:rPr>
          <w:rFonts w:ascii="Times New Roman" w:hAnsi="Times New Roman" w:cs="Times New Roman"/>
          <w:sz w:val="24"/>
          <w:szCs w:val="24"/>
        </w:rPr>
      </w:pPr>
      <w:bookmarkStart w:name="_Hlk195779936" w:id="0"/>
      <w:r w:rsidRPr="00D22596">
        <w:rPr>
          <w:rFonts w:ascii="Times New Roman" w:hAnsi="Times New Roman" w:cs="Times New Roman"/>
          <w:sz w:val="24"/>
          <w:szCs w:val="24"/>
        </w:rPr>
        <w:t>Het blijft mogelijk dat er op verzoek van een of meer leden tot schriftelijke stemming wordt overgegaan</w:t>
      </w:r>
      <w:bookmarkStart w:name="_Hlk195780111" w:id="1"/>
      <w:bookmarkEnd w:id="0"/>
      <w:r w:rsidRPr="00D22596">
        <w:rPr>
          <w:rFonts w:ascii="Times New Roman" w:hAnsi="Times New Roman" w:cs="Times New Roman"/>
          <w:sz w:val="24"/>
          <w:szCs w:val="24"/>
        </w:rPr>
        <w:t xml:space="preserve">. </w:t>
      </w:r>
      <w:bookmarkEnd w:id="1"/>
      <w:r w:rsidRPr="00D22596">
        <w:rPr>
          <w:rFonts w:ascii="Times New Roman" w:hAnsi="Times New Roman" w:cs="Times New Roman"/>
          <w:sz w:val="24"/>
          <w:szCs w:val="24"/>
        </w:rPr>
        <w:t>In dat geval zullen de namen op de ontwerpvoordracht openbaar worden.</w:t>
      </w:r>
    </w:p>
    <w:p w:rsidRPr="00D22596" w:rsidR="00D22596" w:rsidP="00D22596" w:rsidRDefault="00D22596" w14:paraId="1AE2B992" w14:textId="77777777">
      <w:pPr>
        <w:rPr>
          <w:rFonts w:ascii="Times New Roman" w:hAnsi="Times New Roman" w:cs="Times New Roman"/>
          <w:sz w:val="24"/>
          <w:szCs w:val="24"/>
        </w:rPr>
      </w:pPr>
    </w:p>
    <w:p w:rsidRPr="00D22596" w:rsidR="00D22596" w:rsidP="00D22596" w:rsidRDefault="00D22596" w14:paraId="06F5D38F" w14:textId="77777777">
      <w:pPr>
        <w:rPr>
          <w:rFonts w:ascii="Times New Roman" w:hAnsi="Times New Roman" w:cs="Times New Roman"/>
          <w:sz w:val="24"/>
          <w:szCs w:val="24"/>
        </w:rPr>
      </w:pPr>
      <w:r w:rsidRPr="00D22596">
        <w:rPr>
          <w:rFonts w:ascii="Times New Roman" w:hAnsi="Times New Roman" w:cs="Times New Roman"/>
          <w:sz w:val="24"/>
          <w:szCs w:val="24"/>
        </w:rPr>
        <w:t xml:space="preserve">De commissie stelt tevens voor in het vervolg ook in de openbare brief van de Voorzitter waarmee de voordracht aan de regering wordt overgebracht alleen de naam van de </w:t>
      </w:r>
      <w:proofErr w:type="spellStart"/>
      <w:r w:rsidRPr="00D22596">
        <w:rPr>
          <w:rFonts w:ascii="Times New Roman" w:hAnsi="Times New Roman" w:cs="Times New Roman"/>
          <w:sz w:val="24"/>
          <w:szCs w:val="24"/>
        </w:rPr>
        <w:t>voorkeurskandidaat</w:t>
      </w:r>
      <w:proofErr w:type="spellEnd"/>
      <w:r w:rsidRPr="00D22596">
        <w:rPr>
          <w:rFonts w:ascii="Times New Roman" w:hAnsi="Times New Roman" w:cs="Times New Roman"/>
          <w:sz w:val="24"/>
          <w:szCs w:val="24"/>
        </w:rPr>
        <w:t xml:space="preserve"> te vermelden, waarbij de namen van de personen die als tweede en derde kandidaat voor benoeming worden voorgedragen alleen in een vertrouwelijk bijlage bij die brief worden opgenomen.</w:t>
      </w:r>
    </w:p>
    <w:p w:rsidRPr="00D22596" w:rsidR="00D22596" w:rsidP="00D22596" w:rsidRDefault="00D22596" w14:paraId="1FC1CD4C" w14:textId="77777777">
      <w:pPr>
        <w:rPr>
          <w:rFonts w:ascii="Times New Roman" w:hAnsi="Times New Roman" w:cs="Times New Roman"/>
          <w:sz w:val="24"/>
          <w:szCs w:val="24"/>
        </w:rPr>
      </w:pPr>
    </w:p>
    <w:p w:rsidRPr="00D22596" w:rsidR="00D22596" w:rsidP="00D22596" w:rsidRDefault="00D22596" w14:paraId="68EDA6DC" w14:textId="77777777">
      <w:pPr>
        <w:rPr>
          <w:rFonts w:ascii="Times New Roman" w:hAnsi="Times New Roman" w:cs="Times New Roman"/>
          <w:color w:val="000000"/>
          <w:sz w:val="24"/>
          <w:szCs w:val="24"/>
        </w:rPr>
      </w:pPr>
      <w:r w:rsidRPr="00D22596">
        <w:rPr>
          <w:rFonts w:ascii="Times New Roman" w:hAnsi="Times New Roman" w:cs="Times New Roman"/>
          <w:color w:val="000000"/>
          <w:sz w:val="24"/>
          <w:szCs w:val="24"/>
        </w:rPr>
        <w:t xml:space="preserve">Namens de </w:t>
      </w:r>
      <w:r w:rsidRPr="00D22596">
        <w:rPr>
          <w:rFonts w:ascii="Times New Roman" w:hAnsi="Times New Roman" w:cs="Times New Roman"/>
          <w:sz w:val="24"/>
          <w:szCs w:val="24"/>
        </w:rPr>
        <w:t>commissie voor de Rijksuitgaven verzoek ik u deze brief ter besluitvorming aan de Kamer voor te leggen met het advies aan de Kamer om in te stemmen met de beschreven voorstellen.</w:t>
      </w:r>
    </w:p>
    <w:p w:rsidRPr="00D22596" w:rsidR="00D22596" w:rsidP="00D22596" w:rsidRDefault="00D22596" w14:paraId="0027465A" w14:textId="77777777">
      <w:pPr>
        <w:rPr>
          <w:rFonts w:ascii="Times New Roman" w:hAnsi="Times New Roman" w:cs="Times New Roman"/>
          <w:color w:val="000000"/>
          <w:sz w:val="24"/>
          <w:szCs w:val="24"/>
        </w:rPr>
      </w:pPr>
    </w:p>
    <w:p w:rsidR="00D22596" w:rsidP="00D22596" w:rsidRDefault="00D22596" w14:paraId="302379AC" w14:textId="4580BFE2">
      <w:pPr>
        <w:rPr>
          <w:rFonts w:ascii="Times New Roman" w:hAnsi="Times New Roman" w:cs="Times New Roman"/>
          <w:color w:val="000000"/>
          <w:sz w:val="24"/>
          <w:szCs w:val="24"/>
        </w:rPr>
      </w:pPr>
      <w:r w:rsidRPr="00D22596">
        <w:rPr>
          <w:rFonts w:ascii="Times New Roman" w:hAnsi="Times New Roman" w:cs="Times New Roman"/>
          <w:color w:val="000000"/>
          <w:sz w:val="24"/>
          <w:szCs w:val="24"/>
        </w:rPr>
        <w:t xml:space="preserve">De voorzitter </w:t>
      </w:r>
      <w:bookmarkStart w:name="_Hlk195783249" w:id="2"/>
      <w:r w:rsidRPr="00D22596">
        <w:rPr>
          <w:rFonts w:ascii="Times New Roman" w:hAnsi="Times New Roman" w:cs="Times New Roman"/>
          <w:color w:val="000000"/>
          <w:sz w:val="24"/>
          <w:szCs w:val="24"/>
        </w:rPr>
        <w:t>van de commissie voor de Rijksuitgaven</w:t>
      </w:r>
      <w:bookmarkEnd w:id="2"/>
      <w:r w:rsidRPr="00D22596">
        <w:rPr>
          <w:rFonts w:ascii="Times New Roman" w:hAnsi="Times New Roman" w:cs="Times New Roman"/>
          <w:color w:val="000000"/>
          <w:sz w:val="24"/>
          <w:szCs w:val="24"/>
        </w:rPr>
        <w:t>,</w:t>
      </w:r>
      <w:r>
        <w:rPr>
          <w:rFonts w:ascii="Times New Roman" w:hAnsi="Times New Roman" w:cs="Times New Roman"/>
          <w:color w:val="000000"/>
          <w:sz w:val="24"/>
          <w:szCs w:val="24"/>
        </w:rPr>
        <w:br/>
      </w:r>
      <w:r w:rsidRPr="00D22596">
        <w:rPr>
          <w:rFonts w:ascii="Times New Roman" w:hAnsi="Times New Roman" w:cs="Times New Roman"/>
          <w:color w:val="000000"/>
          <w:sz w:val="24"/>
          <w:szCs w:val="24"/>
        </w:rPr>
        <w:t>Sneller</w:t>
      </w:r>
    </w:p>
    <w:p w:rsidR="00054C3B" w:rsidP="00D22596" w:rsidRDefault="00054C3B" w14:paraId="012DA8EF" w14:textId="77777777">
      <w:pPr>
        <w:rPr>
          <w:rFonts w:ascii="Times New Roman" w:hAnsi="Times New Roman" w:cs="Times New Roman"/>
          <w:color w:val="000000"/>
          <w:sz w:val="24"/>
          <w:szCs w:val="24"/>
        </w:rPr>
      </w:pPr>
    </w:p>
    <w:p w:rsidR="00054C3B" w:rsidP="00D22596" w:rsidRDefault="00073316" w14:paraId="279EC9C1" w14:textId="6FAAD22D">
      <w:pPr>
        <w:rPr>
          <w:rFonts w:ascii="Times New Roman" w:hAnsi="Times New Roman" w:cs="Times New Roman"/>
          <w:color w:val="000000"/>
          <w:sz w:val="24"/>
          <w:szCs w:val="24"/>
        </w:rPr>
      </w:pPr>
      <w:r>
        <w:rPr>
          <w:rFonts w:ascii="Times New Roman" w:hAnsi="Times New Roman" w:cs="Times New Roman"/>
          <w:color w:val="000000"/>
          <w:sz w:val="24"/>
          <w:szCs w:val="24"/>
        </w:rPr>
        <w:t>De waarnemend griffer</w:t>
      </w:r>
      <w:r w:rsidR="00796A9C">
        <w:rPr>
          <w:rFonts w:ascii="Times New Roman" w:hAnsi="Times New Roman" w:cs="Times New Roman"/>
          <w:color w:val="000000"/>
          <w:sz w:val="24"/>
          <w:szCs w:val="24"/>
        </w:rPr>
        <w:t xml:space="preserve"> </w:t>
      </w:r>
      <w:r w:rsidRPr="00796A9C" w:rsidR="00796A9C">
        <w:rPr>
          <w:rFonts w:ascii="Times New Roman" w:hAnsi="Times New Roman" w:cs="Times New Roman"/>
          <w:color w:val="000000"/>
          <w:sz w:val="24"/>
          <w:szCs w:val="24"/>
        </w:rPr>
        <w:t>van de commissie voor de Rijksuitgaven</w:t>
      </w:r>
      <w:r w:rsidR="00796A9C">
        <w:rPr>
          <w:rFonts w:ascii="Times New Roman" w:hAnsi="Times New Roman" w:cs="Times New Roman"/>
          <w:color w:val="000000"/>
          <w:sz w:val="24"/>
          <w:szCs w:val="24"/>
        </w:rPr>
        <w:t>,</w:t>
      </w:r>
      <w:r w:rsidR="00796A9C">
        <w:rPr>
          <w:rFonts w:ascii="Times New Roman" w:hAnsi="Times New Roman" w:cs="Times New Roman"/>
          <w:color w:val="000000"/>
          <w:sz w:val="24"/>
          <w:szCs w:val="24"/>
        </w:rPr>
        <w:br/>
      </w:r>
      <w:r w:rsidRPr="00796A9C" w:rsidR="00796A9C">
        <w:rPr>
          <w:rFonts w:ascii="Times New Roman" w:hAnsi="Times New Roman" w:cs="Times New Roman"/>
          <w:color w:val="000000"/>
          <w:sz w:val="24"/>
          <w:szCs w:val="24"/>
        </w:rPr>
        <w:t>Weeber</w:t>
      </w:r>
    </w:p>
    <w:p w:rsidRPr="00D22596" w:rsidR="00796A9C" w:rsidP="00D22596" w:rsidRDefault="00796A9C" w14:paraId="05814831" w14:textId="77777777">
      <w:pPr>
        <w:rPr>
          <w:rFonts w:ascii="Times New Roman" w:hAnsi="Times New Roman" w:cs="Times New Roman"/>
          <w:color w:val="000000"/>
          <w:sz w:val="24"/>
          <w:szCs w:val="24"/>
        </w:rPr>
      </w:pPr>
    </w:p>
    <w:p w:rsidRPr="00D22596" w:rsidR="00FE0FA3" w:rsidRDefault="00FE0FA3" w14:paraId="5BFF9938" w14:textId="77777777">
      <w:pPr>
        <w:rPr>
          <w:rFonts w:ascii="Times New Roman" w:hAnsi="Times New Roman" w:cs="Times New Roman"/>
          <w:sz w:val="24"/>
          <w:szCs w:val="24"/>
        </w:rPr>
      </w:pPr>
    </w:p>
    <w:sectPr w:rsidRPr="00D22596" w:rsidR="00FE0FA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DE10" w14:textId="77777777" w:rsidR="000530E0" w:rsidRDefault="000530E0" w:rsidP="00D22596">
      <w:pPr>
        <w:spacing w:after="0" w:line="240" w:lineRule="auto"/>
      </w:pPr>
      <w:r>
        <w:separator/>
      </w:r>
    </w:p>
  </w:endnote>
  <w:endnote w:type="continuationSeparator" w:id="0">
    <w:p w14:paraId="19262029" w14:textId="77777777" w:rsidR="000530E0" w:rsidRDefault="000530E0" w:rsidP="00D2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2F20" w14:textId="77777777" w:rsidR="00D22596" w:rsidRPr="00D22596" w:rsidRDefault="00D22596" w:rsidP="00D225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B3AA" w14:textId="77777777" w:rsidR="00D22596" w:rsidRPr="00D22596" w:rsidRDefault="00D22596" w:rsidP="00D225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E73C" w14:textId="77777777" w:rsidR="00D22596" w:rsidRPr="00D22596" w:rsidRDefault="00D22596" w:rsidP="00D225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44A1" w14:textId="77777777" w:rsidR="000530E0" w:rsidRDefault="000530E0" w:rsidP="00D22596">
      <w:pPr>
        <w:spacing w:after="0" w:line="240" w:lineRule="auto"/>
      </w:pPr>
      <w:r>
        <w:separator/>
      </w:r>
    </w:p>
  </w:footnote>
  <w:footnote w:type="continuationSeparator" w:id="0">
    <w:p w14:paraId="7835A032" w14:textId="77777777" w:rsidR="000530E0" w:rsidRDefault="000530E0" w:rsidP="00D22596">
      <w:pPr>
        <w:spacing w:after="0" w:line="240" w:lineRule="auto"/>
      </w:pPr>
      <w:r>
        <w:continuationSeparator/>
      </w:r>
    </w:p>
  </w:footnote>
  <w:footnote w:id="1">
    <w:p w14:paraId="46EDF466" w14:textId="77777777" w:rsidR="00D22596" w:rsidRDefault="00D22596" w:rsidP="00D22596">
      <w:pPr>
        <w:pStyle w:val="Voetnoottekst"/>
      </w:pPr>
      <w:r>
        <w:rPr>
          <w:rStyle w:val="Voetnootmarkering"/>
        </w:rPr>
        <w:footnoteRef/>
      </w:r>
      <w:r>
        <w:t xml:space="preserve"> Kamerstuk </w:t>
      </w:r>
      <w:r w:rsidRPr="001B6B3B">
        <w:t>34</w:t>
      </w:r>
      <w:r>
        <w:t xml:space="preserve"> </w:t>
      </w:r>
      <w:r w:rsidRPr="001B6B3B">
        <w:t>153</w:t>
      </w:r>
      <w:r>
        <w:t xml:space="preserve">, nr. </w:t>
      </w:r>
      <w:r w:rsidRPr="001B6B3B">
        <w:t>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5447" w14:textId="77777777" w:rsidR="00D22596" w:rsidRPr="00D22596" w:rsidRDefault="00D22596" w:rsidP="00D225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652C" w14:textId="77777777" w:rsidR="00D22596" w:rsidRPr="00D22596" w:rsidRDefault="00D22596" w:rsidP="00D225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FB45" w14:textId="77777777" w:rsidR="00D22596" w:rsidRPr="00D22596" w:rsidRDefault="00D22596" w:rsidP="00D225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96"/>
    <w:rsid w:val="000530E0"/>
    <w:rsid w:val="00054C3B"/>
    <w:rsid w:val="00073316"/>
    <w:rsid w:val="002E3E61"/>
    <w:rsid w:val="00796A9C"/>
    <w:rsid w:val="00B5686F"/>
    <w:rsid w:val="00D2259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CA59"/>
  <w15:chartTrackingRefBased/>
  <w15:docId w15:val="{E1BB75E4-979D-493E-8D60-643F6CBE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2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2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25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25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25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25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25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25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25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25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25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25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25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25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25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25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25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2596"/>
    <w:rPr>
      <w:rFonts w:eastAsiaTheme="majorEastAsia" w:cstheme="majorBidi"/>
      <w:color w:val="272727" w:themeColor="text1" w:themeTint="D8"/>
    </w:rPr>
  </w:style>
  <w:style w:type="paragraph" w:styleId="Titel">
    <w:name w:val="Title"/>
    <w:basedOn w:val="Standaard"/>
    <w:next w:val="Standaard"/>
    <w:link w:val="TitelChar"/>
    <w:uiPriority w:val="10"/>
    <w:qFormat/>
    <w:rsid w:val="00D22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25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25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25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25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2596"/>
    <w:rPr>
      <w:i/>
      <w:iCs/>
      <w:color w:val="404040" w:themeColor="text1" w:themeTint="BF"/>
    </w:rPr>
  </w:style>
  <w:style w:type="paragraph" w:styleId="Lijstalinea">
    <w:name w:val="List Paragraph"/>
    <w:basedOn w:val="Standaard"/>
    <w:uiPriority w:val="34"/>
    <w:qFormat/>
    <w:rsid w:val="00D22596"/>
    <w:pPr>
      <w:ind w:left="720"/>
      <w:contextualSpacing/>
    </w:pPr>
  </w:style>
  <w:style w:type="character" w:styleId="Intensievebenadrukking">
    <w:name w:val="Intense Emphasis"/>
    <w:basedOn w:val="Standaardalinea-lettertype"/>
    <w:uiPriority w:val="21"/>
    <w:qFormat/>
    <w:rsid w:val="00D22596"/>
    <w:rPr>
      <w:i/>
      <w:iCs/>
      <w:color w:val="0F4761" w:themeColor="accent1" w:themeShade="BF"/>
    </w:rPr>
  </w:style>
  <w:style w:type="paragraph" w:styleId="Duidelijkcitaat">
    <w:name w:val="Intense Quote"/>
    <w:basedOn w:val="Standaard"/>
    <w:next w:val="Standaard"/>
    <w:link w:val="DuidelijkcitaatChar"/>
    <w:uiPriority w:val="30"/>
    <w:qFormat/>
    <w:rsid w:val="00D22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2596"/>
    <w:rPr>
      <w:i/>
      <w:iCs/>
      <w:color w:val="0F4761" w:themeColor="accent1" w:themeShade="BF"/>
    </w:rPr>
  </w:style>
  <w:style w:type="character" w:styleId="Intensieveverwijzing">
    <w:name w:val="Intense Reference"/>
    <w:basedOn w:val="Standaardalinea-lettertype"/>
    <w:uiPriority w:val="32"/>
    <w:qFormat/>
    <w:rsid w:val="00D2259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2259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2259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22596"/>
    <w:rPr>
      <w:vertAlign w:val="superscript"/>
    </w:rPr>
  </w:style>
  <w:style w:type="paragraph" w:styleId="Koptekst">
    <w:name w:val="header"/>
    <w:basedOn w:val="Standaard"/>
    <w:link w:val="KoptekstChar"/>
    <w:uiPriority w:val="99"/>
    <w:unhideWhenUsed/>
    <w:rsid w:val="00D225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2596"/>
  </w:style>
  <w:style w:type="paragraph" w:styleId="Voettekst">
    <w:name w:val="footer"/>
    <w:basedOn w:val="Standaard"/>
    <w:link w:val="VoettekstChar"/>
    <w:uiPriority w:val="99"/>
    <w:unhideWhenUsed/>
    <w:rsid w:val="00D225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2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583</ap:Words>
  <ap:Characters>3212</ap:Characters>
  <ap:DocSecurity>0</ap:DocSecurity>
  <ap:Lines>26</ap:Lines>
  <ap:Paragraphs>7</ap:Paragraphs>
  <ap:ScaleCrop>false</ap:ScaleCrop>
  <ap:LinksUpToDate>false</ap:LinksUpToDate>
  <ap:CharactersWithSpaces>3788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2025-04-17T09:42:00.0000000Z</dcterms:created>
  <dcterms:modified xsi:type="dcterms:W3CDTF">2025-04-17T09:54:00.0000000Z</dcterms:modified>
  <version/>
  <category/>
</coreProperties>
</file>