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2025Z07773</w:t>
        <w:br/>
      </w:r>
      <w:proofErr w:type="spellEnd"/>
    </w:p>
    <w:p>
      <w:pPr>
        <w:pStyle w:val="Normal"/>
        <w:rPr>
          <w:b w:val="1"/>
          <w:bCs w:val="1"/>
        </w:rPr>
      </w:pPr>
      <w:r w:rsidR="250AE766">
        <w:rPr>
          <w:b w:val="0"/>
          <w:bCs w:val="0"/>
        </w:rPr>
        <w:t>(ingezonden 17 april 2025)</w:t>
        <w:br/>
      </w:r>
    </w:p>
    <w:p>
      <w:r>
        <w:t xml:space="preserve">Vragen van het lid Stultiens (GroenLinks-PvdA) aan de minister van Onderwijs, Cultuur en Wetsenschap over doorgeslagen marktwerking van studentenfaciliteiten</w:t>
      </w:r>
      <w:r>
        <w:br/>
      </w:r>
    </w:p>
    <w:p>
      <w:pPr>
        <w:pStyle w:val="ListParagraph"/>
        <w:numPr>
          <w:ilvl w:val="0"/>
          <w:numId w:val="100475940"/>
        </w:numPr>
        <w:ind w:left="360"/>
      </w:pPr>
      <w:r>
        <w:t>Bent u bekend met de opvatting van de toenmalige staatssecretaris van Onderwijs, Cultuur en Wetenschap, Mark Rutte, dat het aanbieden van voorzieningen voor studenten is toegestaan indien dit een functie vervult bij het tot stand brengen van sociale binding en een goed studieklimaat en langs die weg op positieve wijze het studierendement bevordert? [1]</w:t>
      </w:r>
      <w:r>
        <w:br/>
      </w:r>
    </w:p>
    <w:p>
      <w:pPr>
        <w:pStyle w:val="ListParagraph"/>
        <w:numPr>
          <w:ilvl w:val="0"/>
          <w:numId w:val="100475940"/>
        </w:numPr>
        <w:ind w:left="360"/>
      </w:pPr>
      <w:r>
        <w:t>Erkent u dat studentenvoorzieningen zoals sportfaciliteiten en universiteitsmusea bijdragen aan het welzijn, de persoonlijke ontplooiing en de prestaties van studenten, zoals bedoeld in artikel 1.3 (lid 5) van de Wet op het hoger onderwijs en wetenschappelijk onderzoek (WHW)?</w:t>
      </w:r>
      <w:r>
        <w:br/>
      </w:r>
    </w:p>
    <w:p>
      <w:pPr>
        <w:pStyle w:val="ListParagraph"/>
        <w:numPr>
          <w:ilvl w:val="0"/>
          <w:numId w:val="100475940"/>
        </w:numPr>
        <w:ind w:left="360"/>
      </w:pPr>
      <w:r>
        <w:t>Bent u bekend met het proefschrift van R.G. Louw waarin wordt opgemerkt dat het “onzin is om sportfaciliteiten tot de private activiteiten te rekenen”? [2]</w:t>
      </w:r>
      <w:r>
        <w:br/>
      </w:r>
    </w:p>
    <w:p>
      <w:pPr>
        <w:pStyle w:val="ListParagraph"/>
        <w:numPr>
          <w:ilvl w:val="0"/>
          <w:numId w:val="100475940"/>
        </w:numPr>
        <w:ind w:left="360"/>
      </w:pPr>
      <w:r>
        <w:t>Waarom kiest u met de herziene beleidsregel “publiek-privaat” voor meer marktwerking en dwingt u onderwijsinstellingen om bijvoorbeeld sportfaciliteiten of de kantine minder toegankelijk te maken?</w:t>
      </w:r>
      <w:r>
        <w:br/>
      </w:r>
    </w:p>
    <w:p>
      <w:pPr>
        <w:pStyle w:val="ListParagraph"/>
        <w:numPr>
          <w:ilvl w:val="0"/>
          <w:numId w:val="100475940"/>
        </w:numPr>
        <w:ind w:left="360"/>
      </w:pPr>
      <w:r>
        <w:t>Kunt u een volledig overzicht geven van de sport- en cultuurcentra die door dit besluit dreigen te verdwijnen of fors duurder dreigen te worden?</w:t>
      </w:r>
      <w:r>
        <w:br/>
      </w:r>
    </w:p>
    <w:p>
      <w:pPr>
        <w:pStyle w:val="ListParagraph"/>
        <w:numPr>
          <w:ilvl w:val="0"/>
          <w:numId w:val="100475940"/>
        </w:numPr>
        <w:ind w:left="360"/>
      </w:pPr>
      <w:r>
        <w:t>Bent u bereid dit besluit te heroverwegen en daarmee Mark Rutte niet rechts in te halen?</w:t>
      </w:r>
      <w:r>
        <w:br/>
      </w:r>
    </w:p>
    <w:p>
      <w:pPr>
        <w:pStyle w:val="ListParagraph"/>
        <w:numPr>
          <w:ilvl w:val="0"/>
          <w:numId w:val="100475940"/>
        </w:numPr>
        <w:ind w:left="360"/>
      </w:pPr>
      <w:r>
        <w:t>Zo niet, wat gaat u doen om negatieve gevolgen van dit besluit te voorkomen, zoals dalende mentale gezondheid, culturele vervreemding en een afname van sociale cohesie?</w:t>
      </w:r>
      <w:r>
        <w:br/>
      </w:r>
    </w:p>
    <w:p>
      <w:pPr>
        <w:pStyle w:val="ListParagraph"/>
        <w:numPr>
          <w:ilvl w:val="0"/>
          <w:numId w:val="100475940"/>
        </w:numPr>
        <w:ind w:left="360"/>
      </w:pPr>
      <w:r>
        <w:t>Kunt u deze vragen beantwoorden voorafgaand aan het commissiedebat DUO en hoger onderwijs d.d. 23 april 2025?</w:t>
      </w:r>
      <w:r>
        <w:br/>
      </w:r>
    </w:p>
    <w:p>
      <w:r>
        <w:t xml:space="preserve"> </w:t>
      </w:r>
      <w:r>
        <w:br/>
      </w:r>
    </w:p>
    <w:p>
      <w:r>
        <w:t xml:space="preserve"> </w:t>
      </w:r>
      <w:r>
        <w:br/>
      </w:r>
    </w:p>
    <w:p>
      <w:r>
        <w:t xml:space="preserve">[1] Kamerstuk 28 248, nr 84</w:t>
      </w:r>
      <w:r>
        <w:br/>
      </w:r>
    </w:p>
    <w:p>
      <w:r>
        <w:t xml:space="preserve">[2] Louw, R.G. (2011). Het Nederlands hoger onderwijsrecht: een thematisch commentaar op de Wet op het hoger onderwijs en wetenschappelijk onderzoek (pagina 144).</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58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5850">
    <w:abstractNumId w:val="1004758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