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2025Z07776</w:t>
        <w:br/>
      </w:r>
      <w:proofErr w:type="spellEnd"/>
    </w:p>
    <w:p>
      <w:pPr>
        <w:pStyle w:val="Normal"/>
        <w:rPr>
          <w:b w:val="1"/>
          <w:bCs w:val="1"/>
        </w:rPr>
      </w:pPr>
      <w:r w:rsidR="250AE766">
        <w:rPr>
          <w:b w:val="0"/>
          <w:bCs w:val="0"/>
        </w:rPr>
        <w:t>(ingezonden 17 april 2025)</w:t>
        <w:br/>
      </w:r>
    </w:p>
    <w:p>
      <w:r>
        <w:t xml:space="preserve">Vragen van de leden Dobbe (SP) en Westerveld (GroenLinks-PvdA) aan de staatssecretaris van Volksgezondheid, Welzijn en Sport over de uitvoering van een aangenomen motie over landelijke regie pakken op de wijze van financiering van de jeugdzorg en beschikbaarheidsfinanciering de standaard maken</w:t>
      </w:r>
      <w:r>
        <w:br/>
      </w:r>
    </w:p>
    <w:p>
      <w:pPr>
        <w:pStyle w:val="ListParagraph"/>
        <w:numPr>
          <w:ilvl w:val="0"/>
          <w:numId w:val="100475970"/>
        </w:numPr>
        <w:ind w:left="360"/>
      </w:pPr>
      <w:r>
        <w:t>Hoe staat het met de uitvoering van de aangenomen motie Dobbe/Westerveld, die de regering verzocht “om landelijke regie te pakken op de wijze van financiering en om beschikbaarheidsfinanciering de standaard te maken”?1)</w:t>
      </w:r>
      <w:r>
        <w:br/>
      </w:r>
    </w:p>
    <w:p>
      <w:pPr>
        <w:pStyle w:val="ListParagraph"/>
        <w:numPr>
          <w:ilvl w:val="0"/>
          <w:numId w:val="100475970"/>
        </w:numPr>
        <w:ind w:left="360"/>
      </w:pPr>
      <w:r>
        <w:t>Hoe staat het inmiddels met het aangekondigde onderzoek naar de vraag “of het nodig is voor sommige zorgvormen beschikbaarheidsfinanciering in te stellen”?2)</w:t>
      </w:r>
      <w:r>
        <w:br/>
      </w:r>
    </w:p>
    <w:p>
      <w:pPr>
        <w:pStyle w:val="ListParagraph"/>
        <w:numPr>
          <w:ilvl w:val="0"/>
          <w:numId w:val="100475970"/>
        </w:numPr>
        <w:ind w:left="360"/>
      </w:pPr>
      <w:r>
        <w:t>Wat is uw visie op het gebruik van beschikbaarheidsfinanciering in de jeugdzorg?</w:t>
      </w:r>
      <w:r>
        <w:br/>
      </w:r>
    </w:p>
    <w:p>
      <w:pPr>
        <w:pStyle w:val="ListParagraph"/>
        <w:numPr>
          <w:ilvl w:val="0"/>
          <w:numId w:val="100475970"/>
        </w:numPr>
        <w:ind w:left="360"/>
      </w:pPr>
      <w:r>
        <w:t>Deelt u de analyse dat dit van belang is om een stabiel aanbod van residentiële jeugdzorg te organiseren, met vaste bekende begeleiders voor jongeren?</w:t>
      </w:r>
      <w:r>
        <w:br/>
      </w:r>
    </w:p>
    <w:p>
      <w:pPr>
        <w:pStyle w:val="ListParagraph"/>
        <w:numPr>
          <w:ilvl w:val="0"/>
          <w:numId w:val="100475970"/>
        </w:numPr>
        <w:ind w:left="360"/>
      </w:pPr>
      <w:r>
        <w:t>Deelt u de analyse dat beschikbaarheidsfinanciering in de jeugdzorg van belang is om het aantal doorverhuizingen in de jeugdzorg te verminderen, doordat het de mogelijkheid kan bieden om jongeren één vaste woonplek te bieden, die losstaat van behandeling en waar jongeren na eventuele behandeling weer terug kunnen keren?</w:t>
      </w:r>
      <w:r>
        <w:br/>
      </w:r>
    </w:p>
    <w:p>
      <w:r>
        <w:t xml:space="preserve"> </w:t>
      </w:r>
      <w:r>
        <w:br/>
      </w:r>
    </w:p>
    <w:p>
      <w:pPr>
        <w:pStyle w:val="ListParagraph"/>
        <w:numPr>
          <w:ilvl w:val="0"/>
          <w:numId w:val="100475971"/>
        </w:numPr>
        <w:ind w:left="360"/>
      </w:pPr>
      <w:r>
        <w:t>Kamerstuk 31 839, nr. 1003</w:t>
      </w:r>
      <w:r>
        <w:br/>
      </w:r>
    </w:p>
    <w:p>
      <w:pPr>
        <w:pStyle w:val="ListParagraph"/>
        <w:numPr>
          <w:ilvl w:val="0"/>
          <w:numId w:val="100475971"/>
        </w:numPr>
        <w:ind w:left="360"/>
      </w:pPr>
      <w:r>
        <w:t>Kamerstuk 31 839, nr. 1024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