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4717" w:rsidP="00004717" w:rsidRDefault="00004717" w14:paraId="1F1F7D9F" w14:textId="77777777">
      <w:pPr>
        <w:rPr>
          <w:b/>
          <w:bCs/>
          <w:lang w:val="nl-NL"/>
        </w:rPr>
      </w:pPr>
      <w:r>
        <w:rPr>
          <w:b/>
          <w:bCs/>
          <w:lang w:val="nl-NL"/>
        </w:rPr>
        <w:t>TOETSINGSKADER RISICOREGELINGEN RIJKSOVERHEID</w:t>
      </w:r>
    </w:p>
    <w:p w:rsidR="00004717" w:rsidP="00004717" w:rsidRDefault="00004717" w14:paraId="16230598" w14:textId="77777777">
      <w:pPr>
        <w:rPr>
          <w:b/>
          <w:bCs/>
          <w:u w:val="single"/>
          <w:lang w:val="nl-NL"/>
        </w:rPr>
      </w:pPr>
      <w:r>
        <w:rPr>
          <w:b/>
          <w:bCs/>
          <w:u w:val="single"/>
          <w:lang w:val="nl-NL"/>
        </w:rPr>
        <w:t>Probleemstelling en rol overheid</w:t>
      </w:r>
    </w:p>
    <w:p w:rsidR="00004717" w:rsidP="00004717" w:rsidRDefault="00004717" w14:paraId="589A60F9" w14:textId="0583C647">
      <w:pPr>
        <w:pStyle w:val="Lijstalinea"/>
        <w:numPr>
          <w:ilvl w:val="0"/>
          <w:numId w:val="4"/>
        </w:numPr>
        <w:spacing w:line="256" w:lineRule="auto"/>
        <w:rPr>
          <w:i/>
          <w:iCs/>
          <w:lang w:val="nl-NL"/>
        </w:rPr>
      </w:pPr>
      <w:r>
        <w:rPr>
          <w:i/>
          <w:iCs/>
          <w:lang w:val="nl-NL"/>
        </w:rPr>
        <w:t>Wa</w:t>
      </w:r>
      <w:r w:rsidR="00DE32E9">
        <w:rPr>
          <w:i/>
          <w:iCs/>
          <w:lang w:val="nl-NL"/>
        </w:rPr>
        <w:t>t</w:t>
      </w:r>
      <w:r>
        <w:rPr>
          <w:i/>
          <w:iCs/>
          <w:lang w:val="nl-NL"/>
        </w:rPr>
        <w:t xml:space="preserve"> is het probleem dat de aanleiding is voor het beleidsvoorstel? </w:t>
      </w:r>
    </w:p>
    <w:p w:rsidR="00004717" w:rsidP="00004717" w:rsidRDefault="00004717" w14:paraId="3587189C" w14:textId="77777777">
      <w:pPr>
        <w:pStyle w:val="Lijstalinea"/>
        <w:ind w:left="360"/>
        <w:rPr>
          <w:lang w:val="nl-NL"/>
        </w:rPr>
      </w:pPr>
    </w:p>
    <w:p w:rsidR="00004717" w:rsidP="00004717" w:rsidRDefault="00004717" w14:paraId="1AC7DE95" w14:textId="729DDDC0">
      <w:pPr>
        <w:pStyle w:val="Lijstalinea"/>
        <w:ind w:left="360"/>
        <w:rPr>
          <w:lang w:val="nl-NL"/>
        </w:rPr>
      </w:pPr>
      <w:r w:rsidRPr="00EC5F54">
        <w:rPr>
          <w:lang w:val="nl-NL"/>
        </w:rPr>
        <w:t>Investeringen in</w:t>
      </w:r>
      <w:r>
        <w:rPr>
          <w:lang w:val="nl-NL"/>
        </w:rPr>
        <w:t xml:space="preserve"> de</w:t>
      </w:r>
      <w:r w:rsidRPr="00EC5F54">
        <w:rPr>
          <w:lang w:val="nl-NL"/>
        </w:rPr>
        <w:t xml:space="preserve"> energie-infrastructuur zijn cruciaal voor</w:t>
      </w:r>
      <w:r>
        <w:rPr>
          <w:lang w:val="nl-NL"/>
        </w:rPr>
        <w:t xml:space="preserve"> onze economie en</w:t>
      </w:r>
      <w:r w:rsidRPr="00EC5F54">
        <w:rPr>
          <w:lang w:val="nl-NL"/>
        </w:rPr>
        <w:t xml:space="preserve"> het slagen van de energietransitie. De manier waarop we energie produceren verandert. Zo bouwt Nederland bijvoorbeeld steeds meer windparken op zee en heeft het kabinet in het Hoofdlijnenakkoord zijn ambitie ten aanzien van nieuwe kerncentrales geformuleerd. Ook de vraag naar energie verandert. Dit blijkt onder andere uit het grote aantal nieuwe aansluit</w:t>
      </w:r>
      <w:r w:rsidR="00822A4A">
        <w:rPr>
          <w:lang w:val="nl-NL"/>
        </w:rPr>
        <w:t xml:space="preserve"> en transport</w:t>
      </w:r>
      <w:r w:rsidRPr="00EC5F54">
        <w:rPr>
          <w:lang w:val="nl-NL"/>
        </w:rPr>
        <w:t xml:space="preserve">verzoeken. Deze veranderingen vergen veel van onze energie-infrastructuur. </w:t>
      </w:r>
      <w:r>
        <w:rPr>
          <w:lang w:val="nl-NL"/>
        </w:rPr>
        <w:t>Momenteel leidt dit tot netcongestie waardoor veel bedrijven</w:t>
      </w:r>
      <w:r w:rsidR="00822A4A">
        <w:rPr>
          <w:lang w:val="nl-NL"/>
        </w:rPr>
        <w:t>, maatschappelijke instellingen</w:t>
      </w:r>
      <w:r>
        <w:rPr>
          <w:lang w:val="nl-NL"/>
        </w:rPr>
        <w:t xml:space="preserve"> en sommige woonwijken moeten wachten op een elektriciteitsaansluiting</w:t>
      </w:r>
      <w:r w:rsidR="00822A4A">
        <w:rPr>
          <w:lang w:val="nl-NL"/>
        </w:rPr>
        <w:t xml:space="preserve"> of verzwaring van hun aansluiting</w:t>
      </w:r>
      <w:r>
        <w:rPr>
          <w:lang w:val="nl-NL"/>
        </w:rPr>
        <w:t xml:space="preserve">. Daarom voert </w:t>
      </w:r>
      <w:r w:rsidRPr="00EC5F54">
        <w:rPr>
          <w:lang w:val="nl-NL"/>
        </w:rPr>
        <w:t>TenneT</w:t>
      </w:r>
      <w:r>
        <w:rPr>
          <w:lang w:val="nl-NL"/>
        </w:rPr>
        <w:t xml:space="preserve"> Nederland (vanaf nu: TenneT</w:t>
      </w:r>
      <w:r w:rsidR="00965799">
        <w:rPr>
          <w:lang w:val="nl-NL"/>
        </w:rPr>
        <w:t xml:space="preserve"> NL</w:t>
      </w:r>
      <w:r>
        <w:rPr>
          <w:lang w:val="nl-NL"/>
        </w:rPr>
        <w:t>)</w:t>
      </w:r>
      <w:r w:rsidRPr="00EC5F54">
        <w:rPr>
          <w:lang w:val="nl-NL"/>
        </w:rPr>
        <w:t xml:space="preserve"> </w:t>
      </w:r>
      <w:r>
        <w:rPr>
          <w:lang w:val="nl-NL"/>
        </w:rPr>
        <w:t xml:space="preserve">een </w:t>
      </w:r>
      <w:r w:rsidRPr="00EC5F54">
        <w:rPr>
          <w:lang w:val="nl-NL"/>
        </w:rPr>
        <w:t>groot investeringsprogramma uit.</w:t>
      </w:r>
      <w:r>
        <w:rPr>
          <w:lang w:val="nl-NL"/>
        </w:rPr>
        <w:t xml:space="preserve"> D</w:t>
      </w:r>
      <w:r w:rsidRPr="00EC5F54">
        <w:rPr>
          <w:lang w:val="nl-NL"/>
        </w:rPr>
        <w:t xml:space="preserve">e komende 10 jaar </w:t>
      </w:r>
      <w:r>
        <w:rPr>
          <w:lang w:val="nl-NL"/>
        </w:rPr>
        <w:t xml:space="preserve">investeert TenneT </w:t>
      </w:r>
      <w:r w:rsidR="00965799">
        <w:rPr>
          <w:lang w:val="nl-NL"/>
        </w:rPr>
        <w:t xml:space="preserve">NL </w:t>
      </w:r>
      <w:r w:rsidRPr="00EC5F54">
        <w:rPr>
          <w:lang w:val="nl-NL"/>
        </w:rPr>
        <w:t>ongeveer €</w:t>
      </w:r>
      <w:r>
        <w:rPr>
          <w:lang w:val="nl-NL"/>
        </w:rPr>
        <w:t xml:space="preserve"> </w:t>
      </w:r>
      <w:r w:rsidRPr="00EC5F54">
        <w:rPr>
          <w:lang w:val="nl-NL"/>
        </w:rPr>
        <w:t>90 miljard in het Nederlandse elektriciteitsnet op land en op zee.</w:t>
      </w:r>
    </w:p>
    <w:p w:rsidR="00004717" w:rsidP="00004717" w:rsidRDefault="00004717" w14:paraId="00B2BFAB" w14:textId="77777777">
      <w:pPr>
        <w:pStyle w:val="Lijstalinea"/>
        <w:ind w:left="360"/>
        <w:rPr>
          <w:lang w:val="nl-NL"/>
        </w:rPr>
      </w:pPr>
    </w:p>
    <w:p w:rsidR="00004717" w:rsidP="00004717" w:rsidRDefault="00004717" w14:paraId="2A38FA3A" w14:textId="4DC3C782">
      <w:pPr>
        <w:pStyle w:val="Lijstalinea"/>
        <w:ind w:left="360"/>
        <w:rPr>
          <w:lang w:val="nl-NL"/>
        </w:rPr>
      </w:pPr>
      <w:r w:rsidRPr="00253734">
        <w:rPr>
          <w:lang w:val="nl-NL"/>
        </w:rPr>
        <w:t xml:space="preserve">TenneT </w:t>
      </w:r>
      <w:r w:rsidR="00965799">
        <w:rPr>
          <w:lang w:val="nl-NL"/>
        </w:rPr>
        <w:t xml:space="preserve">NL </w:t>
      </w:r>
      <w:r w:rsidRPr="00253734">
        <w:rPr>
          <w:lang w:val="nl-NL"/>
        </w:rPr>
        <w:t xml:space="preserve">opereert in een gereguleerde markt waar de </w:t>
      </w:r>
      <w:r>
        <w:rPr>
          <w:lang w:val="nl-NL"/>
        </w:rPr>
        <w:t>maximum</w:t>
      </w:r>
      <w:r w:rsidRPr="00253734">
        <w:rPr>
          <w:lang w:val="nl-NL"/>
        </w:rPr>
        <w:t xml:space="preserve">tarieven worden vastgesteld </w:t>
      </w:r>
      <w:proofErr w:type="gramStart"/>
      <w:r w:rsidRPr="00253734">
        <w:rPr>
          <w:lang w:val="nl-NL"/>
        </w:rPr>
        <w:t>door</w:t>
      </w:r>
      <w:proofErr w:type="gramEnd"/>
      <w:r w:rsidRPr="00253734">
        <w:rPr>
          <w:lang w:val="nl-NL"/>
        </w:rPr>
        <w:t xml:space="preserve"> de toezichthouder, de Autoriteit Consument en Markt. De infrastructuur waarin TenneT </w:t>
      </w:r>
      <w:r w:rsidR="00DE32E9">
        <w:rPr>
          <w:lang w:val="nl-NL"/>
        </w:rPr>
        <w:t xml:space="preserve">NL </w:t>
      </w:r>
      <w:r w:rsidRPr="00253734">
        <w:rPr>
          <w:lang w:val="nl-NL"/>
        </w:rPr>
        <w:t>investeert, heeft over het algemeen een levensduur van tientallen jaren. De door de toezichthoude</w:t>
      </w:r>
      <w:r>
        <w:rPr>
          <w:lang w:val="nl-NL"/>
        </w:rPr>
        <w:t xml:space="preserve">r </w:t>
      </w:r>
      <w:r w:rsidRPr="00253734">
        <w:rPr>
          <w:lang w:val="nl-NL"/>
        </w:rPr>
        <w:t xml:space="preserve">vastgestelde tarieven stellen TenneT </w:t>
      </w:r>
      <w:r w:rsidR="00965799">
        <w:rPr>
          <w:lang w:val="nl-NL"/>
        </w:rPr>
        <w:t xml:space="preserve">NL </w:t>
      </w:r>
      <w:r w:rsidRPr="00253734">
        <w:rPr>
          <w:lang w:val="nl-NL"/>
        </w:rPr>
        <w:t xml:space="preserve">in staat de </w:t>
      </w:r>
      <w:r w:rsidR="00822A4A">
        <w:rPr>
          <w:lang w:val="nl-NL"/>
        </w:rPr>
        <w:t xml:space="preserve">efficiënte </w:t>
      </w:r>
      <w:r w:rsidRPr="00253734">
        <w:rPr>
          <w:lang w:val="nl-NL"/>
        </w:rPr>
        <w:t xml:space="preserve">kosten van nieuwe investeringen gespreid over de levensduur van de betreffende investeringen terug te verdienen. Door de energietransitie is er nu een piek </w:t>
      </w:r>
      <w:r w:rsidR="00DE32E9">
        <w:rPr>
          <w:lang w:val="nl-NL"/>
        </w:rPr>
        <w:t>in</w:t>
      </w:r>
      <w:r w:rsidRPr="00253734" w:rsidR="00DE32E9">
        <w:rPr>
          <w:lang w:val="nl-NL"/>
        </w:rPr>
        <w:t xml:space="preserve"> </w:t>
      </w:r>
      <w:r w:rsidRPr="00253734">
        <w:rPr>
          <w:lang w:val="nl-NL"/>
        </w:rPr>
        <w:t xml:space="preserve">investeringen. Omdat TenneT </w:t>
      </w:r>
      <w:r w:rsidR="00965799">
        <w:rPr>
          <w:lang w:val="nl-NL"/>
        </w:rPr>
        <w:t xml:space="preserve">NL </w:t>
      </w:r>
      <w:r w:rsidRPr="00253734">
        <w:rPr>
          <w:lang w:val="nl-NL"/>
        </w:rPr>
        <w:t xml:space="preserve">met enige vertraging gecompenseerd wordt voor deze kosten, moet TenneT </w:t>
      </w:r>
      <w:r w:rsidR="00965799">
        <w:rPr>
          <w:lang w:val="nl-NL"/>
        </w:rPr>
        <w:t xml:space="preserve">NL </w:t>
      </w:r>
      <w:r w:rsidRPr="00253734">
        <w:rPr>
          <w:lang w:val="nl-NL"/>
        </w:rPr>
        <w:t>deze investeringen voorfinancieren.</w:t>
      </w:r>
      <w:r>
        <w:rPr>
          <w:lang w:val="nl-NL"/>
        </w:rPr>
        <w:t xml:space="preserve"> </w:t>
      </w:r>
    </w:p>
    <w:p w:rsidR="00004717" w:rsidP="00004717" w:rsidRDefault="00004717" w14:paraId="66E443F5" w14:textId="77777777">
      <w:pPr>
        <w:pStyle w:val="Lijstalinea"/>
        <w:ind w:left="360"/>
        <w:rPr>
          <w:lang w:val="nl-NL"/>
        </w:rPr>
      </w:pPr>
    </w:p>
    <w:p w:rsidR="00004717" w:rsidP="00004717" w:rsidRDefault="00004717" w14:paraId="5E0FF361" w14:textId="1717A9F4">
      <w:pPr>
        <w:pStyle w:val="Lijstalinea"/>
        <w:ind w:left="360"/>
        <w:rPr>
          <w:lang w:val="nl-NL"/>
        </w:rPr>
      </w:pPr>
      <w:r>
        <w:rPr>
          <w:lang w:val="nl-NL"/>
        </w:rPr>
        <w:t xml:space="preserve">TenneT </w:t>
      </w:r>
      <w:r w:rsidR="00965799">
        <w:rPr>
          <w:lang w:val="nl-NL"/>
        </w:rPr>
        <w:t>NL</w:t>
      </w:r>
      <w:r w:rsidR="00371F52">
        <w:rPr>
          <w:lang w:val="nl-NL"/>
        </w:rPr>
        <w:t xml:space="preserve"> </w:t>
      </w:r>
      <w:r>
        <w:rPr>
          <w:lang w:val="nl-NL"/>
        </w:rPr>
        <w:t xml:space="preserve">heeft hierdoor de komende jaren een financieringsbehoefte. </w:t>
      </w:r>
      <w:r w:rsidRPr="00253734">
        <w:rPr>
          <w:lang w:val="nl-NL"/>
        </w:rPr>
        <w:t xml:space="preserve">In beginsel </w:t>
      </w:r>
      <w:r>
        <w:rPr>
          <w:lang w:val="nl-NL"/>
        </w:rPr>
        <w:t>vult</w:t>
      </w:r>
      <w:r w:rsidRPr="00253734">
        <w:rPr>
          <w:lang w:val="nl-NL"/>
        </w:rPr>
        <w:t xml:space="preserve"> TenneT </w:t>
      </w:r>
      <w:r w:rsidR="00965799">
        <w:rPr>
          <w:lang w:val="nl-NL"/>
        </w:rPr>
        <w:t xml:space="preserve">NL </w:t>
      </w:r>
      <w:r>
        <w:rPr>
          <w:lang w:val="nl-NL"/>
        </w:rPr>
        <w:t xml:space="preserve">deze financieringsbehoefte in met </w:t>
      </w:r>
      <w:r w:rsidRPr="00253734">
        <w:rPr>
          <w:lang w:val="nl-NL"/>
        </w:rPr>
        <w:t>vreemd vermogen (schuld).</w:t>
      </w:r>
      <w:r>
        <w:rPr>
          <w:lang w:val="nl-NL"/>
        </w:rPr>
        <w:t xml:space="preserve"> </w:t>
      </w:r>
      <w:r w:rsidRPr="002D5283">
        <w:rPr>
          <w:lang w:val="nl-NL"/>
        </w:rPr>
        <w:t>O</w:t>
      </w:r>
      <w:r w:rsidRPr="00202937">
        <w:rPr>
          <w:lang w:val="nl-NL"/>
        </w:rPr>
        <w:t xml:space="preserve">m deze schuld aan te kunnen trekken heeft TenneT </w:t>
      </w:r>
      <w:r w:rsidR="00965799">
        <w:rPr>
          <w:lang w:val="nl-NL"/>
        </w:rPr>
        <w:t xml:space="preserve">NL </w:t>
      </w:r>
      <w:r w:rsidRPr="00202937">
        <w:rPr>
          <w:lang w:val="nl-NL"/>
        </w:rPr>
        <w:t xml:space="preserve">een solide kredietwaardigheid nodig. TenneT </w:t>
      </w:r>
      <w:r w:rsidR="00965799">
        <w:rPr>
          <w:lang w:val="nl-NL"/>
        </w:rPr>
        <w:t xml:space="preserve">NL </w:t>
      </w:r>
      <w:r w:rsidRPr="00202937">
        <w:rPr>
          <w:lang w:val="nl-NL"/>
        </w:rPr>
        <w:t>houdt hiervoor conform de Nota Deelnemingenbeleid Rijksoverheid 2022</w:t>
      </w:r>
      <w:r>
        <w:rPr>
          <w:rStyle w:val="Voetnootmarkering"/>
          <w:lang w:val="nl-NL"/>
        </w:rPr>
        <w:footnoteReference w:id="2"/>
      </w:r>
      <w:r w:rsidRPr="00202937">
        <w:rPr>
          <w:lang w:val="nl-NL"/>
        </w:rPr>
        <w:t xml:space="preserve"> een A-minus rating aan. De kredietbeoordelaars hanteren voor deze rating een aantal kwantitatieve criteria en financiële ratio’s. TenneT </w:t>
      </w:r>
      <w:r w:rsidR="00965799">
        <w:rPr>
          <w:lang w:val="nl-NL"/>
        </w:rPr>
        <w:t xml:space="preserve">NL </w:t>
      </w:r>
      <w:r w:rsidRPr="00202937">
        <w:rPr>
          <w:lang w:val="nl-NL"/>
        </w:rPr>
        <w:t>moet door haar grote investeringsagenda nu dusdanig veel schuld aantrekken dat extra eigen vermogen nodig is om aan de criteria voor een A-minus rating te blijven voldoen. Dit</w:t>
      </w:r>
      <w:r>
        <w:rPr>
          <w:lang w:val="nl-NL"/>
        </w:rPr>
        <w:t xml:space="preserve"> benodigde extra vermogen</w:t>
      </w:r>
      <w:r w:rsidRPr="00202937">
        <w:rPr>
          <w:lang w:val="nl-NL"/>
        </w:rPr>
        <w:t xml:space="preserve"> wordt de kapitaalbehoefte genoemd.</w:t>
      </w:r>
      <w:r>
        <w:rPr>
          <w:lang w:val="nl-NL"/>
        </w:rPr>
        <w:t xml:space="preserve"> Omdat de staat 100% aandeelhouder is en dat wil blijven, dient deze kapitaalbehoefte door de staat te worden ingevuld. Deze kapitaalstortingen zijn EMU-saldo relevant. </w:t>
      </w:r>
    </w:p>
    <w:p w:rsidR="00004717" w:rsidP="00004717" w:rsidRDefault="00004717" w14:paraId="24F8C73A" w14:textId="77777777">
      <w:pPr>
        <w:pStyle w:val="Lijstalinea"/>
        <w:ind w:left="360"/>
        <w:rPr>
          <w:lang w:val="nl-NL"/>
        </w:rPr>
      </w:pPr>
    </w:p>
    <w:p w:rsidR="00004717" w:rsidP="00004717" w:rsidRDefault="00004717" w14:paraId="76FFC0A0" w14:textId="77777777">
      <w:pPr>
        <w:pStyle w:val="Lijstalinea"/>
        <w:numPr>
          <w:ilvl w:val="0"/>
          <w:numId w:val="4"/>
        </w:numPr>
        <w:spacing w:line="256" w:lineRule="auto"/>
        <w:rPr>
          <w:i/>
          <w:iCs/>
          <w:lang w:val="nl-NL"/>
        </w:rPr>
      </w:pPr>
      <w:r>
        <w:rPr>
          <w:i/>
          <w:iCs/>
          <w:lang w:val="nl-NL"/>
        </w:rPr>
        <w:t xml:space="preserve">Waarom rekent de centrale overheid het tot haar verantwoordelijkheid om het probleem op te lossen? </w:t>
      </w:r>
    </w:p>
    <w:p w:rsidR="00004717" w:rsidP="00004717" w:rsidRDefault="00004717" w14:paraId="4C8DC20B" w14:textId="77777777">
      <w:pPr>
        <w:pStyle w:val="Lijstalinea"/>
        <w:ind w:left="360"/>
        <w:rPr>
          <w:i/>
          <w:iCs/>
          <w:lang w:val="nl-NL"/>
        </w:rPr>
      </w:pPr>
    </w:p>
    <w:p w:rsidR="00004717" w:rsidP="00004717" w:rsidRDefault="00004717" w14:paraId="755A0D04" w14:textId="48BCAEA2">
      <w:pPr>
        <w:pStyle w:val="Lijstalinea"/>
        <w:ind w:left="360"/>
        <w:rPr>
          <w:lang w:val="nl-NL"/>
        </w:rPr>
      </w:pPr>
      <w:r>
        <w:rPr>
          <w:lang w:val="nl-NL"/>
        </w:rPr>
        <w:t xml:space="preserve">Zoals hierboven beschreven zijn de investeringen van TenneT </w:t>
      </w:r>
      <w:r w:rsidR="00965799">
        <w:rPr>
          <w:lang w:val="nl-NL"/>
        </w:rPr>
        <w:t xml:space="preserve">NL </w:t>
      </w:r>
      <w:r>
        <w:rPr>
          <w:lang w:val="nl-NL"/>
        </w:rPr>
        <w:t xml:space="preserve">essentieel voor de Nederlandse economie en voor het slagen van de energietransitie. TenneT </w:t>
      </w:r>
      <w:r w:rsidR="00965799">
        <w:rPr>
          <w:lang w:val="nl-NL"/>
        </w:rPr>
        <w:t xml:space="preserve">NL </w:t>
      </w:r>
      <w:r>
        <w:rPr>
          <w:lang w:val="nl-NL"/>
        </w:rPr>
        <w:t xml:space="preserve">kan deze financiering niet </w:t>
      </w:r>
      <w:r w:rsidR="00731269">
        <w:rPr>
          <w:lang w:val="nl-NL"/>
        </w:rPr>
        <w:t xml:space="preserve">zelfstandig </w:t>
      </w:r>
      <w:r>
        <w:rPr>
          <w:lang w:val="nl-NL"/>
        </w:rPr>
        <w:t>ophalen</w:t>
      </w:r>
      <w:r w:rsidR="00DE32E9">
        <w:rPr>
          <w:lang w:val="nl-NL"/>
        </w:rPr>
        <w:t xml:space="preserve"> </w:t>
      </w:r>
      <w:r w:rsidRPr="00DE32E9" w:rsidR="00DE32E9">
        <w:rPr>
          <w:lang w:val="nl-NL"/>
        </w:rPr>
        <w:t>zonder extra kapitaalstortingen van de Nederlandse staat</w:t>
      </w:r>
      <w:r>
        <w:rPr>
          <w:lang w:val="nl-NL"/>
        </w:rPr>
        <w:t xml:space="preserve">. De Nederlandse staat is als 100% aandeelhouder verantwoordelijk voor het verschaffen van het eigen vermogen of voor andere financieringsopties om TenneT </w:t>
      </w:r>
      <w:r w:rsidR="00965799">
        <w:rPr>
          <w:lang w:val="nl-NL"/>
        </w:rPr>
        <w:t xml:space="preserve">NL </w:t>
      </w:r>
      <w:r>
        <w:rPr>
          <w:lang w:val="nl-NL"/>
        </w:rPr>
        <w:t xml:space="preserve">in staat te stellen om de benodigde schuld aan te trekken. </w:t>
      </w:r>
    </w:p>
    <w:p w:rsidR="00004717" w:rsidP="00004717" w:rsidRDefault="00004717" w14:paraId="1AB2374F" w14:textId="77777777">
      <w:pPr>
        <w:pStyle w:val="Lijstalinea"/>
        <w:ind w:left="360"/>
        <w:rPr>
          <w:lang w:val="nl-NL"/>
        </w:rPr>
      </w:pPr>
    </w:p>
    <w:p w:rsidRPr="00ED5B16" w:rsidR="00004717" w:rsidP="00EB7F94" w:rsidRDefault="00004717" w14:paraId="32CA246D" w14:textId="7EE0191D">
      <w:pPr>
        <w:pStyle w:val="Lijstalinea"/>
        <w:numPr>
          <w:ilvl w:val="0"/>
          <w:numId w:val="4"/>
        </w:numPr>
        <w:spacing w:line="256" w:lineRule="auto"/>
        <w:rPr>
          <w:i/>
          <w:iCs/>
          <w:lang w:val="nl-NL"/>
        </w:rPr>
      </w:pPr>
      <w:r>
        <w:rPr>
          <w:i/>
          <w:iCs/>
          <w:lang w:val="nl-NL"/>
        </w:rPr>
        <w:t>Is het voorstel voor de risicoregeling a) ter compensatie van risico’s die niet in de markt kunnen worden gedekt, en/of b) het beste instrument waarmee een optimale doelmatigheidswinst kan worden bewerkstelligd ten opzichte van andere beleidsinstrumenten? Maak een vergelijking met alternatieve beleidsinstrumenten.</w:t>
      </w:r>
      <w:bookmarkStart w:name="_Hlk153371238" w:id="0"/>
      <w:r w:rsidR="00ED5B16">
        <w:rPr>
          <w:i/>
          <w:iCs/>
          <w:lang w:val="nl-NL"/>
        </w:rPr>
        <w:br/>
      </w:r>
      <w:r w:rsidR="00ED5B16">
        <w:rPr>
          <w:lang w:val="nl-NL"/>
        </w:rPr>
        <w:br/>
        <w:t xml:space="preserve">Het voorstel wordt geïmplementeerd omdat er een </w:t>
      </w:r>
      <w:r w:rsidR="00822A4A">
        <w:rPr>
          <w:lang w:val="nl-NL"/>
        </w:rPr>
        <w:t xml:space="preserve">grotere </w:t>
      </w:r>
      <w:r w:rsidR="00ED5B16">
        <w:rPr>
          <w:lang w:val="nl-NL"/>
        </w:rPr>
        <w:t xml:space="preserve">doelmatigheidswinst kan worden bewerkstelligd ten opzichte van andere beleidsinstrumenten (b). </w:t>
      </w:r>
      <w:r w:rsidRPr="00ED5B16">
        <w:rPr>
          <w:lang w:val="nl-NL"/>
        </w:rPr>
        <w:br/>
      </w:r>
      <w:r w:rsidR="00ED5B16">
        <w:rPr>
          <w:lang w:val="nl-NL"/>
        </w:rPr>
        <w:br/>
      </w:r>
      <w:r w:rsidRPr="00ED5B16">
        <w:rPr>
          <w:lang w:val="nl-NL"/>
        </w:rPr>
        <w:t>In het kader van het I</w:t>
      </w:r>
      <w:r w:rsidR="00965799">
        <w:rPr>
          <w:lang w:val="nl-NL"/>
        </w:rPr>
        <w:t xml:space="preserve">nterdepartementaal </w:t>
      </w:r>
      <w:r w:rsidRPr="00ED5B16">
        <w:rPr>
          <w:lang w:val="nl-NL"/>
        </w:rPr>
        <w:t>B</w:t>
      </w:r>
      <w:r w:rsidR="00965799">
        <w:rPr>
          <w:lang w:val="nl-NL"/>
        </w:rPr>
        <w:t xml:space="preserve">eleidsonderzoek </w:t>
      </w:r>
      <w:r w:rsidRPr="00ED5B16">
        <w:rPr>
          <w:lang w:val="nl-NL"/>
        </w:rPr>
        <w:t xml:space="preserve">Bekostiging </w:t>
      </w:r>
      <w:r w:rsidRPr="00ED5B16" w:rsidR="000A186B">
        <w:rPr>
          <w:lang w:val="nl-NL"/>
        </w:rPr>
        <w:lastRenderedPageBreak/>
        <w:t>E</w:t>
      </w:r>
      <w:r w:rsidRPr="00ED5B16">
        <w:rPr>
          <w:lang w:val="nl-NL"/>
        </w:rPr>
        <w:t>lektriciteitsinfrastructuur</w:t>
      </w:r>
      <w:r w:rsidR="00965799">
        <w:rPr>
          <w:rStyle w:val="Voetnootmarkering"/>
          <w:lang w:val="nl-NL"/>
        </w:rPr>
        <w:footnoteReference w:id="3"/>
      </w:r>
      <w:r w:rsidRPr="00ED5B16">
        <w:rPr>
          <w:lang w:val="nl-NL"/>
        </w:rPr>
        <w:t xml:space="preserve"> is onderzoek gedaan naar </w:t>
      </w:r>
      <w:r w:rsidR="00ED5B16">
        <w:rPr>
          <w:lang w:val="nl-NL"/>
        </w:rPr>
        <w:t xml:space="preserve">twee alternatieve </w:t>
      </w:r>
      <w:r w:rsidRPr="00ED5B16">
        <w:rPr>
          <w:lang w:val="nl-NL"/>
        </w:rPr>
        <w:t>financieringsopties van TenneT</w:t>
      </w:r>
      <w:r w:rsidR="00965799">
        <w:rPr>
          <w:lang w:val="nl-NL"/>
        </w:rPr>
        <w:t xml:space="preserve"> NL</w:t>
      </w:r>
      <w:r w:rsidRPr="00ED5B16">
        <w:rPr>
          <w:lang w:val="nl-NL"/>
        </w:rPr>
        <w:t xml:space="preserve">. </w:t>
      </w:r>
    </w:p>
    <w:p w:rsidRPr="00895B7C" w:rsidR="00004717" w:rsidP="00004717" w:rsidRDefault="00004717" w14:paraId="0FE42817" w14:textId="77777777">
      <w:pPr>
        <w:ind w:firstLine="360"/>
        <w:rPr>
          <w:i/>
          <w:iCs/>
          <w:lang w:val="nl-NL"/>
        </w:rPr>
      </w:pPr>
      <w:r w:rsidRPr="00895B7C">
        <w:rPr>
          <w:i/>
          <w:iCs/>
          <w:lang w:val="nl-NL"/>
        </w:rPr>
        <w:t xml:space="preserve">Huidig model: kapitaal storten </w:t>
      </w:r>
    </w:p>
    <w:p w:rsidRPr="00895B7C" w:rsidR="00004717" w:rsidP="00004717" w:rsidRDefault="00004717" w14:paraId="3EE2C090" w14:textId="68F68EBB">
      <w:pPr>
        <w:ind w:left="360"/>
        <w:rPr>
          <w:lang w:val="nl-NL"/>
        </w:rPr>
      </w:pPr>
      <w:r w:rsidRPr="00895B7C">
        <w:rPr>
          <w:lang w:val="nl-NL"/>
        </w:rPr>
        <w:t xml:space="preserve">In het huidige model wordt kapitaal gestort door de staat als aandeelhouder om ervoor te zorgen dat TenneT </w:t>
      </w:r>
      <w:r w:rsidR="00965799">
        <w:rPr>
          <w:lang w:val="nl-NL"/>
        </w:rPr>
        <w:t>NL</w:t>
      </w:r>
      <w:r w:rsidRPr="00895B7C" w:rsidR="00965799">
        <w:rPr>
          <w:lang w:val="nl-NL"/>
        </w:rPr>
        <w:t xml:space="preserve"> </w:t>
      </w:r>
      <w:r w:rsidRPr="00895B7C">
        <w:rPr>
          <w:lang w:val="nl-NL"/>
        </w:rPr>
        <w:t xml:space="preserve">een A-minus </w:t>
      </w:r>
      <w:r w:rsidRPr="00895B7C">
        <w:rPr>
          <w:i/>
          <w:iCs/>
          <w:lang w:val="nl-NL"/>
        </w:rPr>
        <w:t>credit rating</w:t>
      </w:r>
      <w:r>
        <w:rPr>
          <w:i/>
          <w:iCs/>
          <w:lang w:val="nl-NL"/>
        </w:rPr>
        <w:t xml:space="preserve"> </w:t>
      </w:r>
      <w:r>
        <w:rPr>
          <w:lang w:val="nl-NL"/>
        </w:rPr>
        <w:t>kan behouden</w:t>
      </w:r>
      <w:r w:rsidRPr="00895B7C">
        <w:rPr>
          <w:lang w:val="nl-NL"/>
        </w:rPr>
        <w:t xml:space="preserve">. </w:t>
      </w:r>
      <w:r w:rsidR="003B7BF2">
        <w:rPr>
          <w:lang w:val="nl-NL"/>
        </w:rPr>
        <w:t xml:space="preserve">Deze stortingen zijn </w:t>
      </w:r>
      <w:r w:rsidR="00965799">
        <w:rPr>
          <w:lang w:val="nl-NL"/>
        </w:rPr>
        <w:t>EMU-</w:t>
      </w:r>
      <w:r w:rsidR="003B7BF2">
        <w:rPr>
          <w:lang w:val="nl-NL"/>
        </w:rPr>
        <w:t>saldo</w:t>
      </w:r>
      <w:r w:rsidR="00965799">
        <w:rPr>
          <w:lang w:val="nl-NL"/>
        </w:rPr>
        <w:t xml:space="preserve"> </w:t>
      </w:r>
      <w:r w:rsidR="003B7BF2">
        <w:rPr>
          <w:lang w:val="nl-NL"/>
        </w:rPr>
        <w:t>relevant.</w:t>
      </w:r>
      <w:r w:rsidRPr="00895B7C" w:rsidR="00895B7C">
        <w:rPr>
          <w:lang w:val="nl-NL"/>
        </w:rPr>
        <w:t xml:space="preserve"> </w:t>
      </w:r>
    </w:p>
    <w:p w:rsidRPr="00895B7C" w:rsidR="00004717" w:rsidP="00004717" w:rsidRDefault="00004717" w14:paraId="1C0235B9" w14:textId="77777777">
      <w:pPr>
        <w:ind w:firstLine="360"/>
        <w:rPr>
          <w:i/>
          <w:iCs/>
          <w:lang w:val="nl-NL"/>
        </w:rPr>
      </w:pPr>
      <w:r w:rsidRPr="00895B7C">
        <w:rPr>
          <w:i/>
          <w:iCs/>
          <w:lang w:val="nl-NL"/>
        </w:rPr>
        <w:t xml:space="preserve">Alternatief: leningen </w:t>
      </w:r>
    </w:p>
    <w:p w:rsidRPr="00895B7C" w:rsidR="00004717" w:rsidP="00004717" w:rsidRDefault="00004717" w14:paraId="1BD3B2C8" w14:textId="3CF9FCCC">
      <w:pPr>
        <w:ind w:left="360"/>
        <w:rPr>
          <w:lang w:val="nl-NL"/>
        </w:rPr>
      </w:pPr>
      <w:r w:rsidRPr="00895B7C">
        <w:rPr>
          <w:lang w:val="nl-NL"/>
        </w:rPr>
        <w:t xml:space="preserve">In dit model wordt de volledige financieringsbehoefte van TenneT </w:t>
      </w:r>
      <w:r w:rsidR="00965799">
        <w:rPr>
          <w:lang w:val="nl-NL"/>
        </w:rPr>
        <w:t>NL</w:t>
      </w:r>
      <w:r w:rsidRPr="00895B7C" w:rsidR="00965799">
        <w:rPr>
          <w:lang w:val="nl-NL"/>
        </w:rPr>
        <w:t xml:space="preserve"> </w:t>
      </w:r>
      <w:r w:rsidRPr="00895B7C">
        <w:rPr>
          <w:lang w:val="nl-NL"/>
        </w:rPr>
        <w:t xml:space="preserve">ingevuld via leningen vanuit de staat. De leningsfaciliteit wordt verschaft aan TenneT </w:t>
      </w:r>
      <w:r w:rsidR="00965799">
        <w:rPr>
          <w:lang w:val="nl-NL"/>
        </w:rPr>
        <w:t xml:space="preserve">NL </w:t>
      </w:r>
      <w:r w:rsidRPr="00895B7C">
        <w:rPr>
          <w:lang w:val="nl-NL"/>
        </w:rPr>
        <w:t xml:space="preserve">op een vergelijkbare manier als de huidige </w:t>
      </w:r>
      <w:r w:rsidR="001D4633">
        <w:rPr>
          <w:lang w:val="nl-NL"/>
        </w:rPr>
        <w:t xml:space="preserve">tijdelijke </w:t>
      </w:r>
      <w:r w:rsidR="00416640">
        <w:rPr>
          <w:lang w:val="nl-NL"/>
        </w:rPr>
        <w:t>overbruggings</w:t>
      </w:r>
      <w:r w:rsidRPr="00895B7C" w:rsidR="00895B7C">
        <w:rPr>
          <w:lang w:val="nl-NL"/>
        </w:rPr>
        <w:t>lening</w:t>
      </w:r>
      <w:r w:rsidR="00416640">
        <w:rPr>
          <w:lang w:val="nl-NL"/>
        </w:rPr>
        <w:t>en</w:t>
      </w:r>
      <w:r w:rsidR="001D4633">
        <w:rPr>
          <w:lang w:val="nl-NL"/>
        </w:rPr>
        <w:t xml:space="preserve"> </w:t>
      </w:r>
      <w:r w:rsidRPr="00895B7C">
        <w:rPr>
          <w:lang w:val="nl-NL"/>
        </w:rPr>
        <w:t>van de staat aan TenneT. Hierbij wordt jaarlijks vastgesteld wat de verwachte financieringsbehoefte is van TenneT</w:t>
      </w:r>
      <w:r w:rsidR="00965799">
        <w:rPr>
          <w:lang w:val="nl-NL"/>
        </w:rPr>
        <w:t xml:space="preserve"> NL</w:t>
      </w:r>
      <w:r w:rsidRPr="00895B7C">
        <w:rPr>
          <w:lang w:val="nl-NL"/>
        </w:rPr>
        <w:t xml:space="preserve">. TenneT </w:t>
      </w:r>
      <w:r w:rsidR="00965799">
        <w:rPr>
          <w:lang w:val="nl-NL"/>
        </w:rPr>
        <w:t xml:space="preserve">NL </w:t>
      </w:r>
      <w:r w:rsidRPr="00895B7C">
        <w:rPr>
          <w:lang w:val="nl-NL"/>
        </w:rPr>
        <w:t xml:space="preserve">kan dan gedurende het jaar in tranches de financiering opvragen bij de staat. </w:t>
      </w:r>
      <w:r>
        <w:rPr>
          <w:lang w:val="nl-NL"/>
        </w:rPr>
        <w:t xml:space="preserve">Omdat TenneT </w:t>
      </w:r>
      <w:r w:rsidR="00965799">
        <w:rPr>
          <w:lang w:val="nl-NL"/>
        </w:rPr>
        <w:t xml:space="preserve">NL </w:t>
      </w:r>
      <w:r>
        <w:rPr>
          <w:lang w:val="nl-NL"/>
        </w:rPr>
        <w:t xml:space="preserve">op deze manier zeker is van financiering, </w:t>
      </w:r>
      <w:r w:rsidR="003B7BF2">
        <w:rPr>
          <w:lang w:val="nl-NL"/>
        </w:rPr>
        <w:t>is de verwachting dat</w:t>
      </w:r>
      <w:r>
        <w:rPr>
          <w:lang w:val="nl-NL"/>
        </w:rPr>
        <w:t xml:space="preserve"> het geen aanvullend eigen vermogen (kapitaalstortingen) </w:t>
      </w:r>
      <w:r w:rsidR="00416640">
        <w:rPr>
          <w:lang w:val="nl-NL"/>
        </w:rPr>
        <w:t xml:space="preserve">vanuit de </w:t>
      </w:r>
      <w:r w:rsidR="00DE32E9">
        <w:rPr>
          <w:lang w:val="nl-NL"/>
        </w:rPr>
        <w:t xml:space="preserve">staat </w:t>
      </w:r>
      <w:r>
        <w:rPr>
          <w:lang w:val="nl-NL"/>
        </w:rPr>
        <w:t>nodig</w:t>
      </w:r>
      <w:r w:rsidR="003B7BF2">
        <w:rPr>
          <w:lang w:val="nl-NL"/>
        </w:rPr>
        <w:t xml:space="preserve"> heeft</w:t>
      </w:r>
      <w:r w:rsidR="00DE32E9">
        <w:rPr>
          <w:lang w:val="nl-NL"/>
        </w:rPr>
        <w:t xml:space="preserve"> voor TenneT NL</w:t>
      </w:r>
      <w:r w:rsidR="00030552">
        <w:rPr>
          <w:lang w:val="nl-NL"/>
        </w:rPr>
        <w:t xml:space="preserve">. </w:t>
      </w:r>
    </w:p>
    <w:p w:rsidR="00004717" w:rsidP="00004717" w:rsidRDefault="00004717" w14:paraId="237E5B74" w14:textId="77777777">
      <w:pPr>
        <w:ind w:left="360"/>
        <w:rPr>
          <w:lang w:val="nl-NL"/>
        </w:rPr>
      </w:pPr>
      <w:r>
        <w:rPr>
          <w:lang w:val="nl-NL"/>
        </w:rPr>
        <w:t xml:space="preserve">Alternatief: </w:t>
      </w:r>
      <w:r w:rsidRPr="00895B7C">
        <w:rPr>
          <w:i/>
          <w:iCs/>
          <w:lang w:val="nl-NL"/>
        </w:rPr>
        <w:t xml:space="preserve">instellingsgarantie </w:t>
      </w:r>
      <w:r w:rsidRPr="006A2A84">
        <w:rPr>
          <w:b/>
          <w:bCs/>
          <w:i/>
          <w:iCs/>
          <w:lang w:val="nl-NL"/>
        </w:rPr>
        <w:t>zonder</w:t>
      </w:r>
      <w:r>
        <w:rPr>
          <w:i/>
          <w:iCs/>
          <w:lang w:val="nl-NL"/>
        </w:rPr>
        <w:t xml:space="preserve"> directe claim bij de Nederlandse staat</w:t>
      </w:r>
    </w:p>
    <w:p w:rsidRPr="005364D9" w:rsidR="00004717" w:rsidP="00DE32E9" w:rsidRDefault="00822A4A" w14:paraId="41873ED7" w14:textId="60B42EB4">
      <w:pPr>
        <w:ind w:left="360"/>
        <w:rPr>
          <w:lang w:val="nl-NL"/>
        </w:rPr>
      </w:pPr>
      <w:r>
        <w:rPr>
          <w:lang w:val="nl-NL"/>
        </w:rPr>
        <w:t>Met deze garantie verplicht d</w:t>
      </w:r>
      <w:r w:rsidRPr="00D92B70" w:rsidR="00004717">
        <w:rPr>
          <w:lang w:val="nl-NL"/>
        </w:rPr>
        <w:t xml:space="preserve">e overheid zich ertoe om TenneT NL van middelen te voorzien wanneer TenneT NL niet aan zijn financiële verplichtingen richting crediteuren </w:t>
      </w:r>
      <w:r>
        <w:rPr>
          <w:lang w:val="nl-NL"/>
        </w:rPr>
        <w:t xml:space="preserve">(verstrekkers vreemd vermogen) </w:t>
      </w:r>
      <w:r w:rsidRPr="00D92B70" w:rsidR="00004717">
        <w:rPr>
          <w:lang w:val="nl-NL"/>
        </w:rPr>
        <w:t>kan voldoen en om TenneT NL niet failliet te laten gaan</w:t>
      </w:r>
      <w:r w:rsidR="00004717">
        <w:rPr>
          <w:lang w:val="nl-NL"/>
        </w:rPr>
        <w:t>. Obligatiehouders hebben bij deze garantie niet de mogelijkheid om direct hun geld te claimen bij de Nederlandse staat, mocht TenneT</w:t>
      </w:r>
      <w:r w:rsidR="00965799">
        <w:rPr>
          <w:lang w:val="nl-NL"/>
        </w:rPr>
        <w:t xml:space="preserve"> NL</w:t>
      </w:r>
      <w:r w:rsidR="00004717">
        <w:rPr>
          <w:lang w:val="nl-NL"/>
        </w:rPr>
        <w:t xml:space="preserve"> </w:t>
      </w:r>
      <w:r w:rsidR="00DE32E9">
        <w:rPr>
          <w:lang w:val="nl-NL"/>
        </w:rPr>
        <w:t xml:space="preserve">hen </w:t>
      </w:r>
      <w:r w:rsidR="00004717">
        <w:rPr>
          <w:lang w:val="nl-NL"/>
        </w:rPr>
        <w:t xml:space="preserve">onverhoopt toch niet kunnen betalen. Dit is vergelijkbaar met de bestaande instellingsgarantie van FMO. </w:t>
      </w:r>
      <w:r w:rsidRPr="00DE32E9" w:rsidR="00DE32E9">
        <w:rPr>
          <w:lang w:val="nl-NL"/>
        </w:rPr>
        <w:t xml:space="preserve">Deze vorm van een instellingsgarantie voor TenneT leidt zonder extra kapitaalstortingen tot een rating lager dan de huidige credit rating van TenneT. </w:t>
      </w:r>
      <w:r w:rsidRPr="00EB7F94" w:rsidR="00004717">
        <w:rPr>
          <w:lang w:val="nl-NL"/>
        </w:rPr>
        <w:t>Daarom valt deze vorm van een garantie af als alternatief en wordt</w:t>
      </w:r>
      <w:r>
        <w:rPr>
          <w:lang w:val="nl-NL"/>
        </w:rPr>
        <w:t xml:space="preserve"> deze</w:t>
      </w:r>
      <w:r w:rsidRPr="00EB7F94" w:rsidR="00004717">
        <w:rPr>
          <w:lang w:val="nl-NL"/>
        </w:rPr>
        <w:t xml:space="preserve"> in de rest van dit toetsingskader niet behandeld. </w:t>
      </w:r>
    </w:p>
    <w:p w:rsidRPr="00895B7C" w:rsidR="00004717" w:rsidP="00D92B70" w:rsidRDefault="00004717" w14:paraId="7C82A5CE" w14:textId="77777777">
      <w:pPr>
        <w:ind w:left="360"/>
        <w:rPr>
          <w:i/>
          <w:iCs/>
          <w:lang w:val="nl-NL"/>
        </w:rPr>
      </w:pPr>
      <w:r w:rsidRPr="00895B7C">
        <w:rPr>
          <w:i/>
          <w:iCs/>
          <w:lang w:val="nl-NL"/>
        </w:rPr>
        <w:t xml:space="preserve">Alternatief: instellingsgarantie </w:t>
      </w:r>
      <w:r w:rsidRPr="00D92B70">
        <w:rPr>
          <w:b/>
          <w:i/>
          <w:lang w:val="nl-NL"/>
        </w:rPr>
        <w:t>met</w:t>
      </w:r>
      <w:r>
        <w:rPr>
          <w:i/>
          <w:iCs/>
          <w:lang w:val="nl-NL"/>
        </w:rPr>
        <w:t xml:space="preserve"> directe claim bij de Nederlandse staat (vanaf nu: instellingsgarantie) </w:t>
      </w:r>
    </w:p>
    <w:p w:rsidR="00CD526C" w:rsidP="001D4633" w:rsidRDefault="00004717" w14:paraId="18C97579" w14:textId="428DE51B">
      <w:pPr>
        <w:ind w:left="360"/>
        <w:rPr>
          <w:lang w:val="nl-NL"/>
        </w:rPr>
      </w:pPr>
      <w:r w:rsidRPr="00D92B70">
        <w:rPr>
          <w:lang w:val="nl-NL"/>
        </w:rPr>
        <w:t xml:space="preserve">De overheid verplicht zich ertoe om TenneT </w:t>
      </w:r>
      <w:r w:rsidR="00965799">
        <w:rPr>
          <w:lang w:val="nl-NL"/>
        </w:rPr>
        <w:t xml:space="preserve">NL </w:t>
      </w:r>
      <w:r w:rsidRPr="00D92B70">
        <w:rPr>
          <w:lang w:val="nl-NL"/>
        </w:rPr>
        <w:t xml:space="preserve">van middelen te voorzien wanneer TenneT </w:t>
      </w:r>
      <w:r w:rsidR="00965799">
        <w:rPr>
          <w:lang w:val="nl-NL"/>
        </w:rPr>
        <w:t xml:space="preserve">NL </w:t>
      </w:r>
      <w:r w:rsidRPr="00D92B70">
        <w:rPr>
          <w:lang w:val="nl-NL"/>
        </w:rPr>
        <w:t xml:space="preserve">niet aan zijn financiële verplichtingen richting crediteuren kan voldoen. Mocht TenneT </w:t>
      </w:r>
      <w:r w:rsidR="00965799">
        <w:rPr>
          <w:lang w:val="nl-NL"/>
        </w:rPr>
        <w:t xml:space="preserve">NL </w:t>
      </w:r>
      <w:r w:rsidRPr="00D92B70">
        <w:rPr>
          <w:lang w:val="nl-NL"/>
        </w:rPr>
        <w:t>hier onverhoopt alsnog niet in kunnen voorzien, dan kunnen de crediteuren direct hun geld claimen bij de Nederlandse staat.</w:t>
      </w:r>
      <w:r>
        <w:rPr>
          <w:lang w:val="nl-NL"/>
        </w:rPr>
        <w:t xml:space="preserve"> </w:t>
      </w:r>
      <w:r w:rsidRPr="00895B7C">
        <w:rPr>
          <w:lang w:val="nl-NL"/>
        </w:rPr>
        <w:t xml:space="preserve">De </w:t>
      </w:r>
      <w:r w:rsidRPr="00895B7C">
        <w:rPr>
          <w:i/>
          <w:iCs/>
          <w:lang w:val="nl-NL"/>
        </w:rPr>
        <w:t xml:space="preserve">credit rating </w:t>
      </w:r>
      <w:r w:rsidRPr="00895B7C">
        <w:rPr>
          <w:lang w:val="nl-NL"/>
        </w:rPr>
        <w:t xml:space="preserve">van </w:t>
      </w:r>
      <w:r w:rsidR="00DE32E9">
        <w:rPr>
          <w:lang w:val="nl-NL"/>
        </w:rPr>
        <w:t xml:space="preserve">de schuld van </w:t>
      </w:r>
      <w:r w:rsidRPr="00895B7C">
        <w:rPr>
          <w:lang w:val="nl-NL"/>
        </w:rPr>
        <w:t xml:space="preserve">TenneT </w:t>
      </w:r>
      <w:r w:rsidR="00965799">
        <w:rPr>
          <w:lang w:val="nl-NL"/>
        </w:rPr>
        <w:t>NL</w:t>
      </w:r>
      <w:r w:rsidRPr="00895B7C" w:rsidR="00965799">
        <w:rPr>
          <w:lang w:val="nl-NL"/>
        </w:rPr>
        <w:t xml:space="preserve"> </w:t>
      </w:r>
      <w:r w:rsidRPr="00895B7C">
        <w:rPr>
          <w:lang w:val="nl-NL"/>
        </w:rPr>
        <w:t xml:space="preserve">zal hierdoor AAA worden. </w:t>
      </w:r>
      <w:r>
        <w:rPr>
          <w:lang w:val="nl-NL"/>
        </w:rPr>
        <w:t xml:space="preserve">Vanwege de AAA-rating </w:t>
      </w:r>
      <w:r w:rsidR="00A75BAE">
        <w:rPr>
          <w:lang w:val="nl-NL"/>
        </w:rPr>
        <w:t xml:space="preserve">is </w:t>
      </w:r>
      <w:r w:rsidR="001D4633">
        <w:rPr>
          <w:lang w:val="nl-NL"/>
        </w:rPr>
        <w:t xml:space="preserve">het in principe </w:t>
      </w:r>
      <w:r w:rsidR="00A75BAE">
        <w:rPr>
          <w:lang w:val="nl-NL"/>
        </w:rPr>
        <w:t>de verwachting dat er</w:t>
      </w:r>
      <w:r>
        <w:rPr>
          <w:lang w:val="nl-NL"/>
        </w:rPr>
        <w:t xml:space="preserve"> geen kapitaalstortingen nodig </w:t>
      </w:r>
      <w:r w:rsidR="00A75BAE">
        <w:rPr>
          <w:lang w:val="nl-NL"/>
        </w:rPr>
        <w:t xml:space="preserve">zijn </w:t>
      </w:r>
      <w:r w:rsidR="00030552">
        <w:rPr>
          <w:lang w:val="nl-NL"/>
        </w:rPr>
        <w:t>voor TenneT</w:t>
      </w:r>
      <w:r w:rsidR="00965799">
        <w:rPr>
          <w:lang w:val="nl-NL"/>
        </w:rPr>
        <w:t xml:space="preserve"> NL</w:t>
      </w:r>
      <w:r w:rsidR="00030552">
        <w:rPr>
          <w:lang w:val="nl-NL"/>
        </w:rPr>
        <w:t xml:space="preserve">. </w:t>
      </w:r>
    </w:p>
    <w:p w:rsidR="00004717" w:rsidP="00004717" w:rsidRDefault="00004717" w14:paraId="420E18B6" w14:textId="4C85AEE9">
      <w:pPr>
        <w:ind w:left="360"/>
        <w:rPr>
          <w:lang w:val="nl-NL"/>
        </w:rPr>
      </w:pPr>
      <w:r>
        <w:rPr>
          <w:lang w:val="nl-NL"/>
        </w:rPr>
        <w:t xml:space="preserve">In de hierboven beschreven alternatieven (lening en garantie) is in principe geen kapitaalstorting nodig voor TenneT </w:t>
      </w:r>
      <w:r w:rsidR="00965799">
        <w:rPr>
          <w:lang w:val="nl-NL"/>
        </w:rPr>
        <w:t>NL</w:t>
      </w:r>
      <w:r>
        <w:rPr>
          <w:lang w:val="nl-NL"/>
        </w:rPr>
        <w:t xml:space="preserve">. Deze kapitaalstortingen worden namelijk gedaan om aan de kapitaaleisen van de kredietbeoordelaars te voldoen. Deze kapitaaleisen vervallen in beide scenario’s.  </w:t>
      </w:r>
    </w:p>
    <w:p w:rsidR="00004717" w:rsidP="00004717" w:rsidRDefault="00004717" w14:paraId="31D6C66D" w14:textId="10A53DC0">
      <w:pPr>
        <w:ind w:left="360"/>
        <w:rPr>
          <w:lang w:val="nl-NL"/>
        </w:rPr>
      </w:pPr>
      <w:r>
        <w:rPr>
          <w:lang w:val="nl-NL"/>
        </w:rPr>
        <w:t xml:space="preserve">Echter, TenneT </w:t>
      </w:r>
      <w:r w:rsidR="00965799">
        <w:rPr>
          <w:lang w:val="nl-NL"/>
        </w:rPr>
        <w:t xml:space="preserve">Holding </w:t>
      </w:r>
      <w:r>
        <w:rPr>
          <w:lang w:val="nl-NL"/>
        </w:rPr>
        <w:t>blijft naar verwachting meerderheidsaandeelhouder van TenneT Duitsland op de middellange termijn. Omdat TenneT</w:t>
      </w:r>
      <w:r w:rsidR="00965799">
        <w:rPr>
          <w:lang w:val="nl-NL"/>
        </w:rPr>
        <w:t xml:space="preserve"> Holding</w:t>
      </w:r>
      <w:r>
        <w:rPr>
          <w:lang w:val="nl-NL"/>
        </w:rPr>
        <w:t xml:space="preserve"> meerderheidsaandeelhouder blijft, </w:t>
      </w:r>
      <w:r w:rsidR="00657E09">
        <w:rPr>
          <w:lang w:val="nl-NL"/>
        </w:rPr>
        <w:t>kan een kredietbeoordelaar</w:t>
      </w:r>
      <w:r w:rsidRPr="00D92B70">
        <w:rPr>
          <w:lang w:val="nl-NL"/>
        </w:rPr>
        <w:t xml:space="preserve"> ook naar de financiële ratio’s van TenneT Holding </w:t>
      </w:r>
      <w:r w:rsidR="00657E09">
        <w:rPr>
          <w:lang w:val="nl-NL"/>
        </w:rPr>
        <w:t xml:space="preserve">kijken </w:t>
      </w:r>
      <w:r w:rsidRPr="00D92B70">
        <w:rPr>
          <w:lang w:val="nl-NL"/>
        </w:rPr>
        <w:t xml:space="preserve">om de rating van TenneT Duitsland te bepalen. Een verslechtering van </w:t>
      </w:r>
      <w:r>
        <w:rPr>
          <w:lang w:val="nl-NL"/>
        </w:rPr>
        <w:t xml:space="preserve">de kapitaalpositie </w:t>
      </w:r>
      <w:r w:rsidRPr="00D92B70">
        <w:rPr>
          <w:lang w:val="nl-NL"/>
        </w:rPr>
        <w:t xml:space="preserve">van TenneT </w:t>
      </w:r>
      <w:r w:rsidR="00965799">
        <w:rPr>
          <w:lang w:val="nl-NL"/>
        </w:rPr>
        <w:t xml:space="preserve">NL </w:t>
      </w:r>
      <w:r>
        <w:rPr>
          <w:lang w:val="nl-NL"/>
        </w:rPr>
        <w:t>kan</w:t>
      </w:r>
      <w:r w:rsidRPr="00D92B70">
        <w:rPr>
          <w:lang w:val="nl-NL"/>
        </w:rPr>
        <w:t xml:space="preserve">, </w:t>
      </w:r>
      <w:r>
        <w:rPr>
          <w:lang w:val="nl-NL"/>
        </w:rPr>
        <w:t>afhankelijk van de kapitaalpositie van TenneT Duitsland</w:t>
      </w:r>
      <w:r w:rsidRPr="00D92B70">
        <w:rPr>
          <w:lang w:val="nl-NL"/>
        </w:rPr>
        <w:t>, de rating van TenneT Duitsland aantasten</w:t>
      </w:r>
      <w:r>
        <w:rPr>
          <w:lang w:val="nl-NL"/>
        </w:rPr>
        <w:t xml:space="preserve">. Voor nu wordt geen kapitaalbehoefte voorzien omdat de kapitaalpositie goed genoeg is, maar mocht de kapitaalpositie verslechteren, dan is dit wellicht toch nodig.      </w:t>
      </w:r>
    </w:p>
    <w:p w:rsidR="000D37EC" w:rsidP="00ED5B16" w:rsidRDefault="00004717" w14:paraId="0C9C90D3" w14:textId="7B708B40">
      <w:pPr>
        <w:ind w:left="360"/>
        <w:rPr>
          <w:lang w:val="nl-NL"/>
        </w:rPr>
      </w:pPr>
      <w:r>
        <w:rPr>
          <w:lang w:val="nl-NL"/>
        </w:rPr>
        <w:t xml:space="preserve">De verschillende financieringsmodellen zijn </w:t>
      </w:r>
      <w:r w:rsidR="00822A4A">
        <w:rPr>
          <w:lang w:val="nl-NL"/>
        </w:rPr>
        <w:t xml:space="preserve">beoordeeld </w:t>
      </w:r>
      <w:r>
        <w:rPr>
          <w:lang w:val="nl-NL"/>
        </w:rPr>
        <w:t xml:space="preserve">aan de hand van verschillende criteria, deze zijn hieronder weergegeven. Aan de hand van onderstaande criteria is voor de </w:t>
      </w:r>
      <w:r w:rsidR="00A75BAE">
        <w:rPr>
          <w:lang w:val="nl-NL"/>
        </w:rPr>
        <w:t>instellings</w:t>
      </w:r>
      <w:r w:rsidR="00895B7C">
        <w:rPr>
          <w:lang w:val="nl-NL"/>
        </w:rPr>
        <w:t>garantie</w:t>
      </w:r>
      <w:r>
        <w:rPr>
          <w:lang w:val="nl-NL"/>
        </w:rPr>
        <w:t xml:space="preserve"> gekozen</w:t>
      </w:r>
      <w:r w:rsidR="001D4633">
        <w:rPr>
          <w:lang w:val="nl-NL"/>
        </w:rPr>
        <w:t>.</w:t>
      </w:r>
    </w:p>
    <w:p w:rsidR="000D37EC" w:rsidP="00ED5B16" w:rsidRDefault="000D37EC" w14:paraId="14FBECDF" w14:textId="77777777">
      <w:pPr>
        <w:ind w:left="360"/>
        <w:rPr>
          <w:lang w:val="nl-NL"/>
        </w:rPr>
      </w:pPr>
    </w:p>
    <w:p w:rsidR="000D37EC" w:rsidP="00ED5B16" w:rsidRDefault="000D37EC" w14:paraId="7F1F10E8" w14:textId="77777777">
      <w:pPr>
        <w:ind w:left="360"/>
        <w:rPr>
          <w:lang w:val="nl-NL"/>
        </w:rPr>
      </w:pPr>
    </w:p>
    <w:p w:rsidR="000D37EC" w:rsidP="00ED5B16" w:rsidRDefault="000D37EC" w14:paraId="73AF7BC8" w14:textId="77777777">
      <w:pPr>
        <w:ind w:left="360"/>
        <w:rPr>
          <w:lang w:val="nl-NL"/>
        </w:rPr>
      </w:pPr>
    </w:p>
    <w:p w:rsidR="00ED5B16" w:rsidP="00D30359" w:rsidRDefault="00ED5B16" w14:paraId="01929AD7" w14:textId="7011C7DD">
      <w:pPr>
        <w:rPr>
          <w:lang w:val="nl-NL"/>
        </w:rPr>
      </w:pPr>
    </w:p>
    <w:tbl>
      <w:tblPr>
        <w:tblStyle w:val="Tabelraster"/>
        <w:tblpPr w:leftFromText="141" w:rightFromText="141" w:vertAnchor="text" w:horzAnchor="margin" w:tblpY="21"/>
        <w:tblW w:w="9843" w:type="dxa"/>
        <w:tblLayout w:type="fixed"/>
        <w:tblCellMar>
          <w:left w:w="0" w:type="dxa"/>
          <w:right w:w="0" w:type="dxa"/>
        </w:tblCellMar>
        <w:tblLook w:val="04A0" w:firstRow="1" w:lastRow="0" w:firstColumn="1" w:lastColumn="0" w:noHBand="0" w:noVBand="1"/>
      </w:tblPr>
      <w:tblGrid>
        <w:gridCol w:w="1555"/>
        <w:gridCol w:w="2762"/>
        <w:gridCol w:w="2763"/>
        <w:gridCol w:w="2763"/>
      </w:tblGrid>
      <w:tr w:rsidRPr="00EA618E" w:rsidR="00D30359" w:rsidTr="00D30359" w14:paraId="302E7378" w14:textId="77777777">
        <w:trPr>
          <w:trHeight w:val="241"/>
        </w:trPr>
        <w:tc>
          <w:tcPr>
            <w:tcW w:w="1555" w:type="dxa"/>
          </w:tcPr>
          <w:p w:rsidRPr="00895B7C" w:rsidR="00D30359" w:rsidP="00D30359" w:rsidRDefault="00D30359" w14:paraId="7F79D354" w14:textId="77777777">
            <w:pPr>
              <w:ind w:right="57"/>
              <w:rPr>
                <w:sz w:val="16"/>
                <w:szCs w:val="16"/>
                <w:lang w:val="nl-NL"/>
              </w:rPr>
            </w:pPr>
          </w:p>
        </w:tc>
        <w:tc>
          <w:tcPr>
            <w:tcW w:w="2762" w:type="dxa"/>
          </w:tcPr>
          <w:p w:rsidRPr="00895B7C" w:rsidR="00D30359" w:rsidP="00D30359" w:rsidRDefault="00D30359" w14:paraId="7FAD3B51" w14:textId="279B0A9E">
            <w:pPr>
              <w:ind w:left="57" w:right="57"/>
              <w:rPr>
                <w:b/>
                <w:bCs/>
                <w:sz w:val="16"/>
                <w:szCs w:val="16"/>
                <w:lang w:val="nl-NL"/>
              </w:rPr>
            </w:pPr>
            <w:r w:rsidRPr="00895B7C">
              <w:rPr>
                <w:b/>
                <w:bCs/>
                <w:sz w:val="16"/>
                <w:szCs w:val="16"/>
                <w:lang w:val="nl-NL"/>
              </w:rPr>
              <w:t>Huidig: kapitaal storten (A-minus)</w:t>
            </w:r>
          </w:p>
        </w:tc>
        <w:tc>
          <w:tcPr>
            <w:tcW w:w="2763" w:type="dxa"/>
          </w:tcPr>
          <w:p w:rsidRPr="00EA618E" w:rsidR="00D30359" w:rsidP="00D30359" w:rsidRDefault="00D30359" w14:paraId="33C991BB" w14:textId="77777777">
            <w:pPr>
              <w:ind w:left="57" w:right="57"/>
              <w:rPr>
                <w:b/>
                <w:bCs/>
                <w:sz w:val="16"/>
                <w:szCs w:val="16"/>
              </w:rPr>
            </w:pPr>
            <w:proofErr w:type="spellStart"/>
            <w:r w:rsidRPr="36B71AF4">
              <w:rPr>
                <w:b/>
                <w:bCs/>
                <w:sz w:val="16"/>
                <w:szCs w:val="16"/>
              </w:rPr>
              <w:t>Alternatief</w:t>
            </w:r>
            <w:proofErr w:type="spellEnd"/>
            <w:r w:rsidRPr="36B71AF4">
              <w:rPr>
                <w:b/>
                <w:bCs/>
                <w:sz w:val="16"/>
                <w:szCs w:val="16"/>
              </w:rPr>
              <w:t xml:space="preserve">: </w:t>
            </w:r>
            <w:proofErr w:type="spellStart"/>
            <w:r w:rsidRPr="36B71AF4">
              <w:rPr>
                <w:b/>
                <w:bCs/>
                <w:sz w:val="16"/>
                <w:szCs w:val="16"/>
              </w:rPr>
              <w:t>leningen</w:t>
            </w:r>
            <w:proofErr w:type="spellEnd"/>
          </w:p>
        </w:tc>
        <w:tc>
          <w:tcPr>
            <w:tcW w:w="2763" w:type="dxa"/>
          </w:tcPr>
          <w:p w:rsidRPr="00EA618E" w:rsidR="00D30359" w:rsidP="00D30359" w:rsidRDefault="00D30359" w14:paraId="56E87DC9" w14:textId="77777777">
            <w:pPr>
              <w:ind w:left="57" w:right="57"/>
              <w:rPr>
                <w:b/>
                <w:bCs/>
                <w:sz w:val="16"/>
                <w:szCs w:val="16"/>
              </w:rPr>
            </w:pPr>
            <w:proofErr w:type="spellStart"/>
            <w:r w:rsidRPr="36B71AF4">
              <w:rPr>
                <w:b/>
                <w:bCs/>
                <w:sz w:val="16"/>
                <w:szCs w:val="16"/>
              </w:rPr>
              <w:t>Alternatief</w:t>
            </w:r>
            <w:proofErr w:type="spellEnd"/>
            <w:r w:rsidRPr="36B71AF4">
              <w:rPr>
                <w:b/>
                <w:bCs/>
                <w:sz w:val="16"/>
                <w:szCs w:val="16"/>
              </w:rPr>
              <w:t xml:space="preserve">: </w:t>
            </w:r>
            <w:proofErr w:type="spellStart"/>
            <w:r w:rsidRPr="36B71AF4">
              <w:rPr>
                <w:b/>
                <w:bCs/>
                <w:sz w:val="16"/>
                <w:szCs w:val="16"/>
              </w:rPr>
              <w:t>instellings-garantie</w:t>
            </w:r>
            <w:proofErr w:type="spellEnd"/>
            <w:r w:rsidRPr="36B71AF4">
              <w:rPr>
                <w:b/>
                <w:bCs/>
                <w:sz w:val="16"/>
                <w:szCs w:val="16"/>
              </w:rPr>
              <w:t xml:space="preserve"> </w:t>
            </w:r>
          </w:p>
        </w:tc>
      </w:tr>
      <w:tr w:rsidRPr="00C3696E" w:rsidR="00D30359" w:rsidTr="00D30359" w14:paraId="07CFC461" w14:textId="77777777">
        <w:trPr>
          <w:trHeight w:val="484"/>
        </w:trPr>
        <w:tc>
          <w:tcPr>
            <w:tcW w:w="1555" w:type="dxa"/>
          </w:tcPr>
          <w:p w:rsidR="00D30359" w:rsidP="00D30359" w:rsidRDefault="00D30359" w14:paraId="01108835" w14:textId="77777777">
            <w:pPr>
              <w:ind w:left="57" w:right="57"/>
              <w:rPr>
                <w:b/>
                <w:bCs/>
                <w:sz w:val="16"/>
                <w:szCs w:val="16"/>
                <w:lang w:val="nl-NL"/>
              </w:rPr>
            </w:pPr>
            <w:proofErr w:type="spellStart"/>
            <w:r w:rsidRPr="00895B7C">
              <w:rPr>
                <w:b/>
                <w:bCs/>
                <w:sz w:val="16"/>
                <w:szCs w:val="16"/>
                <w:lang w:val="nl-NL"/>
              </w:rPr>
              <w:t>Financierings</w:t>
            </w:r>
            <w:proofErr w:type="spellEnd"/>
          </w:p>
          <w:p w:rsidRPr="00895B7C" w:rsidR="00D30359" w:rsidP="00D30359" w:rsidRDefault="00D30359" w14:paraId="724602E9" w14:textId="4538A146">
            <w:pPr>
              <w:ind w:left="57" w:right="57"/>
              <w:rPr>
                <w:b/>
                <w:bCs/>
                <w:sz w:val="16"/>
                <w:szCs w:val="16"/>
                <w:lang w:val="nl-NL"/>
              </w:rPr>
            </w:pPr>
            <w:r w:rsidRPr="00895B7C">
              <w:rPr>
                <w:b/>
                <w:bCs/>
                <w:sz w:val="16"/>
                <w:szCs w:val="16"/>
                <w:lang w:val="nl-NL"/>
              </w:rPr>
              <w:t>-kosten Tenne</w:t>
            </w:r>
            <w:r w:rsidR="00965799">
              <w:rPr>
                <w:b/>
                <w:bCs/>
                <w:sz w:val="16"/>
                <w:szCs w:val="16"/>
                <w:lang w:val="nl-NL"/>
              </w:rPr>
              <w:t>T NL</w:t>
            </w:r>
            <w:r w:rsidRPr="00895B7C">
              <w:rPr>
                <w:b/>
                <w:bCs/>
                <w:sz w:val="16"/>
                <w:szCs w:val="16"/>
                <w:lang w:val="nl-NL"/>
              </w:rPr>
              <w:t xml:space="preserve"> voor Rijksoverheid</w:t>
            </w:r>
            <w:r>
              <w:rPr>
                <w:rStyle w:val="Voetnootmarkering"/>
                <w:b/>
                <w:bCs/>
                <w:sz w:val="16"/>
                <w:szCs w:val="16"/>
              </w:rPr>
              <w:footnoteReference w:id="4"/>
            </w:r>
            <w:r w:rsidRPr="00895B7C">
              <w:rPr>
                <w:b/>
                <w:bCs/>
                <w:sz w:val="16"/>
                <w:szCs w:val="16"/>
                <w:lang w:val="nl-NL"/>
              </w:rPr>
              <w:t xml:space="preserve"> </w:t>
            </w:r>
          </w:p>
        </w:tc>
        <w:tc>
          <w:tcPr>
            <w:tcW w:w="2762" w:type="dxa"/>
          </w:tcPr>
          <w:p w:rsidRPr="00895B7C" w:rsidR="00D30359" w:rsidP="00D30359" w:rsidRDefault="00D30359" w14:paraId="02EAA48D" w14:textId="77777777">
            <w:pPr>
              <w:ind w:left="57" w:right="57"/>
              <w:rPr>
                <w:b/>
                <w:bCs/>
                <w:color w:val="FF0000"/>
                <w:sz w:val="16"/>
                <w:szCs w:val="16"/>
                <w:lang w:val="nl-NL"/>
              </w:rPr>
            </w:pPr>
            <w:r w:rsidRPr="00895B7C">
              <w:rPr>
                <w:b/>
                <w:bCs/>
                <w:color w:val="FF0000"/>
                <w:sz w:val="16"/>
                <w:szCs w:val="16"/>
                <w:lang w:val="nl-NL"/>
              </w:rPr>
              <w:t>Geen extra financieringskosten</w:t>
            </w:r>
          </w:p>
          <w:p w:rsidRPr="00895B7C" w:rsidR="00D30359" w:rsidP="00D30359" w:rsidRDefault="00D30359" w14:paraId="7EB776A2" w14:textId="77777777">
            <w:pPr>
              <w:ind w:left="57" w:right="57"/>
              <w:rPr>
                <w:sz w:val="16"/>
                <w:szCs w:val="16"/>
                <w:lang w:val="nl-NL"/>
              </w:rPr>
            </w:pPr>
            <w:r w:rsidRPr="00895B7C">
              <w:rPr>
                <w:sz w:val="16"/>
                <w:szCs w:val="16"/>
                <w:lang w:val="nl-NL"/>
              </w:rPr>
              <w:t xml:space="preserve">A-minus rating: basis scenario. </w:t>
            </w:r>
          </w:p>
          <w:p w:rsidRPr="00895B7C" w:rsidR="00D30359" w:rsidP="00D30359" w:rsidRDefault="00D30359" w14:paraId="5F4F14A5" w14:textId="77777777">
            <w:pPr>
              <w:ind w:left="57" w:right="57"/>
              <w:rPr>
                <w:sz w:val="16"/>
                <w:szCs w:val="16"/>
                <w:lang w:val="nl-NL"/>
              </w:rPr>
            </w:pPr>
          </w:p>
          <w:p w:rsidRPr="00D92B70" w:rsidR="00D30359" w:rsidP="00D30359" w:rsidRDefault="00D30359" w14:paraId="77D7EF28" w14:textId="77777777">
            <w:pPr>
              <w:ind w:left="57" w:right="57"/>
              <w:rPr>
                <w:sz w:val="16"/>
                <w:lang w:val="nl-NL"/>
              </w:rPr>
            </w:pPr>
          </w:p>
        </w:tc>
        <w:tc>
          <w:tcPr>
            <w:tcW w:w="2763" w:type="dxa"/>
          </w:tcPr>
          <w:p w:rsidRPr="00895B7C" w:rsidR="00D30359" w:rsidP="00D30359" w:rsidRDefault="00D30359" w14:paraId="31FEBCFB" w14:textId="77777777">
            <w:pPr>
              <w:ind w:left="57" w:right="57"/>
              <w:rPr>
                <w:b/>
                <w:bCs/>
                <w:color w:val="70AD47" w:themeColor="accent6"/>
                <w:sz w:val="16"/>
                <w:szCs w:val="16"/>
                <w:lang w:val="nl-NL"/>
              </w:rPr>
            </w:pPr>
            <w:r w:rsidRPr="00895B7C">
              <w:rPr>
                <w:b/>
                <w:bCs/>
                <w:color w:val="70AD47" w:themeColor="accent6"/>
                <w:sz w:val="16"/>
                <w:szCs w:val="16"/>
                <w:lang w:val="nl-NL"/>
              </w:rPr>
              <w:t>Lagere financieringskosten t.o.v. huidige situatie</w:t>
            </w:r>
          </w:p>
          <w:p w:rsidRPr="00895B7C" w:rsidR="00D30359" w:rsidP="00D30359" w:rsidRDefault="00D30359" w14:paraId="14A4AEF2" w14:textId="17AAD393">
            <w:pPr>
              <w:ind w:left="57" w:right="57"/>
              <w:rPr>
                <w:sz w:val="16"/>
                <w:szCs w:val="16"/>
                <w:lang w:val="nl-NL"/>
              </w:rPr>
            </w:pPr>
            <w:r w:rsidRPr="00895B7C">
              <w:rPr>
                <w:sz w:val="16"/>
                <w:szCs w:val="16"/>
                <w:lang w:val="nl-NL"/>
              </w:rPr>
              <w:t>De staat leent goedkoper dan TenneT</w:t>
            </w:r>
            <w:r w:rsidR="00965799">
              <w:rPr>
                <w:sz w:val="16"/>
                <w:szCs w:val="16"/>
                <w:lang w:val="nl-NL"/>
              </w:rPr>
              <w:t xml:space="preserve"> NL</w:t>
            </w:r>
            <w:r w:rsidRPr="00895B7C">
              <w:rPr>
                <w:sz w:val="16"/>
                <w:szCs w:val="16"/>
                <w:lang w:val="nl-NL"/>
              </w:rPr>
              <w:t xml:space="preserve">. Hierdoor worden kosten bespaard. De additionele staatsschuld zal de rentekosten van de Nederlandse staat doen toenemen (sterker dan bij het alternatief garantie). Dit effect vindt direct plaats. </w:t>
            </w:r>
            <w:r w:rsidRPr="00017A19">
              <w:rPr>
                <w:sz w:val="16"/>
                <w:szCs w:val="16"/>
                <w:lang w:val="nl-NL"/>
              </w:rPr>
              <w:t xml:space="preserve">Het voordeel dat bij beide </w:t>
            </w:r>
            <w:r w:rsidR="00F953D6">
              <w:rPr>
                <w:sz w:val="16"/>
                <w:szCs w:val="16"/>
                <w:lang w:val="nl-NL"/>
              </w:rPr>
              <w:t xml:space="preserve">alternatieve </w:t>
            </w:r>
            <w:r w:rsidRPr="00017A19">
              <w:rPr>
                <w:sz w:val="16"/>
                <w:szCs w:val="16"/>
                <w:lang w:val="nl-NL"/>
              </w:rPr>
              <w:t>opties wordt behaald neemt toe over de tijd, omdat de totale hoeveelheid uitstaande leningen van TenneT</w:t>
            </w:r>
            <w:r w:rsidR="00965799">
              <w:rPr>
                <w:sz w:val="16"/>
                <w:szCs w:val="16"/>
                <w:lang w:val="nl-NL"/>
              </w:rPr>
              <w:t xml:space="preserve"> NL</w:t>
            </w:r>
            <w:r w:rsidRPr="00017A19">
              <w:rPr>
                <w:sz w:val="16"/>
                <w:szCs w:val="16"/>
                <w:lang w:val="nl-NL"/>
              </w:rPr>
              <w:t xml:space="preserve"> per jaar toeneemt. Ter indicatie: Dit kan in 2032 leiden tot € 165 -250 mln. aan jaarlijkse opbrengsten</w:t>
            </w:r>
            <w:r w:rsidR="00965799">
              <w:rPr>
                <w:sz w:val="16"/>
                <w:szCs w:val="16"/>
                <w:lang w:val="nl-NL"/>
              </w:rPr>
              <w:t>. D</w:t>
            </w:r>
            <w:r w:rsidRPr="00017A19">
              <w:rPr>
                <w:sz w:val="16"/>
                <w:szCs w:val="16"/>
                <w:lang w:val="nl-NL"/>
              </w:rPr>
              <w:t xml:space="preserve">it betreft het financieringsvoordeel van TenneT </w:t>
            </w:r>
            <w:r w:rsidR="00965799">
              <w:rPr>
                <w:sz w:val="16"/>
                <w:szCs w:val="16"/>
                <w:lang w:val="nl-NL"/>
              </w:rPr>
              <w:t xml:space="preserve">NL </w:t>
            </w:r>
            <w:r w:rsidRPr="00017A19">
              <w:rPr>
                <w:sz w:val="16"/>
                <w:szCs w:val="16"/>
                <w:lang w:val="nl-NL"/>
              </w:rPr>
              <w:t>minus de hogere kosten voor de staat. Deze inschatting is afhankelijk van aannames over rentes die marktpartijen zullen vragen en dus onzeker.</w:t>
            </w:r>
          </w:p>
        </w:tc>
        <w:tc>
          <w:tcPr>
            <w:tcW w:w="2763" w:type="dxa"/>
          </w:tcPr>
          <w:p w:rsidRPr="00895B7C" w:rsidR="00D30359" w:rsidP="00EB502F" w:rsidRDefault="00D30359" w14:paraId="0CD83184" w14:textId="77777777">
            <w:pPr>
              <w:ind w:left="57" w:right="57"/>
              <w:rPr>
                <w:b/>
                <w:bCs/>
                <w:color w:val="70AD47" w:themeColor="accent6"/>
                <w:sz w:val="16"/>
                <w:szCs w:val="16"/>
                <w:lang w:val="nl-NL"/>
              </w:rPr>
            </w:pPr>
            <w:r w:rsidRPr="00895B7C">
              <w:rPr>
                <w:b/>
                <w:bCs/>
                <w:color w:val="70AD47" w:themeColor="accent6"/>
                <w:sz w:val="16"/>
                <w:szCs w:val="16"/>
                <w:lang w:val="nl-NL"/>
              </w:rPr>
              <w:t>Lagere financieringskosten t.o.v. huidige situatie</w:t>
            </w:r>
          </w:p>
          <w:p w:rsidRPr="00017A19" w:rsidR="00D30359" w:rsidP="00EB502F" w:rsidRDefault="00D30359" w14:paraId="5CF03FE3" w14:textId="5F1E2C0B">
            <w:pPr>
              <w:ind w:left="57" w:right="57"/>
              <w:rPr>
                <w:sz w:val="16"/>
                <w:szCs w:val="16"/>
                <w:lang w:val="nl-NL"/>
              </w:rPr>
            </w:pPr>
            <w:r w:rsidRPr="00895B7C">
              <w:rPr>
                <w:sz w:val="16"/>
                <w:szCs w:val="16"/>
                <w:lang w:val="nl-NL"/>
              </w:rPr>
              <w:t>In eerste instantie zal een garantie niet of nauwelijks leiden tot hogere rentekosten voor de staat. TenneT</w:t>
            </w:r>
            <w:r w:rsidR="00965799">
              <w:rPr>
                <w:sz w:val="16"/>
                <w:szCs w:val="16"/>
                <w:lang w:val="nl-NL"/>
              </w:rPr>
              <w:t xml:space="preserve"> NL</w:t>
            </w:r>
            <w:r w:rsidRPr="00895B7C">
              <w:rPr>
                <w:sz w:val="16"/>
                <w:szCs w:val="16"/>
                <w:lang w:val="nl-NL"/>
              </w:rPr>
              <w:t xml:space="preserve"> zal goedkoper lenen. Alsnog zal TenneT </w:t>
            </w:r>
            <w:r w:rsidR="00965799">
              <w:rPr>
                <w:sz w:val="16"/>
                <w:szCs w:val="16"/>
                <w:lang w:val="nl-NL"/>
              </w:rPr>
              <w:t xml:space="preserve">NL </w:t>
            </w:r>
            <w:r w:rsidRPr="00895B7C">
              <w:rPr>
                <w:sz w:val="16"/>
                <w:szCs w:val="16"/>
                <w:lang w:val="nl-NL"/>
              </w:rPr>
              <w:t>duurder lenen dan de staat</w:t>
            </w:r>
            <w:r w:rsidRPr="00EA618E">
              <w:rPr>
                <w:rStyle w:val="Voetnootmarkering"/>
                <w:sz w:val="16"/>
                <w:szCs w:val="16"/>
              </w:rPr>
              <w:footnoteReference w:id="5"/>
            </w:r>
            <w:r w:rsidRPr="00895B7C">
              <w:rPr>
                <w:sz w:val="16"/>
                <w:szCs w:val="16"/>
                <w:lang w:val="nl-NL"/>
              </w:rPr>
              <w:t xml:space="preserve">. Vanwege de garantie zullen de rentekosten voor de staat licht toenemen. </w:t>
            </w:r>
            <w:r w:rsidRPr="00017A19">
              <w:rPr>
                <w:sz w:val="16"/>
                <w:szCs w:val="16"/>
                <w:lang w:val="nl-NL"/>
              </w:rPr>
              <w:t xml:space="preserve">Het voordeel dat bij beide </w:t>
            </w:r>
            <w:r w:rsidR="00F953D6">
              <w:rPr>
                <w:sz w:val="16"/>
                <w:szCs w:val="16"/>
                <w:lang w:val="nl-NL"/>
              </w:rPr>
              <w:t xml:space="preserve">alternatieve </w:t>
            </w:r>
            <w:r w:rsidRPr="00017A19">
              <w:rPr>
                <w:sz w:val="16"/>
                <w:szCs w:val="16"/>
                <w:lang w:val="nl-NL"/>
              </w:rPr>
              <w:t xml:space="preserve">opties wordt behaald neemt toe over de tijd, omdat de totale hoeveelheid uitstaande leningen van TenneT </w:t>
            </w:r>
            <w:r w:rsidR="00965799">
              <w:rPr>
                <w:sz w:val="16"/>
                <w:szCs w:val="16"/>
                <w:lang w:val="nl-NL"/>
              </w:rPr>
              <w:t xml:space="preserve">NL </w:t>
            </w:r>
            <w:r w:rsidRPr="00017A19">
              <w:rPr>
                <w:sz w:val="16"/>
                <w:szCs w:val="16"/>
                <w:lang w:val="nl-NL"/>
              </w:rPr>
              <w:t xml:space="preserve">per jaar toeneemt. Ter indicatie: Dit kan in 2032 leiden tot € 165- 250 mln. aan jaarlijkse opbrengsten </w:t>
            </w:r>
            <w:r w:rsidR="00965799">
              <w:rPr>
                <w:sz w:val="16"/>
                <w:szCs w:val="16"/>
                <w:lang w:val="nl-NL"/>
              </w:rPr>
              <w:t>D</w:t>
            </w:r>
            <w:r w:rsidRPr="00017A19">
              <w:rPr>
                <w:sz w:val="16"/>
                <w:szCs w:val="16"/>
                <w:lang w:val="nl-NL"/>
              </w:rPr>
              <w:t xml:space="preserve">it betreft het financieringsvoordeel van TenneT </w:t>
            </w:r>
            <w:r w:rsidR="00965799">
              <w:rPr>
                <w:sz w:val="16"/>
                <w:szCs w:val="16"/>
                <w:lang w:val="nl-NL"/>
              </w:rPr>
              <w:t xml:space="preserve">NL </w:t>
            </w:r>
            <w:r w:rsidRPr="00017A19">
              <w:rPr>
                <w:sz w:val="16"/>
                <w:szCs w:val="16"/>
                <w:lang w:val="nl-NL"/>
              </w:rPr>
              <w:t>minus de hogere kosten voor de staat. Deze inschatting is afhankelijk van aannames over rentes die marktpartijen zullen vragen en dus onzeker.</w:t>
            </w:r>
          </w:p>
        </w:tc>
      </w:tr>
      <w:tr w:rsidRPr="00C3696E" w:rsidR="00D30359" w:rsidTr="00D30359" w14:paraId="1B787F7D" w14:textId="77777777">
        <w:trPr>
          <w:trHeight w:val="418"/>
        </w:trPr>
        <w:tc>
          <w:tcPr>
            <w:tcW w:w="1555" w:type="dxa"/>
          </w:tcPr>
          <w:p w:rsidRPr="00EA618E" w:rsidR="00D30359" w:rsidP="00D30359" w:rsidRDefault="00D30359" w14:paraId="48AD79B5" w14:textId="77777777">
            <w:pPr>
              <w:ind w:left="57" w:right="57"/>
              <w:rPr>
                <w:b/>
                <w:bCs/>
                <w:sz w:val="16"/>
                <w:szCs w:val="16"/>
              </w:rPr>
            </w:pPr>
            <w:r w:rsidRPr="00B27381">
              <w:rPr>
                <w:b/>
                <w:bCs/>
                <w:sz w:val="16"/>
                <w:szCs w:val="16"/>
                <w:lang w:val="nl-NL"/>
              </w:rPr>
              <w:t>Effect Rijksbegroting</w:t>
            </w:r>
            <w:r w:rsidRPr="36B71AF4">
              <w:rPr>
                <w:b/>
                <w:bCs/>
                <w:sz w:val="16"/>
                <w:szCs w:val="16"/>
              </w:rPr>
              <w:t xml:space="preserve"> </w:t>
            </w:r>
          </w:p>
        </w:tc>
        <w:tc>
          <w:tcPr>
            <w:tcW w:w="2762" w:type="dxa"/>
          </w:tcPr>
          <w:p w:rsidRPr="00895B7C" w:rsidR="00D30359" w:rsidP="00D30359" w:rsidRDefault="00D30359" w14:paraId="4222DEA2" w14:textId="77777777">
            <w:pPr>
              <w:ind w:left="57" w:right="57"/>
              <w:rPr>
                <w:b/>
                <w:bCs/>
                <w:color w:val="FF0000"/>
                <w:sz w:val="16"/>
                <w:szCs w:val="16"/>
                <w:lang w:val="nl-NL"/>
              </w:rPr>
            </w:pPr>
            <w:r w:rsidRPr="00895B7C">
              <w:rPr>
                <w:b/>
                <w:bCs/>
                <w:color w:val="FF0000"/>
                <w:sz w:val="16"/>
                <w:szCs w:val="16"/>
                <w:lang w:val="nl-NL"/>
              </w:rPr>
              <w:t xml:space="preserve">Kapitaalbehoefte leidt tot stijging staatsschuld en verslechtering </w:t>
            </w:r>
            <w:proofErr w:type="gramStart"/>
            <w:r w:rsidRPr="00895B7C">
              <w:rPr>
                <w:b/>
                <w:bCs/>
                <w:color w:val="FF0000"/>
                <w:sz w:val="16"/>
                <w:szCs w:val="16"/>
                <w:lang w:val="nl-NL"/>
              </w:rPr>
              <w:t>EMU saldo</w:t>
            </w:r>
            <w:proofErr w:type="gramEnd"/>
            <w:r w:rsidRPr="00895B7C">
              <w:rPr>
                <w:b/>
                <w:bCs/>
                <w:color w:val="FF0000"/>
                <w:sz w:val="16"/>
                <w:szCs w:val="16"/>
                <w:lang w:val="nl-NL"/>
              </w:rPr>
              <w:t xml:space="preserve"> als niet wordt ingepast </w:t>
            </w:r>
          </w:p>
          <w:p w:rsidRPr="00895B7C" w:rsidR="00D30359" w:rsidP="00D30359" w:rsidRDefault="00D30359" w14:paraId="4EC3CA70" w14:textId="5B042FE8">
            <w:pPr>
              <w:ind w:left="57" w:right="57"/>
              <w:rPr>
                <w:sz w:val="16"/>
                <w:szCs w:val="16"/>
                <w:lang w:val="nl-NL"/>
              </w:rPr>
            </w:pPr>
            <w:r w:rsidRPr="00895B7C">
              <w:rPr>
                <w:sz w:val="16"/>
                <w:szCs w:val="16"/>
                <w:lang w:val="nl-NL"/>
              </w:rPr>
              <w:t xml:space="preserve">A-minus rating: </w:t>
            </w:r>
            <w:r w:rsidR="00F953D6">
              <w:rPr>
                <w:sz w:val="16"/>
                <w:szCs w:val="16"/>
                <w:lang w:val="nl-NL"/>
              </w:rPr>
              <w:t xml:space="preserve">Nederlandse </w:t>
            </w:r>
            <w:r w:rsidRPr="00895B7C">
              <w:rPr>
                <w:sz w:val="16"/>
                <w:szCs w:val="16"/>
                <w:lang w:val="nl-NL"/>
              </w:rPr>
              <w:t>kapitaalbehoefte van € 1</w:t>
            </w:r>
            <w:r w:rsidR="00DE32E9">
              <w:rPr>
                <w:sz w:val="16"/>
                <w:szCs w:val="16"/>
                <w:lang w:val="nl-NL"/>
              </w:rPr>
              <w:t>4</w:t>
            </w:r>
            <w:r w:rsidRPr="00895B7C">
              <w:rPr>
                <w:sz w:val="16"/>
                <w:szCs w:val="16"/>
                <w:lang w:val="nl-NL"/>
              </w:rPr>
              <w:t>,5 mld. inpassen.</w:t>
            </w:r>
          </w:p>
          <w:p w:rsidRPr="00895B7C" w:rsidR="00D30359" w:rsidP="00D30359" w:rsidRDefault="00D30359" w14:paraId="4839FF82" w14:textId="77777777">
            <w:pPr>
              <w:ind w:left="57" w:right="57"/>
              <w:rPr>
                <w:sz w:val="16"/>
                <w:szCs w:val="16"/>
                <w:lang w:val="nl-NL"/>
              </w:rPr>
            </w:pPr>
          </w:p>
        </w:tc>
        <w:tc>
          <w:tcPr>
            <w:tcW w:w="2763" w:type="dxa"/>
          </w:tcPr>
          <w:p w:rsidRPr="00D92B70" w:rsidR="00D30359" w:rsidP="00D30359" w:rsidRDefault="00D30359" w14:paraId="740BE960" w14:textId="0056E931">
            <w:pPr>
              <w:ind w:left="57" w:right="57"/>
              <w:rPr>
                <w:b/>
                <w:color w:val="FF0000"/>
                <w:sz w:val="16"/>
                <w:lang w:val="nl-NL"/>
              </w:rPr>
            </w:pPr>
            <w:r w:rsidRPr="00D92B70">
              <w:rPr>
                <w:b/>
                <w:color w:val="FF0000"/>
                <w:sz w:val="16"/>
                <w:lang w:val="nl-NL"/>
              </w:rPr>
              <w:t>Door verstrekking van leningen aan Tenne</w:t>
            </w:r>
            <w:r w:rsidR="009E4367">
              <w:rPr>
                <w:b/>
                <w:color w:val="FF0000"/>
                <w:sz w:val="16"/>
                <w:lang w:val="nl-NL"/>
              </w:rPr>
              <w:t>T NL</w:t>
            </w:r>
            <w:r w:rsidRPr="00D92B70">
              <w:rPr>
                <w:b/>
                <w:color w:val="FF0000"/>
                <w:sz w:val="16"/>
                <w:lang w:val="nl-NL"/>
              </w:rPr>
              <w:t xml:space="preserve"> zal de staatsschuld in 2032 met ongeveer 5%-punt stijgen</w:t>
            </w:r>
            <w:r w:rsidRPr="002E0864">
              <w:rPr>
                <w:b/>
                <w:bCs/>
                <w:color w:val="FF0000"/>
                <w:sz w:val="16"/>
                <w:szCs w:val="16"/>
                <w:lang w:val="nl-NL"/>
              </w:rPr>
              <w:t xml:space="preserve">. </w:t>
            </w:r>
          </w:p>
          <w:p w:rsidR="00965799" w:rsidP="00D30359" w:rsidRDefault="00D30359" w14:paraId="4070AB08" w14:textId="213CC017">
            <w:pPr>
              <w:ind w:left="57" w:right="57"/>
              <w:rPr>
                <w:sz w:val="16"/>
                <w:lang w:val="nl-NL"/>
              </w:rPr>
            </w:pPr>
            <w:r w:rsidRPr="002E0864">
              <w:rPr>
                <w:sz w:val="16"/>
                <w:lang w:val="nl-NL"/>
              </w:rPr>
              <w:t xml:space="preserve">Het hierboven beschreven financieringsvoordeel wordt in de vorm van een premie </w:t>
            </w:r>
            <w:r w:rsidRPr="00D92B70">
              <w:rPr>
                <w:sz w:val="16"/>
                <w:lang w:val="nl-NL"/>
              </w:rPr>
              <w:t>door Tenne</w:t>
            </w:r>
            <w:r w:rsidR="00965799">
              <w:rPr>
                <w:sz w:val="16"/>
                <w:lang w:val="nl-NL"/>
              </w:rPr>
              <w:t>T NL</w:t>
            </w:r>
            <w:r w:rsidRPr="00D92B70">
              <w:rPr>
                <w:sz w:val="16"/>
                <w:lang w:val="nl-NL"/>
              </w:rPr>
              <w:t xml:space="preserve"> afgedragen aan de </w:t>
            </w:r>
          </w:p>
          <w:p w:rsidRPr="00895B7C" w:rsidR="00D30359" w:rsidP="00D30359" w:rsidRDefault="00965799" w14:paraId="08050F33" w14:textId="32A1EA2E">
            <w:pPr>
              <w:ind w:left="57" w:right="57"/>
              <w:rPr>
                <w:sz w:val="16"/>
                <w:szCs w:val="16"/>
                <w:lang w:val="nl-NL"/>
              </w:rPr>
            </w:pPr>
            <w:proofErr w:type="gramStart"/>
            <w:r>
              <w:rPr>
                <w:sz w:val="16"/>
                <w:lang w:val="nl-NL"/>
              </w:rPr>
              <w:t>s</w:t>
            </w:r>
            <w:r w:rsidRPr="00D92B70" w:rsidR="00D30359">
              <w:rPr>
                <w:sz w:val="16"/>
                <w:lang w:val="nl-NL"/>
              </w:rPr>
              <w:t>taat</w:t>
            </w:r>
            <w:proofErr w:type="gramEnd"/>
            <w:r w:rsidRPr="00D92B70" w:rsidR="00D30359">
              <w:rPr>
                <w:sz w:val="16"/>
                <w:lang w:val="nl-NL"/>
              </w:rPr>
              <w:t xml:space="preserve">. Deze </w:t>
            </w:r>
            <w:proofErr w:type="spellStart"/>
            <w:r w:rsidR="00D30359">
              <w:rPr>
                <w:sz w:val="16"/>
                <w:szCs w:val="16"/>
                <w:lang w:val="nl-NL"/>
              </w:rPr>
              <w:t>premie-</w:t>
            </w:r>
            <w:r w:rsidRPr="002E0864" w:rsidR="00D30359">
              <w:rPr>
                <w:sz w:val="16"/>
                <w:szCs w:val="16"/>
                <w:lang w:val="nl-NL"/>
              </w:rPr>
              <w:t>ontvangsten</w:t>
            </w:r>
            <w:proofErr w:type="spellEnd"/>
            <w:r w:rsidRPr="00D92B70" w:rsidR="00D30359">
              <w:rPr>
                <w:sz w:val="16"/>
                <w:lang w:val="nl-NL"/>
              </w:rPr>
              <w:t xml:space="preserve"> komen ten gunste van het staatschuld en staan buiten het uitgavenkader. De </w:t>
            </w:r>
            <w:proofErr w:type="spellStart"/>
            <w:r w:rsidR="00D30359">
              <w:rPr>
                <w:sz w:val="16"/>
                <w:szCs w:val="16"/>
                <w:lang w:val="nl-NL"/>
              </w:rPr>
              <w:t>premie-</w:t>
            </w:r>
            <w:r w:rsidRPr="002E0864" w:rsidR="00D30359">
              <w:rPr>
                <w:sz w:val="16"/>
                <w:szCs w:val="16"/>
                <w:lang w:val="nl-NL"/>
              </w:rPr>
              <w:t>ontvangsten</w:t>
            </w:r>
            <w:proofErr w:type="spellEnd"/>
            <w:r w:rsidRPr="00D92B70" w:rsidR="00D30359">
              <w:rPr>
                <w:sz w:val="16"/>
                <w:lang w:val="nl-NL"/>
              </w:rPr>
              <w:t xml:space="preserve"> zijn relevant voor het EMU-saldo en de EMU-schuld. </w:t>
            </w:r>
          </w:p>
        </w:tc>
        <w:tc>
          <w:tcPr>
            <w:tcW w:w="2763" w:type="dxa"/>
          </w:tcPr>
          <w:p w:rsidRPr="002E0864" w:rsidR="00D30359" w:rsidP="00D30359" w:rsidRDefault="00D30359" w14:paraId="4524CCCD" w14:textId="0999D9AB">
            <w:pPr>
              <w:spacing w:line="276" w:lineRule="auto"/>
              <w:ind w:left="57" w:right="57"/>
              <w:rPr>
                <w:b/>
                <w:color w:val="70AD47" w:themeColor="accent6"/>
                <w:sz w:val="16"/>
                <w:lang w:val="nl-NL"/>
              </w:rPr>
            </w:pPr>
            <w:r w:rsidRPr="00D92B70">
              <w:rPr>
                <w:b/>
                <w:color w:val="70AD47" w:themeColor="accent6"/>
                <w:sz w:val="16"/>
                <w:lang w:val="nl-NL"/>
              </w:rPr>
              <w:t>De garantie zelf leidt naar verwachting niet tot een hogere staatsschuld</w:t>
            </w:r>
            <w:r>
              <w:rPr>
                <w:rStyle w:val="Voetnootmarkering"/>
                <w:b/>
                <w:color w:val="70AD47" w:themeColor="accent6"/>
                <w:sz w:val="16"/>
                <w:lang w:val="nl-NL"/>
              </w:rPr>
              <w:footnoteReference w:id="6"/>
            </w:r>
          </w:p>
          <w:p w:rsidRPr="00895B7C" w:rsidR="00D30359" w:rsidP="00D30359" w:rsidRDefault="00D30359" w14:paraId="1AF09B0A" w14:textId="2D8DB788">
            <w:pPr>
              <w:ind w:left="57" w:right="57"/>
              <w:rPr>
                <w:sz w:val="16"/>
                <w:szCs w:val="16"/>
                <w:lang w:val="nl-NL"/>
              </w:rPr>
            </w:pPr>
            <w:r w:rsidRPr="002E0864">
              <w:rPr>
                <w:sz w:val="16"/>
                <w:lang w:val="nl-NL"/>
              </w:rPr>
              <w:t>Het hierboven beschreven financieringsvoordeel wordt in de vorm van een premie door Tenne</w:t>
            </w:r>
            <w:r w:rsidR="00965799">
              <w:rPr>
                <w:sz w:val="16"/>
                <w:lang w:val="nl-NL"/>
              </w:rPr>
              <w:t>T NL</w:t>
            </w:r>
            <w:r w:rsidRPr="002E0864">
              <w:rPr>
                <w:sz w:val="16"/>
                <w:lang w:val="nl-NL"/>
              </w:rPr>
              <w:t xml:space="preserve"> afgedragen aan de </w:t>
            </w:r>
            <w:r w:rsidR="00965799">
              <w:rPr>
                <w:sz w:val="16"/>
                <w:lang w:val="nl-NL"/>
              </w:rPr>
              <w:t>s</w:t>
            </w:r>
            <w:r w:rsidRPr="002E0864">
              <w:rPr>
                <w:sz w:val="16"/>
                <w:lang w:val="nl-NL"/>
              </w:rPr>
              <w:t xml:space="preserve">taat. Deze </w:t>
            </w:r>
            <w:proofErr w:type="spellStart"/>
            <w:r w:rsidRPr="002E0864">
              <w:rPr>
                <w:sz w:val="16"/>
                <w:lang w:val="nl-NL"/>
              </w:rPr>
              <w:t>premie-ontvangsten</w:t>
            </w:r>
            <w:proofErr w:type="spellEnd"/>
            <w:r w:rsidRPr="002E0864">
              <w:rPr>
                <w:sz w:val="16"/>
                <w:lang w:val="nl-NL"/>
              </w:rPr>
              <w:t xml:space="preserve"> komen ten gunste van de staatschuld en staan buiten het uitgavenkader. De </w:t>
            </w:r>
            <w:proofErr w:type="spellStart"/>
            <w:r w:rsidRPr="002E0864">
              <w:rPr>
                <w:sz w:val="16"/>
                <w:lang w:val="nl-NL"/>
              </w:rPr>
              <w:t>premie-ontvangsten</w:t>
            </w:r>
            <w:proofErr w:type="spellEnd"/>
            <w:r w:rsidRPr="002E0864">
              <w:rPr>
                <w:sz w:val="16"/>
                <w:lang w:val="nl-NL"/>
              </w:rPr>
              <w:t xml:space="preserve"> zijn relevant voor het EMU-saldo en de EMU-schuld. Indien de instellingsgarantie wordt ingeroepen, dan is er sprake van een uitgave en tevens relevant voor EMU-schuld en EMU-saldo.</w:t>
            </w:r>
          </w:p>
        </w:tc>
      </w:tr>
      <w:tr w:rsidRPr="00C3696E" w:rsidR="00D30359" w:rsidTr="00D30359" w14:paraId="45122A4B" w14:textId="77777777">
        <w:trPr>
          <w:trHeight w:val="418"/>
        </w:trPr>
        <w:tc>
          <w:tcPr>
            <w:tcW w:w="1555" w:type="dxa"/>
          </w:tcPr>
          <w:p w:rsidRPr="00EA618E" w:rsidR="00D30359" w:rsidP="00D30359" w:rsidRDefault="00D30359" w14:paraId="78BFA25E" w14:textId="77777777">
            <w:pPr>
              <w:ind w:left="57" w:right="57"/>
              <w:rPr>
                <w:b/>
                <w:bCs/>
                <w:sz w:val="16"/>
                <w:szCs w:val="16"/>
              </w:rPr>
            </w:pPr>
            <w:proofErr w:type="spellStart"/>
            <w:r w:rsidRPr="36B71AF4">
              <w:rPr>
                <w:b/>
                <w:bCs/>
                <w:sz w:val="16"/>
                <w:szCs w:val="16"/>
              </w:rPr>
              <w:t>Transparantie</w:t>
            </w:r>
            <w:proofErr w:type="spellEnd"/>
            <w:r w:rsidRPr="36B71AF4">
              <w:rPr>
                <w:b/>
                <w:bCs/>
                <w:sz w:val="16"/>
                <w:szCs w:val="16"/>
              </w:rPr>
              <w:t xml:space="preserve"> </w:t>
            </w:r>
          </w:p>
        </w:tc>
        <w:tc>
          <w:tcPr>
            <w:tcW w:w="2762" w:type="dxa"/>
          </w:tcPr>
          <w:p w:rsidRPr="00895B7C" w:rsidR="00D30359" w:rsidP="00D30359" w:rsidRDefault="00D30359" w14:paraId="6AC4E6AF" w14:textId="77777777">
            <w:pPr>
              <w:ind w:left="57" w:right="57"/>
              <w:rPr>
                <w:b/>
                <w:bCs/>
                <w:color w:val="70AD47" w:themeColor="accent6"/>
                <w:sz w:val="16"/>
                <w:szCs w:val="16"/>
                <w:lang w:val="nl-NL"/>
              </w:rPr>
            </w:pPr>
            <w:r w:rsidRPr="00895B7C">
              <w:rPr>
                <w:b/>
                <w:bCs/>
                <w:color w:val="70AD47" w:themeColor="accent6"/>
                <w:sz w:val="16"/>
                <w:szCs w:val="16"/>
                <w:lang w:val="nl-NL"/>
              </w:rPr>
              <w:t>Transparant</w:t>
            </w:r>
          </w:p>
          <w:p w:rsidRPr="00895B7C" w:rsidR="00D30359" w:rsidP="00D30359" w:rsidRDefault="00D30359" w14:paraId="1ED2AF34" w14:textId="0A0A819E">
            <w:pPr>
              <w:ind w:left="57" w:right="57"/>
              <w:rPr>
                <w:color w:val="FF0000"/>
                <w:sz w:val="16"/>
                <w:szCs w:val="16"/>
                <w:u w:val="single"/>
                <w:lang w:val="nl-NL"/>
              </w:rPr>
            </w:pPr>
            <w:r w:rsidRPr="00895B7C">
              <w:rPr>
                <w:sz w:val="16"/>
                <w:szCs w:val="16"/>
                <w:lang w:val="nl-NL"/>
              </w:rPr>
              <w:t>De investeringsagenda van TenneT</w:t>
            </w:r>
            <w:r w:rsidR="009E4367">
              <w:rPr>
                <w:sz w:val="16"/>
                <w:szCs w:val="16"/>
                <w:lang w:val="nl-NL"/>
              </w:rPr>
              <w:t xml:space="preserve"> NL</w:t>
            </w:r>
            <w:r w:rsidRPr="00895B7C">
              <w:rPr>
                <w:sz w:val="16"/>
                <w:szCs w:val="16"/>
                <w:lang w:val="nl-NL"/>
              </w:rPr>
              <w:t xml:space="preserve"> is het directe gevolg van keuzes in energiebeleid en zou dus transparant terug moeten komen in de </w:t>
            </w:r>
            <w:r w:rsidRPr="00895B7C">
              <w:rPr>
                <w:sz w:val="16"/>
                <w:szCs w:val="16"/>
                <w:lang w:val="nl-NL"/>
              </w:rPr>
              <w:lastRenderedPageBreak/>
              <w:t xml:space="preserve">Rijksbegroting. Door een kapitaalbehoefte worden de uitgaven transparant in de Rijksbegroting weergegeven en dit heeft een signaalwerking. </w:t>
            </w:r>
          </w:p>
        </w:tc>
        <w:tc>
          <w:tcPr>
            <w:tcW w:w="2763" w:type="dxa"/>
          </w:tcPr>
          <w:p w:rsidRPr="00895B7C" w:rsidR="00D30359" w:rsidP="00D30359" w:rsidRDefault="00D30359" w14:paraId="13981976" w14:textId="77777777">
            <w:pPr>
              <w:ind w:left="57" w:right="57"/>
              <w:rPr>
                <w:b/>
                <w:bCs/>
                <w:color w:val="70AD47" w:themeColor="accent6"/>
                <w:sz w:val="16"/>
                <w:szCs w:val="16"/>
                <w:lang w:val="nl-NL"/>
              </w:rPr>
            </w:pPr>
            <w:r w:rsidRPr="00895B7C">
              <w:rPr>
                <w:b/>
                <w:bCs/>
                <w:color w:val="70AD47" w:themeColor="accent6"/>
                <w:sz w:val="16"/>
                <w:szCs w:val="16"/>
                <w:lang w:val="nl-NL"/>
              </w:rPr>
              <w:lastRenderedPageBreak/>
              <w:t>Transparant</w:t>
            </w:r>
          </w:p>
          <w:p w:rsidRPr="00895B7C" w:rsidR="00D30359" w:rsidP="00D30359" w:rsidRDefault="00D30359" w14:paraId="4D1586DA" w14:textId="77777777">
            <w:pPr>
              <w:ind w:left="57" w:right="57"/>
              <w:rPr>
                <w:color w:val="FF0000"/>
                <w:sz w:val="16"/>
                <w:szCs w:val="16"/>
                <w:lang w:val="nl-NL"/>
              </w:rPr>
            </w:pPr>
            <w:r w:rsidRPr="00895B7C">
              <w:rPr>
                <w:sz w:val="16"/>
                <w:szCs w:val="16"/>
                <w:lang w:val="nl-NL"/>
              </w:rPr>
              <w:t xml:space="preserve">De lening wordt aan de uitgavenkant weergegeven, bij ophogingen van het </w:t>
            </w:r>
            <w:proofErr w:type="spellStart"/>
            <w:r w:rsidRPr="00895B7C">
              <w:rPr>
                <w:sz w:val="16"/>
                <w:szCs w:val="16"/>
                <w:lang w:val="nl-NL"/>
              </w:rPr>
              <w:t>leningplafond</w:t>
            </w:r>
            <w:proofErr w:type="spellEnd"/>
            <w:r w:rsidRPr="00895B7C">
              <w:rPr>
                <w:sz w:val="16"/>
                <w:szCs w:val="16"/>
                <w:lang w:val="nl-NL"/>
              </w:rPr>
              <w:t xml:space="preserve"> is er een </w:t>
            </w:r>
            <w:r w:rsidRPr="00895B7C">
              <w:rPr>
                <w:sz w:val="16"/>
                <w:szCs w:val="16"/>
                <w:lang w:val="nl-NL"/>
              </w:rPr>
              <w:lastRenderedPageBreak/>
              <w:t xml:space="preserve">beperktere signaalwerking dan bij een kapitaalbehoefte. </w:t>
            </w:r>
          </w:p>
        </w:tc>
        <w:tc>
          <w:tcPr>
            <w:tcW w:w="2763" w:type="dxa"/>
          </w:tcPr>
          <w:p w:rsidRPr="00895B7C" w:rsidR="00D30359" w:rsidP="00D30359" w:rsidRDefault="00D30359" w14:paraId="4DE341DF" w14:textId="77777777">
            <w:pPr>
              <w:ind w:left="57" w:right="57"/>
              <w:rPr>
                <w:b/>
                <w:bCs/>
                <w:color w:val="ED7D31" w:themeColor="accent2"/>
                <w:sz w:val="16"/>
                <w:szCs w:val="16"/>
                <w:lang w:val="nl-NL"/>
              </w:rPr>
            </w:pPr>
            <w:r w:rsidRPr="00895B7C">
              <w:rPr>
                <w:b/>
                <w:bCs/>
                <w:color w:val="ED7D31" w:themeColor="accent2"/>
                <w:sz w:val="16"/>
                <w:szCs w:val="16"/>
                <w:lang w:val="nl-NL"/>
              </w:rPr>
              <w:lastRenderedPageBreak/>
              <w:t>Minder transparant</w:t>
            </w:r>
          </w:p>
          <w:p w:rsidRPr="00895B7C" w:rsidR="00D30359" w:rsidP="00D30359" w:rsidRDefault="00D30359" w14:paraId="2262D856" w14:textId="63465719">
            <w:pPr>
              <w:ind w:left="57" w:right="57"/>
              <w:rPr>
                <w:color w:val="385623"/>
                <w:sz w:val="16"/>
                <w:szCs w:val="16"/>
                <w:lang w:val="nl-NL"/>
              </w:rPr>
            </w:pPr>
            <w:r w:rsidRPr="00895B7C">
              <w:rPr>
                <w:sz w:val="16"/>
                <w:szCs w:val="16"/>
                <w:lang w:val="nl-NL"/>
              </w:rPr>
              <w:t xml:space="preserve">Er wordt alleen een verplichting opgenomen, op verplichtingen wordt beperkt gestuurd. Dit gaat ten koste van de </w:t>
            </w:r>
            <w:r w:rsidRPr="00895B7C">
              <w:rPr>
                <w:sz w:val="16"/>
                <w:szCs w:val="16"/>
                <w:lang w:val="nl-NL"/>
              </w:rPr>
              <w:lastRenderedPageBreak/>
              <w:t xml:space="preserve">transparantie en de signaalwerking. </w:t>
            </w:r>
          </w:p>
        </w:tc>
      </w:tr>
      <w:tr w:rsidRPr="00C3696E" w:rsidR="00D30359" w:rsidTr="00D30359" w14:paraId="06539BBF" w14:textId="77777777">
        <w:trPr>
          <w:trHeight w:val="1627"/>
        </w:trPr>
        <w:tc>
          <w:tcPr>
            <w:tcW w:w="1555" w:type="dxa"/>
          </w:tcPr>
          <w:p w:rsidRPr="00EA618E" w:rsidR="00D30359" w:rsidP="00D30359" w:rsidRDefault="00D30359" w14:paraId="64ED4AEC" w14:textId="77777777">
            <w:pPr>
              <w:ind w:left="57" w:right="57"/>
              <w:rPr>
                <w:b/>
                <w:bCs/>
                <w:sz w:val="16"/>
                <w:szCs w:val="16"/>
              </w:rPr>
            </w:pPr>
            <w:r w:rsidRPr="36B71AF4">
              <w:rPr>
                <w:b/>
                <w:bCs/>
                <w:sz w:val="16"/>
                <w:szCs w:val="16"/>
              </w:rPr>
              <w:lastRenderedPageBreak/>
              <w:t xml:space="preserve">Effect </w:t>
            </w:r>
            <w:proofErr w:type="spellStart"/>
            <w:r w:rsidRPr="36B71AF4">
              <w:rPr>
                <w:b/>
                <w:bCs/>
                <w:sz w:val="16"/>
                <w:szCs w:val="16"/>
              </w:rPr>
              <w:t>deelnemingen-beleid</w:t>
            </w:r>
            <w:proofErr w:type="spellEnd"/>
            <w:r w:rsidRPr="36B71AF4">
              <w:rPr>
                <w:b/>
                <w:bCs/>
                <w:sz w:val="16"/>
                <w:szCs w:val="16"/>
              </w:rPr>
              <w:t xml:space="preserve"> </w:t>
            </w:r>
          </w:p>
        </w:tc>
        <w:tc>
          <w:tcPr>
            <w:tcW w:w="2762" w:type="dxa"/>
          </w:tcPr>
          <w:p w:rsidRPr="00D92B70" w:rsidR="00D30359" w:rsidP="00D30359" w:rsidRDefault="00D30359" w14:paraId="7E602B1A" w14:textId="77777777">
            <w:pPr>
              <w:ind w:left="57" w:right="57"/>
              <w:rPr>
                <w:b/>
                <w:color w:val="70AD47" w:themeColor="accent6"/>
                <w:sz w:val="16"/>
                <w:lang w:val="nl-NL"/>
              </w:rPr>
            </w:pPr>
            <w:r w:rsidRPr="00D92B70">
              <w:rPr>
                <w:b/>
                <w:color w:val="70AD47" w:themeColor="accent6"/>
                <w:sz w:val="16"/>
                <w:lang w:val="nl-NL"/>
              </w:rPr>
              <w:t xml:space="preserve">A-minus rating in lijn met deelnemingenbeleid. </w:t>
            </w:r>
          </w:p>
          <w:p w:rsidRPr="00D92B70" w:rsidR="00D30359" w:rsidP="00D30359" w:rsidRDefault="00D30359" w14:paraId="4A628FD0" w14:textId="77777777">
            <w:pPr>
              <w:ind w:right="57"/>
              <w:rPr>
                <w:b/>
                <w:color w:val="70AD47" w:themeColor="accent6"/>
                <w:sz w:val="16"/>
                <w:lang w:val="nl-NL"/>
              </w:rPr>
            </w:pPr>
          </w:p>
        </w:tc>
        <w:tc>
          <w:tcPr>
            <w:tcW w:w="2763" w:type="dxa"/>
          </w:tcPr>
          <w:p w:rsidRPr="00895B7C" w:rsidR="00D30359" w:rsidP="00D30359" w:rsidRDefault="00D30359" w14:paraId="4233F2B5" w14:textId="77777777">
            <w:pPr>
              <w:ind w:left="57" w:right="57"/>
              <w:rPr>
                <w:b/>
                <w:bCs/>
                <w:color w:val="FF0000"/>
                <w:sz w:val="16"/>
                <w:szCs w:val="16"/>
                <w:lang w:val="nl-NL"/>
              </w:rPr>
            </w:pPr>
            <w:r w:rsidRPr="00895B7C">
              <w:rPr>
                <w:b/>
                <w:bCs/>
                <w:color w:val="FF0000"/>
                <w:sz w:val="16"/>
                <w:szCs w:val="16"/>
                <w:lang w:val="nl-NL"/>
              </w:rPr>
              <w:t xml:space="preserve">Niet in lijn met deelnemingenbeleid </w:t>
            </w:r>
          </w:p>
          <w:p w:rsidRPr="00895B7C" w:rsidR="00D30359" w:rsidP="00D30359" w:rsidRDefault="00D30359" w14:paraId="5DF2E2EB" w14:textId="66B8C04E">
            <w:pPr>
              <w:ind w:left="57" w:right="57"/>
              <w:rPr>
                <w:sz w:val="16"/>
                <w:szCs w:val="16"/>
                <w:lang w:val="nl-NL"/>
              </w:rPr>
            </w:pPr>
            <w:r w:rsidRPr="00895B7C">
              <w:rPr>
                <w:sz w:val="16"/>
                <w:szCs w:val="16"/>
                <w:lang w:val="nl-NL"/>
              </w:rPr>
              <w:t>TenneT</w:t>
            </w:r>
            <w:r w:rsidR="009E4367">
              <w:rPr>
                <w:sz w:val="16"/>
                <w:szCs w:val="16"/>
                <w:lang w:val="nl-NL"/>
              </w:rPr>
              <w:t xml:space="preserve"> NL</w:t>
            </w:r>
            <w:r w:rsidRPr="00895B7C">
              <w:rPr>
                <w:sz w:val="16"/>
                <w:szCs w:val="16"/>
                <w:lang w:val="nl-NL"/>
              </w:rPr>
              <w:t xml:space="preserve"> kan niet meer zelfstandig schuld ophalen. Dit beperkt de zelfstandigheid en is een van de kenmerken van een deelneming. </w:t>
            </w:r>
          </w:p>
        </w:tc>
        <w:tc>
          <w:tcPr>
            <w:tcW w:w="2763" w:type="dxa"/>
          </w:tcPr>
          <w:p w:rsidRPr="00895B7C" w:rsidR="00D30359" w:rsidP="00D30359" w:rsidRDefault="00D30359" w14:paraId="49F8310E" w14:textId="77777777">
            <w:pPr>
              <w:ind w:left="57" w:right="57"/>
              <w:rPr>
                <w:b/>
                <w:bCs/>
                <w:color w:val="70AD47" w:themeColor="accent6"/>
                <w:sz w:val="16"/>
                <w:szCs w:val="16"/>
                <w:lang w:val="nl-NL"/>
              </w:rPr>
            </w:pPr>
            <w:r w:rsidRPr="00895B7C">
              <w:rPr>
                <w:b/>
                <w:bCs/>
                <w:color w:val="70AD47" w:themeColor="accent6"/>
                <w:sz w:val="16"/>
                <w:szCs w:val="16"/>
                <w:lang w:val="nl-NL"/>
              </w:rPr>
              <w:t xml:space="preserve">In lijn met deelnemingenbeleid </w:t>
            </w:r>
          </w:p>
          <w:p w:rsidRPr="00895B7C" w:rsidR="00D30359" w:rsidP="00D30359" w:rsidRDefault="00D30359" w14:paraId="517EBE33" w14:textId="11F637AE">
            <w:pPr>
              <w:ind w:left="57" w:right="57"/>
              <w:rPr>
                <w:sz w:val="16"/>
                <w:szCs w:val="16"/>
                <w:lang w:val="nl-NL"/>
              </w:rPr>
            </w:pPr>
            <w:r w:rsidRPr="00895B7C">
              <w:rPr>
                <w:sz w:val="16"/>
                <w:szCs w:val="16"/>
                <w:lang w:val="nl-NL"/>
              </w:rPr>
              <w:t xml:space="preserve">TenneT </w:t>
            </w:r>
            <w:r w:rsidR="009E4367">
              <w:rPr>
                <w:sz w:val="16"/>
                <w:szCs w:val="16"/>
                <w:lang w:val="nl-NL"/>
              </w:rPr>
              <w:t xml:space="preserve">NL </w:t>
            </w:r>
            <w:r w:rsidRPr="00895B7C">
              <w:rPr>
                <w:sz w:val="16"/>
                <w:szCs w:val="16"/>
                <w:lang w:val="nl-NL"/>
              </w:rPr>
              <w:t xml:space="preserve">blijft zelfstandig schuld ophalen. </w:t>
            </w:r>
          </w:p>
        </w:tc>
      </w:tr>
      <w:tr w:rsidRPr="00C3696E" w:rsidR="00D30359" w:rsidTr="00D30359" w14:paraId="78266476" w14:textId="77777777">
        <w:trPr>
          <w:trHeight w:val="418"/>
        </w:trPr>
        <w:tc>
          <w:tcPr>
            <w:tcW w:w="1555" w:type="dxa"/>
          </w:tcPr>
          <w:p w:rsidRPr="00EA618E" w:rsidR="00D30359" w:rsidP="00D30359" w:rsidRDefault="00D30359" w14:paraId="508AB378" w14:textId="77777777">
            <w:pPr>
              <w:ind w:left="57" w:right="57"/>
              <w:rPr>
                <w:b/>
                <w:bCs/>
                <w:sz w:val="16"/>
                <w:szCs w:val="16"/>
              </w:rPr>
            </w:pPr>
            <w:bookmarkStart w:name="_Hlk193181513" w:id="1"/>
            <w:proofErr w:type="spellStart"/>
            <w:r w:rsidRPr="36B71AF4">
              <w:rPr>
                <w:b/>
                <w:bCs/>
                <w:sz w:val="16"/>
                <w:szCs w:val="16"/>
              </w:rPr>
              <w:t>Tucht</w:t>
            </w:r>
            <w:proofErr w:type="spellEnd"/>
            <w:r w:rsidRPr="36B71AF4">
              <w:rPr>
                <w:b/>
                <w:bCs/>
                <w:sz w:val="16"/>
                <w:szCs w:val="16"/>
              </w:rPr>
              <w:t xml:space="preserve"> van de </w:t>
            </w:r>
            <w:proofErr w:type="spellStart"/>
            <w:r w:rsidRPr="36B71AF4">
              <w:rPr>
                <w:b/>
                <w:bCs/>
                <w:sz w:val="16"/>
                <w:szCs w:val="16"/>
              </w:rPr>
              <w:t>markt</w:t>
            </w:r>
            <w:proofErr w:type="spellEnd"/>
            <w:r w:rsidRPr="36B71AF4">
              <w:rPr>
                <w:b/>
                <w:bCs/>
                <w:sz w:val="16"/>
                <w:szCs w:val="16"/>
              </w:rPr>
              <w:t xml:space="preserve"> </w:t>
            </w:r>
          </w:p>
        </w:tc>
        <w:tc>
          <w:tcPr>
            <w:tcW w:w="2762" w:type="dxa"/>
          </w:tcPr>
          <w:p w:rsidRPr="00895B7C" w:rsidR="00D30359" w:rsidP="00D30359" w:rsidRDefault="00D30359" w14:paraId="7413EE90" w14:textId="77777777">
            <w:pPr>
              <w:ind w:left="57" w:right="57"/>
              <w:rPr>
                <w:b/>
                <w:bCs/>
                <w:color w:val="70AD47" w:themeColor="accent6"/>
                <w:sz w:val="16"/>
                <w:szCs w:val="16"/>
                <w:lang w:val="nl-NL"/>
              </w:rPr>
            </w:pPr>
            <w:r w:rsidRPr="00895B7C">
              <w:rPr>
                <w:b/>
                <w:bCs/>
                <w:color w:val="70AD47" w:themeColor="accent6"/>
                <w:sz w:val="16"/>
                <w:szCs w:val="16"/>
                <w:lang w:val="nl-NL"/>
              </w:rPr>
              <w:t xml:space="preserve">Volledige tucht van de markt </w:t>
            </w:r>
          </w:p>
          <w:p w:rsidRPr="00895B7C" w:rsidR="00D30359" w:rsidP="00D30359" w:rsidRDefault="00D30359" w14:paraId="3BB400B3" w14:textId="1EE52098">
            <w:pPr>
              <w:ind w:left="57" w:right="57"/>
              <w:rPr>
                <w:b/>
                <w:bCs/>
                <w:sz w:val="16"/>
                <w:szCs w:val="16"/>
                <w:lang w:val="nl-NL"/>
              </w:rPr>
            </w:pPr>
            <w:r w:rsidRPr="00895B7C">
              <w:rPr>
                <w:sz w:val="16"/>
                <w:szCs w:val="16"/>
                <w:lang w:val="nl-NL"/>
              </w:rPr>
              <w:t>Doordat TenneT</w:t>
            </w:r>
            <w:r w:rsidR="009E4367">
              <w:rPr>
                <w:sz w:val="16"/>
                <w:szCs w:val="16"/>
                <w:lang w:val="nl-NL"/>
              </w:rPr>
              <w:t xml:space="preserve"> NL</w:t>
            </w:r>
            <w:r w:rsidRPr="00895B7C">
              <w:rPr>
                <w:sz w:val="16"/>
                <w:szCs w:val="16"/>
                <w:lang w:val="nl-NL"/>
              </w:rPr>
              <w:t xml:space="preserve"> zelfstandig financiering ophaalt heeft het een additionele efficiëntieprikkel.</w:t>
            </w:r>
          </w:p>
        </w:tc>
        <w:tc>
          <w:tcPr>
            <w:tcW w:w="2763" w:type="dxa"/>
          </w:tcPr>
          <w:p w:rsidRPr="00895B7C" w:rsidR="00D30359" w:rsidP="00D30359" w:rsidRDefault="00D30359" w14:paraId="038BAC92" w14:textId="77777777">
            <w:pPr>
              <w:ind w:left="57" w:right="57"/>
              <w:rPr>
                <w:b/>
                <w:bCs/>
                <w:color w:val="FF0000"/>
                <w:sz w:val="16"/>
                <w:szCs w:val="16"/>
                <w:lang w:val="nl-NL"/>
              </w:rPr>
            </w:pPr>
            <w:r w:rsidRPr="00895B7C">
              <w:rPr>
                <w:b/>
                <w:bCs/>
                <w:color w:val="FF0000"/>
                <w:sz w:val="16"/>
                <w:szCs w:val="16"/>
                <w:lang w:val="nl-NL"/>
              </w:rPr>
              <w:t xml:space="preserve">Geen tucht van de markt </w:t>
            </w:r>
          </w:p>
          <w:p w:rsidRPr="00895B7C" w:rsidR="00D30359" w:rsidP="00D30359" w:rsidRDefault="00D30359" w14:paraId="206812D7" w14:textId="77777777">
            <w:pPr>
              <w:ind w:left="57" w:right="57"/>
              <w:rPr>
                <w:sz w:val="16"/>
                <w:szCs w:val="16"/>
                <w:lang w:val="nl-NL"/>
              </w:rPr>
            </w:pPr>
            <w:r w:rsidRPr="00895B7C">
              <w:rPr>
                <w:sz w:val="16"/>
                <w:szCs w:val="16"/>
                <w:lang w:val="nl-NL"/>
              </w:rPr>
              <w:t xml:space="preserve">De hiernaast beschreven efficiëntieprikkel komt te vervallen. Hierdoor komt een gedeelte van de marktwerking die deelnemingen karakteriseren te vervallen. </w:t>
            </w:r>
          </w:p>
        </w:tc>
        <w:tc>
          <w:tcPr>
            <w:tcW w:w="2763" w:type="dxa"/>
          </w:tcPr>
          <w:p w:rsidRPr="00895B7C" w:rsidR="00D30359" w:rsidP="00D30359" w:rsidRDefault="00D30359" w14:paraId="53A7859D" w14:textId="77777777">
            <w:pPr>
              <w:ind w:left="57" w:right="57"/>
              <w:rPr>
                <w:b/>
                <w:bCs/>
                <w:color w:val="ED7D31" w:themeColor="accent2"/>
                <w:sz w:val="16"/>
                <w:szCs w:val="16"/>
                <w:lang w:val="nl-NL"/>
              </w:rPr>
            </w:pPr>
            <w:r w:rsidRPr="00895B7C">
              <w:rPr>
                <w:b/>
                <w:bCs/>
                <w:color w:val="ED7D31" w:themeColor="accent2"/>
                <w:sz w:val="16"/>
                <w:szCs w:val="16"/>
                <w:lang w:val="nl-NL"/>
              </w:rPr>
              <w:t>Minder tucht van de markt</w:t>
            </w:r>
          </w:p>
          <w:p w:rsidRPr="00D92B70" w:rsidR="00D30359" w:rsidP="00D30359" w:rsidRDefault="00D30359" w14:paraId="5CBDCB20" w14:textId="022193F6">
            <w:pPr>
              <w:ind w:left="57" w:right="57"/>
              <w:rPr>
                <w:sz w:val="16"/>
                <w:lang w:val="nl-NL"/>
              </w:rPr>
            </w:pPr>
            <w:r w:rsidRPr="00895B7C">
              <w:rPr>
                <w:sz w:val="16"/>
                <w:szCs w:val="16"/>
                <w:lang w:val="nl-NL"/>
              </w:rPr>
              <w:t xml:space="preserve">De hiernaast beschreven efficiëntieprikkel zal waarschijnlijk kleiner worden </w:t>
            </w:r>
            <w:r>
              <w:rPr>
                <w:sz w:val="16"/>
                <w:szCs w:val="16"/>
                <w:lang w:val="nl-NL"/>
              </w:rPr>
              <w:t>of eventueel volledig wegvallen</w:t>
            </w:r>
            <w:r w:rsidR="009E4367">
              <w:rPr>
                <w:sz w:val="16"/>
                <w:szCs w:val="16"/>
                <w:lang w:val="nl-NL"/>
              </w:rPr>
              <w:t>,</w:t>
            </w:r>
            <w:r>
              <w:rPr>
                <w:sz w:val="16"/>
                <w:szCs w:val="16"/>
                <w:lang w:val="nl-NL"/>
              </w:rPr>
              <w:t xml:space="preserve"> </w:t>
            </w:r>
            <w:r w:rsidRPr="00895B7C">
              <w:rPr>
                <w:sz w:val="16"/>
                <w:szCs w:val="16"/>
                <w:lang w:val="nl-NL"/>
              </w:rPr>
              <w:t>omdat TenneT</w:t>
            </w:r>
            <w:r w:rsidR="009E4367">
              <w:rPr>
                <w:sz w:val="16"/>
                <w:szCs w:val="16"/>
                <w:lang w:val="nl-NL"/>
              </w:rPr>
              <w:t xml:space="preserve"> NL</w:t>
            </w:r>
            <w:r w:rsidRPr="00895B7C">
              <w:rPr>
                <w:sz w:val="16"/>
                <w:szCs w:val="16"/>
                <w:lang w:val="nl-NL"/>
              </w:rPr>
              <w:t xml:space="preserve"> een garantie vanuit de staat heeft. </w:t>
            </w:r>
            <w:r w:rsidRPr="00D92B70">
              <w:rPr>
                <w:sz w:val="16"/>
                <w:lang w:val="nl-NL"/>
              </w:rPr>
              <w:t xml:space="preserve">Hierdoor komt een gedeelte </w:t>
            </w:r>
            <w:r>
              <w:rPr>
                <w:sz w:val="16"/>
                <w:szCs w:val="16"/>
                <w:lang w:val="nl-NL"/>
              </w:rPr>
              <w:t xml:space="preserve">(of de gehele) </w:t>
            </w:r>
            <w:r w:rsidRPr="00D92B70">
              <w:rPr>
                <w:sz w:val="16"/>
                <w:lang w:val="nl-NL"/>
              </w:rPr>
              <w:t>marktwerking te vervallen.</w:t>
            </w:r>
          </w:p>
        </w:tc>
      </w:tr>
      <w:bookmarkEnd w:id="1"/>
      <w:tr w:rsidRPr="00930233" w:rsidR="00D30359" w:rsidTr="00D30359" w14:paraId="6261750F" w14:textId="77777777">
        <w:trPr>
          <w:trHeight w:val="685"/>
        </w:trPr>
        <w:tc>
          <w:tcPr>
            <w:tcW w:w="1555" w:type="dxa"/>
          </w:tcPr>
          <w:p w:rsidRPr="00EA618E" w:rsidR="00D30359" w:rsidP="00D30359" w:rsidRDefault="00D30359" w14:paraId="73E8FAE6" w14:textId="77777777">
            <w:pPr>
              <w:ind w:left="57" w:right="57"/>
              <w:rPr>
                <w:b/>
                <w:bCs/>
                <w:sz w:val="16"/>
                <w:szCs w:val="16"/>
              </w:rPr>
            </w:pPr>
            <w:proofErr w:type="spellStart"/>
            <w:r w:rsidRPr="36B71AF4">
              <w:rPr>
                <w:b/>
                <w:bCs/>
                <w:sz w:val="16"/>
                <w:szCs w:val="16"/>
              </w:rPr>
              <w:t>Onomkeer-baarheid</w:t>
            </w:r>
            <w:proofErr w:type="spellEnd"/>
          </w:p>
        </w:tc>
        <w:tc>
          <w:tcPr>
            <w:tcW w:w="2762" w:type="dxa"/>
          </w:tcPr>
          <w:p w:rsidR="00D30359" w:rsidP="00D30359" w:rsidRDefault="00D30359" w14:paraId="4BEE4975" w14:textId="77777777">
            <w:pPr>
              <w:ind w:left="57" w:right="57"/>
              <w:rPr>
                <w:sz w:val="16"/>
                <w:szCs w:val="16"/>
              </w:rPr>
            </w:pPr>
            <w:r w:rsidRPr="36B71AF4">
              <w:rPr>
                <w:sz w:val="16"/>
                <w:szCs w:val="16"/>
              </w:rPr>
              <w:t xml:space="preserve">N.v.t. </w:t>
            </w:r>
          </w:p>
          <w:p w:rsidR="00D30359" w:rsidP="00D30359" w:rsidRDefault="00D30359" w14:paraId="0F84E9BE" w14:textId="77777777">
            <w:pPr>
              <w:ind w:left="57" w:right="57"/>
              <w:rPr>
                <w:sz w:val="16"/>
                <w:szCs w:val="16"/>
              </w:rPr>
            </w:pPr>
          </w:p>
          <w:p w:rsidRPr="00EA618E" w:rsidR="00D30359" w:rsidP="00D30359" w:rsidRDefault="00D30359" w14:paraId="7907E880" w14:textId="77777777">
            <w:pPr>
              <w:ind w:left="57" w:right="57"/>
              <w:rPr>
                <w:sz w:val="16"/>
                <w:szCs w:val="16"/>
              </w:rPr>
            </w:pPr>
            <w:r w:rsidRPr="00EA618E">
              <w:rPr>
                <w:b/>
                <w:bCs/>
                <w:sz w:val="16"/>
                <w:szCs w:val="16"/>
              </w:rPr>
              <w:t xml:space="preserve"> </w:t>
            </w:r>
          </w:p>
        </w:tc>
        <w:tc>
          <w:tcPr>
            <w:tcW w:w="2763" w:type="dxa"/>
          </w:tcPr>
          <w:p w:rsidRPr="00895B7C" w:rsidR="00D30359" w:rsidP="00D30359" w:rsidRDefault="00D30359" w14:paraId="3F6F6578" w14:textId="77777777">
            <w:pPr>
              <w:ind w:left="57" w:right="57"/>
              <w:rPr>
                <w:b/>
                <w:bCs/>
                <w:color w:val="ED7D31" w:themeColor="accent2"/>
                <w:sz w:val="16"/>
                <w:szCs w:val="16"/>
                <w:lang w:val="nl-NL"/>
              </w:rPr>
            </w:pPr>
            <w:r w:rsidRPr="00895B7C">
              <w:rPr>
                <w:b/>
                <w:bCs/>
                <w:color w:val="ED7D31" w:themeColor="accent2"/>
                <w:sz w:val="16"/>
                <w:szCs w:val="16"/>
                <w:lang w:val="nl-NL"/>
              </w:rPr>
              <w:t>Slecht omkeerbaar</w:t>
            </w:r>
          </w:p>
          <w:p w:rsidRPr="00895B7C" w:rsidR="00D30359" w:rsidP="00D30359" w:rsidRDefault="00D30359" w14:paraId="2F9486E2" w14:textId="1C8835B9">
            <w:pPr>
              <w:ind w:left="57" w:right="57"/>
              <w:rPr>
                <w:sz w:val="16"/>
                <w:szCs w:val="16"/>
                <w:lang w:val="nl-NL"/>
              </w:rPr>
            </w:pPr>
            <w:r w:rsidRPr="00017A19">
              <w:rPr>
                <w:sz w:val="16"/>
                <w:szCs w:val="16"/>
                <w:lang w:val="nl-NL"/>
              </w:rPr>
              <w:t xml:space="preserve">Om terug te keren naar het huidige model moet TenneT </w:t>
            </w:r>
            <w:r w:rsidR="009E4367">
              <w:rPr>
                <w:sz w:val="16"/>
                <w:szCs w:val="16"/>
                <w:lang w:val="nl-NL"/>
              </w:rPr>
              <w:t xml:space="preserve">NL </w:t>
            </w:r>
            <w:r w:rsidRPr="00017A19">
              <w:rPr>
                <w:sz w:val="16"/>
                <w:szCs w:val="16"/>
                <w:lang w:val="nl-NL"/>
              </w:rPr>
              <w:t xml:space="preserve">weer een adequate </w:t>
            </w:r>
            <w:r>
              <w:rPr>
                <w:sz w:val="16"/>
                <w:szCs w:val="16"/>
                <w:lang w:val="nl-NL"/>
              </w:rPr>
              <w:t>vermogenspositie</w:t>
            </w:r>
            <w:r w:rsidRPr="00017A19">
              <w:rPr>
                <w:sz w:val="16"/>
                <w:szCs w:val="16"/>
                <w:lang w:val="nl-NL"/>
              </w:rPr>
              <w:t xml:space="preserve"> hebben. Hiervoor moet de op dat moment benodigde kapitaalbehoefte gestort worden De bestaande leningen zullen blijven uitstaan. Omdat TenneT</w:t>
            </w:r>
            <w:r w:rsidR="009E4367">
              <w:rPr>
                <w:sz w:val="16"/>
                <w:szCs w:val="16"/>
                <w:lang w:val="nl-NL"/>
              </w:rPr>
              <w:t xml:space="preserve"> NL</w:t>
            </w:r>
            <w:r w:rsidRPr="00017A19">
              <w:rPr>
                <w:sz w:val="16"/>
                <w:szCs w:val="16"/>
                <w:lang w:val="nl-NL"/>
              </w:rPr>
              <w:t xml:space="preserve"> geen obligaties meer zal hebben uitgegeven, moet mogelijk binnen TenneT </w:t>
            </w:r>
            <w:r w:rsidR="009E4367">
              <w:rPr>
                <w:sz w:val="16"/>
                <w:szCs w:val="16"/>
                <w:lang w:val="nl-NL"/>
              </w:rPr>
              <w:t xml:space="preserve">NL </w:t>
            </w:r>
            <w:r w:rsidRPr="00017A19">
              <w:rPr>
                <w:sz w:val="16"/>
                <w:szCs w:val="16"/>
                <w:lang w:val="nl-NL"/>
              </w:rPr>
              <w:t xml:space="preserve">weer expertise rondom het uitgeven van obligaties worden opgebouwd </w:t>
            </w:r>
          </w:p>
        </w:tc>
        <w:tc>
          <w:tcPr>
            <w:tcW w:w="2763" w:type="dxa"/>
          </w:tcPr>
          <w:p w:rsidRPr="00895B7C" w:rsidR="00D30359" w:rsidP="00D30359" w:rsidRDefault="00D30359" w14:paraId="70076138" w14:textId="77777777">
            <w:pPr>
              <w:ind w:right="57"/>
              <w:rPr>
                <w:b/>
                <w:bCs/>
                <w:color w:val="FF0000"/>
                <w:sz w:val="16"/>
                <w:szCs w:val="16"/>
                <w:lang w:val="nl-NL"/>
              </w:rPr>
            </w:pPr>
            <w:r w:rsidRPr="00895B7C">
              <w:rPr>
                <w:b/>
                <w:bCs/>
                <w:color w:val="FF0000"/>
                <w:sz w:val="16"/>
                <w:szCs w:val="16"/>
                <w:lang w:val="nl-NL"/>
              </w:rPr>
              <w:t xml:space="preserve"> Zeer slecht omkeerbaar</w:t>
            </w:r>
          </w:p>
          <w:p w:rsidRPr="00930233" w:rsidR="00D30359" w:rsidP="00D30359" w:rsidRDefault="00D30359" w14:paraId="6629885E" w14:textId="62A2C90A">
            <w:pPr>
              <w:ind w:left="57" w:right="57"/>
              <w:rPr>
                <w:sz w:val="16"/>
                <w:szCs w:val="16"/>
              </w:rPr>
            </w:pPr>
            <w:r w:rsidRPr="00017A19">
              <w:rPr>
                <w:sz w:val="16"/>
                <w:szCs w:val="16"/>
                <w:lang w:val="nl-NL"/>
              </w:rPr>
              <w:t xml:space="preserve">Om terug te keren naar het huidige model moet TenneT </w:t>
            </w:r>
            <w:r w:rsidR="009E4367">
              <w:rPr>
                <w:sz w:val="16"/>
                <w:szCs w:val="16"/>
                <w:lang w:val="nl-NL"/>
              </w:rPr>
              <w:t xml:space="preserve">NL </w:t>
            </w:r>
            <w:r w:rsidRPr="00017A19">
              <w:rPr>
                <w:sz w:val="16"/>
                <w:szCs w:val="16"/>
                <w:lang w:val="nl-NL"/>
              </w:rPr>
              <w:t xml:space="preserve">weer een adequate </w:t>
            </w:r>
            <w:r>
              <w:rPr>
                <w:sz w:val="16"/>
                <w:szCs w:val="16"/>
                <w:lang w:val="nl-NL"/>
              </w:rPr>
              <w:t>vermogenspositie</w:t>
            </w:r>
            <w:r w:rsidRPr="00017A19">
              <w:rPr>
                <w:sz w:val="16"/>
                <w:szCs w:val="16"/>
                <w:lang w:val="nl-NL"/>
              </w:rPr>
              <w:t xml:space="preserve"> hebben. Hiervoor moet de op dat moment benodigde kapitaalbehoefte gestort worden. De opzegtermijn van de instellingsgarantie is 12 jaar. Het intrekken van de instellingsgarantie zal als een terugtrekkende beweging worden gezien. Dit leidt tot hogere rentekosten voor TenneT</w:t>
            </w:r>
            <w:r w:rsidR="009E4367">
              <w:rPr>
                <w:sz w:val="16"/>
                <w:szCs w:val="16"/>
                <w:lang w:val="nl-NL"/>
              </w:rPr>
              <w:t xml:space="preserve"> NL</w:t>
            </w:r>
            <w:r w:rsidRPr="00017A19">
              <w:rPr>
                <w:sz w:val="16"/>
                <w:szCs w:val="16"/>
                <w:lang w:val="nl-NL"/>
              </w:rPr>
              <w:t>.</w:t>
            </w:r>
          </w:p>
        </w:tc>
      </w:tr>
    </w:tbl>
    <w:p w:rsidR="00D30359" w:rsidP="00ED5B16" w:rsidRDefault="00D30359" w14:paraId="746B4EAA" w14:textId="77777777">
      <w:pPr>
        <w:ind w:left="360"/>
        <w:rPr>
          <w:lang w:val="nl-NL"/>
        </w:rPr>
      </w:pPr>
    </w:p>
    <w:p w:rsidR="00D30359" w:rsidP="00ED5B16" w:rsidRDefault="00D30359" w14:paraId="2A4465BE" w14:textId="2AB4179E">
      <w:pPr>
        <w:ind w:left="360"/>
        <w:rPr>
          <w:lang w:val="nl-NL"/>
        </w:rPr>
      </w:pPr>
      <w:r w:rsidRPr="00577E2A">
        <w:rPr>
          <w:b/>
          <w:bCs/>
          <w:i/>
          <w:iCs/>
          <w:lang w:val="nl-NL"/>
        </w:rPr>
        <w:t xml:space="preserve">Conclusie </w:t>
      </w:r>
      <w:r>
        <w:rPr>
          <w:b/>
          <w:bCs/>
          <w:i/>
          <w:iCs/>
          <w:lang w:val="nl-NL"/>
        </w:rPr>
        <w:br/>
      </w:r>
      <w:r>
        <w:rPr>
          <w:lang w:val="nl-NL"/>
        </w:rPr>
        <w:t xml:space="preserve">Er zijn twee </w:t>
      </w:r>
      <w:r w:rsidR="009E4367">
        <w:rPr>
          <w:lang w:val="nl-NL"/>
        </w:rPr>
        <w:t xml:space="preserve">alternatieve </w:t>
      </w:r>
      <w:r>
        <w:rPr>
          <w:lang w:val="nl-NL"/>
        </w:rPr>
        <w:t>financieringsopties op het bestaande model van kapitaalstorten onderzocht voor TenneT</w:t>
      </w:r>
      <w:r w:rsidR="009E4367">
        <w:rPr>
          <w:lang w:val="nl-NL"/>
        </w:rPr>
        <w:t xml:space="preserve"> NL</w:t>
      </w:r>
      <w:r>
        <w:rPr>
          <w:lang w:val="nl-NL"/>
        </w:rPr>
        <w:t xml:space="preserve">: leningen en een instellingsgarantie. </w:t>
      </w:r>
    </w:p>
    <w:p w:rsidR="00ED5B16" w:rsidP="00ED5B16" w:rsidRDefault="00ED5B16" w14:paraId="089B9912" w14:textId="35B2EEAE">
      <w:pPr>
        <w:ind w:left="360"/>
        <w:rPr>
          <w:lang w:val="nl-NL"/>
        </w:rPr>
      </w:pPr>
      <w:r>
        <w:rPr>
          <w:lang w:val="nl-NL"/>
        </w:rPr>
        <w:t>De instellingsgarantie wordt, gegeven de huidige situatie van een hoge financier</w:t>
      </w:r>
      <w:r w:rsidR="00DE32E9">
        <w:rPr>
          <w:lang w:val="nl-NL"/>
        </w:rPr>
        <w:t>ing</w:t>
      </w:r>
      <w:r>
        <w:rPr>
          <w:lang w:val="nl-NL"/>
        </w:rPr>
        <w:t>sbehoefte en daarbij</w:t>
      </w:r>
      <w:r w:rsidR="009E4367">
        <w:rPr>
          <w:lang w:val="nl-NL"/>
        </w:rPr>
        <w:t xml:space="preserve"> </w:t>
      </w:r>
      <w:r>
        <w:rPr>
          <w:lang w:val="nl-NL"/>
        </w:rPr>
        <w:t>horende kapitaalbehoefte, als beste financieringsmodel gezien voor TenneT</w:t>
      </w:r>
      <w:r w:rsidR="009E4367">
        <w:rPr>
          <w:lang w:val="nl-NL"/>
        </w:rPr>
        <w:t xml:space="preserve"> NL vanwege de volgende redenen</w:t>
      </w:r>
      <w:r>
        <w:rPr>
          <w:lang w:val="nl-NL"/>
        </w:rPr>
        <w:t>:</w:t>
      </w:r>
    </w:p>
    <w:p w:rsidR="00ED5B16" w:rsidP="00ED5B16" w:rsidRDefault="00ED5B16" w14:paraId="4B863459" w14:textId="4BA0DDDA">
      <w:pPr>
        <w:pStyle w:val="Lijstalinea"/>
        <w:numPr>
          <w:ilvl w:val="0"/>
          <w:numId w:val="8"/>
        </w:numPr>
        <w:rPr>
          <w:lang w:val="nl-NL"/>
        </w:rPr>
      </w:pPr>
      <w:r>
        <w:rPr>
          <w:lang w:val="nl-NL"/>
        </w:rPr>
        <w:t>E</w:t>
      </w:r>
      <w:r w:rsidRPr="00ED5B16">
        <w:rPr>
          <w:lang w:val="nl-NL"/>
        </w:rPr>
        <w:t xml:space="preserve">r </w:t>
      </w:r>
      <w:r w:rsidR="008B3C98">
        <w:rPr>
          <w:lang w:val="nl-NL"/>
        </w:rPr>
        <w:t xml:space="preserve">is </w:t>
      </w:r>
      <w:r w:rsidRPr="00ED5B16">
        <w:rPr>
          <w:lang w:val="nl-NL"/>
        </w:rPr>
        <w:t>geen directe budgettaire consequentie van de kapitaalstortingen meer op het EMU-saldo</w:t>
      </w:r>
      <w:r>
        <w:rPr>
          <w:lang w:val="nl-NL"/>
        </w:rPr>
        <w:t>. H</w:t>
      </w:r>
      <w:r w:rsidRPr="00ED5B16">
        <w:rPr>
          <w:lang w:val="nl-NL"/>
        </w:rPr>
        <w:t xml:space="preserve">et risico op materialisatie </w:t>
      </w:r>
      <w:r>
        <w:rPr>
          <w:lang w:val="nl-NL"/>
        </w:rPr>
        <w:t xml:space="preserve">van de garantie is </w:t>
      </w:r>
      <w:r w:rsidRPr="00ED5B16">
        <w:rPr>
          <w:lang w:val="nl-NL"/>
        </w:rPr>
        <w:t xml:space="preserve">zeer beperkt </w:t>
      </w:r>
      <w:r>
        <w:rPr>
          <w:lang w:val="nl-NL"/>
        </w:rPr>
        <w:t>vanwege het betrouwbare verdienmodel van TenneT</w:t>
      </w:r>
      <w:r w:rsidR="009E4367">
        <w:rPr>
          <w:lang w:val="nl-NL"/>
        </w:rPr>
        <w:t xml:space="preserve"> NL</w:t>
      </w:r>
      <w:r>
        <w:rPr>
          <w:lang w:val="nl-NL"/>
        </w:rPr>
        <w:t xml:space="preserve"> door de </w:t>
      </w:r>
      <w:r w:rsidRPr="00ED5B16">
        <w:rPr>
          <w:lang w:val="nl-NL"/>
        </w:rPr>
        <w:t>regulering</w:t>
      </w:r>
      <w:r w:rsidR="00E8506E">
        <w:rPr>
          <w:lang w:val="nl-NL"/>
        </w:rPr>
        <w:t xml:space="preserve"> vanuit de ACM</w:t>
      </w:r>
      <w:r>
        <w:rPr>
          <w:lang w:val="nl-NL"/>
        </w:rPr>
        <w:t>.</w:t>
      </w:r>
      <w:r w:rsidRPr="00ED5B16">
        <w:rPr>
          <w:lang w:val="nl-NL"/>
        </w:rPr>
        <w:t xml:space="preserve"> </w:t>
      </w:r>
      <w:r>
        <w:rPr>
          <w:lang w:val="nl-NL"/>
        </w:rPr>
        <w:t>D</w:t>
      </w:r>
      <w:r w:rsidRPr="00ED5B16">
        <w:rPr>
          <w:lang w:val="nl-NL"/>
        </w:rPr>
        <w:t xml:space="preserve">aarnaast </w:t>
      </w:r>
      <w:r>
        <w:rPr>
          <w:lang w:val="nl-NL"/>
        </w:rPr>
        <w:t xml:space="preserve">stijgt de </w:t>
      </w:r>
      <w:r w:rsidRPr="00ED5B16">
        <w:rPr>
          <w:lang w:val="nl-NL"/>
        </w:rPr>
        <w:t xml:space="preserve">staatsschuld </w:t>
      </w:r>
      <w:r>
        <w:rPr>
          <w:lang w:val="nl-NL"/>
        </w:rPr>
        <w:t>niet;</w:t>
      </w:r>
    </w:p>
    <w:p w:rsidR="00ED5B16" w:rsidP="00ED5B16" w:rsidRDefault="00ED5B16" w14:paraId="0F12A160" w14:textId="12F92EF5">
      <w:pPr>
        <w:pStyle w:val="Lijstalinea"/>
        <w:numPr>
          <w:ilvl w:val="0"/>
          <w:numId w:val="8"/>
        </w:numPr>
        <w:rPr>
          <w:lang w:val="nl-NL"/>
        </w:rPr>
      </w:pPr>
      <w:r>
        <w:rPr>
          <w:lang w:val="nl-NL"/>
        </w:rPr>
        <w:t xml:space="preserve">Het </w:t>
      </w:r>
      <w:r w:rsidR="00443103">
        <w:rPr>
          <w:lang w:val="nl-NL"/>
        </w:rPr>
        <w:t xml:space="preserve">is </w:t>
      </w:r>
      <w:r>
        <w:rPr>
          <w:lang w:val="nl-NL"/>
        </w:rPr>
        <w:t xml:space="preserve">de </w:t>
      </w:r>
      <w:r w:rsidRPr="00ED5B16">
        <w:rPr>
          <w:lang w:val="nl-NL"/>
        </w:rPr>
        <w:t xml:space="preserve">verwachting dat er een aanzienlijk voordeel </w:t>
      </w:r>
      <w:r w:rsidR="009E4367">
        <w:rPr>
          <w:lang w:val="nl-NL"/>
        </w:rPr>
        <w:t xml:space="preserve">wordt </w:t>
      </w:r>
      <w:r w:rsidRPr="00ED5B16">
        <w:rPr>
          <w:lang w:val="nl-NL"/>
        </w:rPr>
        <w:t>behaald op de financieringskosten ten opzichte van de huidige situatie</w:t>
      </w:r>
      <w:r w:rsidR="009E4367">
        <w:rPr>
          <w:lang w:val="nl-NL"/>
        </w:rPr>
        <w:t>.</w:t>
      </w:r>
      <w:r w:rsidRPr="00ED5B16">
        <w:rPr>
          <w:lang w:val="nl-NL"/>
        </w:rPr>
        <w:t xml:space="preserve"> </w:t>
      </w:r>
      <w:r w:rsidR="009E4367">
        <w:rPr>
          <w:lang w:val="nl-NL"/>
        </w:rPr>
        <w:t>D</w:t>
      </w:r>
      <w:r w:rsidRPr="00ED5B16">
        <w:rPr>
          <w:lang w:val="nl-NL"/>
        </w:rPr>
        <w:t>it kan op termijn oplopen tot enkele honderden miljoenen euro’s per jaar</w:t>
      </w:r>
      <w:r>
        <w:rPr>
          <w:lang w:val="nl-NL"/>
        </w:rPr>
        <w:t>;</w:t>
      </w:r>
      <w:r w:rsidRPr="00ED5B16">
        <w:rPr>
          <w:lang w:val="nl-NL"/>
        </w:rPr>
        <w:t xml:space="preserve"> </w:t>
      </w:r>
    </w:p>
    <w:p w:rsidR="00ED5B16" w:rsidP="00ED5B16" w:rsidRDefault="00ED5B16" w14:paraId="01370D60" w14:textId="52076575">
      <w:pPr>
        <w:pStyle w:val="Lijstalinea"/>
        <w:numPr>
          <w:ilvl w:val="0"/>
          <w:numId w:val="8"/>
        </w:numPr>
        <w:rPr>
          <w:lang w:val="nl-NL"/>
        </w:rPr>
      </w:pPr>
      <w:r>
        <w:rPr>
          <w:lang w:val="nl-NL"/>
        </w:rPr>
        <w:t>D</w:t>
      </w:r>
      <w:r w:rsidRPr="00ED5B16">
        <w:rPr>
          <w:lang w:val="nl-NL"/>
        </w:rPr>
        <w:t>e optie</w:t>
      </w:r>
      <w:r>
        <w:rPr>
          <w:lang w:val="nl-NL"/>
        </w:rPr>
        <w:t xml:space="preserve"> </w:t>
      </w:r>
      <w:r w:rsidR="00443103">
        <w:rPr>
          <w:lang w:val="nl-NL"/>
        </w:rPr>
        <w:t xml:space="preserve">is </w:t>
      </w:r>
      <w:r w:rsidRPr="00ED5B16">
        <w:rPr>
          <w:lang w:val="nl-NL"/>
        </w:rPr>
        <w:t>in lijn met het deelnemingenbeleid en de onafhankelijke positie van TenneT</w:t>
      </w:r>
      <w:r w:rsidR="009E4367">
        <w:rPr>
          <w:lang w:val="nl-NL"/>
        </w:rPr>
        <w:t xml:space="preserve"> NL</w:t>
      </w:r>
      <w:r w:rsidRPr="00ED5B16">
        <w:rPr>
          <w:lang w:val="nl-NL"/>
        </w:rPr>
        <w:t xml:space="preserve"> </w:t>
      </w:r>
      <w:r w:rsidRPr="00ED5B16" w:rsidR="009E4367">
        <w:rPr>
          <w:lang w:val="nl-NL"/>
        </w:rPr>
        <w:t xml:space="preserve">blijft </w:t>
      </w:r>
      <w:r w:rsidRPr="00ED5B16">
        <w:rPr>
          <w:lang w:val="nl-NL"/>
        </w:rPr>
        <w:t>in stand</w:t>
      </w:r>
      <w:r>
        <w:rPr>
          <w:lang w:val="nl-NL"/>
        </w:rPr>
        <w:t>;</w:t>
      </w:r>
      <w:r w:rsidRPr="00ED5B16">
        <w:rPr>
          <w:lang w:val="nl-NL"/>
        </w:rPr>
        <w:t xml:space="preserve"> </w:t>
      </w:r>
    </w:p>
    <w:p w:rsidRPr="00ED5B16" w:rsidR="00ED5B16" w:rsidP="00EB7F94" w:rsidRDefault="00ED5B16" w14:paraId="704AD410" w14:textId="2DC6FEA6">
      <w:pPr>
        <w:pStyle w:val="Lijstalinea"/>
        <w:numPr>
          <w:ilvl w:val="0"/>
          <w:numId w:val="8"/>
        </w:numPr>
        <w:rPr>
          <w:lang w:val="nl-NL"/>
        </w:rPr>
      </w:pPr>
      <w:r>
        <w:rPr>
          <w:lang w:val="nl-NL"/>
        </w:rPr>
        <w:t xml:space="preserve">Er </w:t>
      </w:r>
      <w:r w:rsidRPr="00ED5B16" w:rsidR="009E4367">
        <w:rPr>
          <w:lang w:val="nl-NL"/>
        </w:rPr>
        <w:t xml:space="preserve">blijft </w:t>
      </w:r>
      <w:r w:rsidR="009E4367">
        <w:rPr>
          <w:lang w:val="nl-NL"/>
        </w:rPr>
        <w:t xml:space="preserve">een </w:t>
      </w:r>
      <w:r w:rsidRPr="00ED5B16">
        <w:rPr>
          <w:lang w:val="nl-NL"/>
        </w:rPr>
        <w:t>gedeeltelijk</w:t>
      </w:r>
      <w:r w:rsidR="00822A4A">
        <w:rPr>
          <w:lang w:val="nl-NL"/>
        </w:rPr>
        <w:t>e</w:t>
      </w:r>
      <w:r w:rsidRPr="00ED5B16">
        <w:rPr>
          <w:lang w:val="nl-NL"/>
        </w:rPr>
        <w:t xml:space="preserve"> tucht/controle vanuit de obligatiemarkt</w:t>
      </w:r>
      <w:r w:rsidR="009E4367">
        <w:rPr>
          <w:lang w:val="nl-NL"/>
        </w:rPr>
        <w:t>.</w:t>
      </w:r>
      <w:r w:rsidRPr="00ED5B16">
        <w:rPr>
          <w:lang w:val="nl-NL"/>
        </w:rPr>
        <w:t xml:space="preserve"> </w:t>
      </w:r>
      <w:r w:rsidR="009E4367">
        <w:rPr>
          <w:lang w:val="nl-NL"/>
        </w:rPr>
        <w:t>H</w:t>
      </w:r>
      <w:r w:rsidRPr="00ED5B16">
        <w:rPr>
          <w:lang w:val="nl-NL"/>
        </w:rPr>
        <w:t>ierdoor is er een additionele manier waarop TenneT</w:t>
      </w:r>
      <w:r w:rsidR="009E4367">
        <w:rPr>
          <w:lang w:val="nl-NL"/>
        </w:rPr>
        <w:t xml:space="preserve"> NL</w:t>
      </w:r>
      <w:r w:rsidRPr="00ED5B16">
        <w:rPr>
          <w:lang w:val="nl-NL"/>
        </w:rPr>
        <w:t xml:space="preserve"> zich moet verantwoorden. </w:t>
      </w:r>
    </w:p>
    <w:p w:rsidR="00ED5B16" w:rsidP="00ED5B16" w:rsidRDefault="00ED5B16" w14:paraId="1C889AE6" w14:textId="33E31270">
      <w:pPr>
        <w:ind w:left="360"/>
        <w:rPr>
          <w:lang w:val="nl-NL"/>
        </w:rPr>
      </w:pPr>
      <w:r>
        <w:rPr>
          <w:lang w:val="nl-NL"/>
        </w:rPr>
        <w:t xml:space="preserve">De nadelen zijn: </w:t>
      </w:r>
    </w:p>
    <w:p w:rsidR="00ED5B16" w:rsidP="00ED5B16" w:rsidRDefault="00ED5B16" w14:paraId="6BEEB516" w14:textId="0A64E8E4">
      <w:pPr>
        <w:pStyle w:val="Lijstalinea"/>
        <w:numPr>
          <w:ilvl w:val="0"/>
          <w:numId w:val="10"/>
        </w:numPr>
        <w:rPr>
          <w:lang w:val="nl-NL"/>
        </w:rPr>
      </w:pPr>
      <w:r>
        <w:rPr>
          <w:lang w:val="nl-NL"/>
        </w:rPr>
        <w:t>D</w:t>
      </w:r>
      <w:r w:rsidRPr="00ED5B16">
        <w:rPr>
          <w:lang w:val="nl-NL"/>
        </w:rPr>
        <w:t xml:space="preserve">e garantie </w:t>
      </w:r>
      <w:r>
        <w:rPr>
          <w:lang w:val="nl-NL"/>
        </w:rPr>
        <w:t xml:space="preserve">is </w:t>
      </w:r>
      <w:r w:rsidRPr="00ED5B16">
        <w:rPr>
          <w:lang w:val="nl-NL"/>
        </w:rPr>
        <w:t>slecht omkeerbaar</w:t>
      </w:r>
      <w:r w:rsidR="009E4367">
        <w:rPr>
          <w:lang w:val="nl-NL"/>
        </w:rPr>
        <w:t>;</w:t>
      </w:r>
      <w:r w:rsidRPr="00ED5B16">
        <w:rPr>
          <w:lang w:val="nl-NL"/>
        </w:rPr>
        <w:t xml:space="preserve"> </w:t>
      </w:r>
    </w:p>
    <w:p w:rsidR="00004717" w:rsidP="00EB7F94" w:rsidRDefault="00ED5B16" w14:paraId="7EF47DBE" w14:textId="56AAA612">
      <w:pPr>
        <w:pStyle w:val="Lijstalinea"/>
        <w:numPr>
          <w:ilvl w:val="0"/>
          <w:numId w:val="10"/>
        </w:numPr>
        <w:rPr>
          <w:lang w:val="nl-NL"/>
        </w:rPr>
      </w:pPr>
      <w:r>
        <w:rPr>
          <w:lang w:val="nl-NL"/>
        </w:rPr>
        <w:lastRenderedPageBreak/>
        <w:t xml:space="preserve">Er gaat </w:t>
      </w:r>
      <w:r w:rsidRPr="00ED5B16">
        <w:rPr>
          <w:lang w:val="nl-NL"/>
        </w:rPr>
        <w:t xml:space="preserve">een mindere signaalwerking </w:t>
      </w:r>
      <w:r>
        <w:rPr>
          <w:lang w:val="nl-NL"/>
        </w:rPr>
        <w:t>uit</w:t>
      </w:r>
      <w:r w:rsidRPr="00ED5B16">
        <w:rPr>
          <w:lang w:val="nl-NL"/>
        </w:rPr>
        <w:t xml:space="preserve"> van de garantie</w:t>
      </w:r>
      <w:r w:rsidR="009E4367">
        <w:rPr>
          <w:lang w:val="nl-NL"/>
        </w:rPr>
        <w:t>,</w:t>
      </w:r>
      <w:r w:rsidRPr="00ED5B16">
        <w:rPr>
          <w:lang w:val="nl-NL"/>
        </w:rPr>
        <w:t xml:space="preserve"> omdat er geen budgettaire inpassing plaats moet vinden. </w:t>
      </w:r>
      <w:r>
        <w:rPr>
          <w:lang w:val="nl-NL"/>
        </w:rPr>
        <w:t>Dit is</w:t>
      </w:r>
      <w:r w:rsidRPr="00ED5B16">
        <w:rPr>
          <w:lang w:val="nl-NL"/>
        </w:rPr>
        <w:t xml:space="preserve"> deels gemitigeerd door de vormgeving van de garantie, omdat er een jaarlijkse update van het garantieplafond aan beide Kamers gestuurd zal worden en deze moet worden goedgekeurd door beide Kamers. </w:t>
      </w:r>
      <w:r w:rsidR="000D37EC">
        <w:rPr>
          <w:lang w:val="nl-NL"/>
        </w:rPr>
        <w:br/>
      </w:r>
    </w:p>
    <w:bookmarkEnd w:id="0"/>
    <w:p w:rsidR="00004717" w:rsidP="00004717" w:rsidRDefault="00004717" w14:paraId="0488CB27" w14:textId="77777777">
      <w:pPr>
        <w:pStyle w:val="Lijstalinea"/>
        <w:numPr>
          <w:ilvl w:val="0"/>
          <w:numId w:val="4"/>
        </w:numPr>
        <w:spacing w:line="256" w:lineRule="auto"/>
        <w:rPr>
          <w:i/>
          <w:iCs/>
          <w:lang w:val="nl-NL"/>
        </w:rPr>
      </w:pPr>
      <w:r>
        <w:rPr>
          <w:i/>
          <w:iCs/>
          <w:lang w:val="nl-NL"/>
        </w:rPr>
        <w:t xml:space="preserve">Op welke wijze wordt het nieuw aan te </w:t>
      </w:r>
      <w:proofErr w:type="spellStart"/>
      <w:r>
        <w:rPr>
          <w:i/>
          <w:iCs/>
          <w:lang w:val="nl-NL"/>
        </w:rPr>
        <w:t>gane</w:t>
      </w:r>
      <w:proofErr w:type="spellEnd"/>
      <w:r>
        <w:rPr>
          <w:i/>
          <w:iCs/>
          <w:lang w:val="nl-NL"/>
        </w:rPr>
        <w:t xml:space="preserve"> risico gecompenseerd door risico’s vanuit andere</w:t>
      </w:r>
    </w:p>
    <w:p w:rsidR="00004717" w:rsidP="00004717" w:rsidRDefault="00004717" w14:paraId="0EE644A7" w14:textId="77777777">
      <w:pPr>
        <w:pStyle w:val="Lijstalinea"/>
        <w:ind w:left="360"/>
        <w:rPr>
          <w:i/>
          <w:iCs/>
          <w:lang w:val="nl-NL"/>
        </w:rPr>
      </w:pPr>
      <w:proofErr w:type="gramStart"/>
      <w:r>
        <w:rPr>
          <w:i/>
          <w:iCs/>
          <w:lang w:val="nl-NL"/>
        </w:rPr>
        <w:t>risicoregelingen</w:t>
      </w:r>
      <w:proofErr w:type="gramEnd"/>
      <w:r>
        <w:rPr>
          <w:i/>
          <w:iCs/>
          <w:lang w:val="nl-NL"/>
        </w:rPr>
        <w:t xml:space="preserve"> binnen de begroting te verminderen?</w:t>
      </w:r>
    </w:p>
    <w:p w:rsidR="00004717" w:rsidP="00004717" w:rsidRDefault="00004717" w14:paraId="32E477F6" w14:textId="77777777">
      <w:pPr>
        <w:pStyle w:val="Lijstalinea"/>
        <w:ind w:left="360"/>
        <w:rPr>
          <w:lang w:val="nl-NL"/>
        </w:rPr>
      </w:pPr>
    </w:p>
    <w:p w:rsidR="00004717" w:rsidP="00004717" w:rsidRDefault="003A5783" w14:paraId="01DAE22D" w14:textId="00CC1E23">
      <w:pPr>
        <w:pStyle w:val="Lijstalinea"/>
        <w:ind w:left="360"/>
        <w:rPr>
          <w:lang w:val="nl-NL"/>
        </w:rPr>
      </w:pPr>
      <w:r w:rsidRPr="009A138C">
        <w:rPr>
          <w:lang w:val="nl-NL"/>
        </w:rPr>
        <w:t xml:space="preserve">Momenteel heeft TenneT Holding een leningsfaciliteit bij de staat voor 2025 en 2026 van respectievelijk € 14 miljard en € 17 miljard. Deze leningsfaciliteit dient als overbruggingsoplossing tot de structurele oplossingen voor TenneT Nederland en TenneT Duitsland volledig zijn geïmplementeerd. Voor TenneT Nederland geldt dat de structurele oplossing volledig is geïmplementeerd op het moment dat het parlement heeft ingestemd met </w:t>
      </w:r>
      <w:r>
        <w:rPr>
          <w:lang w:val="nl-NL"/>
        </w:rPr>
        <w:t xml:space="preserve">de </w:t>
      </w:r>
      <w:r w:rsidRPr="009A138C">
        <w:rPr>
          <w:lang w:val="nl-NL"/>
        </w:rPr>
        <w:t xml:space="preserve">garantie in de Voorjaarsnota 2025 en TenneT Nederland daardoor met behulp van de garantie zelfstandig schuld kan ophalen. </w:t>
      </w:r>
      <w:r>
        <w:rPr>
          <w:lang w:val="nl-NL"/>
        </w:rPr>
        <w:t>D</w:t>
      </w:r>
      <w:r w:rsidRPr="009A138C">
        <w:rPr>
          <w:lang w:val="nl-NL"/>
        </w:rPr>
        <w:t xml:space="preserve">e reservering voor TenneT Nederland </w:t>
      </w:r>
      <w:r>
        <w:rPr>
          <w:lang w:val="nl-NL"/>
        </w:rPr>
        <w:t>van</w:t>
      </w:r>
      <w:r w:rsidRPr="009A138C">
        <w:rPr>
          <w:lang w:val="nl-NL"/>
        </w:rPr>
        <w:t xml:space="preserve"> 2026 van € 6,6 miljard </w:t>
      </w:r>
      <w:r>
        <w:rPr>
          <w:lang w:val="nl-NL"/>
        </w:rPr>
        <w:t xml:space="preserve">komt </w:t>
      </w:r>
      <w:r w:rsidRPr="009A138C">
        <w:rPr>
          <w:lang w:val="nl-NL"/>
        </w:rPr>
        <w:t xml:space="preserve">dan bij het </w:t>
      </w:r>
      <w:proofErr w:type="gramStart"/>
      <w:r w:rsidRPr="009A138C">
        <w:rPr>
          <w:lang w:val="nl-NL"/>
        </w:rPr>
        <w:t>eerst volgende</w:t>
      </w:r>
      <w:proofErr w:type="gramEnd"/>
      <w:r w:rsidRPr="009A138C">
        <w:rPr>
          <w:lang w:val="nl-NL"/>
        </w:rPr>
        <w:t xml:space="preserve"> begrotingsmoment na de implementatie, de Miljoenennota 2026, </w:t>
      </w:r>
      <w:r>
        <w:rPr>
          <w:lang w:val="nl-NL"/>
        </w:rPr>
        <w:t>vrij te vallen</w:t>
      </w:r>
      <w:r w:rsidRPr="009A138C">
        <w:rPr>
          <w:lang w:val="nl-NL"/>
        </w:rPr>
        <w:t>.</w:t>
      </w:r>
    </w:p>
    <w:p w:rsidR="00004717" w:rsidP="00004717" w:rsidRDefault="00004717" w14:paraId="4523889A" w14:textId="77777777">
      <w:pPr>
        <w:rPr>
          <w:b/>
          <w:bCs/>
          <w:u w:val="single"/>
          <w:lang w:val="nl-NL"/>
        </w:rPr>
      </w:pPr>
      <w:r>
        <w:rPr>
          <w:b/>
          <w:bCs/>
          <w:u w:val="single"/>
          <w:lang w:val="nl-NL"/>
        </w:rPr>
        <w:t xml:space="preserve">Risico’s en risicobeheersing </w:t>
      </w:r>
    </w:p>
    <w:p w:rsidR="00004717" w:rsidP="00371F52" w:rsidRDefault="00004717" w14:paraId="7F3C54E2" w14:textId="77777777">
      <w:pPr>
        <w:pStyle w:val="Lijstalinea"/>
        <w:numPr>
          <w:ilvl w:val="0"/>
          <w:numId w:val="4"/>
        </w:numPr>
        <w:spacing w:line="256" w:lineRule="auto"/>
        <w:rPr>
          <w:i/>
          <w:iCs/>
          <w:lang w:val="nl-NL"/>
        </w:rPr>
      </w:pPr>
      <w:bookmarkStart w:name="_Hlk193730223" w:id="2"/>
      <w:r>
        <w:rPr>
          <w:i/>
          <w:iCs/>
          <w:lang w:val="nl-NL"/>
        </w:rPr>
        <w:t>Wat zijn de risico’s van de regeling voor het Rijk</w:t>
      </w:r>
    </w:p>
    <w:p w:rsidR="00004717" w:rsidP="009A138C" w:rsidRDefault="00004717" w14:paraId="48916A3F" w14:textId="77777777">
      <w:pPr>
        <w:pStyle w:val="Lijstalinea"/>
        <w:spacing w:line="256" w:lineRule="auto"/>
        <w:ind w:left="360"/>
        <w:rPr>
          <w:i/>
          <w:iCs/>
          <w:lang w:val="nl-NL"/>
        </w:rPr>
      </w:pPr>
      <w:r>
        <w:rPr>
          <w:i/>
          <w:iCs/>
          <w:lang w:val="nl-NL"/>
        </w:rPr>
        <w:t>Wat is het totaalrisico van de regeling op jaarbasis? Kent de regeling een totaalplafond?</w:t>
      </w:r>
    </w:p>
    <w:p w:rsidR="00EB7F94" w:rsidP="00EB7F94" w:rsidRDefault="00004717" w14:paraId="04A86DD5" w14:textId="2C08FDAB">
      <w:pPr>
        <w:pStyle w:val="Lijstalinea"/>
        <w:spacing w:line="256" w:lineRule="auto"/>
        <w:ind w:left="360"/>
        <w:rPr>
          <w:lang w:val="nl-NL"/>
        </w:rPr>
      </w:pPr>
      <w:r>
        <w:rPr>
          <w:lang w:val="nl-NL"/>
        </w:rPr>
        <w:t>O</w:t>
      </w:r>
      <w:r w:rsidRPr="00C81687">
        <w:rPr>
          <w:lang w:val="nl-NL"/>
        </w:rPr>
        <w:t xml:space="preserve">nder de garantie krijgt </w:t>
      </w:r>
      <w:r>
        <w:rPr>
          <w:lang w:val="nl-NL"/>
        </w:rPr>
        <w:t>TenneT</w:t>
      </w:r>
      <w:r w:rsidR="009E4367">
        <w:rPr>
          <w:lang w:val="nl-NL"/>
        </w:rPr>
        <w:t xml:space="preserve"> NL</w:t>
      </w:r>
      <w:r>
        <w:rPr>
          <w:lang w:val="nl-NL"/>
        </w:rPr>
        <w:t xml:space="preserve"> </w:t>
      </w:r>
      <w:r w:rsidRPr="00C81687">
        <w:rPr>
          <w:lang w:val="nl-NL"/>
        </w:rPr>
        <w:t>een schuldplafond toegewezen</w:t>
      </w:r>
      <w:r>
        <w:rPr>
          <w:lang w:val="nl-NL"/>
        </w:rPr>
        <w:t xml:space="preserve">. Dit schuldplafond </w:t>
      </w:r>
      <w:r w:rsidR="006F4629">
        <w:rPr>
          <w:lang w:val="nl-NL"/>
        </w:rPr>
        <w:t>be</w:t>
      </w:r>
      <w:r w:rsidR="00EB7F94">
        <w:rPr>
          <w:lang w:val="nl-NL"/>
        </w:rPr>
        <w:t xml:space="preserve">staat uit: </w:t>
      </w:r>
      <w:r w:rsidR="00131010">
        <w:rPr>
          <w:lang w:val="nl-NL"/>
        </w:rPr>
        <w:br/>
      </w:r>
    </w:p>
    <w:p w:rsidR="00EB7F94" w:rsidP="00F66061" w:rsidRDefault="00EB7F94" w14:paraId="1EB205AB" w14:textId="29E50F19">
      <w:pPr>
        <w:pStyle w:val="Lijstalinea"/>
        <w:numPr>
          <w:ilvl w:val="1"/>
          <w:numId w:val="4"/>
        </w:numPr>
        <w:spacing w:line="256" w:lineRule="auto"/>
        <w:rPr>
          <w:lang w:val="nl-NL"/>
        </w:rPr>
      </w:pPr>
      <w:r>
        <w:rPr>
          <w:lang w:val="nl-NL"/>
        </w:rPr>
        <w:t>D</w:t>
      </w:r>
      <w:r w:rsidRPr="00EB7F94" w:rsidR="00004717">
        <w:rPr>
          <w:lang w:val="nl-NL"/>
        </w:rPr>
        <w:t xml:space="preserve">e reeds uitstaande schuld van TenneT </w:t>
      </w:r>
      <w:r w:rsidRPr="00EB7F94" w:rsidR="009E4367">
        <w:rPr>
          <w:lang w:val="nl-NL"/>
        </w:rPr>
        <w:t xml:space="preserve">NL </w:t>
      </w:r>
    </w:p>
    <w:p w:rsidR="00F66061" w:rsidP="00F66061" w:rsidRDefault="00EB7F94" w14:paraId="04F64094" w14:textId="77777777">
      <w:pPr>
        <w:pStyle w:val="Lijstalinea"/>
        <w:numPr>
          <w:ilvl w:val="1"/>
          <w:numId w:val="4"/>
        </w:numPr>
        <w:spacing w:line="256" w:lineRule="auto"/>
        <w:rPr>
          <w:lang w:val="nl-NL"/>
        </w:rPr>
      </w:pPr>
      <w:r>
        <w:rPr>
          <w:lang w:val="nl-NL"/>
        </w:rPr>
        <w:t>D</w:t>
      </w:r>
      <w:r w:rsidRPr="00EB7F94" w:rsidR="00004717">
        <w:rPr>
          <w:lang w:val="nl-NL"/>
        </w:rPr>
        <w:t xml:space="preserve">e verwachte financieringsbehoefte van TenneT </w:t>
      </w:r>
      <w:r w:rsidRPr="00EB7F94" w:rsidR="009E4367">
        <w:rPr>
          <w:lang w:val="nl-NL"/>
        </w:rPr>
        <w:t xml:space="preserve">NL </w:t>
      </w:r>
      <w:r w:rsidRPr="00EB7F94" w:rsidR="00004717">
        <w:rPr>
          <w:lang w:val="nl-NL"/>
        </w:rPr>
        <w:t xml:space="preserve">die zij nodig heeft om alle wettelijke verplichte investeringen te financieren. </w:t>
      </w:r>
    </w:p>
    <w:p w:rsidRPr="00334A63" w:rsidR="00004717" w:rsidP="00EB7F94" w:rsidRDefault="00D203A6" w14:paraId="2CEB0A66" w14:textId="23AB8206">
      <w:pPr>
        <w:ind w:left="360"/>
        <w:rPr>
          <w:lang w:val="nl-NL"/>
        </w:rPr>
      </w:pPr>
      <w:r>
        <w:rPr>
          <w:lang w:val="nl-NL"/>
        </w:rPr>
        <w:t xml:space="preserve">Er is ook </w:t>
      </w:r>
      <w:r w:rsidRPr="009A138C">
        <w:rPr>
          <w:lang w:val="nl-NL"/>
        </w:rPr>
        <w:t xml:space="preserve">garantieruimte opgenomen zodat TenneT kan voldoen aan verplichtingen uit het geplande ontwikkelkader Wind op Zee dat </w:t>
      </w:r>
      <w:r w:rsidR="001E1B94">
        <w:rPr>
          <w:lang w:val="nl-NL"/>
        </w:rPr>
        <w:t>in</w:t>
      </w:r>
      <w:r w:rsidRPr="009A138C">
        <w:rPr>
          <w:lang w:val="nl-NL"/>
        </w:rPr>
        <w:t xml:space="preserve"> </w:t>
      </w:r>
      <w:r w:rsidR="001E1B94">
        <w:rPr>
          <w:lang w:val="nl-NL"/>
        </w:rPr>
        <w:t>mei</w:t>
      </w:r>
      <w:r w:rsidRPr="009A138C">
        <w:rPr>
          <w:lang w:val="nl-NL"/>
        </w:rPr>
        <w:t xml:space="preserve"> </w:t>
      </w:r>
      <w:r w:rsidRPr="003D050A">
        <w:rPr>
          <w:lang w:val="nl-NL"/>
        </w:rPr>
        <w:t>wordt</w:t>
      </w:r>
      <w:r w:rsidRPr="00F66061" w:rsidDel="00D203A6">
        <w:rPr>
          <w:lang w:val="nl-NL"/>
        </w:rPr>
        <w:t xml:space="preserve"> </w:t>
      </w:r>
      <w:r w:rsidRPr="009A138C">
        <w:rPr>
          <w:lang w:val="nl-NL"/>
        </w:rPr>
        <w:t>verwacht</w:t>
      </w:r>
      <w:r>
        <w:rPr>
          <w:lang w:val="nl-NL"/>
        </w:rPr>
        <w:t>.</w:t>
      </w:r>
      <w:r w:rsidRPr="009A138C">
        <w:rPr>
          <w:lang w:val="nl-NL"/>
        </w:rPr>
        <w:t xml:space="preserve"> </w:t>
      </w:r>
      <w:r w:rsidR="003A5783">
        <w:rPr>
          <w:lang w:val="nl-NL"/>
        </w:rPr>
        <w:t xml:space="preserve">Het gaat hierbij specifiek om het windpark </w:t>
      </w:r>
      <w:proofErr w:type="spellStart"/>
      <w:r w:rsidR="003A5783">
        <w:rPr>
          <w:lang w:val="nl-NL"/>
        </w:rPr>
        <w:t>Door</w:t>
      </w:r>
      <w:r w:rsidR="00413B7D">
        <w:rPr>
          <w:lang w:val="nl-NL"/>
        </w:rPr>
        <w:t>d</w:t>
      </w:r>
      <w:r w:rsidR="003A5783">
        <w:rPr>
          <w:lang w:val="nl-NL"/>
        </w:rPr>
        <w:t>e</w:t>
      </w:r>
      <w:r w:rsidR="00413B7D">
        <w:rPr>
          <w:lang w:val="nl-NL"/>
        </w:rPr>
        <w:t>w</w:t>
      </w:r>
      <w:r w:rsidR="003A5783">
        <w:rPr>
          <w:lang w:val="nl-NL"/>
        </w:rPr>
        <w:t>ind</w:t>
      </w:r>
      <w:proofErr w:type="spellEnd"/>
      <w:r w:rsidR="00413B7D">
        <w:rPr>
          <w:lang w:val="nl-NL"/>
        </w:rPr>
        <w:t xml:space="preserve"> II</w:t>
      </w:r>
      <w:r w:rsidR="003A5783">
        <w:rPr>
          <w:lang w:val="nl-NL"/>
        </w:rPr>
        <w:t xml:space="preserve">. </w:t>
      </w:r>
      <w:bookmarkStart w:name="_Hlk192596810" w:id="3"/>
      <w:r w:rsidRPr="00EB7F94" w:rsidR="00004717">
        <w:rPr>
          <w:lang w:val="nl-NL"/>
        </w:rPr>
        <w:t xml:space="preserve">Bij de inwerkingtreding van de nieuwe garantie is dit schuldplafond € </w:t>
      </w:r>
      <w:r w:rsidR="00700BFB">
        <w:rPr>
          <w:lang w:val="nl-NL"/>
        </w:rPr>
        <w:t>52</w:t>
      </w:r>
      <w:r w:rsidRPr="00EB7F94" w:rsidR="00004717">
        <w:rPr>
          <w:lang w:val="nl-NL"/>
        </w:rPr>
        <w:t xml:space="preserve"> miljard. </w:t>
      </w:r>
      <w:r w:rsidR="003A5783">
        <w:rPr>
          <w:lang w:val="nl-NL"/>
        </w:rPr>
        <w:t xml:space="preserve">De hoogte van het schuldplafond is door de financieel adviseur van de staat gevalideerd. </w:t>
      </w:r>
      <w:r w:rsidR="00E12BC3">
        <w:rPr>
          <w:lang w:val="nl-NL"/>
        </w:rPr>
        <w:t>Minimaal een keer per</w:t>
      </w:r>
      <w:r w:rsidRPr="00EB7F94" w:rsidR="00E12BC3">
        <w:rPr>
          <w:lang w:val="nl-NL"/>
        </w:rPr>
        <w:t xml:space="preserve"> </w:t>
      </w:r>
      <w:r w:rsidRPr="00EB7F94" w:rsidR="00004717">
        <w:rPr>
          <w:lang w:val="nl-NL"/>
        </w:rPr>
        <w:t xml:space="preserve">jaar </w:t>
      </w:r>
      <w:r w:rsidR="00E12BC3">
        <w:rPr>
          <w:lang w:val="nl-NL"/>
        </w:rPr>
        <w:t xml:space="preserve">bij de Voorjaarsnota </w:t>
      </w:r>
      <w:r w:rsidRPr="00EB7F94" w:rsidR="00004717">
        <w:rPr>
          <w:lang w:val="nl-NL"/>
        </w:rPr>
        <w:t xml:space="preserve">zal </w:t>
      </w:r>
      <w:r w:rsidRPr="00334A63" w:rsidR="00004717">
        <w:rPr>
          <w:lang w:val="nl-NL"/>
        </w:rPr>
        <w:t>het schuldplafond herijkt worden, zodat het totale plafond wederom dekkend is voor de benodigde financiering van alle wettelijke investeringen</w:t>
      </w:r>
      <w:r w:rsidRPr="00334A63" w:rsidR="00E8506E">
        <w:rPr>
          <w:lang w:val="nl-NL"/>
        </w:rPr>
        <w:t xml:space="preserve"> plus de reeds uitstaande schuld</w:t>
      </w:r>
      <w:r w:rsidRPr="00334A63" w:rsidR="00004717">
        <w:rPr>
          <w:lang w:val="nl-NL"/>
        </w:rPr>
        <w:t>. TenneT</w:t>
      </w:r>
      <w:r w:rsidRPr="00334A63" w:rsidR="009E4367">
        <w:rPr>
          <w:lang w:val="nl-NL"/>
        </w:rPr>
        <w:t xml:space="preserve"> NL</w:t>
      </w:r>
      <w:r w:rsidRPr="00334A63" w:rsidR="00004717">
        <w:rPr>
          <w:lang w:val="nl-NL"/>
        </w:rPr>
        <w:t xml:space="preserve"> mag vreemd vermogen aantrekken onder de garantie tot aan dit totale schuldplafond. </w:t>
      </w:r>
      <w:bookmarkEnd w:id="3"/>
      <w:r w:rsidRPr="00334A63" w:rsidR="00004717">
        <w:rPr>
          <w:lang w:val="nl-NL"/>
        </w:rPr>
        <w:t xml:space="preserve">TenneT </w:t>
      </w:r>
      <w:r w:rsidRPr="00334A63" w:rsidR="009E4367">
        <w:rPr>
          <w:lang w:val="nl-NL"/>
        </w:rPr>
        <w:t xml:space="preserve">NL </w:t>
      </w:r>
      <w:r w:rsidRPr="00334A63" w:rsidR="00004717">
        <w:rPr>
          <w:lang w:val="nl-NL"/>
        </w:rPr>
        <w:t>zal niet gelijk de gehele ruimte van het plafond gebruiken en zal over de jaren haar schuldpositie opbouwen.</w:t>
      </w:r>
    </w:p>
    <w:p w:rsidRPr="00334A63" w:rsidR="008B29A1" w:rsidP="008B29A1" w:rsidRDefault="008B29A1" w14:paraId="7081B8DE" w14:textId="77777777">
      <w:pPr>
        <w:pStyle w:val="Lijstalinea"/>
        <w:spacing w:line="256" w:lineRule="auto"/>
        <w:ind w:left="360"/>
        <w:rPr>
          <w:lang w:val="nl-NL"/>
        </w:rPr>
      </w:pPr>
      <w:r w:rsidRPr="00334A63">
        <w:rPr>
          <w:lang w:val="nl-NL"/>
        </w:rPr>
        <w:t xml:space="preserve">Een gedeelte van de huidige bestaande schuld zal ook onder de garantie worden geplaatst. Dit wordt gedaan in het kader van de schuldherstructurering van TenneT NL. Zie voor meer informatie hierover de begeleidende brief bij dit toetsingskader.  </w:t>
      </w:r>
    </w:p>
    <w:p w:rsidRPr="00334A63" w:rsidR="00004717" w:rsidP="00EB7F94" w:rsidRDefault="00004717" w14:paraId="60386FB1" w14:textId="77777777">
      <w:pPr>
        <w:pStyle w:val="Lijstalinea"/>
        <w:spacing w:line="256" w:lineRule="auto"/>
        <w:ind w:left="360"/>
        <w:rPr>
          <w:lang w:val="nl-NL"/>
        </w:rPr>
      </w:pPr>
    </w:p>
    <w:p w:rsidR="00004717" w:rsidP="00EB7F94" w:rsidRDefault="00004717" w14:paraId="7021CAAA" w14:textId="6F85A006">
      <w:pPr>
        <w:pStyle w:val="Lijstalinea"/>
        <w:spacing w:line="256" w:lineRule="auto"/>
        <w:ind w:left="360"/>
        <w:rPr>
          <w:lang w:val="nl-NL"/>
        </w:rPr>
      </w:pPr>
      <w:r w:rsidRPr="00334A63">
        <w:rPr>
          <w:lang w:val="nl-NL"/>
        </w:rPr>
        <w:t>De som van alle uitstaande schuld</w:t>
      </w:r>
      <w:r w:rsidRPr="00334A63" w:rsidR="00720BE1">
        <w:rPr>
          <w:lang w:val="nl-NL"/>
        </w:rPr>
        <w:t xml:space="preserve"> </w:t>
      </w:r>
      <w:r w:rsidRPr="00334A63">
        <w:rPr>
          <w:lang w:val="nl-NL"/>
        </w:rPr>
        <w:t xml:space="preserve">van TenneT </w:t>
      </w:r>
      <w:r w:rsidRPr="00334A63" w:rsidR="009E4367">
        <w:rPr>
          <w:lang w:val="nl-NL"/>
        </w:rPr>
        <w:t xml:space="preserve">NL </w:t>
      </w:r>
      <w:r w:rsidRPr="00334A63">
        <w:rPr>
          <w:lang w:val="nl-NL"/>
        </w:rPr>
        <w:t>onder de garantie is het theoretische totaalrisico voor de staat. Zoals hierboven geschetst, zal dit de komende jaren (ruim) onder</w:t>
      </w:r>
      <w:r>
        <w:rPr>
          <w:lang w:val="nl-NL"/>
        </w:rPr>
        <w:t xml:space="preserve"> het garantieplafond zitten. </w:t>
      </w:r>
    </w:p>
    <w:p w:rsidR="00004717" w:rsidP="00EB7F94" w:rsidRDefault="00004717" w14:paraId="5B68D524" w14:textId="77777777">
      <w:pPr>
        <w:pStyle w:val="Lijstalinea"/>
        <w:spacing w:line="256" w:lineRule="auto"/>
        <w:ind w:left="360"/>
        <w:rPr>
          <w:lang w:val="nl-NL"/>
        </w:rPr>
      </w:pPr>
    </w:p>
    <w:p w:rsidR="00004717" w:rsidP="00EB7F94" w:rsidRDefault="00004717" w14:paraId="5FC5A9CE" w14:textId="5519B40F">
      <w:pPr>
        <w:pStyle w:val="Lijstalinea"/>
        <w:spacing w:line="256" w:lineRule="auto"/>
        <w:ind w:left="360"/>
        <w:rPr>
          <w:lang w:val="nl-NL"/>
        </w:rPr>
      </w:pPr>
      <w:r w:rsidRPr="00C81687">
        <w:rPr>
          <w:lang w:val="nl-NL"/>
        </w:rPr>
        <w:t xml:space="preserve">Het reële risico van de staat is echter een stuk lager. Tegenover de financiële verplichtingen van </w:t>
      </w:r>
      <w:r>
        <w:rPr>
          <w:lang w:val="nl-NL"/>
        </w:rPr>
        <w:t xml:space="preserve">TenneT </w:t>
      </w:r>
      <w:r w:rsidR="009E4367">
        <w:rPr>
          <w:lang w:val="nl-NL"/>
        </w:rPr>
        <w:t xml:space="preserve">NL </w:t>
      </w:r>
      <w:r w:rsidRPr="00C81687">
        <w:rPr>
          <w:lang w:val="nl-NL"/>
        </w:rPr>
        <w:t xml:space="preserve">heeft </w:t>
      </w:r>
      <w:r>
        <w:rPr>
          <w:lang w:val="nl-NL"/>
        </w:rPr>
        <w:t xml:space="preserve">TenneT </w:t>
      </w:r>
      <w:r w:rsidR="009E4367">
        <w:rPr>
          <w:lang w:val="nl-NL"/>
        </w:rPr>
        <w:t xml:space="preserve">NL </w:t>
      </w:r>
      <w:r w:rsidRPr="00C81687">
        <w:rPr>
          <w:lang w:val="nl-NL"/>
        </w:rPr>
        <w:t xml:space="preserve">namelijk bezittingen (activa) die een </w:t>
      </w:r>
      <w:r>
        <w:rPr>
          <w:lang w:val="nl-NL"/>
        </w:rPr>
        <w:t xml:space="preserve">grote </w:t>
      </w:r>
      <w:r w:rsidRPr="00C81687">
        <w:rPr>
          <w:lang w:val="nl-NL"/>
        </w:rPr>
        <w:t>waarde vertegenwoordigen. Per einde 202</w:t>
      </w:r>
      <w:r>
        <w:rPr>
          <w:lang w:val="nl-NL"/>
        </w:rPr>
        <w:t>4</w:t>
      </w:r>
      <w:r w:rsidRPr="00C81687">
        <w:rPr>
          <w:lang w:val="nl-NL"/>
        </w:rPr>
        <w:t xml:space="preserve"> vertegenwoordig</w:t>
      </w:r>
      <w:r>
        <w:rPr>
          <w:lang w:val="nl-NL"/>
        </w:rPr>
        <w:t>t</w:t>
      </w:r>
      <w:r w:rsidRPr="00C81687">
        <w:rPr>
          <w:lang w:val="nl-NL"/>
        </w:rPr>
        <w:t xml:space="preserve"> de</w:t>
      </w:r>
      <w:r>
        <w:rPr>
          <w:lang w:val="nl-NL"/>
        </w:rPr>
        <w:t xml:space="preserve"> totale</w:t>
      </w:r>
      <w:r w:rsidRPr="00C81687">
        <w:rPr>
          <w:lang w:val="nl-NL"/>
        </w:rPr>
        <w:t xml:space="preserve"> activa </w:t>
      </w:r>
      <w:r>
        <w:rPr>
          <w:lang w:val="nl-NL"/>
        </w:rPr>
        <w:t xml:space="preserve">van TenneT </w:t>
      </w:r>
      <w:r w:rsidR="009E4367">
        <w:rPr>
          <w:lang w:val="nl-NL"/>
        </w:rPr>
        <w:t xml:space="preserve">NL </w:t>
      </w:r>
      <w:r w:rsidRPr="00C81687">
        <w:rPr>
          <w:lang w:val="nl-NL"/>
        </w:rPr>
        <w:t xml:space="preserve">een waarde van </w:t>
      </w:r>
      <w:r w:rsidRPr="004B6643">
        <w:rPr>
          <w:lang w:val="nl-NL"/>
        </w:rPr>
        <w:t>€</w:t>
      </w:r>
      <w:r w:rsidRPr="009A138C" w:rsidR="004B6643">
        <w:rPr>
          <w:lang w:val="nl-NL"/>
        </w:rPr>
        <w:t>18</w:t>
      </w:r>
      <w:r>
        <w:rPr>
          <w:lang w:val="nl-NL"/>
        </w:rPr>
        <w:t xml:space="preserve"> </w:t>
      </w:r>
      <w:r w:rsidRPr="00C81687">
        <w:rPr>
          <w:lang w:val="nl-NL"/>
        </w:rPr>
        <w:t xml:space="preserve">miljard. </w:t>
      </w:r>
      <w:r>
        <w:rPr>
          <w:lang w:val="nl-NL"/>
        </w:rPr>
        <w:t>Het grootste gedeelte van deze activa betreft de infrastructuur die TenneT</w:t>
      </w:r>
      <w:r w:rsidR="009E4367">
        <w:rPr>
          <w:lang w:val="nl-NL"/>
        </w:rPr>
        <w:t xml:space="preserve"> NL</w:t>
      </w:r>
      <w:r>
        <w:rPr>
          <w:lang w:val="nl-NL"/>
        </w:rPr>
        <w:t xml:space="preserve"> in eigendom heeft en beheert (het hoogspanningsnet op land en op zee in Nederland). Deze activa </w:t>
      </w:r>
      <w:r w:rsidR="00D84E17">
        <w:rPr>
          <w:lang w:val="nl-NL"/>
        </w:rPr>
        <w:t xml:space="preserve">zijn </w:t>
      </w:r>
      <w:r w:rsidR="00A82C1D">
        <w:rPr>
          <w:lang w:val="nl-NL"/>
        </w:rPr>
        <w:t xml:space="preserve">echter </w:t>
      </w:r>
      <w:r>
        <w:rPr>
          <w:lang w:val="nl-NL"/>
        </w:rPr>
        <w:t>niet liquide</w:t>
      </w:r>
      <w:r w:rsidR="00A82C1D">
        <w:rPr>
          <w:lang w:val="nl-NL"/>
        </w:rPr>
        <w:t>, maar kunnen op termijn wel gebruikt worden om inkomsten te genereren.</w:t>
      </w:r>
      <w:r>
        <w:rPr>
          <w:lang w:val="nl-NL"/>
        </w:rPr>
        <w:t xml:space="preserve"> </w:t>
      </w:r>
      <w:r w:rsidRPr="00C81687">
        <w:rPr>
          <w:lang w:val="nl-NL"/>
        </w:rPr>
        <w:t xml:space="preserve">Gegeven deze mitigerende factoren </w:t>
      </w:r>
      <w:r>
        <w:rPr>
          <w:lang w:val="nl-NL"/>
        </w:rPr>
        <w:t xml:space="preserve">op </w:t>
      </w:r>
      <w:r w:rsidRPr="00C81687">
        <w:rPr>
          <w:lang w:val="nl-NL"/>
        </w:rPr>
        <w:t xml:space="preserve">de balans van </w:t>
      </w:r>
      <w:r>
        <w:rPr>
          <w:lang w:val="nl-NL"/>
        </w:rPr>
        <w:t>TenneT</w:t>
      </w:r>
      <w:r w:rsidR="009E4367">
        <w:rPr>
          <w:lang w:val="nl-NL"/>
        </w:rPr>
        <w:t xml:space="preserve"> NL</w:t>
      </w:r>
      <w:r>
        <w:rPr>
          <w:lang w:val="nl-NL"/>
        </w:rPr>
        <w:t xml:space="preserve"> </w:t>
      </w:r>
      <w:r w:rsidRPr="00C81687">
        <w:rPr>
          <w:lang w:val="nl-NL"/>
        </w:rPr>
        <w:t xml:space="preserve">is het reële risico voor de staat fors lager dan </w:t>
      </w:r>
      <w:r>
        <w:rPr>
          <w:lang w:val="nl-NL"/>
        </w:rPr>
        <w:t>de totale schuld die uitstaat onder de garantie</w:t>
      </w:r>
      <w:r w:rsidRPr="00C81687">
        <w:rPr>
          <w:lang w:val="nl-NL"/>
        </w:rPr>
        <w:t xml:space="preserve">. </w:t>
      </w:r>
    </w:p>
    <w:bookmarkEnd w:id="2"/>
    <w:p w:rsidR="00004717" w:rsidP="00EB7F94" w:rsidRDefault="00004717" w14:paraId="3D103AF9" w14:textId="77777777">
      <w:pPr>
        <w:pStyle w:val="Lijstalinea"/>
        <w:spacing w:line="256" w:lineRule="auto"/>
        <w:ind w:left="360"/>
        <w:rPr>
          <w:lang w:val="nl-NL"/>
        </w:rPr>
      </w:pPr>
    </w:p>
    <w:p w:rsidR="00004717" w:rsidP="00EB7F94" w:rsidRDefault="00004717" w14:paraId="32B334F4" w14:textId="77777777">
      <w:pPr>
        <w:pStyle w:val="Lijstalinea"/>
        <w:numPr>
          <w:ilvl w:val="1"/>
          <w:numId w:val="4"/>
        </w:numPr>
        <w:spacing w:line="256" w:lineRule="auto"/>
        <w:ind w:left="360"/>
        <w:rPr>
          <w:i/>
          <w:iCs/>
          <w:lang w:val="nl-NL"/>
        </w:rPr>
      </w:pPr>
      <w:r>
        <w:rPr>
          <w:i/>
          <w:iCs/>
          <w:lang w:val="nl-NL"/>
        </w:rPr>
        <w:t>Hoe staan risico en rendement van de regeling tot elkaar in verhouding?</w:t>
      </w:r>
    </w:p>
    <w:p w:rsidR="00004717" w:rsidP="00EB7F94" w:rsidRDefault="00004717" w14:paraId="20034DF5" w14:textId="19090F19">
      <w:pPr>
        <w:ind w:left="360"/>
        <w:rPr>
          <w:lang w:val="nl-NL"/>
        </w:rPr>
      </w:pPr>
      <w:r>
        <w:rPr>
          <w:lang w:val="nl-NL"/>
        </w:rPr>
        <w:t>De staat ontvangt als garantieverstrekker een marktconforme garantiepremie voor het verstrekken van de garantie aan TenneT</w:t>
      </w:r>
      <w:r w:rsidR="009E4367">
        <w:rPr>
          <w:lang w:val="nl-NL"/>
        </w:rPr>
        <w:t xml:space="preserve"> NL</w:t>
      </w:r>
      <w:r>
        <w:rPr>
          <w:lang w:val="nl-NL"/>
        </w:rPr>
        <w:t xml:space="preserve">. Deze garantiepremie betreft het verwachte </w:t>
      </w:r>
      <w:r>
        <w:rPr>
          <w:lang w:val="nl-NL"/>
        </w:rPr>
        <w:lastRenderedPageBreak/>
        <w:t xml:space="preserve">financieringsvoordeel dat TenneT </w:t>
      </w:r>
      <w:r w:rsidR="009E4367">
        <w:rPr>
          <w:lang w:val="nl-NL"/>
        </w:rPr>
        <w:t xml:space="preserve">NL </w:t>
      </w:r>
      <w:r>
        <w:rPr>
          <w:lang w:val="nl-NL"/>
        </w:rPr>
        <w:t xml:space="preserve">zal verkrijgen door het verstrekken van de garantie. TenneT </w:t>
      </w:r>
      <w:r w:rsidR="009E4367">
        <w:rPr>
          <w:lang w:val="nl-NL"/>
        </w:rPr>
        <w:t xml:space="preserve">NL </w:t>
      </w:r>
      <w:r>
        <w:rPr>
          <w:lang w:val="nl-NL"/>
        </w:rPr>
        <w:t>zal</w:t>
      </w:r>
      <w:r w:rsidR="009E4367">
        <w:rPr>
          <w:lang w:val="nl-NL"/>
        </w:rPr>
        <w:t xml:space="preserve"> </w:t>
      </w:r>
      <w:r>
        <w:rPr>
          <w:lang w:val="nl-NL"/>
        </w:rPr>
        <w:t xml:space="preserve">goedkoper financiering aan kunnen trekken vanwege de garantie. </w:t>
      </w:r>
      <w:r w:rsidRPr="00E8506E" w:rsidR="00731269">
        <w:rPr>
          <w:lang w:val="nl-NL"/>
        </w:rPr>
        <w:t>Het verschil tussen de rente die hoort bij het huidige kredietprofiel van TenneT NL (A</w:t>
      </w:r>
      <w:r w:rsidR="00731269">
        <w:rPr>
          <w:lang w:val="nl-NL"/>
        </w:rPr>
        <w:t xml:space="preserve"> minus</w:t>
      </w:r>
      <w:r w:rsidRPr="00E8506E" w:rsidR="00731269">
        <w:rPr>
          <w:lang w:val="nl-NL"/>
        </w:rPr>
        <w:t xml:space="preserve">) en de daadwerkelijke rente op nieuwe schuld met een </w:t>
      </w:r>
      <w:proofErr w:type="gramStart"/>
      <w:r w:rsidRPr="00E8506E" w:rsidR="00731269">
        <w:rPr>
          <w:lang w:val="nl-NL"/>
        </w:rPr>
        <w:t>AAA rating</w:t>
      </w:r>
      <w:proofErr w:type="gramEnd"/>
      <w:r w:rsidRPr="00E8506E" w:rsidR="00731269">
        <w:rPr>
          <w:lang w:val="nl-NL"/>
        </w:rPr>
        <w:t xml:space="preserve"> wordt door TenneT NL betaald aan de staat.</w:t>
      </w:r>
      <w:r>
        <w:rPr>
          <w:lang w:val="nl-NL"/>
        </w:rPr>
        <w:t xml:space="preserve"> De garantiepremie vertegenwoordigt voor TenneT </w:t>
      </w:r>
      <w:r w:rsidR="002668B4">
        <w:rPr>
          <w:lang w:val="nl-NL"/>
        </w:rPr>
        <w:t xml:space="preserve">NL </w:t>
      </w:r>
      <w:r>
        <w:rPr>
          <w:lang w:val="nl-NL"/>
        </w:rPr>
        <w:t xml:space="preserve">op deze manier de gehele waarde van de garantie. De hoogte van de garantiepremie is onder punt 8 nader toegelicht. Het risico op de garantie wordt beperkt geschat en wordt onder c) nader toegelicht. Via deze methode acht de staat dat het risico en rendement met elkaar in verhouding staan. </w:t>
      </w:r>
    </w:p>
    <w:p w:rsidR="00004717" w:rsidP="00EB7F94" w:rsidRDefault="00004717" w14:paraId="39D27743" w14:textId="77777777">
      <w:pPr>
        <w:pStyle w:val="Lijstalinea"/>
        <w:numPr>
          <w:ilvl w:val="1"/>
          <w:numId w:val="4"/>
        </w:numPr>
        <w:spacing w:line="256" w:lineRule="auto"/>
        <w:ind w:left="360"/>
        <w:rPr>
          <w:i/>
          <w:iCs/>
          <w:lang w:val="nl-NL"/>
        </w:rPr>
      </w:pPr>
      <w:r>
        <w:rPr>
          <w:i/>
          <w:iCs/>
          <w:lang w:val="nl-NL"/>
        </w:rPr>
        <w:t xml:space="preserve">Wat is de inschatting van het risico voor het Rijk in termen van waarschijnlijkheid, impact, blootstellingduur en </w:t>
      </w:r>
      <w:proofErr w:type="spellStart"/>
      <w:r>
        <w:rPr>
          <w:i/>
          <w:iCs/>
          <w:lang w:val="nl-NL"/>
        </w:rPr>
        <w:t>beheersingsmate</w:t>
      </w:r>
      <w:proofErr w:type="spellEnd"/>
      <w:r>
        <w:rPr>
          <w:i/>
          <w:iCs/>
          <w:lang w:val="nl-NL"/>
        </w:rPr>
        <w:t>?</w:t>
      </w:r>
    </w:p>
    <w:p w:rsidR="00004717" w:rsidP="00371F52" w:rsidRDefault="00004717" w14:paraId="5A361536" w14:textId="77777777">
      <w:pPr>
        <w:pStyle w:val="Lijstalinea"/>
        <w:ind w:left="360"/>
        <w:rPr>
          <w:lang w:val="nl-NL"/>
        </w:rPr>
      </w:pPr>
    </w:p>
    <w:p w:rsidR="00004717" w:rsidP="00EB7F94" w:rsidRDefault="00004717" w14:paraId="67D8AA95" w14:textId="0B94F466">
      <w:pPr>
        <w:pStyle w:val="Lijstalinea"/>
        <w:ind w:left="360"/>
        <w:rPr>
          <w:lang w:val="nl-NL"/>
        </w:rPr>
      </w:pPr>
      <w:r>
        <w:rPr>
          <w:lang w:val="nl-NL"/>
        </w:rPr>
        <w:t xml:space="preserve">TenneT </w:t>
      </w:r>
      <w:r w:rsidR="002668B4">
        <w:rPr>
          <w:lang w:val="nl-NL"/>
        </w:rPr>
        <w:t xml:space="preserve">NL </w:t>
      </w:r>
      <w:r>
        <w:rPr>
          <w:lang w:val="nl-NL"/>
        </w:rPr>
        <w:t xml:space="preserve">zal deze garantie uitsluitend gebruiken om schulden aan te trekken voor investeringen ten behoeve van de uitvoering van haar wettelijke taken in Nederland, zijnde het beheer en bouw van </w:t>
      </w:r>
      <w:proofErr w:type="gramStart"/>
      <w:r>
        <w:rPr>
          <w:lang w:val="nl-NL"/>
        </w:rPr>
        <w:t>de hoogspanningsnet</w:t>
      </w:r>
      <w:proofErr w:type="gramEnd"/>
      <w:r>
        <w:rPr>
          <w:lang w:val="nl-NL"/>
        </w:rPr>
        <w:t xml:space="preserve"> op land en op zee. Op de planning en uitvoering van de investeringen wordt door de ACM en het ministerie van Klimaat en Groene Groei toezicht gehouden. De ACM ziet toe op de tariefregulering, op basis waarvan TenneT</w:t>
      </w:r>
      <w:r w:rsidR="002668B4">
        <w:rPr>
          <w:lang w:val="nl-NL"/>
        </w:rPr>
        <w:t xml:space="preserve"> NL</w:t>
      </w:r>
      <w:r>
        <w:rPr>
          <w:lang w:val="nl-NL"/>
        </w:rPr>
        <w:t xml:space="preserve"> wordt gecompenseerd voor het vervullen van haar wettelijke taken. De wetgeving schrijft voor dat TenneT </w:t>
      </w:r>
      <w:r w:rsidR="002668B4">
        <w:rPr>
          <w:lang w:val="nl-NL"/>
        </w:rPr>
        <w:t xml:space="preserve">NL </w:t>
      </w:r>
      <w:r>
        <w:rPr>
          <w:lang w:val="nl-NL"/>
        </w:rPr>
        <w:t xml:space="preserve">een adequaat rendement voor haar investeringen dient te ontvangen. TenneT </w:t>
      </w:r>
      <w:r w:rsidR="002668B4">
        <w:rPr>
          <w:lang w:val="nl-NL"/>
        </w:rPr>
        <w:t xml:space="preserve">NL </w:t>
      </w:r>
      <w:r>
        <w:rPr>
          <w:lang w:val="nl-NL"/>
        </w:rPr>
        <w:t xml:space="preserve">heeft dus een zeker en betrouwbaar verdienmodel en kan in principe altijd haar investeringen terugverdienen. Hiermee zal het de obligaties die TenneT </w:t>
      </w:r>
      <w:r w:rsidR="002668B4">
        <w:rPr>
          <w:lang w:val="nl-NL"/>
        </w:rPr>
        <w:t xml:space="preserve">NL </w:t>
      </w:r>
      <w:r>
        <w:rPr>
          <w:lang w:val="nl-NL"/>
        </w:rPr>
        <w:t xml:space="preserve">aantrekt onder deze garantie ook terug kunnen betalen. De investeringen van TenneT </w:t>
      </w:r>
      <w:r w:rsidR="002668B4">
        <w:rPr>
          <w:lang w:val="nl-NL"/>
        </w:rPr>
        <w:t xml:space="preserve">NL </w:t>
      </w:r>
      <w:r>
        <w:rPr>
          <w:lang w:val="nl-NL"/>
        </w:rPr>
        <w:t xml:space="preserve">betreffen </w:t>
      </w:r>
      <w:r w:rsidR="00F953D6">
        <w:rPr>
          <w:lang w:val="nl-NL"/>
        </w:rPr>
        <w:t xml:space="preserve">kritieke </w:t>
      </w:r>
      <w:r>
        <w:rPr>
          <w:lang w:val="nl-NL"/>
        </w:rPr>
        <w:t xml:space="preserve">infrastructuur van de Nederlandse maatschappij en zijn daarmee waardevast. </w:t>
      </w:r>
    </w:p>
    <w:p w:rsidR="00004717" w:rsidP="00EB7F94" w:rsidRDefault="00004717" w14:paraId="7E14FA88" w14:textId="77777777">
      <w:pPr>
        <w:pStyle w:val="Lijstalinea"/>
        <w:ind w:left="360"/>
        <w:rPr>
          <w:lang w:val="nl-NL"/>
        </w:rPr>
      </w:pPr>
    </w:p>
    <w:p w:rsidRPr="0002489C" w:rsidR="00004717" w:rsidP="00EB7F94" w:rsidRDefault="00004717" w14:paraId="05DC1C89" w14:textId="6CBE843F">
      <w:pPr>
        <w:pStyle w:val="Lijstalinea"/>
        <w:ind w:left="360"/>
        <w:rPr>
          <w:lang w:val="nl-NL"/>
        </w:rPr>
      </w:pPr>
      <w:r>
        <w:rPr>
          <w:lang w:val="nl-NL"/>
        </w:rPr>
        <w:t xml:space="preserve">Vanwege dit zekere verdienmodel, geborgd door de regulering, is de kans heel klein dat TenneT </w:t>
      </w:r>
      <w:r w:rsidR="002668B4">
        <w:rPr>
          <w:lang w:val="nl-NL"/>
        </w:rPr>
        <w:t xml:space="preserve">NL </w:t>
      </w:r>
      <w:r>
        <w:rPr>
          <w:lang w:val="nl-NL"/>
        </w:rPr>
        <w:t xml:space="preserve">niet in staat zal zijn om aan haar verplichtingen te voldoen, waardoor de garantie in werking zal treden. </w:t>
      </w:r>
      <w:r w:rsidRPr="0002489C">
        <w:rPr>
          <w:lang w:val="nl-NL"/>
        </w:rPr>
        <w:t>De Nederlandse staat zal als garantieverstrekker</w:t>
      </w:r>
      <w:r>
        <w:rPr>
          <w:lang w:val="nl-NL"/>
        </w:rPr>
        <w:t xml:space="preserve"> daarom</w:t>
      </w:r>
      <w:r w:rsidRPr="0002489C">
        <w:rPr>
          <w:lang w:val="nl-NL"/>
        </w:rPr>
        <w:t xml:space="preserve"> blootgesteld zijn aan het hierboven beschreven </w:t>
      </w:r>
      <w:r>
        <w:rPr>
          <w:lang w:val="nl-NL"/>
        </w:rPr>
        <w:t xml:space="preserve">zeer beperkte </w:t>
      </w:r>
      <w:r w:rsidRPr="0002489C">
        <w:rPr>
          <w:lang w:val="nl-NL"/>
        </w:rPr>
        <w:t xml:space="preserve">risico. </w:t>
      </w:r>
    </w:p>
    <w:p w:rsidR="00004717" w:rsidP="00004717" w:rsidRDefault="00004717" w14:paraId="683F6140" w14:textId="77777777">
      <w:pPr>
        <w:pStyle w:val="Lijstalinea"/>
        <w:rPr>
          <w:lang w:val="nl-NL"/>
        </w:rPr>
      </w:pPr>
    </w:p>
    <w:p w:rsidR="00004717" w:rsidP="00004717" w:rsidRDefault="00004717" w14:paraId="6282B7E7" w14:textId="77777777">
      <w:pPr>
        <w:pStyle w:val="Lijstalinea"/>
        <w:numPr>
          <w:ilvl w:val="0"/>
          <w:numId w:val="4"/>
        </w:numPr>
        <w:spacing w:line="256" w:lineRule="auto"/>
        <w:rPr>
          <w:i/>
          <w:iCs/>
          <w:lang w:val="nl-NL"/>
        </w:rPr>
      </w:pPr>
      <w:r>
        <w:rPr>
          <w:i/>
          <w:iCs/>
          <w:lang w:val="nl-NL"/>
        </w:rPr>
        <w:t>Welke risico beheersende en risico mitigerende maatregelen worden getroffen om het risico voor het Rijk te minimaliseren? Heeft de budgettair verantwoordelijke minister voldoende mogelijkheden tot beheersing van de risico’s, ook als de regeling op afstand van het Rijk wordt uitgevoerd?</w:t>
      </w:r>
    </w:p>
    <w:p w:rsidR="00004717" w:rsidP="00004717" w:rsidRDefault="00004717" w14:paraId="4BD60916" w14:textId="77777777">
      <w:pPr>
        <w:pStyle w:val="Lijstalinea"/>
        <w:ind w:left="360"/>
        <w:rPr>
          <w:lang w:val="nl-NL"/>
        </w:rPr>
      </w:pPr>
    </w:p>
    <w:p w:rsidR="00004717" w:rsidP="00004717" w:rsidRDefault="00004717" w14:paraId="6D27679B" w14:textId="0F752DBB">
      <w:pPr>
        <w:pStyle w:val="Lijstalinea"/>
        <w:ind w:left="360"/>
      </w:pPr>
      <w:r w:rsidRPr="00C81687">
        <w:rPr>
          <w:lang w:val="nl-NL"/>
        </w:rPr>
        <w:t xml:space="preserve">Er zijn verschillende risico beheersende en risico mitigerende maatregelen getroffen waardoor het risico van </w:t>
      </w:r>
      <w:r w:rsidR="002668B4">
        <w:rPr>
          <w:lang w:val="nl-NL"/>
        </w:rPr>
        <w:t>de staat</w:t>
      </w:r>
      <w:r w:rsidR="00371F52">
        <w:rPr>
          <w:lang w:val="nl-NL"/>
        </w:rPr>
        <w:t xml:space="preserve"> verder</w:t>
      </w:r>
      <w:r w:rsidRPr="00C81687">
        <w:rPr>
          <w:lang w:val="nl-NL"/>
        </w:rPr>
        <w:t xml:space="preserve"> wordt ingeperkt. </w:t>
      </w:r>
      <w:proofErr w:type="spellStart"/>
      <w:r>
        <w:t>Dit</w:t>
      </w:r>
      <w:proofErr w:type="spellEnd"/>
      <w:r>
        <w:t xml:space="preserve"> </w:t>
      </w:r>
      <w:proofErr w:type="spellStart"/>
      <w:r>
        <w:t>zijn</w:t>
      </w:r>
      <w:proofErr w:type="spellEnd"/>
      <w:r>
        <w:t xml:space="preserve"> de </w:t>
      </w:r>
      <w:proofErr w:type="spellStart"/>
      <w:r>
        <w:t>belangrijkste</w:t>
      </w:r>
      <w:proofErr w:type="spellEnd"/>
      <w:r>
        <w:t>:</w:t>
      </w:r>
    </w:p>
    <w:p w:rsidR="00004717" w:rsidP="00004717" w:rsidRDefault="00004717" w14:paraId="1BBEA49D" w14:textId="77777777">
      <w:pPr>
        <w:pStyle w:val="Lijstalinea"/>
        <w:ind w:left="360"/>
        <w:rPr>
          <w:lang w:val="nl-NL"/>
        </w:rPr>
      </w:pPr>
    </w:p>
    <w:p w:rsidRPr="00EB7F94" w:rsidR="00856C28" w:rsidP="00856C28" w:rsidRDefault="00856C28" w14:paraId="68AA4C9F" w14:textId="5D55D0B1">
      <w:pPr>
        <w:pStyle w:val="Lijstalinea"/>
        <w:numPr>
          <w:ilvl w:val="1"/>
          <w:numId w:val="4"/>
        </w:numPr>
        <w:rPr>
          <w:lang w:val="nl-NL"/>
        </w:rPr>
      </w:pPr>
      <w:r w:rsidRPr="00856C28">
        <w:rPr>
          <w:lang w:val="nl-NL"/>
        </w:rPr>
        <w:t xml:space="preserve">De </w:t>
      </w:r>
      <w:r w:rsidR="002668B4">
        <w:rPr>
          <w:lang w:val="nl-NL"/>
        </w:rPr>
        <w:t>r</w:t>
      </w:r>
      <w:r w:rsidRPr="00856C28">
        <w:rPr>
          <w:lang w:val="nl-NL"/>
        </w:rPr>
        <w:t xml:space="preserve">aad van </w:t>
      </w:r>
      <w:r w:rsidR="002668B4">
        <w:rPr>
          <w:lang w:val="nl-NL"/>
        </w:rPr>
        <w:t>b</w:t>
      </w:r>
      <w:r w:rsidRPr="00856C28">
        <w:rPr>
          <w:lang w:val="nl-NL"/>
        </w:rPr>
        <w:t xml:space="preserve">estuur en de </w:t>
      </w:r>
      <w:r w:rsidR="002668B4">
        <w:rPr>
          <w:lang w:val="nl-NL"/>
        </w:rPr>
        <w:t>r</w:t>
      </w:r>
      <w:r w:rsidRPr="00856C28">
        <w:rPr>
          <w:lang w:val="nl-NL"/>
        </w:rPr>
        <w:t xml:space="preserve">aad van </w:t>
      </w:r>
      <w:r w:rsidR="002668B4">
        <w:rPr>
          <w:lang w:val="nl-NL"/>
        </w:rPr>
        <w:t>c</w:t>
      </w:r>
      <w:r w:rsidRPr="00856C28">
        <w:rPr>
          <w:lang w:val="nl-NL"/>
        </w:rPr>
        <w:t xml:space="preserve">ommissarissen hebben de verantwoordelijkheid om TenneT </w:t>
      </w:r>
      <w:r w:rsidR="002668B4">
        <w:rPr>
          <w:lang w:val="nl-NL"/>
        </w:rPr>
        <w:t xml:space="preserve">NL </w:t>
      </w:r>
      <w:r w:rsidRPr="00856C28">
        <w:rPr>
          <w:lang w:val="nl-NL"/>
        </w:rPr>
        <w:t xml:space="preserve">financieel gezond te houden. Zoals een professionele organisatie als TenneT </w:t>
      </w:r>
      <w:r w:rsidR="002668B4">
        <w:rPr>
          <w:lang w:val="nl-NL"/>
        </w:rPr>
        <w:t xml:space="preserve">NL </w:t>
      </w:r>
      <w:r w:rsidRPr="00856C28">
        <w:rPr>
          <w:lang w:val="nl-NL"/>
        </w:rPr>
        <w:t xml:space="preserve">betaamt zijn er vele interne controle processen </w:t>
      </w:r>
      <w:r>
        <w:rPr>
          <w:lang w:val="nl-NL"/>
        </w:rPr>
        <w:t xml:space="preserve">om </w:t>
      </w:r>
      <w:r w:rsidRPr="00856C28">
        <w:rPr>
          <w:lang w:val="nl-NL"/>
        </w:rPr>
        <w:t xml:space="preserve">de financiële </w:t>
      </w:r>
      <w:r>
        <w:rPr>
          <w:lang w:val="nl-NL"/>
        </w:rPr>
        <w:t>gezondheid te borgen</w:t>
      </w:r>
      <w:r w:rsidRPr="00856C28">
        <w:rPr>
          <w:lang w:val="nl-NL"/>
        </w:rPr>
        <w:t>. Daarnaast vindt uiteraard de jaarlijks</w:t>
      </w:r>
      <w:r w:rsidR="00DE32E9">
        <w:rPr>
          <w:lang w:val="nl-NL"/>
        </w:rPr>
        <w:t>e</w:t>
      </w:r>
      <w:r w:rsidRPr="00856C28">
        <w:rPr>
          <w:lang w:val="nl-NL"/>
        </w:rPr>
        <w:t xml:space="preserve"> controle plaats door de accountant. </w:t>
      </w:r>
    </w:p>
    <w:p w:rsidR="00004717" w:rsidP="00004717" w:rsidRDefault="00004717" w14:paraId="7BBDE5E3" w14:textId="25D578CB">
      <w:pPr>
        <w:pStyle w:val="Lijstalinea"/>
        <w:numPr>
          <w:ilvl w:val="1"/>
          <w:numId w:val="4"/>
        </w:numPr>
        <w:rPr>
          <w:lang w:val="nl-NL"/>
        </w:rPr>
      </w:pPr>
      <w:r w:rsidRPr="00C81687">
        <w:rPr>
          <w:lang w:val="nl-NL"/>
        </w:rPr>
        <w:t xml:space="preserve">De staat </w:t>
      </w:r>
      <w:r>
        <w:rPr>
          <w:lang w:val="nl-NL"/>
        </w:rPr>
        <w:t>is</w:t>
      </w:r>
      <w:r w:rsidR="00DE32E9">
        <w:rPr>
          <w:lang w:val="nl-NL"/>
        </w:rPr>
        <w:t xml:space="preserve"> indirect</w:t>
      </w:r>
      <w:r>
        <w:rPr>
          <w:lang w:val="nl-NL"/>
        </w:rPr>
        <w:t xml:space="preserve"> de 100% </w:t>
      </w:r>
      <w:r w:rsidRPr="00C81687">
        <w:rPr>
          <w:lang w:val="nl-NL"/>
        </w:rPr>
        <w:t>aandeelhouder van TenneT</w:t>
      </w:r>
      <w:r w:rsidR="002668B4">
        <w:rPr>
          <w:lang w:val="nl-NL"/>
        </w:rPr>
        <w:t xml:space="preserve"> NL</w:t>
      </w:r>
      <w:r w:rsidRPr="00C81687">
        <w:rPr>
          <w:lang w:val="nl-NL"/>
        </w:rPr>
        <w:t xml:space="preserve">. Vanuit die positie heeft de staat een totaalbeeld van de kapitaalstructuur en heeft het zeggenschap over TenneT </w:t>
      </w:r>
      <w:r w:rsidR="002668B4">
        <w:rPr>
          <w:lang w:val="nl-NL"/>
        </w:rPr>
        <w:t xml:space="preserve">NL </w:t>
      </w:r>
      <w:r w:rsidRPr="00C81687">
        <w:rPr>
          <w:lang w:val="nl-NL"/>
        </w:rPr>
        <w:t xml:space="preserve">via de aandeelhoudersrechten. </w:t>
      </w:r>
      <w:r>
        <w:rPr>
          <w:lang w:val="nl-NL"/>
        </w:rPr>
        <w:t>De staat krijgt via haar positie als 100% aandeelhouder uitgebreid inzicht in de financiële resultaten van TenneT</w:t>
      </w:r>
      <w:r w:rsidR="002668B4">
        <w:rPr>
          <w:lang w:val="nl-NL"/>
        </w:rPr>
        <w:t xml:space="preserve"> NL</w:t>
      </w:r>
      <w:r>
        <w:rPr>
          <w:lang w:val="nl-NL"/>
        </w:rPr>
        <w:t xml:space="preserve">. Hierdoor heeft de staat een goede informatiepositie en kunnen bepaalde financiële ontwikkelingen in een vroeg stadium gesignaleerd en indien nodig bijgestuurd worden. </w:t>
      </w:r>
      <w:r w:rsidRPr="00C81687">
        <w:rPr>
          <w:lang w:val="nl-NL"/>
        </w:rPr>
        <w:t xml:space="preserve">De staat zal, voor zover mogelijk, zijn aandeelhoudersrechten gebruiken om erop toe te zien dat de garantie niet </w:t>
      </w:r>
      <w:r>
        <w:rPr>
          <w:lang w:val="nl-NL"/>
        </w:rPr>
        <w:t>ingeroepen</w:t>
      </w:r>
      <w:r w:rsidRPr="00C81687">
        <w:rPr>
          <w:lang w:val="nl-NL"/>
        </w:rPr>
        <w:t xml:space="preserve"> hoeft te worden. </w:t>
      </w:r>
    </w:p>
    <w:p w:rsidR="00856C28" w:rsidP="00004717" w:rsidRDefault="00856C28" w14:paraId="65257B05" w14:textId="2C5F510D">
      <w:pPr>
        <w:pStyle w:val="Lijstalinea"/>
        <w:numPr>
          <w:ilvl w:val="1"/>
          <w:numId w:val="4"/>
        </w:numPr>
        <w:rPr>
          <w:lang w:val="nl-NL"/>
        </w:rPr>
      </w:pPr>
      <w:r>
        <w:rPr>
          <w:lang w:val="nl-NL"/>
        </w:rPr>
        <w:t xml:space="preserve">De </w:t>
      </w:r>
      <w:r w:rsidR="00C61451">
        <w:rPr>
          <w:lang w:val="nl-NL"/>
        </w:rPr>
        <w:t>staat</w:t>
      </w:r>
      <w:r>
        <w:rPr>
          <w:lang w:val="nl-NL"/>
        </w:rPr>
        <w:t xml:space="preserve"> ontvangt in het kader van de garantie een additioneel overzicht rondom de financiering van TenneT</w:t>
      </w:r>
      <w:r w:rsidR="002668B4">
        <w:rPr>
          <w:lang w:val="nl-NL"/>
        </w:rPr>
        <w:t xml:space="preserve"> NL</w:t>
      </w:r>
      <w:r>
        <w:rPr>
          <w:lang w:val="nl-NL"/>
        </w:rPr>
        <w:t xml:space="preserve">. Hierin zet TenneT </w:t>
      </w:r>
      <w:r w:rsidR="002668B4">
        <w:rPr>
          <w:lang w:val="nl-NL"/>
        </w:rPr>
        <w:t xml:space="preserve">NL </w:t>
      </w:r>
      <w:r>
        <w:rPr>
          <w:lang w:val="nl-NL"/>
        </w:rPr>
        <w:t xml:space="preserve">uiteen welke betalingen </w:t>
      </w:r>
      <w:r w:rsidR="00822A4A">
        <w:rPr>
          <w:lang w:val="nl-NL"/>
        </w:rPr>
        <w:t xml:space="preserve">het </w:t>
      </w:r>
      <w:r>
        <w:rPr>
          <w:lang w:val="nl-NL"/>
        </w:rPr>
        <w:t xml:space="preserve">verwacht te doen en hoe </w:t>
      </w:r>
      <w:r w:rsidR="00822A4A">
        <w:rPr>
          <w:lang w:val="nl-NL"/>
        </w:rPr>
        <w:t xml:space="preserve">het </w:t>
      </w:r>
      <w:r>
        <w:rPr>
          <w:lang w:val="nl-NL"/>
        </w:rPr>
        <w:t xml:space="preserve">deze betalingen </w:t>
      </w:r>
      <w:r w:rsidR="00822A4A">
        <w:rPr>
          <w:lang w:val="nl-NL"/>
        </w:rPr>
        <w:t xml:space="preserve">zal </w:t>
      </w:r>
      <w:r>
        <w:rPr>
          <w:lang w:val="nl-NL"/>
        </w:rPr>
        <w:t>financieren. Met dit overzicht kan de minister van Financiën op een zo vroeg mogelijk moment eventuele problemen rondom betalingen door TenneT</w:t>
      </w:r>
      <w:r w:rsidR="002668B4">
        <w:rPr>
          <w:lang w:val="nl-NL"/>
        </w:rPr>
        <w:t xml:space="preserve"> NL</w:t>
      </w:r>
      <w:r>
        <w:rPr>
          <w:lang w:val="nl-NL"/>
        </w:rPr>
        <w:t xml:space="preserve"> aan zien komen. </w:t>
      </w:r>
    </w:p>
    <w:p w:rsidR="00004717" w:rsidP="00004717" w:rsidRDefault="00004717" w14:paraId="3F2920EA" w14:textId="362CE2D4">
      <w:pPr>
        <w:pStyle w:val="Lijstalinea"/>
        <w:numPr>
          <w:ilvl w:val="1"/>
          <w:numId w:val="4"/>
        </w:numPr>
        <w:rPr>
          <w:lang w:val="nl-NL"/>
        </w:rPr>
      </w:pPr>
      <w:bookmarkStart w:name="_Hlk188446778" w:id="4"/>
      <w:r>
        <w:rPr>
          <w:lang w:val="nl-NL"/>
        </w:rPr>
        <w:t>D</w:t>
      </w:r>
      <w:r w:rsidRPr="009C56BF">
        <w:rPr>
          <w:lang w:val="nl-NL"/>
        </w:rPr>
        <w:t xml:space="preserve">e </w:t>
      </w:r>
      <w:r w:rsidR="00C61451">
        <w:rPr>
          <w:lang w:val="nl-NL"/>
        </w:rPr>
        <w:t>staat</w:t>
      </w:r>
      <w:r>
        <w:rPr>
          <w:lang w:val="nl-NL"/>
        </w:rPr>
        <w:t xml:space="preserve"> heeft de bevoegdheid</w:t>
      </w:r>
      <w:r w:rsidRPr="009C56BF">
        <w:rPr>
          <w:lang w:val="nl-NL"/>
        </w:rPr>
        <w:t xml:space="preserve"> om, indien de staat redelijkerwijs vermoedt dat door </w:t>
      </w:r>
      <w:r>
        <w:rPr>
          <w:lang w:val="nl-NL"/>
        </w:rPr>
        <w:t xml:space="preserve">TenneT </w:t>
      </w:r>
      <w:r w:rsidR="002668B4">
        <w:rPr>
          <w:lang w:val="nl-NL"/>
        </w:rPr>
        <w:t xml:space="preserve">NL </w:t>
      </w:r>
      <w:r w:rsidRPr="009C56BF">
        <w:rPr>
          <w:lang w:val="nl-NL"/>
        </w:rPr>
        <w:t xml:space="preserve">een beroep zal worden gedaan op de garantie, redelijke aanwijzingen aan </w:t>
      </w:r>
      <w:r>
        <w:rPr>
          <w:lang w:val="nl-NL"/>
        </w:rPr>
        <w:t xml:space="preserve">TenneT </w:t>
      </w:r>
      <w:r w:rsidR="002668B4">
        <w:rPr>
          <w:lang w:val="nl-NL"/>
        </w:rPr>
        <w:t xml:space="preserve">NL </w:t>
      </w:r>
      <w:r w:rsidRPr="009C56BF">
        <w:rPr>
          <w:lang w:val="nl-NL"/>
        </w:rPr>
        <w:t xml:space="preserve">te geven over de algemene lijnen van het door </w:t>
      </w:r>
      <w:r>
        <w:rPr>
          <w:lang w:val="nl-NL"/>
        </w:rPr>
        <w:t xml:space="preserve">TenneT </w:t>
      </w:r>
      <w:r w:rsidR="002668B4">
        <w:rPr>
          <w:lang w:val="nl-NL"/>
        </w:rPr>
        <w:t xml:space="preserve">NL </w:t>
      </w:r>
      <w:r w:rsidRPr="009C56BF">
        <w:rPr>
          <w:lang w:val="nl-NL"/>
        </w:rPr>
        <w:t xml:space="preserve">te voeren financiële en economische beleid. Hiermee behoudt de minister van Financiën de </w:t>
      </w:r>
      <w:r w:rsidRPr="009C56BF">
        <w:rPr>
          <w:lang w:val="nl-NL"/>
        </w:rPr>
        <w:lastRenderedPageBreak/>
        <w:t xml:space="preserve">controle om indien nodig zelf </w:t>
      </w:r>
      <w:r>
        <w:rPr>
          <w:lang w:val="nl-NL"/>
        </w:rPr>
        <w:t xml:space="preserve">nog </w:t>
      </w:r>
      <w:r w:rsidRPr="009C56BF">
        <w:rPr>
          <w:lang w:val="nl-NL"/>
        </w:rPr>
        <w:t>gerichter aan te sturen op risico</w:t>
      </w:r>
      <w:r>
        <w:rPr>
          <w:lang w:val="nl-NL"/>
        </w:rPr>
        <w:t xml:space="preserve"> </w:t>
      </w:r>
      <w:r w:rsidRPr="009C56BF">
        <w:rPr>
          <w:lang w:val="nl-NL"/>
        </w:rPr>
        <w:t xml:space="preserve">mitigerende maatregelen bij </w:t>
      </w:r>
      <w:r>
        <w:rPr>
          <w:lang w:val="nl-NL"/>
        </w:rPr>
        <w:t>TenneT</w:t>
      </w:r>
      <w:r w:rsidR="002668B4">
        <w:rPr>
          <w:lang w:val="nl-NL"/>
        </w:rPr>
        <w:t xml:space="preserve"> NL</w:t>
      </w:r>
      <w:r w:rsidRPr="009C56BF">
        <w:rPr>
          <w:lang w:val="nl-NL"/>
        </w:rPr>
        <w:t>.</w:t>
      </w:r>
    </w:p>
    <w:bookmarkEnd w:id="4"/>
    <w:p w:rsidR="00004717" w:rsidP="00004717" w:rsidRDefault="00004717" w14:paraId="27E076C5" w14:textId="434EFEF0">
      <w:pPr>
        <w:pStyle w:val="Lijstalinea"/>
        <w:numPr>
          <w:ilvl w:val="1"/>
          <w:numId w:val="4"/>
        </w:numPr>
        <w:rPr>
          <w:lang w:val="nl-NL"/>
        </w:rPr>
      </w:pPr>
      <w:r>
        <w:rPr>
          <w:lang w:val="nl-NL"/>
        </w:rPr>
        <w:t xml:space="preserve">De activiteiten die </w:t>
      </w:r>
      <w:r w:rsidR="00E8506E">
        <w:rPr>
          <w:lang w:val="nl-NL"/>
        </w:rPr>
        <w:t xml:space="preserve">gefinancierd worden middels </w:t>
      </w:r>
      <w:r>
        <w:rPr>
          <w:lang w:val="nl-NL"/>
        </w:rPr>
        <w:t xml:space="preserve">de garantie zijn </w:t>
      </w:r>
      <w:r w:rsidR="00856C28">
        <w:rPr>
          <w:lang w:val="nl-NL"/>
        </w:rPr>
        <w:t xml:space="preserve">wettelijk verplichte </w:t>
      </w:r>
      <w:r>
        <w:rPr>
          <w:lang w:val="nl-NL"/>
        </w:rPr>
        <w:t xml:space="preserve">gereguleerde activiteiten waarop toezicht is van de ACM. De ACM stelt onder andere de tarieven vast en doet een toets op nut en noodzaak van de investeringen. </w:t>
      </w:r>
    </w:p>
    <w:p w:rsidR="00004717" w:rsidP="00004717" w:rsidRDefault="00004717" w14:paraId="69391B29" w14:textId="5FFE6E89">
      <w:pPr>
        <w:pStyle w:val="Lijstalinea"/>
        <w:numPr>
          <w:ilvl w:val="1"/>
          <w:numId w:val="4"/>
        </w:numPr>
        <w:rPr>
          <w:lang w:val="nl-NL"/>
        </w:rPr>
      </w:pPr>
      <w:bookmarkStart w:name="_Hlk188446782" w:id="5"/>
      <w:r>
        <w:rPr>
          <w:lang w:val="nl-NL"/>
        </w:rPr>
        <w:t xml:space="preserve">De staat stelt een </w:t>
      </w:r>
      <w:r w:rsidRPr="009C4EB1">
        <w:rPr>
          <w:lang w:val="nl-NL"/>
        </w:rPr>
        <w:t xml:space="preserve">verificatieprocedure </w:t>
      </w:r>
      <w:r>
        <w:rPr>
          <w:lang w:val="nl-NL"/>
        </w:rPr>
        <w:t xml:space="preserve">in. Dit houdt in dat </w:t>
      </w:r>
      <w:r w:rsidRPr="009C4EB1">
        <w:rPr>
          <w:lang w:val="nl-NL"/>
        </w:rPr>
        <w:t xml:space="preserve">een onafhankelijke expert op initiatief van de staat na </w:t>
      </w:r>
      <w:r>
        <w:rPr>
          <w:lang w:val="nl-NL"/>
        </w:rPr>
        <w:t>betalingen</w:t>
      </w:r>
      <w:r w:rsidRPr="009C4EB1">
        <w:rPr>
          <w:lang w:val="nl-NL"/>
        </w:rPr>
        <w:t xml:space="preserve"> onder de garantie (ex post) onderzoek </w:t>
      </w:r>
      <w:r>
        <w:rPr>
          <w:lang w:val="nl-NL"/>
        </w:rPr>
        <w:t xml:space="preserve">kan </w:t>
      </w:r>
      <w:r w:rsidRPr="009C4EB1">
        <w:rPr>
          <w:lang w:val="nl-NL"/>
        </w:rPr>
        <w:t xml:space="preserve">doen naar de onderbouwing van het </w:t>
      </w:r>
      <w:r>
        <w:rPr>
          <w:lang w:val="nl-NL"/>
        </w:rPr>
        <w:t>verleende bedrag</w:t>
      </w:r>
      <w:r w:rsidRPr="009C4EB1">
        <w:rPr>
          <w:lang w:val="nl-NL"/>
        </w:rPr>
        <w:t xml:space="preserve"> en de besluitvormingsprocedure die geleid heeft tot de </w:t>
      </w:r>
      <w:r>
        <w:rPr>
          <w:lang w:val="nl-NL"/>
        </w:rPr>
        <w:t>uitkering.</w:t>
      </w:r>
      <w:r w:rsidRPr="009C4EB1">
        <w:rPr>
          <w:lang w:val="nl-NL"/>
        </w:rPr>
        <w:t xml:space="preserve"> </w:t>
      </w:r>
      <w:r>
        <w:rPr>
          <w:lang w:val="nl-NL"/>
        </w:rPr>
        <w:t xml:space="preserve">Hiermee wordt </w:t>
      </w:r>
      <w:r w:rsidRPr="009C4EB1">
        <w:rPr>
          <w:lang w:val="nl-NL"/>
        </w:rPr>
        <w:t xml:space="preserve">voorkomen dat er </w:t>
      </w:r>
      <w:r>
        <w:rPr>
          <w:lang w:val="nl-NL"/>
        </w:rPr>
        <w:t>meer</w:t>
      </w:r>
      <w:r w:rsidR="002E0864">
        <w:rPr>
          <w:lang w:val="nl-NL"/>
        </w:rPr>
        <w:t xml:space="preserve"> </w:t>
      </w:r>
      <w:r w:rsidRPr="009C4EB1">
        <w:rPr>
          <w:lang w:val="nl-NL"/>
        </w:rPr>
        <w:t>onder de garantie wordt uitgekeerd</w:t>
      </w:r>
      <w:r>
        <w:rPr>
          <w:lang w:val="nl-NL"/>
        </w:rPr>
        <w:t xml:space="preserve"> dan waartoe de staat zich heeft verplicht</w:t>
      </w:r>
      <w:r w:rsidRPr="009C4EB1">
        <w:rPr>
          <w:lang w:val="nl-NL"/>
        </w:rPr>
        <w:t>.</w:t>
      </w:r>
    </w:p>
    <w:p w:rsidR="00004717" w:rsidP="00004717" w:rsidRDefault="00004717" w14:paraId="4ED3EB8E" w14:textId="000FA19C">
      <w:pPr>
        <w:pStyle w:val="Lijstalinea"/>
        <w:numPr>
          <w:ilvl w:val="1"/>
          <w:numId w:val="4"/>
        </w:numPr>
        <w:rPr>
          <w:lang w:val="nl-NL"/>
        </w:rPr>
      </w:pPr>
      <w:bookmarkStart w:name="_Hlk188446788" w:id="6"/>
      <w:bookmarkEnd w:id="5"/>
      <w:r>
        <w:rPr>
          <w:lang w:val="nl-NL"/>
        </w:rPr>
        <w:t>N</w:t>
      </w:r>
      <w:r w:rsidRPr="009C56BF">
        <w:rPr>
          <w:lang w:val="nl-NL"/>
        </w:rPr>
        <w:t xml:space="preserve">aast een jaarlijkse premie hebben de staat en </w:t>
      </w:r>
      <w:r>
        <w:rPr>
          <w:lang w:val="nl-NL"/>
        </w:rPr>
        <w:t xml:space="preserve">TenneT </w:t>
      </w:r>
      <w:r w:rsidR="002668B4">
        <w:rPr>
          <w:lang w:val="nl-NL"/>
        </w:rPr>
        <w:t xml:space="preserve">NL </w:t>
      </w:r>
      <w:r w:rsidRPr="009C56BF">
        <w:rPr>
          <w:lang w:val="nl-NL"/>
        </w:rPr>
        <w:t xml:space="preserve">afgesproken dat eventueel verleende steun aan </w:t>
      </w:r>
      <w:r>
        <w:rPr>
          <w:lang w:val="nl-NL"/>
        </w:rPr>
        <w:t>TenneT</w:t>
      </w:r>
      <w:r w:rsidR="002668B4">
        <w:rPr>
          <w:lang w:val="nl-NL"/>
        </w:rPr>
        <w:t xml:space="preserve"> NL</w:t>
      </w:r>
      <w:r>
        <w:rPr>
          <w:lang w:val="nl-NL"/>
        </w:rPr>
        <w:t xml:space="preserve"> </w:t>
      </w:r>
      <w:r w:rsidRPr="009C56BF">
        <w:rPr>
          <w:lang w:val="nl-NL"/>
        </w:rPr>
        <w:t xml:space="preserve">onder de staatsgarantie nooit ‘gratis’ zal zijn. Hiermee wordt beoogd dat de staat gecompenseerd zal worden als </w:t>
      </w:r>
      <w:r>
        <w:rPr>
          <w:lang w:val="nl-NL"/>
        </w:rPr>
        <w:t xml:space="preserve">TenneT </w:t>
      </w:r>
      <w:r w:rsidR="002668B4">
        <w:rPr>
          <w:lang w:val="nl-NL"/>
        </w:rPr>
        <w:t xml:space="preserve">NL </w:t>
      </w:r>
      <w:r w:rsidRPr="009C56BF">
        <w:rPr>
          <w:lang w:val="nl-NL"/>
        </w:rPr>
        <w:t xml:space="preserve">daadwerkelijk </w:t>
      </w:r>
      <w:r>
        <w:rPr>
          <w:lang w:val="nl-NL"/>
        </w:rPr>
        <w:t xml:space="preserve">de garantie </w:t>
      </w:r>
      <w:r w:rsidRPr="009C56BF">
        <w:rPr>
          <w:lang w:val="nl-NL"/>
        </w:rPr>
        <w:t xml:space="preserve">heeft </w:t>
      </w:r>
      <w:r>
        <w:rPr>
          <w:lang w:val="nl-NL"/>
        </w:rPr>
        <w:t>ingeroepen. Er ontstaat dan een vordering van de staat op TenneT</w:t>
      </w:r>
      <w:r w:rsidR="002668B4">
        <w:rPr>
          <w:lang w:val="nl-NL"/>
        </w:rPr>
        <w:t xml:space="preserve"> NL</w:t>
      </w:r>
      <w:r>
        <w:rPr>
          <w:lang w:val="nl-NL"/>
        </w:rPr>
        <w:t xml:space="preserve">. </w:t>
      </w:r>
      <w:r w:rsidR="000D37EC">
        <w:rPr>
          <w:lang w:val="nl-NL"/>
        </w:rPr>
        <w:t xml:space="preserve">Deze vordering wordt achtergesteld op alle andere schuld van TenneT </w:t>
      </w:r>
      <w:r w:rsidR="002668B4">
        <w:rPr>
          <w:lang w:val="nl-NL"/>
        </w:rPr>
        <w:t xml:space="preserve">NL </w:t>
      </w:r>
      <w:r w:rsidR="000D37EC">
        <w:rPr>
          <w:lang w:val="nl-NL"/>
        </w:rPr>
        <w:t xml:space="preserve">en wordt alleen opeisbaar wanneer er geen schuld onder de garantie meer uitstaat.  </w:t>
      </w:r>
    </w:p>
    <w:p w:rsidRPr="00C81687" w:rsidR="0048763C" w:rsidP="00004717" w:rsidRDefault="0048763C" w14:paraId="7B55FB2C" w14:textId="31C009CA">
      <w:pPr>
        <w:pStyle w:val="Lijstalinea"/>
        <w:numPr>
          <w:ilvl w:val="1"/>
          <w:numId w:val="4"/>
        </w:numPr>
        <w:rPr>
          <w:lang w:val="nl-NL"/>
        </w:rPr>
      </w:pPr>
      <w:r>
        <w:rPr>
          <w:lang w:val="nl-NL"/>
        </w:rPr>
        <w:t>In het zeer onwaarschijnlijke geval dat van de garantie gebruik wordt gemaakt, dan zal binnen 5 werkdagen de compensatie verstrekt worden. Ik heb aanvullende afspraken met TenneT gemaakt om ervoor te zorgen dat het voor de Nederlandse staat (inclusief het Agentschap) werkbaar is om binnen 5 werkdagen de compensatie te verstrekken. De belangrijkste afspraak daarvoor is dat TenneT bij het uitgeven van obligaties ermee rekening houdt dat er binnen een week niet meer dan €</w:t>
      </w:r>
      <w:r w:rsidR="0082240F">
        <w:rPr>
          <w:lang w:val="nl-NL"/>
        </w:rPr>
        <w:t xml:space="preserve"> </w:t>
      </w:r>
      <w:r>
        <w:rPr>
          <w:lang w:val="nl-NL"/>
        </w:rPr>
        <w:t xml:space="preserve">2,5 miljard aan obligaties </w:t>
      </w:r>
      <w:r w:rsidR="00B700A7">
        <w:rPr>
          <w:lang w:val="nl-NL"/>
        </w:rPr>
        <w:t>vervalt</w:t>
      </w:r>
      <w:r>
        <w:rPr>
          <w:lang w:val="nl-NL"/>
        </w:rPr>
        <w:t xml:space="preserve">. </w:t>
      </w:r>
    </w:p>
    <w:bookmarkEnd w:id="6"/>
    <w:p w:rsidR="00004717" w:rsidP="00004717" w:rsidRDefault="00004717" w14:paraId="33008380" w14:textId="77777777">
      <w:pPr>
        <w:pStyle w:val="Lijstalinea"/>
        <w:ind w:left="360"/>
        <w:rPr>
          <w:lang w:val="nl-NL"/>
        </w:rPr>
      </w:pPr>
    </w:p>
    <w:p w:rsidR="00004717" w:rsidP="00004717" w:rsidRDefault="00004717" w14:paraId="35C181F8" w14:textId="77777777">
      <w:pPr>
        <w:pStyle w:val="Lijstalinea"/>
        <w:numPr>
          <w:ilvl w:val="0"/>
          <w:numId w:val="4"/>
        </w:numPr>
        <w:spacing w:line="256" w:lineRule="auto"/>
        <w:rPr>
          <w:i/>
          <w:iCs/>
          <w:lang w:val="nl-NL"/>
        </w:rPr>
      </w:pPr>
      <w:r>
        <w:rPr>
          <w:i/>
          <w:iCs/>
          <w:lang w:val="nl-NL"/>
        </w:rPr>
        <w:t>Bij complexe risico's: hoe beoordeelt een onafhankelijke expert het risico van het voorstel en de risico beheersende en risico mitigerende maatregelen van Rijk?</w:t>
      </w:r>
    </w:p>
    <w:p w:rsidR="00004717" w:rsidP="00004717" w:rsidRDefault="00004717" w14:paraId="5BA3D0F9" w14:textId="77777777">
      <w:pPr>
        <w:pStyle w:val="Lijstalinea"/>
        <w:ind w:left="360"/>
        <w:rPr>
          <w:i/>
          <w:iCs/>
          <w:lang w:val="nl-NL"/>
        </w:rPr>
      </w:pPr>
    </w:p>
    <w:p w:rsidR="00004717" w:rsidP="00004717" w:rsidRDefault="00004717" w14:paraId="3694BE0B" w14:textId="70C21ED8">
      <w:pPr>
        <w:pStyle w:val="Lijstalinea"/>
        <w:ind w:left="360"/>
        <w:rPr>
          <w:lang w:val="nl-NL"/>
        </w:rPr>
      </w:pPr>
      <w:r>
        <w:rPr>
          <w:lang w:val="nl-NL"/>
        </w:rPr>
        <w:t xml:space="preserve">De financieel adviseur van de staat onderschrijft bovenstaande analyse rondom de risico’s die de staat loopt. </w:t>
      </w:r>
      <w:r w:rsidRPr="00DE32E9" w:rsidR="00DE32E9">
        <w:rPr>
          <w:lang w:val="nl-NL"/>
        </w:rPr>
        <w:t>Zolang TenneT NL een cruciale infrastructuurbeheerder blijft voor Nederland en het ministerie van Financiën, blijft deze beoordeling ongewijzigd. Mocht deze visie of het ondersteuningsniveau echter veranderen, dan zou deze beoordeling eveneens wijzigen.</w:t>
      </w:r>
    </w:p>
    <w:p w:rsidR="00004717" w:rsidP="00004717" w:rsidRDefault="00004717" w14:paraId="034B80D2" w14:textId="77777777">
      <w:pPr>
        <w:rPr>
          <w:b/>
          <w:bCs/>
          <w:u w:val="single"/>
          <w:lang w:val="nl-NL"/>
        </w:rPr>
      </w:pPr>
      <w:r>
        <w:rPr>
          <w:b/>
          <w:bCs/>
          <w:u w:val="single"/>
          <w:lang w:val="nl-NL"/>
        </w:rPr>
        <w:t>Vormgeving</w:t>
      </w:r>
    </w:p>
    <w:p w:rsidR="00004717" w:rsidP="00004717" w:rsidRDefault="00004717" w14:paraId="02999D15" w14:textId="77777777">
      <w:pPr>
        <w:pStyle w:val="Lijstalinea"/>
        <w:numPr>
          <w:ilvl w:val="0"/>
          <w:numId w:val="4"/>
        </w:numPr>
        <w:spacing w:line="256" w:lineRule="auto"/>
        <w:rPr>
          <w:i/>
          <w:iCs/>
          <w:lang w:val="nl-NL"/>
        </w:rPr>
      </w:pPr>
      <w:bookmarkStart w:name="_Hlk193730279" w:id="7"/>
      <w:r>
        <w:rPr>
          <w:i/>
          <w:iCs/>
          <w:lang w:val="nl-NL"/>
        </w:rPr>
        <w:t>Welke premie wordt voorgesteld en hoeveel wordt doorberekend aan de eindgebruiker? Is deze premie kostendekkend en marktconform. Zo nee, hoeveel budgettaire ruimte wordt het door het vakdepartement specifiek ingezet?’</w:t>
      </w:r>
    </w:p>
    <w:p w:rsidR="00004717" w:rsidP="00004717" w:rsidRDefault="00004717" w14:paraId="5A2BE939" w14:textId="77777777">
      <w:pPr>
        <w:pStyle w:val="Lijstalinea"/>
        <w:ind w:left="360"/>
        <w:rPr>
          <w:i/>
          <w:iCs/>
          <w:lang w:val="nl-NL"/>
        </w:rPr>
      </w:pPr>
    </w:p>
    <w:p w:rsidR="006A2718" w:rsidP="005364D9" w:rsidRDefault="00E8506E" w14:paraId="42E71E0F" w14:textId="77777777">
      <w:pPr>
        <w:pStyle w:val="Lijstalinea"/>
        <w:ind w:left="360"/>
        <w:rPr>
          <w:lang w:val="nl-NL"/>
        </w:rPr>
      </w:pPr>
      <w:bookmarkStart w:name="_Hlk193182582" w:id="8"/>
      <w:r w:rsidRPr="00E8506E">
        <w:rPr>
          <w:lang w:val="nl-NL"/>
        </w:rPr>
        <w:t xml:space="preserve">TenneT NL betaalt een marktconforme premie op de uitstaande schuld onder de garantie. Deze garantiepremie is gelijkgesteld aan het verwachte financieringsvoordeel dat TenneT NL </w:t>
      </w:r>
      <w:r>
        <w:rPr>
          <w:lang w:val="nl-NL"/>
        </w:rPr>
        <w:t xml:space="preserve">krijgt </w:t>
      </w:r>
      <w:r w:rsidRPr="00E8506E">
        <w:rPr>
          <w:lang w:val="nl-NL"/>
        </w:rPr>
        <w:t>door het verstrekken van de garantie. TenneT NL zal namelijk goedkoper financiering aan kunnen trekken vanwege de garantie. Het verschil tussen de rente die hoort bij het huidige kredietprofiel van TenneT NL (A</w:t>
      </w:r>
      <w:r>
        <w:rPr>
          <w:lang w:val="nl-NL"/>
        </w:rPr>
        <w:t xml:space="preserve"> minus</w:t>
      </w:r>
      <w:r w:rsidRPr="00E8506E">
        <w:rPr>
          <w:lang w:val="nl-NL"/>
        </w:rPr>
        <w:t xml:space="preserve">) en de daadwerkelijke rente op nieuwe schuld met een </w:t>
      </w:r>
      <w:proofErr w:type="gramStart"/>
      <w:r w:rsidRPr="00E8506E">
        <w:rPr>
          <w:lang w:val="nl-NL"/>
        </w:rPr>
        <w:t>AAA rating</w:t>
      </w:r>
      <w:proofErr w:type="gramEnd"/>
      <w:r w:rsidRPr="00E8506E">
        <w:rPr>
          <w:lang w:val="nl-NL"/>
        </w:rPr>
        <w:t xml:space="preserve"> wordt door TenneT NL betaald aan de staat.</w:t>
      </w:r>
    </w:p>
    <w:p w:rsidR="006A2718" w:rsidP="006A2718" w:rsidRDefault="00E8506E" w14:paraId="41390418" w14:textId="77777777">
      <w:pPr>
        <w:ind w:left="360"/>
        <w:rPr>
          <w:lang w:val="nl-NL"/>
        </w:rPr>
      </w:pPr>
      <w:r w:rsidRPr="006A2718">
        <w:rPr>
          <w:lang w:val="nl-NL"/>
        </w:rPr>
        <w:t xml:space="preserve">Deze premie zal apart berekend worden voor elke afzonderlijke schulduitgifte van TenneT. Dit gebeurt aan de hand van een vooraf opgestelde methode. </w:t>
      </w:r>
      <w:r w:rsidR="006A2718">
        <w:rPr>
          <w:lang w:val="nl-NL"/>
        </w:rPr>
        <w:t xml:space="preserve">Deze methode werkt als volgt: </w:t>
      </w:r>
    </w:p>
    <w:p w:rsidR="006A2718" w:rsidP="006A2718" w:rsidRDefault="00E8506E" w14:paraId="59542C0D" w14:textId="38B6DED9">
      <w:pPr>
        <w:pStyle w:val="Lijstalinea"/>
        <w:numPr>
          <w:ilvl w:val="0"/>
          <w:numId w:val="11"/>
        </w:numPr>
        <w:rPr>
          <w:lang w:val="nl-NL"/>
        </w:rPr>
      </w:pPr>
      <w:r w:rsidRPr="006A2718">
        <w:rPr>
          <w:lang w:val="nl-NL"/>
        </w:rPr>
        <w:t xml:space="preserve">TenneT NL </w:t>
      </w:r>
      <w:r w:rsidR="006A2718">
        <w:rPr>
          <w:lang w:val="nl-NL"/>
        </w:rPr>
        <w:t>geeft schuld uit met de garantie</w:t>
      </w:r>
      <w:r w:rsidR="00D122EA">
        <w:rPr>
          <w:lang w:val="nl-NL"/>
        </w:rPr>
        <w:t xml:space="preserve"> (AAA)</w:t>
      </w:r>
      <w:r w:rsidR="006A2718">
        <w:rPr>
          <w:lang w:val="nl-NL"/>
        </w:rPr>
        <w:t>. Door de uitgifte van de schuld wordt helder welke rente TenneT betaalt aan de schuldverstrekkers.</w:t>
      </w:r>
    </w:p>
    <w:p w:rsidR="006A2718" w:rsidP="006A2718" w:rsidRDefault="006A2718" w14:paraId="7469DB7D" w14:textId="715D6793">
      <w:pPr>
        <w:pStyle w:val="Lijstalinea"/>
        <w:numPr>
          <w:ilvl w:val="0"/>
          <w:numId w:val="11"/>
        </w:numPr>
        <w:rPr>
          <w:lang w:val="nl-NL"/>
        </w:rPr>
      </w:pPr>
      <w:r>
        <w:rPr>
          <w:lang w:val="nl-NL"/>
        </w:rPr>
        <w:t>Op hetzelfde moment wordt bepaald</w:t>
      </w:r>
      <w:r w:rsidRPr="006A2718" w:rsidR="00E8506E">
        <w:rPr>
          <w:lang w:val="nl-NL"/>
        </w:rPr>
        <w:t xml:space="preserve"> </w:t>
      </w:r>
      <w:r>
        <w:rPr>
          <w:lang w:val="nl-NL"/>
        </w:rPr>
        <w:t xml:space="preserve">welke </w:t>
      </w:r>
      <w:r w:rsidRPr="006A2718" w:rsidR="00E8506E">
        <w:rPr>
          <w:lang w:val="nl-NL"/>
        </w:rPr>
        <w:t xml:space="preserve">rente </w:t>
      </w:r>
      <w:r>
        <w:rPr>
          <w:lang w:val="nl-NL"/>
        </w:rPr>
        <w:t xml:space="preserve">TenneT NL zou hebben </w:t>
      </w:r>
      <w:r w:rsidRPr="006A2718" w:rsidR="00E8506E">
        <w:rPr>
          <w:lang w:val="nl-NL"/>
        </w:rPr>
        <w:t>moeten betalen als d</w:t>
      </w:r>
      <w:r>
        <w:rPr>
          <w:lang w:val="nl-NL"/>
        </w:rPr>
        <w:t>e</w:t>
      </w:r>
      <w:r w:rsidRPr="006A2718" w:rsidR="00E8506E">
        <w:rPr>
          <w:lang w:val="nl-NL"/>
        </w:rPr>
        <w:t xml:space="preserve"> schuld was uitgegeven met het huidige kredietprofiel (A minus) van TenneT NL.</w:t>
      </w:r>
      <w:r>
        <w:rPr>
          <w:lang w:val="nl-NL"/>
        </w:rPr>
        <w:t xml:space="preserve"> Deze rente wordt bepaald door te kijken naar de rente die een </w:t>
      </w:r>
      <w:r>
        <w:rPr>
          <w:i/>
          <w:iCs/>
          <w:lang w:val="nl-NL"/>
        </w:rPr>
        <w:t xml:space="preserve">peer </w:t>
      </w:r>
      <w:proofErr w:type="spellStart"/>
      <w:r>
        <w:rPr>
          <w:i/>
          <w:iCs/>
          <w:lang w:val="nl-NL"/>
        </w:rPr>
        <w:t>group</w:t>
      </w:r>
      <w:proofErr w:type="spellEnd"/>
      <w:r>
        <w:rPr>
          <w:i/>
          <w:iCs/>
          <w:lang w:val="nl-NL"/>
        </w:rPr>
        <w:t xml:space="preserve"> </w:t>
      </w:r>
      <w:r>
        <w:rPr>
          <w:lang w:val="nl-NL"/>
        </w:rPr>
        <w:t>van vergelijkbare bedrijven zou betalen bij dezelfde looptijd.</w:t>
      </w:r>
    </w:p>
    <w:p w:rsidRPr="00334A63" w:rsidR="00004717" w:rsidP="009A138C" w:rsidRDefault="006A2718" w14:paraId="72CC8D3A" w14:textId="68AA35C6">
      <w:pPr>
        <w:ind w:left="360"/>
        <w:rPr>
          <w:lang w:val="nl-NL"/>
        </w:rPr>
      </w:pPr>
      <w:r w:rsidRPr="006A2718">
        <w:rPr>
          <w:lang w:val="nl-NL"/>
        </w:rPr>
        <w:t xml:space="preserve">De delta tussen beide rentes is de garantiepremie. </w:t>
      </w:r>
      <w:r w:rsidRPr="006A2718" w:rsidR="00E8506E">
        <w:rPr>
          <w:lang w:val="nl-NL"/>
        </w:rPr>
        <w:t>Ter indicatie</w:t>
      </w:r>
      <w:r>
        <w:rPr>
          <w:lang w:val="nl-NL"/>
        </w:rPr>
        <w:t>: op basis van de huidige marktdata is de verwachting dat deze premie zou uitkomen op ongeveer</w:t>
      </w:r>
      <w:r w:rsidRPr="006A2718" w:rsidR="00E8506E">
        <w:rPr>
          <w:lang w:val="nl-NL"/>
        </w:rPr>
        <w:t xml:space="preserve"> 0</w:t>
      </w:r>
      <w:r w:rsidR="00F953D6">
        <w:rPr>
          <w:lang w:val="nl-NL"/>
        </w:rPr>
        <w:t>,</w:t>
      </w:r>
      <w:r w:rsidRPr="006A2718" w:rsidR="00E8506E">
        <w:rPr>
          <w:lang w:val="nl-NL"/>
        </w:rPr>
        <w:t xml:space="preserve">50%. </w:t>
      </w:r>
      <w:bookmarkEnd w:id="8"/>
      <w:r w:rsidRPr="009A138C" w:rsidR="00004717">
        <w:rPr>
          <w:lang w:val="nl-NL"/>
        </w:rPr>
        <w:t xml:space="preserve">Deze garantiepremie is onder andere zo gekozen om de instellingsgarantie zo marktconform mogelijk vorm te geven. Door het verschil te nemen tussen de rente </w:t>
      </w:r>
      <w:r w:rsidRPr="009A138C" w:rsidR="00D122EA">
        <w:rPr>
          <w:lang w:val="nl-NL"/>
        </w:rPr>
        <w:t xml:space="preserve">met het huidige </w:t>
      </w:r>
      <w:r w:rsidRPr="009A138C" w:rsidR="00D122EA">
        <w:rPr>
          <w:lang w:val="nl-NL"/>
        </w:rPr>
        <w:lastRenderedPageBreak/>
        <w:t xml:space="preserve">kredietprofiel van </w:t>
      </w:r>
      <w:r w:rsidRPr="009A138C" w:rsidR="00004717">
        <w:rPr>
          <w:lang w:val="nl-NL"/>
        </w:rPr>
        <w:t xml:space="preserve">TenneT </w:t>
      </w:r>
      <w:r w:rsidRPr="009A138C" w:rsidR="002668B4">
        <w:rPr>
          <w:lang w:val="nl-NL"/>
        </w:rPr>
        <w:t xml:space="preserve">NL </w:t>
      </w:r>
      <w:r w:rsidRPr="009A138C" w:rsidR="00004717">
        <w:rPr>
          <w:lang w:val="nl-NL"/>
        </w:rPr>
        <w:t xml:space="preserve">en </w:t>
      </w:r>
      <w:r w:rsidRPr="009A138C" w:rsidR="00D122EA">
        <w:rPr>
          <w:lang w:val="nl-NL"/>
        </w:rPr>
        <w:t>het nieuwe kredietprofiel</w:t>
      </w:r>
      <w:r w:rsidRPr="009A138C" w:rsidR="00004717">
        <w:rPr>
          <w:lang w:val="nl-NL"/>
        </w:rPr>
        <w:t>, zal TenneT</w:t>
      </w:r>
      <w:r w:rsidRPr="009A138C" w:rsidR="002668B4">
        <w:rPr>
          <w:lang w:val="nl-NL"/>
        </w:rPr>
        <w:t xml:space="preserve"> NL</w:t>
      </w:r>
      <w:r w:rsidRPr="009A138C" w:rsidR="00004717">
        <w:rPr>
          <w:lang w:val="nl-NL"/>
        </w:rPr>
        <w:t xml:space="preserve"> de facto dezelfde kosten voor vreemd vermogen blijven </w:t>
      </w:r>
      <w:r w:rsidRPr="00334A63" w:rsidR="00004717">
        <w:rPr>
          <w:lang w:val="nl-NL"/>
        </w:rPr>
        <w:t xml:space="preserve">maken als het nu doet. </w:t>
      </w:r>
    </w:p>
    <w:p w:rsidRPr="008B29A1" w:rsidR="008B29A1" w:rsidP="008B29A1" w:rsidRDefault="008B29A1" w14:paraId="63C5B4D0" w14:textId="77777777">
      <w:pPr>
        <w:pStyle w:val="Lijstalinea"/>
        <w:ind w:left="360"/>
        <w:rPr>
          <w:lang w:val="nl-NL"/>
        </w:rPr>
      </w:pPr>
      <w:r w:rsidRPr="00334A63">
        <w:rPr>
          <w:lang w:val="nl-NL"/>
        </w:rPr>
        <w:t xml:space="preserve">Een gedeelte van de huidige schuld van TenneT Holding zal naar TenneT NL worden verplaatst en ook onder de garantie komen te vallen. Deze schuld is in het verleden uitgeven terwijl TenneT Holding een </w:t>
      </w:r>
      <w:r w:rsidRPr="00334A63">
        <w:rPr>
          <w:i/>
          <w:lang w:val="nl-NL"/>
        </w:rPr>
        <w:t>A-minus</w:t>
      </w:r>
      <w:r w:rsidRPr="00334A63">
        <w:rPr>
          <w:lang w:val="nl-NL"/>
        </w:rPr>
        <w:t xml:space="preserve"> rating had. De rente die TenneT daarover betaalt past dus bij deze rating. Hierdoor zou het heffen van de garantiepremie over deze schuld ervoor zorgen dat TenneT NL meer moet betalen dan de reeds vastgestelde rente passend bij een </w:t>
      </w:r>
      <w:r w:rsidRPr="00334A63">
        <w:rPr>
          <w:i/>
          <w:iCs/>
          <w:lang w:val="nl-NL"/>
        </w:rPr>
        <w:t xml:space="preserve">A-minus </w:t>
      </w:r>
      <w:r w:rsidRPr="00334A63">
        <w:rPr>
          <w:lang w:val="nl-NL"/>
        </w:rPr>
        <w:t>rating. Dit is niet in lijn met de hierboven geschetste rationale voor de garantiepremie. Daarom zal voor de bestaande schuld geen garantiepremie geheven worden.</w:t>
      </w:r>
      <w:r w:rsidRPr="008B29A1">
        <w:rPr>
          <w:lang w:val="nl-NL"/>
        </w:rPr>
        <w:t xml:space="preserve">   </w:t>
      </w:r>
    </w:p>
    <w:p w:rsidR="00004717" w:rsidP="00004717" w:rsidRDefault="00004717" w14:paraId="376CEB24" w14:textId="77777777">
      <w:pPr>
        <w:pStyle w:val="Lijstalinea"/>
        <w:ind w:left="360"/>
        <w:rPr>
          <w:lang w:val="nl-NL"/>
        </w:rPr>
      </w:pPr>
    </w:p>
    <w:p w:rsidRPr="009C56BF" w:rsidR="00004717" w:rsidP="00004717" w:rsidRDefault="00004717" w14:paraId="68859B12" w14:textId="62F2B774">
      <w:pPr>
        <w:pStyle w:val="Lijstalinea"/>
        <w:ind w:left="360"/>
        <w:rPr>
          <w:lang w:val="nl-NL"/>
        </w:rPr>
      </w:pPr>
      <w:r w:rsidRPr="00A43A61">
        <w:rPr>
          <w:lang w:val="nl-NL"/>
        </w:rPr>
        <w:t xml:space="preserve">Omdat de voorliggende staatsgarantie </w:t>
      </w:r>
      <w:r>
        <w:rPr>
          <w:lang w:val="nl-NL"/>
        </w:rPr>
        <w:t xml:space="preserve">aan TenneT </w:t>
      </w:r>
      <w:r w:rsidR="002668B4">
        <w:rPr>
          <w:lang w:val="nl-NL"/>
        </w:rPr>
        <w:t xml:space="preserve">NL </w:t>
      </w:r>
      <w:r w:rsidRPr="00A43A61">
        <w:rPr>
          <w:lang w:val="nl-NL"/>
        </w:rPr>
        <w:t>een risicoregeling is zonder begrote schade, worden de premie en de schade conform beleidskader risicoregelingen als ontvangsten en uitgaven in de staatsschuld geboekt.</w:t>
      </w:r>
      <w:r>
        <w:rPr>
          <w:lang w:val="nl-NL"/>
        </w:rPr>
        <w:t xml:space="preserve"> De inkomsten verbeteren het EMU-saldo</w:t>
      </w:r>
      <w:r w:rsidR="003A5783">
        <w:rPr>
          <w:lang w:val="nl-NL"/>
        </w:rPr>
        <w:t xml:space="preserve"> maar zijn niet relevant voor het uitgavenkader</w:t>
      </w:r>
      <w:r>
        <w:rPr>
          <w:lang w:val="nl-NL"/>
        </w:rPr>
        <w:t xml:space="preserve">. </w:t>
      </w:r>
    </w:p>
    <w:p w:rsidR="00004717" w:rsidP="00004717" w:rsidRDefault="00004717" w14:paraId="689AEDF5" w14:textId="77777777">
      <w:pPr>
        <w:pStyle w:val="Lijstalinea"/>
        <w:ind w:left="360"/>
        <w:rPr>
          <w:i/>
          <w:iCs/>
          <w:lang w:val="nl-NL"/>
        </w:rPr>
      </w:pPr>
    </w:p>
    <w:bookmarkEnd w:id="7"/>
    <w:p w:rsidR="00004717" w:rsidP="00004717" w:rsidRDefault="00004717" w14:paraId="1AA7C9D7" w14:textId="77777777">
      <w:pPr>
        <w:pStyle w:val="Lijstalinea"/>
        <w:numPr>
          <w:ilvl w:val="0"/>
          <w:numId w:val="4"/>
        </w:numPr>
        <w:spacing w:line="256" w:lineRule="auto"/>
        <w:rPr>
          <w:i/>
          <w:iCs/>
          <w:lang w:val="nl-NL"/>
        </w:rPr>
      </w:pPr>
      <w:r>
        <w:rPr>
          <w:i/>
          <w:iCs/>
          <w:lang w:val="nl-NL"/>
        </w:rPr>
        <w:t>Hoe wordt de risicovoorziening vormgegeven?</w:t>
      </w:r>
    </w:p>
    <w:p w:rsidR="00004717" w:rsidP="00004717" w:rsidRDefault="00004717" w14:paraId="31F6FDEB" w14:textId="77777777">
      <w:pPr>
        <w:ind w:left="360"/>
        <w:rPr>
          <w:lang w:val="nl-NL"/>
        </w:rPr>
      </w:pPr>
      <w:r>
        <w:rPr>
          <w:lang w:val="nl-NL"/>
        </w:rPr>
        <w:t>Aangezien er geen begrote schade op deze lening is, is er geen risico-voorziening van toepassing.</w:t>
      </w:r>
    </w:p>
    <w:p w:rsidR="00004717" w:rsidP="00004717" w:rsidRDefault="00004717" w14:paraId="6B77FEC7" w14:textId="77777777">
      <w:pPr>
        <w:pStyle w:val="Lijstalinea"/>
        <w:numPr>
          <w:ilvl w:val="0"/>
          <w:numId w:val="4"/>
        </w:numPr>
        <w:spacing w:line="256" w:lineRule="auto"/>
        <w:rPr>
          <w:i/>
          <w:iCs/>
          <w:lang w:val="nl-NL"/>
        </w:rPr>
      </w:pPr>
      <w:r>
        <w:rPr>
          <w:i/>
          <w:iCs/>
          <w:lang w:val="nl-NL"/>
        </w:rPr>
        <w:t>Welke horizonbepaling wordt gehanteerd (standaardtermijn is maximaal 5 jaar)?</w:t>
      </w:r>
    </w:p>
    <w:p w:rsidR="00004717" w:rsidP="00004717" w:rsidRDefault="00004717" w14:paraId="75761366" w14:textId="3F1593F0">
      <w:pPr>
        <w:ind w:left="360"/>
        <w:rPr>
          <w:lang w:val="nl-NL"/>
        </w:rPr>
      </w:pPr>
      <w:r>
        <w:rPr>
          <w:lang w:val="nl-NL"/>
        </w:rPr>
        <w:t xml:space="preserve">Om het gewenste effect van de garantie te bereiken, dienen investeerders in obligaties van TenneT </w:t>
      </w:r>
      <w:r w:rsidR="002668B4">
        <w:rPr>
          <w:lang w:val="nl-NL"/>
        </w:rPr>
        <w:t xml:space="preserve">NL </w:t>
      </w:r>
      <w:r>
        <w:rPr>
          <w:lang w:val="nl-NL"/>
        </w:rPr>
        <w:t xml:space="preserve">vertrouwen te hebben dat de garantie van toepassing is gedurende de looptijd van de obligaties. Daarom is het volgende afgesproken: </w:t>
      </w:r>
    </w:p>
    <w:p w:rsidR="00004717" w:rsidP="00004717" w:rsidRDefault="00004717" w14:paraId="4DD31AAD" w14:textId="712CDA65">
      <w:pPr>
        <w:pStyle w:val="Lijstalinea"/>
        <w:numPr>
          <w:ilvl w:val="0"/>
          <w:numId w:val="7"/>
        </w:numPr>
        <w:rPr>
          <w:lang w:val="nl-NL"/>
        </w:rPr>
      </w:pPr>
      <w:r>
        <w:rPr>
          <w:lang w:val="nl-NL"/>
        </w:rPr>
        <w:t>De garantie is doorlopend en kent geen einddatum</w:t>
      </w:r>
      <w:r w:rsidR="00D122EA">
        <w:rPr>
          <w:lang w:val="nl-NL"/>
        </w:rPr>
        <w:t>;</w:t>
      </w:r>
      <w:r>
        <w:rPr>
          <w:lang w:val="nl-NL"/>
        </w:rPr>
        <w:t xml:space="preserve"> </w:t>
      </w:r>
    </w:p>
    <w:p w:rsidRPr="005F3969" w:rsidR="00004717" w:rsidP="00004717" w:rsidRDefault="00004717" w14:paraId="36B34AF8" w14:textId="74FB3B4C">
      <w:pPr>
        <w:pStyle w:val="Lijstalinea"/>
        <w:numPr>
          <w:ilvl w:val="0"/>
          <w:numId w:val="7"/>
        </w:numPr>
        <w:rPr>
          <w:lang w:val="nl-NL"/>
        </w:rPr>
      </w:pPr>
      <w:r>
        <w:rPr>
          <w:lang w:val="nl-NL"/>
        </w:rPr>
        <w:t xml:space="preserve">De garantie kan </w:t>
      </w:r>
      <w:r w:rsidRPr="005F3969">
        <w:rPr>
          <w:lang w:val="nl-NL"/>
        </w:rPr>
        <w:t xml:space="preserve">niet </w:t>
      </w:r>
      <w:r w:rsidR="00D122EA">
        <w:rPr>
          <w:lang w:val="nl-NL"/>
        </w:rPr>
        <w:t xml:space="preserve">voor 2030 </w:t>
      </w:r>
      <w:r w:rsidRPr="005F3969">
        <w:rPr>
          <w:lang w:val="nl-NL"/>
        </w:rPr>
        <w:t>opgezegd</w:t>
      </w:r>
      <w:r>
        <w:rPr>
          <w:lang w:val="nl-NL"/>
        </w:rPr>
        <w:t xml:space="preserve"> worden</w:t>
      </w:r>
      <w:r w:rsidR="00D122EA">
        <w:rPr>
          <w:lang w:val="nl-NL"/>
        </w:rPr>
        <w:t>;</w:t>
      </w:r>
    </w:p>
    <w:p w:rsidR="00004717" w:rsidP="00004717" w:rsidRDefault="00004717" w14:paraId="174FEA0E" w14:textId="69651480">
      <w:pPr>
        <w:pStyle w:val="Lijstalinea"/>
        <w:numPr>
          <w:ilvl w:val="0"/>
          <w:numId w:val="7"/>
        </w:numPr>
        <w:rPr>
          <w:lang w:val="nl-NL"/>
        </w:rPr>
      </w:pPr>
      <w:r>
        <w:rPr>
          <w:lang w:val="nl-NL"/>
        </w:rPr>
        <w:t xml:space="preserve">Na </w:t>
      </w:r>
      <w:r w:rsidR="00D122EA">
        <w:rPr>
          <w:lang w:val="nl-NL"/>
        </w:rPr>
        <w:t>2030 (startend vanaf 1 januari 2031)</w:t>
      </w:r>
      <w:r>
        <w:rPr>
          <w:lang w:val="nl-NL"/>
        </w:rPr>
        <w:t>, kan de garantie worden opgezegd, maar met een termijn van 12 jaar</w:t>
      </w:r>
      <w:r w:rsidR="002668B4">
        <w:rPr>
          <w:lang w:val="nl-NL"/>
        </w:rPr>
        <w:t>.</w:t>
      </w:r>
    </w:p>
    <w:p w:rsidRPr="00A43A61" w:rsidR="00004717" w:rsidP="00004717" w:rsidRDefault="00004717" w14:paraId="6FD2EC61" w14:textId="2D1344E5">
      <w:pPr>
        <w:ind w:left="360"/>
        <w:rPr>
          <w:lang w:val="nl-NL"/>
        </w:rPr>
      </w:pPr>
      <w:r>
        <w:rPr>
          <w:lang w:val="nl-NL"/>
        </w:rPr>
        <w:t xml:space="preserve">De garantie zal elke 5 jaar worden geëvalueerd. Deze evaluatie zal de zekerheden van obligatiehouders niet aantasten. Mocht dit toch het geval zijn, dan zullen de obligatiehouders eerst akkoord moeten geven op aanpassingen. </w:t>
      </w:r>
      <w:r w:rsidRPr="00D012DD">
        <w:rPr>
          <w:lang w:val="nl-NL"/>
        </w:rPr>
        <w:t>Er is geen einddatum voor de instellingsgarantie vastgesteld</w:t>
      </w:r>
      <w:r w:rsidR="00657E09">
        <w:rPr>
          <w:lang w:val="nl-NL"/>
        </w:rPr>
        <w:t xml:space="preserve">. De garantie is in principe echter </w:t>
      </w:r>
      <w:r w:rsidRPr="00D012DD">
        <w:rPr>
          <w:lang w:val="nl-NL"/>
        </w:rPr>
        <w:t>niet oneindig. Bij elke evaluatie zal gekeken worden of er een noodzaak is voor de garantie en of TenneT</w:t>
      </w:r>
      <w:r w:rsidR="002668B4">
        <w:rPr>
          <w:lang w:val="nl-NL"/>
        </w:rPr>
        <w:t xml:space="preserve"> NL</w:t>
      </w:r>
      <w:r w:rsidRPr="00D012DD">
        <w:rPr>
          <w:lang w:val="nl-NL"/>
        </w:rPr>
        <w:t xml:space="preserve"> eventueel ook zonder de garantie zou kunnen. Aan de hand van deze evaluatie kan besloten worden om de garantie</w:t>
      </w:r>
      <w:r>
        <w:rPr>
          <w:lang w:val="nl-NL"/>
        </w:rPr>
        <w:t xml:space="preserve"> aan te passen of</w:t>
      </w:r>
      <w:r w:rsidRPr="00D012DD">
        <w:rPr>
          <w:lang w:val="nl-NL"/>
        </w:rPr>
        <w:t xml:space="preserve"> op te zeggen (met de geldende opzegtermijnen zoals hierboven beschreven). Hierbij zal voornamelijk gekeken worden of TenneT </w:t>
      </w:r>
      <w:r w:rsidR="002668B4">
        <w:rPr>
          <w:lang w:val="nl-NL"/>
        </w:rPr>
        <w:t xml:space="preserve">NL </w:t>
      </w:r>
      <w:r w:rsidRPr="00D012DD">
        <w:rPr>
          <w:lang w:val="nl-NL"/>
        </w:rPr>
        <w:t xml:space="preserve">de financieringsopgave zelfstandig zou kunnen invullen. </w:t>
      </w:r>
      <w:bookmarkStart w:name="_Hlk193183040" w:id="9"/>
      <w:r w:rsidRPr="00D012DD">
        <w:rPr>
          <w:lang w:val="nl-NL"/>
        </w:rPr>
        <w:t xml:space="preserve">De verwachting is dat de garantie minimaal de komende 10 jaar niet wordt opgezegd, omdat de verwachting is dat de kasstromen van TenneT </w:t>
      </w:r>
      <w:r w:rsidR="002668B4">
        <w:rPr>
          <w:lang w:val="nl-NL"/>
        </w:rPr>
        <w:t xml:space="preserve">NL </w:t>
      </w:r>
      <w:r w:rsidRPr="00D012DD">
        <w:rPr>
          <w:lang w:val="nl-NL"/>
        </w:rPr>
        <w:t xml:space="preserve">de komende 10 jaar nog niet dermate hoog zullen zijn dat TenneT </w:t>
      </w:r>
      <w:r w:rsidR="002668B4">
        <w:rPr>
          <w:lang w:val="nl-NL"/>
        </w:rPr>
        <w:t xml:space="preserve">NL </w:t>
      </w:r>
      <w:r w:rsidRPr="00D012DD">
        <w:rPr>
          <w:lang w:val="nl-NL"/>
        </w:rPr>
        <w:t>zich zelfstandig zou kunnen financieren tegen acceptabele financieringskosten.</w:t>
      </w:r>
      <w:r>
        <w:rPr>
          <w:lang w:val="nl-NL"/>
        </w:rPr>
        <w:t xml:space="preserve"> </w:t>
      </w:r>
      <w:bookmarkEnd w:id="9"/>
    </w:p>
    <w:p w:rsidR="00004717" w:rsidP="00004717" w:rsidRDefault="00004717" w14:paraId="09C34884" w14:textId="77777777">
      <w:pPr>
        <w:pStyle w:val="Lijstalinea"/>
        <w:numPr>
          <w:ilvl w:val="0"/>
          <w:numId w:val="4"/>
        </w:numPr>
        <w:spacing w:line="256" w:lineRule="auto"/>
        <w:rPr>
          <w:i/>
          <w:iCs/>
          <w:lang w:val="nl-NL"/>
        </w:rPr>
      </w:pPr>
      <w:r>
        <w:rPr>
          <w:i/>
          <w:iCs/>
          <w:lang w:val="nl-NL"/>
        </w:rPr>
        <w:t>Wie voert de risicoregeling uit en wat zijn de uitvoeringskosten van de regeling?</w:t>
      </w:r>
    </w:p>
    <w:p w:rsidR="00004717" w:rsidP="00004717" w:rsidRDefault="00004717" w14:paraId="23C1AC6C" w14:textId="439CBD7B">
      <w:pPr>
        <w:ind w:left="360"/>
        <w:rPr>
          <w:lang w:val="nl-NL"/>
        </w:rPr>
      </w:pPr>
      <w:r>
        <w:rPr>
          <w:lang w:val="nl-NL"/>
        </w:rPr>
        <w:t>De risicoregeling wordt uitgevoerd door het ministerie van Financiën. De uitvoeringskosten van deze regeling vallen onder artikel 3 van de Financiën-begroting en zijn nihil.</w:t>
      </w:r>
      <w:r w:rsidR="003A5783">
        <w:rPr>
          <w:lang w:val="nl-NL"/>
        </w:rPr>
        <w:t xml:space="preserve"> In het geval deze uitvoeringskosten stijgen, worden deze in beginsel gedekt op artikel 3 van de Financiënbegroting.</w:t>
      </w:r>
    </w:p>
    <w:p w:rsidRPr="005F3969" w:rsidR="00004717" w:rsidP="00004717" w:rsidRDefault="00004717" w14:paraId="5800751D" w14:textId="77777777">
      <w:pPr>
        <w:pStyle w:val="Lijstalinea"/>
        <w:numPr>
          <w:ilvl w:val="0"/>
          <w:numId w:val="4"/>
        </w:numPr>
        <w:spacing w:line="256" w:lineRule="auto"/>
        <w:rPr>
          <w:i/>
          <w:iCs/>
          <w:lang w:val="nl-NL"/>
        </w:rPr>
      </w:pPr>
      <w:r>
        <w:rPr>
          <w:i/>
          <w:iCs/>
          <w:lang w:val="nl-NL"/>
        </w:rPr>
        <w:t>Hoe wordt de regeling geëvalueerd, welke informatie is daarvoor relevant en hoe wordt een deugdelijke evaluatie geborgd?</w:t>
      </w:r>
    </w:p>
    <w:p w:rsidRPr="007619FE" w:rsidR="00004717" w:rsidP="00004717" w:rsidRDefault="00004717" w14:paraId="2499B71F" w14:textId="2A7A17FC">
      <w:pPr>
        <w:ind w:left="360"/>
        <w:rPr>
          <w:lang w:val="nl-NL"/>
        </w:rPr>
      </w:pPr>
      <w:r w:rsidRPr="005F3969">
        <w:rPr>
          <w:lang w:val="nl-NL"/>
        </w:rPr>
        <w:t xml:space="preserve">Elke 5 jaar vindt een evaluatie van de werking van de </w:t>
      </w:r>
      <w:r>
        <w:rPr>
          <w:lang w:val="nl-NL"/>
        </w:rPr>
        <w:t>garantie</w:t>
      </w:r>
      <w:r w:rsidRPr="005F3969">
        <w:rPr>
          <w:lang w:val="nl-NL"/>
        </w:rPr>
        <w:t xml:space="preserve"> plaats, </w:t>
      </w:r>
      <w:r w:rsidR="00315A5D">
        <w:rPr>
          <w:lang w:val="nl-NL"/>
        </w:rPr>
        <w:t>waarbij de Regeling Periodiek Evaluatieonderzoek als basis wordt gebruikt. D</w:t>
      </w:r>
      <w:r w:rsidR="005F3969">
        <w:rPr>
          <w:lang w:val="nl-NL"/>
        </w:rPr>
        <w:t xml:space="preserve">eze </w:t>
      </w:r>
      <w:r w:rsidR="00753841">
        <w:rPr>
          <w:lang w:val="nl-NL"/>
        </w:rPr>
        <w:t>evaluatie</w:t>
      </w:r>
      <w:r w:rsidR="005A0FBA">
        <w:rPr>
          <w:lang w:val="nl-NL"/>
        </w:rPr>
        <w:t xml:space="preserve"> </w:t>
      </w:r>
      <w:r>
        <w:rPr>
          <w:lang w:val="nl-NL"/>
        </w:rPr>
        <w:t>dient afgerond</w:t>
      </w:r>
      <w:r w:rsidR="003A5783">
        <w:rPr>
          <w:lang w:val="nl-NL"/>
        </w:rPr>
        <w:t xml:space="preserve"> te zijn</w:t>
      </w:r>
      <w:r>
        <w:rPr>
          <w:lang w:val="nl-NL"/>
        </w:rPr>
        <w:t xml:space="preserve"> </w:t>
      </w:r>
      <w:r w:rsidR="002668B4">
        <w:rPr>
          <w:lang w:val="nl-NL"/>
        </w:rPr>
        <w:t>uiterlijk 5 jaar na implementatie van de garantie</w:t>
      </w:r>
      <w:r w:rsidRPr="005F3969">
        <w:rPr>
          <w:lang w:val="nl-NL"/>
        </w:rPr>
        <w:t xml:space="preserve">. Het ministerie van Financiën initieert de evaluatie en voert deze uit in samenwerking </w:t>
      </w:r>
      <w:r w:rsidR="003A5783">
        <w:rPr>
          <w:lang w:val="nl-NL"/>
        </w:rPr>
        <w:t xml:space="preserve">met </w:t>
      </w:r>
      <w:r>
        <w:rPr>
          <w:lang w:val="nl-NL"/>
        </w:rPr>
        <w:t>TenneT</w:t>
      </w:r>
      <w:r w:rsidR="002668B4">
        <w:rPr>
          <w:lang w:val="nl-NL"/>
        </w:rPr>
        <w:t xml:space="preserve"> NL</w:t>
      </w:r>
      <w:r w:rsidRPr="005F3969">
        <w:rPr>
          <w:lang w:val="nl-NL"/>
        </w:rPr>
        <w:t xml:space="preserve">. </w:t>
      </w:r>
    </w:p>
    <w:p w:rsidRPr="002E0864" w:rsidR="00BA486E" w:rsidP="005A0FBA" w:rsidRDefault="00BA486E" w14:paraId="00A546A1" w14:textId="12AD5841">
      <w:pPr>
        <w:rPr>
          <w:lang w:val="nl-NL"/>
        </w:rPr>
      </w:pPr>
    </w:p>
    <w:sectPr w:rsidRPr="002E0864" w:rsidR="00BA486E"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66541" w14:textId="77777777" w:rsidR="00A1048E" w:rsidRDefault="00A1048E" w:rsidP="00843677">
      <w:pPr>
        <w:spacing w:after="0" w:line="240" w:lineRule="auto"/>
      </w:pPr>
      <w:r>
        <w:separator/>
      </w:r>
    </w:p>
  </w:endnote>
  <w:endnote w:type="continuationSeparator" w:id="0">
    <w:p w14:paraId="1F362B22" w14:textId="77777777" w:rsidR="00A1048E" w:rsidRDefault="00A1048E" w:rsidP="00843677">
      <w:pPr>
        <w:spacing w:after="0" w:line="240" w:lineRule="auto"/>
      </w:pPr>
      <w:r>
        <w:continuationSeparator/>
      </w:r>
    </w:p>
  </w:endnote>
  <w:endnote w:type="continuationNotice" w:id="1">
    <w:p w14:paraId="29CCB006" w14:textId="77777777" w:rsidR="00A1048E" w:rsidRDefault="00A10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24411" w14:textId="77777777" w:rsidR="00A1048E" w:rsidRDefault="00A1048E" w:rsidP="00843677">
      <w:pPr>
        <w:spacing w:after="0" w:line="240" w:lineRule="auto"/>
      </w:pPr>
      <w:r>
        <w:separator/>
      </w:r>
    </w:p>
  </w:footnote>
  <w:footnote w:type="continuationSeparator" w:id="0">
    <w:p w14:paraId="5B7247F8" w14:textId="77777777" w:rsidR="00A1048E" w:rsidRDefault="00A1048E" w:rsidP="00843677">
      <w:pPr>
        <w:spacing w:after="0" w:line="240" w:lineRule="auto"/>
      </w:pPr>
      <w:r>
        <w:continuationSeparator/>
      </w:r>
    </w:p>
  </w:footnote>
  <w:footnote w:type="continuationNotice" w:id="1">
    <w:p w14:paraId="11C3A105" w14:textId="77777777" w:rsidR="00A1048E" w:rsidRDefault="00A1048E">
      <w:pPr>
        <w:spacing w:after="0" w:line="240" w:lineRule="auto"/>
      </w:pPr>
    </w:p>
  </w:footnote>
  <w:footnote w:id="2">
    <w:p w14:paraId="4230E317" w14:textId="77777777" w:rsidR="00004717" w:rsidRPr="00965799" w:rsidRDefault="00004717" w:rsidP="00004717">
      <w:pPr>
        <w:pStyle w:val="Voetnoottekst"/>
        <w:rPr>
          <w:sz w:val="14"/>
          <w:szCs w:val="14"/>
          <w:lang w:val="nl-NL"/>
        </w:rPr>
      </w:pPr>
      <w:r w:rsidRPr="00965799">
        <w:rPr>
          <w:rStyle w:val="Voetnootmarkering"/>
          <w:sz w:val="14"/>
          <w:szCs w:val="14"/>
        </w:rPr>
        <w:footnoteRef/>
      </w:r>
      <w:r w:rsidRPr="00965799">
        <w:rPr>
          <w:sz w:val="14"/>
          <w:szCs w:val="14"/>
          <w:lang w:val="nl-NL"/>
        </w:rPr>
        <w:t xml:space="preserve"> Kamerstukken II 2021-2022, 28 165 nr. 370.</w:t>
      </w:r>
    </w:p>
  </w:footnote>
  <w:footnote w:id="3">
    <w:p w14:paraId="43D78DBD" w14:textId="5F169A81" w:rsidR="00965799" w:rsidRPr="00EB7F94" w:rsidRDefault="00965799">
      <w:pPr>
        <w:pStyle w:val="Voetnoottekst"/>
        <w:rPr>
          <w:sz w:val="14"/>
          <w:szCs w:val="14"/>
          <w:lang w:val="nl-NL"/>
        </w:rPr>
      </w:pPr>
      <w:r w:rsidRPr="00EB7F94">
        <w:rPr>
          <w:rStyle w:val="Voetnootmarkering"/>
          <w:sz w:val="14"/>
          <w:szCs w:val="14"/>
        </w:rPr>
        <w:footnoteRef/>
      </w:r>
      <w:r w:rsidRPr="00EB7F94">
        <w:rPr>
          <w:sz w:val="14"/>
          <w:szCs w:val="14"/>
          <w:lang w:val="nl-NL"/>
        </w:rPr>
        <w:t xml:space="preserve"> Kamerstukken II 2024-2025, 29 023 nr. 553.</w:t>
      </w:r>
    </w:p>
  </w:footnote>
  <w:footnote w:id="4">
    <w:p w14:paraId="794C8895" w14:textId="7A25F84C" w:rsidR="00D30359" w:rsidRPr="00965799" w:rsidRDefault="00D30359" w:rsidP="00D30359">
      <w:pPr>
        <w:pStyle w:val="Voetnoottekst"/>
        <w:rPr>
          <w:sz w:val="14"/>
          <w:szCs w:val="14"/>
          <w:lang w:val="nl-NL"/>
        </w:rPr>
      </w:pPr>
      <w:r w:rsidRPr="00965799">
        <w:rPr>
          <w:rStyle w:val="Voetnootmarkering"/>
          <w:sz w:val="14"/>
          <w:szCs w:val="14"/>
        </w:rPr>
        <w:footnoteRef/>
      </w:r>
      <w:r w:rsidRPr="00965799">
        <w:rPr>
          <w:sz w:val="14"/>
          <w:szCs w:val="14"/>
          <w:lang w:val="nl-NL"/>
        </w:rPr>
        <w:t xml:space="preserve"> De extra opbrengsten vanuit de leningen/garantie zullen neerslaan bij de Rijksbegroting, omdat TenneT </w:t>
      </w:r>
      <w:r w:rsidR="009E4367">
        <w:rPr>
          <w:sz w:val="14"/>
          <w:szCs w:val="14"/>
          <w:lang w:val="nl-NL"/>
        </w:rPr>
        <w:t xml:space="preserve">NL </w:t>
      </w:r>
      <w:r w:rsidRPr="00965799">
        <w:rPr>
          <w:sz w:val="14"/>
          <w:szCs w:val="14"/>
          <w:lang w:val="nl-NL"/>
        </w:rPr>
        <w:t xml:space="preserve">een premie zal betalen. Een alternatief financieringsmodel heeft geen impact op de tarieven. </w:t>
      </w:r>
    </w:p>
  </w:footnote>
  <w:footnote w:id="5">
    <w:p w14:paraId="0820BB23" w14:textId="1FA2D56D" w:rsidR="00D30359" w:rsidRPr="00965799" w:rsidRDefault="00D30359" w:rsidP="00D30359">
      <w:pPr>
        <w:pStyle w:val="Voetnoottekst"/>
        <w:rPr>
          <w:sz w:val="14"/>
          <w:szCs w:val="14"/>
          <w:lang w:val="nl-NL"/>
        </w:rPr>
      </w:pPr>
      <w:r w:rsidRPr="00965799">
        <w:rPr>
          <w:rStyle w:val="Voetnootmarkering"/>
          <w:sz w:val="14"/>
          <w:szCs w:val="14"/>
        </w:rPr>
        <w:footnoteRef/>
      </w:r>
      <w:r w:rsidRPr="00965799">
        <w:rPr>
          <w:sz w:val="14"/>
          <w:szCs w:val="14"/>
          <w:lang w:val="nl-NL"/>
        </w:rPr>
        <w:t xml:space="preserve"> We observeren dat instellingen die een garantie hebben, alsnog duurder financiering ophalen dan het land dat de garantie afgeeft. Voorbeelden </w:t>
      </w:r>
      <w:proofErr w:type="gramStart"/>
      <w:r w:rsidRPr="00965799">
        <w:rPr>
          <w:sz w:val="14"/>
          <w:szCs w:val="14"/>
          <w:lang w:val="nl-NL"/>
        </w:rPr>
        <w:t>waar naar</w:t>
      </w:r>
      <w:proofErr w:type="gramEnd"/>
      <w:r w:rsidRPr="00965799">
        <w:rPr>
          <w:sz w:val="14"/>
          <w:szCs w:val="14"/>
          <w:lang w:val="nl-NL"/>
        </w:rPr>
        <w:t xml:space="preserve"> is gekeken zijn </w:t>
      </w:r>
      <w:proofErr w:type="spellStart"/>
      <w:r w:rsidRPr="00965799">
        <w:rPr>
          <w:sz w:val="14"/>
          <w:szCs w:val="14"/>
          <w:lang w:val="nl-NL"/>
        </w:rPr>
        <w:t>KfW</w:t>
      </w:r>
      <w:proofErr w:type="spellEnd"/>
      <w:r w:rsidRPr="00965799">
        <w:rPr>
          <w:sz w:val="14"/>
          <w:szCs w:val="14"/>
          <w:lang w:val="nl-NL"/>
        </w:rPr>
        <w:t xml:space="preserve"> en FMO. Het verschil tussen de instelling met een garantie en het land dat de garantie uitgeeft bedraagt </w:t>
      </w:r>
      <w:r w:rsidR="00731269">
        <w:rPr>
          <w:sz w:val="14"/>
          <w:szCs w:val="14"/>
          <w:lang w:val="nl-NL"/>
        </w:rPr>
        <w:t xml:space="preserve">in deze gevallen </w:t>
      </w:r>
      <w:r w:rsidRPr="00965799">
        <w:rPr>
          <w:sz w:val="14"/>
          <w:szCs w:val="14"/>
          <w:lang w:val="nl-NL"/>
        </w:rPr>
        <w:t>ongeveer 30 basispunten</w:t>
      </w:r>
      <w:r w:rsidR="00731269">
        <w:rPr>
          <w:sz w:val="14"/>
          <w:szCs w:val="14"/>
          <w:lang w:val="nl-NL"/>
        </w:rPr>
        <w:t xml:space="preserve"> en kan fluctueren over de tijd</w:t>
      </w:r>
      <w:r w:rsidRPr="00965799">
        <w:rPr>
          <w:sz w:val="14"/>
          <w:szCs w:val="14"/>
          <w:lang w:val="nl-NL"/>
        </w:rPr>
        <w:t>.</w:t>
      </w:r>
    </w:p>
  </w:footnote>
  <w:footnote w:id="6">
    <w:p w14:paraId="6AB7DCB1" w14:textId="00C5A258" w:rsidR="00D30359" w:rsidRPr="00EB7F94" w:rsidRDefault="00D30359" w:rsidP="00D30359">
      <w:pPr>
        <w:pStyle w:val="Voetnoottekst"/>
        <w:rPr>
          <w:sz w:val="14"/>
          <w:szCs w:val="14"/>
          <w:lang w:val="nl-NL"/>
        </w:rPr>
      </w:pPr>
      <w:r w:rsidRPr="00EB7F94">
        <w:rPr>
          <w:rStyle w:val="Voetnootmarkering"/>
          <w:sz w:val="14"/>
          <w:szCs w:val="14"/>
        </w:rPr>
        <w:footnoteRef/>
      </w:r>
      <w:r w:rsidRPr="00EB7F94">
        <w:rPr>
          <w:sz w:val="14"/>
          <w:szCs w:val="14"/>
          <w:lang w:val="nl-NL"/>
        </w:rPr>
        <w:t xml:space="preserve"> Er is een risico dat TenneT </w:t>
      </w:r>
      <w:r w:rsidR="00C61451">
        <w:rPr>
          <w:sz w:val="14"/>
          <w:szCs w:val="14"/>
          <w:lang w:val="nl-NL"/>
        </w:rPr>
        <w:t xml:space="preserve">NL </w:t>
      </w:r>
      <w:r w:rsidRPr="00EB7F94">
        <w:rPr>
          <w:sz w:val="14"/>
          <w:szCs w:val="14"/>
          <w:lang w:val="nl-NL"/>
        </w:rPr>
        <w:t xml:space="preserve">op termijn wordt geclassificeerd als sector overheid. Dan gaat de schuld van TenneT in de staatschuld. Dit risico is er altijd en het CBS heeft aangegeven dat het mogelijk is dat de garantie dit risico op termijn vergroot. Het is echter onduidelijk hoe groot dit risico is en daarnaast blijft de uiteindelijke beoordeling hiervan aan </w:t>
      </w:r>
      <w:proofErr w:type="spellStart"/>
      <w:r w:rsidRPr="00EB7F94">
        <w:rPr>
          <w:sz w:val="14"/>
          <w:szCs w:val="14"/>
          <w:lang w:val="nl-NL"/>
        </w:rPr>
        <w:t>Eurostat</w:t>
      </w:r>
      <w:proofErr w:type="spellEnd"/>
      <w:r w:rsidRPr="00EB7F94">
        <w:rPr>
          <w:sz w:val="14"/>
          <w:szCs w:val="14"/>
          <w:lang w:val="nl-NL"/>
        </w:rPr>
        <w:t>. De crediteurengarantie verhoogt mogelijk dit risico.</w:t>
      </w:r>
      <w:r w:rsidRPr="00EB7F94">
        <w:rPr>
          <w:sz w:val="14"/>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4ABD"/>
    <w:multiLevelType w:val="hybridMultilevel"/>
    <w:tmpl w:val="D21AEB38"/>
    <w:lvl w:ilvl="0" w:tplc="5296DAC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956B12"/>
    <w:multiLevelType w:val="hybridMultilevel"/>
    <w:tmpl w:val="9C38ACFA"/>
    <w:lvl w:ilvl="0" w:tplc="04130013">
      <w:start w:val="1"/>
      <w:numFmt w:val="upperRoman"/>
      <w:lvlText w:val="%1."/>
      <w:lvlJc w:val="righ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A8A7F71"/>
    <w:multiLevelType w:val="hybridMultilevel"/>
    <w:tmpl w:val="B78E457C"/>
    <w:lvl w:ilvl="0" w:tplc="04130013">
      <w:start w:val="1"/>
      <w:numFmt w:val="upperRoman"/>
      <w:lvlText w:val="%1."/>
      <w:lvlJc w:val="right"/>
      <w:pPr>
        <w:ind w:left="1144" w:hanging="360"/>
      </w:pPr>
    </w:lvl>
    <w:lvl w:ilvl="1" w:tplc="04130019" w:tentative="1">
      <w:start w:val="1"/>
      <w:numFmt w:val="lowerLetter"/>
      <w:lvlText w:val="%2."/>
      <w:lvlJc w:val="left"/>
      <w:pPr>
        <w:ind w:left="1864" w:hanging="360"/>
      </w:pPr>
    </w:lvl>
    <w:lvl w:ilvl="2" w:tplc="0413001B" w:tentative="1">
      <w:start w:val="1"/>
      <w:numFmt w:val="lowerRoman"/>
      <w:lvlText w:val="%3."/>
      <w:lvlJc w:val="right"/>
      <w:pPr>
        <w:ind w:left="2584" w:hanging="180"/>
      </w:pPr>
    </w:lvl>
    <w:lvl w:ilvl="3" w:tplc="0413000F" w:tentative="1">
      <w:start w:val="1"/>
      <w:numFmt w:val="decimal"/>
      <w:lvlText w:val="%4."/>
      <w:lvlJc w:val="left"/>
      <w:pPr>
        <w:ind w:left="3304" w:hanging="360"/>
      </w:pPr>
    </w:lvl>
    <w:lvl w:ilvl="4" w:tplc="04130019" w:tentative="1">
      <w:start w:val="1"/>
      <w:numFmt w:val="lowerLetter"/>
      <w:lvlText w:val="%5."/>
      <w:lvlJc w:val="left"/>
      <w:pPr>
        <w:ind w:left="4024" w:hanging="360"/>
      </w:pPr>
    </w:lvl>
    <w:lvl w:ilvl="5" w:tplc="0413001B" w:tentative="1">
      <w:start w:val="1"/>
      <w:numFmt w:val="lowerRoman"/>
      <w:lvlText w:val="%6."/>
      <w:lvlJc w:val="right"/>
      <w:pPr>
        <w:ind w:left="4744" w:hanging="180"/>
      </w:pPr>
    </w:lvl>
    <w:lvl w:ilvl="6" w:tplc="0413000F" w:tentative="1">
      <w:start w:val="1"/>
      <w:numFmt w:val="decimal"/>
      <w:lvlText w:val="%7."/>
      <w:lvlJc w:val="left"/>
      <w:pPr>
        <w:ind w:left="5464" w:hanging="360"/>
      </w:pPr>
    </w:lvl>
    <w:lvl w:ilvl="7" w:tplc="04130019" w:tentative="1">
      <w:start w:val="1"/>
      <w:numFmt w:val="lowerLetter"/>
      <w:lvlText w:val="%8."/>
      <w:lvlJc w:val="left"/>
      <w:pPr>
        <w:ind w:left="6184" w:hanging="360"/>
      </w:pPr>
    </w:lvl>
    <w:lvl w:ilvl="8" w:tplc="0413001B" w:tentative="1">
      <w:start w:val="1"/>
      <w:numFmt w:val="lowerRoman"/>
      <w:lvlText w:val="%9."/>
      <w:lvlJc w:val="right"/>
      <w:pPr>
        <w:ind w:left="6904" w:hanging="180"/>
      </w:pPr>
    </w:lvl>
  </w:abstractNum>
  <w:abstractNum w:abstractNumId="3" w15:restartNumberingAfterBreak="0">
    <w:nsid w:val="51E57ADC"/>
    <w:multiLevelType w:val="hybridMultilevel"/>
    <w:tmpl w:val="6BB6B834"/>
    <w:lvl w:ilvl="0" w:tplc="901E42B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1B06CA6"/>
    <w:multiLevelType w:val="hybridMultilevel"/>
    <w:tmpl w:val="86F003F4"/>
    <w:lvl w:ilvl="0" w:tplc="4E5C7C6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A94886"/>
    <w:multiLevelType w:val="hybridMultilevel"/>
    <w:tmpl w:val="BD0AAC9A"/>
    <w:lvl w:ilvl="0" w:tplc="0413000F">
      <w:start w:val="1"/>
      <w:numFmt w:val="decimal"/>
      <w:lvlText w:val="%1."/>
      <w:lvlJc w:val="left"/>
      <w:pPr>
        <w:ind w:left="360" w:hanging="360"/>
      </w:pPr>
      <w:rPr>
        <w:rFonts w:hint="default"/>
      </w:rPr>
    </w:lvl>
    <w:lvl w:ilvl="1" w:tplc="BEBE17CE">
      <w:numFmt w:val="bullet"/>
      <w:lvlText w:val="-"/>
      <w:lvlJc w:val="left"/>
      <w:pPr>
        <w:ind w:left="1080" w:hanging="360"/>
      </w:pPr>
      <w:rPr>
        <w:rFonts w:ascii="Verdana" w:eastAsiaTheme="minorHAnsi" w:hAnsi="Verdana" w:cstheme="minorBidi" w:hint="default"/>
      </w:rPr>
    </w:lvl>
    <w:lvl w:ilvl="2" w:tplc="04130005">
      <w:start w:val="1"/>
      <w:numFmt w:val="bullet"/>
      <w:lvlText w:val=""/>
      <w:lvlJc w:val="left"/>
      <w:pPr>
        <w:ind w:left="1980" w:hanging="360"/>
      </w:pPr>
      <w:rPr>
        <w:rFonts w:ascii="Wingdings" w:hAnsi="Wingdings" w:hint="default"/>
      </w:rPr>
    </w:lvl>
    <w:lvl w:ilvl="3" w:tplc="04130005">
      <w:start w:val="1"/>
      <w:numFmt w:val="bullet"/>
      <w:lvlText w:val=""/>
      <w:lvlJc w:val="left"/>
      <w:pPr>
        <w:ind w:left="2520" w:hanging="360"/>
      </w:pPr>
      <w:rPr>
        <w:rFonts w:ascii="Wingdings" w:hAnsi="Wingdings" w:hint="default"/>
      </w:r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0AC4C13"/>
    <w:multiLevelType w:val="hybridMultilevel"/>
    <w:tmpl w:val="4C3AAE80"/>
    <w:lvl w:ilvl="0" w:tplc="E0C2FF5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2DD4617"/>
    <w:multiLevelType w:val="hybridMultilevel"/>
    <w:tmpl w:val="2258E840"/>
    <w:lvl w:ilvl="0" w:tplc="25D2350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51462F0"/>
    <w:multiLevelType w:val="hybridMultilevel"/>
    <w:tmpl w:val="9620B2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11435779">
    <w:abstractNumId w:val="5"/>
  </w:num>
  <w:num w:numId="2" w16cid:durableId="1212690398">
    <w:abstractNumId w:val="7"/>
  </w:num>
  <w:num w:numId="3" w16cid:durableId="84762791">
    <w:abstractNumId w:val="0"/>
  </w:num>
  <w:num w:numId="4" w16cid:durableId="990211441">
    <w:abstractNumId w:val="5"/>
  </w:num>
  <w:num w:numId="5" w16cid:durableId="1218009802">
    <w:abstractNumId w:val="0"/>
  </w:num>
  <w:num w:numId="6" w16cid:durableId="1804536937">
    <w:abstractNumId w:val="8"/>
  </w:num>
  <w:num w:numId="7" w16cid:durableId="1195771952">
    <w:abstractNumId w:val="3"/>
  </w:num>
  <w:num w:numId="8" w16cid:durableId="628323652">
    <w:abstractNumId w:val="1"/>
  </w:num>
  <w:num w:numId="9" w16cid:durableId="1992908745">
    <w:abstractNumId w:val="6"/>
  </w:num>
  <w:num w:numId="10" w16cid:durableId="836268603">
    <w:abstractNumId w:val="2"/>
  </w:num>
  <w:num w:numId="11" w16cid:durableId="1544636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1D"/>
    <w:rsid w:val="00004717"/>
    <w:rsid w:val="000103C8"/>
    <w:rsid w:val="000128D2"/>
    <w:rsid w:val="00017A19"/>
    <w:rsid w:val="000208E8"/>
    <w:rsid w:val="00023484"/>
    <w:rsid w:val="0002489C"/>
    <w:rsid w:val="00030552"/>
    <w:rsid w:val="00040986"/>
    <w:rsid w:val="00050FF6"/>
    <w:rsid w:val="000579EB"/>
    <w:rsid w:val="0006002B"/>
    <w:rsid w:val="0006694E"/>
    <w:rsid w:val="00084009"/>
    <w:rsid w:val="00087977"/>
    <w:rsid w:val="000939D5"/>
    <w:rsid w:val="000A01D2"/>
    <w:rsid w:val="000A186B"/>
    <w:rsid w:val="000A1CDE"/>
    <w:rsid w:val="000C27C4"/>
    <w:rsid w:val="000C3C5B"/>
    <w:rsid w:val="000C680D"/>
    <w:rsid w:val="000D37EC"/>
    <w:rsid w:val="000E25D2"/>
    <w:rsid w:val="000E3112"/>
    <w:rsid w:val="000E40C4"/>
    <w:rsid w:val="000E4D47"/>
    <w:rsid w:val="000F3CE4"/>
    <w:rsid w:val="001140DE"/>
    <w:rsid w:val="00123A26"/>
    <w:rsid w:val="00126B5C"/>
    <w:rsid w:val="00131010"/>
    <w:rsid w:val="00145565"/>
    <w:rsid w:val="00152314"/>
    <w:rsid w:val="00161A9D"/>
    <w:rsid w:val="00164CF7"/>
    <w:rsid w:val="0018677A"/>
    <w:rsid w:val="001902AD"/>
    <w:rsid w:val="00190E7D"/>
    <w:rsid w:val="00194116"/>
    <w:rsid w:val="001A6499"/>
    <w:rsid w:val="001C20CA"/>
    <w:rsid w:val="001C5FFC"/>
    <w:rsid w:val="001D1A83"/>
    <w:rsid w:val="001D4633"/>
    <w:rsid w:val="001E1357"/>
    <w:rsid w:val="001E1B94"/>
    <w:rsid w:val="001E4E97"/>
    <w:rsid w:val="001E544A"/>
    <w:rsid w:val="001E5F26"/>
    <w:rsid w:val="001E6925"/>
    <w:rsid w:val="001E6A24"/>
    <w:rsid w:val="001E71B1"/>
    <w:rsid w:val="001E7C99"/>
    <w:rsid w:val="001F2192"/>
    <w:rsid w:val="001F2C1B"/>
    <w:rsid w:val="00202937"/>
    <w:rsid w:val="00213FED"/>
    <w:rsid w:val="00241AF0"/>
    <w:rsid w:val="002519DD"/>
    <w:rsid w:val="00253734"/>
    <w:rsid w:val="00260CB3"/>
    <w:rsid w:val="00261525"/>
    <w:rsid w:val="00264917"/>
    <w:rsid w:val="002668B4"/>
    <w:rsid w:val="00272CD0"/>
    <w:rsid w:val="00272EBC"/>
    <w:rsid w:val="00277487"/>
    <w:rsid w:val="00282AB1"/>
    <w:rsid w:val="00282D15"/>
    <w:rsid w:val="00284CEA"/>
    <w:rsid w:val="0028578B"/>
    <w:rsid w:val="00292372"/>
    <w:rsid w:val="00293AAA"/>
    <w:rsid w:val="00296E2C"/>
    <w:rsid w:val="002A1AEE"/>
    <w:rsid w:val="002D2163"/>
    <w:rsid w:val="002D4AE9"/>
    <w:rsid w:val="002D5283"/>
    <w:rsid w:val="002E0864"/>
    <w:rsid w:val="002E1DF2"/>
    <w:rsid w:val="002E21E3"/>
    <w:rsid w:val="002E6DE3"/>
    <w:rsid w:val="003032FE"/>
    <w:rsid w:val="003057EC"/>
    <w:rsid w:val="003128A2"/>
    <w:rsid w:val="00315A5D"/>
    <w:rsid w:val="00320420"/>
    <w:rsid w:val="003208F4"/>
    <w:rsid w:val="00334A63"/>
    <w:rsid w:val="003448D2"/>
    <w:rsid w:val="00356A22"/>
    <w:rsid w:val="00360713"/>
    <w:rsid w:val="003619A5"/>
    <w:rsid w:val="00366847"/>
    <w:rsid w:val="00371F52"/>
    <w:rsid w:val="00383088"/>
    <w:rsid w:val="00393579"/>
    <w:rsid w:val="003A23B8"/>
    <w:rsid w:val="003A5783"/>
    <w:rsid w:val="003A5EFD"/>
    <w:rsid w:val="003B6CD5"/>
    <w:rsid w:val="003B7BF2"/>
    <w:rsid w:val="003C0F55"/>
    <w:rsid w:val="003E6B54"/>
    <w:rsid w:val="00406A94"/>
    <w:rsid w:val="00413B7D"/>
    <w:rsid w:val="00416640"/>
    <w:rsid w:val="004321E3"/>
    <w:rsid w:val="004326F3"/>
    <w:rsid w:val="0043373D"/>
    <w:rsid w:val="00443103"/>
    <w:rsid w:val="00446CA2"/>
    <w:rsid w:val="00451BAD"/>
    <w:rsid w:val="00483178"/>
    <w:rsid w:val="00486B40"/>
    <w:rsid w:val="0048763C"/>
    <w:rsid w:val="004B6643"/>
    <w:rsid w:val="004B7652"/>
    <w:rsid w:val="004D1EC6"/>
    <w:rsid w:val="004D7125"/>
    <w:rsid w:val="004E00A5"/>
    <w:rsid w:val="004E1AF9"/>
    <w:rsid w:val="004E2AB0"/>
    <w:rsid w:val="00501E52"/>
    <w:rsid w:val="00503E1E"/>
    <w:rsid w:val="00514325"/>
    <w:rsid w:val="0051638C"/>
    <w:rsid w:val="00535B7A"/>
    <w:rsid w:val="005364D9"/>
    <w:rsid w:val="005441BF"/>
    <w:rsid w:val="005521FA"/>
    <w:rsid w:val="00556525"/>
    <w:rsid w:val="00565C29"/>
    <w:rsid w:val="005743B7"/>
    <w:rsid w:val="005763B4"/>
    <w:rsid w:val="00577E2A"/>
    <w:rsid w:val="00583BB9"/>
    <w:rsid w:val="005A0FBA"/>
    <w:rsid w:val="005A5CEE"/>
    <w:rsid w:val="005B0D0E"/>
    <w:rsid w:val="005C03A5"/>
    <w:rsid w:val="005D4BB8"/>
    <w:rsid w:val="005F2333"/>
    <w:rsid w:val="005F3969"/>
    <w:rsid w:val="005F5B71"/>
    <w:rsid w:val="00600378"/>
    <w:rsid w:val="00611D6E"/>
    <w:rsid w:val="00614AE9"/>
    <w:rsid w:val="00620F72"/>
    <w:rsid w:val="00621F15"/>
    <w:rsid w:val="006237E4"/>
    <w:rsid w:val="00630756"/>
    <w:rsid w:val="00633118"/>
    <w:rsid w:val="0063456D"/>
    <w:rsid w:val="00641CDA"/>
    <w:rsid w:val="00657092"/>
    <w:rsid w:val="00657E09"/>
    <w:rsid w:val="00657F63"/>
    <w:rsid w:val="006664E3"/>
    <w:rsid w:val="006974BF"/>
    <w:rsid w:val="006A2718"/>
    <w:rsid w:val="006A7434"/>
    <w:rsid w:val="006D467E"/>
    <w:rsid w:val="006D4D17"/>
    <w:rsid w:val="006E1AE0"/>
    <w:rsid w:val="006E2F81"/>
    <w:rsid w:val="006E67AC"/>
    <w:rsid w:val="006F4629"/>
    <w:rsid w:val="006F545E"/>
    <w:rsid w:val="006F709F"/>
    <w:rsid w:val="00700BFB"/>
    <w:rsid w:val="00707FA8"/>
    <w:rsid w:val="00720BE1"/>
    <w:rsid w:val="00724F31"/>
    <w:rsid w:val="00726003"/>
    <w:rsid w:val="00731269"/>
    <w:rsid w:val="00734D71"/>
    <w:rsid w:val="007436D3"/>
    <w:rsid w:val="00747BF0"/>
    <w:rsid w:val="00753841"/>
    <w:rsid w:val="007619FE"/>
    <w:rsid w:val="00780958"/>
    <w:rsid w:val="00792A22"/>
    <w:rsid w:val="007A12AA"/>
    <w:rsid w:val="007A2E34"/>
    <w:rsid w:val="007B74BE"/>
    <w:rsid w:val="007C4A1B"/>
    <w:rsid w:val="007C7A8B"/>
    <w:rsid w:val="007F77E8"/>
    <w:rsid w:val="007F7938"/>
    <w:rsid w:val="00802484"/>
    <w:rsid w:val="0080441B"/>
    <w:rsid w:val="00806173"/>
    <w:rsid w:val="00816358"/>
    <w:rsid w:val="0082240F"/>
    <w:rsid w:val="00822A4A"/>
    <w:rsid w:val="00830CCE"/>
    <w:rsid w:val="00843677"/>
    <w:rsid w:val="00850574"/>
    <w:rsid w:val="00854F1E"/>
    <w:rsid w:val="00856C28"/>
    <w:rsid w:val="0086060C"/>
    <w:rsid w:val="00861F5D"/>
    <w:rsid w:val="0086452C"/>
    <w:rsid w:val="00864B8D"/>
    <w:rsid w:val="00865977"/>
    <w:rsid w:val="00865DDD"/>
    <w:rsid w:val="0086769A"/>
    <w:rsid w:val="00883028"/>
    <w:rsid w:val="0089143C"/>
    <w:rsid w:val="00894B8A"/>
    <w:rsid w:val="00895B7C"/>
    <w:rsid w:val="00897FC4"/>
    <w:rsid w:val="008B0693"/>
    <w:rsid w:val="008B14F1"/>
    <w:rsid w:val="008B29A1"/>
    <w:rsid w:val="008B3C98"/>
    <w:rsid w:val="008B44F4"/>
    <w:rsid w:val="008C3CB2"/>
    <w:rsid w:val="008E4E38"/>
    <w:rsid w:val="008F07D5"/>
    <w:rsid w:val="009135AA"/>
    <w:rsid w:val="0091763D"/>
    <w:rsid w:val="009213A6"/>
    <w:rsid w:val="009377A2"/>
    <w:rsid w:val="00940CC1"/>
    <w:rsid w:val="00956F22"/>
    <w:rsid w:val="00965799"/>
    <w:rsid w:val="0097205E"/>
    <w:rsid w:val="009720DC"/>
    <w:rsid w:val="0097328F"/>
    <w:rsid w:val="0097397A"/>
    <w:rsid w:val="009761F0"/>
    <w:rsid w:val="00990DBD"/>
    <w:rsid w:val="009A138C"/>
    <w:rsid w:val="009C4EB1"/>
    <w:rsid w:val="009C5033"/>
    <w:rsid w:val="009C56BF"/>
    <w:rsid w:val="009D0AB9"/>
    <w:rsid w:val="009E4367"/>
    <w:rsid w:val="00A0638B"/>
    <w:rsid w:val="00A1048E"/>
    <w:rsid w:val="00A124A3"/>
    <w:rsid w:val="00A24719"/>
    <w:rsid w:val="00A327CE"/>
    <w:rsid w:val="00A42055"/>
    <w:rsid w:val="00A43A61"/>
    <w:rsid w:val="00A44C3C"/>
    <w:rsid w:val="00A556C8"/>
    <w:rsid w:val="00A60DC9"/>
    <w:rsid w:val="00A751F0"/>
    <w:rsid w:val="00A7589C"/>
    <w:rsid w:val="00A75BAE"/>
    <w:rsid w:val="00A7611F"/>
    <w:rsid w:val="00A76A98"/>
    <w:rsid w:val="00A807CE"/>
    <w:rsid w:val="00A82C1D"/>
    <w:rsid w:val="00A86F1D"/>
    <w:rsid w:val="00AA01EE"/>
    <w:rsid w:val="00AC3496"/>
    <w:rsid w:val="00AF378D"/>
    <w:rsid w:val="00B002D0"/>
    <w:rsid w:val="00B04750"/>
    <w:rsid w:val="00B0644B"/>
    <w:rsid w:val="00B06701"/>
    <w:rsid w:val="00B1721D"/>
    <w:rsid w:val="00B23299"/>
    <w:rsid w:val="00B27381"/>
    <w:rsid w:val="00B41B01"/>
    <w:rsid w:val="00B4542F"/>
    <w:rsid w:val="00B45608"/>
    <w:rsid w:val="00B700A7"/>
    <w:rsid w:val="00B71D66"/>
    <w:rsid w:val="00B73608"/>
    <w:rsid w:val="00B7688E"/>
    <w:rsid w:val="00B92656"/>
    <w:rsid w:val="00BA486E"/>
    <w:rsid w:val="00BA4C29"/>
    <w:rsid w:val="00BA6391"/>
    <w:rsid w:val="00BB1B4E"/>
    <w:rsid w:val="00BB6ED0"/>
    <w:rsid w:val="00BC1664"/>
    <w:rsid w:val="00BD05DB"/>
    <w:rsid w:val="00BD2B5D"/>
    <w:rsid w:val="00BD2CB6"/>
    <w:rsid w:val="00BF1FD0"/>
    <w:rsid w:val="00BF3AD8"/>
    <w:rsid w:val="00BF3BFC"/>
    <w:rsid w:val="00C00B9E"/>
    <w:rsid w:val="00C02F07"/>
    <w:rsid w:val="00C066F8"/>
    <w:rsid w:val="00C10338"/>
    <w:rsid w:val="00C3696E"/>
    <w:rsid w:val="00C45D3C"/>
    <w:rsid w:val="00C51663"/>
    <w:rsid w:val="00C6093D"/>
    <w:rsid w:val="00C60AF6"/>
    <w:rsid w:val="00C61451"/>
    <w:rsid w:val="00C66C1E"/>
    <w:rsid w:val="00C711CB"/>
    <w:rsid w:val="00C81687"/>
    <w:rsid w:val="00C81F7E"/>
    <w:rsid w:val="00C851A5"/>
    <w:rsid w:val="00C92444"/>
    <w:rsid w:val="00C96E76"/>
    <w:rsid w:val="00CA3F7A"/>
    <w:rsid w:val="00CA7C97"/>
    <w:rsid w:val="00CB006B"/>
    <w:rsid w:val="00CB5447"/>
    <w:rsid w:val="00CB56BA"/>
    <w:rsid w:val="00CC1D6A"/>
    <w:rsid w:val="00CD526C"/>
    <w:rsid w:val="00CD67B3"/>
    <w:rsid w:val="00CE4A4D"/>
    <w:rsid w:val="00CE7B64"/>
    <w:rsid w:val="00D012DD"/>
    <w:rsid w:val="00D0667C"/>
    <w:rsid w:val="00D122EA"/>
    <w:rsid w:val="00D1264C"/>
    <w:rsid w:val="00D203A6"/>
    <w:rsid w:val="00D30359"/>
    <w:rsid w:val="00D30C13"/>
    <w:rsid w:val="00D50765"/>
    <w:rsid w:val="00D60E2F"/>
    <w:rsid w:val="00D731D6"/>
    <w:rsid w:val="00D74F04"/>
    <w:rsid w:val="00D84E17"/>
    <w:rsid w:val="00D873A8"/>
    <w:rsid w:val="00D92B70"/>
    <w:rsid w:val="00D936B7"/>
    <w:rsid w:val="00D93933"/>
    <w:rsid w:val="00D95CA0"/>
    <w:rsid w:val="00D96281"/>
    <w:rsid w:val="00D96A5C"/>
    <w:rsid w:val="00DA74B9"/>
    <w:rsid w:val="00DC56A5"/>
    <w:rsid w:val="00DE32E9"/>
    <w:rsid w:val="00DF08D2"/>
    <w:rsid w:val="00E01749"/>
    <w:rsid w:val="00E11665"/>
    <w:rsid w:val="00E11E02"/>
    <w:rsid w:val="00E12BC3"/>
    <w:rsid w:val="00E20E7F"/>
    <w:rsid w:val="00E252FD"/>
    <w:rsid w:val="00E34802"/>
    <w:rsid w:val="00E52A14"/>
    <w:rsid w:val="00E60499"/>
    <w:rsid w:val="00E754A8"/>
    <w:rsid w:val="00E77937"/>
    <w:rsid w:val="00E8506E"/>
    <w:rsid w:val="00E93594"/>
    <w:rsid w:val="00EA2380"/>
    <w:rsid w:val="00EB502F"/>
    <w:rsid w:val="00EB7F94"/>
    <w:rsid w:val="00EC23FA"/>
    <w:rsid w:val="00EC5F54"/>
    <w:rsid w:val="00ED5B16"/>
    <w:rsid w:val="00ED68A8"/>
    <w:rsid w:val="00EE0170"/>
    <w:rsid w:val="00EE1029"/>
    <w:rsid w:val="00EE2D4B"/>
    <w:rsid w:val="00EE744F"/>
    <w:rsid w:val="00EF72EC"/>
    <w:rsid w:val="00F0106B"/>
    <w:rsid w:val="00F21863"/>
    <w:rsid w:val="00F233B5"/>
    <w:rsid w:val="00F3295B"/>
    <w:rsid w:val="00F43811"/>
    <w:rsid w:val="00F50651"/>
    <w:rsid w:val="00F51FDB"/>
    <w:rsid w:val="00F56BFF"/>
    <w:rsid w:val="00F611D0"/>
    <w:rsid w:val="00F65CA8"/>
    <w:rsid w:val="00F66061"/>
    <w:rsid w:val="00F7506C"/>
    <w:rsid w:val="00F77053"/>
    <w:rsid w:val="00F77F4A"/>
    <w:rsid w:val="00F953D6"/>
    <w:rsid w:val="00FA18EA"/>
    <w:rsid w:val="00FB1B74"/>
    <w:rsid w:val="00FC7DA1"/>
    <w:rsid w:val="00FD5558"/>
    <w:rsid w:val="00FE2384"/>
    <w:rsid w:val="00FF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7FCD3"/>
  <w15:chartTrackingRefBased/>
  <w15:docId w15:val="{3982F805-11CC-456C-92D0-DEF3DCDA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19FE"/>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86F1D"/>
    <w:pPr>
      <w:spacing w:line="259" w:lineRule="auto"/>
      <w:ind w:left="720"/>
      <w:contextualSpacing/>
    </w:pPr>
  </w:style>
  <w:style w:type="paragraph" w:styleId="Geenafstand">
    <w:name w:val="No Spacing"/>
    <w:uiPriority w:val="1"/>
    <w:qFormat/>
    <w:rsid w:val="002E21E3"/>
    <w:pPr>
      <w:spacing w:after="0" w:line="240" w:lineRule="auto"/>
    </w:pPr>
    <w:rPr>
      <w:rFonts w:asciiTheme="minorHAnsi" w:hAnsiTheme="minorHAnsi"/>
      <w:sz w:val="22"/>
      <w:lang w:val="nl-NL"/>
    </w:rPr>
  </w:style>
  <w:style w:type="paragraph" w:styleId="Revisie">
    <w:name w:val="Revision"/>
    <w:hidden/>
    <w:uiPriority w:val="99"/>
    <w:semiHidden/>
    <w:rsid w:val="00194116"/>
    <w:pPr>
      <w:spacing w:after="0" w:line="240" w:lineRule="auto"/>
    </w:pPr>
  </w:style>
  <w:style w:type="table" w:styleId="Tabelraster">
    <w:name w:val="Table Grid"/>
    <w:basedOn w:val="Standaardtabel"/>
    <w:uiPriority w:val="39"/>
    <w:rsid w:val="00251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B56BA"/>
    <w:rPr>
      <w:sz w:val="16"/>
      <w:szCs w:val="16"/>
    </w:rPr>
  </w:style>
  <w:style w:type="paragraph" w:styleId="Tekstopmerking">
    <w:name w:val="annotation text"/>
    <w:basedOn w:val="Standaard"/>
    <w:link w:val="TekstopmerkingChar"/>
    <w:uiPriority w:val="99"/>
    <w:unhideWhenUsed/>
    <w:rsid w:val="00CB56BA"/>
    <w:pPr>
      <w:spacing w:line="240" w:lineRule="auto"/>
    </w:pPr>
    <w:rPr>
      <w:sz w:val="20"/>
      <w:szCs w:val="20"/>
    </w:rPr>
  </w:style>
  <w:style w:type="character" w:customStyle="1" w:styleId="TekstopmerkingChar">
    <w:name w:val="Tekst opmerking Char"/>
    <w:basedOn w:val="Standaardalinea-lettertype"/>
    <w:link w:val="Tekstopmerking"/>
    <w:uiPriority w:val="99"/>
    <w:rsid w:val="00CB56BA"/>
    <w:rPr>
      <w:sz w:val="20"/>
      <w:szCs w:val="20"/>
    </w:rPr>
  </w:style>
  <w:style w:type="paragraph" w:styleId="Onderwerpvanopmerking">
    <w:name w:val="annotation subject"/>
    <w:basedOn w:val="Tekstopmerking"/>
    <w:next w:val="Tekstopmerking"/>
    <w:link w:val="OnderwerpvanopmerkingChar"/>
    <w:uiPriority w:val="99"/>
    <w:semiHidden/>
    <w:unhideWhenUsed/>
    <w:rsid w:val="00CB56BA"/>
    <w:rPr>
      <w:b/>
      <w:bCs/>
    </w:rPr>
  </w:style>
  <w:style w:type="character" w:customStyle="1" w:styleId="OnderwerpvanopmerkingChar">
    <w:name w:val="Onderwerp van opmerking Char"/>
    <w:basedOn w:val="TekstopmerkingChar"/>
    <w:link w:val="Onderwerpvanopmerking"/>
    <w:uiPriority w:val="99"/>
    <w:semiHidden/>
    <w:rsid w:val="00CB56BA"/>
    <w:rPr>
      <w:b/>
      <w:bCs/>
      <w:sz w:val="20"/>
      <w:szCs w:val="20"/>
    </w:rPr>
  </w:style>
  <w:style w:type="paragraph" w:styleId="Voetnoottekst">
    <w:name w:val="footnote text"/>
    <w:aliases w:val="Footnote text Rebe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qFormat/>
    <w:rsid w:val="00C6093D"/>
    <w:pPr>
      <w:spacing w:after="0" w:line="240" w:lineRule="auto"/>
    </w:pPr>
    <w:rPr>
      <w:sz w:val="20"/>
      <w:szCs w:val="20"/>
    </w:rPr>
  </w:style>
  <w:style w:type="character" w:customStyle="1" w:styleId="VoetnoottekstChar">
    <w:name w:val="Voetnoottekst Char"/>
    <w:aliases w:val="Footnote text Rebel Char,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C6093D"/>
    <w:rPr>
      <w:sz w:val="20"/>
      <w:szCs w:val="20"/>
    </w:rPr>
  </w:style>
  <w:style w:type="character" w:styleId="Voetnootmarkering">
    <w:name w:val="footnote reference"/>
    <w:basedOn w:val="Standaardalinea-lettertype"/>
    <w:uiPriority w:val="99"/>
    <w:semiHidden/>
    <w:unhideWhenUsed/>
    <w:rsid w:val="00C6093D"/>
    <w:rPr>
      <w:vertAlign w:val="superscript"/>
    </w:rPr>
  </w:style>
  <w:style w:type="paragraph" w:styleId="Koptekst">
    <w:name w:val="header"/>
    <w:basedOn w:val="Standaard"/>
    <w:link w:val="KoptekstChar"/>
    <w:uiPriority w:val="99"/>
    <w:unhideWhenUsed/>
    <w:rsid w:val="008044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441B"/>
  </w:style>
  <w:style w:type="paragraph" w:styleId="Voettekst">
    <w:name w:val="footer"/>
    <w:basedOn w:val="Standaard"/>
    <w:link w:val="VoettekstChar"/>
    <w:uiPriority w:val="99"/>
    <w:unhideWhenUsed/>
    <w:rsid w:val="008044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4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78394">
      <w:bodyDiv w:val="1"/>
      <w:marLeft w:val="0"/>
      <w:marRight w:val="0"/>
      <w:marTop w:val="0"/>
      <w:marBottom w:val="0"/>
      <w:divBdr>
        <w:top w:val="none" w:sz="0" w:space="0" w:color="auto"/>
        <w:left w:val="none" w:sz="0" w:space="0" w:color="auto"/>
        <w:bottom w:val="none" w:sz="0" w:space="0" w:color="auto"/>
        <w:right w:val="none" w:sz="0" w:space="0" w:color="auto"/>
      </w:divBdr>
    </w:div>
    <w:div w:id="740063609">
      <w:bodyDiv w:val="1"/>
      <w:marLeft w:val="0"/>
      <w:marRight w:val="0"/>
      <w:marTop w:val="0"/>
      <w:marBottom w:val="0"/>
      <w:divBdr>
        <w:top w:val="none" w:sz="0" w:space="0" w:color="auto"/>
        <w:left w:val="none" w:sz="0" w:space="0" w:color="auto"/>
        <w:bottom w:val="none" w:sz="0" w:space="0" w:color="auto"/>
        <w:right w:val="none" w:sz="0" w:space="0" w:color="auto"/>
      </w:divBdr>
    </w:div>
    <w:div w:id="1924484132">
      <w:bodyDiv w:val="1"/>
      <w:marLeft w:val="0"/>
      <w:marRight w:val="0"/>
      <w:marTop w:val="0"/>
      <w:marBottom w:val="0"/>
      <w:divBdr>
        <w:top w:val="none" w:sz="0" w:space="0" w:color="auto"/>
        <w:left w:val="none" w:sz="0" w:space="0" w:color="auto"/>
        <w:bottom w:val="none" w:sz="0" w:space="0" w:color="auto"/>
        <w:right w:val="none" w:sz="0" w:space="0" w:color="auto"/>
      </w:divBdr>
    </w:div>
    <w:div w:id="207854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4502</ap:Words>
  <ap:Characters>24767</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2023-12-11T10:20:00.0000000Z</lastPrinted>
  <dcterms:created xsi:type="dcterms:W3CDTF">2025-04-17T08:54:00.0000000Z</dcterms:created>
  <dcterms:modified xsi:type="dcterms:W3CDTF">2025-04-17T08:54:00.0000000Z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2023-11-27T14:11:12Z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f428149b-0e27-4673-af0f-7805de0c2266</vt:lpwstr>
  </property>
  <property fmtid="{D5CDD505-2E9C-101B-9397-08002B2CF9AE}" pid="8" name="MSIP_Label_6800fede-0e59-47ad-af95-4e63bbdb932d_ContentBits">
    <vt:lpwstr>0</vt:lpwstr>
  </property>
</Properties>
</file>