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41BCE" w:rsidR="00D72BEF" w:rsidP="00D72BEF" w:rsidRDefault="00D72BEF" w14:paraId="2D9D08D2" w14:textId="1BBC53B0">
      <w:r w:rsidRPr="00641BCE">
        <w:rPr>
          <w:b/>
        </w:rPr>
        <w:t xml:space="preserve">Bijlage </w:t>
      </w:r>
      <w:r w:rsidRPr="00641BCE" w:rsidR="00260438">
        <w:rPr>
          <w:b/>
        </w:rPr>
        <w:t>2</w:t>
      </w:r>
      <w:r w:rsidRPr="00641BCE">
        <w:rPr>
          <w:b/>
        </w:rPr>
        <w:t xml:space="preserve"> – Beleidskeuze uitgelegd TenneT Duitsland</w:t>
      </w:r>
    </w:p>
    <w:p w:rsidRPr="00641BCE" w:rsidR="00D72BEF" w:rsidP="00D72BEF" w:rsidRDefault="00D72BEF" w14:paraId="7C681D94" w14:textId="77777777"/>
    <w:tbl>
      <w:tblPr>
        <w:tblStyle w:val="Standaardtabelmetlijn"/>
        <w:tblW w:w="9067" w:type="dxa"/>
        <w:tblInd w:w="0" w:type="dxa"/>
        <w:tblLayout w:type="fixed"/>
        <w:tblLook w:val="07E0" w:firstRow="1" w:lastRow="1" w:firstColumn="1" w:lastColumn="1" w:noHBand="1" w:noVBand="1"/>
      </w:tblPr>
      <w:tblGrid>
        <w:gridCol w:w="2263"/>
        <w:gridCol w:w="6804"/>
      </w:tblGrid>
      <w:tr w:rsidRPr="00641BCE" w:rsidR="00D72BEF" w:rsidTr="00260438" w14:paraId="5B67F584" w14:textId="77777777">
        <w:tc>
          <w:tcPr>
            <w:tcW w:w="9067" w:type="dxa"/>
            <w:gridSpan w:val="2"/>
          </w:tcPr>
          <w:p w:rsidR="00D72BEF" w:rsidP="0039705E" w:rsidRDefault="00D72BEF" w14:paraId="4EDB7887" w14:textId="77777777">
            <w:r w:rsidRPr="00641BCE">
              <w:rPr>
                <w:b/>
              </w:rPr>
              <w:t>Beleidskeuzes uitgelegd</w:t>
            </w:r>
            <w:r w:rsidRPr="00641BCE">
              <w:br/>
              <w:t>Onderbouwing doeltreffendheid, doelmatigheid en evaluatie (CW 3.1)</w:t>
            </w:r>
          </w:p>
          <w:p w:rsidRPr="00641BCE" w:rsidR="00877896" w:rsidP="0039705E" w:rsidRDefault="00877896" w14:paraId="4143A6EF" w14:textId="77777777"/>
        </w:tc>
      </w:tr>
      <w:tr w:rsidRPr="00641BCE" w:rsidR="00D72BEF" w:rsidTr="00206C8A" w14:paraId="3B12BE68" w14:textId="77777777">
        <w:trPr>
          <w:trHeight w:val="1847"/>
        </w:trPr>
        <w:tc>
          <w:tcPr>
            <w:tcW w:w="2263" w:type="dxa"/>
          </w:tcPr>
          <w:p w:rsidRPr="00641BCE" w:rsidR="00D72BEF" w:rsidP="0039705E" w:rsidRDefault="00D72BEF" w14:paraId="3E42A8DD" w14:textId="77777777">
            <w:r w:rsidRPr="00641BCE">
              <w:rPr>
                <w:b/>
              </w:rPr>
              <w:t>Doel(en)</w:t>
            </w:r>
          </w:p>
        </w:tc>
        <w:tc>
          <w:tcPr>
            <w:tcW w:w="6804" w:type="dxa"/>
          </w:tcPr>
          <w:p w:rsidRPr="00641BCE" w:rsidR="00695363" w:rsidP="0061741E" w:rsidRDefault="00B84F0C" w14:paraId="1A334D9A" w14:textId="1E77219B">
            <w:pPr>
              <w:pStyle w:val="Lijstalinea"/>
              <w:numPr>
                <w:ilvl w:val="0"/>
                <w:numId w:val="3"/>
              </w:numPr>
              <w:ind w:left="448" w:hanging="283"/>
            </w:pPr>
            <w:r w:rsidRPr="00641BCE">
              <w:t xml:space="preserve">De kans </w:t>
            </w:r>
            <w:r w:rsidRPr="00641BCE" w:rsidR="00695363">
              <w:t xml:space="preserve">vergroten dat </w:t>
            </w:r>
            <w:r w:rsidRPr="00641BCE">
              <w:t xml:space="preserve">de kapitaalbehoefte </w:t>
            </w:r>
            <w:r w:rsidRPr="00641BCE" w:rsidR="00695363">
              <w:t xml:space="preserve">volledig </w:t>
            </w:r>
            <w:r w:rsidRPr="00641BCE">
              <w:t xml:space="preserve">via </w:t>
            </w:r>
            <w:r w:rsidRPr="00641BCE" w:rsidR="00695363">
              <w:t xml:space="preserve">de </w:t>
            </w:r>
            <w:r w:rsidRPr="00641BCE">
              <w:t xml:space="preserve">deelname van private investeerders </w:t>
            </w:r>
            <w:r w:rsidRPr="00641BCE" w:rsidR="00695363">
              <w:t xml:space="preserve">kan worden ingevuld. Daarmee wordt voorkomen dat er een kapitaalbehoefte voor de Nederlandse staat resteert. </w:t>
            </w:r>
          </w:p>
          <w:p w:rsidRPr="00641BCE" w:rsidR="005609E0" w:rsidP="005609E0" w:rsidRDefault="005609E0" w14:paraId="08247B30" w14:textId="77777777">
            <w:pPr>
              <w:pStyle w:val="Lijstalinea"/>
              <w:numPr>
                <w:ilvl w:val="0"/>
                <w:numId w:val="3"/>
              </w:numPr>
              <w:ind w:left="448" w:hanging="283"/>
            </w:pPr>
            <w:r w:rsidRPr="00641BCE">
              <w:t xml:space="preserve">De kans vergroten dat de schuldherstructurering succesvol is. Een succesvolle schuldherstructurering is van belang om: </w:t>
            </w:r>
          </w:p>
          <w:p w:rsidRPr="00641BCE" w:rsidR="005609E0" w:rsidP="005609E0" w:rsidRDefault="005609E0" w14:paraId="7A969E40" w14:textId="77777777">
            <w:pPr>
              <w:pStyle w:val="Lijstalinea"/>
              <w:numPr>
                <w:ilvl w:val="1"/>
                <w:numId w:val="3"/>
              </w:numPr>
              <w:ind w:left="874"/>
            </w:pPr>
            <w:proofErr w:type="gramStart"/>
            <w:r w:rsidRPr="00641BCE">
              <w:t>de</w:t>
            </w:r>
            <w:proofErr w:type="gramEnd"/>
            <w:r w:rsidRPr="00641BCE">
              <w:t xml:space="preserve"> goede reputatie van TenneT te behouden. Deze is van groot belang, omdat zowel TenneT Nederland als TenneT Duitsland in de toekomst zeer veel schuld op moeten halen;</w:t>
            </w:r>
          </w:p>
          <w:p w:rsidRPr="00641BCE" w:rsidR="005609E0" w:rsidP="005609E0" w:rsidRDefault="005609E0" w14:paraId="5C23A825" w14:textId="77777777">
            <w:pPr>
              <w:pStyle w:val="Lijstalinea"/>
              <w:numPr>
                <w:ilvl w:val="1"/>
                <w:numId w:val="3"/>
              </w:numPr>
              <w:ind w:left="874"/>
            </w:pPr>
            <w:proofErr w:type="gramStart"/>
            <w:r w:rsidRPr="00641BCE">
              <w:t>een</w:t>
            </w:r>
            <w:proofErr w:type="gramEnd"/>
            <w:r w:rsidRPr="00641BCE">
              <w:t xml:space="preserve"> heldere financieringsstructuur naar de toekomst toe te behouden die alle flexibiliteit biedt om in de financiering van TenneT Duitsland en TenneT Nederland te voorzien;</w:t>
            </w:r>
          </w:p>
          <w:p w:rsidRPr="00641BCE" w:rsidR="00695363" w:rsidP="005609E0" w:rsidRDefault="005609E0" w14:paraId="1E54ECF2" w14:textId="5CEB1E42">
            <w:pPr>
              <w:pStyle w:val="Lijstalinea"/>
              <w:numPr>
                <w:ilvl w:val="1"/>
                <w:numId w:val="3"/>
              </w:numPr>
              <w:ind w:left="874"/>
            </w:pPr>
            <w:proofErr w:type="gramStart"/>
            <w:r w:rsidRPr="00641BCE">
              <w:t>ervoor</w:t>
            </w:r>
            <w:proofErr w:type="gramEnd"/>
            <w:r w:rsidRPr="00641BCE">
              <w:t xml:space="preserve"> te zorgen dat eventuele ontwikkelingen rondom (de kapitaalbehoefte van) TenneT Duitsland geen impact meer hebben op de belangen van bestaande obligatiehouders en potentiële discussies daarover weg te nemen. De economische waarde van € 1,</w:t>
            </w:r>
            <w:r w:rsidR="009A1ECB">
              <w:t>8</w:t>
            </w:r>
            <w:r w:rsidRPr="00641BCE">
              <w:t xml:space="preserve"> miljard van de obligaties kan dan worden behouden.  </w:t>
            </w:r>
          </w:p>
        </w:tc>
      </w:tr>
      <w:tr w:rsidRPr="00641BCE" w:rsidR="00D72BEF" w:rsidTr="00206C8A" w14:paraId="09EEEA5D" w14:textId="77777777">
        <w:trPr>
          <w:trHeight w:val="278"/>
        </w:trPr>
        <w:tc>
          <w:tcPr>
            <w:tcW w:w="2263" w:type="dxa"/>
          </w:tcPr>
          <w:p w:rsidRPr="00641BCE" w:rsidR="00D72BEF" w:rsidP="0039705E" w:rsidRDefault="00D72BEF" w14:paraId="591F61FD" w14:textId="4861BA9F">
            <w:proofErr w:type="spellStart"/>
            <w:r w:rsidRPr="00641BCE">
              <w:rPr>
                <w:b/>
              </w:rPr>
              <w:t>Beleids</w:t>
            </w:r>
            <w:r w:rsidRPr="00641BCE" w:rsidR="00634114">
              <w:rPr>
                <w:b/>
              </w:rPr>
              <w:t>-</w:t>
            </w:r>
            <w:r w:rsidRPr="00641BCE">
              <w:rPr>
                <w:b/>
              </w:rPr>
              <w:t>instrument</w:t>
            </w:r>
            <w:proofErr w:type="spellEnd"/>
            <w:r w:rsidRPr="00641BCE">
              <w:rPr>
                <w:b/>
              </w:rPr>
              <w:t>(en)</w:t>
            </w:r>
          </w:p>
        </w:tc>
        <w:tc>
          <w:tcPr>
            <w:tcW w:w="6804" w:type="dxa"/>
          </w:tcPr>
          <w:p w:rsidRPr="00641BCE" w:rsidR="00CC054A" w:rsidP="0061741E" w:rsidRDefault="00695363" w14:paraId="42BC06DB" w14:textId="77777777">
            <w:r w:rsidRPr="00641BCE">
              <w:t xml:space="preserve">TenneT Duitsland wordt gefinancierd met een combinatie van eigen vermogen en vreemd vermogen en heeft een investeringswaardige </w:t>
            </w:r>
            <w:r w:rsidRPr="00641BCE">
              <w:rPr>
                <w:i/>
                <w:iCs/>
              </w:rPr>
              <w:t>credit</w:t>
            </w:r>
            <w:r w:rsidRPr="00641BCE">
              <w:t xml:space="preserve"> </w:t>
            </w:r>
            <w:r w:rsidRPr="00641BCE">
              <w:rPr>
                <w:i/>
                <w:iCs/>
              </w:rPr>
              <w:t xml:space="preserve">rating </w:t>
            </w:r>
            <w:r w:rsidRPr="00641BCE">
              <w:t xml:space="preserve">nodig om voldoende schuld op te kunnen halen tegen acceptabele voorwaarden. Voor TenneT Duitsland zal op een minimale rating van </w:t>
            </w:r>
            <w:r w:rsidRPr="00641BCE">
              <w:rPr>
                <w:i/>
                <w:iCs/>
              </w:rPr>
              <w:t xml:space="preserve">BBB </w:t>
            </w:r>
            <w:r w:rsidRPr="00641BCE">
              <w:t>worden gestuurd. Om deze rating te kunnen behouden kan TenneT Duitsland niet alleen met vreemd vermogen worden gefinancierd, maar dient ook eigen vermogen te worden gestort.</w:t>
            </w:r>
          </w:p>
          <w:p w:rsidRPr="00641BCE" w:rsidR="00CC054A" w:rsidP="0061741E" w:rsidRDefault="00CC054A" w14:paraId="099F6953" w14:textId="77777777"/>
          <w:p w:rsidRPr="00641BCE" w:rsidR="00695363" w:rsidP="0061741E" w:rsidRDefault="00695363" w14:paraId="58409A86" w14:textId="3157CD58">
            <w:r w:rsidRPr="00641BCE">
              <w:t xml:space="preserve">Het beleidsinstrument dat </w:t>
            </w:r>
            <w:r w:rsidRPr="00641BCE" w:rsidR="00634114">
              <w:t xml:space="preserve">daarom </w:t>
            </w:r>
            <w:r w:rsidRPr="00641BCE">
              <w:t xml:space="preserve">wordt ingezet is een reservering </w:t>
            </w:r>
            <w:r w:rsidRPr="00641BCE" w:rsidR="0061741E">
              <w:t xml:space="preserve">voor kapitaalstortingen in TenneT Duitsland </w:t>
            </w:r>
            <w:r w:rsidRPr="00641BCE">
              <w:t xml:space="preserve">van </w:t>
            </w:r>
            <w:r w:rsidRPr="00641BCE" w:rsidR="0061741E">
              <w:t xml:space="preserve">in totaal </w:t>
            </w:r>
            <w:r w:rsidRPr="00641BCE">
              <w:t xml:space="preserve">€ 7,3 miljard. Dit is het bedrag dat nodig is om een </w:t>
            </w:r>
            <w:proofErr w:type="gramStart"/>
            <w:r w:rsidRPr="00641BCE">
              <w:rPr>
                <w:i/>
                <w:iCs/>
              </w:rPr>
              <w:t xml:space="preserve">BBB </w:t>
            </w:r>
            <w:r w:rsidRPr="00641BCE">
              <w:t>rating</w:t>
            </w:r>
            <w:proofErr w:type="gramEnd"/>
            <w:r w:rsidRPr="00641BCE">
              <w:t xml:space="preserve"> te behouden. </w:t>
            </w:r>
          </w:p>
          <w:p w:rsidRPr="00641BCE" w:rsidR="00CC054A" w:rsidP="0061741E" w:rsidRDefault="00CC054A" w14:paraId="5E9E5FA5" w14:textId="77777777"/>
          <w:p w:rsidR="00CC054A" w:rsidP="0061741E" w:rsidRDefault="00CC054A" w14:paraId="33A299F0" w14:textId="77777777">
            <w:r w:rsidRPr="00641BCE">
              <w:t xml:space="preserve">Het kabinet acht op dit moment een deelname van private investeerders in TenneT Duitsland nog steeds de beste structurele oplossing voor de Duitse kapitaalbehoefte. Deze reservering moet worden gezien als een </w:t>
            </w:r>
            <w:r w:rsidRPr="00641BCE">
              <w:rPr>
                <w:i/>
                <w:iCs/>
              </w:rPr>
              <w:t xml:space="preserve">last resort </w:t>
            </w:r>
            <w:r w:rsidRPr="00641BCE">
              <w:t xml:space="preserve">maatregel, die enkel zal worden gebruikt in het onverwachte geval dat de deelname van private investeerders niet voldoende is om de gehele kapitaalbehoefte in te vullen of </w:t>
            </w:r>
            <w:r w:rsidRPr="00641BCE" w:rsidR="005609E0">
              <w:t>indien de schuldherstructurering tot onaanvaardbare kosten leidt.</w:t>
            </w:r>
          </w:p>
          <w:p w:rsidRPr="00641BCE" w:rsidR="00232A8E" w:rsidP="0061741E" w:rsidRDefault="00232A8E" w14:paraId="23FF0852" w14:textId="123FA47F"/>
        </w:tc>
      </w:tr>
      <w:tr w:rsidRPr="00641BCE" w:rsidR="00D72BEF" w:rsidTr="00206C8A" w14:paraId="324623B8" w14:textId="77777777">
        <w:trPr>
          <w:trHeight w:val="70"/>
        </w:trPr>
        <w:tc>
          <w:tcPr>
            <w:tcW w:w="2263" w:type="dxa"/>
          </w:tcPr>
          <w:p w:rsidRPr="00641BCE" w:rsidR="00D72BEF" w:rsidP="0039705E" w:rsidRDefault="00D72BEF" w14:paraId="2DA1AA95" w14:textId="77777777">
            <w:r w:rsidRPr="00641BCE">
              <w:rPr>
                <w:b/>
              </w:rPr>
              <w:t>Financiële gevolgen voor het Rijk</w:t>
            </w:r>
          </w:p>
        </w:tc>
        <w:tc>
          <w:tcPr>
            <w:tcW w:w="6804" w:type="dxa"/>
          </w:tcPr>
          <w:p w:rsidR="00232A8E" w:rsidP="00260438" w:rsidRDefault="00260438" w14:paraId="737E051B" w14:textId="77777777">
            <w:r w:rsidRPr="00641BCE">
              <w:t xml:space="preserve">In de Voorjaarsnota 2025 is een reservering opgenomen </w:t>
            </w:r>
            <w:r w:rsidRPr="00641BCE" w:rsidR="00695363">
              <w:t>van in totaal € 7,3 miljard</w:t>
            </w:r>
            <w:r w:rsidRPr="00641BCE">
              <w:t>. Hiervan is € 3,0 miljard op de Financiënbegroting opgenomen voor 2025. De overige € 4,3 miljard is op de Aanvullende Post (AP) geplaatst. Dit betekent dat het parlement ten aanzien van de AP-middelen in latere jaren budgetrecht heeft en dient in te stemmen met het overhevelen van deze AP-middelen naar de Financiënbegroting.</w:t>
            </w:r>
          </w:p>
          <w:p w:rsidRPr="00641BCE" w:rsidR="00D72BEF" w:rsidP="00260438" w:rsidRDefault="00260438" w14:paraId="2E19E3D5" w14:textId="7FF84BB9">
            <w:r w:rsidRPr="00641BCE">
              <w:t xml:space="preserve"> </w:t>
            </w:r>
          </w:p>
        </w:tc>
      </w:tr>
      <w:tr w:rsidRPr="00641BCE" w:rsidR="00D72BEF" w:rsidTr="00206C8A" w14:paraId="3C45B664" w14:textId="77777777">
        <w:tc>
          <w:tcPr>
            <w:tcW w:w="2263" w:type="dxa"/>
          </w:tcPr>
          <w:p w:rsidRPr="00641BCE" w:rsidR="00D72BEF" w:rsidP="0039705E" w:rsidRDefault="00D72BEF" w14:paraId="47D50C4E" w14:textId="77777777">
            <w:r w:rsidRPr="00641BCE">
              <w:rPr>
                <w:b/>
              </w:rPr>
              <w:t>Financiële gevolgen voor maatschappelijke sectoren</w:t>
            </w:r>
          </w:p>
        </w:tc>
        <w:tc>
          <w:tcPr>
            <w:tcW w:w="6804" w:type="dxa"/>
          </w:tcPr>
          <w:p w:rsidRPr="00641BCE" w:rsidR="00D72BEF" w:rsidP="0039705E" w:rsidRDefault="0061741E" w14:paraId="5345EA98" w14:textId="136DD38A">
            <w:r w:rsidRPr="00641BCE">
              <w:t xml:space="preserve">Een mogelijke kapitaalstorting heeft </w:t>
            </w:r>
            <w:r w:rsidRPr="00641BCE" w:rsidR="00920DEE">
              <w:t xml:space="preserve">enkel effect op de financiële positie van TenneT Duitsland en geen financiële gevolgen voor maatschappelijke sectoren. </w:t>
            </w:r>
          </w:p>
        </w:tc>
      </w:tr>
      <w:tr w:rsidRPr="00641BCE" w:rsidR="00D72BEF" w:rsidTr="00206C8A" w14:paraId="5732F735" w14:textId="77777777">
        <w:tc>
          <w:tcPr>
            <w:tcW w:w="2263" w:type="dxa"/>
          </w:tcPr>
          <w:p w:rsidRPr="00641BCE" w:rsidR="00D72BEF" w:rsidP="0039705E" w:rsidRDefault="00D72BEF" w14:paraId="5972E6C1" w14:textId="77777777">
            <w:r w:rsidRPr="00641BCE">
              <w:rPr>
                <w:b/>
              </w:rPr>
              <w:t>Nagestreefde doeltreffendheid</w:t>
            </w:r>
          </w:p>
        </w:tc>
        <w:tc>
          <w:tcPr>
            <w:tcW w:w="6804" w:type="dxa"/>
          </w:tcPr>
          <w:p w:rsidR="00D72BEF" w:rsidP="00BB25DA" w:rsidRDefault="0061741E" w14:paraId="6B1C88A9" w14:textId="77777777">
            <w:r w:rsidRPr="00641BCE">
              <w:t xml:space="preserve">Het kabinet acht op dit moment een deelname van private investeerders in TenneT Duitsland nog steeds de beste structurele </w:t>
            </w:r>
            <w:r w:rsidRPr="00641BCE">
              <w:lastRenderedPageBreak/>
              <w:t xml:space="preserve">oplossing voor de Duitse kapitaalbehoefte. </w:t>
            </w:r>
            <w:r w:rsidRPr="00641BCE" w:rsidR="00920DEE">
              <w:t xml:space="preserve">Deze reservering moet worden gezien als een </w:t>
            </w:r>
            <w:r w:rsidRPr="00641BCE" w:rsidR="00920DEE">
              <w:rPr>
                <w:i/>
                <w:iCs/>
              </w:rPr>
              <w:t xml:space="preserve">last resort </w:t>
            </w:r>
            <w:r w:rsidRPr="00641BCE" w:rsidR="00920DEE">
              <w:t>maatregel, die enkel zal worden gebruikt in het onverwachte geval dat de deelname van private investeerders niet voldoende is om de gehele kapitaalbehoefte in te vullen of</w:t>
            </w:r>
            <w:r w:rsidRPr="00641BCE" w:rsidR="005609E0">
              <w:t xml:space="preserve"> indien de schuldherstructurering tot onaanvaardbare kosten leidt.</w:t>
            </w:r>
            <w:r w:rsidRPr="00641BCE" w:rsidR="00920DEE">
              <w:t xml:space="preserve"> Mocht er daadwerkelijk tot een storting worden overgegaan, dan zal deze renderen en op termijn, als er geen kapitaalbehoefte meer is, terug worden verdiend via dividend. Een storting is niet EMU-saldo relevant indien aangetoond kan worden dat private partijen op een vergelijkbare manier zouden toetreden als de overheid. Het zal wel meetellen voor de EMU-schuld</w:t>
            </w:r>
            <w:r w:rsidRPr="00641BCE" w:rsidR="00920DEE">
              <w:rPr>
                <w:rStyle w:val="Voetnootmarkering"/>
              </w:rPr>
              <w:footnoteReference w:id="1"/>
            </w:r>
            <w:r w:rsidRPr="00641BCE" w:rsidR="00920DEE">
              <w:t xml:space="preserve">. </w:t>
            </w:r>
          </w:p>
          <w:p w:rsidRPr="00641BCE" w:rsidR="00232A8E" w:rsidP="00BB25DA" w:rsidRDefault="00232A8E" w14:paraId="280B5E72" w14:textId="245500E4"/>
        </w:tc>
      </w:tr>
      <w:tr w:rsidRPr="00641BCE" w:rsidR="00D72BEF" w:rsidTr="00206C8A" w14:paraId="58D0CC8F" w14:textId="77777777">
        <w:trPr>
          <w:trHeight w:val="3109"/>
        </w:trPr>
        <w:tc>
          <w:tcPr>
            <w:tcW w:w="2263" w:type="dxa"/>
          </w:tcPr>
          <w:p w:rsidRPr="00641BCE" w:rsidR="00D72BEF" w:rsidP="0039705E" w:rsidRDefault="00D72BEF" w14:paraId="59428425" w14:textId="77777777">
            <w:r w:rsidRPr="00641BCE">
              <w:rPr>
                <w:b/>
              </w:rPr>
              <w:lastRenderedPageBreak/>
              <w:t>Nagestreefde doelmatigheid</w:t>
            </w:r>
          </w:p>
        </w:tc>
        <w:tc>
          <w:tcPr>
            <w:tcW w:w="6804" w:type="dxa"/>
          </w:tcPr>
          <w:p w:rsidRPr="00641BCE" w:rsidR="00BB25DA" w:rsidP="00920DEE" w:rsidRDefault="00920DEE" w14:paraId="79D0016D" w14:textId="52919288">
            <w:r w:rsidRPr="00641BCE">
              <w:t>Zoals hierboven bij “</w:t>
            </w:r>
            <w:r w:rsidRPr="00641BCE" w:rsidR="00BB25DA">
              <w:t>B</w:t>
            </w:r>
            <w:r w:rsidRPr="00641BCE">
              <w:t>eleidsinstrument(en)</w:t>
            </w:r>
            <w:r w:rsidRPr="00641BCE" w:rsidR="00BB25DA">
              <w:t>”</w:t>
            </w:r>
            <w:r w:rsidRPr="00641BCE">
              <w:t xml:space="preserve"> beschreven is </w:t>
            </w:r>
            <w:r w:rsidRPr="00641BCE" w:rsidR="00206C8A">
              <w:t>kapitaal</w:t>
            </w:r>
            <w:r w:rsidRPr="00641BCE">
              <w:t xml:space="preserve">storting nodig om een acceptabele credit rating te behouden. </w:t>
            </w:r>
            <w:r w:rsidRPr="00641BCE" w:rsidR="00CC054A">
              <w:t>Eventuele alternatieven zouden l</w:t>
            </w:r>
            <w:r w:rsidRPr="00641BCE">
              <w:t xml:space="preserve">eningen of garanties </w:t>
            </w:r>
            <w:r w:rsidRPr="00641BCE" w:rsidR="00CC054A">
              <w:t xml:space="preserve">zijn. Deze </w:t>
            </w:r>
            <w:r w:rsidRPr="00641BCE">
              <w:t xml:space="preserve">worden niet als </w:t>
            </w:r>
            <w:r w:rsidRPr="00641BCE" w:rsidR="00BB25DA">
              <w:rPr>
                <w:i/>
                <w:iCs/>
              </w:rPr>
              <w:t xml:space="preserve">last resort </w:t>
            </w:r>
            <w:r w:rsidRPr="00641BCE" w:rsidR="00BB25DA">
              <w:t>maatregel</w:t>
            </w:r>
            <w:r w:rsidRPr="00641BCE">
              <w:t xml:space="preserve"> gezien voor TenneT Duitsland, omdat</w:t>
            </w:r>
          </w:p>
          <w:p w:rsidRPr="00641BCE" w:rsidR="00260438" w:rsidP="00634114" w:rsidRDefault="00920DEE" w14:paraId="0C3E5E12" w14:textId="1A75F641">
            <w:pPr>
              <w:pStyle w:val="Lijstalinea"/>
              <w:numPr>
                <w:ilvl w:val="0"/>
                <w:numId w:val="4"/>
              </w:numPr>
              <w:ind w:left="607"/>
            </w:pPr>
            <w:proofErr w:type="gramStart"/>
            <w:r w:rsidRPr="00641BCE">
              <w:t>het</w:t>
            </w:r>
            <w:proofErr w:type="gramEnd"/>
            <w:r w:rsidRPr="00641BCE">
              <w:t xml:space="preserve"> kabinet de deelname van private investeerders nog steeds als de beste structurele oplossing voor TenneT Duitsland ziet</w:t>
            </w:r>
            <w:r w:rsidRPr="00641BCE" w:rsidR="00BB25DA">
              <w:t xml:space="preserve"> en dus in het onverwachte geval dat de deelname van private investeerders niet voldoende is om de gehele kapitaalbehoefte in te vullen, een kapitaalbehoefte voor de Nederlandse staat resteert die zal moeten worden ingevuld met </w:t>
            </w:r>
            <w:r w:rsidRPr="00641BCE" w:rsidR="00206C8A">
              <w:t>een kapitaalstorting.</w:t>
            </w:r>
            <w:r w:rsidRPr="00641BCE" w:rsidR="00BB25DA">
              <w:t xml:space="preserve"> </w:t>
            </w:r>
          </w:p>
          <w:p w:rsidR="00BB25DA" w:rsidP="00206C8A" w:rsidRDefault="00BB25DA" w14:paraId="4975D6CF" w14:textId="77777777">
            <w:pPr>
              <w:pStyle w:val="Lijstalinea"/>
              <w:numPr>
                <w:ilvl w:val="0"/>
                <w:numId w:val="4"/>
              </w:numPr>
              <w:spacing w:after="0"/>
              <w:ind w:left="606" w:hanging="357"/>
            </w:pPr>
            <w:proofErr w:type="gramStart"/>
            <w:r w:rsidRPr="00641BCE">
              <w:t>het</w:t>
            </w:r>
            <w:proofErr w:type="gramEnd"/>
            <w:r w:rsidRPr="00641BCE">
              <w:t xml:space="preserve"> (volledig) financieren van TenneT Duitsland met leningen of garanties tot een ongewenste lange termijn verbondenheid leiden met TenneT Duitsland.</w:t>
            </w:r>
          </w:p>
          <w:p w:rsidRPr="00641BCE" w:rsidR="00232A8E" w:rsidP="00232A8E" w:rsidRDefault="00232A8E" w14:paraId="67D45BC0" w14:textId="5FBA6B88">
            <w:pPr>
              <w:pStyle w:val="Lijstalinea"/>
              <w:spacing w:after="0"/>
              <w:ind w:left="606"/>
            </w:pPr>
          </w:p>
        </w:tc>
      </w:tr>
      <w:tr w:rsidR="00D72BEF" w:rsidTr="00206C8A" w14:paraId="3C58EDA8" w14:textId="77777777">
        <w:tc>
          <w:tcPr>
            <w:tcW w:w="2263" w:type="dxa"/>
          </w:tcPr>
          <w:p w:rsidRPr="00641BCE" w:rsidR="00D72BEF" w:rsidP="0039705E" w:rsidRDefault="00D72BEF" w14:paraId="5D4474CC" w14:textId="77777777">
            <w:r w:rsidRPr="00641BCE">
              <w:rPr>
                <w:b/>
              </w:rPr>
              <w:t>Evaluatieparagraaf</w:t>
            </w:r>
          </w:p>
        </w:tc>
        <w:tc>
          <w:tcPr>
            <w:tcW w:w="6804" w:type="dxa"/>
          </w:tcPr>
          <w:p w:rsidR="00D72BEF" w:rsidP="0039705E" w:rsidRDefault="00920DEE" w14:paraId="5586E430" w14:textId="77777777">
            <w:r w:rsidRPr="00641BCE">
              <w:t xml:space="preserve">Bij volgende begrotingsmomenten wordt </w:t>
            </w:r>
            <w:r w:rsidR="00641BCE">
              <w:t>be</w:t>
            </w:r>
            <w:r w:rsidRPr="00641BCE">
              <w:t>zien of het mogelijk is om (een deel van) de reservering te laten vrijvallen.</w:t>
            </w:r>
          </w:p>
          <w:p w:rsidR="00232A8E" w:rsidP="0039705E" w:rsidRDefault="00232A8E" w14:paraId="264190B3" w14:textId="0C4A0C6B"/>
        </w:tc>
      </w:tr>
    </w:tbl>
    <w:p w:rsidR="00B06701" w:rsidRDefault="00B06701" w14:paraId="31C370DD" w14:textId="77777777"/>
    <w:sectPr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11E06" w14:textId="77777777" w:rsidR="001C661A" w:rsidRDefault="001C661A" w:rsidP="00B84F0C">
      <w:pPr>
        <w:spacing w:line="240" w:lineRule="auto"/>
      </w:pPr>
      <w:r>
        <w:separator/>
      </w:r>
    </w:p>
  </w:endnote>
  <w:endnote w:type="continuationSeparator" w:id="0">
    <w:p w14:paraId="5BEB8980" w14:textId="77777777" w:rsidR="001C661A" w:rsidRDefault="001C661A" w:rsidP="00B84F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9BEAE" w14:textId="77777777" w:rsidR="001C661A" w:rsidRDefault="001C661A" w:rsidP="00B84F0C">
      <w:pPr>
        <w:spacing w:line="240" w:lineRule="auto"/>
      </w:pPr>
      <w:r>
        <w:separator/>
      </w:r>
    </w:p>
  </w:footnote>
  <w:footnote w:type="continuationSeparator" w:id="0">
    <w:p w14:paraId="528E3A10" w14:textId="77777777" w:rsidR="001C661A" w:rsidRDefault="001C661A" w:rsidP="00B84F0C">
      <w:pPr>
        <w:spacing w:line="240" w:lineRule="auto"/>
      </w:pPr>
      <w:r>
        <w:continuationSeparator/>
      </w:r>
    </w:p>
  </w:footnote>
  <w:footnote w:id="1">
    <w:p w14:paraId="1F79CC2C" w14:textId="35AF5475" w:rsidR="00920DEE" w:rsidRPr="007E5083" w:rsidRDefault="00920DEE" w:rsidP="00920DEE">
      <w:pPr>
        <w:pStyle w:val="Voetnoottekst"/>
        <w:rPr>
          <w:sz w:val="14"/>
          <w:szCs w:val="14"/>
        </w:rPr>
      </w:pPr>
      <w:r w:rsidRPr="007E5083">
        <w:rPr>
          <w:rStyle w:val="Voetnootmarkering"/>
          <w:sz w:val="14"/>
          <w:szCs w:val="14"/>
        </w:rPr>
        <w:footnoteRef/>
      </w:r>
      <w:r w:rsidRPr="007E5083">
        <w:rPr>
          <w:sz w:val="14"/>
          <w:szCs w:val="14"/>
        </w:rPr>
        <w:t xml:space="preserve"> Mede op basis van recente gesprekken met het CBS is de huidige inschatting dat kapitaalstortingen in TenneT Duitsland niet relevant zijn voor het EMU-saldo indien</w:t>
      </w:r>
      <w:r w:rsidRPr="004E5484">
        <w:rPr>
          <w:sz w:val="14"/>
          <w:szCs w:val="14"/>
        </w:rPr>
        <w:t xml:space="preserve"> duidelijk is dat</w:t>
      </w:r>
      <w:r w:rsidRPr="007E5083">
        <w:rPr>
          <w:sz w:val="14"/>
          <w:szCs w:val="14"/>
        </w:rPr>
        <w:t xml:space="preserve"> private partijen op basis van </w:t>
      </w:r>
      <w:r w:rsidRPr="004E5484">
        <w:rPr>
          <w:sz w:val="14"/>
          <w:szCs w:val="14"/>
        </w:rPr>
        <w:t xml:space="preserve">dezelfde </w:t>
      </w:r>
      <w:r w:rsidRPr="007E5083">
        <w:rPr>
          <w:sz w:val="14"/>
          <w:szCs w:val="14"/>
        </w:rPr>
        <w:t xml:space="preserve">marktvoorwaarden </w:t>
      </w:r>
      <w:r w:rsidRPr="004E5484">
        <w:rPr>
          <w:sz w:val="14"/>
          <w:szCs w:val="14"/>
        </w:rPr>
        <w:t xml:space="preserve">zouden </w:t>
      </w:r>
      <w:r w:rsidRPr="007E5083">
        <w:rPr>
          <w:sz w:val="14"/>
          <w:szCs w:val="14"/>
        </w:rPr>
        <w:t>toetreden. Uiteindelijk is de beoordeling over EMU-saldorelevantie aan het CBS en Eurostat.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65CB6"/>
    <w:multiLevelType w:val="hybridMultilevel"/>
    <w:tmpl w:val="563E053C"/>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1E3DF1"/>
    <w:multiLevelType w:val="hybridMultilevel"/>
    <w:tmpl w:val="004EF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C692260"/>
    <w:multiLevelType w:val="hybridMultilevel"/>
    <w:tmpl w:val="EECEE140"/>
    <w:lvl w:ilvl="0" w:tplc="0DE8E6F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FF45922"/>
    <w:multiLevelType w:val="hybridMultilevel"/>
    <w:tmpl w:val="98C2CC78"/>
    <w:lvl w:ilvl="0" w:tplc="299CC928">
      <w:start w:val="2029"/>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DBF523C"/>
    <w:multiLevelType w:val="hybridMultilevel"/>
    <w:tmpl w:val="4B0A299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69546369">
    <w:abstractNumId w:val="1"/>
  </w:num>
  <w:num w:numId="2" w16cid:durableId="1192720425">
    <w:abstractNumId w:val="3"/>
  </w:num>
  <w:num w:numId="3" w16cid:durableId="1181361880">
    <w:abstractNumId w:val="0"/>
  </w:num>
  <w:num w:numId="4" w16cid:durableId="1631276469">
    <w:abstractNumId w:val="2"/>
  </w:num>
  <w:num w:numId="5" w16cid:durableId="404842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BEF"/>
    <w:rsid w:val="001C661A"/>
    <w:rsid w:val="001E4E97"/>
    <w:rsid w:val="001E6A24"/>
    <w:rsid w:val="001F4363"/>
    <w:rsid w:val="00206C8A"/>
    <w:rsid w:val="00232A8E"/>
    <w:rsid w:val="00260438"/>
    <w:rsid w:val="00474427"/>
    <w:rsid w:val="0051638C"/>
    <w:rsid w:val="005609E0"/>
    <w:rsid w:val="005A4DFB"/>
    <w:rsid w:val="0061741E"/>
    <w:rsid w:val="00634114"/>
    <w:rsid w:val="00641BCE"/>
    <w:rsid w:val="00695363"/>
    <w:rsid w:val="00807564"/>
    <w:rsid w:val="00826AC6"/>
    <w:rsid w:val="00877896"/>
    <w:rsid w:val="00880CB7"/>
    <w:rsid w:val="008B055A"/>
    <w:rsid w:val="008C4FAC"/>
    <w:rsid w:val="00920DEE"/>
    <w:rsid w:val="009500AA"/>
    <w:rsid w:val="00990DBD"/>
    <w:rsid w:val="009A1ECB"/>
    <w:rsid w:val="00A40FFF"/>
    <w:rsid w:val="00A5261F"/>
    <w:rsid w:val="00A556C8"/>
    <w:rsid w:val="00AD74C7"/>
    <w:rsid w:val="00B06701"/>
    <w:rsid w:val="00B84F0C"/>
    <w:rsid w:val="00BB25DA"/>
    <w:rsid w:val="00BF7566"/>
    <w:rsid w:val="00C006A5"/>
    <w:rsid w:val="00C93467"/>
    <w:rsid w:val="00CC054A"/>
    <w:rsid w:val="00D72BEF"/>
    <w:rsid w:val="00E7114B"/>
    <w:rsid w:val="00F86A77"/>
    <w:rsid w:val="00FA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2ACE9"/>
  <w15:chartTrackingRefBased/>
  <w15:docId w15:val="{00A17735-BB0A-4C50-A55D-0852E7D6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72BEF"/>
    <w:pPr>
      <w:autoSpaceDN w:val="0"/>
      <w:spacing w:after="0" w:line="240" w:lineRule="atLeast"/>
      <w:textAlignment w:val="baseline"/>
    </w:pPr>
    <w:rPr>
      <w:rFonts w:eastAsia="DejaVu Sans" w:cs="Lohit Hindi"/>
      <w:color w:val="000000"/>
      <w:szCs w:val="18"/>
      <w:lang w:eastAsia="nl-NL"/>
    </w:rPr>
  </w:style>
  <w:style w:type="paragraph" w:styleId="Kop1">
    <w:name w:val="heading 1"/>
    <w:basedOn w:val="Standaard"/>
    <w:next w:val="Standaard"/>
    <w:link w:val="Kop1Char"/>
    <w:uiPriority w:val="9"/>
    <w:qFormat/>
    <w:rsid w:val="00D72BEF"/>
    <w:pPr>
      <w:keepNext/>
      <w:keepLines/>
      <w:autoSpaceDN/>
      <w:spacing w:before="360" w:after="80" w:line="259" w:lineRule="auto"/>
      <w:textAlignment w:val="auto"/>
      <w:outlineLvl w:val="0"/>
    </w:pPr>
    <w:rPr>
      <w:rFonts w:asciiTheme="majorHAnsi" w:eastAsiaTheme="majorEastAsia" w:hAnsiTheme="majorHAnsi" w:cstheme="majorBidi"/>
      <w:color w:val="2E74B5" w:themeColor="accent1" w:themeShade="BF"/>
      <w:sz w:val="40"/>
      <w:szCs w:val="40"/>
      <w:lang w:eastAsia="en-US"/>
    </w:rPr>
  </w:style>
  <w:style w:type="paragraph" w:styleId="Kop2">
    <w:name w:val="heading 2"/>
    <w:basedOn w:val="Standaard"/>
    <w:next w:val="Standaard"/>
    <w:link w:val="Kop2Char"/>
    <w:uiPriority w:val="9"/>
    <w:semiHidden/>
    <w:unhideWhenUsed/>
    <w:qFormat/>
    <w:rsid w:val="00D72BEF"/>
    <w:pPr>
      <w:keepNext/>
      <w:keepLines/>
      <w:autoSpaceDN/>
      <w:spacing w:before="160" w:after="80" w:line="259" w:lineRule="auto"/>
      <w:textAlignment w:val="auto"/>
      <w:outlineLvl w:val="1"/>
    </w:pPr>
    <w:rPr>
      <w:rFonts w:asciiTheme="majorHAnsi" w:eastAsiaTheme="majorEastAsia" w:hAnsiTheme="majorHAnsi" w:cstheme="majorBidi"/>
      <w:color w:val="2E74B5" w:themeColor="accent1" w:themeShade="BF"/>
      <w:sz w:val="32"/>
      <w:szCs w:val="32"/>
      <w:lang w:eastAsia="en-US"/>
    </w:rPr>
  </w:style>
  <w:style w:type="paragraph" w:styleId="Kop3">
    <w:name w:val="heading 3"/>
    <w:basedOn w:val="Standaard"/>
    <w:next w:val="Standaard"/>
    <w:link w:val="Kop3Char"/>
    <w:uiPriority w:val="9"/>
    <w:semiHidden/>
    <w:unhideWhenUsed/>
    <w:qFormat/>
    <w:rsid w:val="00D72BEF"/>
    <w:pPr>
      <w:keepNext/>
      <w:keepLines/>
      <w:autoSpaceDN/>
      <w:spacing w:before="160" w:after="80" w:line="259" w:lineRule="auto"/>
      <w:textAlignment w:val="auto"/>
      <w:outlineLvl w:val="2"/>
    </w:pPr>
    <w:rPr>
      <w:rFonts w:asciiTheme="minorHAnsi" w:eastAsiaTheme="majorEastAsia" w:hAnsiTheme="minorHAnsi" w:cstheme="majorBidi"/>
      <w:color w:val="2E74B5" w:themeColor="accent1" w:themeShade="BF"/>
      <w:sz w:val="28"/>
      <w:szCs w:val="28"/>
      <w:lang w:eastAsia="en-US"/>
    </w:rPr>
  </w:style>
  <w:style w:type="paragraph" w:styleId="Kop4">
    <w:name w:val="heading 4"/>
    <w:basedOn w:val="Standaard"/>
    <w:next w:val="Standaard"/>
    <w:link w:val="Kop4Char"/>
    <w:uiPriority w:val="9"/>
    <w:semiHidden/>
    <w:unhideWhenUsed/>
    <w:qFormat/>
    <w:rsid w:val="00D72BEF"/>
    <w:pPr>
      <w:keepNext/>
      <w:keepLines/>
      <w:autoSpaceDN/>
      <w:spacing w:before="80" w:after="40" w:line="259" w:lineRule="auto"/>
      <w:textAlignment w:val="auto"/>
      <w:outlineLvl w:val="3"/>
    </w:pPr>
    <w:rPr>
      <w:rFonts w:asciiTheme="minorHAnsi" w:eastAsiaTheme="majorEastAsia" w:hAnsiTheme="minorHAnsi" w:cstheme="majorBidi"/>
      <w:i/>
      <w:iCs/>
      <w:color w:val="2E74B5" w:themeColor="accent1" w:themeShade="BF"/>
      <w:szCs w:val="22"/>
      <w:lang w:eastAsia="en-US"/>
    </w:rPr>
  </w:style>
  <w:style w:type="paragraph" w:styleId="Kop5">
    <w:name w:val="heading 5"/>
    <w:basedOn w:val="Standaard"/>
    <w:next w:val="Standaard"/>
    <w:link w:val="Kop5Char"/>
    <w:uiPriority w:val="9"/>
    <w:semiHidden/>
    <w:unhideWhenUsed/>
    <w:qFormat/>
    <w:rsid w:val="00D72BEF"/>
    <w:pPr>
      <w:keepNext/>
      <w:keepLines/>
      <w:autoSpaceDN/>
      <w:spacing w:before="80" w:after="40" w:line="259" w:lineRule="auto"/>
      <w:textAlignment w:val="auto"/>
      <w:outlineLvl w:val="4"/>
    </w:pPr>
    <w:rPr>
      <w:rFonts w:asciiTheme="minorHAnsi" w:eastAsiaTheme="majorEastAsia" w:hAnsiTheme="minorHAnsi" w:cstheme="majorBidi"/>
      <w:color w:val="2E74B5" w:themeColor="accent1" w:themeShade="BF"/>
      <w:szCs w:val="22"/>
      <w:lang w:eastAsia="en-US"/>
    </w:rPr>
  </w:style>
  <w:style w:type="paragraph" w:styleId="Kop6">
    <w:name w:val="heading 6"/>
    <w:basedOn w:val="Standaard"/>
    <w:next w:val="Standaard"/>
    <w:link w:val="Kop6Char"/>
    <w:uiPriority w:val="9"/>
    <w:semiHidden/>
    <w:unhideWhenUsed/>
    <w:qFormat/>
    <w:rsid w:val="00D72BEF"/>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szCs w:val="22"/>
      <w:lang w:eastAsia="en-US"/>
    </w:rPr>
  </w:style>
  <w:style w:type="paragraph" w:styleId="Kop7">
    <w:name w:val="heading 7"/>
    <w:basedOn w:val="Standaard"/>
    <w:next w:val="Standaard"/>
    <w:link w:val="Kop7Char"/>
    <w:uiPriority w:val="9"/>
    <w:semiHidden/>
    <w:unhideWhenUsed/>
    <w:qFormat/>
    <w:rsid w:val="00D72BEF"/>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szCs w:val="22"/>
      <w:lang w:eastAsia="en-US"/>
    </w:rPr>
  </w:style>
  <w:style w:type="paragraph" w:styleId="Kop8">
    <w:name w:val="heading 8"/>
    <w:basedOn w:val="Standaard"/>
    <w:next w:val="Standaard"/>
    <w:link w:val="Kop8Char"/>
    <w:uiPriority w:val="9"/>
    <w:semiHidden/>
    <w:unhideWhenUsed/>
    <w:qFormat/>
    <w:rsid w:val="00D72BEF"/>
    <w:pPr>
      <w:keepNext/>
      <w:keepLines/>
      <w:autoSpaceDN/>
      <w:spacing w:line="259" w:lineRule="auto"/>
      <w:textAlignment w:val="auto"/>
      <w:outlineLvl w:val="7"/>
    </w:pPr>
    <w:rPr>
      <w:rFonts w:asciiTheme="minorHAnsi" w:eastAsiaTheme="majorEastAsia" w:hAnsiTheme="minorHAnsi" w:cstheme="majorBidi"/>
      <w:i/>
      <w:iCs/>
      <w:color w:val="272727" w:themeColor="text1" w:themeTint="D8"/>
      <w:szCs w:val="22"/>
      <w:lang w:eastAsia="en-US"/>
    </w:rPr>
  </w:style>
  <w:style w:type="paragraph" w:styleId="Kop9">
    <w:name w:val="heading 9"/>
    <w:basedOn w:val="Standaard"/>
    <w:next w:val="Standaard"/>
    <w:link w:val="Kop9Char"/>
    <w:uiPriority w:val="9"/>
    <w:semiHidden/>
    <w:unhideWhenUsed/>
    <w:qFormat/>
    <w:rsid w:val="00D72BEF"/>
    <w:pPr>
      <w:keepNext/>
      <w:keepLines/>
      <w:autoSpaceDN/>
      <w:spacing w:line="259" w:lineRule="auto"/>
      <w:textAlignment w:val="auto"/>
      <w:outlineLvl w:val="8"/>
    </w:pPr>
    <w:rPr>
      <w:rFonts w:asciiTheme="minorHAnsi" w:eastAsiaTheme="majorEastAsia" w:hAnsiTheme="minorHAnsi" w:cstheme="majorBidi"/>
      <w:color w:val="272727" w:themeColor="text1" w:themeTint="D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BE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D72BE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D72BEF"/>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D72BEF"/>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D72BEF"/>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D72BE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D72BE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D72BE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D72BEF"/>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D72BEF"/>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rPr>
  </w:style>
  <w:style w:type="character" w:customStyle="1" w:styleId="TitelChar">
    <w:name w:val="Titel Char"/>
    <w:basedOn w:val="Standaardalinea-lettertype"/>
    <w:link w:val="Titel"/>
    <w:uiPriority w:val="10"/>
    <w:rsid w:val="00D72B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2BEF"/>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D72BE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D72BEF"/>
    <w:pPr>
      <w:autoSpaceDN/>
      <w:spacing w:before="160" w:after="160" w:line="259" w:lineRule="auto"/>
      <w:jc w:val="center"/>
      <w:textAlignment w:val="auto"/>
    </w:pPr>
    <w:rPr>
      <w:rFonts w:eastAsiaTheme="minorHAnsi" w:cstheme="minorBidi"/>
      <w:i/>
      <w:iCs/>
      <w:color w:val="404040" w:themeColor="text1" w:themeTint="BF"/>
      <w:szCs w:val="22"/>
      <w:lang w:eastAsia="en-US"/>
    </w:rPr>
  </w:style>
  <w:style w:type="character" w:customStyle="1" w:styleId="CitaatChar">
    <w:name w:val="Citaat Char"/>
    <w:basedOn w:val="Standaardalinea-lettertype"/>
    <w:link w:val="Citaat"/>
    <w:uiPriority w:val="29"/>
    <w:rsid w:val="00D72BEF"/>
    <w:rPr>
      <w:i/>
      <w:iCs/>
      <w:color w:val="404040" w:themeColor="text1" w:themeTint="BF"/>
    </w:rPr>
  </w:style>
  <w:style w:type="paragraph" w:styleId="Lijstalinea">
    <w:name w:val="List Paragraph"/>
    <w:basedOn w:val="Standaard"/>
    <w:uiPriority w:val="34"/>
    <w:qFormat/>
    <w:rsid w:val="00D72BEF"/>
    <w:pPr>
      <w:autoSpaceDN/>
      <w:spacing w:after="160" w:line="259" w:lineRule="auto"/>
      <w:ind w:left="720"/>
      <w:contextualSpacing/>
      <w:textAlignment w:val="auto"/>
    </w:pPr>
    <w:rPr>
      <w:rFonts w:eastAsiaTheme="minorHAnsi" w:cstheme="minorBidi"/>
      <w:color w:val="auto"/>
      <w:szCs w:val="22"/>
      <w:lang w:eastAsia="en-US"/>
    </w:rPr>
  </w:style>
  <w:style w:type="character" w:styleId="Intensievebenadrukking">
    <w:name w:val="Intense Emphasis"/>
    <w:basedOn w:val="Standaardalinea-lettertype"/>
    <w:uiPriority w:val="21"/>
    <w:qFormat/>
    <w:rsid w:val="00D72BEF"/>
    <w:rPr>
      <w:i/>
      <w:iCs/>
      <w:color w:val="2E74B5" w:themeColor="accent1" w:themeShade="BF"/>
    </w:rPr>
  </w:style>
  <w:style w:type="paragraph" w:styleId="Duidelijkcitaat">
    <w:name w:val="Intense Quote"/>
    <w:basedOn w:val="Standaard"/>
    <w:next w:val="Standaard"/>
    <w:link w:val="DuidelijkcitaatChar"/>
    <w:uiPriority w:val="30"/>
    <w:qFormat/>
    <w:rsid w:val="00D72BEF"/>
    <w:pPr>
      <w:pBdr>
        <w:top w:val="single" w:sz="4" w:space="10" w:color="2E74B5" w:themeColor="accent1" w:themeShade="BF"/>
        <w:bottom w:val="single" w:sz="4" w:space="10" w:color="2E74B5" w:themeColor="accent1" w:themeShade="BF"/>
      </w:pBdr>
      <w:autoSpaceDN/>
      <w:spacing w:before="360" w:after="360" w:line="259" w:lineRule="auto"/>
      <w:ind w:left="864" w:right="864"/>
      <w:jc w:val="center"/>
      <w:textAlignment w:val="auto"/>
    </w:pPr>
    <w:rPr>
      <w:rFonts w:eastAsiaTheme="minorHAnsi" w:cstheme="minorBidi"/>
      <w:i/>
      <w:iCs/>
      <w:color w:val="2E74B5" w:themeColor="accent1" w:themeShade="BF"/>
      <w:szCs w:val="22"/>
      <w:lang w:eastAsia="en-US"/>
    </w:rPr>
  </w:style>
  <w:style w:type="character" w:customStyle="1" w:styleId="DuidelijkcitaatChar">
    <w:name w:val="Duidelijk citaat Char"/>
    <w:basedOn w:val="Standaardalinea-lettertype"/>
    <w:link w:val="Duidelijkcitaat"/>
    <w:uiPriority w:val="30"/>
    <w:rsid w:val="00D72BEF"/>
    <w:rPr>
      <w:i/>
      <w:iCs/>
      <w:color w:val="2E74B5" w:themeColor="accent1" w:themeShade="BF"/>
    </w:rPr>
  </w:style>
  <w:style w:type="character" w:styleId="Intensieveverwijzing">
    <w:name w:val="Intense Reference"/>
    <w:basedOn w:val="Standaardalinea-lettertype"/>
    <w:uiPriority w:val="32"/>
    <w:qFormat/>
    <w:rsid w:val="00D72BEF"/>
    <w:rPr>
      <w:b/>
      <w:bCs/>
      <w:smallCaps/>
      <w:color w:val="2E74B5" w:themeColor="accent1" w:themeShade="BF"/>
      <w:spacing w:val="5"/>
    </w:rPr>
  </w:style>
  <w:style w:type="table" w:customStyle="1" w:styleId="Standaardtabelmetlijn">
    <w:name w:val="Standaardtabel met lijn"/>
    <w:rsid w:val="00D72BEF"/>
    <w:pPr>
      <w:autoSpaceDN w:val="0"/>
      <w:spacing w:after="0" w:line="240" w:lineRule="auto"/>
      <w:textAlignment w:val="baseline"/>
    </w:pPr>
    <w:rPr>
      <w:rFonts w:eastAsia="DejaVu Sans" w:cs="Lohit Hindi"/>
      <w:color w:val="000000"/>
      <w:szCs w:val="18"/>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Verwijzingopmerking">
    <w:name w:val="annotation reference"/>
    <w:basedOn w:val="Standaardalinea-lettertype"/>
    <w:uiPriority w:val="99"/>
    <w:semiHidden/>
    <w:unhideWhenUsed/>
    <w:rsid w:val="00D72BEF"/>
    <w:rPr>
      <w:sz w:val="16"/>
      <w:szCs w:val="16"/>
    </w:rPr>
  </w:style>
  <w:style w:type="paragraph" w:styleId="Tekstopmerking">
    <w:name w:val="annotation text"/>
    <w:basedOn w:val="Standaard"/>
    <w:link w:val="TekstopmerkingChar"/>
    <w:uiPriority w:val="99"/>
    <w:unhideWhenUsed/>
    <w:rsid w:val="00D72BEF"/>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D72BEF"/>
    <w:rPr>
      <w:rFonts w:asciiTheme="minorHAnsi" w:hAnsiTheme="minorHAnsi"/>
      <w:sz w:val="20"/>
      <w:szCs w:val="20"/>
    </w:rPr>
  </w:style>
  <w:style w:type="paragraph" w:styleId="Voetnoottekst">
    <w:name w:val="footnote text"/>
    <w:aliases w:val="Footnote text Rebe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qFormat/>
    <w:rsid w:val="00B84F0C"/>
    <w:pPr>
      <w:spacing w:line="240" w:lineRule="auto"/>
    </w:pPr>
    <w:rPr>
      <w:sz w:val="20"/>
      <w:szCs w:val="20"/>
    </w:rPr>
  </w:style>
  <w:style w:type="character" w:customStyle="1" w:styleId="VoetnoottekstChar">
    <w:name w:val="Voetnoottekst Char"/>
    <w:aliases w:val="Footnote text Rebel Char,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B84F0C"/>
    <w:rPr>
      <w:rFonts w:eastAsia="DejaVu Sans" w:cs="Lohit Hindi"/>
      <w:color w:val="000000"/>
      <w:sz w:val="20"/>
      <w:szCs w:val="20"/>
      <w:lang w:eastAsia="nl-NL"/>
    </w:rPr>
  </w:style>
  <w:style w:type="character" w:styleId="Voetnootmarkering">
    <w:name w:val="footnote reference"/>
    <w:aliases w:val="Footnote reference Rebel,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B84F0C"/>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B84F0C"/>
    <w:pPr>
      <w:autoSpaceDN/>
      <w:spacing w:after="160" w:line="240" w:lineRule="exact"/>
      <w:textAlignment w:val="auto"/>
    </w:pPr>
    <w:rPr>
      <w:rFonts w:eastAsiaTheme="minorHAnsi" w:cstheme="minorBidi"/>
      <w:color w:val="auto"/>
      <w:szCs w:val="22"/>
      <w:vertAlign w:val="superscript"/>
      <w:lang w:eastAsia="en-US"/>
    </w:rPr>
  </w:style>
  <w:style w:type="paragraph" w:styleId="Revisie">
    <w:name w:val="Revision"/>
    <w:hidden/>
    <w:uiPriority w:val="99"/>
    <w:semiHidden/>
    <w:rsid w:val="00CC054A"/>
    <w:pPr>
      <w:spacing w:after="0" w:line="240" w:lineRule="auto"/>
    </w:pPr>
    <w:rPr>
      <w:rFonts w:eastAsia="DejaVu Sans" w:cs="Lohit Hindi"/>
      <w:color w:val="000000"/>
      <w:szCs w:val="18"/>
      <w:lang w:eastAsia="nl-NL"/>
    </w:rPr>
  </w:style>
  <w:style w:type="paragraph" w:styleId="Onderwerpvanopmerking">
    <w:name w:val="annotation subject"/>
    <w:basedOn w:val="Tekstopmerking"/>
    <w:next w:val="Tekstopmerking"/>
    <w:link w:val="OnderwerpvanopmerkingChar"/>
    <w:uiPriority w:val="99"/>
    <w:semiHidden/>
    <w:unhideWhenUsed/>
    <w:rsid w:val="00CC054A"/>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CC054A"/>
    <w:rPr>
      <w:rFonts w:asciiTheme="minorHAnsi" w:eastAsia="DejaVu Sans" w:hAnsiTheme="minorHAnsi" w:cs="Lohit Hindi"/>
      <w:b/>
      <w:bCs/>
      <w:color w:val="00000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726</ap:Words>
  <ap:Characters>3998</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2025-04-17T08:52:00.0000000Z</dcterms:created>
  <dcterms:modified xsi:type="dcterms:W3CDTF">2025-04-17T08:52:00.0000000Z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2025-03-13T14:57:08Z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d5bb7b89-2e26-46f6-b7f6-bcc0a6962186</vt:lpwstr>
  </property>
  <property fmtid="{D5CDD505-2E9C-101B-9397-08002B2CF9AE}" pid="8" name="MSIP_Label_6800fede-0e59-47ad-af95-4e63bbdb932d_ContentBits">
    <vt:lpwstr>0</vt:lpwstr>
  </property>
</Properties>
</file>