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3F35" w:rsidR="00A4538A" w:rsidP="00A4538A" w:rsidRDefault="00A4538A" w14:paraId="0EFAA895" w14:textId="77777777">
      <w:pPr>
        <w:rPr>
          <w:rFonts w:ascii="Calibri" w:hAnsi="Calibri" w:cs="Calibri"/>
          <w:bCs/>
        </w:rPr>
      </w:pPr>
    </w:p>
    <w:p w:rsidRPr="00B43F35" w:rsidR="005F7EC0" w:rsidP="00C2260D" w:rsidRDefault="00A4538A" w14:paraId="60E36B59" w14:textId="78FEB87B">
      <w:pPr>
        <w:ind w:left="1416" w:hanging="1416"/>
        <w:rPr>
          <w:rFonts w:ascii="Calibri" w:hAnsi="Calibri" w:cs="Calibri"/>
        </w:rPr>
      </w:pPr>
      <w:r w:rsidRPr="00B43F35">
        <w:rPr>
          <w:rFonts w:ascii="Calibri" w:hAnsi="Calibri" w:cs="Calibri"/>
          <w:bCs/>
        </w:rPr>
        <w:t>36600</w:t>
      </w:r>
      <w:r w:rsidRPr="00B43F35" w:rsidR="005F7EC0">
        <w:rPr>
          <w:rFonts w:ascii="Calibri" w:hAnsi="Calibri" w:cs="Calibri"/>
          <w:bCs/>
        </w:rPr>
        <w:t xml:space="preserve"> </w:t>
      </w:r>
      <w:r w:rsidRPr="00B43F35">
        <w:rPr>
          <w:rFonts w:ascii="Calibri" w:hAnsi="Calibri" w:cs="Calibri"/>
          <w:bCs/>
        </w:rPr>
        <w:t>XIII</w:t>
      </w:r>
      <w:r w:rsidRPr="00B43F35" w:rsidR="005F7EC0">
        <w:rPr>
          <w:rFonts w:ascii="Calibri" w:hAnsi="Calibri" w:cs="Calibri"/>
          <w:bCs/>
        </w:rPr>
        <w:tab/>
      </w:r>
      <w:r w:rsidRPr="00B43F35" w:rsidR="005F7EC0">
        <w:rPr>
          <w:rFonts w:ascii="Calibri" w:hAnsi="Calibri" w:cs="Calibri"/>
        </w:rPr>
        <w:t>Vaststelling van de begrotingsstaten van het Ministerie van Economische Zaken (XIII) voor het jaar 2025</w:t>
      </w:r>
    </w:p>
    <w:p w:rsidRPr="00B43F35" w:rsidR="00080C9B" w:rsidP="00080C9B" w:rsidRDefault="00C2260D" w14:paraId="5C90D98E" w14:textId="7D999D56">
      <w:pPr>
        <w:ind w:left="1416" w:hanging="1410"/>
        <w:rPr>
          <w:rFonts w:ascii="Calibri" w:hAnsi="Calibri" w:cs="Calibri"/>
          <w:color w:val="000000"/>
        </w:rPr>
      </w:pPr>
      <w:r w:rsidRPr="00B43F35">
        <w:rPr>
          <w:rFonts w:ascii="Calibri" w:hAnsi="Calibri" w:cs="Calibri"/>
          <w:bCs/>
        </w:rPr>
        <w:t xml:space="preserve">Nr. </w:t>
      </w:r>
      <w:r w:rsidRPr="00B43F35">
        <w:rPr>
          <w:rFonts w:ascii="Calibri" w:hAnsi="Calibri" w:cs="Calibri"/>
          <w:bCs/>
        </w:rPr>
        <w:t>61</w:t>
      </w:r>
      <w:r w:rsidRPr="00B43F35">
        <w:rPr>
          <w:rFonts w:ascii="Calibri" w:hAnsi="Calibri" w:cs="Calibri"/>
          <w:bCs/>
        </w:rPr>
        <w:tab/>
        <w:t xml:space="preserve">Brief van de </w:t>
      </w:r>
      <w:r w:rsidRPr="00B43F35" w:rsidR="00080C9B">
        <w:rPr>
          <w:rFonts w:ascii="Calibri" w:hAnsi="Calibri" w:cs="Calibri"/>
        </w:rPr>
        <w:t xml:space="preserve"> minister van Economische Zaken en de staatssecretaris van Defensie</w:t>
      </w:r>
    </w:p>
    <w:p w:rsidRPr="00B43F35" w:rsidR="00C2260D" w:rsidP="004474D9" w:rsidRDefault="00C2260D" w14:paraId="63C02F41" w14:textId="08B4C577">
      <w:pPr>
        <w:rPr>
          <w:rFonts w:ascii="Calibri" w:hAnsi="Calibri" w:cs="Calibri"/>
        </w:rPr>
      </w:pPr>
      <w:r w:rsidRPr="00B43F35">
        <w:rPr>
          <w:rFonts w:ascii="Calibri" w:hAnsi="Calibri" w:cs="Calibri"/>
        </w:rPr>
        <w:t xml:space="preserve"> </w:t>
      </w:r>
      <w:r w:rsidRPr="00B43F35" w:rsidR="00080C9B">
        <w:rPr>
          <w:rFonts w:ascii="Calibri" w:hAnsi="Calibri" w:cs="Calibri"/>
        </w:rPr>
        <w:t>Aan de Voorzitter van de Tweede Kamer der Staten-Generaal</w:t>
      </w:r>
    </w:p>
    <w:p w:rsidRPr="00B43F35" w:rsidR="00080C9B" w:rsidP="004474D9" w:rsidRDefault="00080C9B" w14:paraId="4281956D" w14:textId="18B0F091">
      <w:pPr>
        <w:rPr>
          <w:rFonts w:ascii="Calibri" w:hAnsi="Calibri" w:cs="Calibri"/>
          <w:color w:val="000000"/>
        </w:rPr>
      </w:pPr>
      <w:r w:rsidRPr="00B43F35">
        <w:rPr>
          <w:rFonts w:ascii="Calibri" w:hAnsi="Calibri" w:cs="Calibri"/>
        </w:rPr>
        <w:t>Den Haag, 17 april 2025</w:t>
      </w:r>
    </w:p>
    <w:p w:rsidRPr="00B43F35" w:rsidR="00A4538A" w:rsidP="00A4538A" w:rsidRDefault="00A4538A" w14:paraId="2EB4FF90" w14:textId="77777777">
      <w:pPr>
        <w:rPr>
          <w:rFonts w:ascii="Calibri" w:hAnsi="Calibri" w:cs="Calibri"/>
          <w:bCs/>
        </w:rPr>
      </w:pPr>
    </w:p>
    <w:p w:rsidRPr="00B43F35" w:rsidR="00A4538A" w:rsidP="00A4538A" w:rsidRDefault="00A4538A" w14:paraId="07B61243" w14:textId="06CB759C">
      <w:pPr>
        <w:rPr>
          <w:rFonts w:ascii="Calibri" w:hAnsi="Calibri" w:cs="Calibri"/>
          <w:bCs/>
        </w:rPr>
      </w:pPr>
      <w:r w:rsidRPr="00B43F35">
        <w:rPr>
          <w:rFonts w:ascii="Calibri" w:hAnsi="Calibri" w:cs="Calibri"/>
          <w:bCs/>
        </w:rPr>
        <w:t xml:space="preserve">In vervolg op Kamerbrief (30 april 2020/ 35300-XIII , nr. 102) informeren wij u over een steunverzoek met betrekking tot Royal IHC (vanaf nu: IHC). In 2020 is IHC in problemen gekomen door slecht project- en risicomanagement en aanname van projecten met lage marges, waardoor grote verliezen werden geleden.  </w:t>
      </w:r>
    </w:p>
    <w:p w:rsidRPr="00B43F35" w:rsidR="00A4538A" w:rsidP="00A4538A" w:rsidRDefault="00A4538A" w14:paraId="383C9FCC" w14:textId="77777777">
      <w:pPr>
        <w:rPr>
          <w:rFonts w:ascii="Calibri" w:hAnsi="Calibri" w:cs="Calibri"/>
          <w:bCs/>
        </w:rPr>
      </w:pPr>
      <w:r w:rsidRPr="00B43F35">
        <w:rPr>
          <w:rFonts w:ascii="Calibri" w:hAnsi="Calibri" w:cs="Calibri"/>
          <w:bCs/>
        </w:rPr>
        <w:t xml:space="preserve">De afgelopen vijf jaar is IHC onder regie van HAL </w:t>
      </w:r>
      <w:proofErr w:type="spellStart"/>
      <w:r w:rsidRPr="00B43F35">
        <w:rPr>
          <w:rFonts w:ascii="Calibri" w:hAnsi="Calibri" w:cs="Calibri"/>
          <w:bCs/>
        </w:rPr>
        <w:t>Investments</w:t>
      </w:r>
      <w:proofErr w:type="spellEnd"/>
      <w:r w:rsidRPr="00B43F35">
        <w:rPr>
          <w:rFonts w:ascii="Calibri" w:hAnsi="Calibri" w:cs="Calibri"/>
          <w:bCs/>
        </w:rPr>
        <w:t xml:space="preserve"> (vanaf nu: HAL) gereorganiseerd. Er is een nieuwe koers ingeslagen door schepen te bouwen met een lager risicoprofiel tegen een lagere kostenbasis. Jaarcijfers laten een voorzichtige verbetering zien</w:t>
      </w:r>
      <w:r w:rsidRPr="00B43F35">
        <w:rPr>
          <w:rFonts w:ascii="Calibri" w:hAnsi="Calibri" w:cs="Calibri"/>
        </w:rPr>
        <w:t xml:space="preserve"> en er bestaat voldoende rentabiliteits- en continuïteitsperspectief. Het bedrijf profiteert mee van de huidige aantrekkende markt op onder meer het gebied van de baggersector en Defensie: het orderboek is gevuld. </w:t>
      </w:r>
    </w:p>
    <w:p w:rsidRPr="00B43F35" w:rsidR="00A4538A" w:rsidP="00A4538A" w:rsidRDefault="00A4538A" w14:paraId="776D1F95" w14:textId="77777777">
      <w:pPr>
        <w:autoSpaceDE w:val="0"/>
        <w:autoSpaceDN w:val="0"/>
        <w:adjustRightInd w:val="0"/>
        <w:rPr>
          <w:rFonts w:ascii="Calibri" w:hAnsi="Calibri" w:cs="Calibri"/>
          <w:bCs/>
        </w:rPr>
      </w:pPr>
      <w:r w:rsidRPr="00B43F35">
        <w:rPr>
          <w:rFonts w:ascii="Calibri" w:hAnsi="Calibri" w:cs="Calibri"/>
          <w:bCs/>
        </w:rPr>
        <w:t xml:space="preserve">Het huidige financieringsarrangement loopt op korte termijn af. Het wegvallen van dit financieringsarrangement leidt er ertoe dat IHC rechtstreeks in haar voortbestaan wordt bedreigd. HAL heeft echter aangeven bereid te zijn om dit financieringsarrangement te verstrekken onder voorwaarden dat een staatsgarantie wordt verstrekt onder vergelijkbare voorwaarden als destijds in 2020. Aangezien HAL geen bank is, kan HAL zelf geen gebruik maken van de bestaande instrumenten zoals de GO-regeling (Garantie Ondernemingsfinanciering). Het kabinet is voornemens om gezien de financiële positie en het maatschappelijk belang van IHC, aan HAL een maatwerkgarantie ter hoogte van 50% te verstrekken op het financieringsarrangement dat HAL aan IHC beschikbaar stelt. Dit bestaat uit </w:t>
      </w:r>
      <w:r w:rsidRPr="00B43F35">
        <w:rPr>
          <w:rFonts w:ascii="Calibri" w:hAnsi="Calibri" w:cs="Calibri"/>
        </w:rPr>
        <w:t xml:space="preserve">€ </w:t>
      </w:r>
      <w:r w:rsidRPr="00B43F35">
        <w:rPr>
          <w:rFonts w:ascii="Calibri" w:hAnsi="Calibri" w:cs="Calibri"/>
          <w:bCs/>
        </w:rPr>
        <w:t xml:space="preserve">100 mln. aan garantiefaciliteiten en </w:t>
      </w:r>
      <w:r w:rsidRPr="00B43F35">
        <w:rPr>
          <w:rFonts w:ascii="Calibri" w:hAnsi="Calibri" w:cs="Calibri"/>
        </w:rPr>
        <w:t xml:space="preserve">€ </w:t>
      </w:r>
      <w:r w:rsidRPr="00B43F35">
        <w:rPr>
          <w:rFonts w:ascii="Calibri" w:hAnsi="Calibri" w:cs="Calibri"/>
          <w:bCs/>
        </w:rPr>
        <w:t>40 mln. voor werkkapitaal.</w:t>
      </w:r>
    </w:p>
    <w:p w:rsidRPr="00B43F35" w:rsidR="00A4538A" w:rsidP="00A4538A" w:rsidRDefault="00A4538A" w14:paraId="29707B37" w14:textId="77777777">
      <w:pPr>
        <w:rPr>
          <w:rFonts w:ascii="Calibri" w:hAnsi="Calibri" w:cs="Calibri"/>
          <w:bCs/>
        </w:rPr>
      </w:pPr>
      <w:r w:rsidRPr="00B43F35">
        <w:rPr>
          <w:rFonts w:ascii="Calibri" w:hAnsi="Calibri" w:cs="Calibri"/>
          <w:bCs/>
        </w:rPr>
        <w:t xml:space="preserve">De totale nieuwe blootstelling aan risico’s voor de Staat met deze maatwerkgarantie bedraagt </w:t>
      </w:r>
      <w:r w:rsidRPr="00B43F35">
        <w:rPr>
          <w:rFonts w:ascii="Calibri" w:hAnsi="Calibri" w:cs="Calibri"/>
        </w:rPr>
        <w:t xml:space="preserve">€ </w:t>
      </w:r>
      <w:r w:rsidRPr="00B43F35">
        <w:rPr>
          <w:rFonts w:ascii="Calibri" w:hAnsi="Calibri" w:cs="Calibri"/>
          <w:bCs/>
        </w:rPr>
        <w:t xml:space="preserve">70 mln. (50% van </w:t>
      </w:r>
      <w:r w:rsidRPr="00B43F35">
        <w:rPr>
          <w:rFonts w:ascii="Calibri" w:hAnsi="Calibri" w:cs="Calibri"/>
        </w:rPr>
        <w:t xml:space="preserve">€ </w:t>
      </w:r>
      <w:r w:rsidRPr="00B43F35">
        <w:rPr>
          <w:rFonts w:ascii="Calibri" w:hAnsi="Calibri" w:cs="Calibri"/>
          <w:bCs/>
        </w:rPr>
        <w:t>140 mln.). De Staat stelt aan deze maatwerkgarantie, strikte voorwaarden en verkrijgt daarbij zekerheden, zoals een onderpand op de werf van IHC in Kinderdijk, waardoor de risico’s voor de staat worden beperkt. Bij het aangaan van dit nieuwe financieringsarrangement vervalt het aflopende financieringsarrangement van het bankenconsortium, inclusief de eerder afgegeven GO-faciliteiten aan het bankenconsortium. Met het nieuwe financieringsarrangement zal de Staat zoals gebruikelijk ook op projectbasis exportkredietverzekeringen en -garanties kunnen afgeven ten behoeve van exporttransacties.</w:t>
      </w:r>
    </w:p>
    <w:p w:rsidRPr="00B43F35" w:rsidR="00A4538A" w:rsidP="00A4538A" w:rsidRDefault="00A4538A" w14:paraId="6B1A6693" w14:textId="77777777">
      <w:pPr>
        <w:rPr>
          <w:rFonts w:ascii="Calibri" w:hAnsi="Calibri" w:cs="Calibri"/>
        </w:rPr>
      </w:pPr>
      <w:r w:rsidRPr="00B43F35">
        <w:rPr>
          <w:rFonts w:ascii="Calibri" w:hAnsi="Calibri" w:cs="Calibri"/>
          <w:i/>
          <w:iCs/>
        </w:rPr>
        <w:lastRenderedPageBreak/>
        <w:t>Afwegingskader steunverzoeken individuele bedrijven</w:t>
      </w:r>
      <w:r w:rsidRPr="00B43F35">
        <w:rPr>
          <w:rFonts w:ascii="Calibri" w:hAnsi="Calibri" w:cs="Calibri"/>
        </w:rPr>
        <w:br/>
        <w:t xml:space="preserve">Teneinde een weloverwogen besluit te kunnen nemen met betrekking tot de steun aan IHC is conform het afwegingskader steunverzoeken individuele bedrijven (kamerbrief 1 mei 2020) doorlopen. Dit afwegingskader bestaat uit drie onderdelen: </w:t>
      </w:r>
    </w:p>
    <w:p w:rsidRPr="00B43F35" w:rsidR="00A4538A" w:rsidP="00A4538A" w:rsidRDefault="00A4538A" w14:paraId="6EDDF41C" w14:textId="77777777">
      <w:pPr>
        <w:rPr>
          <w:rFonts w:ascii="Calibri" w:hAnsi="Calibri" w:cs="Calibri"/>
        </w:rPr>
      </w:pPr>
      <w:r w:rsidRPr="00B43F35">
        <w:rPr>
          <w:rFonts w:ascii="Calibri" w:hAnsi="Calibri" w:cs="Calibri"/>
          <w:u w:val="single"/>
        </w:rPr>
        <w:t>Fase A: politiek maatschappelijk</w:t>
      </w:r>
      <w:r w:rsidRPr="00B43F35">
        <w:rPr>
          <w:rFonts w:ascii="Calibri" w:hAnsi="Calibri" w:cs="Calibri"/>
        </w:rPr>
        <w:t xml:space="preserve"> </w:t>
      </w:r>
      <w:r w:rsidRPr="00B43F35">
        <w:rPr>
          <w:rFonts w:ascii="Calibri" w:hAnsi="Calibri" w:cs="Calibri"/>
          <w:bCs/>
        </w:rPr>
        <w:br/>
        <w:t>Geconstateerd is dat er naast de specialistische kennis op het gebied van waterbouw en offshore een politiek maatschappelijk belang bestaat op het gebied van de militaire veiligheid</w:t>
      </w:r>
      <w:r w:rsidRPr="00B43F35">
        <w:rPr>
          <w:rFonts w:ascii="Calibri" w:hAnsi="Calibri" w:cs="Calibri"/>
          <w:b/>
          <w:bCs/>
        </w:rPr>
        <w:t xml:space="preserve">. </w:t>
      </w:r>
      <w:r w:rsidRPr="00B43F35">
        <w:rPr>
          <w:rFonts w:ascii="Calibri" w:hAnsi="Calibri" w:cs="Calibri"/>
        </w:rPr>
        <w:t>Als soevereine staat beschikt Nederland over een eigen marine waarvan de rol, taken, capaciteiten en inzet nationaal bepaald worden – rekening houdend met de eisen die het lidmaatschap van de NAVO en de EU met zich meebrengen, alsmede met de verantwoordelijkheid die Nederland heeft c.q. voelt voor het handhaven of bevorderen van de internationale vrede en veiligheid. De Defensie Strategie voor Industrie en Innovatie van 4 april 2025 (D-SII 2025) benadrukt de ambitie om de marinebouw voor een belangrijk deel in eigen hand en (daarom) in eigen land te houden; waarbij een goed ontwikkelde samenwerking in de ‘gouden driehoek’ tussen overheid, industrie en kennisinstituten ‘wezenlijk belangen’ vertegenwoordigd.</w:t>
      </w:r>
    </w:p>
    <w:p w:rsidRPr="00B43F35" w:rsidR="00A4538A" w:rsidP="00A4538A" w:rsidRDefault="00A4538A" w14:paraId="53EAC6CA" w14:textId="77777777">
      <w:pPr>
        <w:rPr>
          <w:rFonts w:ascii="Calibri" w:hAnsi="Calibri" w:cs="Calibri"/>
        </w:rPr>
      </w:pPr>
      <w:r w:rsidRPr="00B43F35">
        <w:rPr>
          <w:rFonts w:ascii="Calibri" w:hAnsi="Calibri" w:cs="Calibri"/>
        </w:rPr>
        <w:t xml:space="preserve">Gelet ook op de grote opschalingsopdracht van Defensie en de wens om de strategische positie van Nederland in de mondiale toeleveranciersketen te vergroten, zou het eventueel wegvallen van IHC een ongewenst effect hebben op het Nederlands industriële absorptievermogen en mogelijk leiden tot vertraging van levering van de benodigde producten en diensten voor de Koninklijke Marine. Zo is IHC bij Defensie nadrukkelijk in beeld voor verschillende maritieme projecten zowel wanneer het gaat om verwerving van nieuw materieel als om instandhouding en onderhoud. Zo wordt IHC een belangrijke toeleverancier van het Franse </w:t>
      </w:r>
      <w:proofErr w:type="spellStart"/>
      <w:r w:rsidRPr="00B43F35">
        <w:rPr>
          <w:rFonts w:ascii="Calibri" w:hAnsi="Calibri" w:cs="Calibri"/>
        </w:rPr>
        <w:t>Naval</w:t>
      </w:r>
      <w:proofErr w:type="spellEnd"/>
      <w:r w:rsidRPr="00B43F35">
        <w:rPr>
          <w:rFonts w:ascii="Calibri" w:hAnsi="Calibri" w:cs="Calibri"/>
        </w:rPr>
        <w:t xml:space="preserve"> Group voor de bouw van de nieuwe onderzeeboten voor de Koninklijke Marine.</w:t>
      </w:r>
    </w:p>
    <w:p w:rsidRPr="00B43F35" w:rsidR="00A4538A" w:rsidP="00A4538A" w:rsidRDefault="00A4538A" w14:paraId="70D90D85" w14:textId="77777777">
      <w:pPr>
        <w:rPr>
          <w:rFonts w:ascii="Calibri" w:hAnsi="Calibri" w:cs="Calibri"/>
        </w:rPr>
      </w:pPr>
      <w:r w:rsidRPr="00B43F35">
        <w:rPr>
          <w:rFonts w:ascii="Calibri" w:hAnsi="Calibri" w:cs="Calibri"/>
          <w:u w:val="single"/>
        </w:rPr>
        <w:t>Fase B: Bedrijfseconomische toets</w:t>
      </w:r>
      <w:r w:rsidRPr="00B43F35">
        <w:rPr>
          <w:rFonts w:ascii="Calibri" w:hAnsi="Calibri" w:cs="Calibri"/>
        </w:rPr>
        <w:br/>
        <w:t>Hierbij wordt onderzocht (op basis van scenario’s) in hoeverre het bedrijf in de kern gezond is. Een gespecialiseerd adviesbureau heeft hierbij vastgesteld dat IHC voldoende rentabiliteits- en continuïteitsperspectief heeft onder andere op basis van een worst case scenario. Dit onderzoeksrapport wordt op vertrouwelijke basis met uw Kamer gedeeld.</w:t>
      </w:r>
    </w:p>
    <w:p w:rsidRPr="00B43F35" w:rsidR="00A4538A" w:rsidP="00A4538A" w:rsidRDefault="00A4538A" w14:paraId="51E894DC" w14:textId="77777777">
      <w:pPr>
        <w:rPr>
          <w:rFonts w:ascii="Calibri" w:hAnsi="Calibri" w:cs="Calibri"/>
          <w:i/>
          <w:iCs/>
        </w:rPr>
      </w:pPr>
      <w:r w:rsidRPr="00B43F35">
        <w:rPr>
          <w:rFonts w:ascii="Calibri" w:hAnsi="Calibri" w:cs="Calibri"/>
          <w:u w:val="single"/>
        </w:rPr>
        <w:t>Fase C: Instrumentarium</w:t>
      </w:r>
      <w:r w:rsidRPr="00B43F35">
        <w:rPr>
          <w:rFonts w:ascii="Calibri" w:hAnsi="Calibri" w:cs="Calibri"/>
        </w:rPr>
        <w:br/>
        <w:t>Er is gekozen voor een instrument dat zo dicht mogelijk aansluit bij het bestaande financiële instrumentarium van het ministerie van Economische Zaken en dat thans ook door het bankenconsortium wordt gebruikt. Aan HAL zal een Staatsgarantie van 50% worden verstrekt over een bedrag van € 140 mln. in de vorm van een maatwerksubsidie, die deels gelijkenis vertoond met de GO-regeling zoals banken die kunnen aanvragen bij RVO. Verder is een ‘</w:t>
      </w:r>
      <w:proofErr w:type="spellStart"/>
      <w:r w:rsidRPr="00B43F35">
        <w:rPr>
          <w:rFonts w:ascii="Calibri" w:hAnsi="Calibri" w:cs="Calibri"/>
        </w:rPr>
        <w:t>bail</w:t>
      </w:r>
      <w:proofErr w:type="spellEnd"/>
      <w:r w:rsidRPr="00B43F35">
        <w:rPr>
          <w:rFonts w:ascii="Calibri" w:hAnsi="Calibri" w:cs="Calibri"/>
        </w:rPr>
        <w:t xml:space="preserve">-in’ van € 11 mln. in de vorm van achtergestelde leningen door stakeholders vanuit de baggersector ingebracht. </w:t>
      </w:r>
    </w:p>
    <w:p w:rsidRPr="00B43F35" w:rsidR="00A4538A" w:rsidP="00A4538A" w:rsidRDefault="00A4538A" w14:paraId="62A3AB57" w14:textId="77777777">
      <w:pPr>
        <w:rPr>
          <w:rFonts w:ascii="Calibri" w:hAnsi="Calibri" w:cs="Calibri"/>
        </w:rPr>
      </w:pPr>
      <w:r w:rsidRPr="00B43F35">
        <w:rPr>
          <w:rFonts w:ascii="Calibri" w:hAnsi="Calibri" w:cs="Calibri"/>
          <w:i/>
          <w:iCs/>
        </w:rPr>
        <w:t>Budgettaire dekking</w:t>
      </w:r>
      <w:r w:rsidRPr="00B43F35">
        <w:rPr>
          <w:rFonts w:ascii="Calibri" w:hAnsi="Calibri" w:cs="Calibri"/>
          <w:i/>
          <w:iCs/>
        </w:rPr>
        <w:br/>
      </w:r>
      <w:r w:rsidRPr="00B43F35">
        <w:rPr>
          <w:rFonts w:ascii="Calibri" w:hAnsi="Calibri" w:cs="Calibri"/>
        </w:rPr>
        <w:t>Voor deze maatwerkgarantie wordt gebruik gemaakt van garantieruimte op de EZ-</w:t>
      </w:r>
      <w:r w:rsidRPr="00B43F35">
        <w:rPr>
          <w:rFonts w:ascii="Calibri" w:hAnsi="Calibri" w:cs="Calibri"/>
        </w:rPr>
        <w:lastRenderedPageBreak/>
        <w:t>begroting. Daarnaast wordt een risicovoorziening aangelegd om het uitstaande risico van de Staat te mitigeren. Deze voorziening wordt gevuld uit bestaande middelen van het ministerie van Defensie en het ministerie van Economische Zaken. Voor de garantiestelling wordt een marktconforme premie gevraagd aan IHC en deze zal na aftrek van kosten worden toegevoegd aan de risicovoorziening.</w:t>
      </w:r>
    </w:p>
    <w:p w:rsidRPr="00B43F35" w:rsidR="00A4538A" w:rsidP="00A4538A" w:rsidRDefault="00A4538A" w14:paraId="288A3A7E" w14:textId="77777777">
      <w:pPr>
        <w:rPr>
          <w:rFonts w:ascii="Calibri" w:hAnsi="Calibri" w:cs="Calibri"/>
        </w:rPr>
      </w:pPr>
      <w:r w:rsidRPr="00B43F35">
        <w:rPr>
          <w:rFonts w:ascii="Calibri" w:hAnsi="Calibri" w:cs="Calibri"/>
        </w:rPr>
        <w:t xml:space="preserve">De budgettaire verwerking zal plaatsvinden in de voorjaarsnota. Vanwege het algemeen belang zoals geschetst in deze brief en de gewenste spoedige uitvoering van de garantiefaciliteit voordat de voorjaarnota behandeld is in uw Kamer doen wij een beroep op artikel 2.27 lid 2 van de Comptabiliteitswet. </w:t>
      </w:r>
      <w:r w:rsidRPr="00B43F35">
        <w:rPr>
          <w:rFonts w:ascii="Calibri" w:hAnsi="Calibri" w:cs="Calibri"/>
        </w:rPr>
        <w:br/>
      </w:r>
    </w:p>
    <w:tbl>
      <w:tblPr>
        <w:tblStyle w:val="Tabelraster"/>
        <w:tblW w:w="0" w:type="auto"/>
        <w:tblLook w:val="04A0" w:firstRow="1" w:lastRow="0" w:firstColumn="1" w:lastColumn="0" w:noHBand="0" w:noVBand="1"/>
      </w:tblPr>
      <w:tblGrid>
        <w:gridCol w:w="1916"/>
        <w:gridCol w:w="5603"/>
      </w:tblGrid>
      <w:tr w:rsidRPr="00B43F35" w:rsidR="00A4538A" w:rsidTr="00D84090" w14:paraId="4FF5522B" w14:textId="77777777">
        <w:tc>
          <w:tcPr>
            <w:tcW w:w="9062" w:type="dxa"/>
            <w:gridSpan w:val="2"/>
          </w:tcPr>
          <w:p w:rsidRPr="00B43F35" w:rsidR="00A4538A" w:rsidP="00D84090" w:rsidRDefault="00A4538A" w14:paraId="59F2BACE" w14:textId="77777777">
            <w:pPr>
              <w:pStyle w:val="Geenafstand"/>
              <w:spacing w:line="240" w:lineRule="atLeast"/>
              <w:rPr>
                <w:rFonts w:ascii="Calibri" w:hAnsi="Calibri" w:cs="Calibri"/>
                <w:b/>
                <w:bCs/>
                <w:sz w:val="22"/>
                <w:szCs w:val="22"/>
              </w:rPr>
            </w:pPr>
            <w:proofErr w:type="spellStart"/>
            <w:r w:rsidRPr="00B43F35">
              <w:rPr>
                <w:rFonts w:ascii="Calibri" w:hAnsi="Calibri" w:cs="Calibri"/>
                <w:b/>
                <w:bCs/>
                <w:sz w:val="22"/>
                <w:szCs w:val="22"/>
              </w:rPr>
              <w:t>Maatregel</w:t>
            </w:r>
            <w:proofErr w:type="spellEnd"/>
            <w:r w:rsidRPr="00B43F35">
              <w:rPr>
                <w:rFonts w:ascii="Calibri" w:hAnsi="Calibri" w:cs="Calibri"/>
                <w:b/>
                <w:bCs/>
                <w:sz w:val="22"/>
                <w:szCs w:val="22"/>
              </w:rPr>
              <w:t xml:space="preserve">: </w:t>
            </w:r>
            <w:proofErr w:type="spellStart"/>
            <w:r w:rsidRPr="00B43F35">
              <w:rPr>
                <w:rFonts w:ascii="Calibri" w:hAnsi="Calibri" w:cs="Calibri"/>
                <w:b/>
                <w:bCs/>
                <w:sz w:val="22"/>
                <w:szCs w:val="22"/>
              </w:rPr>
              <w:t>Maatwerkgarantie</w:t>
            </w:r>
            <w:proofErr w:type="spellEnd"/>
            <w:r w:rsidRPr="00B43F35">
              <w:rPr>
                <w:rFonts w:ascii="Calibri" w:hAnsi="Calibri" w:cs="Calibri"/>
                <w:b/>
                <w:bCs/>
                <w:sz w:val="22"/>
                <w:szCs w:val="22"/>
              </w:rPr>
              <w:t xml:space="preserve"> HAL/IHC</w:t>
            </w:r>
          </w:p>
        </w:tc>
      </w:tr>
      <w:tr w:rsidRPr="00B43F35" w:rsidR="00A4538A" w:rsidTr="00D84090" w14:paraId="7AB52D41" w14:textId="77777777">
        <w:tc>
          <w:tcPr>
            <w:tcW w:w="2689" w:type="dxa"/>
          </w:tcPr>
          <w:p w:rsidRPr="00B43F35" w:rsidR="00A4538A" w:rsidP="00D84090" w:rsidRDefault="00A4538A" w14:paraId="115E1397" w14:textId="77777777">
            <w:pPr>
              <w:pStyle w:val="Geenafstand"/>
              <w:spacing w:line="240" w:lineRule="atLeast"/>
              <w:rPr>
                <w:rFonts w:ascii="Calibri" w:hAnsi="Calibri" w:cs="Calibri"/>
                <w:sz w:val="22"/>
                <w:szCs w:val="22"/>
              </w:rPr>
            </w:pPr>
            <w:r w:rsidRPr="00B43F35">
              <w:rPr>
                <w:rFonts w:ascii="Calibri" w:hAnsi="Calibri" w:cs="Calibri"/>
                <w:sz w:val="22"/>
                <w:szCs w:val="22"/>
              </w:rPr>
              <w:t>1. Doel(en)</w:t>
            </w:r>
          </w:p>
        </w:tc>
        <w:tc>
          <w:tcPr>
            <w:tcW w:w="6373" w:type="dxa"/>
          </w:tcPr>
          <w:p w:rsidRPr="00B43F35" w:rsidR="00A4538A" w:rsidP="00D84090" w:rsidRDefault="00A4538A" w14:paraId="612244C5" w14:textId="77777777">
            <w:pPr>
              <w:textAlignment w:val="baseline"/>
              <w:rPr>
                <w:rFonts w:ascii="Calibri" w:hAnsi="Calibri" w:cs="Calibri"/>
                <w:sz w:val="22"/>
                <w:szCs w:val="22"/>
              </w:rPr>
            </w:pPr>
            <w:r w:rsidRPr="00B43F35">
              <w:rPr>
                <w:rFonts w:ascii="Calibri" w:hAnsi="Calibri" w:cs="Calibri"/>
                <w:sz w:val="22"/>
                <w:szCs w:val="22"/>
                <w:lang w:val="nl-NL"/>
              </w:rPr>
              <w:t xml:space="preserve">Via een maatwerkgarantie steun verleend aan IHC. HAL voorziet IHC van een garantiefaciliteit van 100 mln. en een werkkapitaalfaciliteit van 40 mln. met daarop ene 50% Staatsgarantie. </w:t>
            </w:r>
            <w:r w:rsidRPr="00B43F35">
              <w:rPr>
                <w:rFonts w:ascii="Calibri" w:hAnsi="Calibri" w:cs="Calibri"/>
                <w:sz w:val="22"/>
                <w:szCs w:val="22"/>
              </w:rPr>
              <w:t xml:space="preserve">Hiermee </w:t>
            </w:r>
            <w:proofErr w:type="spellStart"/>
            <w:r w:rsidRPr="00B43F35">
              <w:rPr>
                <w:rFonts w:ascii="Calibri" w:hAnsi="Calibri" w:cs="Calibri"/>
                <w:sz w:val="22"/>
                <w:szCs w:val="22"/>
              </w:rPr>
              <w:t>wordt</w:t>
            </w:r>
            <w:proofErr w:type="spellEnd"/>
            <w:r w:rsidRPr="00B43F35">
              <w:rPr>
                <w:rFonts w:ascii="Calibri" w:hAnsi="Calibri" w:cs="Calibri"/>
                <w:sz w:val="22"/>
                <w:szCs w:val="22"/>
              </w:rPr>
              <w:t xml:space="preserve"> de </w:t>
            </w:r>
            <w:proofErr w:type="spellStart"/>
            <w:r w:rsidRPr="00B43F35">
              <w:rPr>
                <w:rFonts w:ascii="Calibri" w:hAnsi="Calibri" w:cs="Calibri"/>
                <w:sz w:val="22"/>
                <w:szCs w:val="22"/>
              </w:rPr>
              <w:t>continuïteit</w:t>
            </w:r>
            <w:proofErr w:type="spellEnd"/>
            <w:r w:rsidRPr="00B43F35">
              <w:rPr>
                <w:rFonts w:ascii="Calibri" w:hAnsi="Calibri" w:cs="Calibri"/>
                <w:sz w:val="22"/>
                <w:szCs w:val="22"/>
              </w:rPr>
              <w:t xml:space="preserve"> van IHC </w:t>
            </w:r>
            <w:proofErr w:type="spellStart"/>
            <w:r w:rsidRPr="00B43F35">
              <w:rPr>
                <w:rFonts w:ascii="Calibri" w:hAnsi="Calibri" w:cs="Calibri"/>
                <w:sz w:val="22"/>
                <w:szCs w:val="22"/>
              </w:rPr>
              <w:t>versterkt</w:t>
            </w:r>
            <w:proofErr w:type="spellEnd"/>
            <w:r w:rsidRPr="00B43F35">
              <w:rPr>
                <w:rFonts w:ascii="Calibri" w:hAnsi="Calibri" w:cs="Calibri"/>
                <w:sz w:val="22"/>
                <w:szCs w:val="22"/>
              </w:rPr>
              <w:t>.</w:t>
            </w:r>
          </w:p>
        </w:tc>
      </w:tr>
      <w:tr w:rsidRPr="00B43F35" w:rsidR="00A4538A" w:rsidTr="00D84090" w14:paraId="0372D276" w14:textId="77777777">
        <w:tc>
          <w:tcPr>
            <w:tcW w:w="2689" w:type="dxa"/>
          </w:tcPr>
          <w:p w:rsidRPr="00B43F35" w:rsidR="00A4538A" w:rsidP="00D84090" w:rsidRDefault="00A4538A" w14:paraId="139601D7" w14:textId="77777777">
            <w:pPr>
              <w:pStyle w:val="Geenafstand"/>
              <w:spacing w:line="240" w:lineRule="atLeast"/>
              <w:rPr>
                <w:rFonts w:ascii="Calibri" w:hAnsi="Calibri" w:cs="Calibri"/>
                <w:sz w:val="22"/>
                <w:szCs w:val="22"/>
              </w:rPr>
            </w:pPr>
            <w:r w:rsidRPr="00B43F35">
              <w:rPr>
                <w:rFonts w:ascii="Calibri" w:hAnsi="Calibri" w:cs="Calibri"/>
                <w:sz w:val="22"/>
                <w:szCs w:val="22"/>
              </w:rPr>
              <w:t xml:space="preserve">2. </w:t>
            </w:r>
            <w:proofErr w:type="spellStart"/>
            <w:r w:rsidRPr="00B43F35">
              <w:rPr>
                <w:rFonts w:ascii="Calibri" w:hAnsi="Calibri" w:cs="Calibri"/>
                <w:sz w:val="22"/>
                <w:szCs w:val="22"/>
              </w:rPr>
              <w:t>Beleids</w:t>
            </w:r>
            <w:proofErr w:type="spellEnd"/>
            <w:r w:rsidRPr="00B43F35">
              <w:rPr>
                <w:rFonts w:ascii="Calibri" w:hAnsi="Calibri" w:cs="Calibri"/>
                <w:sz w:val="22"/>
                <w:szCs w:val="22"/>
              </w:rPr>
              <w:t>-instrument(en)</w:t>
            </w:r>
          </w:p>
        </w:tc>
        <w:tc>
          <w:tcPr>
            <w:tcW w:w="6373" w:type="dxa"/>
          </w:tcPr>
          <w:p w:rsidRPr="00B43F35" w:rsidR="00A4538A" w:rsidP="00D84090" w:rsidRDefault="00A4538A" w14:paraId="7CD145E1" w14:textId="77777777">
            <w:pPr>
              <w:pStyle w:val="Geenafstand"/>
              <w:spacing w:line="240" w:lineRule="atLeast"/>
              <w:rPr>
                <w:rFonts w:ascii="Calibri" w:hAnsi="Calibri" w:cs="Calibri"/>
                <w:sz w:val="22"/>
                <w:szCs w:val="22"/>
                <w:lang w:val="nl-NL"/>
              </w:rPr>
            </w:pPr>
            <w:r w:rsidRPr="00B43F35">
              <w:rPr>
                <w:rFonts w:ascii="Calibri" w:hAnsi="Calibri" w:cs="Calibri"/>
                <w:sz w:val="22"/>
                <w:szCs w:val="22"/>
                <w:lang w:val="nl-NL"/>
              </w:rPr>
              <w:t xml:space="preserve">Dit betreft een maatwerkgarantie die gebruik maakt van de bestaande garantieruimte op de EZ-begroting. Een risicovoorziening wordt aangelegd middels een storting uit bestaande middelen van het ministerie van Defensie en het ministerie van Economische Zaken. De regeling wordt vormgegeven met deels vergelijkbare voorwaarden als de bestaande GO-regeling. </w:t>
            </w:r>
          </w:p>
        </w:tc>
      </w:tr>
      <w:tr w:rsidRPr="00B43F35" w:rsidR="00A4538A" w:rsidTr="00D84090" w14:paraId="5E565D98" w14:textId="77777777">
        <w:trPr>
          <w:trHeight w:val="1692"/>
        </w:trPr>
        <w:tc>
          <w:tcPr>
            <w:tcW w:w="2689" w:type="dxa"/>
          </w:tcPr>
          <w:p w:rsidRPr="00B43F35" w:rsidR="00A4538A" w:rsidP="00D84090" w:rsidRDefault="00A4538A" w14:paraId="6700A6F2" w14:textId="77777777">
            <w:pPr>
              <w:pStyle w:val="Geenafstand"/>
              <w:spacing w:line="240" w:lineRule="atLeast"/>
              <w:ind w:left="731" w:hanging="709"/>
              <w:rPr>
                <w:rFonts w:ascii="Calibri" w:hAnsi="Calibri" w:cs="Calibri"/>
                <w:sz w:val="22"/>
                <w:szCs w:val="22"/>
                <w:lang w:val="nl-NL"/>
              </w:rPr>
            </w:pPr>
            <w:r w:rsidRPr="00B43F35">
              <w:rPr>
                <w:rFonts w:ascii="Calibri" w:hAnsi="Calibri" w:cs="Calibri"/>
                <w:sz w:val="22"/>
                <w:szCs w:val="22"/>
                <w:lang w:val="nl-NL"/>
              </w:rPr>
              <w:t>3.</w:t>
            </w:r>
          </w:p>
          <w:p w:rsidRPr="00B43F35" w:rsidR="00A4538A" w:rsidP="00D84090" w:rsidRDefault="00A4538A" w14:paraId="1F1186F4" w14:textId="77777777">
            <w:pPr>
              <w:pStyle w:val="Geenafstand"/>
              <w:spacing w:line="240" w:lineRule="atLeast"/>
              <w:ind w:left="731" w:hanging="709"/>
              <w:rPr>
                <w:rFonts w:ascii="Calibri" w:hAnsi="Calibri" w:cs="Calibri"/>
                <w:sz w:val="22"/>
                <w:szCs w:val="22"/>
                <w:lang w:val="nl-NL"/>
              </w:rPr>
            </w:pPr>
            <w:r w:rsidRPr="00B43F35">
              <w:rPr>
                <w:rFonts w:ascii="Calibri" w:hAnsi="Calibri" w:cs="Calibri"/>
                <w:sz w:val="22"/>
                <w:szCs w:val="22"/>
                <w:lang w:val="nl-NL"/>
              </w:rPr>
              <w:t>A. Financiële</w:t>
            </w:r>
          </w:p>
          <w:p w:rsidRPr="00B43F35" w:rsidR="00A4538A" w:rsidP="00D84090" w:rsidRDefault="00A4538A" w14:paraId="7E730DD6" w14:textId="77777777">
            <w:pPr>
              <w:pStyle w:val="Geenafstand"/>
              <w:spacing w:line="240" w:lineRule="atLeast"/>
              <w:ind w:left="731" w:hanging="709"/>
              <w:rPr>
                <w:rFonts w:ascii="Calibri" w:hAnsi="Calibri" w:cs="Calibri"/>
                <w:sz w:val="22"/>
                <w:szCs w:val="22"/>
                <w:lang w:val="nl-NL"/>
              </w:rPr>
            </w:pPr>
            <w:r w:rsidRPr="00B43F35">
              <w:rPr>
                <w:rFonts w:ascii="Calibri" w:hAnsi="Calibri" w:cs="Calibri"/>
                <w:sz w:val="22"/>
                <w:szCs w:val="22"/>
                <w:lang w:val="nl-NL"/>
              </w:rPr>
              <w:t>gevolgen voor het</w:t>
            </w:r>
          </w:p>
          <w:p w:rsidRPr="00B43F35" w:rsidR="00A4538A" w:rsidP="00D84090" w:rsidRDefault="00A4538A" w14:paraId="1EE6CAB9" w14:textId="77777777">
            <w:pPr>
              <w:pStyle w:val="Geenafstand"/>
              <w:spacing w:line="240" w:lineRule="atLeast"/>
              <w:ind w:left="731" w:hanging="709"/>
              <w:rPr>
                <w:rFonts w:ascii="Calibri" w:hAnsi="Calibri" w:cs="Calibri"/>
                <w:sz w:val="22"/>
                <w:szCs w:val="22"/>
                <w:lang w:val="nl-NL"/>
              </w:rPr>
            </w:pPr>
            <w:r w:rsidRPr="00B43F35">
              <w:rPr>
                <w:rFonts w:ascii="Calibri" w:hAnsi="Calibri" w:cs="Calibri"/>
                <w:sz w:val="22"/>
                <w:szCs w:val="22"/>
                <w:lang w:val="nl-NL"/>
              </w:rPr>
              <w:t>Rijk</w:t>
            </w:r>
          </w:p>
        </w:tc>
        <w:tc>
          <w:tcPr>
            <w:tcW w:w="6373" w:type="dxa"/>
          </w:tcPr>
          <w:p w:rsidRPr="00B43F35" w:rsidR="00A4538A" w:rsidP="00D84090" w:rsidRDefault="00A4538A" w14:paraId="16FBD7FA" w14:textId="77777777">
            <w:pPr>
              <w:pStyle w:val="Geenafstand"/>
              <w:spacing w:line="240" w:lineRule="atLeast"/>
              <w:rPr>
                <w:rFonts w:ascii="Calibri" w:hAnsi="Calibri" w:cs="Calibri"/>
                <w:sz w:val="22"/>
                <w:szCs w:val="22"/>
                <w:lang w:val="nl-NL"/>
              </w:rPr>
            </w:pPr>
            <w:r w:rsidRPr="00B43F35">
              <w:rPr>
                <w:rFonts w:ascii="Calibri" w:hAnsi="Calibri" w:cs="Calibri"/>
                <w:sz w:val="22"/>
                <w:szCs w:val="22"/>
                <w:lang w:val="nl-NL"/>
              </w:rPr>
              <w:t>Welke financiële gevolgen heeft het voorstel voor de Rijksbegroting?</w:t>
            </w:r>
          </w:p>
          <w:p w:rsidRPr="00B43F35" w:rsidR="00A4538A" w:rsidP="00D84090" w:rsidRDefault="00A4538A" w14:paraId="56995135" w14:textId="77777777">
            <w:pPr>
              <w:pStyle w:val="Geenafstand"/>
              <w:spacing w:line="240" w:lineRule="atLeast"/>
              <w:rPr>
                <w:rFonts w:ascii="Calibri" w:hAnsi="Calibri" w:cs="Calibri"/>
                <w:sz w:val="22"/>
                <w:szCs w:val="22"/>
                <w:lang w:val="nl-NL"/>
              </w:rPr>
            </w:pPr>
          </w:p>
          <w:tbl>
            <w:tblPr>
              <w:tblStyle w:val="Tabelraster"/>
              <w:tblW w:w="0" w:type="auto"/>
              <w:tblLook w:val="04A0" w:firstRow="1" w:lastRow="0" w:firstColumn="1" w:lastColumn="0" w:noHBand="0" w:noVBand="1"/>
            </w:tblPr>
            <w:tblGrid>
              <w:gridCol w:w="1704"/>
              <w:gridCol w:w="732"/>
              <w:gridCol w:w="490"/>
              <w:gridCol w:w="413"/>
              <w:gridCol w:w="490"/>
              <w:gridCol w:w="490"/>
              <w:gridCol w:w="490"/>
              <w:gridCol w:w="490"/>
            </w:tblGrid>
            <w:tr w:rsidRPr="00B43F35" w:rsidR="00A4538A" w:rsidTr="00D84090" w14:paraId="06B0CCE6" w14:textId="77777777">
              <w:trPr>
                <w:trHeight w:val="201"/>
              </w:trPr>
              <w:tc>
                <w:tcPr>
                  <w:tcW w:w="1511" w:type="dxa"/>
                </w:tcPr>
                <w:p w:rsidRPr="00B43F35" w:rsidR="00A4538A" w:rsidP="00D84090" w:rsidRDefault="00A4538A" w14:paraId="52CD51B8" w14:textId="77777777">
                  <w:pPr>
                    <w:textAlignment w:val="baseline"/>
                    <w:rPr>
                      <w:rFonts w:ascii="Calibri" w:hAnsi="Calibri" w:cs="Calibri"/>
                      <w:sz w:val="22"/>
                      <w:szCs w:val="22"/>
                      <w:lang w:val="nl-NL"/>
                    </w:rPr>
                  </w:pPr>
                  <w:r w:rsidRPr="00B43F35">
                    <w:rPr>
                      <w:rFonts w:ascii="Calibri" w:hAnsi="Calibri" w:cs="Calibri"/>
                      <w:sz w:val="22"/>
                      <w:szCs w:val="22"/>
                      <w:lang w:val="nl-NL"/>
                    </w:rPr>
                    <w:t>(€ mln.)</w:t>
                  </w:r>
                </w:p>
              </w:tc>
              <w:tc>
                <w:tcPr>
                  <w:tcW w:w="890" w:type="dxa"/>
                </w:tcPr>
                <w:p w:rsidRPr="00B43F35" w:rsidR="00A4538A" w:rsidP="00D84090" w:rsidRDefault="00A4538A" w14:paraId="29C4D62A" w14:textId="77777777">
                  <w:pPr>
                    <w:textAlignment w:val="baseline"/>
                    <w:rPr>
                      <w:rFonts w:ascii="Calibri" w:hAnsi="Calibri" w:cs="Calibri"/>
                      <w:sz w:val="22"/>
                      <w:szCs w:val="22"/>
                      <w:lang w:val="nl-NL"/>
                    </w:rPr>
                  </w:pPr>
                  <w:r w:rsidRPr="00B43F35">
                    <w:rPr>
                      <w:rFonts w:ascii="Calibri" w:hAnsi="Calibri" w:cs="Calibri"/>
                      <w:sz w:val="22"/>
                      <w:szCs w:val="22"/>
                      <w:lang w:val="nl-NL"/>
                    </w:rPr>
                    <w:t>totaal</w:t>
                  </w:r>
                </w:p>
              </w:tc>
              <w:tc>
                <w:tcPr>
                  <w:tcW w:w="600" w:type="dxa"/>
                </w:tcPr>
                <w:p w:rsidRPr="00B43F35" w:rsidR="00A4538A" w:rsidP="00D84090" w:rsidRDefault="00A4538A" w14:paraId="7F58C652" w14:textId="77777777">
                  <w:pPr>
                    <w:textAlignment w:val="baseline"/>
                    <w:rPr>
                      <w:rFonts w:ascii="Calibri" w:hAnsi="Calibri" w:cs="Calibri"/>
                      <w:sz w:val="22"/>
                      <w:szCs w:val="22"/>
                      <w:lang w:val="nl-NL"/>
                    </w:rPr>
                  </w:pPr>
                  <w:r w:rsidRPr="00B43F35">
                    <w:rPr>
                      <w:rFonts w:ascii="Calibri" w:hAnsi="Calibri" w:cs="Calibri"/>
                      <w:sz w:val="22"/>
                      <w:szCs w:val="22"/>
                      <w:lang w:val="nl-NL"/>
                    </w:rPr>
                    <w:t>‘25</w:t>
                  </w:r>
                </w:p>
              </w:tc>
              <w:tc>
                <w:tcPr>
                  <w:tcW w:w="540" w:type="dxa"/>
                </w:tcPr>
                <w:p w:rsidRPr="00B43F35" w:rsidR="00A4538A" w:rsidP="00D84090" w:rsidRDefault="00A4538A" w14:paraId="0BBD396B" w14:textId="77777777">
                  <w:pPr>
                    <w:ind w:left="-78"/>
                    <w:textAlignment w:val="baseline"/>
                    <w:rPr>
                      <w:rFonts w:ascii="Calibri" w:hAnsi="Calibri" w:cs="Calibri"/>
                      <w:sz w:val="22"/>
                      <w:szCs w:val="22"/>
                      <w:lang w:val="nl-NL"/>
                    </w:rPr>
                  </w:pPr>
                  <w:r w:rsidRPr="00B43F35">
                    <w:rPr>
                      <w:rFonts w:ascii="Calibri" w:hAnsi="Calibri" w:cs="Calibri"/>
                      <w:sz w:val="22"/>
                      <w:szCs w:val="22"/>
                      <w:lang w:val="nl-NL"/>
                    </w:rPr>
                    <w:t>‘26</w:t>
                  </w:r>
                </w:p>
              </w:tc>
              <w:tc>
                <w:tcPr>
                  <w:tcW w:w="600" w:type="dxa"/>
                </w:tcPr>
                <w:p w:rsidRPr="00B43F35" w:rsidR="00A4538A" w:rsidP="00D84090" w:rsidRDefault="00A4538A" w14:paraId="75507AA3" w14:textId="77777777">
                  <w:pPr>
                    <w:textAlignment w:val="baseline"/>
                    <w:rPr>
                      <w:rFonts w:ascii="Calibri" w:hAnsi="Calibri" w:cs="Calibri"/>
                      <w:sz w:val="22"/>
                      <w:szCs w:val="22"/>
                      <w:lang w:val="nl-NL"/>
                    </w:rPr>
                  </w:pPr>
                  <w:r w:rsidRPr="00B43F35">
                    <w:rPr>
                      <w:rFonts w:ascii="Calibri" w:hAnsi="Calibri" w:cs="Calibri"/>
                      <w:sz w:val="22"/>
                      <w:szCs w:val="22"/>
                      <w:lang w:val="nl-NL"/>
                    </w:rPr>
                    <w:t>‘27</w:t>
                  </w:r>
                </w:p>
              </w:tc>
              <w:tc>
                <w:tcPr>
                  <w:tcW w:w="600" w:type="dxa"/>
                </w:tcPr>
                <w:p w:rsidRPr="00B43F35" w:rsidR="00A4538A" w:rsidP="00D84090" w:rsidRDefault="00A4538A" w14:paraId="2B7DA4F8" w14:textId="77777777">
                  <w:pPr>
                    <w:textAlignment w:val="baseline"/>
                    <w:rPr>
                      <w:rFonts w:ascii="Calibri" w:hAnsi="Calibri" w:cs="Calibri"/>
                      <w:sz w:val="22"/>
                      <w:szCs w:val="22"/>
                      <w:lang w:val="nl-NL"/>
                    </w:rPr>
                  </w:pPr>
                  <w:r w:rsidRPr="00B43F35">
                    <w:rPr>
                      <w:rFonts w:ascii="Calibri" w:hAnsi="Calibri" w:cs="Calibri"/>
                      <w:sz w:val="22"/>
                      <w:szCs w:val="22"/>
                      <w:lang w:val="nl-NL"/>
                    </w:rPr>
                    <w:t>‘28</w:t>
                  </w:r>
                </w:p>
              </w:tc>
              <w:tc>
                <w:tcPr>
                  <w:tcW w:w="600" w:type="dxa"/>
                </w:tcPr>
                <w:p w:rsidRPr="00B43F35" w:rsidR="00A4538A" w:rsidP="00D84090" w:rsidRDefault="00A4538A" w14:paraId="0E2E8B59" w14:textId="77777777">
                  <w:pPr>
                    <w:textAlignment w:val="baseline"/>
                    <w:rPr>
                      <w:rFonts w:ascii="Calibri" w:hAnsi="Calibri" w:cs="Calibri"/>
                      <w:sz w:val="22"/>
                      <w:szCs w:val="22"/>
                      <w:lang w:val="nl-NL"/>
                    </w:rPr>
                  </w:pPr>
                  <w:r w:rsidRPr="00B43F35">
                    <w:rPr>
                      <w:rFonts w:ascii="Calibri" w:hAnsi="Calibri" w:cs="Calibri"/>
                      <w:sz w:val="22"/>
                      <w:szCs w:val="22"/>
                      <w:lang w:val="nl-NL"/>
                    </w:rPr>
                    <w:t>‘29</w:t>
                  </w:r>
                </w:p>
              </w:tc>
              <w:tc>
                <w:tcPr>
                  <w:tcW w:w="600" w:type="dxa"/>
                </w:tcPr>
                <w:p w:rsidRPr="00B43F35" w:rsidR="00A4538A" w:rsidP="00D84090" w:rsidRDefault="00A4538A" w14:paraId="2AA49339" w14:textId="77777777">
                  <w:pPr>
                    <w:textAlignment w:val="baseline"/>
                    <w:rPr>
                      <w:rFonts w:ascii="Calibri" w:hAnsi="Calibri" w:cs="Calibri"/>
                      <w:sz w:val="22"/>
                      <w:szCs w:val="22"/>
                      <w:lang w:val="nl-NL"/>
                    </w:rPr>
                  </w:pPr>
                  <w:r w:rsidRPr="00B43F35">
                    <w:rPr>
                      <w:rFonts w:ascii="Calibri" w:hAnsi="Calibri" w:cs="Calibri"/>
                      <w:sz w:val="22"/>
                      <w:szCs w:val="22"/>
                      <w:lang w:val="nl-NL"/>
                    </w:rPr>
                    <w:t>‘30</w:t>
                  </w:r>
                </w:p>
              </w:tc>
            </w:tr>
            <w:tr w:rsidRPr="00B43F35" w:rsidR="00A4538A" w:rsidTr="00D84090" w14:paraId="1591BE7C" w14:textId="77777777">
              <w:trPr>
                <w:trHeight w:val="507"/>
              </w:trPr>
              <w:tc>
                <w:tcPr>
                  <w:tcW w:w="1511" w:type="dxa"/>
                </w:tcPr>
                <w:p w:rsidRPr="00B43F35" w:rsidR="00A4538A" w:rsidP="00D84090" w:rsidRDefault="00A4538A" w14:paraId="47B14934" w14:textId="77777777">
                  <w:pPr>
                    <w:textAlignment w:val="baseline"/>
                    <w:rPr>
                      <w:rFonts w:ascii="Calibri" w:hAnsi="Calibri" w:cs="Calibri"/>
                      <w:sz w:val="22"/>
                      <w:szCs w:val="22"/>
                      <w:lang w:val="nl-NL"/>
                    </w:rPr>
                  </w:pPr>
                  <w:r w:rsidRPr="00B43F35">
                    <w:rPr>
                      <w:rFonts w:ascii="Calibri" w:hAnsi="Calibri" w:cs="Calibri"/>
                      <w:sz w:val="22"/>
                      <w:szCs w:val="22"/>
                      <w:lang w:val="nl-NL"/>
                    </w:rPr>
                    <w:t>Garantie (verplichtingen)</w:t>
                  </w:r>
                </w:p>
              </w:tc>
              <w:tc>
                <w:tcPr>
                  <w:tcW w:w="890" w:type="dxa"/>
                </w:tcPr>
                <w:p w:rsidRPr="00B43F35" w:rsidR="00A4538A" w:rsidP="00D84090" w:rsidRDefault="00A4538A" w14:paraId="77522BD3" w14:textId="77777777">
                  <w:pPr>
                    <w:textAlignment w:val="baseline"/>
                    <w:rPr>
                      <w:rFonts w:ascii="Calibri" w:hAnsi="Calibri" w:cs="Calibri"/>
                      <w:sz w:val="22"/>
                      <w:szCs w:val="22"/>
                      <w:lang w:val="nl-NL"/>
                    </w:rPr>
                  </w:pPr>
                  <w:r w:rsidRPr="00B43F35">
                    <w:rPr>
                      <w:rFonts w:ascii="Calibri" w:hAnsi="Calibri" w:cs="Calibri"/>
                      <w:sz w:val="22"/>
                      <w:szCs w:val="22"/>
                      <w:lang w:val="nl-NL"/>
                    </w:rPr>
                    <w:t>70</w:t>
                  </w:r>
                </w:p>
              </w:tc>
              <w:tc>
                <w:tcPr>
                  <w:tcW w:w="600" w:type="dxa"/>
                </w:tcPr>
                <w:p w:rsidRPr="00B43F35" w:rsidR="00A4538A" w:rsidP="00D84090" w:rsidRDefault="00A4538A" w14:paraId="266838FC" w14:textId="77777777">
                  <w:pPr>
                    <w:textAlignment w:val="baseline"/>
                    <w:rPr>
                      <w:rFonts w:ascii="Calibri" w:hAnsi="Calibri" w:cs="Calibri"/>
                      <w:sz w:val="22"/>
                      <w:szCs w:val="22"/>
                      <w:lang w:val="nl-NL"/>
                    </w:rPr>
                  </w:pPr>
                  <w:r w:rsidRPr="00B43F35">
                    <w:rPr>
                      <w:rFonts w:ascii="Calibri" w:hAnsi="Calibri" w:cs="Calibri"/>
                      <w:sz w:val="22"/>
                      <w:szCs w:val="22"/>
                      <w:lang w:val="nl-NL"/>
                    </w:rPr>
                    <w:t>70</w:t>
                  </w:r>
                </w:p>
              </w:tc>
              <w:tc>
                <w:tcPr>
                  <w:tcW w:w="540" w:type="dxa"/>
                </w:tcPr>
                <w:p w:rsidRPr="00B43F35" w:rsidR="00A4538A" w:rsidP="00D84090" w:rsidRDefault="00A4538A" w14:paraId="075EF4CA" w14:textId="77777777">
                  <w:pPr>
                    <w:textAlignment w:val="baseline"/>
                    <w:rPr>
                      <w:rFonts w:ascii="Calibri" w:hAnsi="Calibri" w:cs="Calibri"/>
                      <w:sz w:val="22"/>
                      <w:szCs w:val="22"/>
                      <w:lang w:val="nl-NL"/>
                    </w:rPr>
                  </w:pPr>
                  <w:r w:rsidRPr="00B43F35">
                    <w:rPr>
                      <w:rFonts w:ascii="Calibri" w:hAnsi="Calibri" w:cs="Calibri"/>
                      <w:sz w:val="22"/>
                      <w:szCs w:val="22"/>
                      <w:lang w:val="nl-NL"/>
                    </w:rPr>
                    <w:t>-</w:t>
                  </w:r>
                </w:p>
              </w:tc>
              <w:tc>
                <w:tcPr>
                  <w:tcW w:w="600" w:type="dxa"/>
                </w:tcPr>
                <w:p w:rsidRPr="00B43F35" w:rsidR="00A4538A" w:rsidP="00D84090" w:rsidRDefault="00A4538A" w14:paraId="60E1A9AB" w14:textId="77777777">
                  <w:pPr>
                    <w:textAlignment w:val="baseline"/>
                    <w:rPr>
                      <w:rFonts w:ascii="Calibri" w:hAnsi="Calibri" w:cs="Calibri"/>
                      <w:sz w:val="22"/>
                      <w:szCs w:val="22"/>
                      <w:lang w:val="nl-NL"/>
                    </w:rPr>
                  </w:pPr>
                  <w:r w:rsidRPr="00B43F35">
                    <w:rPr>
                      <w:rFonts w:ascii="Calibri" w:hAnsi="Calibri" w:cs="Calibri"/>
                      <w:sz w:val="22"/>
                      <w:szCs w:val="22"/>
                      <w:lang w:val="nl-NL"/>
                    </w:rPr>
                    <w:t>-</w:t>
                  </w:r>
                </w:p>
              </w:tc>
              <w:tc>
                <w:tcPr>
                  <w:tcW w:w="600" w:type="dxa"/>
                </w:tcPr>
                <w:p w:rsidRPr="00B43F35" w:rsidR="00A4538A" w:rsidP="00D84090" w:rsidRDefault="00A4538A" w14:paraId="4C36FF7B" w14:textId="77777777">
                  <w:pPr>
                    <w:textAlignment w:val="baseline"/>
                    <w:rPr>
                      <w:rFonts w:ascii="Calibri" w:hAnsi="Calibri" w:cs="Calibri"/>
                      <w:sz w:val="22"/>
                      <w:szCs w:val="22"/>
                      <w:lang w:val="nl-NL"/>
                    </w:rPr>
                  </w:pPr>
                  <w:r w:rsidRPr="00B43F35">
                    <w:rPr>
                      <w:rFonts w:ascii="Calibri" w:hAnsi="Calibri" w:cs="Calibri"/>
                      <w:sz w:val="22"/>
                      <w:szCs w:val="22"/>
                      <w:lang w:val="nl-NL"/>
                    </w:rPr>
                    <w:t>-</w:t>
                  </w:r>
                </w:p>
              </w:tc>
              <w:tc>
                <w:tcPr>
                  <w:tcW w:w="600" w:type="dxa"/>
                </w:tcPr>
                <w:p w:rsidRPr="00B43F35" w:rsidR="00A4538A" w:rsidP="00D84090" w:rsidRDefault="00A4538A" w14:paraId="74F3DCE9" w14:textId="77777777">
                  <w:pPr>
                    <w:textAlignment w:val="baseline"/>
                    <w:rPr>
                      <w:rFonts w:ascii="Calibri" w:hAnsi="Calibri" w:cs="Calibri"/>
                      <w:sz w:val="22"/>
                      <w:szCs w:val="22"/>
                      <w:lang w:val="nl-NL"/>
                    </w:rPr>
                  </w:pPr>
                  <w:r w:rsidRPr="00B43F35">
                    <w:rPr>
                      <w:rFonts w:ascii="Calibri" w:hAnsi="Calibri" w:cs="Calibri"/>
                      <w:sz w:val="22"/>
                      <w:szCs w:val="22"/>
                      <w:lang w:val="nl-NL"/>
                    </w:rPr>
                    <w:t>-</w:t>
                  </w:r>
                </w:p>
              </w:tc>
              <w:tc>
                <w:tcPr>
                  <w:tcW w:w="600" w:type="dxa"/>
                </w:tcPr>
                <w:p w:rsidRPr="00B43F35" w:rsidR="00A4538A" w:rsidP="00D84090" w:rsidRDefault="00A4538A" w14:paraId="4A6EBE92" w14:textId="77777777">
                  <w:pPr>
                    <w:textAlignment w:val="baseline"/>
                    <w:rPr>
                      <w:rFonts w:ascii="Calibri" w:hAnsi="Calibri" w:cs="Calibri"/>
                      <w:sz w:val="22"/>
                      <w:szCs w:val="22"/>
                      <w:lang w:val="nl-NL"/>
                    </w:rPr>
                  </w:pPr>
                  <w:r w:rsidRPr="00B43F35">
                    <w:rPr>
                      <w:rFonts w:ascii="Calibri" w:hAnsi="Calibri" w:cs="Calibri"/>
                      <w:sz w:val="22"/>
                      <w:szCs w:val="22"/>
                      <w:lang w:val="nl-NL"/>
                    </w:rPr>
                    <w:t>-</w:t>
                  </w:r>
                </w:p>
              </w:tc>
            </w:tr>
            <w:tr w:rsidRPr="00B43F35" w:rsidR="00A4538A" w:rsidTr="00D84090" w14:paraId="50C08B53" w14:textId="77777777">
              <w:trPr>
                <w:trHeight w:val="507"/>
              </w:trPr>
              <w:tc>
                <w:tcPr>
                  <w:tcW w:w="1511" w:type="dxa"/>
                </w:tcPr>
                <w:p w:rsidRPr="00B43F35" w:rsidR="00A4538A" w:rsidP="00D84090" w:rsidRDefault="00A4538A" w14:paraId="13454D8D" w14:textId="77777777">
                  <w:pPr>
                    <w:textAlignment w:val="baseline"/>
                    <w:rPr>
                      <w:rFonts w:ascii="Calibri" w:hAnsi="Calibri" w:cs="Calibri"/>
                      <w:sz w:val="22"/>
                      <w:szCs w:val="22"/>
                      <w:lang w:val="nl-NL"/>
                    </w:rPr>
                  </w:pPr>
                  <w:r w:rsidRPr="00B43F35">
                    <w:rPr>
                      <w:rFonts w:ascii="Calibri" w:hAnsi="Calibri" w:cs="Calibri"/>
                      <w:sz w:val="22"/>
                      <w:szCs w:val="22"/>
                      <w:lang w:val="nl-NL"/>
                    </w:rPr>
                    <w:t>Storting in risicovoorziening</w:t>
                  </w:r>
                </w:p>
              </w:tc>
              <w:tc>
                <w:tcPr>
                  <w:tcW w:w="890" w:type="dxa"/>
                </w:tcPr>
                <w:p w:rsidRPr="00B43F35" w:rsidR="00A4538A" w:rsidP="00D84090" w:rsidRDefault="00A4538A" w14:paraId="64BCDE08" w14:textId="77777777">
                  <w:pPr>
                    <w:textAlignment w:val="baseline"/>
                    <w:rPr>
                      <w:rFonts w:ascii="Calibri" w:hAnsi="Calibri" w:cs="Calibri"/>
                      <w:sz w:val="22"/>
                      <w:szCs w:val="22"/>
                      <w:lang w:val="nl-NL"/>
                    </w:rPr>
                  </w:pPr>
                  <w:r w:rsidRPr="00B43F35">
                    <w:rPr>
                      <w:rFonts w:ascii="Calibri" w:hAnsi="Calibri" w:cs="Calibri"/>
                      <w:sz w:val="22"/>
                      <w:szCs w:val="22"/>
                      <w:lang w:val="nl-NL"/>
                    </w:rPr>
                    <w:t>30</w:t>
                  </w:r>
                </w:p>
              </w:tc>
              <w:tc>
                <w:tcPr>
                  <w:tcW w:w="600" w:type="dxa"/>
                </w:tcPr>
                <w:p w:rsidRPr="00B43F35" w:rsidR="00A4538A" w:rsidP="00D84090" w:rsidRDefault="00A4538A" w14:paraId="3C9EC182" w14:textId="77777777">
                  <w:pPr>
                    <w:textAlignment w:val="baseline"/>
                    <w:rPr>
                      <w:rFonts w:ascii="Calibri" w:hAnsi="Calibri" w:cs="Calibri"/>
                      <w:sz w:val="22"/>
                      <w:szCs w:val="22"/>
                      <w:lang w:val="nl-NL"/>
                    </w:rPr>
                  </w:pPr>
                  <w:r w:rsidRPr="00B43F35">
                    <w:rPr>
                      <w:rFonts w:ascii="Calibri" w:hAnsi="Calibri" w:cs="Calibri"/>
                      <w:sz w:val="22"/>
                      <w:szCs w:val="22"/>
                      <w:lang w:val="nl-NL"/>
                    </w:rPr>
                    <w:t>30</w:t>
                  </w:r>
                </w:p>
              </w:tc>
              <w:tc>
                <w:tcPr>
                  <w:tcW w:w="540" w:type="dxa"/>
                </w:tcPr>
                <w:p w:rsidRPr="00B43F35" w:rsidR="00A4538A" w:rsidP="00D84090" w:rsidRDefault="00A4538A" w14:paraId="31726195" w14:textId="77777777">
                  <w:pPr>
                    <w:textAlignment w:val="baseline"/>
                    <w:rPr>
                      <w:rFonts w:ascii="Calibri" w:hAnsi="Calibri" w:cs="Calibri"/>
                      <w:sz w:val="22"/>
                      <w:szCs w:val="22"/>
                      <w:lang w:val="nl-NL"/>
                    </w:rPr>
                  </w:pPr>
                </w:p>
              </w:tc>
              <w:tc>
                <w:tcPr>
                  <w:tcW w:w="600" w:type="dxa"/>
                </w:tcPr>
                <w:p w:rsidRPr="00B43F35" w:rsidR="00A4538A" w:rsidP="00D84090" w:rsidRDefault="00A4538A" w14:paraId="0C16644E" w14:textId="77777777">
                  <w:pPr>
                    <w:textAlignment w:val="baseline"/>
                    <w:rPr>
                      <w:rFonts w:ascii="Calibri" w:hAnsi="Calibri" w:cs="Calibri"/>
                      <w:sz w:val="22"/>
                      <w:szCs w:val="22"/>
                      <w:lang w:val="nl-NL"/>
                    </w:rPr>
                  </w:pPr>
                </w:p>
              </w:tc>
              <w:tc>
                <w:tcPr>
                  <w:tcW w:w="600" w:type="dxa"/>
                </w:tcPr>
                <w:p w:rsidRPr="00B43F35" w:rsidR="00A4538A" w:rsidP="00D84090" w:rsidRDefault="00A4538A" w14:paraId="5212A946" w14:textId="77777777">
                  <w:pPr>
                    <w:textAlignment w:val="baseline"/>
                    <w:rPr>
                      <w:rFonts w:ascii="Calibri" w:hAnsi="Calibri" w:cs="Calibri"/>
                      <w:sz w:val="22"/>
                      <w:szCs w:val="22"/>
                      <w:lang w:val="nl-NL"/>
                    </w:rPr>
                  </w:pPr>
                </w:p>
              </w:tc>
              <w:tc>
                <w:tcPr>
                  <w:tcW w:w="600" w:type="dxa"/>
                </w:tcPr>
                <w:p w:rsidRPr="00B43F35" w:rsidR="00A4538A" w:rsidP="00D84090" w:rsidRDefault="00A4538A" w14:paraId="30F4D153" w14:textId="77777777">
                  <w:pPr>
                    <w:textAlignment w:val="baseline"/>
                    <w:rPr>
                      <w:rFonts w:ascii="Calibri" w:hAnsi="Calibri" w:cs="Calibri"/>
                      <w:sz w:val="22"/>
                      <w:szCs w:val="22"/>
                      <w:lang w:val="nl-NL"/>
                    </w:rPr>
                  </w:pPr>
                </w:p>
              </w:tc>
              <w:tc>
                <w:tcPr>
                  <w:tcW w:w="600" w:type="dxa"/>
                </w:tcPr>
                <w:p w:rsidRPr="00B43F35" w:rsidR="00A4538A" w:rsidP="00D84090" w:rsidRDefault="00A4538A" w14:paraId="3B0F3066" w14:textId="77777777">
                  <w:pPr>
                    <w:textAlignment w:val="baseline"/>
                    <w:rPr>
                      <w:rFonts w:ascii="Calibri" w:hAnsi="Calibri" w:cs="Calibri"/>
                      <w:sz w:val="22"/>
                      <w:szCs w:val="22"/>
                      <w:lang w:val="nl-NL"/>
                    </w:rPr>
                  </w:pPr>
                </w:p>
              </w:tc>
            </w:tr>
          </w:tbl>
          <w:p w:rsidRPr="00B43F35" w:rsidR="00A4538A" w:rsidP="00D84090" w:rsidRDefault="00A4538A" w14:paraId="05ADD9EE" w14:textId="77777777">
            <w:pPr>
              <w:pStyle w:val="Geenafstand"/>
              <w:spacing w:line="240" w:lineRule="atLeast"/>
              <w:rPr>
                <w:rFonts w:ascii="Calibri" w:hAnsi="Calibri" w:cs="Calibri"/>
                <w:sz w:val="22"/>
                <w:szCs w:val="22"/>
                <w:lang w:val="nl-NL"/>
              </w:rPr>
            </w:pPr>
          </w:p>
          <w:p w:rsidRPr="00B43F35" w:rsidR="00A4538A" w:rsidP="00D84090" w:rsidRDefault="00A4538A" w14:paraId="798E2CB7" w14:textId="77777777">
            <w:pPr>
              <w:pStyle w:val="Geenafstand"/>
              <w:spacing w:line="240" w:lineRule="atLeast"/>
              <w:rPr>
                <w:rFonts w:ascii="Calibri" w:hAnsi="Calibri" w:cs="Calibri"/>
                <w:sz w:val="22"/>
                <w:szCs w:val="22"/>
                <w:lang w:val="nl-NL"/>
              </w:rPr>
            </w:pPr>
            <w:r w:rsidRPr="00B43F35">
              <w:rPr>
                <w:rFonts w:ascii="Calibri" w:hAnsi="Calibri" w:cs="Calibri"/>
                <w:sz w:val="22"/>
                <w:szCs w:val="22"/>
                <w:lang w:val="nl-NL"/>
              </w:rPr>
              <w:t>Omdat dit een garantie betreft zijn er op dit moment nog geen kasuitgaven. De dekking komt uit bestaande middelen op de DEF (€ 6 mln.) en EZ (€ 24 mln.) begrotingen.</w:t>
            </w:r>
          </w:p>
        </w:tc>
      </w:tr>
      <w:tr w:rsidRPr="00B43F35" w:rsidR="00A4538A" w:rsidTr="00D84090" w14:paraId="3925DC80" w14:textId="77777777">
        <w:tc>
          <w:tcPr>
            <w:tcW w:w="2689" w:type="dxa"/>
          </w:tcPr>
          <w:p w:rsidRPr="00B43F35" w:rsidR="00A4538A" w:rsidP="00D84090" w:rsidRDefault="00A4538A" w14:paraId="32516676" w14:textId="77777777">
            <w:pPr>
              <w:pStyle w:val="Geenafstand"/>
              <w:spacing w:line="240" w:lineRule="atLeast"/>
              <w:ind w:left="731" w:hanging="731"/>
              <w:rPr>
                <w:rFonts w:ascii="Calibri" w:hAnsi="Calibri" w:cs="Calibri"/>
                <w:sz w:val="22"/>
                <w:szCs w:val="22"/>
                <w:lang w:val="nl-NL"/>
              </w:rPr>
            </w:pPr>
            <w:r w:rsidRPr="00B43F35">
              <w:rPr>
                <w:rFonts w:ascii="Calibri" w:hAnsi="Calibri" w:cs="Calibri"/>
                <w:sz w:val="22"/>
                <w:szCs w:val="22"/>
                <w:lang w:val="nl-NL"/>
              </w:rPr>
              <w:t xml:space="preserve">3. </w:t>
            </w:r>
          </w:p>
          <w:p w:rsidRPr="00B43F35" w:rsidR="00A4538A" w:rsidP="00D84090" w:rsidRDefault="00A4538A" w14:paraId="77D49953" w14:textId="77777777">
            <w:pPr>
              <w:pStyle w:val="Geenafstand"/>
              <w:spacing w:line="240" w:lineRule="atLeast"/>
              <w:ind w:left="731" w:hanging="731"/>
              <w:rPr>
                <w:rFonts w:ascii="Calibri" w:hAnsi="Calibri" w:cs="Calibri"/>
                <w:sz w:val="22"/>
                <w:szCs w:val="22"/>
                <w:lang w:val="nl-NL"/>
              </w:rPr>
            </w:pPr>
            <w:r w:rsidRPr="00B43F35">
              <w:rPr>
                <w:rFonts w:ascii="Calibri" w:hAnsi="Calibri" w:cs="Calibri"/>
                <w:sz w:val="22"/>
                <w:szCs w:val="22"/>
                <w:lang w:val="nl-NL"/>
              </w:rPr>
              <w:t>B. Financiële</w:t>
            </w:r>
          </w:p>
          <w:p w:rsidRPr="00B43F35" w:rsidR="00A4538A" w:rsidP="00D84090" w:rsidRDefault="00A4538A" w14:paraId="320B0AE7" w14:textId="77777777">
            <w:pPr>
              <w:pStyle w:val="Geenafstand"/>
              <w:spacing w:line="240" w:lineRule="atLeast"/>
              <w:ind w:left="731" w:hanging="731"/>
              <w:rPr>
                <w:rFonts w:ascii="Calibri" w:hAnsi="Calibri" w:cs="Calibri"/>
                <w:sz w:val="22"/>
                <w:szCs w:val="22"/>
                <w:lang w:val="nl-NL"/>
              </w:rPr>
            </w:pPr>
            <w:r w:rsidRPr="00B43F35">
              <w:rPr>
                <w:rFonts w:ascii="Calibri" w:hAnsi="Calibri" w:cs="Calibri"/>
                <w:sz w:val="22"/>
                <w:szCs w:val="22"/>
                <w:lang w:val="nl-NL"/>
              </w:rPr>
              <w:t>gevolgen voor</w:t>
            </w:r>
          </w:p>
          <w:p w:rsidRPr="00B43F35" w:rsidR="00A4538A" w:rsidP="00D84090" w:rsidRDefault="00A4538A" w14:paraId="6CADFC3C" w14:textId="77777777">
            <w:pPr>
              <w:pStyle w:val="Geenafstand"/>
              <w:spacing w:line="240" w:lineRule="atLeast"/>
              <w:ind w:left="731" w:hanging="731"/>
              <w:rPr>
                <w:rFonts w:ascii="Calibri" w:hAnsi="Calibri" w:cs="Calibri"/>
                <w:sz w:val="22"/>
                <w:szCs w:val="22"/>
                <w:lang w:val="nl-NL"/>
              </w:rPr>
            </w:pPr>
            <w:r w:rsidRPr="00B43F35">
              <w:rPr>
                <w:rFonts w:ascii="Calibri" w:hAnsi="Calibri" w:cs="Calibri"/>
                <w:sz w:val="22"/>
                <w:szCs w:val="22"/>
                <w:lang w:val="nl-NL"/>
              </w:rPr>
              <w:t>maatschappelijke</w:t>
            </w:r>
          </w:p>
          <w:p w:rsidRPr="00B43F35" w:rsidR="00A4538A" w:rsidP="00D84090" w:rsidRDefault="00A4538A" w14:paraId="69B26C1A" w14:textId="77777777">
            <w:pPr>
              <w:pStyle w:val="Geenafstand"/>
              <w:spacing w:line="240" w:lineRule="atLeast"/>
              <w:ind w:left="731" w:hanging="731"/>
              <w:rPr>
                <w:rFonts w:ascii="Calibri" w:hAnsi="Calibri" w:cs="Calibri"/>
                <w:sz w:val="22"/>
                <w:szCs w:val="22"/>
                <w:lang w:val="nl-NL"/>
              </w:rPr>
            </w:pPr>
            <w:r w:rsidRPr="00B43F35">
              <w:rPr>
                <w:rFonts w:ascii="Calibri" w:hAnsi="Calibri" w:cs="Calibri"/>
                <w:sz w:val="22"/>
                <w:szCs w:val="22"/>
                <w:lang w:val="nl-NL"/>
              </w:rPr>
              <w:t>sectoren</w:t>
            </w:r>
          </w:p>
        </w:tc>
        <w:tc>
          <w:tcPr>
            <w:tcW w:w="6373" w:type="dxa"/>
          </w:tcPr>
          <w:p w:rsidRPr="00B43F35" w:rsidR="00A4538A" w:rsidP="00D84090" w:rsidRDefault="00A4538A" w14:paraId="7CEA0745" w14:textId="77777777">
            <w:pPr>
              <w:pStyle w:val="Geenafstand"/>
              <w:spacing w:line="240" w:lineRule="atLeast"/>
              <w:rPr>
                <w:rFonts w:ascii="Calibri" w:hAnsi="Calibri" w:cs="Calibri"/>
                <w:sz w:val="22"/>
                <w:szCs w:val="22"/>
              </w:rPr>
            </w:pPr>
            <w:r w:rsidRPr="00B43F35">
              <w:rPr>
                <w:rFonts w:ascii="Calibri" w:hAnsi="Calibri" w:cs="Calibri"/>
                <w:sz w:val="22"/>
                <w:szCs w:val="22"/>
              </w:rPr>
              <w:t>n.v.t.</w:t>
            </w:r>
          </w:p>
        </w:tc>
      </w:tr>
      <w:tr w:rsidRPr="00B43F35" w:rsidR="00A4538A" w:rsidTr="00D84090" w14:paraId="71A964C3" w14:textId="77777777">
        <w:tc>
          <w:tcPr>
            <w:tcW w:w="2689" w:type="dxa"/>
          </w:tcPr>
          <w:p w:rsidRPr="00B43F35" w:rsidR="00A4538A" w:rsidP="00D84090" w:rsidRDefault="00A4538A" w14:paraId="7C88ECD8" w14:textId="77777777">
            <w:pPr>
              <w:pStyle w:val="Geenafstand"/>
              <w:spacing w:line="240" w:lineRule="atLeast"/>
              <w:rPr>
                <w:rFonts w:ascii="Calibri" w:hAnsi="Calibri" w:cs="Calibri"/>
                <w:sz w:val="22"/>
                <w:szCs w:val="22"/>
              </w:rPr>
            </w:pPr>
            <w:r w:rsidRPr="00B43F35">
              <w:rPr>
                <w:rFonts w:ascii="Calibri" w:hAnsi="Calibri" w:cs="Calibri"/>
                <w:sz w:val="22"/>
                <w:szCs w:val="22"/>
              </w:rPr>
              <w:t xml:space="preserve">4. </w:t>
            </w:r>
            <w:proofErr w:type="spellStart"/>
            <w:r w:rsidRPr="00B43F35">
              <w:rPr>
                <w:rFonts w:ascii="Calibri" w:hAnsi="Calibri" w:cs="Calibri"/>
                <w:sz w:val="22"/>
                <w:szCs w:val="22"/>
              </w:rPr>
              <w:t>Nagestreefde</w:t>
            </w:r>
            <w:proofErr w:type="spellEnd"/>
            <w:r w:rsidRPr="00B43F35">
              <w:rPr>
                <w:rFonts w:ascii="Calibri" w:hAnsi="Calibri" w:cs="Calibri"/>
                <w:sz w:val="22"/>
                <w:szCs w:val="22"/>
              </w:rPr>
              <w:t xml:space="preserve"> </w:t>
            </w:r>
            <w:proofErr w:type="spellStart"/>
            <w:r w:rsidRPr="00B43F35">
              <w:rPr>
                <w:rFonts w:ascii="Calibri" w:hAnsi="Calibri" w:cs="Calibri"/>
                <w:sz w:val="22"/>
                <w:szCs w:val="22"/>
              </w:rPr>
              <w:t>doeltreffendheid</w:t>
            </w:r>
            <w:proofErr w:type="spellEnd"/>
          </w:p>
        </w:tc>
        <w:tc>
          <w:tcPr>
            <w:tcW w:w="6373" w:type="dxa"/>
          </w:tcPr>
          <w:p w:rsidRPr="00B43F35" w:rsidR="00A4538A" w:rsidP="00D84090" w:rsidRDefault="00A4538A" w14:paraId="2BF30C36" w14:textId="77777777">
            <w:pPr>
              <w:pStyle w:val="Geenafstand"/>
              <w:spacing w:line="240" w:lineRule="atLeast"/>
              <w:rPr>
                <w:rFonts w:ascii="Calibri" w:hAnsi="Calibri" w:cs="Calibri"/>
                <w:sz w:val="22"/>
                <w:szCs w:val="22"/>
                <w:lang w:val="nl-NL"/>
              </w:rPr>
            </w:pPr>
            <w:r w:rsidRPr="00B43F35">
              <w:rPr>
                <w:rFonts w:ascii="Calibri" w:hAnsi="Calibri" w:cs="Calibri"/>
                <w:sz w:val="22"/>
                <w:szCs w:val="22"/>
                <w:lang w:val="nl-NL"/>
              </w:rPr>
              <w:t xml:space="preserve">Een extern gespecialiseerd adviesbureau heeft vastgesteld dat IHC voldoende rentabiliteits- en continuïteitsperspectief heeft. Middels deze steun wordt de continuïteit van IHC </w:t>
            </w:r>
            <w:r w:rsidRPr="00B43F35">
              <w:rPr>
                <w:rFonts w:ascii="Calibri" w:hAnsi="Calibri" w:cs="Calibri"/>
                <w:sz w:val="22"/>
                <w:szCs w:val="22"/>
                <w:lang w:val="nl-NL"/>
              </w:rPr>
              <w:lastRenderedPageBreak/>
              <w:t>versterkt en heeft het bedrijf een gunstig toekomstig verdienvermogen.</w:t>
            </w:r>
          </w:p>
          <w:p w:rsidRPr="00B43F35" w:rsidR="00A4538A" w:rsidP="00D84090" w:rsidRDefault="00A4538A" w14:paraId="26284345" w14:textId="77777777">
            <w:pPr>
              <w:pStyle w:val="Geenafstand"/>
              <w:spacing w:line="240" w:lineRule="atLeast"/>
              <w:rPr>
                <w:rFonts w:ascii="Calibri" w:hAnsi="Calibri" w:cs="Calibri"/>
                <w:sz w:val="22"/>
                <w:szCs w:val="22"/>
                <w:lang w:val="nl-NL"/>
              </w:rPr>
            </w:pPr>
          </w:p>
        </w:tc>
      </w:tr>
      <w:tr w:rsidRPr="00B43F35" w:rsidR="00A4538A" w:rsidTr="00D84090" w14:paraId="5A1613E7" w14:textId="77777777">
        <w:tc>
          <w:tcPr>
            <w:tcW w:w="2689" w:type="dxa"/>
          </w:tcPr>
          <w:p w:rsidRPr="00B43F35" w:rsidR="00A4538A" w:rsidP="00D84090" w:rsidRDefault="00A4538A" w14:paraId="0A8B7D9C" w14:textId="77777777">
            <w:pPr>
              <w:pStyle w:val="Geenafstand"/>
              <w:spacing w:line="240" w:lineRule="atLeast"/>
              <w:rPr>
                <w:rFonts w:ascii="Calibri" w:hAnsi="Calibri" w:cs="Calibri"/>
                <w:sz w:val="22"/>
                <w:szCs w:val="22"/>
              </w:rPr>
            </w:pPr>
            <w:r w:rsidRPr="00B43F35">
              <w:rPr>
                <w:rFonts w:ascii="Calibri" w:hAnsi="Calibri" w:cs="Calibri"/>
                <w:sz w:val="22"/>
                <w:szCs w:val="22"/>
              </w:rPr>
              <w:lastRenderedPageBreak/>
              <w:t xml:space="preserve">5. </w:t>
            </w:r>
            <w:proofErr w:type="spellStart"/>
            <w:r w:rsidRPr="00B43F35">
              <w:rPr>
                <w:rFonts w:ascii="Calibri" w:hAnsi="Calibri" w:cs="Calibri"/>
                <w:sz w:val="22"/>
                <w:szCs w:val="22"/>
              </w:rPr>
              <w:t>Nagestreefde</w:t>
            </w:r>
            <w:proofErr w:type="spellEnd"/>
            <w:r w:rsidRPr="00B43F35">
              <w:rPr>
                <w:rFonts w:ascii="Calibri" w:hAnsi="Calibri" w:cs="Calibri"/>
                <w:sz w:val="22"/>
                <w:szCs w:val="22"/>
              </w:rPr>
              <w:t xml:space="preserve"> </w:t>
            </w:r>
            <w:proofErr w:type="spellStart"/>
            <w:r w:rsidRPr="00B43F35">
              <w:rPr>
                <w:rFonts w:ascii="Calibri" w:hAnsi="Calibri" w:cs="Calibri"/>
                <w:sz w:val="22"/>
                <w:szCs w:val="22"/>
              </w:rPr>
              <w:t>doelmatigheid</w:t>
            </w:r>
            <w:proofErr w:type="spellEnd"/>
          </w:p>
        </w:tc>
        <w:tc>
          <w:tcPr>
            <w:tcW w:w="6373" w:type="dxa"/>
          </w:tcPr>
          <w:p w:rsidRPr="00B43F35" w:rsidR="00A4538A" w:rsidP="00D84090" w:rsidRDefault="00A4538A" w14:paraId="245E8B63" w14:textId="77777777">
            <w:pPr>
              <w:pStyle w:val="paragraph"/>
              <w:spacing w:line="240" w:lineRule="atLeast"/>
              <w:textAlignment w:val="baseline"/>
              <w:rPr>
                <w:rFonts w:ascii="Calibri" w:hAnsi="Calibri" w:cs="Calibri" w:eastAsiaTheme="minorHAnsi"/>
                <w:sz w:val="22"/>
                <w:szCs w:val="22"/>
                <w:lang w:val="nl-NL" w:eastAsia="en-US"/>
              </w:rPr>
            </w:pPr>
            <w:r w:rsidRPr="00B43F35">
              <w:rPr>
                <w:rFonts w:ascii="Calibri" w:hAnsi="Calibri" w:cs="Calibri" w:eastAsiaTheme="minorHAnsi"/>
                <w:sz w:val="22"/>
                <w:szCs w:val="22"/>
                <w:lang w:val="nl-NL" w:eastAsia="en-US"/>
              </w:rPr>
              <w:t>Een maatwerkgarantie was de preferente keuze boven een directe lening of subsidie. Middels deze vorm gaat de Staat niet zelf middelen verstrekken en staat de Staat voor 50% garant voor de middelen die een 3e partij aan IHC voorziet.</w:t>
            </w:r>
          </w:p>
        </w:tc>
      </w:tr>
      <w:tr w:rsidRPr="00B43F35" w:rsidR="00A4538A" w:rsidTr="00D84090" w14:paraId="08F29CD6" w14:textId="77777777">
        <w:tc>
          <w:tcPr>
            <w:tcW w:w="2689" w:type="dxa"/>
          </w:tcPr>
          <w:p w:rsidRPr="00B43F35" w:rsidR="00A4538A" w:rsidP="00D84090" w:rsidRDefault="00A4538A" w14:paraId="1C0674F0" w14:textId="77777777">
            <w:pPr>
              <w:pStyle w:val="Geenafstand"/>
              <w:spacing w:line="240" w:lineRule="atLeast"/>
              <w:rPr>
                <w:rFonts w:ascii="Calibri" w:hAnsi="Calibri" w:cs="Calibri"/>
                <w:sz w:val="22"/>
                <w:szCs w:val="22"/>
              </w:rPr>
            </w:pPr>
            <w:r w:rsidRPr="00B43F35">
              <w:rPr>
                <w:rFonts w:ascii="Calibri" w:hAnsi="Calibri" w:cs="Calibri"/>
                <w:sz w:val="22"/>
                <w:szCs w:val="22"/>
              </w:rPr>
              <w:t xml:space="preserve">6. </w:t>
            </w:r>
            <w:proofErr w:type="spellStart"/>
            <w:r w:rsidRPr="00B43F35">
              <w:rPr>
                <w:rFonts w:ascii="Calibri" w:hAnsi="Calibri" w:cs="Calibri"/>
                <w:sz w:val="22"/>
                <w:szCs w:val="22"/>
              </w:rPr>
              <w:t>Evaluatieparagraaf</w:t>
            </w:r>
            <w:proofErr w:type="spellEnd"/>
            <w:r w:rsidRPr="00B43F35">
              <w:rPr>
                <w:rFonts w:ascii="Calibri" w:hAnsi="Calibri" w:cs="Calibri"/>
                <w:sz w:val="22"/>
                <w:szCs w:val="22"/>
              </w:rPr>
              <w:t xml:space="preserve"> </w:t>
            </w:r>
          </w:p>
        </w:tc>
        <w:tc>
          <w:tcPr>
            <w:tcW w:w="6373" w:type="dxa"/>
          </w:tcPr>
          <w:p w:rsidRPr="00B43F35" w:rsidR="00A4538A" w:rsidP="00D84090" w:rsidRDefault="00A4538A" w14:paraId="3EC0E3DE" w14:textId="77777777">
            <w:pPr>
              <w:pStyle w:val="Geenafstand"/>
              <w:spacing w:line="240" w:lineRule="atLeast"/>
              <w:rPr>
                <w:rFonts w:ascii="Calibri" w:hAnsi="Calibri" w:cs="Calibri"/>
                <w:sz w:val="22"/>
                <w:szCs w:val="22"/>
                <w:lang w:val="nl-NL"/>
              </w:rPr>
            </w:pPr>
            <w:r w:rsidRPr="00B43F35">
              <w:rPr>
                <w:rFonts w:ascii="Calibri" w:hAnsi="Calibri" w:cs="Calibri"/>
                <w:sz w:val="22"/>
                <w:szCs w:val="22"/>
                <w:lang w:val="nl-NL"/>
              </w:rPr>
              <w:t xml:space="preserve">Na afloop van de garantieregeling zal deze worden geëvalueerd. </w:t>
            </w:r>
          </w:p>
        </w:tc>
      </w:tr>
    </w:tbl>
    <w:p w:rsidRPr="00B43F35" w:rsidR="00A4538A" w:rsidP="00A4538A" w:rsidRDefault="00A4538A" w14:paraId="5E776168" w14:textId="77777777">
      <w:pPr>
        <w:rPr>
          <w:rFonts w:ascii="Calibri" w:hAnsi="Calibri" w:cs="Calibri"/>
          <w:bCs/>
          <w:i/>
          <w:iCs/>
        </w:rPr>
      </w:pPr>
      <w:r w:rsidRPr="00B43F35">
        <w:rPr>
          <w:rFonts w:ascii="Calibri" w:hAnsi="Calibri" w:cs="Calibri"/>
        </w:rPr>
        <w:br/>
      </w:r>
      <w:r w:rsidRPr="00B43F35">
        <w:rPr>
          <w:rFonts w:ascii="Calibri" w:hAnsi="Calibri" w:cs="Calibri"/>
          <w:bCs/>
          <w:i/>
          <w:iCs/>
        </w:rPr>
        <w:t>Achtergrond</w:t>
      </w:r>
      <w:r w:rsidRPr="00B43F35">
        <w:rPr>
          <w:rFonts w:ascii="Calibri" w:hAnsi="Calibri" w:cs="Calibri"/>
          <w:i/>
          <w:iCs/>
        </w:rPr>
        <w:br/>
      </w:r>
      <w:r w:rsidRPr="00B43F35">
        <w:rPr>
          <w:rFonts w:ascii="Calibri" w:hAnsi="Calibri" w:cs="Calibri"/>
        </w:rPr>
        <w:t>De Nederlandse maritieme maakindustrie is door haar innovatiekracht, naast het beschermen van onze nationale vitale belangen, van economisch belang voor Nederland.</w:t>
      </w:r>
      <w:r w:rsidRPr="00B43F35">
        <w:rPr>
          <w:rFonts w:ascii="Calibri" w:hAnsi="Calibri" w:cs="Calibri"/>
        </w:rPr>
        <w:br/>
      </w:r>
    </w:p>
    <w:p w:rsidRPr="00B43F35" w:rsidR="00A4538A" w:rsidP="00A4538A" w:rsidRDefault="00A4538A" w14:paraId="24E0BE4E" w14:textId="77777777">
      <w:pPr>
        <w:rPr>
          <w:rFonts w:ascii="Calibri" w:hAnsi="Calibri" w:cs="Calibri"/>
        </w:rPr>
      </w:pPr>
      <w:r w:rsidRPr="00B43F35">
        <w:rPr>
          <w:rFonts w:ascii="Calibri" w:hAnsi="Calibri" w:cs="Calibri"/>
        </w:rPr>
        <w:t>De maritieme sector heeft een toegevoegde waarde van € 75 mld. (7,3 % BNP) en de 24.420 bedrijven verschaffen in totaal 530.914 banen (5,2% van de werkgelegenheid) in Nederland.</w:t>
      </w:r>
      <w:r w:rsidRPr="00B43F35">
        <w:rPr>
          <w:rFonts w:ascii="Calibri" w:hAnsi="Calibri" w:cs="Calibri"/>
          <w:vertAlign w:val="superscript"/>
        </w:rPr>
        <w:footnoteReference w:id="1"/>
      </w:r>
      <w:r w:rsidRPr="00B43F35">
        <w:rPr>
          <w:rFonts w:ascii="Calibri" w:hAnsi="Calibri" w:cs="Calibri"/>
        </w:rPr>
        <w:t xml:space="preserve"> De Nederlandse maritieme maakindustrie (MMI) is onderdeel van de innovatieve en gespecialiseerde maritieme sector en werkt vooral aan complexe, specialistische schepen als eindproduct. Meer dan andere industriële sectoren is deze sector afhankelijk van samenwerking met toeleveranciers, maar óók met de afnemers van de schepen (de maritieme sector werkt als een waardeketen, waarbij het wegvallen van één van de sterk met elkaar verbonden schakels grote impact heeft op de hele keten). Schepen die in Nederland worden (af)gebouwd gaan naar nationale en internationale reders, particulieren en de Koninklijke Marine om vervolgens te worden ingezet in de binnen- en kustvaart, in de natte waterbouw, voor defensie of voor de offshore infrastructuur. </w:t>
      </w:r>
      <w:r w:rsidRPr="00B43F35">
        <w:rPr>
          <w:rFonts w:ascii="Calibri" w:hAnsi="Calibri" w:cs="Calibri"/>
        </w:rPr>
        <w:br/>
      </w:r>
    </w:p>
    <w:p w:rsidRPr="00B43F35" w:rsidR="00A4538A" w:rsidP="00A4538A" w:rsidRDefault="00A4538A" w14:paraId="5CF182E9" w14:textId="77777777">
      <w:pPr>
        <w:rPr>
          <w:rFonts w:ascii="Calibri" w:hAnsi="Calibri" w:cs="Calibri"/>
        </w:rPr>
      </w:pPr>
      <w:r w:rsidRPr="00B43F35">
        <w:rPr>
          <w:rFonts w:ascii="Calibri" w:hAnsi="Calibri" w:cs="Calibri"/>
        </w:rPr>
        <w:t>IHC heeft als bedrijf een belangrijke toegevoegde waarde in de regievoering om partijen binnen het maritieme ecosysteem bij elkaar te brengen teneinde moderne, specialistische, innovatieve schepen te kunnen ontwerpen, bouwen en onderhouden (dat kan voor defensie zijn, bagger, onderhoud windparken, leggen van onderzee kabels, etc.). IHC maakt op grote schaal gebruik van de maritieme toeleverketen in Nederland, waarbij zo’n 50% van de omzet bestaat uit ingekochte producten en diensten, waarvan ongeveer 80% bij Nederlandse toeleveranciers.</w:t>
      </w:r>
      <w:r w:rsidRPr="00B43F35">
        <w:rPr>
          <w:rFonts w:ascii="Calibri" w:hAnsi="Calibri" w:cs="Calibri"/>
          <w:i/>
          <w:iCs/>
        </w:rPr>
        <w:t xml:space="preserve"> </w:t>
      </w:r>
      <w:r w:rsidRPr="00B43F35">
        <w:rPr>
          <w:rFonts w:ascii="Calibri" w:hAnsi="Calibri" w:cs="Calibri"/>
        </w:rPr>
        <w:t>Als deze ketenregisseur wegvalt heeft dit een forse impact op het gehele Nederlandse maritieme ecosysteem zoals op baggeraars als Boskalis en Van Oord die voor bijna hun gehele vloot gebruik maken van door IHC gebouwde schepen.</w:t>
      </w:r>
    </w:p>
    <w:p w:rsidRPr="00B43F35" w:rsidR="00436E5C" w:rsidRDefault="00436E5C" w14:paraId="10A81B36" w14:textId="77777777">
      <w:pPr>
        <w:rPr>
          <w:rFonts w:ascii="Calibri" w:hAnsi="Calibri" w:cs="Calibri"/>
          <w:b/>
          <w:bCs/>
        </w:rPr>
      </w:pPr>
      <w:r w:rsidRPr="00B43F35">
        <w:rPr>
          <w:rFonts w:ascii="Calibri" w:hAnsi="Calibri" w:cs="Calibri"/>
          <w:b/>
          <w:bCs/>
        </w:rPr>
        <w:br w:type="page"/>
      </w:r>
    </w:p>
    <w:p w:rsidRPr="00B43F35" w:rsidR="00A4538A" w:rsidP="00A4538A" w:rsidRDefault="00A4538A" w14:paraId="383816E9" w14:textId="012F5A4E">
      <w:pPr>
        <w:rPr>
          <w:rFonts w:ascii="Calibri" w:hAnsi="Calibri" w:cs="Calibri"/>
        </w:rPr>
      </w:pPr>
      <w:r w:rsidRPr="00B43F35">
        <w:rPr>
          <w:rFonts w:ascii="Calibri" w:hAnsi="Calibri" w:cs="Calibri"/>
          <w:b/>
          <w:bCs/>
        </w:rPr>
        <w:lastRenderedPageBreak/>
        <w:t>Tot slot</w:t>
      </w:r>
    </w:p>
    <w:p w:rsidRPr="00B43F35" w:rsidR="00A4538A" w:rsidP="00A4538A" w:rsidRDefault="00A4538A" w14:paraId="5AD3C28F" w14:textId="77777777">
      <w:pPr>
        <w:rPr>
          <w:rFonts w:ascii="Calibri" w:hAnsi="Calibri" w:cs="Calibri"/>
        </w:rPr>
      </w:pPr>
      <w:r w:rsidRPr="00B43F35">
        <w:rPr>
          <w:rFonts w:ascii="Calibri" w:hAnsi="Calibri" w:cs="Calibri"/>
        </w:rPr>
        <w:t xml:space="preserve">Gelet op het bedrijfsvertrouwelijke karakter van de staatsgarantie zijn wij - indien gewenst - graag bereid om uw Kamer tijdens een vertrouwelijke technische briefing nader te informeren over de voorwaarden waaronder deze garantie wordt verstrekt. </w:t>
      </w:r>
      <w:r w:rsidRPr="00B43F35">
        <w:rPr>
          <w:rFonts w:ascii="Calibri" w:hAnsi="Calibri" w:cs="Calibri"/>
        </w:rPr>
        <w:br/>
      </w:r>
    </w:p>
    <w:p w:rsidRPr="00B43F35" w:rsidR="00A4538A" w:rsidP="00A4538A" w:rsidRDefault="00A4538A" w14:paraId="08DBC098" w14:textId="77777777">
      <w:pPr>
        <w:rPr>
          <w:rFonts w:ascii="Calibri" w:hAnsi="Calibri" w:cs="Calibri"/>
        </w:rPr>
      </w:pPr>
    </w:p>
    <w:p w:rsidRPr="00B43F35" w:rsidR="00A4538A" w:rsidP="00436E5C" w:rsidRDefault="00436E5C" w14:paraId="5C4CF066" w14:textId="7CD7EE9F">
      <w:pPr>
        <w:pStyle w:val="Geenafstand"/>
        <w:rPr>
          <w:rFonts w:ascii="Calibri" w:hAnsi="Calibri" w:cs="Calibri"/>
        </w:rPr>
      </w:pPr>
      <w:r w:rsidRPr="00B43F35">
        <w:rPr>
          <w:rFonts w:ascii="Calibri" w:hAnsi="Calibri" w:cs="Calibri"/>
        </w:rPr>
        <w:t>De m</w:t>
      </w:r>
      <w:r w:rsidRPr="00B43F35" w:rsidR="00A4538A">
        <w:rPr>
          <w:rFonts w:ascii="Calibri" w:hAnsi="Calibri" w:cs="Calibri"/>
        </w:rPr>
        <w:t>inister van Economische Zaken</w:t>
      </w:r>
      <w:r w:rsidRPr="00B43F35">
        <w:rPr>
          <w:rFonts w:ascii="Calibri" w:hAnsi="Calibri" w:cs="Calibri"/>
        </w:rPr>
        <w:t>,</w:t>
      </w:r>
    </w:p>
    <w:p w:rsidRPr="00B43F35" w:rsidR="00436E5C" w:rsidP="00436E5C" w:rsidRDefault="00436E5C" w14:paraId="639F1428" w14:textId="1594B64F">
      <w:pPr>
        <w:pStyle w:val="Geenafstand"/>
        <w:rPr>
          <w:rFonts w:ascii="Calibri" w:hAnsi="Calibri" w:cs="Calibri"/>
        </w:rPr>
      </w:pPr>
      <w:r w:rsidRPr="00B43F35">
        <w:rPr>
          <w:rFonts w:ascii="Calibri" w:hAnsi="Calibri" w:cs="Calibri"/>
        </w:rPr>
        <w:t xml:space="preserve">D.S. </w:t>
      </w:r>
      <w:proofErr w:type="spellStart"/>
      <w:r w:rsidRPr="00B43F35">
        <w:rPr>
          <w:rFonts w:ascii="Calibri" w:hAnsi="Calibri" w:cs="Calibri"/>
        </w:rPr>
        <w:t>Beljaarts</w:t>
      </w:r>
      <w:proofErr w:type="spellEnd"/>
    </w:p>
    <w:p w:rsidRPr="00B43F35" w:rsidR="00436E5C" w:rsidP="00436E5C" w:rsidRDefault="00436E5C" w14:paraId="70C57ED1" w14:textId="77777777">
      <w:pPr>
        <w:pStyle w:val="Geenafstand"/>
        <w:rPr>
          <w:rFonts w:ascii="Calibri" w:hAnsi="Calibri" w:cs="Calibri"/>
        </w:rPr>
      </w:pPr>
    </w:p>
    <w:p w:rsidRPr="00B43F35" w:rsidR="00A4538A" w:rsidP="00436E5C" w:rsidRDefault="00436E5C" w14:paraId="7A070B72" w14:textId="6FBD0F1B">
      <w:pPr>
        <w:pStyle w:val="Geenafstand"/>
        <w:rPr>
          <w:rFonts w:ascii="Calibri" w:hAnsi="Calibri" w:cs="Calibri"/>
        </w:rPr>
      </w:pPr>
      <w:r w:rsidRPr="00B43F35">
        <w:rPr>
          <w:rFonts w:ascii="Calibri" w:hAnsi="Calibri" w:cs="Calibri"/>
        </w:rPr>
        <w:t>De s</w:t>
      </w:r>
      <w:r w:rsidRPr="00B43F35" w:rsidR="00A4538A">
        <w:rPr>
          <w:rFonts w:ascii="Calibri" w:hAnsi="Calibri" w:cs="Calibri"/>
        </w:rPr>
        <w:t>taatssecretaris van Defensie</w:t>
      </w:r>
      <w:r w:rsidRPr="00B43F35">
        <w:rPr>
          <w:rFonts w:ascii="Calibri" w:hAnsi="Calibri" w:cs="Calibri"/>
        </w:rPr>
        <w:t>,</w:t>
      </w:r>
    </w:p>
    <w:p w:rsidRPr="00B43F35" w:rsidR="00FE0FA3" w:rsidP="00436E5C" w:rsidRDefault="00436E5C" w14:paraId="7B4F0075" w14:textId="0B1640B5">
      <w:pPr>
        <w:pStyle w:val="Geenafstand"/>
        <w:rPr>
          <w:rFonts w:ascii="Calibri" w:hAnsi="Calibri" w:cs="Calibri"/>
        </w:rPr>
      </w:pPr>
      <w:r w:rsidRPr="00B43F35">
        <w:rPr>
          <w:rFonts w:ascii="Calibri" w:hAnsi="Calibri" w:cs="Calibri"/>
        </w:rPr>
        <w:t xml:space="preserve">G.P. </w:t>
      </w:r>
      <w:r w:rsidRPr="00B43F35">
        <w:rPr>
          <w:rFonts w:ascii="Calibri" w:hAnsi="Calibri" w:cs="Calibri"/>
        </w:rPr>
        <w:t>Tuinman</w:t>
      </w:r>
      <w:r w:rsidRPr="00B43F35">
        <w:rPr>
          <w:rFonts w:ascii="Calibri" w:hAnsi="Calibri" w:cs="Calibri"/>
        </w:rPr>
        <w:br/>
      </w:r>
    </w:p>
    <w:sectPr w:rsidRPr="00B43F35" w:rsidR="00FE0FA3" w:rsidSect="00316CE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60E4" w14:textId="77777777" w:rsidR="00A4538A" w:rsidRDefault="00A4538A" w:rsidP="00A4538A">
      <w:pPr>
        <w:spacing w:after="0" w:line="240" w:lineRule="auto"/>
      </w:pPr>
      <w:r>
        <w:separator/>
      </w:r>
    </w:p>
  </w:endnote>
  <w:endnote w:type="continuationSeparator" w:id="0">
    <w:p w14:paraId="3D05BBE8" w14:textId="77777777" w:rsidR="00A4538A" w:rsidRDefault="00A4538A" w:rsidP="00A4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3295" w14:textId="77777777" w:rsidR="00A4538A" w:rsidRPr="00A4538A" w:rsidRDefault="00A4538A" w:rsidP="00A453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EEE1" w14:textId="77777777" w:rsidR="00A4538A" w:rsidRPr="00A4538A" w:rsidRDefault="00A4538A" w:rsidP="00A453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76E5" w14:textId="77777777" w:rsidR="00A4538A" w:rsidRPr="00A4538A" w:rsidRDefault="00A4538A" w:rsidP="00A45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139A" w14:textId="77777777" w:rsidR="00A4538A" w:rsidRDefault="00A4538A" w:rsidP="00A4538A">
      <w:pPr>
        <w:spacing w:after="0" w:line="240" w:lineRule="auto"/>
      </w:pPr>
      <w:r>
        <w:separator/>
      </w:r>
    </w:p>
  </w:footnote>
  <w:footnote w:type="continuationSeparator" w:id="0">
    <w:p w14:paraId="16DD0E81" w14:textId="77777777" w:rsidR="00A4538A" w:rsidRDefault="00A4538A" w:rsidP="00A4538A">
      <w:pPr>
        <w:spacing w:after="0" w:line="240" w:lineRule="auto"/>
      </w:pPr>
      <w:r>
        <w:continuationSeparator/>
      </w:r>
    </w:p>
  </w:footnote>
  <w:footnote w:id="1">
    <w:p w14:paraId="4DE6190F" w14:textId="77777777" w:rsidR="00A4538A" w:rsidRPr="00B43F35" w:rsidRDefault="00A4538A" w:rsidP="00A4538A">
      <w:pPr>
        <w:pStyle w:val="Voetnoottekst"/>
        <w:rPr>
          <w:rFonts w:ascii="Calibri" w:hAnsi="Calibri" w:cs="Calibri"/>
          <w:sz w:val="20"/>
        </w:rPr>
      </w:pPr>
      <w:r w:rsidRPr="00B43F35">
        <w:rPr>
          <w:rStyle w:val="Voetnootmarkering"/>
          <w:rFonts w:ascii="Calibri" w:hAnsi="Calibri" w:cs="Calibri"/>
          <w:sz w:val="20"/>
        </w:rPr>
        <w:footnoteRef/>
      </w:r>
      <w:r w:rsidRPr="00B43F35">
        <w:rPr>
          <w:rFonts w:ascii="Calibri" w:hAnsi="Calibri" w:cs="Calibri"/>
          <w:sz w:val="20"/>
        </w:rPr>
        <w:t xml:space="preserve"> Maritieme monitor cijfers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B845" w14:textId="77777777" w:rsidR="00A4538A" w:rsidRPr="00A4538A" w:rsidRDefault="00A4538A" w:rsidP="00A453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8A50" w14:textId="77777777" w:rsidR="00A4538A" w:rsidRPr="00A4538A" w:rsidRDefault="00A4538A" w:rsidP="00A453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CFD1" w14:textId="77777777" w:rsidR="00A4538A" w:rsidRPr="00A4538A" w:rsidRDefault="00A4538A" w:rsidP="00A453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8A"/>
    <w:rsid w:val="00080C9B"/>
    <w:rsid w:val="002E3E61"/>
    <w:rsid w:val="00316CE7"/>
    <w:rsid w:val="00436E5C"/>
    <w:rsid w:val="005F7EC0"/>
    <w:rsid w:val="006F4F02"/>
    <w:rsid w:val="00721D1C"/>
    <w:rsid w:val="00A4538A"/>
    <w:rsid w:val="00B43F35"/>
    <w:rsid w:val="00C2260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4B9D"/>
  <w15:chartTrackingRefBased/>
  <w15:docId w15:val="{22CD9026-9CCD-4F2A-AE62-D62DA908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5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53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53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53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5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5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5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5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5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5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5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5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5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5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5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5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538A"/>
    <w:rPr>
      <w:rFonts w:eastAsiaTheme="majorEastAsia" w:cstheme="majorBidi"/>
      <w:color w:val="272727" w:themeColor="text1" w:themeTint="D8"/>
    </w:rPr>
  </w:style>
  <w:style w:type="paragraph" w:styleId="Titel">
    <w:name w:val="Title"/>
    <w:basedOn w:val="Standaard"/>
    <w:next w:val="Standaard"/>
    <w:link w:val="TitelChar"/>
    <w:uiPriority w:val="10"/>
    <w:qFormat/>
    <w:rsid w:val="00A4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5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5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5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5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538A"/>
    <w:rPr>
      <w:i/>
      <w:iCs/>
      <w:color w:val="404040" w:themeColor="text1" w:themeTint="BF"/>
    </w:rPr>
  </w:style>
  <w:style w:type="paragraph" w:styleId="Lijstalinea">
    <w:name w:val="List Paragraph"/>
    <w:basedOn w:val="Standaard"/>
    <w:uiPriority w:val="34"/>
    <w:qFormat/>
    <w:rsid w:val="00A4538A"/>
    <w:pPr>
      <w:ind w:left="720"/>
      <w:contextualSpacing/>
    </w:pPr>
  </w:style>
  <w:style w:type="character" w:styleId="Intensievebenadrukking">
    <w:name w:val="Intense Emphasis"/>
    <w:basedOn w:val="Standaardalinea-lettertype"/>
    <w:uiPriority w:val="21"/>
    <w:qFormat/>
    <w:rsid w:val="00A4538A"/>
    <w:rPr>
      <w:i/>
      <w:iCs/>
      <w:color w:val="0F4761" w:themeColor="accent1" w:themeShade="BF"/>
    </w:rPr>
  </w:style>
  <w:style w:type="paragraph" w:styleId="Duidelijkcitaat">
    <w:name w:val="Intense Quote"/>
    <w:basedOn w:val="Standaard"/>
    <w:next w:val="Standaard"/>
    <w:link w:val="DuidelijkcitaatChar"/>
    <w:uiPriority w:val="30"/>
    <w:qFormat/>
    <w:rsid w:val="00A45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538A"/>
    <w:rPr>
      <w:i/>
      <w:iCs/>
      <w:color w:val="0F4761" w:themeColor="accent1" w:themeShade="BF"/>
    </w:rPr>
  </w:style>
  <w:style w:type="character" w:styleId="Intensieveverwijzing">
    <w:name w:val="Intense Reference"/>
    <w:basedOn w:val="Standaardalinea-lettertype"/>
    <w:uiPriority w:val="32"/>
    <w:qFormat/>
    <w:rsid w:val="00A4538A"/>
    <w:rPr>
      <w:b/>
      <w:bCs/>
      <w:smallCaps/>
      <w:color w:val="0F4761" w:themeColor="accent1" w:themeShade="BF"/>
      <w:spacing w:val="5"/>
    </w:rPr>
  </w:style>
  <w:style w:type="paragraph" w:styleId="Koptekst">
    <w:name w:val="header"/>
    <w:basedOn w:val="Standaard"/>
    <w:link w:val="KoptekstChar"/>
    <w:rsid w:val="00A453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538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53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538A"/>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A4538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453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4538A"/>
    <w:rPr>
      <w:rFonts w:ascii="Verdana" w:hAnsi="Verdana"/>
      <w:noProof/>
      <w:sz w:val="13"/>
      <w:szCs w:val="24"/>
      <w:lang w:eastAsia="nl-NL"/>
    </w:rPr>
  </w:style>
  <w:style w:type="paragraph" w:customStyle="1" w:styleId="Huisstijl-Gegeven">
    <w:name w:val="Huisstijl-Gegeven"/>
    <w:basedOn w:val="Standaard"/>
    <w:link w:val="Huisstijl-GegevenCharChar"/>
    <w:rsid w:val="00A453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453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4538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4538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4538A"/>
    <w:pPr>
      <w:spacing w:after="0"/>
    </w:pPr>
    <w:rPr>
      <w:b/>
    </w:rPr>
  </w:style>
  <w:style w:type="paragraph" w:customStyle="1" w:styleId="Huisstijl-Paginanummering">
    <w:name w:val="Huisstijl-Paginanummering"/>
    <w:basedOn w:val="Standaard"/>
    <w:rsid w:val="00A4538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4538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4538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4538A"/>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 Exposant 3 Point"/>
    <w:basedOn w:val="Standaardalinea-lettertype"/>
    <w:uiPriority w:val="99"/>
    <w:unhideWhenUsed/>
    <w:rsid w:val="00A4538A"/>
    <w:rPr>
      <w:vertAlign w:val="superscript"/>
    </w:rPr>
  </w:style>
  <w:style w:type="paragraph" w:styleId="Geenafstand">
    <w:name w:val="No Spacing"/>
    <w:uiPriority w:val="1"/>
    <w:qFormat/>
    <w:rsid w:val="00A4538A"/>
    <w:pPr>
      <w:spacing w:after="0" w:line="240" w:lineRule="auto"/>
    </w:pPr>
    <w:rPr>
      <w:kern w:val="0"/>
      <w14:ligatures w14:val="none"/>
    </w:rPr>
  </w:style>
  <w:style w:type="paragraph" w:customStyle="1" w:styleId="paragraph">
    <w:name w:val="paragraph"/>
    <w:basedOn w:val="Standaard"/>
    <w:rsid w:val="00A4538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1585</ap:Words>
  <ap:Characters>8720</ap:Characters>
  <ap:DocSecurity>0</ap:DocSecurity>
  <ap:Lines>72</ap:Lines>
  <ap:Paragraphs>20</ap:Paragraphs>
  <ap:ScaleCrop>false</ap:ScaleCrop>
  <ap:LinksUpToDate>false</ap:LinksUpToDate>
  <ap:CharactersWithSpaces>10285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2025-05-19T11:56:00.0000000Z</dcterms:created>
  <dcterms:modified xsi:type="dcterms:W3CDTF">2025-05-19T11:56:00.0000000Z</dcterms:modified>
  <version/>
  <category/>
</coreProperties>
</file>