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BD6" w:rsidRDefault="006E1E5D" w14:paraId="4E4E292B" w14:textId="77777777">
      <w:r>
        <w:t>Geachte voorzitter,</w:t>
      </w:r>
    </w:p>
    <w:p w:rsidR="009A0BD6" w:rsidRDefault="009A0BD6" w14:paraId="4E4E292C" w14:textId="77777777"/>
    <w:p w:rsidRPr="00CC223A" w:rsidR="00CC223A" w:rsidP="00CC223A" w:rsidRDefault="00CC223A" w14:paraId="43D7CD06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Conform het op 10 juni 2011 per brief gemelde aangescherpte wapenexportbeleid</w:t>
      </w:r>
    </w:p>
    <w:p w:rsidRPr="00CC223A" w:rsidR="00CC223A" w:rsidP="00CC223A" w:rsidRDefault="00CC223A" w14:paraId="0387424A" w14:textId="4B7BF4BD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(Kamerstuk 2010-2011, 22 054, nr. 165) en de motie van het lid El Fassed c.s.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van 22 december 2011 over verlaging van de drempelwaarde voor de versnelde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 xml:space="preserve">parlementaire controle bij specifieke wapenexportaanvragen naar </w:t>
      </w:r>
      <w:r w:rsidR="00284671">
        <w:rPr>
          <w:rFonts w:cs="Times New Roman"/>
          <w:color w:val="auto"/>
        </w:rPr>
        <w:t>EUR</w:t>
      </w:r>
      <w:r w:rsidRPr="00CC223A">
        <w:rPr>
          <w:rFonts w:cs="Times New Roman"/>
          <w:color w:val="auto"/>
        </w:rPr>
        <w:t xml:space="preserve"> 2.000.000,</w:t>
      </w:r>
      <w:r w:rsidR="005749EF">
        <w:rPr>
          <w:rFonts w:cs="Times New Roman"/>
          <w:color w:val="auto"/>
        </w:rPr>
        <w:t>-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(Kamerstuk 2011-2012, 22 054, nr. 181), ontvangt uw Kamer onderstaande</w:t>
      </w:r>
    </w:p>
    <w:p w:rsidRPr="00CC223A" w:rsidR="00CC223A" w:rsidP="00CC223A" w:rsidRDefault="00CC223A" w14:paraId="57F002E1" w14:textId="1DC51C38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 xml:space="preserve">informatie over een door Nederland afgegeven vergunning voor </w:t>
      </w:r>
      <w:r w:rsidR="001E6EAF">
        <w:rPr>
          <w:rFonts w:cs="Times New Roman"/>
          <w:color w:val="auto"/>
        </w:rPr>
        <w:t xml:space="preserve">de </w:t>
      </w:r>
      <w:r w:rsidRPr="00CC223A">
        <w:rPr>
          <w:rFonts w:cs="Times New Roman"/>
          <w:color w:val="auto"/>
        </w:rPr>
        <w:t>uitvoer van militair materieel naar Maleisië.</w:t>
      </w:r>
    </w:p>
    <w:p w:rsidR="00CC223A" w:rsidP="00CC223A" w:rsidRDefault="00CC223A" w14:paraId="67A5BF0B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Pr="00A73253" w:rsidR="00CC223A" w:rsidP="00CC223A" w:rsidRDefault="00CC223A" w14:paraId="1789A1B2" w14:textId="1F2D88E6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A73253">
        <w:rPr>
          <w:rFonts w:cs="Times New Roman"/>
          <w:color w:val="auto"/>
        </w:rPr>
        <w:t>Een Nederlands bedrijf heeft onlangs een exportvergunning verkregen voor de</w:t>
      </w:r>
      <w:r w:rsidR="004E210F">
        <w:rPr>
          <w:rFonts w:cs="Times New Roman"/>
          <w:color w:val="auto"/>
        </w:rPr>
        <w:t xml:space="preserve"> </w:t>
      </w:r>
      <w:r w:rsidRPr="00A73253" w:rsidR="00CF6CBE">
        <w:rPr>
          <w:rFonts w:cs="Times New Roman"/>
          <w:color w:val="auto"/>
        </w:rPr>
        <w:t>u</w:t>
      </w:r>
      <w:r w:rsidRPr="00A73253" w:rsidR="00B52C79">
        <w:rPr>
          <w:rFonts w:cs="Times New Roman"/>
          <w:color w:val="auto"/>
        </w:rPr>
        <w:t>itvoer van een radarsysteem inclusief bijbehorende programmatuur, technologie</w:t>
      </w:r>
      <w:r w:rsidR="004E210F">
        <w:rPr>
          <w:rFonts w:cs="Times New Roman"/>
          <w:color w:val="auto"/>
        </w:rPr>
        <w:t xml:space="preserve"> </w:t>
      </w:r>
      <w:r w:rsidRPr="00A73253" w:rsidR="00B52C79">
        <w:rPr>
          <w:rFonts w:cs="Times New Roman"/>
          <w:color w:val="auto"/>
        </w:rPr>
        <w:t>en technische ondersteuning</w:t>
      </w:r>
      <w:r w:rsidRPr="00A73253" w:rsidR="00CF6CBE">
        <w:rPr>
          <w:rFonts w:cs="Times New Roman"/>
          <w:color w:val="auto"/>
        </w:rPr>
        <w:t xml:space="preserve"> naar Maleisië</w:t>
      </w:r>
      <w:r w:rsidRPr="00A73253" w:rsidR="00B52C79">
        <w:rPr>
          <w:rFonts w:cs="Times New Roman"/>
          <w:color w:val="auto"/>
        </w:rPr>
        <w:t>.</w:t>
      </w:r>
      <w:r w:rsidRPr="00A73253" w:rsidR="00243410">
        <w:rPr>
          <w:rFonts w:cs="Times New Roman"/>
          <w:color w:val="auto"/>
        </w:rPr>
        <w:t xml:space="preserve"> </w:t>
      </w:r>
      <w:r w:rsidRPr="00A73253" w:rsidR="00B52C79">
        <w:rPr>
          <w:rFonts w:cs="Times New Roman"/>
          <w:color w:val="auto"/>
        </w:rPr>
        <w:t xml:space="preserve">De </w:t>
      </w:r>
      <w:r w:rsidRPr="00A73253">
        <w:rPr>
          <w:rFonts w:cs="Times New Roman"/>
          <w:color w:val="auto"/>
        </w:rPr>
        <w:t>eindgebruiker van de</w:t>
      </w:r>
      <w:r w:rsidRPr="00A73253" w:rsidR="00B52C79">
        <w:rPr>
          <w:rFonts w:cs="Times New Roman"/>
          <w:color w:val="auto"/>
        </w:rPr>
        <w:t xml:space="preserve"> </w:t>
      </w:r>
      <w:r w:rsidRPr="00A73253">
        <w:rPr>
          <w:rFonts w:cs="Times New Roman"/>
          <w:color w:val="auto"/>
        </w:rPr>
        <w:t xml:space="preserve">goederen is de marine van Maleisië. De goederen worden geïntegreerd </w:t>
      </w:r>
      <w:r w:rsidRPr="00A55F3C">
        <w:rPr>
          <w:rFonts w:cs="Times New Roman"/>
          <w:color w:val="auto"/>
        </w:rPr>
        <w:t>in</w:t>
      </w:r>
      <w:r w:rsidRPr="00A55F3C" w:rsidR="00B52C79">
        <w:rPr>
          <w:rFonts w:cs="Times New Roman"/>
          <w:color w:val="auto"/>
        </w:rPr>
        <w:t xml:space="preserve"> </w:t>
      </w:r>
      <w:r w:rsidRPr="00A55F3C" w:rsidR="004E210F">
        <w:rPr>
          <w:rFonts w:cs="Times New Roman"/>
          <w:color w:val="auto"/>
        </w:rPr>
        <w:t>een marineschip</w:t>
      </w:r>
      <w:r w:rsidRPr="00A55F3C">
        <w:rPr>
          <w:rFonts w:cs="Times New Roman"/>
          <w:color w:val="auto"/>
        </w:rPr>
        <w:t>.</w:t>
      </w:r>
    </w:p>
    <w:p w:rsidRPr="00CC223A" w:rsidR="00CC223A" w:rsidP="00CC223A" w:rsidRDefault="00CC223A" w14:paraId="04955810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Pr="00CC223A" w:rsidR="00CC223A" w:rsidP="00CC223A" w:rsidRDefault="00CC223A" w14:paraId="5EA94DC8" w14:textId="568A2989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De aanvraag is getoetst aan de acht criteria van het EU Gemeenschappelijk</w:t>
      </w:r>
      <w:r w:rsidR="00B52C79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Standpunt inzake wapenexport.</w:t>
      </w:r>
      <w:r>
        <w:rPr>
          <w:rStyle w:val="FootnoteReference"/>
          <w:rFonts w:cs="Times New Roman"/>
          <w:color w:val="auto"/>
        </w:rPr>
        <w:footnoteReference w:id="1"/>
      </w:r>
      <w:r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Deze toetsing, waarvan de essentie ten aanzien</w:t>
      </w:r>
      <w:r w:rsidR="00B52C79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van het meest relevante criterium hieronder wordt weergegeven, leidde tot het</w:t>
      </w:r>
      <w:r w:rsidR="00B52C79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afgeven van de vergunning op basis van de volgende argumenten:</w:t>
      </w:r>
    </w:p>
    <w:p w:rsidR="00CC223A" w:rsidP="00CC223A" w:rsidRDefault="00CC223A" w14:paraId="5A535E3A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Pr="00CC223A" w:rsidR="00CC223A" w:rsidP="00CC223A" w:rsidRDefault="00CC223A" w14:paraId="2019DC6E" w14:textId="74AA161E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  <w:u w:val="single"/>
        </w:rPr>
      </w:pPr>
      <w:r w:rsidRPr="00CC223A">
        <w:rPr>
          <w:rFonts w:cs="Times New Roman"/>
          <w:color w:val="auto"/>
          <w:u w:val="single"/>
        </w:rPr>
        <w:t>Handhaving regionale stabiliteit (CR4)</w:t>
      </w:r>
    </w:p>
    <w:p w:rsidRPr="00CC223A" w:rsidR="00CC223A" w:rsidP="00CC223A" w:rsidRDefault="00CC223A" w14:paraId="301C9A36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Pr="00CC223A" w:rsidR="00CC223A" w:rsidP="00CC223A" w:rsidRDefault="00CC223A" w14:paraId="1B2A3B95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In de Zuid-Chinese Zee is al geruime tijd sprake van diverse maritieme geschillen,</w:t>
      </w:r>
    </w:p>
    <w:p w:rsidRPr="00CC223A" w:rsidR="00CC223A" w:rsidP="00CC223A" w:rsidRDefault="00CC223A" w14:paraId="3E3C91E1" w14:textId="3C6C8ED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 xml:space="preserve">in het bijzonder over </w:t>
      </w:r>
      <w:r>
        <w:rPr>
          <w:rFonts w:cs="Times New Roman"/>
          <w:color w:val="auto"/>
        </w:rPr>
        <w:t>eilanden</w:t>
      </w:r>
      <w:r w:rsidRPr="00CC223A">
        <w:rPr>
          <w:rFonts w:cs="Times New Roman"/>
          <w:color w:val="auto"/>
        </w:rPr>
        <w:t xml:space="preserve"> in dit gebied. Er zijn overlappende claims in de</w:t>
      </w:r>
    </w:p>
    <w:p w:rsidRPr="00CC223A" w:rsidR="00CC223A" w:rsidP="00CC223A" w:rsidRDefault="00CC223A" w14:paraId="34B53AE8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Zuid-Chinese Zee tussen China, Vietnam, Taiwan, de Filipijnen, Maleisië, en</w:t>
      </w:r>
    </w:p>
    <w:p w:rsidR="00CC223A" w:rsidP="00CC223A" w:rsidRDefault="00CC223A" w14:paraId="48C168CC" w14:textId="5FC0A7C5">
      <w:pPr>
        <w:autoSpaceDE w:val="0"/>
        <w:adjustRightInd w:val="0"/>
        <w:spacing w:line="240" w:lineRule="auto"/>
        <w:textAlignment w:val="auto"/>
        <w:rPr>
          <w:rFonts w:cs="Verdana"/>
        </w:rPr>
      </w:pPr>
      <w:r w:rsidRPr="00CC223A">
        <w:rPr>
          <w:rFonts w:cs="Times New Roman"/>
          <w:color w:val="auto"/>
        </w:rPr>
        <w:t>Brunei. Maleisië claimt delen van de Spratly-eilanden op basis van het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 xml:space="preserve">Zeerechtverdrag en heeft op vijf eilanden militairen gestationeerd. </w:t>
      </w:r>
      <w:r w:rsidR="00391A63">
        <w:rPr>
          <w:rFonts w:cs="Verdana"/>
        </w:rPr>
        <w:t>Ondanks oplopende spanningen is er geen sprake van openlijke vijandigheden of militaire strijd/botsingen met Maleisië.</w:t>
      </w:r>
    </w:p>
    <w:p w:rsidR="00391A63" w:rsidP="00CC223A" w:rsidRDefault="00391A63" w14:paraId="2A19F5C8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Pr="00CC223A" w:rsidR="00CC223A" w:rsidP="00CC223A" w:rsidRDefault="00CC223A" w14:paraId="4C30B872" w14:textId="0A21AB9D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In het algemeen lost Maleisië zijn geschillen met buurlanden op diplomatieke wijze</w:t>
      </w:r>
    </w:p>
    <w:p w:rsidRPr="00CC223A" w:rsidR="00CC223A" w:rsidP="00CC223A" w:rsidRDefault="00CC223A" w14:paraId="0420D3FF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>op en beroept zich hierbij doorgaans op de mechanismen van het internationaal</w:t>
      </w:r>
    </w:p>
    <w:p w:rsidR="004E210F" w:rsidP="004E210F" w:rsidRDefault="00CC223A" w14:paraId="0F41AD1B" w14:textId="77777777">
      <w:pPr>
        <w:autoSpaceDE w:val="0"/>
        <w:adjustRightInd w:val="0"/>
        <w:spacing w:line="240" w:lineRule="auto"/>
        <w:textAlignment w:val="auto"/>
        <w:rPr>
          <w:rFonts w:cs="Verdana"/>
        </w:rPr>
      </w:pPr>
      <w:r w:rsidRPr="00CC223A">
        <w:rPr>
          <w:rFonts w:cs="Times New Roman"/>
          <w:color w:val="auto"/>
        </w:rPr>
        <w:t xml:space="preserve">recht, waaronder het Internationaal Gerechtshof. </w:t>
      </w:r>
      <w:r w:rsidRPr="00902A37" w:rsidR="004E210F">
        <w:rPr>
          <w:rFonts w:cs="Verdana"/>
        </w:rPr>
        <w:t xml:space="preserve">Daardoor is militaire escalatie van de geschillen rond de Spratly-eilanden met een directe rol voor Maleisië vooralsnog niet waarschijnlijk. </w:t>
      </w:r>
    </w:p>
    <w:p w:rsidR="004E210F" w:rsidP="004E210F" w:rsidRDefault="004E210F" w14:paraId="659A9CB4" w14:textId="77777777">
      <w:pPr>
        <w:autoSpaceDE w:val="0"/>
        <w:adjustRightInd w:val="0"/>
        <w:spacing w:line="240" w:lineRule="auto"/>
        <w:textAlignment w:val="auto"/>
        <w:rPr>
          <w:rFonts w:cs="Verdana"/>
        </w:rPr>
      </w:pPr>
    </w:p>
    <w:p w:rsidR="004E210F" w:rsidP="004E210F" w:rsidRDefault="004E210F" w14:paraId="777A928F" w14:textId="6FD50452">
      <w:pPr>
        <w:autoSpaceDE w:val="0"/>
        <w:adjustRightInd w:val="0"/>
        <w:spacing w:line="240" w:lineRule="auto"/>
        <w:textAlignment w:val="auto"/>
        <w:rPr>
          <w:rFonts w:cs="Verdana"/>
        </w:rPr>
      </w:pPr>
      <w:r>
        <w:rPr>
          <w:rFonts w:cs="Verdana"/>
        </w:rPr>
        <w:lastRenderedPageBreak/>
        <w:t xml:space="preserve">In 2025 is Maleisië voorzitter van ASEAN waarmee het land een belangrijke rol vervult in het behouden van de regionale stabiliteit. </w:t>
      </w:r>
      <w:r w:rsidRPr="00902A37">
        <w:rPr>
          <w:rFonts w:cs="Verdana"/>
        </w:rPr>
        <w:t xml:space="preserve">Maleisië heeft </w:t>
      </w:r>
      <w:r>
        <w:rPr>
          <w:rFonts w:cs="Verdana"/>
        </w:rPr>
        <w:t xml:space="preserve">daarnaast </w:t>
      </w:r>
      <w:r w:rsidRPr="00902A37">
        <w:rPr>
          <w:rFonts w:cs="Verdana"/>
        </w:rPr>
        <w:t xml:space="preserve">in </w:t>
      </w:r>
      <w:r>
        <w:rPr>
          <w:rFonts w:cs="Verdana"/>
        </w:rPr>
        <w:t>de</w:t>
      </w:r>
      <w:r w:rsidR="00642E03">
        <w:rPr>
          <w:rFonts w:cs="Verdana"/>
        </w:rPr>
        <w:t xml:space="preserve"> </w:t>
      </w:r>
      <w:r>
        <w:rPr>
          <w:rFonts w:cs="Verdana"/>
        </w:rPr>
        <w:t xml:space="preserve">afgelopen </w:t>
      </w:r>
      <w:r w:rsidRPr="00902A37">
        <w:rPr>
          <w:rFonts w:cs="Verdana"/>
        </w:rPr>
        <w:t>jaren een belangrijke faciliterende rol gespeeld bij het bereiken van een vredes- en autonomieregeling met de Islamitische afscheidingsbeweging op</w:t>
      </w:r>
      <w:r>
        <w:rPr>
          <w:rFonts w:cs="Verdana"/>
        </w:rPr>
        <w:t xml:space="preserve"> </w:t>
      </w:r>
      <w:r w:rsidRPr="00902A37">
        <w:rPr>
          <w:rFonts w:cs="Verdana"/>
        </w:rPr>
        <w:t xml:space="preserve">Mindanao (Filipijnen). </w:t>
      </w:r>
    </w:p>
    <w:p w:rsidR="004E210F" w:rsidP="00CC223A" w:rsidRDefault="004E210F" w14:paraId="2E869DF1" w14:textId="34556ABE">
      <w:pPr>
        <w:rPr>
          <w:rFonts w:cs="Times New Roman"/>
          <w:color w:val="auto"/>
        </w:rPr>
      </w:pPr>
    </w:p>
    <w:p w:rsidR="00CC223A" w:rsidP="00CC223A" w:rsidRDefault="00CC223A" w14:paraId="0DB58930" w14:textId="6390D5C9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 xml:space="preserve">Er is om </w:t>
      </w:r>
      <w:r w:rsidR="004E210F">
        <w:rPr>
          <w:rFonts w:cs="Times New Roman"/>
          <w:color w:val="auto"/>
        </w:rPr>
        <w:t>deze redenen</w:t>
      </w:r>
      <w:r w:rsidRPr="00CC223A">
        <w:rPr>
          <w:rFonts w:cs="Times New Roman"/>
          <w:color w:val="auto"/>
        </w:rPr>
        <w:t xml:space="preserve"> geen duidelijk risico dat de goederen ingezet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zullen worden voor agressie jegens een ander land of het met kracht bijzetten van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territoriale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aanspraken.</w:t>
      </w:r>
      <w:r w:rsidR="00D02A62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 xml:space="preserve">Toetsing aan criterium 4 heeft geleid tot een </w:t>
      </w:r>
      <w:r w:rsidRPr="00CC223A">
        <w:rPr>
          <w:rFonts w:cs="Times New Roman"/>
          <w:b/>
          <w:bCs/>
          <w:color w:val="auto"/>
        </w:rPr>
        <w:t>positief</w:t>
      </w:r>
      <w:r w:rsidR="004E210F"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oordeel.</w:t>
      </w:r>
    </w:p>
    <w:p w:rsidRPr="00CC223A" w:rsidR="00CC223A" w:rsidP="00CC223A" w:rsidRDefault="00CC223A" w14:paraId="179374DB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="00B52C79" w:rsidP="00CC223A" w:rsidRDefault="00CC223A" w14:paraId="76B8F783" w14:textId="6355975E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  <w:r w:rsidRPr="00CC223A">
        <w:rPr>
          <w:rFonts w:cs="Times New Roman"/>
          <w:color w:val="auto"/>
        </w:rPr>
        <w:t xml:space="preserve">Ten aanzien van de overige criteria gelden geen bijzonderheden, deze zijn </w:t>
      </w:r>
      <w:r w:rsidRPr="00CC223A">
        <w:rPr>
          <w:rFonts w:cs="Times New Roman"/>
          <w:b/>
          <w:bCs/>
          <w:color w:val="auto"/>
        </w:rPr>
        <w:t>positief</w:t>
      </w:r>
      <w:r>
        <w:rPr>
          <w:rFonts w:cs="Times New Roman"/>
          <w:color w:val="auto"/>
        </w:rPr>
        <w:t xml:space="preserve"> </w:t>
      </w:r>
      <w:r w:rsidRPr="00CC223A">
        <w:rPr>
          <w:rFonts w:cs="Times New Roman"/>
          <w:color w:val="auto"/>
        </w:rPr>
        <w:t>getoetst.</w:t>
      </w:r>
    </w:p>
    <w:p w:rsidR="00AE07FA" w:rsidP="00CC223A" w:rsidRDefault="00AE07FA" w14:paraId="2EA680B6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p w:rsidR="00B52C79" w:rsidP="00CC223A" w:rsidRDefault="00B52C79" w14:paraId="34B2E145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3415"/>
      </w:tblGrid>
      <w:tr w:rsidRPr="00C37FE1" w:rsidR="00B52C79" w:rsidTr="00387754" w14:paraId="46B1C0F2" w14:textId="77777777">
        <w:tc>
          <w:tcPr>
            <w:tcW w:w="2732" w:type="pct"/>
          </w:tcPr>
          <w:p w:rsidRPr="00C37FE1" w:rsidR="00B52C79" w:rsidP="00387754" w:rsidRDefault="00B52C79" w14:paraId="4FFE704C" w14:textId="77777777">
            <w:bookmarkStart w:name="bm_groet" w:id="0"/>
            <w:r>
              <w:t>De minister voor Buitenlandse Handel en Ontwikkelingshulp,</w:t>
            </w:r>
            <w:bookmarkEnd w:id="0"/>
          </w:p>
        </w:tc>
        <w:tc>
          <w:tcPr>
            <w:tcW w:w="2268" w:type="pct"/>
          </w:tcPr>
          <w:p w:rsidRPr="00C37FE1" w:rsidR="00B52C79" w:rsidP="00387754" w:rsidRDefault="00B52C79" w14:paraId="6F27032D" w14:textId="77777777">
            <w:bookmarkStart w:name="bm_groetam" w:id="1"/>
            <w:r>
              <w:t>De minister van Buitenlandse</w:t>
            </w:r>
            <w:bookmarkEnd w:id="1"/>
            <w:r>
              <w:t xml:space="preserve"> Zaken,</w:t>
            </w:r>
          </w:p>
        </w:tc>
      </w:tr>
      <w:tr w:rsidRPr="00C37FE1" w:rsidR="00B52C79" w:rsidTr="00387754" w14:paraId="719231E5" w14:textId="77777777">
        <w:trPr>
          <w:trHeight w:val="520"/>
        </w:trPr>
        <w:tc>
          <w:tcPr>
            <w:tcW w:w="2732" w:type="pct"/>
          </w:tcPr>
          <w:p w:rsidR="00B52C79" w:rsidP="00387754" w:rsidRDefault="00B52C79" w14:paraId="2C43D776" w14:textId="77777777">
            <w:bookmarkStart w:name="bm_groet1" w:id="2"/>
          </w:p>
          <w:p w:rsidR="00B52C79" w:rsidP="00387754" w:rsidRDefault="00B52C79" w14:paraId="41AD91A6" w14:textId="77777777"/>
          <w:p w:rsidR="00B52C79" w:rsidP="00387754" w:rsidRDefault="00B52C79" w14:paraId="3AB96798" w14:textId="77777777"/>
          <w:p w:rsidR="00B52C79" w:rsidP="00387754" w:rsidRDefault="00B52C79" w14:paraId="75C80756" w14:textId="77777777"/>
          <w:p w:rsidR="00B52C79" w:rsidP="00387754" w:rsidRDefault="00B52C79" w14:paraId="15CE5546" w14:textId="77777777"/>
          <w:p w:rsidR="00B52C79" w:rsidP="00387754" w:rsidRDefault="00B52C79" w14:paraId="27AA089E" w14:textId="77777777"/>
          <w:bookmarkEnd w:id="2"/>
          <w:p w:rsidRPr="00C37FE1" w:rsidR="00B52C79" w:rsidP="00387754" w:rsidRDefault="00B52C79" w14:paraId="411952FD" w14:textId="77777777">
            <w:r>
              <w:t xml:space="preserve">Reinette Klever </w:t>
            </w:r>
          </w:p>
        </w:tc>
        <w:tc>
          <w:tcPr>
            <w:tcW w:w="2268" w:type="pct"/>
          </w:tcPr>
          <w:p w:rsidR="00B52C79" w:rsidP="00387754" w:rsidRDefault="00B52C79" w14:paraId="03919998" w14:textId="77777777">
            <w:bookmarkStart w:name="bm_groetam1" w:id="3"/>
          </w:p>
          <w:p w:rsidR="00B52C79" w:rsidP="00387754" w:rsidRDefault="00B52C79" w14:paraId="03BDFBFE" w14:textId="77777777"/>
          <w:p w:rsidR="00B52C79" w:rsidP="00387754" w:rsidRDefault="00B52C79" w14:paraId="2A78F35A" w14:textId="77777777"/>
          <w:p w:rsidR="00B52C79" w:rsidP="00387754" w:rsidRDefault="00B52C79" w14:paraId="7D1C8062" w14:textId="77777777"/>
          <w:p w:rsidR="00B52C79" w:rsidP="00387754" w:rsidRDefault="00B52C79" w14:paraId="497634C0" w14:textId="77777777"/>
          <w:p w:rsidR="00B52C79" w:rsidP="00387754" w:rsidRDefault="00B52C79" w14:paraId="56D27B0C" w14:textId="77777777"/>
          <w:bookmarkEnd w:id="3"/>
          <w:p w:rsidRPr="00C37FE1" w:rsidR="00B52C79" w:rsidP="00387754" w:rsidRDefault="00B52C79" w14:paraId="63C75845" w14:textId="77777777">
            <w:r>
              <w:t>Caspar Veldkamp</w:t>
            </w:r>
          </w:p>
        </w:tc>
      </w:tr>
    </w:tbl>
    <w:p w:rsidRPr="00CC223A" w:rsidR="00B52C79" w:rsidP="00CC223A" w:rsidRDefault="00B52C79" w14:paraId="344B8372" w14:textId="77777777">
      <w:pPr>
        <w:autoSpaceDE w:val="0"/>
        <w:adjustRightInd w:val="0"/>
        <w:spacing w:line="240" w:lineRule="auto"/>
        <w:textAlignment w:val="auto"/>
        <w:rPr>
          <w:rFonts w:cs="Times New Roman"/>
          <w:color w:val="auto"/>
        </w:rPr>
      </w:pPr>
    </w:p>
    <w:sectPr w:rsidRPr="00CC223A" w:rsidR="00B52C79" w:rsidSect="003D02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B893" w14:textId="77777777" w:rsidR="00411145" w:rsidRDefault="00411145">
      <w:pPr>
        <w:spacing w:line="240" w:lineRule="auto"/>
      </w:pPr>
      <w:r>
        <w:separator/>
      </w:r>
    </w:p>
  </w:endnote>
  <w:endnote w:type="continuationSeparator" w:id="0">
    <w:p w14:paraId="3F86C9A4" w14:textId="77777777" w:rsidR="00411145" w:rsidRDefault="0041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3AE9" w14:textId="77777777" w:rsidR="00CF3DF7" w:rsidRDefault="00CF3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09A" w14:textId="0065B7FE" w:rsidR="00450AED" w:rsidRDefault="00450AED">
    <w:pPr>
      <w:pStyle w:val="Footer"/>
      <w:jc w:val="right"/>
    </w:pPr>
  </w:p>
  <w:p w14:paraId="06B522E9" w14:textId="77777777" w:rsidR="00450AED" w:rsidRDefault="00450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305" w14:textId="77777777" w:rsidR="00CF3DF7" w:rsidRDefault="00CF3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1220" w14:textId="77777777" w:rsidR="00411145" w:rsidRDefault="00411145">
      <w:pPr>
        <w:spacing w:line="240" w:lineRule="auto"/>
      </w:pPr>
      <w:r>
        <w:separator/>
      </w:r>
    </w:p>
  </w:footnote>
  <w:footnote w:type="continuationSeparator" w:id="0">
    <w:p w14:paraId="6DF1151D" w14:textId="77777777" w:rsidR="00411145" w:rsidRDefault="00411145">
      <w:pPr>
        <w:spacing w:line="240" w:lineRule="auto"/>
      </w:pPr>
      <w:r>
        <w:continuationSeparator/>
      </w:r>
    </w:p>
  </w:footnote>
  <w:footnote w:id="1">
    <w:p w14:paraId="0A60057D" w14:textId="6D891FC4" w:rsidR="00CC223A" w:rsidRPr="00284671" w:rsidRDefault="00CC223A">
      <w:pPr>
        <w:pStyle w:val="FootnoteText"/>
        <w:rPr>
          <w:sz w:val="16"/>
          <w:szCs w:val="16"/>
          <w:lang w:val="en-US"/>
        </w:rPr>
      </w:pPr>
      <w:r w:rsidRPr="00284671">
        <w:rPr>
          <w:rStyle w:val="FootnoteReference"/>
          <w:sz w:val="16"/>
          <w:szCs w:val="16"/>
        </w:rPr>
        <w:footnoteRef/>
      </w:r>
      <w:r w:rsidRPr="00284671">
        <w:rPr>
          <w:sz w:val="16"/>
          <w:szCs w:val="16"/>
        </w:rPr>
        <w:t xml:space="preserve"> </w:t>
      </w:r>
      <w:r w:rsidRPr="00284671">
        <w:rPr>
          <w:rFonts w:cs="Times New Roman"/>
          <w:color w:val="auto"/>
          <w:sz w:val="16"/>
          <w:szCs w:val="16"/>
        </w:rPr>
        <w:t>8 GS 2008/944 van 8 december 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EB77" w14:textId="77777777" w:rsidR="00CF3DF7" w:rsidRDefault="00CF3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2934" w14:textId="77777777" w:rsidR="009A0BD6" w:rsidRDefault="006E1E5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E4E2938" wp14:editId="6CA4558D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497965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7" w14:textId="77777777" w:rsidR="009A0BD6" w:rsidRDefault="006E1E5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E4E2968" w14:textId="77777777" w:rsidR="009A0BD6" w:rsidRDefault="009A0BD6">
                          <w:pPr>
                            <w:pStyle w:val="WitregelW2"/>
                          </w:pPr>
                        </w:p>
                        <w:p w14:paraId="4E4E2969" w14:textId="77777777" w:rsidR="009A0BD6" w:rsidRDefault="006E1E5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4E296A" w14:textId="77777777" w:rsidR="009A0BD6" w:rsidRDefault="006E1E5D">
                          <w:pPr>
                            <w:pStyle w:val="Referentiegegevens"/>
                          </w:pPr>
                          <w:r>
                            <w:t>BZ2513031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E293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3pt;margin-top:154.5pt;width:117.9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" filled="f" stroked="f">
              <v:textbox inset="0,0,0,0">
                <w:txbxContent>
                  <w:p w14:paraId="4E4E2967" w14:textId="77777777" w:rsidR="009A0BD6" w:rsidRDefault="006E1E5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E4E2968" w14:textId="77777777" w:rsidR="009A0BD6" w:rsidRDefault="009A0BD6">
                    <w:pPr>
                      <w:pStyle w:val="WitregelW2"/>
                    </w:pPr>
                  </w:p>
                  <w:p w14:paraId="4E4E2969" w14:textId="77777777" w:rsidR="009A0BD6" w:rsidRDefault="006E1E5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4E296A" w14:textId="77777777" w:rsidR="009A0BD6" w:rsidRDefault="006E1E5D">
                    <w:pPr>
                      <w:pStyle w:val="Referentiegegevens"/>
                    </w:pPr>
                    <w:r>
                      <w:t>BZ2513031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E4E293A" wp14:editId="4E4E293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B" w14:textId="03A58B42" w:rsidR="009A0BD6" w:rsidRDefault="009A0BD6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3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E4E296B" w14:textId="03A58B42" w:rsidR="009A0BD6" w:rsidRDefault="009A0BD6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E4E293C" wp14:editId="4E4E293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95031DC" w14:textId="77777777" w:rsidR="00450AED" w:rsidRDefault="00450AED" w:rsidP="00450AED">
                              <w:pPr>
                                <w:pStyle w:val="Footer"/>
                                <w:jc w:val="right"/>
                              </w:pP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t xml:space="preserve">Pagina 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instrText>PAGE</w:instrTex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t xml:space="preserve"> van 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instrText>NUMPAGES</w:instrTex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E4E2978" w14:textId="77777777" w:rsidR="006E1E5D" w:rsidRDefault="006E1E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3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sdt>
                    <w:sdtPr>
                      <w:id w:val="-176961690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95031DC" w14:textId="77777777" w:rsidR="00450AED" w:rsidRDefault="00450AED" w:rsidP="00450AED">
                        <w:pPr>
                          <w:pStyle w:val="Footer"/>
                          <w:jc w:val="right"/>
                        </w:pPr>
                        <w:r w:rsidRPr="00450AED">
                          <w:rPr>
                            <w:sz w:val="14"/>
                            <w:szCs w:val="14"/>
                          </w:rPr>
                          <w:t xml:space="preserve">Pagina 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instrText>PAGE</w:instrTex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t xml:space="preserve"> van 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instrText>NUMPAGES</w:instrTex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4E4E2978" w14:textId="77777777" w:rsidR="006E1E5D" w:rsidRDefault="006E1E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2936" w14:textId="77777777" w:rsidR="009A0BD6" w:rsidRDefault="006E1E5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4E293E" wp14:editId="4E4E293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C" w14:textId="77777777" w:rsidR="006E1E5D" w:rsidRDefault="006E1E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4E293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E4E296C" w14:textId="77777777" w:rsidR="006E1E5D" w:rsidRDefault="006E1E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4E2940" wp14:editId="4E4E294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4F" w14:textId="77777777" w:rsidR="009A0BD6" w:rsidRDefault="006E1E5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E4E294F" w14:textId="77777777" w:rsidR="009A0BD6" w:rsidRDefault="006E1E5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E4E2942" wp14:editId="4E4E294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A0BD6" w14:paraId="4E4E2952" w14:textId="77777777">
                            <w:tc>
                              <w:tcPr>
                                <w:tcW w:w="678" w:type="dxa"/>
                              </w:tcPr>
                              <w:p w14:paraId="4E4E2950" w14:textId="77777777" w:rsidR="009A0BD6" w:rsidRDefault="006E1E5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E4E2951" w14:textId="58A7586F" w:rsidR="009A0BD6" w:rsidRDefault="009A37BF">
                                <w:r>
                                  <w:t>17</w:t>
                                </w:r>
                                <w:r w:rsidR="00450AED">
                                  <w:t xml:space="preserve"> </w:t>
                                </w:r>
                                <w:r w:rsidR="009B7681">
                                  <w:t>april</w:t>
                                </w:r>
                                <w:r w:rsidR="006E1E5D">
                                  <w:t xml:space="preserve"> 2025</w:t>
                                </w:r>
                              </w:p>
                            </w:tc>
                          </w:tr>
                          <w:tr w:rsidR="009A0BD6" w14:paraId="4E4E2957" w14:textId="77777777">
                            <w:tc>
                              <w:tcPr>
                                <w:tcW w:w="678" w:type="dxa"/>
                              </w:tcPr>
                              <w:p w14:paraId="4E4E2953" w14:textId="77777777" w:rsidR="009A0BD6" w:rsidRDefault="006E1E5D">
                                <w:r>
                                  <w:t>Betreft</w:t>
                                </w:r>
                              </w:p>
                              <w:p w14:paraId="4E4E2954" w14:textId="77777777" w:rsidR="009A0BD6" w:rsidRDefault="009A0BD6"/>
                            </w:tc>
                            <w:tc>
                              <w:tcPr>
                                <w:tcW w:w="6851" w:type="dxa"/>
                              </w:tcPr>
                              <w:p w14:paraId="4E4E2955" w14:textId="4C781D7D" w:rsidR="009A0BD6" w:rsidRDefault="00CF3DF7">
                                <w:r>
                                  <w:t>U</w:t>
                                </w:r>
                                <w:r w:rsidR="00CC223A">
                                  <w:t>itvoer van militair</w:t>
                                </w:r>
                                <w:r w:rsidR="00CF6CBE">
                                  <w:t>e</w:t>
                                </w:r>
                                <w:r w:rsidR="00CC223A">
                                  <w:t xml:space="preserve"> </w:t>
                                </w:r>
                                <w:r w:rsidR="006E1E5D">
                                  <w:t>goederen</w:t>
                                </w:r>
                                <w:r w:rsidR="00CC223A">
                                  <w:t xml:space="preserve"> naar Maleisië</w:t>
                                </w:r>
                              </w:p>
                              <w:p w14:paraId="4E4E2956" w14:textId="77777777" w:rsidR="009A0BD6" w:rsidRDefault="009A0BD6"/>
                            </w:tc>
                          </w:tr>
                        </w:tbl>
                        <w:p w14:paraId="4E4E2958" w14:textId="77777777" w:rsidR="009A0BD6" w:rsidRDefault="009A0BD6"/>
                        <w:p w14:paraId="4E4E2959" w14:textId="77777777" w:rsidR="009A0BD6" w:rsidRDefault="009A0B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2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A0BD6" w14:paraId="4E4E2952" w14:textId="77777777">
                      <w:tc>
                        <w:tcPr>
                          <w:tcW w:w="678" w:type="dxa"/>
                        </w:tcPr>
                        <w:p w14:paraId="4E4E2950" w14:textId="77777777" w:rsidR="009A0BD6" w:rsidRDefault="006E1E5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E4E2951" w14:textId="58A7586F" w:rsidR="009A0BD6" w:rsidRDefault="009A37BF">
                          <w:r>
                            <w:t>17</w:t>
                          </w:r>
                          <w:r w:rsidR="00450AED">
                            <w:t xml:space="preserve"> </w:t>
                          </w:r>
                          <w:r w:rsidR="009B7681">
                            <w:t>april</w:t>
                          </w:r>
                          <w:r w:rsidR="006E1E5D">
                            <w:t xml:space="preserve"> 2025</w:t>
                          </w:r>
                        </w:p>
                      </w:tc>
                    </w:tr>
                    <w:tr w:rsidR="009A0BD6" w14:paraId="4E4E2957" w14:textId="77777777">
                      <w:tc>
                        <w:tcPr>
                          <w:tcW w:w="678" w:type="dxa"/>
                        </w:tcPr>
                        <w:p w14:paraId="4E4E2953" w14:textId="77777777" w:rsidR="009A0BD6" w:rsidRDefault="006E1E5D">
                          <w:r>
                            <w:t>Betreft</w:t>
                          </w:r>
                        </w:p>
                        <w:p w14:paraId="4E4E2954" w14:textId="77777777" w:rsidR="009A0BD6" w:rsidRDefault="009A0BD6"/>
                      </w:tc>
                      <w:tc>
                        <w:tcPr>
                          <w:tcW w:w="6851" w:type="dxa"/>
                        </w:tcPr>
                        <w:p w14:paraId="4E4E2955" w14:textId="4C781D7D" w:rsidR="009A0BD6" w:rsidRDefault="00CF3DF7">
                          <w:r>
                            <w:t>U</w:t>
                          </w:r>
                          <w:r w:rsidR="00CC223A">
                            <w:t>itvoer van militair</w:t>
                          </w:r>
                          <w:r w:rsidR="00CF6CBE">
                            <w:t>e</w:t>
                          </w:r>
                          <w:r w:rsidR="00CC223A">
                            <w:t xml:space="preserve"> </w:t>
                          </w:r>
                          <w:r w:rsidR="006E1E5D">
                            <w:t>goederen</w:t>
                          </w:r>
                          <w:r w:rsidR="00CC223A">
                            <w:t xml:space="preserve"> naar Maleisië</w:t>
                          </w:r>
                        </w:p>
                        <w:p w14:paraId="4E4E2956" w14:textId="77777777" w:rsidR="009A0BD6" w:rsidRDefault="009A0BD6"/>
                      </w:tc>
                    </w:tr>
                  </w:tbl>
                  <w:p w14:paraId="4E4E2958" w14:textId="77777777" w:rsidR="009A0BD6" w:rsidRDefault="009A0BD6"/>
                  <w:p w14:paraId="4E4E2959" w14:textId="77777777" w:rsidR="009A0BD6" w:rsidRDefault="009A0B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4E2944" wp14:editId="0609CC72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3430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5A" w14:textId="77777777" w:rsidR="009A0BD6" w:rsidRDefault="006E1E5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E4E295B" w14:textId="77777777" w:rsidR="009A0BD6" w:rsidRDefault="009A0BD6">
                          <w:pPr>
                            <w:pStyle w:val="WitregelW1"/>
                          </w:pPr>
                        </w:p>
                        <w:p w14:paraId="4E4E295C" w14:textId="0ABE90AB" w:rsidR="009A0BD6" w:rsidRDefault="00CC223A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4A1067A9" w14:textId="2491BA36" w:rsidR="00CC223A" w:rsidRPr="006837E5" w:rsidRDefault="00CC223A" w:rsidP="00CC223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837E5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E658663" w14:textId="0540C2B4" w:rsidR="00CC223A" w:rsidRPr="006837E5" w:rsidRDefault="00CC223A" w:rsidP="00CC223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837E5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B87C96D" w14:textId="412A472B" w:rsidR="00CC223A" w:rsidRPr="006837E5" w:rsidRDefault="00CC223A" w:rsidP="00CC223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837E5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8EDB262" w14:textId="7361D1E7" w:rsidR="00CC223A" w:rsidRPr="006837E5" w:rsidRDefault="00CC223A" w:rsidP="00CC223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837E5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E4E295E" w14:textId="77777777" w:rsidR="009A0BD6" w:rsidRPr="006837E5" w:rsidRDefault="009A0BD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E4E295F" w14:textId="77777777" w:rsidR="009A0BD6" w:rsidRPr="009A37BF" w:rsidRDefault="006E1E5D">
                          <w:pPr>
                            <w:pStyle w:val="Referentiegegevensbold"/>
                          </w:pPr>
                          <w:r w:rsidRPr="009A37BF">
                            <w:t>Onze referentie</w:t>
                          </w:r>
                        </w:p>
                        <w:p w14:paraId="4E4E2960" w14:textId="77777777" w:rsidR="009A0BD6" w:rsidRDefault="006E1E5D">
                          <w:pPr>
                            <w:pStyle w:val="Referentiegegevens"/>
                          </w:pPr>
                          <w:r>
                            <w:t>BZ2513031</w:t>
                          </w:r>
                        </w:p>
                        <w:p w14:paraId="4E4E2961" w14:textId="77777777" w:rsidR="009A0BD6" w:rsidRDefault="009A0BD6">
                          <w:pPr>
                            <w:pStyle w:val="WitregelW1"/>
                          </w:pPr>
                        </w:p>
                        <w:p w14:paraId="4E4E2962" w14:textId="77777777" w:rsidR="009A0BD6" w:rsidRDefault="006E1E5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E4E2963" w14:textId="77777777" w:rsidR="009A0BD6" w:rsidRDefault="006E1E5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4E2944" id="41b10cd4-80a4-11ea-b356-6230a4311406" o:spid="_x0000_s1032" type="#_x0000_t202" style="position:absolute;margin-left:466.3pt;margin-top:154.5pt;width:105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uZ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" filled="f" stroked="f">
              <v:textbox inset="0,0,0,0">
                <w:txbxContent>
                  <w:p w14:paraId="4E4E295A" w14:textId="77777777" w:rsidR="009A0BD6" w:rsidRDefault="006E1E5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E4E295B" w14:textId="77777777" w:rsidR="009A0BD6" w:rsidRDefault="009A0BD6">
                    <w:pPr>
                      <w:pStyle w:val="WitregelW1"/>
                    </w:pPr>
                  </w:p>
                  <w:p w14:paraId="4E4E295C" w14:textId="0ABE90AB" w:rsidR="009A0BD6" w:rsidRDefault="00CC223A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4A1067A9" w14:textId="2491BA36" w:rsidR="00CC223A" w:rsidRPr="006837E5" w:rsidRDefault="00CC223A" w:rsidP="00CC223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6837E5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E658663" w14:textId="0540C2B4" w:rsidR="00CC223A" w:rsidRPr="006837E5" w:rsidRDefault="00CC223A" w:rsidP="00CC223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6837E5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B87C96D" w14:textId="412A472B" w:rsidR="00CC223A" w:rsidRPr="006837E5" w:rsidRDefault="00CC223A" w:rsidP="00CC223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6837E5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8EDB262" w14:textId="7361D1E7" w:rsidR="00CC223A" w:rsidRPr="006837E5" w:rsidRDefault="00CC223A" w:rsidP="00CC223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6837E5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E4E295E" w14:textId="77777777" w:rsidR="009A0BD6" w:rsidRPr="006837E5" w:rsidRDefault="009A0BD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E4E295F" w14:textId="77777777" w:rsidR="009A0BD6" w:rsidRPr="009A37BF" w:rsidRDefault="006E1E5D">
                    <w:pPr>
                      <w:pStyle w:val="Referentiegegevensbold"/>
                    </w:pPr>
                    <w:r w:rsidRPr="009A37BF">
                      <w:t>Onze referentie</w:t>
                    </w:r>
                  </w:p>
                  <w:p w14:paraId="4E4E2960" w14:textId="77777777" w:rsidR="009A0BD6" w:rsidRDefault="006E1E5D">
                    <w:pPr>
                      <w:pStyle w:val="Referentiegegevens"/>
                    </w:pPr>
                    <w:r>
                      <w:t>BZ2513031</w:t>
                    </w:r>
                  </w:p>
                  <w:p w14:paraId="4E4E2961" w14:textId="77777777" w:rsidR="009A0BD6" w:rsidRDefault="009A0BD6">
                    <w:pPr>
                      <w:pStyle w:val="WitregelW1"/>
                    </w:pPr>
                  </w:p>
                  <w:p w14:paraId="4E4E2962" w14:textId="77777777" w:rsidR="009A0BD6" w:rsidRDefault="006E1E5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E4E2963" w14:textId="77777777" w:rsidR="009A0BD6" w:rsidRDefault="006E1E5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E4E2946" wp14:editId="4E4E294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4" w14:textId="73A449E7" w:rsidR="009A0BD6" w:rsidRDefault="009A0BD6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6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4E4E2964" w14:textId="73A449E7" w:rsidR="009A0BD6" w:rsidRDefault="009A0BD6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4E2948" wp14:editId="4E4E294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id w:val="-3830998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8E679B8" w14:textId="77777777" w:rsidR="00450AED" w:rsidRDefault="00450AED" w:rsidP="00450AED">
                              <w:pPr>
                                <w:pStyle w:val="Footer"/>
                                <w:jc w:val="right"/>
                              </w:pP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t xml:space="preserve">Pagina 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instrText>PAGE</w:instrTex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t xml:space="preserve"> van 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0AED">
                                <w:rPr>
                                  <w:sz w:val="14"/>
                                  <w:szCs w:val="14"/>
                                </w:rPr>
                                <w:instrText>NUMPAGES</w:instrTex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0AED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E4E2972" w14:textId="77777777" w:rsidR="006E1E5D" w:rsidRDefault="006E1E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8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sdt>
                    <w:sdtPr>
                      <w:id w:val="-383099852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8E679B8" w14:textId="77777777" w:rsidR="00450AED" w:rsidRDefault="00450AED" w:rsidP="00450AED">
                        <w:pPr>
                          <w:pStyle w:val="Footer"/>
                          <w:jc w:val="right"/>
                        </w:pPr>
                        <w:r w:rsidRPr="00450AED">
                          <w:rPr>
                            <w:sz w:val="14"/>
                            <w:szCs w:val="14"/>
                          </w:rPr>
                          <w:t xml:space="preserve">Pagina 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instrText>PAGE</w:instrTex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t xml:space="preserve"> van 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50AED">
                          <w:rPr>
                            <w:sz w:val="14"/>
                            <w:szCs w:val="14"/>
                          </w:rPr>
                          <w:instrText>NUMPAGES</w:instrTex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50AE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4E4E2972" w14:textId="77777777" w:rsidR="006E1E5D" w:rsidRDefault="006E1E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E4E294A" wp14:editId="4E4E294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5" w14:textId="77777777" w:rsidR="009A0BD6" w:rsidRDefault="006E1E5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4E296C" wp14:editId="4E4E296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A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E4E2965" w14:textId="77777777" w:rsidR="009A0BD6" w:rsidRDefault="006E1E5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4E296C" wp14:editId="4E4E296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4E294C" wp14:editId="4E4E29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E2966" w14:textId="77777777" w:rsidR="009A0BD6" w:rsidRDefault="006E1E5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4E296E" wp14:editId="4E4E296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E294C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E4E2966" w14:textId="77777777" w:rsidR="009A0BD6" w:rsidRDefault="006E1E5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4E296E" wp14:editId="4E4E296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4C728"/>
    <w:multiLevelType w:val="multilevel"/>
    <w:tmpl w:val="2664E46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DC5245A"/>
    <w:multiLevelType w:val="multilevel"/>
    <w:tmpl w:val="52B81BB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03C6A7D"/>
    <w:multiLevelType w:val="multilevel"/>
    <w:tmpl w:val="CBF333C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512414"/>
    <w:multiLevelType w:val="multilevel"/>
    <w:tmpl w:val="2BF4E5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0D9662"/>
    <w:multiLevelType w:val="multilevel"/>
    <w:tmpl w:val="54A9E0E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43001518">
    <w:abstractNumId w:val="0"/>
  </w:num>
  <w:num w:numId="2" w16cid:durableId="592473423">
    <w:abstractNumId w:val="1"/>
  </w:num>
  <w:num w:numId="3" w16cid:durableId="1502425256">
    <w:abstractNumId w:val="3"/>
  </w:num>
  <w:num w:numId="4" w16cid:durableId="963463994">
    <w:abstractNumId w:val="4"/>
  </w:num>
  <w:num w:numId="5" w16cid:durableId="92045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D6"/>
    <w:rsid w:val="00021825"/>
    <w:rsid w:val="000E6AC2"/>
    <w:rsid w:val="0017775D"/>
    <w:rsid w:val="00194972"/>
    <w:rsid w:val="001A6792"/>
    <w:rsid w:val="001D305B"/>
    <w:rsid w:val="001E6EAF"/>
    <w:rsid w:val="00243410"/>
    <w:rsid w:val="002653EB"/>
    <w:rsid w:val="00284671"/>
    <w:rsid w:val="002E17E4"/>
    <w:rsid w:val="00391A63"/>
    <w:rsid w:val="003937EB"/>
    <w:rsid w:val="003D020E"/>
    <w:rsid w:val="00411145"/>
    <w:rsid w:val="00450AED"/>
    <w:rsid w:val="004E210F"/>
    <w:rsid w:val="0052381C"/>
    <w:rsid w:val="00552AAA"/>
    <w:rsid w:val="005749EF"/>
    <w:rsid w:val="006424D2"/>
    <w:rsid w:val="00642E03"/>
    <w:rsid w:val="006837E5"/>
    <w:rsid w:val="006D3461"/>
    <w:rsid w:val="006E1E5D"/>
    <w:rsid w:val="00704285"/>
    <w:rsid w:val="00774B03"/>
    <w:rsid w:val="00784C44"/>
    <w:rsid w:val="00852A87"/>
    <w:rsid w:val="00911054"/>
    <w:rsid w:val="009A0BD6"/>
    <w:rsid w:val="009A37BF"/>
    <w:rsid w:val="009B7681"/>
    <w:rsid w:val="00A55F3C"/>
    <w:rsid w:val="00A73253"/>
    <w:rsid w:val="00AE07FA"/>
    <w:rsid w:val="00B0701E"/>
    <w:rsid w:val="00B52C79"/>
    <w:rsid w:val="00C63096"/>
    <w:rsid w:val="00CB58CE"/>
    <w:rsid w:val="00CC223A"/>
    <w:rsid w:val="00CD6D01"/>
    <w:rsid w:val="00CF3DF7"/>
    <w:rsid w:val="00CF6CBE"/>
    <w:rsid w:val="00D02A62"/>
    <w:rsid w:val="00D92BBA"/>
    <w:rsid w:val="00F23B76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E292B"/>
  <w15:docId w15:val="{9DCFC9EB-EF63-41D9-ACA4-71B067B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C22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3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22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3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23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23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C223A"/>
    <w:rPr>
      <w:vertAlign w:val="superscript"/>
    </w:rPr>
  </w:style>
  <w:style w:type="table" w:styleId="TableGrid">
    <w:name w:val="Table Grid"/>
    <w:basedOn w:val="TableNormal"/>
    <w:rsid w:val="00B52C79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435</ap:Words>
  <ap:Characters>2398</ap:Characters>
  <ap:DocSecurity>0</ap:DocSecurity>
  <ap:Lines>19</ap:Lines>
  <ap:Paragraphs>5</ap:Paragraphs>
  <ap:ScaleCrop>false</ap:ScaleCrop>
  <ap:LinksUpToDate>false</ap:LinksUpToDate>
  <ap:CharactersWithSpaces>2828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2025-04-14T11:41:00.0000000Z</lastPrinted>
  <dcterms:created xsi:type="dcterms:W3CDTF">2025-04-17T07:55:00.0000000Z</dcterms:created>
  <dcterms:modified xsi:type="dcterms:W3CDTF">2025-04-17T07:55:00.0000000Z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6dd50480-b28a-47ab-9457-646b438b4080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