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F01" w:rsidP="00246F01" w:rsidRDefault="00246F01" w14:paraId="174EB85B" w14:textId="77777777">
      <w:pPr>
        <w:autoSpaceDE w:val="0"/>
        <w:autoSpaceDN w:val="0"/>
        <w:adjustRightInd w:val="0"/>
        <w:ind w:left="1416" w:hanging="1416"/>
        <w:rPr>
          <w:b/>
          <w:bCs/>
        </w:rPr>
      </w:pPr>
      <w:r>
        <w:rPr>
          <w:b/>
          <w:bCs/>
        </w:rPr>
        <w:t>36 600-V</w:t>
      </w:r>
      <w:r>
        <w:rPr>
          <w:b/>
          <w:bCs/>
        </w:rPr>
        <w:tab/>
        <w:t>Vaststelling van de begrotingsstaat van het Ministerie van Buitenlandse Zaken (V) voor het jaar 2025</w:t>
      </w:r>
    </w:p>
    <w:p w:rsidR="00246F01" w:rsidP="00364612" w:rsidRDefault="00246F01" w14:paraId="420328C4" w14:textId="77777777">
      <w:pPr>
        <w:autoSpaceDE w:val="0"/>
        <w:autoSpaceDN w:val="0"/>
        <w:adjustRightInd w:val="0"/>
        <w:ind w:left="-284" w:firstLine="284"/>
        <w:rPr>
          <w:b/>
          <w:bCs/>
        </w:rPr>
      </w:pPr>
    </w:p>
    <w:p w:rsidR="00246F01" w:rsidP="00364612" w:rsidRDefault="00246F01" w14:paraId="0E3FB967" w14:textId="77777777">
      <w:pPr>
        <w:autoSpaceDE w:val="0"/>
        <w:autoSpaceDN w:val="0"/>
        <w:adjustRightInd w:val="0"/>
        <w:ind w:left="-284" w:firstLine="284"/>
        <w:rPr>
          <w:b/>
          <w:bCs/>
        </w:rPr>
      </w:pPr>
      <w:r>
        <w:rPr>
          <w:b/>
          <w:bCs/>
        </w:rPr>
        <w:t>Nr. …</w:t>
      </w:r>
    </w:p>
    <w:p w:rsidR="00246F01" w:rsidP="00364612" w:rsidRDefault="00246F01" w14:paraId="3DB861DC" w14:textId="77777777">
      <w:pPr>
        <w:autoSpaceDE w:val="0"/>
        <w:autoSpaceDN w:val="0"/>
        <w:adjustRightInd w:val="0"/>
        <w:ind w:left="-284" w:firstLine="284"/>
        <w:rPr>
          <w:b/>
          <w:bCs/>
        </w:rPr>
      </w:pPr>
    </w:p>
    <w:p w:rsidRPr="00F90853" w:rsidR="00C5636F" w:rsidP="00364612" w:rsidRDefault="00D01B91" w14:paraId="658F0CA9" w14:textId="77777777">
      <w:pPr>
        <w:autoSpaceDE w:val="0"/>
        <w:autoSpaceDN w:val="0"/>
        <w:adjustRightInd w:val="0"/>
        <w:ind w:left="-284" w:firstLine="284"/>
        <w:rPr>
          <w:b/>
          <w:bCs/>
        </w:rPr>
      </w:pPr>
      <w:r w:rsidRPr="00F90853">
        <w:rPr>
          <w:b/>
          <w:bCs/>
        </w:rPr>
        <w:t>VERSLAG</w:t>
      </w:r>
      <w:r w:rsidRPr="00F90853" w:rsidR="00C5636F">
        <w:rPr>
          <w:b/>
          <w:bCs/>
        </w:rPr>
        <w:t xml:space="preserve"> </w:t>
      </w:r>
      <w:r w:rsidRPr="00F90853" w:rsidR="00F6258C">
        <w:rPr>
          <w:b/>
          <w:bCs/>
        </w:rPr>
        <w:t>VAN EEN SCHRIFTELIJK OVERLEG</w:t>
      </w:r>
    </w:p>
    <w:p w:rsidRPr="00F90853" w:rsidR="00D01B91" w:rsidP="00246F01" w:rsidRDefault="00D01B91" w14:paraId="3BE5A422" w14:textId="77777777">
      <w:pPr>
        <w:autoSpaceDE w:val="0"/>
        <w:autoSpaceDN w:val="0"/>
        <w:adjustRightInd w:val="0"/>
        <w:rPr>
          <w:b/>
          <w:bCs/>
        </w:rPr>
      </w:pPr>
      <w:r w:rsidRPr="00F90853">
        <w:rPr>
          <w:bCs/>
        </w:rPr>
        <w:t xml:space="preserve">Vastgesteld, </w:t>
      </w:r>
      <w:r w:rsidRPr="00F90853" w:rsidR="00224B83">
        <w:rPr>
          <w:bCs/>
        </w:rPr>
        <w:t>..</w:t>
      </w:r>
      <w:r w:rsidRPr="00F90853" w:rsidR="00EB696A">
        <w:rPr>
          <w:bCs/>
        </w:rPr>
        <w:t xml:space="preserve"> </w:t>
      </w:r>
      <w:proofErr w:type="spellStart"/>
      <w:r w:rsidRPr="005E4DF3" w:rsidR="005E4DF3">
        <w:rPr>
          <w:bCs/>
          <w:highlight w:val="yellow"/>
        </w:rPr>
        <w:t>xxxx</w:t>
      </w:r>
      <w:proofErr w:type="spellEnd"/>
      <w:r w:rsidR="005E4DF3">
        <w:rPr>
          <w:bCs/>
        </w:rPr>
        <w:t xml:space="preserve"> </w:t>
      </w:r>
      <w:r w:rsidRPr="00F90853" w:rsidR="00374E06">
        <w:rPr>
          <w:bCs/>
        </w:rPr>
        <w:t>202</w:t>
      </w:r>
      <w:r w:rsidR="00F24D16">
        <w:rPr>
          <w:bCs/>
        </w:rPr>
        <w:t>5</w:t>
      </w:r>
    </w:p>
    <w:p w:rsidRPr="00F90853" w:rsidR="00D01B91" w:rsidP="00364612" w:rsidRDefault="00D01B91" w14:paraId="73D6860A" w14:textId="77777777">
      <w:pPr>
        <w:autoSpaceDE w:val="0"/>
        <w:autoSpaceDN w:val="0"/>
        <w:adjustRightInd w:val="0"/>
        <w:ind w:left="-284" w:firstLine="284"/>
        <w:rPr>
          <w:b/>
          <w:bCs/>
        </w:rPr>
      </w:pPr>
    </w:p>
    <w:p w:rsidR="001179D8" w:rsidP="00364612" w:rsidRDefault="007203C9" w14:paraId="07E117BC" w14:textId="77777777">
      <w:pPr>
        <w:pStyle w:val="FootnoteText"/>
        <w:rPr>
          <w:rFonts w:ascii="Times New Roman" w:hAnsi="Times New Roman"/>
          <w:sz w:val="24"/>
          <w:szCs w:val="24"/>
        </w:rPr>
      </w:pPr>
      <w:r w:rsidRPr="00F90853">
        <w:rPr>
          <w:rFonts w:ascii="Times New Roman" w:hAnsi="Times New Roman"/>
          <w:sz w:val="24"/>
          <w:szCs w:val="24"/>
        </w:rPr>
        <w:t xml:space="preserve">Binnen de vaste commissie </w:t>
      </w:r>
      <w:r w:rsidRPr="00F90853" w:rsidR="00681DE2">
        <w:rPr>
          <w:rFonts w:ascii="Times New Roman" w:hAnsi="Times New Roman"/>
          <w:sz w:val="24"/>
          <w:szCs w:val="24"/>
        </w:rPr>
        <w:t xml:space="preserve">voor </w:t>
      </w:r>
      <w:r w:rsidRPr="00F90853">
        <w:rPr>
          <w:rFonts w:ascii="Times New Roman" w:hAnsi="Times New Roman"/>
          <w:sz w:val="24"/>
          <w:szCs w:val="24"/>
        </w:rPr>
        <w:t xml:space="preserve">Buitenlandse Zaken hebben de onderstaande fracties de behoefte vragen en opmerkingen voor te leggen aan </w:t>
      </w:r>
      <w:r w:rsidRPr="00F90853" w:rsidR="00CC5CFF">
        <w:rPr>
          <w:rFonts w:ascii="Times New Roman" w:hAnsi="Times New Roman"/>
          <w:sz w:val="24"/>
          <w:szCs w:val="24"/>
        </w:rPr>
        <w:t>de minister van Buitenlandse Zaken</w:t>
      </w:r>
      <w:r w:rsidR="00843991">
        <w:rPr>
          <w:rFonts w:ascii="Times New Roman" w:hAnsi="Times New Roman"/>
          <w:sz w:val="24"/>
          <w:szCs w:val="24"/>
        </w:rPr>
        <w:t xml:space="preserve"> over </w:t>
      </w:r>
      <w:r w:rsidR="00F24D16">
        <w:rPr>
          <w:rFonts w:ascii="Times New Roman" w:hAnsi="Times New Roman"/>
          <w:sz w:val="24"/>
          <w:szCs w:val="24"/>
        </w:rPr>
        <w:t xml:space="preserve">de kabinetsreactie op het advies </w:t>
      </w:r>
      <w:r w:rsidR="00246F01">
        <w:rPr>
          <w:rFonts w:ascii="Times New Roman" w:hAnsi="Times New Roman"/>
          <w:sz w:val="24"/>
          <w:szCs w:val="24"/>
        </w:rPr>
        <w:t>n</w:t>
      </w:r>
      <w:r w:rsidR="001A6F04">
        <w:rPr>
          <w:rFonts w:ascii="Times New Roman" w:hAnsi="Times New Roman"/>
          <w:sz w:val="24"/>
          <w:szCs w:val="24"/>
        </w:rPr>
        <w:t>ummer</w:t>
      </w:r>
      <w:r w:rsidR="00246F01">
        <w:rPr>
          <w:rFonts w:ascii="Times New Roman" w:hAnsi="Times New Roman"/>
          <w:sz w:val="24"/>
          <w:szCs w:val="24"/>
        </w:rPr>
        <w:t xml:space="preserve"> 46 </w:t>
      </w:r>
      <w:r w:rsidR="00F24D16">
        <w:rPr>
          <w:rFonts w:ascii="Times New Roman" w:hAnsi="Times New Roman"/>
          <w:sz w:val="24"/>
          <w:szCs w:val="24"/>
        </w:rPr>
        <w:t>van de Commissie van advies inzake volkenrechtelijke vraagstukken (CAVV) over de ontwerpconclusies van de International Law Commission inzake algemene rechtsbeginselen (3</w:t>
      </w:r>
      <w:r w:rsidR="002F6691">
        <w:rPr>
          <w:rFonts w:ascii="Times New Roman" w:hAnsi="Times New Roman"/>
          <w:sz w:val="24"/>
          <w:szCs w:val="24"/>
        </w:rPr>
        <w:t>6</w:t>
      </w:r>
      <w:r w:rsidR="00F24D16">
        <w:rPr>
          <w:rFonts w:ascii="Times New Roman" w:hAnsi="Times New Roman"/>
          <w:sz w:val="24"/>
          <w:szCs w:val="24"/>
        </w:rPr>
        <w:t xml:space="preserve"> 600-V, </w:t>
      </w:r>
      <w:proofErr w:type="spellStart"/>
      <w:r w:rsidR="00F24D16">
        <w:rPr>
          <w:rFonts w:ascii="Times New Roman" w:hAnsi="Times New Roman"/>
          <w:sz w:val="24"/>
          <w:szCs w:val="24"/>
        </w:rPr>
        <w:t>nr</w:t>
      </w:r>
      <w:proofErr w:type="spellEnd"/>
      <w:r w:rsidR="00F24D16">
        <w:rPr>
          <w:rFonts w:ascii="Times New Roman" w:hAnsi="Times New Roman"/>
          <w:sz w:val="24"/>
          <w:szCs w:val="24"/>
        </w:rPr>
        <w:t xml:space="preserve"> 59).</w:t>
      </w:r>
    </w:p>
    <w:p w:rsidRPr="00F90853" w:rsidR="006D2EBC" w:rsidP="00364612" w:rsidRDefault="001179D8" w14:paraId="61584290" w14:textId="77777777">
      <w:pPr>
        <w:tabs>
          <w:tab w:val="left" w:pos="-720"/>
        </w:tabs>
        <w:suppressAutoHyphens/>
      </w:pPr>
      <w:r w:rsidRPr="00F90853">
        <w:t xml:space="preserve"> </w:t>
      </w:r>
    </w:p>
    <w:p w:rsidRPr="00F90853" w:rsidR="007203C9" w:rsidP="00364612" w:rsidRDefault="00224B83" w14:paraId="11FE8228" w14:textId="77777777">
      <w:r w:rsidRPr="00F90853">
        <w:t xml:space="preserve">De op </w:t>
      </w:r>
      <w:r w:rsidR="00F24D16">
        <w:t>12 februari</w:t>
      </w:r>
      <w:r w:rsidR="00D51E1C">
        <w:t xml:space="preserve"> </w:t>
      </w:r>
      <w:r w:rsidRPr="00F90853" w:rsidR="008D7FD6">
        <w:t>202</w:t>
      </w:r>
      <w:r w:rsidR="00F24D16">
        <w:t>5</w:t>
      </w:r>
      <w:r w:rsidRPr="00F90853">
        <w:t xml:space="preserve"> aan de </w:t>
      </w:r>
      <w:r w:rsidR="00843991">
        <w:t>minister</w:t>
      </w:r>
      <w:r w:rsidRPr="00F90853">
        <w:t xml:space="preserve"> toegezonden</w:t>
      </w:r>
      <w:r w:rsidRPr="00F90853" w:rsidR="007203C9">
        <w:t xml:space="preserve"> vragen en opmerkingen zijn met de door </w:t>
      </w:r>
      <w:r w:rsidRPr="00F90853" w:rsidR="00CC5CFF">
        <w:t>de</w:t>
      </w:r>
      <w:r w:rsidR="00843991">
        <w:t xml:space="preserve"> minister</w:t>
      </w:r>
      <w:r w:rsidRPr="00F90853" w:rsidR="00CC5CFF">
        <w:t xml:space="preserve"> </w:t>
      </w:r>
      <w:r w:rsidRPr="00F90853" w:rsidR="007203C9">
        <w:t xml:space="preserve">bij brief van … toegezonden antwoorden hieronder afgedrukt. </w:t>
      </w:r>
    </w:p>
    <w:p w:rsidRPr="00F90853" w:rsidR="007203C9" w:rsidP="00364612" w:rsidRDefault="007203C9" w14:paraId="6BD3E4F6" w14:textId="77777777">
      <w:pPr>
        <w:tabs>
          <w:tab w:val="left" w:pos="-720"/>
        </w:tabs>
        <w:suppressAutoHyphens/>
      </w:pPr>
    </w:p>
    <w:p w:rsidRPr="00F90853" w:rsidR="007203C9" w:rsidP="00364612" w:rsidRDefault="005866D6" w14:paraId="3B03A68E" w14:textId="77777777">
      <w:pPr>
        <w:tabs>
          <w:tab w:val="left" w:pos="-720"/>
        </w:tabs>
        <w:suppressAutoHyphens/>
      </w:pPr>
      <w:r>
        <w:t>De v</w:t>
      </w:r>
      <w:r w:rsidRPr="00F90853" w:rsidR="007203C9">
        <w:t>oorzitter van de commissie,</w:t>
      </w:r>
    </w:p>
    <w:p w:rsidRPr="00F90853" w:rsidR="007203C9" w:rsidP="00364612" w:rsidRDefault="00F24D16" w14:paraId="161972BA" w14:textId="77777777">
      <w:pPr>
        <w:tabs>
          <w:tab w:val="left" w:pos="-720"/>
        </w:tabs>
        <w:suppressAutoHyphens/>
      </w:pPr>
      <w:r>
        <w:t>Klaver</w:t>
      </w:r>
    </w:p>
    <w:p w:rsidRPr="00F90853" w:rsidR="007203C9" w:rsidP="00364612" w:rsidRDefault="007203C9" w14:paraId="6952F494" w14:textId="77777777">
      <w:pPr>
        <w:tabs>
          <w:tab w:val="left" w:pos="-720"/>
        </w:tabs>
        <w:suppressAutoHyphens/>
      </w:pPr>
    </w:p>
    <w:p w:rsidRPr="00F90853" w:rsidR="007203C9" w:rsidP="00364612" w:rsidRDefault="005866D6" w14:paraId="2E7DB5A5" w14:textId="77777777">
      <w:pPr>
        <w:tabs>
          <w:tab w:val="left" w:pos="-720"/>
        </w:tabs>
        <w:suppressAutoHyphens/>
      </w:pPr>
      <w:r>
        <w:t>De griffier</w:t>
      </w:r>
      <w:r w:rsidRPr="00F90853" w:rsidR="007203C9">
        <w:t xml:space="preserve"> van de commissie,</w:t>
      </w:r>
    </w:p>
    <w:p w:rsidRPr="00F90853" w:rsidR="007203C9" w:rsidP="00364612" w:rsidRDefault="00F24D16" w14:paraId="27AE59A7" w14:textId="77777777">
      <w:pPr>
        <w:tabs>
          <w:tab w:val="left" w:pos="-720"/>
        </w:tabs>
        <w:suppressAutoHyphens/>
      </w:pPr>
      <w:proofErr w:type="spellStart"/>
      <w:r>
        <w:t>Westerhoff</w:t>
      </w:r>
      <w:proofErr w:type="spellEnd"/>
    </w:p>
    <w:p w:rsidR="007203C9" w:rsidP="00364612" w:rsidRDefault="007203C9" w14:paraId="66B225EB" w14:textId="77777777"/>
    <w:p w:rsidRPr="00DD1F78" w:rsidR="00D30FFF" w:rsidP="00D30FFF" w:rsidRDefault="00D30FFF" w14:paraId="5B65A8CC" w14:textId="77777777">
      <w:pPr>
        <w:rPr>
          <w:b/>
        </w:rPr>
      </w:pPr>
      <w:r w:rsidRPr="00DD1F78">
        <w:rPr>
          <w:b/>
        </w:rPr>
        <w:t>Inhoudsopgave</w:t>
      </w:r>
    </w:p>
    <w:p w:rsidRPr="00DD1F78" w:rsidR="00D30FFF" w:rsidP="00D30FFF" w:rsidRDefault="00D30FFF" w14:paraId="660980AF"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30FFF" w:rsidP="00D30FFF" w:rsidRDefault="00D30FFF" w14:paraId="159AACF7"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D30FFF" w:rsidP="00D30FFF" w:rsidRDefault="00D30FFF" w14:paraId="69EA4F14" w14:textId="77777777">
      <w:r w:rsidRPr="00DD1F78">
        <w:rPr>
          <w:b/>
        </w:rPr>
        <w:tab/>
      </w:r>
      <w:r w:rsidRPr="00DD1F78">
        <w:t xml:space="preserve">Vragen en opmerkingen van de leden van de </w:t>
      </w:r>
      <w:r w:rsidR="00124CA6">
        <w:t>VVD</w:t>
      </w:r>
      <w:r w:rsidRPr="00DD1F78">
        <w:t>-fractie</w:t>
      </w:r>
    </w:p>
    <w:p w:rsidRPr="00DD1F78" w:rsidR="00D30FFF" w:rsidP="00D30FFF" w:rsidRDefault="00D30FFF" w14:paraId="5CE899D1" w14:textId="77777777">
      <w:pPr>
        <w:ind w:firstLine="708"/>
      </w:pPr>
      <w:r w:rsidRPr="00DD1F78">
        <w:t xml:space="preserve">Vragen en opmerkingen van de leden van de </w:t>
      </w:r>
      <w:r w:rsidR="00124CA6">
        <w:t>NSC</w:t>
      </w:r>
      <w:r w:rsidRPr="00DD1F78">
        <w:t>-fractie</w:t>
      </w:r>
    </w:p>
    <w:p w:rsidRPr="00DD1F78" w:rsidR="00D30FFF" w:rsidP="00D30FFF" w:rsidRDefault="00D30FFF" w14:paraId="6261C1D0" w14:textId="77777777">
      <w:pPr>
        <w:ind w:firstLine="708"/>
      </w:pPr>
      <w:r w:rsidRPr="00DD1F78">
        <w:t xml:space="preserve">Vragen en opmerkingen van de leden van de </w:t>
      </w:r>
      <w:r w:rsidR="00124CA6">
        <w:t>BBB</w:t>
      </w:r>
      <w:r w:rsidRPr="00DD1F78">
        <w:t>-fractie</w:t>
      </w:r>
    </w:p>
    <w:p w:rsidRPr="00DD1F78" w:rsidR="00D30FFF" w:rsidP="00D30FFF" w:rsidRDefault="00D30FFF" w14:paraId="5B552F10" w14:textId="77777777">
      <w:pPr>
        <w:ind w:firstLine="708"/>
      </w:pPr>
      <w:r w:rsidRPr="00DD1F78">
        <w:t xml:space="preserve">Vragen en opmerkingen van de leden van de </w:t>
      </w:r>
      <w:r w:rsidR="00124CA6">
        <w:t>C</w:t>
      </w:r>
      <w:r w:rsidR="00B00700">
        <w:t>hristen</w:t>
      </w:r>
      <w:r w:rsidR="00124CA6">
        <w:t>U</w:t>
      </w:r>
      <w:r w:rsidR="00B00700">
        <w:t>nie</w:t>
      </w:r>
      <w:r w:rsidRPr="00DD1F78">
        <w:t>-fractie</w:t>
      </w:r>
    </w:p>
    <w:p w:rsidRPr="00DD1F78" w:rsidR="00D30FFF" w:rsidP="00D30FFF" w:rsidRDefault="00D30FFF" w14:paraId="6DFB653B" w14:textId="77777777">
      <w:pPr>
        <w:ind w:firstLine="708"/>
      </w:pPr>
      <w:r w:rsidRPr="00DD1F78">
        <w:t xml:space="preserve">Vragen en opmerkingen van de leden van de </w:t>
      </w:r>
      <w:r w:rsidR="00124CA6">
        <w:t>SGP</w:t>
      </w:r>
      <w:r w:rsidR="00160D42">
        <w:t>-fractie</w:t>
      </w:r>
    </w:p>
    <w:p w:rsidRPr="00DD1F78" w:rsidR="00D30FFF" w:rsidP="00D30FFF" w:rsidRDefault="00D30FFF" w14:paraId="60678244" w14:textId="77777777">
      <w:pPr>
        <w:ind w:firstLine="708"/>
        <w:rPr>
          <w:b/>
        </w:rPr>
      </w:pPr>
      <w:r w:rsidRPr="00DD1F78">
        <w:rPr>
          <w:b/>
        </w:rPr>
        <w:br/>
        <w:t>II</w:t>
      </w:r>
      <w:r w:rsidRPr="00DD1F78">
        <w:rPr>
          <w:b/>
        </w:rPr>
        <w:tab/>
        <w:t>Antwoord / Reactie van de minister</w:t>
      </w:r>
    </w:p>
    <w:p w:rsidRPr="00DD1F78" w:rsidR="00D30FFF" w:rsidP="00D30FFF" w:rsidRDefault="00D30FFF" w14:paraId="7DFD5207" w14:textId="77777777">
      <w:pPr>
        <w:rPr>
          <w:b/>
        </w:rPr>
      </w:pPr>
    </w:p>
    <w:p w:rsidRPr="00DD1F78" w:rsidR="00D30FFF" w:rsidP="00D30FFF" w:rsidRDefault="00D30FFF" w14:paraId="7A40C2E3" w14:textId="77777777">
      <w:pPr>
        <w:rPr>
          <w:b/>
        </w:rPr>
      </w:pPr>
      <w:r w:rsidRPr="00DD1F78">
        <w:rPr>
          <w:b/>
        </w:rPr>
        <w:t>III</w:t>
      </w:r>
      <w:r w:rsidRPr="00DD1F78">
        <w:rPr>
          <w:b/>
        </w:rPr>
        <w:tab/>
        <w:t>Volledige agenda</w:t>
      </w:r>
    </w:p>
    <w:p w:rsidRPr="00F90853" w:rsidR="00D30FFF" w:rsidP="00364612" w:rsidRDefault="00D30FFF" w14:paraId="2181717B" w14:textId="77777777"/>
    <w:p w:rsidR="008A1EF6" w:rsidP="005866D6" w:rsidRDefault="008A1EF6" w14:paraId="7DEB4EA0" w14:textId="77777777">
      <w:pPr>
        <w:rPr>
          <w:b/>
        </w:rPr>
      </w:pPr>
    </w:p>
    <w:p w:rsidR="00D30FFF" w:rsidP="00364612" w:rsidRDefault="00D30FFF" w14:paraId="47345340" w14:textId="77777777">
      <w:pPr>
        <w:rPr>
          <w:b/>
        </w:rPr>
      </w:pPr>
      <w:r w:rsidRPr="00DD1F78">
        <w:rPr>
          <w:b/>
        </w:rPr>
        <w:t>I</w:t>
      </w:r>
      <w:r w:rsidRPr="00DD1F78">
        <w:rPr>
          <w:b/>
        </w:rPr>
        <w:tab/>
        <w:t>Vragen en opmerkingen vanuit de fracties</w:t>
      </w:r>
    </w:p>
    <w:p w:rsidR="00D30FFF" w:rsidP="00364612" w:rsidRDefault="00D30FFF" w14:paraId="3D6A934B" w14:textId="77777777">
      <w:pPr>
        <w:rPr>
          <w:b/>
        </w:rPr>
      </w:pPr>
    </w:p>
    <w:p w:rsidR="00160D42" w:rsidP="00364612" w:rsidRDefault="00124CA6" w14:paraId="3CA1844E" w14:textId="77777777">
      <w:pPr>
        <w:rPr>
          <w:b/>
        </w:rPr>
      </w:pPr>
      <w:r>
        <w:rPr>
          <w:b/>
        </w:rPr>
        <w:t>Vragen en opmerkingen van de leden van de VVD-fractie</w:t>
      </w:r>
    </w:p>
    <w:p w:rsidR="00B027FE" w:rsidP="00364612" w:rsidRDefault="00B027FE" w14:paraId="1B5D78EF" w14:textId="77777777">
      <w:pPr>
        <w:rPr>
          <w:b/>
        </w:rPr>
      </w:pPr>
    </w:p>
    <w:p w:rsidR="001A6F04" w:rsidP="00B027FE" w:rsidRDefault="00B027FE" w14:paraId="6BF51F12" w14:textId="77777777">
      <w:r>
        <w:t>De leden</w:t>
      </w:r>
      <w:r w:rsidR="00153DA7">
        <w:t xml:space="preserve"> van de VVD-fractie</w:t>
      </w:r>
      <w:r>
        <w:t xml:space="preserve"> hebben kennisgenomen van de kabinetsreactie op het a</w:t>
      </w:r>
      <w:r w:rsidRPr="00226BEB">
        <w:t>dvies n</w:t>
      </w:r>
      <w:r w:rsidR="001A6F04">
        <w:t>ummer</w:t>
      </w:r>
      <w:r w:rsidRPr="00226BEB">
        <w:t xml:space="preserve"> 46 van de Commissie </w:t>
      </w:r>
      <w:r w:rsidR="001A6F04">
        <w:t xml:space="preserve">van </w:t>
      </w:r>
      <w:r w:rsidRPr="00226BEB">
        <w:t>advies inzake volkenrechtelijke vraagstukken (CAVV)</w:t>
      </w:r>
      <w:r w:rsidR="001A6F04">
        <w:t>;</w:t>
      </w:r>
      <w:r>
        <w:t xml:space="preserve"> zij hebben hier enkele vragen en opmerkingen over.</w:t>
      </w:r>
    </w:p>
    <w:p w:rsidR="00B027FE" w:rsidP="001A6F04" w:rsidRDefault="00B027FE" w14:paraId="35B5E2DC" w14:textId="36C2AFA4">
      <w:r w:rsidRPr="00153DA7">
        <w:t>De leden van de VVD-fractie constateren dat zowel het kabinet</w:t>
      </w:r>
      <w:r w:rsidR="001A6F04">
        <w:t>,</w:t>
      </w:r>
      <w:r w:rsidRPr="00153DA7">
        <w:t xml:space="preserve"> als de CAVV de formulering van de I</w:t>
      </w:r>
      <w:r w:rsidR="001A6F04">
        <w:t xml:space="preserve">nternational </w:t>
      </w:r>
      <w:r w:rsidRPr="00153DA7">
        <w:t>L</w:t>
      </w:r>
      <w:r w:rsidR="001A6F04">
        <w:t xml:space="preserve">aw </w:t>
      </w:r>
      <w:r w:rsidRPr="00153DA7">
        <w:t>C</w:t>
      </w:r>
      <w:r w:rsidR="001A6F04">
        <w:t>ommission</w:t>
      </w:r>
      <w:r w:rsidRPr="00153DA7">
        <w:t xml:space="preserve"> </w:t>
      </w:r>
      <w:r w:rsidR="001A6F04">
        <w:t xml:space="preserve">(ILC) </w:t>
      </w:r>
      <w:r w:rsidRPr="00153DA7">
        <w:t xml:space="preserve">in ontwerpconclusie 3(b) als onnodig voorzichtig </w:t>
      </w:r>
      <w:r w:rsidRPr="00153DA7">
        <w:lastRenderedPageBreak/>
        <w:t>beschouwen. De ILC heeft deze formulering echter bewust gekozen, gezien de voortdurende discussie over de waarde van wetten binnen het internationale juridische systeem. Het schrappen van voorzichtige bewoordingen zou kunnen impliceren dat dit systeem extra waarde krijgt toegekend, terwijl juist voorzichtige bewoordingen ruimte geven aan de discussie over de waarde en betrouwbaarheid van jurisprudentie. Dit kan juist het vertrouwen in toekomstige uitspraken vergroten. De</w:t>
      </w:r>
      <w:r w:rsidR="001A6F04">
        <w:t>ze</w:t>
      </w:r>
      <w:r w:rsidRPr="00153DA7">
        <w:t xml:space="preserve"> leden vragen zich dan ook af hoe </w:t>
      </w:r>
      <w:r w:rsidR="001A6F04">
        <w:t>het kabinet</w:t>
      </w:r>
      <w:r w:rsidRPr="00153DA7">
        <w:t xml:space="preserve"> dit evalueert.</w:t>
      </w:r>
    </w:p>
    <w:p w:rsidR="00F52592" w:rsidP="001A6F04" w:rsidRDefault="00F52592" w14:paraId="21C4DF57" w14:textId="77777777"/>
    <w:p w:rsidRPr="002C174A" w:rsidR="00D637E2" w:rsidP="00D637E2" w:rsidRDefault="00D637E2" w14:paraId="3684EB1B" w14:textId="77777777">
      <w:pPr>
        <w:pStyle w:val="ListParagraph"/>
        <w:numPr>
          <w:ilvl w:val="0"/>
          <w:numId w:val="37"/>
        </w:numPr>
        <w:spacing w:after="160" w:line="240" w:lineRule="auto"/>
        <w:rPr>
          <w:rFonts w:ascii="Times New Roman" w:hAnsi="Times New Roman"/>
          <w:b/>
          <w:sz w:val="24"/>
          <w:szCs w:val="24"/>
          <w:u w:val="single"/>
        </w:rPr>
      </w:pPr>
      <w:r w:rsidRPr="002C174A">
        <w:rPr>
          <w:rFonts w:ascii="Times New Roman" w:hAnsi="Times New Roman"/>
          <w:b/>
          <w:sz w:val="24"/>
          <w:szCs w:val="24"/>
          <w:u w:val="single"/>
        </w:rPr>
        <w:t>Antwoord van het kabinet</w:t>
      </w:r>
    </w:p>
    <w:p w:rsidRPr="002C174A" w:rsidR="00D637E2" w:rsidP="00D637E2" w:rsidRDefault="00D637E2" w14:paraId="243C2DF2" w14:textId="68E4C718">
      <w:pPr>
        <w:rPr>
          <w:b/>
          <w:bCs/>
        </w:rPr>
      </w:pPr>
      <w:r w:rsidRPr="002C174A">
        <w:rPr>
          <w:b/>
          <w:bCs/>
        </w:rPr>
        <w:t>De formulering van de I</w:t>
      </w:r>
      <w:r w:rsidR="00EF23AD">
        <w:rPr>
          <w:b/>
          <w:bCs/>
        </w:rPr>
        <w:t xml:space="preserve">nternational </w:t>
      </w:r>
      <w:r w:rsidRPr="002C174A">
        <w:rPr>
          <w:b/>
          <w:bCs/>
        </w:rPr>
        <w:t>L</w:t>
      </w:r>
      <w:r w:rsidR="00EF23AD">
        <w:rPr>
          <w:b/>
          <w:bCs/>
        </w:rPr>
        <w:t xml:space="preserve">aw </w:t>
      </w:r>
      <w:r w:rsidRPr="002C174A">
        <w:rPr>
          <w:b/>
          <w:bCs/>
        </w:rPr>
        <w:t>C</w:t>
      </w:r>
      <w:r w:rsidR="00EF23AD">
        <w:rPr>
          <w:b/>
          <w:bCs/>
        </w:rPr>
        <w:t>ommission (ILC)</w:t>
      </w:r>
      <w:r w:rsidRPr="002C174A">
        <w:rPr>
          <w:b/>
          <w:bCs/>
        </w:rPr>
        <w:t xml:space="preserve"> biedt volgens de ILC ruimte aan staten die sceptisch staan </w:t>
      </w:r>
      <w:r>
        <w:rPr>
          <w:b/>
          <w:bCs/>
        </w:rPr>
        <w:t>tegen</w:t>
      </w:r>
      <w:r w:rsidRPr="002C174A">
        <w:rPr>
          <w:b/>
          <w:bCs/>
        </w:rPr>
        <w:t xml:space="preserve">over de categorie algemene rechtsbeginselen gevormd binnen </w:t>
      </w:r>
      <w:r>
        <w:rPr>
          <w:b/>
          <w:bCs/>
        </w:rPr>
        <w:t>de internationale rechtsorde.</w:t>
      </w:r>
      <w:r w:rsidRPr="002C174A">
        <w:rPr>
          <w:b/>
          <w:bCs/>
        </w:rPr>
        <w:t xml:space="preserve"> Het advies van zowel het kabinet als de CAVV om te spreken over algemene rechtsbeginselen </w:t>
      </w:r>
      <w:r w:rsidRPr="0044685B" w:rsidR="0044685B">
        <w:rPr>
          <w:b/>
          <w:bCs/>
        </w:rPr>
        <w:t>‘</w:t>
      </w:r>
      <w:r w:rsidRPr="0044685B">
        <w:rPr>
          <w:b/>
          <w:bCs/>
        </w:rPr>
        <w:t>gevormd</w:t>
      </w:r>
      <w:r w:rsidRPr="0044685B" w:rsidR="0044685B">
        <w:rPr>
          <w:b/>
          <w:bCs/>
        </w:rPr>
        <w:t>’</w:t>
      </w:r>
      <w:r w:rsidRPr="002C174A">
        <w:rPr>
          <w:b/>
          <w:bCs/>
        </w:rPr>
        <w:t xml:space="preserve"> binnen </w:t>
      </w:r>
      <w:r>
        <w:rPr>
          <w:b/>
          <w:bCs/>
        </w:rPr>
        <w:t>de internationale rechtsorde</w:t>
      </w:r>
      <w:r w:rsidRPr="002C174A">
        <w:rPr>
          <w:b/>
          <w:bCs/>
        </w:rPr>
        <w:t xml:space="preserve"> in plaats van algemene rechtsbeginselen die </w:t>
      </w:r>
      <w:r w:rsidR="0044685B">
        <w:rPr>
          <w:b/>
          <w:bCs/>
        </w:rPr>
        <w:t>‘</w:t>
      </w:r>
      <w:r w:rsidRPr="0044685B">
        <w:rPr>
          <w:b/>
          <w:bCs/>
        </w:rPr>
        <w:t>gevormd kunnen worden</w:t>
      </w:r>
      <w:r w:rsidR="0044685B">
        <w:rPr>
          <w:b/>
          <w:bCs/>
        </w:rPr>
        <w:t>’</w:t>
      </w:r>
      <w:r w:rsidRPr="0044685B">
        <w:rPr>
          <w:b/>
          <w:bCs/>
        </w:rPr>
        <w:t xml:space="preserve"> </w:t>
      </w:r>
      <w:r>
        <w:rPr>
          <w:b/>
          <w:bCs/>
        </w:rPr>
        <w:t>binnen de internationale rechtsorde</w:t>
      </w:r>
      <w:r w:rsidRPr="002C174A">
        <w:rPr>
          <w:b/>
          <w:bCs/>
          <w:i/>
          <w:iCs/>
        </w:rPr>
        <w:t xml:space="preserve">, </w:t>
      </w:r>
      <w:r w:rsidRPr="002C174A">
        <w:rPr>
          <w:b/>
          <w:bCs/>
        </w:rPr>
        <w:t xml:space="preserve">is consistent met eerdere uitingen van het Koninkrijk der Nederlanden. Het Koninkrijk der Nederlanden heeft zich </w:t>
      </w:r>
      <w:r w:rsidR="0059631B">
        <w:rPr>
          <w:b/>
          <w:bCs/>
        </w:rPr>
        <w:t xml:space="preserve">bijvoorbeeld </w:t>
      </w:r>
      <w:r w:rsidRPr="002C174A">
        <w:rPr>
          <w:b/>
          <w:bCs/>
        </w:rPr>
        <w:t xml:space="preserve">voor het Zeerechttribunaal beroepen op het beginsel van vrijheid van navigatie op volle zee en erkent daarmee expliciet het bestaan van algemene rechtsbeginselen gevormd binnen de internationale rechtsorde. </w:t>
      </w:r>
    </w:p>
    <w:p w:rsidRPr="002C174A" w:rsidR="00D637E2" w:rsidP="00D637E2" w:rsidRDefault="00D637E2" w14:paraId="33BB6D2A" w14:textId="77777777">
      <w:pPr>
        <w:rPr>
          <w:b/>
          <w:bCs/>
        </w:rPr>
      </w:pPr>
    </w:p>
    <w:p w:rsidRPr="002C174A" w:rsidR="00D637E2" w:rsidP="00D637E2" w:rsidRDefault="00D637E2" w14:paraId="3857AC57" w14:textId="77777777">
      <w:pPr>
        <w:rPr>
          <w:b/>
          <w:bCs/>
        </w:rPr>
      </w:pPr>
      <w:r w:rsidRPr="002C174A">
        <w:rPr>
          <w:b/>
          <w:bCs/>
        </w:rPr>
        <w:t xml:space="preserve">De ILC heeft het mandaat om </w:t>
      </w:r>
      <w:r>
        <w:rPr>
          <w:b/>
          <w:bCs/>
        </w:rPr>
        <w:t>een gezaghebbende toelichting te geven op de aard, reikwijdte en functies van algemene rechtsbeginselen, evenals op de wijze waarop zij moeten worden geïdentificeerd</w:t>
      </w:r>
      <w:r w:rsidRPr="002C174A">
        <w:rPr>
          <w:b/>
          <w:bCs/>
        </w:rPr>
        <w:t xml:space="preserve">. Opname van tegengestelde meningen in de toelichting of in het rapport van de ILC zelf dient voldoende te zijn om ruimte te geven aan discussie. Dit hoeft niet in de conclusies zelf tot uiting te worden gebracht. </w:t>
      </w:r>
    </w:p>
    <w:p w:rsidRPr="00F52592" w:rsidR="00F52592" w:rsidP="001A6F04" w:rsidRDefault="00F52592" w14:paraId="0476C2BE" w14:textId="431D1132">
      <w:pPr>
        <w:rPr>
          <w:color w:val="FF0000"/>
        </w:rPr>
      </w:pPr>
    </w:p>
    <w:p w:rsidR="006B6C93" w:rsidP="00B027FE" w:rsidRDefault="001A6F04" w14:paraId="1DCCEC5D" w14:textId="6B9B1006">
      <w:r>
        <w:t>D</w:t>
      </w:r>
      <w:r w:rsidRPr="00153DA7" w:rsidR="00B027FE">
        <w:t xml:space="preserve">e leden </w:t>
      </w:r>
      <w:r>
        <w:t xml:space="preserve">van de VVD-fractie </w:t>
      </w:r>
      <w:r w:rsidRPr="00153DA7" w:rsidR="00B027FE">
        <w:t>hechten veel waarde aan het sluiten van internationale verdragen. Zij zien dit als een internationaal democratisch middel om internationaal recht af te dwingen. De</w:t>
      </w:r>
      <w:r>
        <w:t>ze</w:t>
      </w:r>
      <w:r w:rsidRPr="00153DA7" w:rsidR="00B027FE">
        <w:t xml:space="preserve"> leden lezen in het CAVV-advies dat er wordt uitgegaan van een niet hiërarchische verhouding tussen internationale verdragen en het internationale gewoonterecht. De</w:t>
      </w:r>
      <w:r>
        <w:t>ze</w:t>
      </w:r>
      <w:r w:rsidRPr="00153DA7" w:rsidR="00B027FE">
        <w:t xml:space="preserve"> leden stellen dat een verdrag wel meer waarde heeft dan internationaal gewoonterecht. Zij vragen </w:t>
      </w:r>
      <w:r>
        <w:t>het kabinet</w:t>
      </w:r>
      <w:r w:rsidRPr="00153DA7" w:rsidR="00B027FE">
        <w:t xml:space="preserve"> om een reactie op het hiërarchische verschil binnen het internationale recht tussen internationale verdragen en het internationale gewoonterecht. </w:t>
      </w:r>
    </w:p>
    <w:p w:rsidR="00F52592" w:rsidP="00B027FE" w:rsidRDefault="00F52592" w14:paraId="0F2B9A03" w14:textId="77777777"/>
    <w:p w:rsidRPr="00B03D54" w:rsidR="00D637E2" w:rsidP="00D637E2" w:rsidRDefault="00D637E2" w14:paraId="442B11ED" w14:textId="77777777">
      <w:pPr>
        <w:pStyle w:val="ListParagraph"/>
        <w:numPr>
          <w:ilvl w:val="0"/>
          <w:numId w:val="37"/>
        </w:numPr>
        <w:spacing w:after="160" w:line="240" w:lineRule="auto"/>
        <w:rPr>
          <w:rFonts w:ascii="Times New Roman" w:hAnsi="Times New Roman"/>
          <w:b/>
          <w:sz w:val="24"/>
          <w:szCs w:val="24"/>
          <w:u w:val="single"/>
        </w:rPr>
      </w:pPr>
      <w:r w:rsidRPr="00B03D54">
        <w:rPr>
          <w:rFonts w:ascii="Times New Roman" w:hAnsi="Times New Roman"/>
          <w:b/>
          <w:sz w:val="24"/>
          <w:szCs w:val="24"/>
          <w:u w:val="single"/>
        </w:rPr>
        <w:t>Antwoord van het kabinet</w:t>
      </w:r>
    </w:p>
    <w:p w:rsidRPr="00B03D54" w:rsidR="00D637E2" w:rsidP="00D637E2" w:rsidRDefault="00D637E2" w14:paraId="435B8D1C" w14:textId="56F43268">
      <w:pPr>
        <w:rPr>
          <w:b/>
          <w:bCs/>
        </w:rPr>
      </w:pPr>
      <w:r w:rsidRPr="00B03D54">
        <w:rPr>
          <w:b/>
          <w:bCs/>
        </w:rPr>
        <w:t>De wetgevers hebben in de formulering van artikel 38 van het Statuut van het Internationaal Gerechtshof geen hiërarchie voorzien tussen verdragen, internationaal gewoonterecht en algemene rechtsbeginselen. De hiërarchie die wel wordt erkend, staat uitdrukkelijk in het artikel</w:t>
      </w:r>
      <w:r w:rsidR="00FC1E11">
        <w:rPr>
          <w:b/>
          <w:bCs/>
        </w:rPr>
        <w:t xml:space="preserve"> beschreven</w:t>
      </w:r>
      <w:r w:rsidRPr="00B03D54">
        <w:rPr>
          <w:b/>
          <w:bCs/>
        </w:rPr>
        <w:t xml:space="preserve">. Jurisprudentie en het werk van de meest gekwalificeerde rechtsgeleerden worden daarin immers </w:t>
      </w:r>
      <w:r w:rsidR="00FC1E11">
        <w:rPr>
          <w:b/>
          <w:bCs/>
        </w:rPr>
        <w:t>gekwalificeerd</w:t>
      </w:r>
      <w:r w:rsidRPr="00B03D54" w:rsidR="00FC1E11">
        <w:rPr>
          <w:b/>
          <w:bCs/>
        </w:rPr>
        <w:t xml:space="preserve"> </w:t>
      </w:r>
      <w:r w:rsidRPr="00B03D54">
        <w:rPr>
          <w:b/>
          <w:bCs/>
        </w:rPr>
        <w:t>als subsidiaire bron.</w:t>
      </w:r>
    </w:p>
    <w:p w:rsidR="00F52592" w:rsidP="00B027FE" w:rsidRDefault="00F52592" w14:paraId="680F99BB" w14:textId="77777777"/>
    <w:p w:rsidRPr="00A70B93" w:rsidR="00A37015" w:rsidP="003B0C1B" w:rsidRDefault="00B027FE" w14:paraId="6630BBB6" w14:textId="4DA39988">
      <w:r w:rsidRPr="00153DA7">
        <w:t xml:space="preserve">De leden </w:t>
      </w:r>
      <w:r w:rsidR="001A6F04">
        <w:t xml:space="preserve">van de VVD-fractie </w:t>
      </w:r>
      <w:r w:rsidRPr="00153DA7">
        <w:t>lezen dat de CAVV zelf ook van mening is dat het onderscheid tussen algemene rechtsbeginselen ten opzichte van internationaal gewoonterecht niet duidelijk is</w:t>
      </w:r>
      <w:r w:rsidR="001A6F04">
        <w:t>. Deze</w:t>
      </w:r>
      <w:r w:rsidRPr="00153DA7">
        <w:t xml:space="preserve"> leden </w:t>
      </w:r>
      <w:r w:rsidR="001A6F04">
        <w:t>vragen het kabinet</w:t>
      </w:r>
      <w:r w:rsidRPr="00153DA7">
        <w:t xml:space="preserve"> dan ook of </w:t>
      </w:r>
      <w:r w:rsidR="001A6F04">
        <w:t>zij</w:t>
      </w:r>
      <w:r w:rsidRPr="00153DA7">
        <w:t xml:space="preserve"> er volledig op toe gaat zien dat dit nog verwerkt gaat worden. </w:t>
      </w:r>
    </w:p>
    <w:p w:rsidRPr="006D5160" w:rsidR="00D637E2" w:rsidP="00D637E2" w:rsidRDefault="00D637E2" w14:paraId="7771BB08"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lastRenderedPageBreak/>
        <w:t>Antwoord van het kabinet</w:t>
      </w:r>
    </w:p>
    <w:p w:rsidRPr="006D5160" w:rsidR="00D637E2" w:rsidP="00D637E2" w:rsidRDefault="00D637E2" w14:paraId="612114D8" w14:textId="77777777">
      <w:pPr>
        <w:rPr>
          <w:b/>
          <w:bCs/>
        </w:rPr>
      </w:pPr>
      <w:r w:rsidRPr="006D5160">
        <w:rPr>
          <w:b/>
          <w:bCs/>
        </w:rPr>
        <w:t xml:space="preserve">Het kabinet heeft gehoor gegeven aan de oproep aan VN lidstaten om hun standpunten te uiten en heeft de ILC verzocht om de methodologie tussen het identificeren van internationaal gewoonterecht en algemene rechtsbeginselen te verduidelijken. Of de ILC het standpunt van </w:t>
      </w:r>
      <w:r>
        <w:rPr>
          <w:b/>
          <w:bCs/>
        </w:rPr>
        <w:t xml:space="preserve">het Koninkrijk der </w:t>
      </w:r>
      <w:r w:rsidRPr="006D5160">
        <w:rPr>
          <w:b/>
          <w:bCs/>
        </w:rPr>
        <w:t>Nederland</w:t>
      </w:r>
      <w:r>
        <w:rPr>
          <w:b/>
          <w:bCs/>
        </w:rPr>
        <w:t>en</w:t>
      </w:r>
      <w:r w:rsidRPr="006D5160">
        <w:rPr>
          <w:b/>
          <w:bCs/>
        </w:rPr>
        <w:t xml:space="preserve"> verwerkt en overneemt moet worden afgewacht.</w:t>
      </w:r>
    </w:p>
    <w:p w:rsidR="0036177B" w:rsidP="003B0C1B" w:rsidRDefault="0036177B" w14:paraId="6E2E9CA0" w14:textId="77777777">
      <w:pPr>
        <w:rPr>
          <w:color w:val="FF0000"/>
        </w:rPr>
      </w:pPr>
    </w:p>
    <w:p w:rsidRPr="00153DA7" w:rsidR="00B027FE" w:rsidP="003B0C1B" w:rsidRDefault="00B027FE" w14:paraId="2D78EF1B" w14:textId="65D8EAFC">
      <w:r w:rsidRPr="00153DA7">
        <w:t>De leden</w:t>
      </w:r>
      <w:r w:rsidR="001A6F04">
        <w:t xml:space="preserve"> van de VVD-fractie</w:t>
      </w:r>
      <w:r w:rsidRPr="00153DA7">
        <w:t xml:space="preserve"> constateren dat er afgelopen jaren veel scepticisme en discussie is geweest over de werking van het internationaal recht en het </w:t>
      </w:r>
      <w:r w:rsidR="001A6F04">
        <w:t>Internationa</w:t>
      </w:r>
      <w:r w:rsidR="00E875E1">
        <w:t>a</w:t>
      </w:r>
      <w:r w:rsidR="001A6F04">
        <w:t>l Gerechtshof</w:t>
      </w:r>
      <w:r w:rsidRPr="00153DA7">
        <w:t>. De</w:t>
      </w:r>
      <w:r w:rsidR="001A6F04">
        <w:t>ze</w:t>
      </w:r>
      <w:r w:rsidRPr="00153DA7">
        <w:t xml:space="preserve"> leden </w:t>
      </w:r>
      <w:r w:rsidR="001A6F04">
        <w:t>vragen</w:t>
      </w:r>
      <w:r w:rsidRPr="00153DA7">
        <w:t xml:space="preserve"> </w:t>
      </w:r>
      <w:r w:rsidR="001A6F04">
        <w:t>het kabinet</w:t>
      </w:r>
      <w:r w:rsidRPr="00153DA7">
        <w:t xml:space="preserve"> dan ook hoe een aanscherping en dus versterking van het statuut van het Internationaal Gerechtshof, en dus het internationaal recht, in verhouding staa</w:t>
      </w:r>
      <w:r w:rsidR="00E875E1">
        <w:t>n</w:t>
      </w:r>
      <w:r w:rsidRPr="00153DA7">
        <w:t xml:space="preserve"> tot alle kritiek en scepticisme die bestaat </w:t>
      </w:r>
      <w:r w:rsidR="00E875E1">
        <w:t>over</w:t>
      </w:r>
      <w:r w:rsidRPr="00153DA7">
        <w:t xml:space="preserve"> het </w:t>
      </w:r>
      <w:r w:rsidR="00E875E1">
        <w:t xml:space="preserve">Internationaal Gerechtshof </w:t>
      </w:r>
      <w:r w:rsidRPr="00153DA7">
        <w:t>en internationaal recht.</w:t>
      </w:r>
      <w:r w:rsidR="003B0C1B">
        <w:t xml:space="preserve"> </w:t>
      </w:r>
      <w:r w:rsidR="006B6C93">
        <w:t>Deze leden</w:t>
      </w:r>
      <w:r w:rsidRPr="00153DA7">
        <w:t xml:space="preserve"> constateren </w:t>
      </w:r>
      <w:r w:rsidR="003B0C1B">
        <w:t xml:space="preserve">dat </w:t>
      </w:r>
      <w:r w:rsidRPr="00153DA7">
        <w:t xml:space="preserve">in het CAVV-advies </w:t>
      </w:r>
      <w:r w:rsidR="003B0C1B">
        <w:t xml:space="preserve">het antwoord op </w:t>
      </w:r>
      <w:r w:rsidRPr="00153DA7">
        <w:t>de vraag of algemene rechtsbeginselen zelfstandig primaire rechten en plichten en secundaire en procedurele regels kunnen genereren</w:t>
      </w:r>
      <w:r w:rsidR="003B0C1B">
        <w:t>,</w:t>
      </w:r>
      <w:r w:rsidRPr="00153DA7">
        <w:t xml:space="preserve"> onduidelijk is. De</w:t>
      </w:r>
      <w:r w:rsidR="003B0C1B">
        <w:t>ze</w:t>
      </w:r>
      <w:r w:rsidRPr="00153DA7">
        <w:t xml:space="preserve"> leden </w:t>
      </w:r>
      <w:r w:rsidR="003B0C1B">
        <w:t>uiten</w:t>
      </w:r>
      <w:r w:rsidRPr="00153DA7">
        <w:t xml:space="preserve"> hun zorgen hierover, aangezien een mogelijk </w:t>
      </w:r>
      <w:r w:rsidR="003B0C1B">
        <w:t>‘</w:t>
      </w:r>
      <w:r w:rsidRPr="00153DA7">
        <w:t>ja</w:t>
      </w:r>
      <w:r w:rsidR="003B0C1B">
        <w:t>’</w:t>
      </w:r>
      <w:r w:rsidRPr="00153DA7">
        <w:t xml:space="preserve"> </w:t>
      </w:r>
      <w:r w:rsidR="003B0C1B">
        <w:t xml:space="preserve">als antwoord </w:t>
      </w:r>
      <w:r w:rsidRPr="00153DA7">
        <w:t xml:space="preserve">op </w:t>
      </w:r>
      <w:r w:rsidR="003B0C1B">
        <w:t xml:space="preserve">deze vraag </w:t>
      </w:r>
      <w:r w:rsidRPr="00153DA7">
        <w:t xml:space="preserve">een belangrijke uitbreiding van de juridische functie van het </w:t>
      </w:r>
      <w:r w:rsidR="003B0C1B">
        <w:t>Internationaal Gerechtshof</w:t>
      </w:r>
      <w:r w:rsidRPr="00153DA7">
        <w:t xml:space="preserve"> zou blijken. De</w:t>
      </w:r>
      <w:r w:rsidR="003B0C1B">
        <w:t>ze</w:t>
      </w:r>
      <w:r w:rsidRPr="00153DA7">
        <w:t xml:space="preserve"> leden vragen hoe </w:t>
      </w:r>
      <w:r w:rsidR="003B0C1B">
        <w:t>het</w:t>
      </w:r>
      <w:r w:rsidRPr="00153DA7">
        <w:t xml:space="preserve"> </w:t>
      </w:r>
      <w:r w:rsidR="003B0C1B">
        <w:t>kabinet</w:t>
      </w:r>
      <w:r w:rsidRPr="00153DA7">
        <w:t xml:space="preserve"> dit interpreteert</w:t>
      </w:r>
      <w:r w:rsidR="003B0C1B">
        <w:t>.</w:t>
      </w:r>
      <w:r w:rsidRPr="00153DA7">
        <w:t xml:space="preserve"> </w:t>
      </w:r>
      <w:r w:rsidR="003B0C1B">
        <w:t>W</w:t>
      </w:r>
      <w:r w:rsidRPr="00153DA7">
        <w:t xml:space="preserve">il </w:t>
      </w:r>
      <w:r w:rsidR="003B0C1B">
        <w:t>het kabinet</w:t>
      </w:r>
      <w:r w:rsidRPr="00153DA7">
        <w:t xml:space="preserve"> erop toezien dat het statuut </w:t>
      </w:r>
      <w:r w:rsidR="003B0C1B">
        <w:t xml:space="preserve">van het Internationaal Gerechtshof </w:t>
      </w:r>
      <w:r w:rsidRPr="00153DA7">
        <w:t>duidelijk stelt</w:t>
      </w:r>
      <w:r w:rsidR="000E6010">
        <w:t>,</w:t>
      </w:r>
      <w:r w:rsidRPr="00153DA7">
        <w:t xml:space="preserve"> dat hier geen sprake van moet zijn? Kan </w:t>
      </w:r>
      <w:r w:rsidR="003B0C1B">
        <w:t>het kabinet</w:t>
      </w:r>
      <w:r w:rsidRPr="00153DA7">
        <w:t xml:space="preserve"> daar</w:t>
      </w:r>
      <w:r w:rsidR="003B0C1B">
        <w:t>mee</w:t>
      </w:r>
      <w:r w:rsidRPr="00153DA7">
        <w:t xml:space="preserve"> niet akkoord gaan totdat dit duidelijker geformuleerd is? De leden </w:t>
      </w:r>
      <w:r w:rsidR="003B0C1B">
        <w:t xml:space="preserve">van de VVD-fractie </w:t>
      </w:r>
      <w:r w:rsidRPr="00153DA7">
        <w:t xml:space="preserve">vragen in navolging van het </w:t>
      </w:r>
      <w:r w:rsidR="00BA485B">
        <w:t>CAVV-</w:t>
      </w:r>
      <w:r w:rsidRPr="00153DA7">
        <w:t xml:space="preserve">advies ook hoe het kabinet aankijkt tegen de verdere codificering van het internationaal recht, gelet op dergelijke versterkingen van de statuten. Kan </w:t>
      </w:r>
      <w:r w:rsidR="00BA485B">
        <w:t>het kabinet</w:t>
      </w:r>
      <w:r w:rsidRPr="00153DA7">
        <w:t xml:space="preserve"> toelichten hoe zij hiernaar kijk</w:t>
      </w:r>
      <w:r w:rsidR="00BA485B">
        <w:t>t</w:t>
      </w:r>
      <w:r w:rsidRPr="00153DA7">
        <w:t>?</w:t>
      </w:r>
    </w:p>
    <w:p w:rsidR="00B027FE" w:rsidP="00B027FE" w:rsidRDefault="00B027FE" w14:paraId="1379B009" w14:textId="77777777"/>
    <w:p w:rsidRPr="006D5160" w:rsidR="00D637E2" w:rsidP="00D637E2" w:rsidRDefault="00D637E2" w14:paraId="5C5F4DDF"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4F33B6" w:rsidP="00A37015" w:rsidRDefault="001F1E99" w14:paraId="3D74F00F" w14:textId="6D77F833">
      <w:pPr>
        <w:rPr>
          <w:b/>
          <w:bCs/>
        </w:rPr>
      </w:pPr>
      <w:r w:rsidRPr="00D637E2">
        <w:rPr>
          <w:b/>
          <w:bCs/>
        </w:rPr>
        <w:t>H</w:t>
      </w:r>
      <w:r w:rsidRPr="00D637E2" w:rsidR="00105E63">
        <w:rPr>
          <w:b/>
          <w:bCs/>
        </w:rPr>
        <w:t>et</w:t>
      </w:r>
      <w:r w:rsidRPr="00D637E2">
        <w:rPr>
          <w:b/>
          <w:bCs/>
        </w:rPr>
        <w:t xml:space="preserve"> Koninkrijk der Nederlanden</w:t>
      </w:r>
      <w:r w:rsidRPr="00D637E2" w:rsidR="003C44CE">
        <w:rPr>
          <w:b/>
          <w:bCs/>
        </w:rPr>
        <w:t xml:space="preserve"> is partij bij het </w:t>
      </w:r>
      <w:r w:rsidRPr="00D637E2" w:rsidR="00600F55">
        <w:rPr>
          <w:b/>
          <w:bCs/>
        </w:rPr>
        <w:t xml:space="preserve">Handvest van de Verenigde Naties en daarmee ook bij het Statuut van het Internationaal Gerechtshof. </w:t>
      </w:r>
      <w:r w:rsidRPr="00D637E2">
        <w:rPr>
          <w:b/>
          <w:bCs/>
        </w:rPr>
        <w:t xml:space="preserve">Het kabinet </w:t>
      </w:r>
      <w:r w:rsidRPr="00D637E2" w:rsidR="00C02AC8">
        <w:rPr>
          <w:b/>
          <w:bCs/>
        </w:rPr>
        <w:t>heeft de mogelijkheid om</w:t>
      </w:r>
      <w:r w:rsidRPr="00D637E2" w:rsidR="00600F55">
        <w:rPr>
          <w:b/>
          <w:bCs/>
        </w:rPr>
        <w:t xml:space="preserve"> bij de ILC </w:t>
      </w:r>
      <w:r w:rsidRPr="00D637E2" w:rsidR="002C58F3">
        <w:rPr>
          <w:b/>
          <w:bCs/>
        </w:rPr>
        <w:t>het standpunt van het Koninkrijk</w:t>
      </w:r>
      <w:r w:rsidRPr="00D637E2" w:rsidR="00600F55">
        <w:rPr>
          <w:b/>
          <w:bCs/>
        </w:rPr>
        <w:t xml:space="preserve"> der Nederlanden </w:t>
      </w:r>
      <w:r w:rsidR="0059631B">
        <w:rPr>
          <w:b/>
          <w:bCs/>
        </w:rPr>
        <w:t xml:space="preserve">over </w:t>
      </w:r>
      <w:r w:rsidRPr="00D637E2" w:rsidR="00C02AC8">
        <w:rPr>
          <w:b/>
          <w:bCs/>
        </w:rPr>
        <w:t xml:space="preserve">te </w:t>
      </w:r>
      <w:r w:rsidR="0059631B">
        <w:rPr>
          <w:b/>
          <w:bCs/>
        </w:rPr>
        <w:t>brengen</w:t>
      </w:r>
      <w:r w:rsidRPr="00D637E2" w:rsidR="00600F55">
        <w:rPr>
          <w:b/>
          <w:bCs/>
        </w:rPr>
        <w:t xml:space="preserve"> </w:t>
      </w:r>
      <w:r w:rsidRPr="00D637E2" w:rsidR="00C02AC8">
        <w:rPr>
          <w:b/>
          <w:bCs/>
        </w:rPr>
        <w:t xml:space="preserve">ten aanzien van </w:t>
      </w:r>
      <w:r w:rsidR="004F33B6">
        <w:rPr>
          <w:b/>
          <w:bCs/>
        </w:rPr>
        <w:t>de aard, reikwijdte, functie</w:t>
      </w:r>
      <w:r w:rsidR="00863FFF">
        <w:rPr>
          <w:b/>
          <w:bCs/>
        </w:rPr>
        <w:t>,</w:t>
      </w:r>
      <w:r w:rsidR="004F33B6">
        <w:rPr>
          <w:b/>
          <w:bCs/>
        </w:rPr>
        <w:t xml:space="preserve"> en methodologie ter identificatie van algemene rechtsbeginselen in de zin van artikel </w:t>
      </w:r>
      <w:r w:rsidR="0059631B">
        <w:rPr>
          <w:b/>
          <w:bCs/>
        </w:rPr>
        <w:t>38</w:t>
      </w:r>
      <w:r w:rsidR="004F33B6">
        <w:rPr>
          <w:b/>
          <w:bCs/>
        </w:rPr>
        <w:t xml:space="preserve"> van het </w:t>
      </w:r>
      <w:r w:rsidRPr="00D637E2" w:rsidR="00C02AC8">
        <w:rPr>
          <w:b/>
          <w:bCs/>
        </w:rPr>
        <w:t xml:space="preserve">Statuut </w:t>
      </w:r>
      <w:r w:rsidR="00D637E2">
        <w:rPr>
          <w:b/>
          <w:bCs/>
        </w:rPr>
        <w:t>van het Internationaal Gerechtshof</w:t>
      </w:r>
      <w:r w:rsidR="004F33B6">
        <w:rPr>
          <w:b/>
          <w:bCs/>
        </w:rPr>
        <w:t>. Het Koninkrijk</w:t>
      </w:r>
      <w:r w:rsidRPr="00D637E2" w:rsidR="00600F55">
        <w:rPr>
          <w:b/>
          <w:bCs/>
        </w:rPr>
        <w:t xml:space="preserve"> heeft aangegeven</w:t>
      </w:r>
      <w:r w:rsidRPr="00D637E2" w:rsidR="002C58F3">
        <w:rPr>
          <w:b/>
          <w:bCs/>
        </w:rPr>
        <w:t xml:space="preserve"> dat </w:t>
      </w:r>
      <w:r w:rsidR="004F33B6">
        <w:rPr>
          <w:b/>
          <w:bCs/>
        </w:rPr>
        <w:t>nadere toelichting over het verband tussen de inhoud en reikwijdte van een algemeen rechtsbeginsel en de functie die het vervult</w:t>
      </w:r>
      <w:r w:rsidR="00EF23AD">
        <w:rPr>
          <w:b/>
          <w:bCs/>
        </w:rPr>
        <w:t xml:space="preserve"> gewenst is</w:t>
      </w:r>
      <w:r w:rsidRPr="00D637E2" w:rsidR="00600F55">
        <w:rPr>
          <w:b/>
          <w:bCs/>
        </w:rPr>
        <w:t>.</w:t>
      </w:r>
      <w:r w:rsidRPr="00D637E2" w:rsidR="003B6AF2">
        <w:rPr>
          <w:b/>
          <w:bCs/>
        </w:rPr>
        <w:t xml:space="preserve"> </w:t>
      </w:r>
      <w:r w:rsidRPr="00D637E2" w:rsidR="00EF23AD">
        <w:rPr>
          <w:b/>
          <w:bCs/>
        </w:rPr>
        <w:t>Het kabinet hecht groot belang aan</w:t>
      </w:r>
      <w:r w:rsidR="001C30B7">
        <w:rPr>
          <w:b/>
          <w:bCs/>
        </w:rPr>
        <w:t xml:space="preserve"> het</w:t>
      </w:r>
      <w:r w:rsidRPr="00D637E2" w:rsidR="00EF23AD">
        <w:rPr>
          <w:b/>
          <w:bCs/>
        </w:rPr>
        <w:t xml:space="preserve"> internationaal recht en </w:t>
      </w:r>
      <w:r w:rsidR="00E574C2">
        <w:rPr>
          <w:b/>
          <w:bCs/>
        </w:rPr>
        <w:t xml:space="preserve">acht </w:t>
      </w:r>
      <w:r w:rsidR="00EF23AD">
        <w:rPr>
          <w:b/>
          <w:bCs/>
        </w:rPr>
        <w:t>het werk van de ILC inzake</w:t>
      </w:r>
      <w:r w:rsidRPr="00D637E2" w:rsidR="00EF23AD">
        <w:rPr>
          <w:b/>
          <w:bCs/>
        </w:rPr>
        <w:t xml:space="preserve"> algemene rechtsbeginselen als positief voor de ontwikkeling van de internationale rechtsorde.</w:t>
      </w:r>
    </w:p>
    <w:p w:rsidR="004F33B6" w:rsidP="00A37015" w:rsidRDefault="004F33B6" w14:paraId="3B3EE14D" w14:textId="77777777">
      <w:pPr>
        <w:rPr>
          <w:b/>
          <w:bCs/>
        </w:rPr>
      </w:pPr>
    </w:p>
    <w:p w:rsidRPr="00D637E2" w:rsidR="00105E63" w:rsidP="00E505B8" w:rsidRDefault="003B6AF2" w14:paraId="1C604612" w14:textId="76700A96">
      <w:pPr>
        <w:rPr>
          <w:b/>
          <w:bCs/>
        </w:rPr>
      </w:pPr>
      <w:r w:rsidRPr="00D637E2">
        <w:rPr>
          <w:b/>
          <w:bCs/>
        </w:rPr>
        <w:t xml:space="preserve">De vraag omtrent het zelfstandig genereren van rechten en plichten door algemene rechtsbeginselen is </w:t>
      </w:r>
      <w:r w:rsidR="002072C3">
        <w:rPr>
          <w:b/>
          <w:bCs/>
        </w:rPr>
        <w:t>de minister</w:t>
      </w:r>
      <w:r w:rsidR="004C526B">
        <w:rPr>
          <w:b/>
          <w:bCs/>
        </w:rPr>
        <w:t xml:space="preserve"> </w:t>
      </w:r>
      <w:r w:rsidRPr="00D637E2">
        <w:rPr>
          <w:b/>
          <w:bCs/>
        </w:rPr>
        <w:t>niet geheel duidelijk, maar voor zover deze vraag betrekking heeft op het punt of algemene rechtsbeginselen rechten en plichten kunnen genereren voor staten, is het antwoord van het kabinet daarop bevestigend. Om die reden zijn algemene rechtsbeginselen als rechtsbron ook opgenomen in artikel 38 van het Statuut van het Internationaal Gerechtshof. Het beginsel van onderscheid in het humanitair oorlogsrecht schept bijvoorbeeld inderdaad verplichtingen voor de strijdende partijen. De taak van het Internationaal Gerechtshof is om geschillen te beslechten en adviezen te geven</w:t>
      </w:r>
      <w:r w:rsidR="004F33B6">
        <w:rPr>
          <w:b/>
          <w:bCs/>
        </w:rPr>
        <w:t xml:space="preserve"> </w:t>
      </w:r>
      <w:r w:rsidRPr="00D637E2" w:rsidR="004F33B6">
        <w:rPr>
          <w:b/>
          <w:bCs/>
        </w:rPr>
        <w:t xml:space="preserve">op verzoek van daartoe gemachtigde organen en </w:t>
      </w:r>
      <w:r w:rsidR="0059631B">
        <w:rPr>
          <w:b/>
          <w:bCs/>
        </w:rPr>
        <w:t>gespecialiseerde organisaties</w:t>
      </w:r>
      <w:r w:rsidRPr="00D637E2" w:rsidR="004F33B6">
        <w:rPr>
          <w:b/>
          <w:bCs/>
        </w:rPr>
        <w:t xml:space="preserve"> van de VN</w:t>
      </w:r>
      <w:r w:rsidRPr="00D637E2">
        <w:rPr>
          <w:b/>
          <w:bCs/>
        </w:rPr>
        <w:t xml:space="preserve">. Bij het vervullen van die taak zal het Hof het toepasselijk recht moeten vinden. Daarbij kan </w:t>
      </w:r>
      <w:r w:rsidRPr="00D637E2">
        <w:rPr>
          <w:b/>
          <w:bCs/>
        </w:rPr>
        <w:lastRenderedPageBreak/>
        <w:t>het Hof een rechtsbeginsel identificeren en interpreteren, waarbij het Hof tot het oordeel kan komen dat een staat of dat staten op basis van dat rechtsbeginsel bepaalde rechten of verplichtingen onder het internationaal recht hebben. Dat is geen uitbreiding van de functie van het Internationaal Gerechtshof, maar betreft de kern van haar functioneren als internationaal gerechtelijke instantie</w:t>
      </w:r>
      <w:r w:rsidR="00D637E2">
        <w:rPr>
          <w:b/>
          <w:bCs/>
        </w:rPr>
        <w:t>.</w:t>
      </w:r>
      <w:r w:rsidRPr="00D637E2" w:rsidR="00600F55">
        <w:rPr>
          <w:b/>
          <w:bCs/>
        </w:rPr>
        <w:t xml:space="preserve"> </w:t>
      </w:r>
    </w:p>
    <w:p w:rsidRPr="00B123A9" w:rsidR="00105E63" w:rsidP="00B027FE" w:rsidRDefault="00105E63" w14:paraId="568F1F3E" w14:textId="77777777"/>
    <w:p w:rsidR="00124CA6" w:rsidP="00124CA6" w:rsidRDefault="00124CA6" w14:paraId="3E62F8D9" w14:textId="77777777">
      <w:pPr>
        <w:rPr>
          <w:b/>
        </w:rPr>
      </w:pPr>
      <w:r>
        <w:rPr>
          <w:b/>
        </w:rPr>
        <w:t>Vragen en opmerkingen van de leden van de NSC-fractie</w:t>
      </w:r>
    </w:p>
    <w:p w:rsidR="00124CA6" w:rsidP="00124CA6" w:rsidRDefault="00124CA6" w14:paraId="75F183C8" w14:textId="77777777">
      <w:pPr>
        <w:rPr>
          <w:b/>
        </w:rPr>
      </w:pPr>
    </w:p>
    <w:p w:rsidR="00B027FE" w:rsidP="00B027FE" w:rsidRDefault="00B027FE" w14:paraId="4D597F86" w14:textId="77777777">
      <w:r>
        <w:t xml:space="preserve">De leden van de NSC-fractie hebben met interesse kennisgenomen van de stukken </w:t>
      </w:r>
      <w:r w:rsidR="00D72834">
        <w:t>voor</w:t>
      </w:r>
      <w:r>
        <w:t xml:space="preserve"> dit schriftelijk overleg. De</w:t>
      </w:r>
      <w:r w:rsidR="00D72834">
        <w:t>ze</w:t>
      </w:r>
      <w:r>
        <w:t xml:space="preserve"> leden hebben zich ervan kunnen overtuigen dat er door de experts van CAVV zorgvuldig naar </w:t>
      </w:r>
      <w:r w:rsidR="00D72834">
        <w:t>de ontwerpconclusies van de International Law Commission</w:t>
      </w:r>
      <w:r>
        <w:t xml:space="preserve"> is gekeken. </w:t>
      </w:r>
      <w:r w:rsidR="00D72834">
        <w:t>Deze leden</w:t>
      </w:r>
      <w:r>
        <w:t xml:space="preserve"> kunnen zich dan ook in de reactie van het kabinet op CAVV</w:t>
      </w:r>
      <w:r w:rsidR="00D72834">
        <w:t>-</w:t>
      </w:r>
      <w:r>
        <w:t xml:space="preserve">advies </w:t>
      </w:r>
      <w:r w:rsidR="00D72834">
        <w:t>nummer</w:t>
      </w:r>
      <w:r>
        <w:t xml:space="preserve"> 46 vinden. </w:t>
      </w:r>
    </w:p>
    <w:p w:rsidR="00B027FE" w:rsidP="00124CA6" w:rsidRDefault="00B027FE" w14:paraId="7D7E18DC" w14:textId="77777777">
      <w:pPr>
        <w:rPr>
          <w:b/>
        </w:rPr>
      </w:pPr>
    </w:p>
    <w:p w:rsidRPr="00D72834" w:rsidR="00124CA6" w:rsidP="00124CA6" w:rsidRDefault="00124CA6" w14:paraId="698CA050" w14:textId="77777777">
      <w:pPr>
        <w:rPr>
          <w:b/>
        </w:rPr>
      </w:pPr>
      <w:r w:rsidRPr="00D72834">
        <w:rPr>
          <w:b/>
        </w:rPr>
        <w:t>Vragen en opmerkingen van de leden van de BBB-fractie</w:t>
      </w:r>
    </w:p>
    <w:p w:rsidRPr="00D72834" w:rsidR="00B027FE" w:rsidP="00124CA6" w:rsidRDefault="00B027FE" w14:paraId="52EF0895" w14:textId="77777777">
      <w:pPr>
        <w:rPr>
          <w:b/>
        </w:rPr>
      </w:pPr>
    </w:p>
    <w:p w:rsidR="00D72834" w:rsidP="00B00700" w:rsidRDefault="00B027FE" w14:paraId="37292F12" w14:textId="77777777">
      <w:pPr>
        <w:rPr>
          <w:rFonts w:eastAsia="Aptos"/>
          <w:kern w:val="2"/>
          <w:lang w:eastAsia="en-US"/>
        </w:rPr>
      </w:pPr>
      <w:r w:rsidRPr="00D72834">
        <w:rPr>
          <w:rFonts w:eastAsia="Aptos"/>
          <w:kern w:val="2"/>
          <w:lang w:eastAsia="en-US"/>
        </w:rPr>
        <w:t>De leden van de BBB-fractie hebben kennisgenomen van</w:t>
      </w:r>
      <w:r w:rsidR="00D72834">
        <w:rPr>
          <w:rFonts w:eastAsia="Aptos"/>
          <w:kern w:val="2"/>
          <w:lang w:eastAsia="en-US"/>
        </w:rPr>
        <w:t xml:space="preserve"> </w:t>
      </w:r>
      <w:r w:rsidRPr="00D72834">
        <w:rPr>
          <w:rFonts w:eastAsia="Aptos"/>
          <w:kern w:val="2"/>
          <w:lang w:eastAsia="en-US"/>
        </w:rPr>
        <w:t>het advies van de Commissie van advies inzake volkenrechtelijke vraagstukken (CAVV) over de ontwerpconclusies van de International Law Commission inzake algemene rechtsbeginselen</w:t>
      </w:r>
      <w:r w:rsidR="00D72834">
        <w:rPr>
          <w:rFonts w:eastAsia="Aptos"/>
          <w:kern w:val="2"/>
          <w:lang w:eastAsia="en-US"/>
        </w:rPr>
        <w:t xml:space="preserve"> en de kabinetsreactie daarop</w:t>
      </w:r>
      <w:r w:rsidRPr="00D72834">
        <w:rPr>
          <w:rFonts w:eastAsia="Aptos"/>
          <w:kern w:val="2"/>
          <w:lang w:eastAsia="en-US"/>
        </w:rPr>
        <w:t>. De leden van de BBB-fractie hebben nog de volgende vragen en opmerkingen.</w:t>
      </w:r>
    </w:p>
    <w:p w:rsidRPr="00D72834" w:rsidR="00B027FE" w:rsidP="00D7150B" w:rsidRDefault="00B027FE" w14:paraId="41FF9171" w14:textId="77777777">
      <w:pPr>
        <w:rPr>
          <w:rFonts w:eastAsia="Aptos"/>
          <w:kern w:val="2"/>
          <w:lang w:eastAsia="en-US"/>
        </w:rPr>
      </w:pPr>
      <w:r w:rsidRPr="00D72834">
        <w:rPr>
          <w:rFonts w:eastAsia="Aptos"/>
          <w:kern w:val="2"/>
          <w:lang w:eastAsia="en-US"/>
        </w:rPr>
        <w:t>De leden van de BBB</w:t>
      </w:r>
      <w:r w:rsidR="00D72834">
        <w:rPr>
          <w:rFonts w:eastAsia="Aptos"/>
          <w:kern w:val="2"/>
          <w:lang w:eastAsia="en-US"/>
        </w:rPr>
        <w:t>-fractie</w:t>
      </w:r>
      <w:r w:rsidRPr="00D72834">
        <w:rPr>
          <w:rFonts w:eastAsia="Aptos"/>
          <w:kern w:val="2"/>
          <w:lang w:eastAsia="en-US"/>
        </w:rPr>
        <w:t xml:space="preserve"> volgen de lijn van </w:t>
      </w:r>
      <w:r w:rsidR="00B00700">
        <w:rPr>
          <w:rFonts w:eastAsia="Aptos"/>
          <w:kern w:val="2"/>
          <w:lang w:eastAsia="en-US"/>
        </w:rPr>
        <w:t>de</w:t>
      </w:r>
      <w:r w:rsidRPr="00D72834">
        <w:rPr>
          <w:rFonts w:eastAsia="Aptos"/>
          <w:kern w:val="2"/>
          <w:lang w:eastAsia="en-US"/>
        </w:rPr>
        <w:t xml:space="preserve"> kabinet</w:t>
      </w:r>
      <w:r w:rsidR="00B00700">
        <w:rPr>
          <w:rFonts w:eastAsia="Aptos"/>
          <w:kern w:val="2"/>
          <w:lang w:eastAsia="en-US"/>
        </w:rPr>
        <w:t>sreactie,</w:t>
      </w:r>
      <w:r w:rsidRPr="00D72834">
        <w:rPr>
          <w:rFonts w:eastAsia="Aptos"/>
          <w:kern w:val="2"/>
          <w:lang w:eastAsia="en-US"/>
        </w:rPr>
        <w:t xml:space="preserve"> maar hebben nog wel </w:t>
      </w:r>
      <w:r w:rsidR="00B00700">
        <w:rPr>
          <w:rFonts w:eastAsia="Aptos"/>
          <w:kern w:val="2"/>
          <w:lang w:eastAsia="en-US"/>
        </w:rPr>
        <w:t>een</w:t>
      </w:r>
      <w:r w:rsidRPr="00D72834">
        <w:rPr>
          <w:rFonts w:eastAsia="Aptos"/>
          <w:kern w:val="2"/>
          <w:lang w:eastAsia="en-US"/>
        </w:rPr>
        <w:t xml:space="preserve"> vraag over het gestelde op pagina 6 </w:t>
      </w:r>
      <w:r w:rsidR="00B00700">
        <w:rPr>
          <w:rFonts w:eastAsia="Aptos"/>
          <w:kern w:val="2"/>
          <w:lang w:eastAsia="en-US"/>
        </w:rPr>
        <w:t xml:space="preserve">van deze kabinetsreactie </w:t>
      </w:r>
      <w:r w:rsidRPr="00D72834">
        <w:rPr>
          <w:rFonts w:eastAsia="Aptos"/>
          <w:kern w:val="2"/>
          <w:lang w:eastAsia="en-US"/>
        </w:rPr>
        <w:t xml:space="preserve">over </w:t>
      </w:r>
      <w:r w:rsidR="00B00700">
        <w:rPr>
          <w:rFonts w:eastAsia="Aptos"/>
          <w:kern w:val="2"/>
          <w:lang w:eastAsia="en-US"/>
        </w:rPr>
        <w:t>“’</w:t>
      </w:r>
      <w:r w:rsidRPr="00D72834">
        <w:rPr>
          <w:rFonts w:eastAsia="Aptos"/>
          <w:kern w:val="2"/>
          <w:lang w:eastAsia="en-US"/>
        </w:rPr>
        <w:t>de internationale gemeenschap</w:t>
      </w:r>
      <w:r w:rsidR="00B00700">
        <w:rPr>
          <w:rFonts w:eastAsia="Aptos"/>
          <w:kern w:val="2"/>
          <w:lang w:eastAsia="en-US"/>
        </w:rPr>
        <w:t>’</w:t>
      </w:r>
      <w:r w:rsidRPr="00D72834">
        <w:rPr>
          <w:rFonts w:eastAsia="Aptos"/>
          <w:kern w:val="2"/>
          <w:lang w:eastAsia="en-US"/>
        </w:rPr>
        <w:t xml:space="preserve">, waartoe in ieder geval staten en internationale organisaties behoren als entiteiten die een rol kunnen spelen bij het erkennen, en dus het vormen, </w:t>
      </w:r>
      <w:r w:rsidR="00B00700">
        <w:rPr>
          <w:rFonts w:eastAsia="Aptos"/>
          <w:kern w:val="2"/>
          <w:lang w:eastAsia="en-US"/>
        </w:rPr>
        <w:t>v</w:t>
      </w:r>
      <w:r w:rsidRPr="00D72834">
        <w:rPr>
          <w:rFonts w:eastAsia="Aptos"/>
          <w:kern w:val="2"/>
          <w:lang w:eastAsia="en-US"/>
        </w:rPr>
        <w:t>an algemene rechtsbeginselen</w:t>
      </w:r>
      <w:r w:rsidR="00B00700">
        <w:rPr>
          <w:rFonts w:eastAsia="Aptos"/>
          <w:kern w:val="2"/>
          <w:lang w:eastAsia="en-US"/>
        </w:rPr>
        <w:t>’</w:t>
      </w:r>
      <w:r w:rsidRPr="00D72834">
        <w:rPr>
          <w:rFonts w:eastAsia="Aptos"/>
          <w:kern w:val="2"/>
          <w:lang w:eastAsia="en-US"/>
        </w:rPr>
        <w:t xml:space="preserve">. </w:t>
      </w:r>
    </w:p>
    <w:p w:rsidR="00B027FE" w:rsidP="00B00700" w:rsidRDefault="00B027FE" w14:paraId="047B75F8" w14:textId="77777777">
      <w:pPr>
        <w:rPr>
          <w:rFonts w:eastAsia="Aptos"/>
          <w:kern w:val="2"/>
          <w:lang w:eastAsia="en-US"/>
        </w:rPr>
      </w:pPr>
      <w:r w:rsidRPr="00D72834">
        <w:rPr>
          <w:rFonts w:eastAsia="Aptos"/>
          <w:kern w:val="2"/>
          <w:lang w:eastAsia="en-US"/>
        </w:rPr>
        <w:t>Wat betekent dit</w:t>
      </w:r>
      <w:r w:rsidR="00B00700">
        <w:rPr>
          <w:rFonts w:eastAsia="Aptos"/>
          <w:kern w:val="2"/>
          <w:lang w:eastAsia="en-US"/>
        </w:rPr>
        <w:t>,</w:t>
      </w:r>
      <w:r w:rsidRPr="00D72834">
        <w:rPr>
          <w:rFonts w:eastAsia="Aptos"/>
          <w:kern w:val="2"/>
          <w:lang w:eastAsia="en-US"/>
        </w:rPr>
        <w:t xml:space="preserve"> als het hierbij gaat om niet statelijke actoren</w:t>
      </w:r>
      <w:r w:rsidR="00B00700">
        <w:rPr>
          <w:rFonts w:eastAsia="Aptos"/>
          <w:kern w:val="2"/>
          <w:lang w:eastAsia="en-US"/>
        </w:rPr>
        <w:t>,</w:t>
      </w:r>
      <w:r w:rsidRPr="00D72834">
        <w:rPr>
          <w:rFonts w:eastAsia="Aptos"/>
          <w:kern w:val="2"/>
          <w:lang w:eastAsia="en-US"/>
        </w:rPr>
        <w:t xml:space="preserve"> maar bijvoorbeeld </w:t>
      </w:r>
      <w:r w:rsidR="00B00700">
        <w:rPr>
          <w:rFonts w:eastAsia="Aptos"/>
          <w:kern w:val="2"/>
          <w:lang w:eastAsia="en-US"/>
        </w:rPr>
        <w:t xml:space="preserve">om </w:t>
      </w:r>
      <w:r w:rsidRPr="00D72834">
        <w:rPr>
          <w:rFonts w:eastAsia="Aptos"/>
          <w:kern w:val="2"/>
          <w:lang w:eastAsia="en-US"/>
        </w:rPr>
        <w:t>milities, fracties, of andere groeperingen</w:t>
      </w:r>
      <w:r w:rsidR="00B00700">
        <w:rPr>
          <w:rFonts w:eastAsia="Aptos"/>
          <w:kern w:val="2"/>
          <w:lang w:eastAsia="en-US"/>
        </w:rPr>
        <w:t>,</w:t>
      </w:r>
      <w:r w:rsidRPr="00D72834">
        <w:rPr>
          <w:rFonts w:eastAsia="Aptos"/>
          <w:kern w:val="2"/>
          <w:lang w:eastAsia="en-US"/>
        </w:rPr>
        <w:t xml:space="preserve"> die de controle over een bepaald gebied voor langere termijn lijken te hebben? </w:t>
      </w:r>
    </w:p>
    <w:p w:rsidR="00105E63" w:rsidP="00B00700" w:rsidRDefault="00105E63" w14:paraId="01A3A89D" w14:textId="77777777">
      <w:pPr>
        <w:rPr>
          <w:rFonts w:eastAsia="Aptos"/>
          <w:kern w:val="2"/>
          <w:lang w:eastAsia="en-US"/>
        </w:rPr>
      </w:pPr>
    </w:p>
    <w:p w:rsidRPr="00EF23AD" w:rsidR="008013F3" w:rsidP="00B00700" w:rsidRDefault="00EF23AD" w14:paraId="58A5454A" w14:textId="6AD242B1">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EF23AD" w:rsidR="008013F3" w:rsidP="00B00700" w:rsidRDefault="008013F3" w14:paraId="1996633A" w14:textId="3B6623A0">
      <w:pPr>
        <w:rPr>
          <w:rFonts w:eastAsia="Aptos"/>
          <w:b/>
        </w:rPr>
      </w:pPr>
      <w:r w:rsidRPr="00EF23AD">
        <w:rPr>
          <w:rFonts w:eastAsia="Aptos"/>
          <w:b/>
        </w:rPr>
        <w:t xml:space="preserve">Als subjecten van internationaal recht zijn het vooral staten die een rol kunnen spelen bij het </w:t>
      </w:r>
      <w:r w:rsidR="009A4687">
        <w:rPr>
          <w:rFonts w:eastAsia="Aptos"/>
          <w:b/>
        </w:rPr>
        <w:t xml:space="preserve">vormen en </w:t>
      </w:r>
      <w:r w:rsidRPr="00EF23AD">
        <w:rPr>
          <w:rFonts w:eastAsia="Aptos"/>
          <w:b/>
        </w:rPr>
        <w:t>erkennen van algemene rechtsbeginselen.</w:t>
      </w:r>
      <w:r w:rsidRPr="00EF23AD" w:rsidR="000E578D">
        <w:rPr>
          <w:rFonts w:eastAsia="Aptos"/>
          <w:b/>
        </w:rPr>
        <w:t xml:space="preserve"> Zoals aangegeven in het werk van de </w:t>
      </w:r>
      <w:r w:rsidR="00EF23AD">
        <w:rPr>
          <w:b/>
          <w:bCs/>
        </w:rPr>
        <w:t>ILC</w:t>
      </w:r>
      <w:r w:rsidRPr="00EF23AD" w:rsidR="000E578D">
        <w:rPr>
          <w:rFonts w:eastAsia="Aptos"/>
          <w:b/>
        </w:rPr>
        <w:t xml:space="preserve"> ten aanzien van</w:t>
      </w:r>
      <w:r w:rsidRPr="00EF23AD" w:rsidR="00BB547A">
        <w:rPr>
          <w:rFonts w:eastAsia="Aptos"/>
          <w:b/>
        </w:rPr>
        <w:t xml:space="preserve"> het vaststellen van</w:t>
      </w:r>
      <w:r w:rsidRPr="00EF23AD" w:rsidR="000E578D">
        <w:rPr>
          <w:rFonts w:eastAsia="Aptos"/>
          <w:b/>
        </w:rPr>
        <w:t xml:space="preserve"> internationaal gewoonterecht, is het primair de praktijk van staten waar naar gekeken moet worden bij het bepalen van het bestaan en de inhoud van regels van internationaal gewoonterecht.</w:t>
      </w:r>
      <w:r w:rsidRPr="00EF23AD" w:rsidR="003C58B9">
        <w:rPr>
          <w:rFonts w:eastAsia="Aptos"/>
          <w:b/>
          <w:vertAlign w:val="superscript"/>
        </w:rPr>
        <w:footnoteReference w:id="2"/>
      </w:r>
      <w:r w:rsidRPr="00EF23AD" w:rsidR="000E578D">
        <w:rPr>
          <w:rFonts w:eastAsia="Aptos"/>
          <w:b/>
        </w:rPr>
        <w:t xml:space="preserve"> Staten zijn de primaire subjecten van het internationale rechtssysteem en ze spelen daarin een uitzonderlijke rol. </w:t>
      </w:r>
      <w:r w:rsidRPr="00EF23AD" w:rsidR="003C58B9">
        <w:rPr>
          <w:rFonts w:eastAsia="Aptos"/>
          <w:b/>
        </w:rPr>
        <w:t xml:space="preserve">Als dit al geldt bij de ontwikkeling en vaststelling van regels van internationaal gewoonterecht, dan geldt dat des te meer voor de ontwikkeling van algemene rechtsbeginselen. </w:t>
      </w:r>
      <w:r w:rsidRPr="00EF23AD" w:rsidR="000E578D">
        <w:rPr>
          <w:rFonts w:eastAsia="Aptos"/>
          <w:b/>
        </w:rPr>
        <w:t xml:space="preserve">Het is daarnaast niet uitgesloten dat ook internationale organisaties, als subjecten van internationaal recht, een rol kunnen spelen bij het </w:t>
      </w:r>
      <w:r w:rsidR="009A4687">
        <w:rPr>
          <w:rFonts w:eastAsia="Aptos"/>
          <w:b/>
        </w:rPr>
        <w:t xml:space="preserve">vormen en </w:t>
      </w:r>
      <w:r w:rsidRPr="00EF23AD" w:rsidR="000E578D">
        <w:rPr>
          <w:rFonts w:eastAsia="Aptos"/>
          <w:b/>
        </w:rPr>
        <w:t>erkennen van algemene rechtsbeginselen, maar</w:t>
      </w:r>
      <w:r w:rsidRPr="00EF23AD" w:rsidR="003C58B9">
        <w:rPr>
          <w:rFonts w:eastAsia="Aptos"/>
          <w:b/>
        </w:rPr>
        <w:t xml:space="preserve"> niet in dezelfde mate als staten.</w:t>
      </w:r>
    </w:p>
    <w:p w:rsidRPr="00251B13" w:rsidR="003C58B9" w:rsidP="00B00700" w:rsidRDefault="003C58B9" w14:paraId="2DBEC272" w14:textId="77777777">
      <w:pPr>
        <w:rPr>
          <w:rFonts w:eastAsia="Aptos"/>
          <w:color w:val="4EA72E" w:themeColor="accent6"/>
          <w:kern w:val="2"/>
          <w:lang w:eastAsia="en-US"/>
        </w:rPr>
      </w:pPr>
    </w:p>
    <w:p w:rsidRPr="00EF23AD" w:rsidR="00105E63" w:rsidP="00B00700" w:rsidRDefault="003C58B9" w14:paraId="4B051D6E" w14:textId="50E18037">
      <w:pPr>
        <w:rPr>
          <w:rFonts w:eastAsia="Aptos"/>
          <w:b/>
        </w:rPr>
      </w:pPr>
      <w:r w:rsidRPr="00EF23AD">
        <w:rPr>
          <w:rFonts w:eastAsia="Aptos"/>
          <w:b/>
        </w:rPr>
        <w:t>Aangezien m</w:t>
      </w:r>
      <w:r w:rsidRPr="00EF23AD" w:rsidR="00105E63">
        <w:rPr>
          <w:rFonts w:eastAsia="Aptos"/>
          <w:b/>
        </w:rPr>
        <w:t>ilities, fracties,</w:t>
      </w:r>
      <w:r w:rsidRPr="00EF23AD" w:rsidR="002C58F3">
        <w:rPr>
          <w:rFonts w:eastAsia="Aptos"/>
          <w:b/>
        </w:rPr>
        <w:t xml:space="preserve"> en</w:t>
      </w:r>
      <w:r w:rsidRPr="00EF23AD" w:rsidR="00105E63">
        <w:rPr>
          <w:rFonts w:eastAsia="Aptos"/>
          <w:b/>
        </w:rPr>
        <w:t xml:space="preserve"> andere groeperingen</w:t>
      </w:r>
      <w:r w:rsidRPr="00EF23AD" w:rsidR="002C58F3">
        <w:rPr>
          <w:rFonts w:eastAsia="Aptos"/>
          <w:b/>
        </w:rPr>
        <w:t xml:space="preserve"> die onafhankelijk opereren</w:t>
      </w:r>
      <w:r w:rsidRPr="00EF23AD" w:rsidR="00105E63">
        <w:rPr>
          <w:rFonts w:eastAsia="Aptos"/>
          <w:b/>
        </w:rPr>
        <w:t xml:space="preserve"> niet</w:t>
      </w:r>
      <w:r w:rsidRPr="00EF23AD">
        <w:rPr>
          <w:rFonts w:eastAsia="Aptos"/>
          <w:b/>
        </w:rPr>
        <w:t xml:space="preserve"> op dezelfde manier als staten en internationale organisaties deel uitmaken van de internationale gemeenschap, dragen zij niet bij aan de vorming van het internationaal </w:t>
      </w:r>
      <w:r w:rsidRPr="00EF23AD">
        <w:rPr>
          <w:rFonts w:eastAsia="Aptos"/>
          <w:b/>
        </w:rPr>
        <w:lastRenderedPageBreak/>
        <w:t xml:space="preserve">recht. Wat betreft de vaststelling van internationaal gewoonterecht, geeft de ILC aan dat de gedragingen van entiteiten anders dan staten en internationale organisaties – zoals </w:t>
      </w:r>
      <w:r w:rsidR="009A4687">
        <w:rPr>
          <w:rFonts w:eastAsia="Aptos"/>
          <w:b/>
        </w:rPr>
        <w:t>non-gouvernementele organisaties</w:t>
      </w:r>
      <w:r w:rsidRPr="00EF23AD">
        <w:rPr>
          <w:rFonts w:eastAsia="Aptos"/>
          <w:b/>
        </w:rPr>
        <w:t xml:space="preserve"> en niet-statelijke gewapende groeperingen – geen internationaal gewoonterecht k</w:t>
      </w:r>
      <w:r w:rsidRPr="00EF23AD" w:rsidR="00BB547A">
        <w:rPr>
          <w:rFonts w:eastAsia="Aptos"/>
          <w:b/>
        </w:rPr>
        <w:t>unnen</w:t>
      </w:r>
      <w:r w:rsidRPr="00EF23AD">
        <w:rPr>
          <w:rFonts w:eastAsia="Aptos"/>
          <w:b/>
        </w:rPr>
        <w:t xml:space="preserve"> </w:t>
      </w:r>
      <w:r w:rsidRPr="00EF23AD" w:rsidR="00BB547A">
        <w:rPr>
          <w:rFonts w:eastAsia="Aptos"/>
          <w:b/>
        </w:rPr>
        <w:t>creëren</w:t>
      </w:r>
      <w:r w:rsidRPr="00EF23AD">
        <w:rPr>
          <w:rFonts w:eastAsia="Aptos"/>
          <w:b/>
        </w:rPr>
        <w:t xml:space="preserve"> noch daarvan een uitdrukking k</w:t>
      </w:r>
      <w:r w:rsidRPr="00EF23AD" w:rsidR="00BB547A">
        <w:rPr>
          <w:rFonts w:eastAsia="Aptos"/>
          <w:b/>
        </w:rPr>
        <w:t xml:space="preserve">unnen </w:t>
      </w:r>
      <w:r w:rsidRPr="00EF23AD">
        <w:rPr>
          <w:rFonts w:eastAsia="Aptos"/>
          <w:b/>
        </w:rPr>
        <w:t>zijn.</w:t>
      </w:r>
      <w:r w:rsidRPr="00EF23AD" w:rsidR="00BB547A">
        <w:rPr>
          <w:rFonts w:eastAsia="Aptos"/>
          <w:b/>
        </w:rPr>
        <w:t xml:space="preserve"> Hun handelen draagt niet bij aan het vormen of uiten van regels van internationaal gewoonterecht. Dezelfde conclusie kan worden getrokken ten aanzien van het </w:t>
      </w:r>
      <w:r w:rsidR="009A4687">
        <w:rPr>
          <w:rFonts w:eastAsia="Aptos"/>
          <w:b/>
        </w:rPr>
        <w:t xml:space="preserve">vormen en </w:t>
      </w:r>
      <w:r w:rsidRPr="00EF23AD" w:rsidR="00BB547A">
        <w:rPr>
          <w:rFonts w:eastAsia="Aptos"/>
          <w:b/>
        </w:rPr>
        <w:t xml:space="preserve">erkennen van algemene rechtsbeginselen. Milities, fracties, en andere groeperingen dragen daar niet aan bij. </w:t>
      </w:r>
      <w:r w:rsidRPr="00EF23AD">
        <w:rPr>
          <w:rFonts w:eastAsia="Aptos"/>
          <w:b/>
        </w:rPr>
        <w:t>Dit neemt niet weg dat zij</w:t>
      </w:r>
      <w:r w:rsidRPr="00EF23AD" w:rsidR="002C58F3">
        <w:rPr>
          <w:rFonts w:eastAsia="Aptos"/>
          <w:b/>
        </w:rPr>
        <w:t xml:space="preserve"> wel</w:t>
      </w:r>
      <w:r w:rsidRPr="00EF23AD" w:rsidR="00511F00">
        <w:rPr>
          <w:rFonts w:eastAsia="Aptos"/>
          <w:b/>
        </w:rPr>
        <w:t xml:space="preserve"> </w:t>
      </w:r>
      <w:r w:rsidRPr="00EF23AD">
        <w:rPr>
          <w:rFonts w:eastAsia="Aptos"/>
          <w:b/>
        </w:rPr>
        <w:t>kunnen worden gehouden</w:t>
      </w:r>
      <w:r w:rsidRPr="00EF23AD" w:rsidR="00511F00">
        <w:rPr>
          <w:rFonts w:eastAsia="Aptos"/>
          <w:b/>
        </w:rPr>
        <w:t xml:space="preserve"> aan bepaalde </w:t>
      </w:r>
      <w:r w:rsidR="009A4687">
        <w:rPr>
          <w:rFonts w:eastAsia="Aptos"/>
          <w:b/>
        </w:rPr>
        <w:t>onderdelen</w:t>
      </w:r>
      <w:r w:rsidRPr="00EF23AD" w:rsidR="00511F00">
        <w:rPr>
          <w:rFonts w:eastAsia="Aptos"/>
          <w:b/>
        </w:rPr>
        <w:t xml:space="preserve"> van het</w:t>
      </w:r>
      <w:r w:rsidRPr="00EF23AD" w:rsidR="002C58F3">
        <w:rPr>
          <w:rFonts w:eastAsia="Aptos"/>
          <w:b/>
        </w:rPr>
        <w:t xml:space="preserve"> internationaal recht, zoals</w:t>
      </w:r>
      <w:r w:rsidRPr="00EF23AD">
        <w:rPr>
          <w:rFonts w:eastAsia="Aptos"/>
          <w:b/>
        </w:rPr>
        <w:t xml:space="preserve"> het</w:t>
      </w:r>
      <w:r w:rsidRPr="00EF23AD" w:rsidR="002C58F3">
        <w:rPr>
          <w:rFonts w:eastAsia="Aptos"/>
          <w:b/>
        </w:rPr>
        <w:t xml:space="preserve"> humanitair oorlogsrecht</w:t>
      </w:r>
      <w:r w:rsidRPr="00EF23AD">
        <w:rPr>
          <w:rFonts w:eastAsia="Aptos"/>
          <w:b/>
        </w:rPr>
        <w:t xml:space="preserve"> wanneer zij partij zijn bij een gewapend conflict</w:t>
      </w:r>
      <w:r w:rsidRPr="00EF23AD" w:rsidR="003C44CE">
        <w:rPr>
          <w:rFonts w:eastAsia="Aptos"/>
          <w:b/>
        </w:rPr>
        <w:t xml:space="preserve">. </w:t>
      </w:r>
    </w:p>
    <w:p w:rsidRPr="00D72834" w:rsidR="00B00700" w:rsidP="00B00700" w:rsidRDefault="00B00700" w14:paraId="0F695D60" w14:textId="77777777">
      <w:pPr>
        <w:rPr>
          <w:rFonts w:eastAsia="Aptos"/>
          <w:kern w:val="2"/>
          <w:lang w:eastAsia="en-US"/>
        </w:rPr>
      </w:pPr>
    </w:p>
    <w:p w:rsidR="00124CA6" w:rsidP="00B00700" w:rsidRDefault="00124CA6" w14:paraId="582FDAC7" w14:textId="77777777">
      <w:pPr>
        <w:rPr>
          <w:b/>
        </w:rPr>
      </w:pPr>
      <w:r>
        <w:rPr>
          <w:b/>
        </w:rPr>
        <w:t>Vragen en opmerkingen van de leden van de C</w:t>
      </w:r>
      <w:r w:rsidR="00B00700">
        <w:rPr>
          <w:b/>
        </w:rPr>
        <w:t>hristen</w:t>
      </w:r>
      <w:r>
        <w:rPr>
          <w:b/>
        </w:rPr>
        <w:t>U</w:t>
      </w:r>
      <w:r w:rsidR="00B00700">
        <w:rPr>
          <w:b/>
        </w:rPr>
        <w:t>nie</w:t>
      </w:r>
      <w:r>
        <w:rPr>
          <w:b/>
        </w:rPr>
        <w:t>-fractie</w:t>
      </w:r>
    </w:p>
    <w:p w:rsidR="00B027FE" w:rsidP="00B00700" w:rsidRDefault="00B027FE" w14:paraId="3EE8F942" w14:textId="77777777">
      <w:pPr>
        <w:rPr>
          <w:b/>
        </w:rPr>
      </w:pPr>
    </w:p>
    <w:p w:rsidR="00D72834" w:rsidP="00D72834" w:rsidRDefault="00D72834" w14:paraId="0AAF2136" w14:textId="77777777">
      <w:r w:rsidRPr="00D72834">
        <w:t>De leden van de C</w:t>
      </w:r>
      <w:r w:rsidR="00B00700">
        <w:t>hristen</w:t>
      </w:r>
      <w:r w:rsidRPr="00D72834">
        <w:t>U</w:t>
      </w:r>
      <w:r w:rsidR="00B00700">
        <w:t>nie</w:t>
      </w:r>
      <w:r w:rsidRPr="00D72834">
        <w:t xml:space="preserve">-fractie </w:t>
      </w:r>
      <w:r w:rsidR="00B00700">
        <w:t xml:space="preserve">hebben met interesse kennisgenomen van de stukken voor dit schriftelijk overleg. Zij </w:t>
      </w:r>
      <w:r w:rsidRPr="00D72834">
        <w:t xml:space="preserve">lezen dat de minister </w:t>
      </w:r>
      <w:r w:rsidR="00B00700">
        <w:t xml:space="preserve">op pagina 2 van de kabinetsreactie op het CAVV-advies </w:t>
      </w:r>
      <w:r w:rsidRPr="00D72834">
        <w:t xml:space="preserve">opmerkt: “Het zoeken naar de methodologie van de identificatie van algemene beginselen van internationaal recht toont volgens het kabinet de historische spanning tussen aanhangers van het natuurrecht enerzijds en van het positivisme anderzijds.” Hoewel dit volgens de leden </w:t>
      </w:r>
      <w:r w:rsidR="00B00700">
        <w:t xml:space="preserve">van de ChristenUnie-fractie </w:t>
      </w:r>
      <w:r w:rsidRPr="00D72834">
        <w:t xml:space="preserve">een terechte observatie is, blijft het standpunt van het kabinet </w:t>
      </w:r>
      <w:r w:rsidR="00B00700">
        <w:t xml:space="preserve">vervolgens </w:t>
      </w:r>
      <w:r w:rsidRPr="00D72834">
        <w:t xml:space="preserve">uit. Wat is het standpunt van het kabinet ten aanzien van de spanning tussen natuurrecht </w:t>
      </w:r>
      <w:r w:rsidR="00B00700">
        <w:t xml:space="preserve">enerzijds </w:t>
      </w:r>
      <w:r w:rsidRPr="00D72834">
        <w:t xml:space="preserve">en positivisme anderzijds? Erkent </w:t>
      </w:r>
      <w:r w:rsidR="00B00700">
        <w:t>he</w:t>
      </w:r>
      <w:r w:rsidRPr="00D72834">
        <w:t>t kabinet dat natuurrecht een transcendente orde impliceert?</w:t>
      </w:r>
      <w:r w:rsidR="00B00700">
        <w:t xml:space="preserve"> </w:t>
      </w:r>
      <w:r w:rsidRPr="00D72834">
        <w:t>Hoe gaat het kabinet daarmee om op het moment dat positief recht tot spanning leidt ten aanzien van deze breed ervaren beginselen?</w:t>
      </w:r>
    </w:p>
    <w:p w:rsidR="00105E63" w:rsidP="00D72834" w:rsidRDefault="00105E63" w14:paraId="0CD848AD" w14:textId="77777777"/>
    <w:p w:rsidRPr="00EF23AD" w:rsidR="00EF23AD" w:rsidP="00EF23AD" w:rsidRDefault="00EF23AD" w14:paraId="094E4FCD"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EF23AD" w:rsidR="00105E63" w:rsidP="00D72834" w:rsidRDefault="0025159B" w14:paraId="2CFF9F2A" w14:textId="7EABB5BC">
      <w:pPr>
        <w:rPr>
          <w:b/>
          <w:bCs/>
        </w:rPr>
      </w:pPr>
      <w:r>
        <w:rPr>
          <w:b/>
          <w:bCs/>
        </w:rPr>
        <w:t>Het kabinet</w:t>
      </w:r>
      <w:r w:rsidRPr="00EF23AD" w:rsidR="00105E63">
        <w:rPr>
          <w:b/>
          <w:bCs/>
        </w:rPr>
        <w:t xml:space="preserve"> erkent dat de discussie omtrent algemene </w:t>
      </w:r>
      <w:r w:rsidRPr="00EF23AD" w:rsidR="003C44CE">
        <w:rPr>
          <w:b/>
          <w:bCs/>
        </w:rPr>
        <w:t>rechtsbeginselen</w:t>
      </w:r>
      <w:r w:rsidRPr="00EF23AD" w:rsidR="00105E63">
        <w:rPr>
          <w:b/>
          <w:bCs/>
        </w:rPr>
        <w:t xml:space="preserve"> als rechtsbron </w:t>
      </w:r>
      <w:r w:rsidRPr="00EF23AD" w:rsidR="00020094">
        <w:rPr>
          <w:b/>
          <w:bCs/>
        </w:rPr>
        <w:t xml:space="preserve">haar </w:t>
      </w:r>
      <w:r w:rsidRPr="00EF23AD" w:rsidR="00105E63">
        <w:rPr>
          <w:b/>
          <w:bCs/>
        </w:rPr>
        <w:t>historie vind</w:t>
      </w:r>
      <w:r w:rsidRPr="00EF23AD" w:rsidR="00020094">
        <w:rPr>
          <w:b/>
          <w:bCs/>
        </w:rPr>
        <w:t>t</w:t>
      </w:r>
      <w:r w:rsidRPr="00EF23AD" w:rsidR="00105E63">
        <w:rPr>
          <w:b/>
          <w:bCs/>
        </w:rPr>
        <w:t xml:space="preserve"> in natuurrecht, zoals </w:t>
      </w:r>
      <w:r w:rsidRPr="00EF23AD" w:rsidR="00020094">
        <w:rPr>
          <w:b/>
          <w:bCs/>
        </w:rPr>
        <w:t xml:space="preserve">ook blijkt uit de </w:t>
      </w:r>
      <w:proofErr w:type="spellStart"/>
      <w:r w:rsidRPr="00EF23AD" w:rsidR="00020094">
        <w:rPr>
          <w:b/>
          <w:bCs/>
          <w:i/>
          <w:iCs/>
        </w:rPr>
        <w:t>travaux</w:t>
      </w:r>
      <w:proofErr w:type="spellEnd"/>
      <w:r w:rsidRPr="00EF23AD" w:rsidR="00020094">
        <w:rPr>
          <w:b/>
          <w:bCs/>
          <w:i/>
          <w:iCs/>
        </w:rPr>
        <w:t xml:space="preserve"> </w:t>
      </w:r>
      <w:proofErr w:type="spellStart"/>
      <w:r w:rsidRPr="00EF23AD" w:rsidR="00020094">
        <w:rPr>
          <w:b/>
          <w:bCs/>
          <w:i/>
          <w:iCs/>
        </w:rPr>
        <w:t>préparatoires</w:t>
      </w:r>
      <w:proofErr w:type="spellEnd"/>
      <w:r w:rsidRPr="00EF23AD" w:rsidR="00020094">
        <w:rPr>
          <w:b/>
          <w:bCs/>
        </w:rPr>
        <w:t xml:space="preserve"> van</w:t>
      </w:r>
      <w:r w:rsidRPr="00EF23AD" w:rsidR="00105E63">
        <w:rPr>
          <w:b/>
          <w:bCs/>
        </w:rPr>
        <w:t xml:space="preserve"> het Statuut</w:t>
      </w:r>
      <w:r w:rsidR="00EF23AD">
        <w:rPr>
          <w:b/>
          <w:bCs/>
        </w:rPr>
        <w:t xml:space="preserve"> van het Internationaal Gerechtshof</w:t>
      </w:r>
      <w:r w:rsidRPr="00EF23AD" w:rsidR="00105E63">
        <w:rPr>
          <w:b/>
          <w:bCs/>
        </w:rPr>
        <w:t xml:space="preserve">. Dit is een </w:t>
      </w:r>
      <w:r w:rsidR="00EF23AD">
        <w:rPr>
          <w:b/>
          <w:bCs/>
        </w:rPr>
        <w:t>constatering</w:t>
      </w:r>
      <w:r w:rsidRPr="00EF23AD" w:rsidR="00105E63">
        <w:rPr>
          <w:b/>
          <w:bCs/>
        </w:rPr>
        <w:t xml:space="preserve"> van het kabinet </w:t>
      </w:r>
      <w:r w:rsidRPr="00EF23AD" w:rsidR="00FE1EDB">
        <w:rPr>
          <w:b/>
          <w:bCs/>
        </w:rPr>
        <w:t xml:space="preserve">waar geen </w:t>
      </w:r>
      <w:r w:rsidRPr="00EF23AD" w:rsidR="00105E63">
        <w:rPr>
          <w:b/>
          <w:bCs/>
        </w:rPr>
        <w:t xml:space="preserve">waardeoordeel aan </w:t>
      </w:r>
      <w:r w:rsidRPr="00EF23AD" w:rsidR="00FE1EDB">
        <w:rPr>
          <w:b/>
          <w:bCs/>
        </w:rPr>
        <w:t xml:space="preserve">is </w:t>
      </w:r>
      <w:r w:rsidRPr="00EF23AD" w:rsidR="00105E63">
        <w:rPr>
          <w:b/>
          <w:bCs/>
        </w:rPr>
        <w:t>verb</w:t>
      </w:r>
      <w:r w:rsidRPr="00EF23AD" w:rsidR="00FE1EDB">
        <w:rPr>
          <w:b/>
          <w:bCs/>
        </w:rPr>
        <w:t>o</w:t>
      </w:r>
      <w:r w:rsidRPr="00EF23AD" w:rsidR="00105E63">
        <w:rPr>
          <w:b/>
          <w:bCs/>
        </w:rPr>
        <w:t>nden</w:t>
      </w:r>
      <w:r w:rsidRPr="00EF23AD" w:rsidR="00FE1EDB">
        <w:rPr>
          <w:b/>
          <w:bCs/>
        </w:rPr>
        <w:t xml:space="preserve">. </w:t>
      </w:r>
      <w:r w:rsidRPr="00EF23AD" w:rsidR="00511F00">
        <w:rPr>
          <w:b/>
          <w:bCs/>
        </w:rPr>
        <w:t>Verder constateert</w:t>
      </w:r>
      <w:r w:rsidRPr="00EF23AD" w:rsidR="00105E63">
        <w:rPr>
          <w:b/>
          <w:bCs/>
        </w:rPr>
        <w:t xml:space="preserve"> het kabinet dat de </w:t>
      </w:r>
      <w:r w:rsidRPr="00EF23AD" w:rsidR="00511F00">
        <w:rPr>
          <w:b/>
          <w:bCs/>
        </w:rPr>
        <w:t xml:space="preserve">term </w:t>
      </w:r>
      <w:r w:rsidR="00A30455">
        <w:rPr>
          <w:b/>
          <w:bCs/>
        </w:rPr>
        <w:t>‘</w:t>
      </w:r>
      <w:r w:rsidRPr="00EF23AD" w:rsidR="00105E63">
        <w:rPr>
          <w:b/>
          <w:bCs/>
        </w:rPr>
        <w:t>transcendente orde</w:t>
      </w:r>
      <w:r w:rsidR="00A30455">
        <w:rPr>
          <w:b/>
          <w:bCs/>
        </w:rPr>
        <w:t>’</w:t>
      </w:r>
      <w:r w:rsidRPr="00EF23AD" w:rsidR="00105E63">
        <w:rPr>
          <w:b/>
          <w:bCs/>
        </w:rPr>
        <w:t xml:space="preserve"> </w:t>
      </w:r>
      <w:r w:rsidRPr="00EF23AD" w:rsidR="00FE1EDB">
        <w:rPr>
          <w:b/>
          <w:bCs/>
        </w:rPr>
        <w:t xml:space="preserve">juist </w:t>
      </w:r>
      <w:r w:rsidRPr="00EF23AD" w:rsidR="00105E63">
        <w:rPr>
          <w:b/>
          <w:bCs/>
        </w:rPr>
        <w:t xml:space="preserve">een </w:t>
      </w:r>
      <w:r w:rsidRPr="00EF23AD" w:rsidR="00511F00">
        <w:rPr>
          <w:b/>
          <w:bCs/>
        </w:rPr>
        <w:t>hiërarchie impliceert</w:t>
      </w:r>
      <w:r w:rsidRPr="00EF23AD" w:rsidR="00105E63">
        <w:rPr>
          <w:b/>
          <w:bCs/>
        </w:rPr>
        <w:t xml:space="preserve">, </w:t>
      </w:r>
      <w:r w:rsidRPr="00EF23AD" w:rsidR="00FE1EDB">
        <w:rPr>
          <w:b/>
          <w:bCs/>
        </w:rPr>
        <w:t>die niet voortvloeit uit de tekst</w:t>
      </w:r>
      <w:r w:rsidRPr="00EF23AD" w:rsidR="00105E63">
        <w:rPr>
          <w:b/>
          <w:bCs/>
        </w:rPr>
        <w:t xml:space="preserve"> van het </w:t>
      </w:r>
      <w:r w:rsidRPr="00EF23AD" w:rsidR="00EF23AD">
        <w:rPr>
          <w:b/>
          <w:bCs/>
        </w:rPr>
        <w:t>Statuut</w:t>
      </w:r>
      <w:r w:rsidR="00EF23AD">
        <w:rPr>
          <w:b/>
          <w:bCs/>
        </w:rPr>
        <w:t xml:space="preserve"> van het Internationaal Gerechtshof</w:t>
      </w:r>
      <w:r w:rsidRPr="00EF23AD" w:rsidR="00105E63">
        <w:rPr>
          <w:b/>
          <w:bCs/>
        </w:rPr>
        <w:t xml:space="preserve">. </w:t>
      </w:r>
    </w:p>
    <w:p w:rsidRPr="00D72834" w:rsidR="00105E63" w:rsidP="00D72834" w:rsidRDefault="00105E63" w14:paraId="7AD8A94B" w14:textId="77777777"/>
    <w:p w:rsidR="00D72834" w:rsidP="00D72834" w:rsidRDefault="00D72834" w14:paraId="7B99CBFC" w14:textId="0EAEA204">
      <w:r w:rsidRPr="00D72834">
        <w:t>De leden van de C</w:t>
      </w:r>
      <w:r w:rsidR="00B00700">
        <w:t>hristen</w:t>
      </w:r>
      <w:r w:rsidRPr="00D72834">
        <w:t>U</w:t>
      </w:r>
      <w:r w:rsidR="00B00700">
        <w:t>nie</w:t>
      </w:r>
      <w:r w:rsidRPr="00D72834">
        <w:t>-fractie merken op dat positief recht in internationale zin ook een uitkomst is van een politiek krachtenveld. Erkent de minister dit? Zo ja, kan het dan zo zijn dat positief internationaal recht theoretisch in strijd kan zijn met rechtsbeginselen? Zo ja, kan de minister enkele voorbeelden geven waar hij gezien heeft dat positief internationaal recht weliswaar als rechtsnorm gold, maar achteraf gezien in strijd bleek met de bredere afweging van bronnen die nodig zijn om te kunnen beoordelen of er sprake is van recht?</w:t>
      </w:r>
    </w:p>
    <w:p w:rsidR="00105E63" w:rsidP="00D72834" w:rsidRDefault="00105E63" w14:paraId="3AEB3A28" w14:textId="77777777"/>
    <w:p w:rsidRPr="00EF23AD" w:rsidR="00BB32C9" w:rsidP="00105E63" w:rsidRDefault="00EF23AD" w14:paraId="5A2FBF83" w14:textId="412CF8EC">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25159B" w:rsidR="00105E63" w:rsidP="00D72834" w:rsidRDefault="00282DEF" w14:paraId="35342535" w14:textId="7F9C66A0">
      <w:pPr>
        <w:rPr>
          <w:b/>
          <w:bCs/>
        </w:rPr>
      </w:pPr>
      <w:r w:rsidRPr="00EF23AD">
        <w:rPr>
          <w:b/>
          <w:bCs/>
        </w:rPr>
        <w:t xml:space="preserve">De minister erkent dat het internationaal recht onderdeel vormt van de internationale rechtsorde, waar het politieke krachtenveld ook onderdeel van uit maakt. </w:t>
      </w:r>
      <w:r w:rsidRPr="00EF23AD" w:rsidR="00FC51C0">
        <w:rPr>
          <w:b/>
          <w:bCs/>
        </w:rPr>
        <w:t>De internationale rechtsorde</w:t>
      </w:r>
      <w:r w:rsidRPr="00EF23AD">
        <w:rPr>
          <w:b/>
          <w:bCs/>
        </w:rPr>
        <w:t xml:space="preserve"> verschilt in dat opzicht niet </w:t>
      </w:r>
      <w:r w:rsidRPr="00EF23AD" w:rsidR="001C203B">
        <w:rPr>
          <w:b/>
          <w:bCs/>
        </w:rPr>
        <w:t xml:space="preserve">wezenlijk </w:t>
      </w:r>
      <w:r w:rsidRPr="00EF23AD">
        <w:rPr>
          <w:b/>
          <w:bCs/>
        </w:rPr>
        <w:t xml:space="preserve">van de nationale rechtsorde. Eerder dan strijd kan er sprake zijn van een positiefrechtelijke ontwikkeling gericht op </w:t>
      </w:r>
      <w:r w:rsidRPr="00EF23AD" w:rsidR="001F4524">
        <w:rPr>
          <w:b/>
          <w:bCs/>
        </w:rPr>
        <w:t xml:space="preserve">de totstandbrenging van </w:t>
      </w:r>
      <w:r w:rsidRPr="00EF23AD">
        <w:rPr>
          <w:b/>
          <w:bCs/>
        </w:rPr>
        <w:t xml:space="preserve">een uitzondering op een erkend algemeen rechtsbeginsel. Een </w:t>
      </w:r>
      <w:r w:rsidRPr="00EF23AD">
        <w:rPr>
          <w:b/>
          <w:bCs/>
        </w:rPr>
        <w:lastRenderedPageBreak/>
        <w:t>voorbeeld hiervan is het beginsel van vrijheid van navigatie waarop in de loop der decennia uitzonderingen zijn gemaakt, zoals het recht op onschuldige doorvaart door de territoriale wateren van een kuststaat. Een buitenlands vaartuig is slechts gerechtigd tot ‘onschuldige doorvaart’ wanneer aan een aantal voorwaarden wordt voldaan. Dit rechtsregime is gecodificeerd in het Verdrag van de Verenigde Naties inzake het recht van de zee van 1982. Een vergelijkbare uitzondering wordt gevorm</w:t>
      </w:r>
      <w:r w:rsidRPr="00EF23AD" w:rsidR="000F56F5">
        <w:rPr>
          <w:b/>
          <w:bCs/>
        </w:rPr>
        <w:t>d</w:t>
      </w:r>
      <w:r w:rsidRPr="00EF23AD">
        <w:rPr>
          <w:b/>
          <w:bCs/>
        </w:rPr>
        <w:t xml:space="preserve"> door de voorwaarden die verbonden zijn aan het ‘recht van doortocht’ door zeestraten die een verbinding vormen tussen twee delen van de volle zee </w:t>
      </w:r>
      <w:r w:rsidRPr="00EF23AD" w:rsidR="000F56F5">
        <w:rPr>
          <w:b/>
          <w:bCs/>
        </w:rPr>
        <w:t>of exclusie</w:t>
      </w:r>
      <w:r w:rsidR="00E00C9E">
        <w:rPr>
          <w:b/>
          <w:bCs/>
        </w:rPr>
        <w:t>ve</w:t>
      </w:r>
      <w:r w:rsidRPr="00EF23AD" w:rsidR="000F56F5">
        <w:rPr>
          <w:b/>
          <w:bCs/>
        </w:rPr>
        <w:t xml:space="preserve"> economische zones </w:t>
      </w:r>
      <w:r w:rsidRPr="00EF23AD">
        <w:rPr>
          <w:b/>
          <w:bCs/>
        </w:rPr>
        <w:t>en het recht van kuststaten om veiligheidszones af te kondigen rondom installaties en kunstmatige eilanden in de exclusie</w:t>
      </w:r>
      <w:r w:rsidR="00E00C9E">
        <w:rPr>
          <w:b/>
          <w:bCs/>
        </w:rPr>
        <w:t>ve</w:t>
      </w:r>
      <w:r w:rsidRPr="00EF23AD">
        <w:rPr>
          <w:b/>
          <w:bCs/>
        </w:rPr>
        <w:t xml:space="preserve"> economische zone van die kuststaat. In verschillende van dit soort situaties </w:t>
      </w:r>
      <w:r w:rsidRPr="00EF23AD" w:rsidR="00241B0E">
        <w:rPr>
          <w:b/>
          <w:bCs/>
        </w:rPr>
        <w:t xml:space="preserve">kan de </w:t>
      </w:r>
      <w:r w:rsidRPr="00EF23AD">
        <w:rPr>
          <w:b/>
          <w:bCs/>
        </w:rPr>
        <w:t xml:space="preserve">statenpraktijk in eerste instantie </w:t>
      </w:r>
      <w:r w:rsidRPr="00EF23AD" w:rsidR="00241B0E">
        <w:rPr>
          <w:b/>
          <w:bCs/>
        </w:rPr>
        <w:t xml:space="preserve">op gespannen voet staan </w:t>
      </w:r>
      <w:r w:rsidRPr="00EF23AD">
        <w:rPr>
          <w:b/>
          <w:bCs/>
        </w:rPr>
        <w:t xml:space="preserve">met </w:t>
      </w:r>
      <w:r w:rsidRPr="00EF23AD" w:rsidR="00241B0E">
        <w:rPr>
          <w:b/>
          <w:bCs/>
        </w:rPr>
        <w:t xml:space="preserve">een relevant </w:t>
      </w:r>
      <w:r w:rsidRPr="00EF23AD" w:rsidR="00374D22">
        <w:rPr>
          <w:b/>
          <w:bCs/>
        </w:rPr>
        <w:t xml:space="preserve">algemeen </w:t>
      </w:r>
      <w:r w:rsidRPr="00EF23AD">
        <w:rPr>
          <w:b/>
          <w:bCs/>
        </w:rPr>
        <w:t>rechtsbeginsel, maar kan deze praktijk, bij voldoende steun door andere staten, leiden tot een nieuwe positiefrechtelijke regel die een uitzondering vormt op het betreffende rechtsbeginsel.</w:t>
      </w:r>
    </w:p>
    <w:p w:rsidRPr="00D72834" w:rsidR="00105E63" w:rsidP="00D72834" w:rsidRDefault="00105E63" w14:paraId="6DA325E8" w14:textId="77777777"/>
    <w:p w:rsidRPr="004D5E72" w:rsidR="00105E63" w:rsidP="00D7150B" w:rsidRDefault="00D72834" w14:paraId="74F40083" w14:textId="06E37B1E">
      <w:bookmarkStart w:name="_Hlk194563279" w:id="0"/>
      <w:r w:rsidRPr="00D72834">
        <w:t xml:space="preserve">De leden van de ChristenUnie-fractie merken op dat het internationaal recht en de analyse van </w:t>
      </w:r>
      <w:r w:rsidR="00CC0CBF">
        <w:t xml:space="preserve">de </w:t>
      </w:r>
      <w:r w:rsidRPr="00D72834">
        <w:t>ILC zich toespitsen op mensen, terwijl ook het borgen van de rechten van dieren middels positief (internationaal) recht in opkomst is. Kan het kabinet uiteenzetten welk beginsel ten grondslag ligt aan het verschil in rechten tussen mensen en dieren?</w:t>
      </w:r>
      <w:r w:rsidR="00953070">
        <w:rPr>
          <w:color w:val="FF0000"/>
        </w:rPr>
        <w:t xml:space="preserve"> </w:t>
      </w:r>
    </w:p>
    <w:bookmarkEnd w:id="0"/>
    <w:p w:rsidR="004D5E72" w:rsidP="004D5E72" w:rsidRDefault="004D5E72" w14:paraId="1873D4CB" w14:textId="77777777">
      <w:pPr>
        <w:rPr>
          <w:color w:val="FF0000"/>
          <w:highlight w:val="yellow"/>
        </w:rPr>
      </w:pPr>
    </w:p>
    <w:p w:rsidRPr="00EF23AD" w:rsidR="00616427" w:rsidP="004D5E72" w:rsidRDefault="00EF23AD" w14:paraId="74EB9142" w14:textId="204DE5AC">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25159B" w:rsidR="008274C9" w:rsidP="00616427" w:rsidRDefault="00616427" w14:paraId="3AAC22E7" w14:textId="5688BF4C">
      <w:pPr>
        <w:rPr>
          <w:rFonts w:eastAsia="Aptos"/>
          <w:b/>
          <w:bCs/>
          <w:kern w:val="2"/>
          <w:lang w:eastAsia="en-US"/>
        </w:rPr>
      </w:pPr>
      <w:r w:rsidRPr="0025159B">
        <w:rPr>
          <w:rFonts w:eastAsia="Aptos"/>
          <w:b/>
          <w:bCs/>
          <w:kern w:val="2"/>
          <w:lang w:eastAsia="en-US"/>
        </w:rPr>
        <w:t xml:space="preserve">Staten zijn de primaire subjecten van het internationaal recht, en het zijn daarom (zoals ook hierboven aangegeven) staten die een rol spelen bij het erkennen en vormen van algemene rechtsbeginselen. </w:t>
      </w:r>
      <w:r w:rsidRPr="0025159B" w:rsidR="004407E3">
        <w:rPr>
          <w:rFonts w:eastAsia="Aptos"/>
          <w:b/>
          <w:bCs/>
          <w:kern w:val="2"/>
          <w:lang w:eastAsia="en-US"/>
        </w:rPr>
        <w:t>Het internationaal recht geldt in principe tussen staten, terwijl mensen ook rechten kunnen hebben onder het internationaal recht</w:t>
      </w:r>
      <w:r w:rsidRPr="0025159B" w:rsidR="00C51A7A">
        <w:rPr>
          <w:rFonts w:eastAsia="Aptos"/>
          <w:b/>
          <w:bCs/>
          <w:kern w:val="2"/>
          <w:lang w:eastAsia="en-US"/>
        </w:rPr>
        <w:t xml:space="preserve"> en daarmee beschouwd kunnen worden als een rechtssubject onder het internationaal recht</w:t>
      </w:r>
      <w:r w:rsidRPr="0025159B" w:rsidR="004407E3">
        <w:rPr>
          <w:rFonts w:eastAsia="Aptos"/>
          <w:b/>
          <w:bCs/>
          <w:kern w:val="2"/>
          <w:lang w:eastAsia="en-US"/>
        </w:rPr>
        <w:t>.</w:t>
      </w:r>
      <w:r w:rsidR="00126FB7">
        <w:rPr>
          <w:rFonts w:eastAsia="Aptos"/>
          <w:b/>
          <w:bCs/>
          <w:kern w:val="2"/>
          <w:lang w:eastAsia="en-US"/>
        </w:rPr>
        <w:t xml:space="preserve"> </w:t>
      </w:r>
      <w:r w:rsidRPr="0025159B" w:rsidR="004407E3">
        <w:rPr>
          <w:rFonts w:eastAsia="Aptos"/>
          <w:b/>
          <w:bCs/>
          <w:kern w:val="2"/>
          <w:lang w:eastAsia="en-US"/>
        </w:rPr>
        <w:t xml:space="preserve">Deze mensenrechten gelden (primair) tussen staten en mensen. </w:t>
      </w:r>
    </w:p>
    <w:p w:rsidRPr="0025159B" w:rsidR="008274C9" w:rsidP="00616427" w:rsidRDefault="008274C9" w14:paraId="68B0E56B" w14:textId="77777777">
      <w:pPr>
        <w:rPr>
          <w:rFonts w:eastAsia="Aptos"/>
          <w:kern w:val="2"/>
          <w:lang w:eastAsia="en-US"/>
        </w:rPr>
      </w:pPr>
    </w:p>
    <w:p w:rsidRPr="0025159B" w:rsidR="00616427" w:rsidDel="008274C9" w:rsidP="008274C9" w:rsidRDefault="008274C9" w14:paraId="21FF960D" w14:textId="233C2B86">
      <w:pPr>
        <w:rPr>
          <w:b/>
          <w:bCs/>
        </w:rPr>
      </w:pPr>
      <w:r w:rsidRPr="0025159B">
        <w:rPr>
          <w:rFonts w:eastAsia="Aptos"/>
          <w:b/>
          <w:bCs/>
          <w:kern w:val="2"/>
          <w:lang w:eastAsia="en-US"/>
        </w:rPr>
        <w:t xml:space="preserve">Dieren </w:t>
      </w:r>
      <w:r w:rsidRPr="0025159B" w:rsidR="0022733D">
        <w:rPr>
          <w:rFonts w:eastAsia="Aptos"/>
          <w:b/>
          <w:bCs/>
          <w:kern w:val="2"/>
          <w:lang w:eastAsia="en-US"/>
        </w:rPr>
        <w:t>hebben</w:t>
      </w:r>
      <w:r w:rsidRPr="0025159B">
        <w:rPr>
          <w:rFonts w:eastAsia="Aptos"/>
          <w:b/>
          <w:bCs/>
          <w:kern w:val="2"/>
          <w:lang w:eastAsia="en-US"/>
        </w:rPr>
        <w:t xml:space="preserve"> onder het internationaal recht </w:t>
      </w:r>
      <w:r w:rsidR="00E00C9E">
        <w:rPr>
          <w:rFonts w:eastAsia="Aptos"/>
          <w:b/>
          <w:bCs/>
          <w:kern w:val="2"/>
          <w:lang w:eastAsia="en-US"/>
        </w:rPr>
        <w:t xml:space="preserve">vooralsnog </w:t>
      </w:r>
      <w:r w:rsidRPr="0025159B">
        <w:rPr>
          <w:rFonts w:eastAsia="Aptos"/>
          <w:b/>
          <w:bCs/>
          <w:kern w:val="2"/>
          <w:lang w:eastAsia="en-US"/>
        </w:rPr>
        <w:t xml:space="preserve">geen rechten zoals mensen </w:t>
      </w:r>
      <w:r w:rsidR="00E00C9E">
        <w:rPr>
          <w:rFonts w:eastAsia="Aptos"/>
          <w:b/>
          <w:bCs/>
          <w:kern w:val="2"/>
          <w:lang w:eastAsia="en-US"/>
        </w:rPr>
        <w:t>die</w:t>
      </w:r>
      <w:r w:rsidRPr="0025159B" w:rsidR="0022733D">
        <w:rPr>
          <w:rFonts w:eastAsia="Aptos"/>
          <w:b/>
          <w:bCs/>
          <w:kern w:val="2"/>
          <w:lang w:eastAsia="en-US"/>
        </w:rPr>
        <w:t xml:space="preserve"> hebben</w:t>
      </w:r>
      <w:r w:rsidRPr="0025159B">
        <w:rPr>
          <w:rFonts w:eastAsia="Aptos"/>
          <w:b/>
          <w:bCs/>
          <w:kern w:val="2"/>
          <w:lang w:eastAsia="en-US"/>
        </w:rPr>
        <w:t xml:space="preserve">. </w:t>
      </w:r>
      <w:r w:rsidRPr="0025159B" w:rsidR="00C51A7A">
        <w:rPr>
          <w:rFonts w:eastAsia="Aptos"/>
          <w:b/>
          <w:bCs/>
          <w:kern w:val="2"/>
          <w:lang w:eastAsia="en-US"/>
        </w:rPr>
        <w:t xml:space="preserve">Dit betekent </w:t>
      </w:r>
      <w:r w:rsidR="005E092E">
        <w:rPr>
          <w:rFonts w:eastAsia="Aptos"/>
          <w:b/>
          <w:bCs/>
          <w:kern w:val="2"/>
          <w:lang w:eastAsia="en-US"/>
        </w:rPr>
        <w:t xml:space="preserve">niet </w:t>
      </w:r>
      <w:r w:rsidRPr="0025159B" w:rsidR="00C51A7A">
        <w:rPr>
          <w:rFonts w:eastAsia="Aptos"/>
          <w:b/>
          <w:bCs/>
          <w:kern w:val="2"/>
          <w:lang w:eastAsia="en-US"/>
        </w:rPr>
        <w:t xml:space="preserve">dat dieren geen rechtssubject </w:t>
      </w:r>
      <w:r w:rsidR="00E00C9E">
        <w:rPr>
          <w:rFonts w:eastAsia="Aptos"/>
          <w:b/>
          <w:bCs/>
          <w:kern w:val="2"/>
          <w:lang w:eastAsia="en-US"/>
        </w:rPr>
        <w:t xml:space="preserve">zouden kunnen </w:t>
      </w:r>
      <w:r w:rsidRPr="0025159B" w:rsidR="00C51A7A">
        <w:rPr>
          <w:rFonts w:eastAsia="Aptos"/>
          <w:b/>
          <w:bCs/>
          <w:kern w:val="2"/>
          <w:lang w:eastAsia="en-US"/>
        </w:rPr>
        <w:t xml:space="preserve">zijn onder het internationaal recht. </w:t>
      </w:r>
      <w:r w:rsidRPr="0025159B" w:rsidR="00FA6965">
        <w:rPr>
          <w:b/>
          <w:bCs/>
        </w:rPr>
        <w:t xml:space="preserve">Hoewel recentelijk meer aandacht is voor de rechten van dieren en het erkennen van de intrinsieke waarde van het milieu, heeft dit zich </w:t>
      </w:r>
      <w:r w:rsidR="00BD52FE">
        <w:rPr>
          <w:b/>
          <w:bCs/>
        </w:rPr>
        <w:t xml:space="preserve">evenwel </w:t>
      </w:r>
      <w:r w:rsidRPr="0025159B" w:rsidR="00FA6965">
        <w:rPr>
          <w:b/>
          <w:bCs/>
        </w:rPr>
        <w:t xml:space="preserve">nog niet vertaald in de ontwikkeling van positief (internationaal) recht ten aanzien van het </w:t>
      </w:r>
      <w:r w:rsidR="00E00C9E">
        <w:rPr>
          <w:b/>
          <w:bCs/>
        </w:rPr>
        <w:t>erkennen</w:t>
      </w:r>
      <w:r w:rsidRPr="0025159B" w:rsidR="00FA6965">
        <w:rPr>
          <w:b/>
          <w:bCs/>
        </w:rPr>
        <w:t xml:space="preserve"> van dieren</w:t>
      </w:r>
      <w:r w:rsidR="00E00C9E">
        <w:rPr>
          <w:b/>
          <w:bCs/>
        </w:rPr>
        <w:t xml:space="preserve"> als rechtssubjecten</w:t>
      </w:r>
      <w:r w:rsidR="005E092E">
        <w:rPr>
          <w:b/>
          <w:bCs/>
        </w:rPr>
        <w:t xml:space="preserve"> onder het internationaal recht</w:t>
      </w:r>
      <w:r w:rsidRPr="0025159B" w:rsidR="00FA6965">
        <w:rPr>
          <w:b/>
          <w:bCs/>
        </w:rPr>
        <w:t>.</w:t>
      </w:r>
      <w:r w:rsidR="00E00C9E">
        <w:rPr>
          <w:b/>
          <w:bCs/>
        </w:rPr>
        <w:t xml:space="preserve"> Dat neemt niet weg dat dieren (en andere organismen) worden beschermd </w:t>
      </w:r>
      <w:r w:rsidR="005E092E">
        <w:rPr>
          <w:b/>
          <w:bCs/>
        </w:rPr>
        <w:t>op basis van internationaal recht, in het bijzonder verdragen die strekken tot de instandhouding van biologische diversiteit, zoals de Conventie inzake biologische diversiteit.</w:t>
      </w:r>
      <w:r w:rsidRPr="0025159B" w:rsidR="00FA6965">
        <w:rPr>
          <w:b/>
          <w:bCs/>
        </w:rPr>
        <w:t xml:space="preserve"> </w:t>
      </w:r>
    </w:p>
    <w:p w:rsidRPr="00D72834" w:rsidR="008274C9" w:rsidP="00105E63" w:rsidRDefault="008274C9" w14:paraId="18B01006" w14:textId="77777777"/>
    <w:p w:rsidR="00B13C8D" w:rsidP="00D7150B" w:rsidRDefault="00D72834" w14:paraId="18E144DC" w14:textId="77777777">
      <w:r w:rsidRPr="00D72834">
        <w:t>De leden van de ChristenUnie-fractie zijn het met het kabinet en de CAVV eens dat spreken van ‘beschaafde naties’ problematisch en anachronistisch is. De</w:t>
      </w:r>
      <w:r w:rsidR="00CC0CBF">
        <w:t>ze</w:t>
      </w:r>
      <w:r w:rsidRPr="00D72834">
        <w:t xml:space="preserve"> leden vragen de minister om te reflecteren </w:t>
      </w:r>
      <w:r w:rsidR="00CC0CBF">
        <w:t>op</w:t>
      </w:r>
      <w:r w:rsidRPr="00D72834">
        <w:t xml:space="preserve"> de invloed van deze notie op de ontwikkeling van internationaal recht tot nu toe, aangezien deze voor een groot deel in een tijdsgewricht heeft plaatsgevonden waar</w:t>
      </w:r>
      <w:r w:rsidR="00CC0CBF">
        <w:t>in</w:t>
      </w:r>
      <w:r w:rsidRPr="00D72834">
        <w:t xml:space="preserve"> spreken over </w:t>
      </w:r>
      <w:r w:rsidR="00CC0CBF">
        <w:t>‘</w:t>
      </w:r>
      <w:r w:rsidRPr="00D72834">
        <w:t>beschaafde</w:t>
      </w:r>
      <w:r w:rsidR="00CC0CBF">
        <w:t>’</w:t>
      </w:r>
      <w:r w:rsidRPr="00D72834">
        <w:t xml:space="preserve"> en </w:t>
      </w:r>
      <w:r w:rsidR="00CC0CBF">
        <w:t>‘</w:t>
      </w:r>
      <w:r w:rsidRPr="00D72834">
        <w:t>onbeschaafde</w:t>
      </w:r>
      <w:r w:rsidR="00CC0CBF">
        <w:t>’</w:t>
      </w:r>
      <w:r w:rsidRPr="00D72834">
        <w:t xml:space="preserve"> n</w:t>
      </w:r>
      <w:r w:rsidR="00CC0CBF">
        <w:t>a</w:t>
      </w:r>
      <w:r w:rsidRPr="00D72834">
        <w:t xml:space="preserve">ties nog wel gebruikelijk was. Kan het zijn dat bij de ontwikkeling van het internationaal recht de belangen van ‘onbeschaafde’ naties onvoldoende meegewogen zijn? Welke gevolgen heeft dat volgens de minister </w:t>
      </w:r>
      <w:r w:rsidR="00CC0CBF">
        <w:t xml:space="preserve">gehad </w:t>
      </w:r>
      <w:r w:rsidRPr="00D72834">
        <w:t xml:space="preserve">voor de huidige </w:t>
      </w:r>
      <w:r w:rsidRPr="00D72834">
        <w:lastRenderedPageBreak/>
        <w:t>constellaties van internationaal recht en de ontstane bronnen waar we de afgelopen eeuwen</w:t>
      </w:r>
      <w:r w:rsidRPr="00CC0CBF" w:rsidR="00CC0CBF">
        <w:t xml:space="preserve"> </w:t>
      </w:r>
      <w:r w:rsidRPr="00D72834" w:rsidR="00CC0CBF">
        <w:t>uit putten</w:t>
      </w:r>
      <w:r w:rsidRPr="00D72834">
        <w:t>?</w:t>
      </w:r>
      <w:r w:rsidR="009248D4">
        <w:t xml:space="preserve"> </w:t>
      </w:r>
    </w:p>
    <w:p w:rsidR="00B13C8D" w:rsidP="00715AD0" w:rsidRDefault="00B13C8D" w14:paraId="55922473" w14:textId="77777777"/>
    <w:p w:rsidRPr="00EF23AD" w:rsidR="0025159B" w:rsidP="0025159B" w:rsidRDefault="0025159B" w14:paraId="0D43C153"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25159B" w:rsidR="00282DEF" w:rsidP="00282DEF" w:rsidRDefault="00282DEF" w14:paraId="47C42C68" w14:textId="1718F382">
      <w:pPr>
        <w:rPr>
          <w:b/>
          <w:bCs/>
        </w:rPr>
      </w:pPr>
      <w:r w:rsidRPr="0025159B">
        <w:rPr>
          <w:b/>
          <w:bCs/>
        </w:rPr>
        <w:t xml:space="preserve">De term ‘beschaafde naties’, zoals dat genoemd wordt in </w:t>
      </w:r>
      <w:r w:rsidRPr="0025159B" w:rsidR="00374D22">
        <w:rPr>
          <w:b/>
          <w:bCs/>
        </w:rPr>
        <w:t>a</w:t>
      </w:r>
      <w:r w:rsidRPr="0025159B">
        <w:rPr>
          <w:b/>
          <w:bCs/>
        </w:rPr>
        <w:t>rtikel 38 van het Statuut van het Internationaal Gerechtshof, stamt uit een periode dat er op internationa</w:t>
      </w:r>
      <w:r w:rsidR="00D85E19">
        <w:rPr>
          <w:b/>
          <w:bCs/>
        </w:rPr>
        <w:t>a</w:t>
      </w:r>
      <w:r w:rsidRPr="0025159B">
        <w:rPr>
          <w:b/>
          <w:bCs/>
        </w:rPr>
        <w:t>l niveau onderscheid werd gemaakt tussen Europese Christelijke staten en staten en gemeenschappen die niet dezelfde waarden en rechtssystemen hanteerden. In die periode werden bij de ontwikkeling van het internationaal recht de belangen van andere staten en gemeenschappen niet (voldoende) meegewogen, omdat alleen de ‘beschaafde naties’ het internationaal recht ontwikkelden en alleen zij geacht werden zich aan dat recht te houden.</w:t>
      </w:r>
    </w:p>
    <w:p w:rsidRPr="0025159B" w:rsidR="00282DEF" w:rsidP="00282DEF" w:rsidRDefault="00282DEF" w14:paraId="4BE85BCF" w14:textId="77777777">
      <w:pPr>
        <w:rPr>
          <w:b/>
          <w:bCs/>
        </w:rPr>
      </w:pPr>
    </w:p>
    <w:p w:rsidRPr="0025159B" w:rsidR="00282DEF" w:rsidP="00282DEF" w:rsidRDefault="00282DEF" w14:paraId="2C16FFB9" w14:textId="645344F9">
      <w:pPr>
        <w:rPr>
          <w:b/>
          <w:bCs/>
        </w:rPr>
      </w:pPr>
      <w:r w:rsidRPr="0025159B">
        <w:rPr>
          <w:b/>
          <w:bCs/>
        </w:rPr>
        <w:t xml:space="preserve">Na de Tweede Wereldoorlog vond daarin een kentering plaats, vooral als gevolg van de oprichting van de Verenigde Naties, het dekolonisatieproces en de erkenning van individuele mensenrechten. De staten die ontstonden naar aanleiding van dekolonisatie konden op voet van juridische gelijkheid </w:t>
      </w:r>
      <w:r w:rsidRPr="0025159B" w:rsidR="00462A8A">
        <w:rPr>
          <w:b/>
          <w:bCs/>
        </w:rPr>
        <w:t xml:space="preserve">met andere staten </w:t>
      </w:r>
      <w:r w:rsidRPr="0025159B">
        <w:rPr>
          <w:b/>
          <w:bCs/>
        </w:rPr>
        <w:t xml:space="preserve">aan tafel zitten bij de totstandbrenging of aanpassing van regels van internationaal recht. Ook waren deze nieuwe staten niet gebonden aan de </w:t>
      </w:r>
      <w:r w:rsidRPr="0025159B" w:rsidR="00462A8A">
        <w:rPr>
          <w:b/>
          <w:bCs/>
        </w:rPr>
        <w:t xml:space="preserve">door de koloniale machthebbers gesloten </w:t>
      </w:r>
      <w:r w:rsidRPr="0025159B">
        <w:rPr>
          <w:b/>
          <w:bCs/>
        </w:rPr>
        <w:t>verdragen op basis van de zgn. ‘</w:t>
      </w:r>
      <w:r w:rsidRPr="0025159B">
        <w:rPr>
          <w:b/>
          <w:bCs/>
          <w:i/>
        </w:rPr>
        <w:t>clean slate’</w:t>
      </w:r>
      <w:r w:rsidRPr="0025159B">
        <w:rPr>
          <w:b/>
          <w:bCs/>
        </w:rPr>
        <w:t xml:space="preserve"> doctrine, zoals neergelegd in het Verdrag van Wenen inzake Statenopvolging met betrekking tot verdragen van 1978 (nog niet in werking getreden). Een uitzondering op deze regel w</w:t>
      </w:r>
      <w:r w:rsidRPr="0025159B" w:rsidR="00572072">
        <w:rPr>
          <w:b/>
          <w:bCs/>
        </w:rPr>
        <w:t>o</w:t>
      </w:r>
      <w:r w:rsidRPr="0025159B">
        <w:rPr>
          <w:b/>
          <w:bCs/>
        </w:rPr>
        <w:t>rd gevormd door verdragen die specifiek betrekking h</w:t>
      </w:r>
      <w:r w:rsidRPr="0025159B" w:rsidR="00572072">
        <w:rPr>
          <w:b/>
          <w:bCs/>
        </w:rPr>
        <w:t>ebben</w:t>
      </w:r>
      <w:r w:rsidRPr="0025159B">
        <w:rPr>
          <w:b/>
          <w:bCs/>
        </w:rPr>
        <w:t xml:space="preserve"> op het grondgebied, zoals grensverdragen. De nieuwe staten ontwikkelden ook regionale instrumenten (zoals </w:t>
      </w:r>
      <w:r w:rsidRPr="0025159B">
        <w:rPr>
          <w:b/>
          <w:bCs/>
          <w:i/>
          <w:iCs/>
        </w:rPr>
        <w:t xml:space="preserve">het African Charter on Human and Peoples’ Rights </w:t>
      </w:r>
      <w:r w:rsidRPr="0025159B">
        <w:rPr>
          <w:b/>
          <w:bCs/>
        </w:rPr>
        <w:t>en</w:t>
      </w:r>
      <w:r w:rsidRPr="0025159B">
        <w:rPr>
          <w:b/>
          <w:bCs/>
          <w:i/>
          <w:iCs/>
        </w:rPr>
        <w:t xml:space="preserve"> </w:t>
      </w:r>
      <w:r w:rsidRPr="0025159B">
        <w:rPr>
          <w:b/>
          <w:bCs/>
        </w:rPr>
        <w:t>de</w:t>
      </w:r>
      <w:r w:rsidRPr="0025159B">
        <w:rPr>
          <w:b/>
          <w:bCs/>
          <w:i/>
          <w:iCs/>
        </w:rPr>
        <w:t xml:space="preserve"> Amer</w:t>
      </w:r>
      <w:r w:rsidRPr="0025159B" w:rsidR="00881D34">
        <w:rPr>
          <w:b/>
          <w:bCs/>
          <w:i/>
          <w:iCs/>
        </w:rPr>
        <w:t>i</w:t>
      </w:r>
      <w:r w:rsidRPr="0025159B">
        <w:rPr>
          <w:b/>
          <w:bCs/>
          <w:i/>
          <w:iCs/>
        </w:rPr>
        <w:t>can Convention on Human Rights</w:t>
      </w:r>
      <w:r w:rsidRPr="0025159B">
        <w:rPr>
          <w:b/>
          <w:bCs/>
        </w:rPr>
        <w:t xml:space="preserve">), traden toe tot bestaande verdragen en verkregen invloed op de ontwikkeling van internationaal recht door hun lidmaatschap van verschillende </w:t>
      </w:r>
      <w:r w:rsidRPr="0025159B" w:rsidR="00881D34">
        <w:rPr>
          <w:b/>
          <w:bCs/>
        </w:rPr>
        <w:t xml:space="preserve">(universele) </w:t>
      </w:r>
      <w:r w:rsidRPr="0025159B">
        <w:rPr>
          <w:b/>
          <w:bCs/>
        </w:rPr>
        <w:t xml:space="preserve">internationale organisaties. </w:t>
      </w:r>
    </w:p>
    <w:p w:rsidRPr="0025159B" w:rsidR="00282DEF" w:rsidP="00282DEF" w:rsidRDefault="00282DEF" w14:paraId="095D28CA" w14:textId="77777777">
      <w:pPr>
        <w:rPr>
          <w:b/>
          <w:bCs/>
        </w:rPr>
      </w:pPr>
    </w:p>
    <w:p w:rsidRPr="0025159B" w:rsidR="00282DEF" w:rsidP="00715AD0" w:rsidRDefault="00282DEF" w14:paraId="3F61F1C0" w14:textId="0D5CFD71">
      <w:pPr>
        <w:rPr>
          <w:b/>
          <w:bCs/>
        </w:rPr>
      </w:pPr>
      <w:r w:rsidRPr="0025159B">
        <w:rPr>
          <w:b/>
          <w:bCs/>
        </w:rPr>
        <w:t xml:space="preserve">Met de dekolonisatiegolf zijn er verschillende bewegingen ontstaan die zich richtten op het verbeteren en herzien van internationaal recht. De verdragen die zijn gesloten na deze periode en de gewoonterechtelijke regels </w:t>
      </w:r>
      <w:r w:rsidRPr="0025159B" w:rsidR="00374D22">
        <w:rPr>
          <w:b/>
          <w:bCs/>
        </w:rPr>
        <w:t>die</w:t>
      </w:r>
      <w:r w:rsidRPr="0025159B">
        <w:rPr>
          <w:b/>
          <w:bCs/>
        </w:rPr>
        <w:t xml:space="preserve"> sindsdien tot stand zijn gekomen</w:t>
      </w:r>
      <w:r w:rsidR="00D85E19">
        <w:rPr>
          <w:b/>
          <w:bCs/>
        </w:rPr>
        <w:t>,</w:t>
      </w:r>
      <w:r w:rsidRPr="0025159B">
        <w:rPr>
          <w:b/>
          <w:bCs/>
        </w:rPr>
        <w:t xml:space="preserve"> reflecteren de belangen van deze nieuwe staten aanzienlijk beter. De term ‘</w:t>
      </w:r>
      <w:r w:rsidRPr="0025159B">
        <w:rPr>
          <w:b/>
          <w:bCs/>
          <w:i/>
        </w:rPr>
        <w:t>civilized nations</w:t>
      </w:r>
      <w:r w:rsidRPr="0025159B">
        <w:rPr>
          <w:b/>
          <w:bCs/>
        </w:rPr>
        <w:t>’ wordt nu dan ook geïnterpreteerd als een verwijzing naar alle staten die de internationale gemeenschap vormen.</w:t>
      </w:r>
    </w:p>
    <w:p w:rsidR="00B13C8D" w:rsidP="009248D4" w:rsidRDefault="00B13C8D" w14:paraId="5FCF7E0C" w14:textId="77777777">
      <w:pPr>
        <w:ind w:firstLine="708"/>
      </w:pPr>
    </w:p>
    <w:p w:rsidR="00715AD0" w:rsidP="00D7150B" w:rsidRDefault="00D72834" w14:paraId="10F18471" w14:textId="77777777">
      <w:r w:rsidRPr="00D72834">
        <w:t xml:space="preserve">De leden van de ChristenUnie-fractie vragen of de minister kan ingaan op de realiteit waarin internationaal recht en de toepassingen daarvan politiek worden vastgesteld, enerzijds door lidstaten die iets overeenkomen en vervolgens duiden als internationaal recht, en anderzijds door het beroepen op dat recht vanuit politieke overwegingen, bijvoorbeeld bij </w:t>
      </w:r>
      <w:r w:rsidR="009248D4">
        <w:t>r</w:t>
      </w:r>
      <w:r w:rsidRPr="00D72834">
        <w:t>esoluties</w:t>
      </w:r>
      <w:r w:rsidR="009248D4">
        <w:t xml:space="preserve"> van de Verenigde Naties</w:t>
      </w:r>
      <w:r w:rsidR="006775C2">
        <w:t xml:space="preserve"> (VN)</w:t>
      </w:r>
      <w:r w:rsidRPr="00D72834">
        <w:t>? Erkent de minister dat het ingewikkeld is om resoluties hetzelfde gewicht toe te kennen als andere bronnen omschreven in art</w:t>
      </w:r>
      <w:r w:rsidR="009248D4">
        <w:t xml:space="preserve">ikel </w:t>
      </w:r>
      <w:r w:rsidRPr="00D72834">
        <w:t xml:space="preserve">38 </w:t>
      </w:r>
      <w:r w:rsidR="009248D4">
        <w:t>van het statuut van het Internationaal Gerechtshof</w:t>
      </w:r>
      <w:r w:rsidRPr="00D72834">
        <w:t xml:space="preserve">, omdat bij de eerste politieke en machtsmotieven tevens een rol spelen? </w:t>
      </w:r>
    </w:p>
    <w:p w:rsidR="00A70B93" w:rsidP="00D7150B" w:rsidRDefault="00A70B93" w14:paraId="5A3CCC83" w14:textId="77777777"/>
    <w:p w:rsidR="00A70B93" w:rsidP="00D7150B" w:rsidRDefault="00A70B93" w14:paraId="3A8C713A" w14:textId="77777777"/>
    <w:p w:rsidR="00715AD0" w:rsidP="00715AD0" w:rsidRDefault="00715AD0" w14:paraId="74729A4A" w14:textId="77777777"/>
    <w:p w:rsidRPr="00EF23AD" w:rsidR="0025159B" w:rsidP="0025159B" w:rsidRDefault="0025159B" w14:paraId="172076B1"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lastRenderedPageBreak/>
        <w:t>Antwoord van het kabinet</w:t>
      </w:r>
    </w:p>
    <w:p w:rsidRPr="00195627" w:rsidR="00147629" w:rsidP="00715AD0" w:rsidRDefault="00A2673C" w14:paraId="1F694177" w14:textId="077EF675">
      <w:pPr>
        <w:rPr>
          <w:b/>
          <w:bCs/>
        </w:rPr>
      </w:pPr>
      <w:r>
        <w:rPr>
          <w:b/>
          <w:bCs/>
        </w:rPr>
        <w:t xml:space="preserve">Niet alle resoluties van de VN hebben dezelfde status. </w:t>
      </w:r>
      <w:r w:rsidRPr="00195627">
        <w:rPr>
          <w:b/>
          <w:bCs/>
        </w:rPr>
        <w:t>Resoluties van de VN Veiligheidsraad kunnen juridisch bindend zijn, en daarmee dezelfde status krijgen als een andere bindende rechtsbron van het internationaal recht</w:t>
      </w:r>
      <w:r>
        <w:rPr>
          <w:b/>
          <w:bCs/>
        </w:rPr>
        <w:t>.</w:t>
      </w:r>
      <w:r w:rsidRPr="00195627">
        <w:rPr>
          <w:b/>
          <w:bCs/>
        </w:rPr>
        <w:t xml:space="preserve"> </w:t>
      </w:r>
      <w:r w:rsidRPr="00195627" w:rsidR="005F639A">
        <w:rPr>
          <w:b/>
          <w:bCs/>
        </w:rPr>
        <w:t>Aan r</w:t>
      </w:r>
      <w:r w:rsidRPr="00195627" w:rsidR="00147629">
        <w:rPr>
          <w:b/>
          <w:bCs/>
        </w:rPr>
        <w:t>esoluties</w:t>
      </w:r>
      <w:r w:rsidRPr="00195627" w:rsidR="005F639A">
        <w:rPr>
          <w:b/>
          <w:bCs/>
        </w:rPr>
        <w:t xml:space="preserve"> van de Algemene Vergadering van de VN</w:t>
      </w:r>
      <w:r w:rsidRPr="00195627" w:rsidR="00147629">
        <w:rPr>
          <w:b/>
          <w:bCs/>
        </w:rPr>
        <w:t xml:space="preserve"> wordt niet hetzelfde gewicht toegekend als de bronnen omschreven in artikel 38 van het Statuut van het Internationaal Gerechtshof.</w:t>
      </w:r>
      <w:r w:rsidRPr="00195627" w:rsidR="005F639A">
        <w:rPr>
          <w:b/>
          <w:bCs/>
        </w:rPr>
        <w:t xml:space="preserve"> Zij zijn als zodanig </w:t>
      </w:r>
      <w:r w:rsidR="00B54DAB">
        <w:rPr>
          <w:b/>
          <w:bCs/>
        </w:rPr>
        <w:t xml:space="preserve">meestal </w:t>
      </w:r>
      <w:r w:rsidRPr="00195627" w:rsidR="005F639A">
        <w:rPr>
          <w:b/>
          <w:bCs/>
        </w:rPr>
        <w:t>niet juridisch bindend.</w:t>
      </w:r>
      <w:r w:rsidRPr="00195627" w:rsidR="00147629">
        <w:rPr>
          <w:b/>
          <w:bCs/>
        </w:rPr>
        <w:t xml:space="preserve"> </w:t>
      </w:r>
      <w:r w:rsidRPr="00195627" w:rsidR="005F639A">
        <w:rPr>
          <w:b/>
          <w:bCs/>
        </w:rPr>
        <w:t xml:space="preserve">Wel worden dit soort </w:t>
      </w:r>
      <w:r w:rsidRPr="00195627" w:rsidR="00147629">
        <w:rPr>
          <w:b/>
          <w:bCs/>
        </w:rPr>
        <w:t>resoluties in de praktijk gebruikt om normen als vastgelegd in verdragen of het gewoonterecht te interpreteren.</w:t>
      </w:r>
      <w:r w:rsidRPr="00195627" w:rsidR="005F639A">
        <w:rPr>
          <w:b/>
          <w:bCs/>
        </w:rPr>
        <w:t xml:space="preserve"> Daarnaast kunnen resoluties gebruikt worden om het bestaan van een internationaalrechtelijke regel vast te stellen: een resolutie kan een weergave van een regel van gewoonterecht bevatten, en indien zij </w:t>
      </w:r>
      <w:r>
        <w:rPr>
          <w:b/>
          <w:bCs/>
        </w:rPr>
        <w:t xml:space="preserve">unaniem, met consensus of </w:t>
      </w:r>
      <w:r w:rsidRPr="00195627" w:rsidR="005F639A">
        <w:rPr>
          <w:b/>
          <w:bCs/>
        </w:rPr>
        <w:t>met een overgrote meerderheid van stemmen</w:t>
      </w:r>
      <w:r>
        <w:rPr>
          <w:b/>
          <w:bCs/>
        </w:rPr>
        <w:t xml:space="preserve"> </w:t>
      </w:r>
      <w:r w:rsidR="00B54DAB">
        <w:rPr>
          <w:b/>
          <w:bCs/>
        </w:rPr>
        <w:t>is</w:t>
      </w:r>
      <w:r w:rsidRPr="00195627" w:rsidR="005F639A">
        <w:rPr>
          <w:b/>
          <w:bCs/>
        </w:rPr>
        <w:t xml:space="preserve"> aangenomen, kan </w:t>
      </w:r>
      <w:r>
        <w:rPr>
          <w:b/>
          <w:bCs/>
        </w:rPr>
        <w:t>dit de</w:t>
      </w:r>
      <w:r w:rsidRPr="00195627" w:rsidR="005F639A">
        <w:rPr>
          <w:b/>
          <w:bCs/>
        </w:rPr>
        <w:t xml:space="preserve"> gewoonterechtelijke status </w:t>
      </w:r>
      <w:r>
        <w:rPr>
          <w:b/>
          <w:bCs/>
        </w:rPr>
        <w:t xml:space="preserve">van een regel </w:t>
      </w:r>
      <w:r w:rsidRPr="00195627" w:rsidR="005F639A">
        <w:rPr>
          <w:b/>
          <w:bCs/>
        </w:rPr>
        <w:t>bevestigen.</w:t>
      </w:r>
      <w:r w:rsidRPr="00195627" w:rsidR="00806E63">
        <w:rPr>
          <w:b/>
          <w:bCs/>
        </w:rPr>
        <w:t xml:space="preserve"> </w:t>
      </w:r>
      <w:r w:rsidR="00706658">
        <w:rPr>
          <w:b/>
          <w:bCs/>
        </w:rPr>
        <w:t>Volgens het</w:t>
      </w:r>
      <w:r w:rsidRPr="00195627" w:rsidR="00806E63">
        <w:rPr>
          <w:b/>
          <w:bCs/>
        </w:rPr>
        <w:t xml:space="preserve"> Internationaal Gerechtshof hangt </w:t>
      </w:r>
      <w:r w:rsidR="00706658">
        <w:rPr>
          <w:b/>
          <w:bCs/>
        </w:rPr>
        <w:t xml:space="preserve">het af </w:t>
      </w:r>
      <w:r w:rsidRPr="00195627" w:rsidR="00806E63">
        <w:rPr>
          <w:b/>
          <w:bCs/>
        </w:rPr>
        <w:t>van de bewoording</w:t>
      </w:r>
      <w:r w:rsidR="00706658">
        <w:rPr>
          <w:b/>
          <w:bCs/>
        </w:rPr>
        <w:t>en</w:t>
      </w:r>
      <w:r w:rsidRPr="00195627" w:rsidR="00806E63">
        <w:rPr>
          <w:b/>
          <w:bCs/>
        </w:rPr>
        <w:t xml:space="preserve"> van </w:t>
      </w:r>
      <w:r w:rsidR="00706658">
        <w:rPr>
          <w:b/>
          <w:bCs/>
        </w:rPr>
        <w:t>een</w:t>
      </w:r>
      <w:r w:rsidRPr="00195627" w:rsidR="00806E63">
        <w:rPr>
          <w:b/>
          <w:bCs/>
        </w:rPr>
        <w:t xml:space="preserve"> resolutie, en van </w:t>
      </w:r>
      <w:r w:rsidR="00706658">
        <w:rPr>
          <w:b/>
          <w:bCs/>
        </w:rPr>
        <w:t>de totstandkoming (stemverhoudingen</w:t>
      </w:r>
      <w:r w:rsidR="00B54DAB">
        <w:rPr>
          <w:b/>
          <w:bCs/>
        </w:rPr>
        <w:t>)</w:t>
      </w:r>
      <w:r w:rsidR="00706658">
        <w:rPr>
          <w:b/>
          <w:bCs/>
        </w:rPr>
        <w:t>, of een resolutie van de Algemene Vergadering van de VN een weerspiegeling is van het internationaal recht</w:t>
      </w:r>
      <w:r w:rsidRPr="00195627" w:rsidR="00806E63">
        <w:rPr>
          <w:b/>
          <w:bCs/>
        </w:rPr>
        <w:t xml:space="preserve">. </w:t>
      </w:r>
      <w:r w:rsidR="00706658">
        <w:rPr>
          <w:b/>
          <w:bCs/>
        </w:rPr>
        <w:t>H</w:t>
      </w:r>
      <w:r w:rsidRPr="00195627" w:rsidR="00806E63">
        <w:rPr>
          <w:b/>
          <w:bCs/>
        </w:rPr>
        <w:t xml:space="preserve">et Internationaal Gerechtshof </w:t>
      </w:r>
      <w:r w:rsidR="00706658">
        <w:rPr>
          <w:b/>
          <w:bCs/>
        </w:rPr>
        <w:t xml:space="preserve">verwijst </w:t>
      </w:r>
      <w:r w:rsidRPr="00195627" w:rsidR="00806E63">
        <w:rPr>
          <w:b/>
          <w:bCs/>
        </w:rPr>
        <w:t xml:space="preserve">geregeld naar resoluties van de Algemene Vergadering voor de weergave van een regel van internationaal recht. Te denken valt hierbij aan de resoluties over </w:t>
      </w:r>
      <w:r w:rsidR="003432C6">
        <w:rPr>
          <w:b/>
          <w:bCs/>
        </w:rPr>
        <w:t xml:space="preserve">de betrekkingen tussen staten (zoals Resolutie 2625 (1970), </w:t>
      </w:r>
      <w:r w:rsidR="003432C6">
        <w:rPr>
          <w:b/>
          <w:bCs/>
          <w:i/>
          <w:iCs/>
        </w:rPr>
        <w:t>Declaration on Principles of International Law concerning Friendly Relations and Co-operation among States in accordance with the Charter of the United Nations</w:t>
      </w:r>
      <w:r w:rsidR="003432C6">
        <w:rPr>
          <w:b/>
          <w:bCs/>
        </w:rPr>
        <w:t>)</w:t>
      </w:r>
      <w:r w:rsidR="00D4451E">
        <w:rPr>
          <w:b/>
          <w:bCs/>
        </w:rPr>
        <w:t>,</w:t>
      </w:r>
      <w:r w:rsidR="00806E63">
        <w:rPr>
          <w:b/>
          <w:i/>
        </w:rPr>
        <w:t xml:space="preserve"> </w:t>
      </w:r>
      <w:r w:rsidRPr="00195627" w:rsidR="00806E63">
        <w:rPr>
          <w:b/>
          <w:bCs/>
        </w:rPr>
        <w:t xml:space="preserve">dekolonisatie </w:t>
      </w:r>
      <w:r w:rsidRPr="00195627" w:rsidR="00195627">
        <w:rPr>
          <w:b/>
          <w:bCs/>
        </w:rPr>
        <w:t>(</w:t>
      </w:r>
      <w:r w:rsidR="00706658">
        <w:rPr>
          <w:b/>
          <w:bCs/>
        </w:rPr>
        <w:t xml:space="preserve">zoals </w:t>
      </w:r>
      <w:r w:rsidRPr="00195627" w:rsidR="00195627">
        <w:rPr>
          <w:b/>
          <w:bCs/>
        </w:rPr>
        <w:t>Resolutie 1514 (1960)</w:t>
      </w:r>
      <w:r w:rsidRPr="00195627" w:rsidR="00195627">
        <w:rPr>
          <w:b/>
          <w:bCs/>
          <w:i/>
          <w:iCs/>
        </w:rPr>
        <w:t xml:space="preserve">, Declaration on the Granting of Independence to Colonial Countries and Peoples) </w:t>
      </w:r>
      <w:r w:rsidRPr="00195627" w:rsidR="00806E63">
        <w:rPr>
          <w:b/>
          <w:bCs/>
        </w:rPr>
        <w:t>en de ontwerpartikelen inzake staatsaansprakelijkheid</w:t>
      </w:r>
      <w:r w:rsidRPr="00195627" w:rsidR="001C659F">
        <w:rPr>
          <w:b/>
          <w:bCs/>
        </w:rPr>
        <w:t xml:space="preserve"> (Resolutie 56/83 van 12 december 2001</w:t>
      </w:r>
      <w:r w:rsidRPr="00195627" w:rsidR="00195627">
        <w:rPr>
          <w:b/>
          <w:bCs/>
        </w:rPr>
        <w:t>)</w:t>
      </w:r>
      <w:r w:rsidRPr="00195627" w:rsidR="00806E63">
        <w:rPr>
          <w:b/>
          <w:bCs/>
        </w:rPr>
        <w:t>.</w:t>
      </w:r>
    </w:p>
    <w:p w:rsidR="00715AD0" w:rsidP="00715AD0" w:rsidRDefault="00715AD0" w14:paraId="6DDE25CD" w14:textId="77777777"/>
    <w:p w:rsidR="008648B3" w:rsidP="00D7150B" w:rsidRDefault="00D72834" w14:paraId="72A349E0" w14:textId="5B0B98E6">
      <w:r w:rsidRPr="00D72834">
        <w:t>Zou dat instrumentarium dan ook niet herijkt moeten worden om machtsafwegingen in te perken, zo vragen de</w:t>
      </w:r>
      <w:r w:rsidR="009248D4">
        <w:t>ze</w:t>
      </w:r>
      <w:r w:rsidRPr="00D72834">
        <w:t xml:space="preserve"> leden. De leden van de ChristenUnie-fractie vragen of de minister erkent dat er een verschil is tussen de internationale rechtsorde en internationaal recht?</w:t>
      </w:r>
      <w:r w:rsidR="008648B3">
        <w:t xml:space="preserve"> </w:t>
      </w:r>
      <w:r w:rsidRPr="00D72834">
        <w:t xml:space="preserve">Indien dat zo is, kan de minister </w:t>
      </w:r>
      <w:r w:rsidR="009248D4">
        <w:t xml:space="preserve">dan </w:t>
      </w:r>
      <w:r w:rsidRPr="00D72834">
        <w:t>uitleggen hoe artikel 90</w:t>
      </w:r>
      <w:r w:rsidR="009248D4">
        <w:t xml:space="preserve"> van de</w:t>
      </w:r>
      <w:r w:rsidRPr="00D72834">
        <w:t xml:space="preserve"> G</w:t>
      </w:r>
      <w:r w:rsidR="009248D4">
        <w:t>rondwet</w:t>
      </w:r>
      <w:r w:rsidRPr="00D72834">
        <w:t xml:space="preserve"> geïnterpreteerd zou moeten worden en wat het verschil zou zijn als er geen ‘rechtsorde’, maar ‘internationaal recht’ zou staan?</w:t>
      </w:r>
      <w:r w:rsidR="00105E63">
        <w:t xml:space="preserve"> </w:t>
      </w:r>
    </w:p>
    <w:p w:rsidR="004D5E72" w:rsidP="008648B3" w:rsidRDefault="004D5E72" w14:paraId="0EFB9CB5" w14:textId="77777777">
      <w:pPr>
        <w:rPr>
          <w:color w:val="FF0000"/>
          <w:highlight w:val="yellow"/>
        </w:rPr>
      </w:pPr>
    </w:p>
    <w:p w:rsidRPr="00EF23AD" w:rsidR="00195627" w:rsidP="00195627" w:rsidRDefault="00195627" w14:paraId="4CA92AF1"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195627" w:rsidR="00C46FBF" w:rsidP="00C46FBF" w:rsidRDefault="008648B3" w14:paraId="0865EA98" w14:textId="75602A04">
      <w:pPr>
        <w:rPr>
          <w:b/>
          <w:bCs/>
        </w:rPr>
      </w:pPr>
      <w:r w:rsidRPr="00195627">
        <w:rPr>
          <w:b/>
          <w:bCs/>
        </w:rPr>
        <w:t xml:space="preserve">Internationaal recht </w:t>
      </w:r>
      <w:r w:rsidRPr="00195627" w:rsidR="003D5D40">
        <w:rPr>
          <w:b/>
          <w:bCs/>
        </w:rPr>
        <w:t>is gebaseerd op</w:t>
      </w:r>
      <w:r w:rsidRPr="00195627">
        <w:rPr>
          <w:b/>
          <w:bCs/>
        </w:rPr>
        <w:t xml:space="preserve"> </w:t>
      </w:r>
      <w:r w:rsidRPr="00195627" w:rsidR="00E03320">
        <w:rPr>
          <w:b/>
          <w:bCs/>
        </w:rPr>
        <w:t xml:space="preserve">regels, normen en </w:t>
      </w:r>
      <w:r w:rsidRPr="00195627" w:rsidR="00C14748">
        <w:rPr>
          <w:b/>
          <w:bCs/>
        </w:rPr>
        <w:t xml:space="preserve">beginselen </w:t>
      </w:r>
      <w:r w:rsidRPr="00195627" w:rsidR="00E03320">
        <w:rPr>
          <w:b/>
          <w:bCs/>
        </w:rPr>
        <w:t xml:space="preserve">die </w:t>
      </w:r>
      <w:r w:rsidRPr="00195627" w:rsidR="0014467C">
        <w:rPr>
          <w:b/>
          <w:bCs/>
        </w:rPr>
        <w:t xml:space="preserve">primair </w:t>
      </w:r>
      <w:r w:rsidRPr="00195627" w:rsidR="00E03320">
        <w:rPr>
          <w:b/>
          <w:bCs/>
        </w:rPr>
        <w:t xml:space="preserve">de relaties tussen </w:t>
      </w:r>
      <w:r w:rsidRPr="00195627" w:rsidR="00466CB7">
        <w:rPr>
          <w:b/>
          <w:bCs/>
        </w:rPr>
        <w:t>s</w:t>
      </w:r>
      <w:r w:rsidRPr="00195627" w:rsidR="00E03320">
        <w:rPr>
          <w:b/>
          <w:bCs/>
        </w:rPr>
        <w:t xml:space="preserve">taten regelen. </w:t>
      </w:r>
      <w:r w:rsidRPr="00195627" w:rsidR="00466CB7">
        <w:rPr>
          <w:b/>
          <w:bCs/>
        </w:rPr>
        <w:t>De ‘internationale rechtsorde’ dient te worden verstaan in de ruime zin van “een internationaal bestel gebaseerd op universeel geldende rechtsnormen”</w:t>
      </w:r>
      <w:r w:rsidR="00195627">
        <w:rPr>
          <w:b/>
          <w:bCs/>
        </w:rPr>
        <w:t xml:space="preserve"> (</w:t>
      </w:r>
      <w:r w:rsidRPr="00195627" w:rsidR="00195627">
        <w:rPr>
          <w:b/>
          <w:bCs/>
        </w:rPr>
        <w:t>Kamerstuk 15 049 (R 1100), nr. 7, p. 5)</w:t>
      </w:r>
      <w:r w:rsidRPr="00195627" w:rsidR="00466CB7">
        <w:rPr>
          <w:b/>
          <w:bCs/>
        </w:rPr>
        <w:t>.</w:t>
      </w:r>
      <w:r w:rsidR="00195627">
        <w:rPr>
          <w:b/>
          <w:bCs/>
        </w:rPr>
        <w:t xml:space="preserve"> </w:t>
      </w:r>
      <w:r w:rsidRPr="00195627" w:rsidR="00E03320">
        <w:rPr>
          <w:b/>
          <w:bCs/>
        </w:rPr>
        <w:t xml:space="preserve">De internationale rechtsorde is </w:t>
      </w:r>
      <w:r w:rsidRPr="00195627" w:rsidR="00466CB7">
        <w:rPr>
          <w:b/>
          <w:bCs/>
        </w:rPr>
        <w:t xml:space="preserve">dus </w:t>
      </w:r>
      <w:r w:rsidRPr="00195627" w:rsidR="00E03320">
        <w:rPr>
          <w:b/>
          <w:bCs/>
        </w:rPr>
        <w:t>een bre</w:t>
      </w:r>
      <w:r w:rsidRPr="00195627" w:rsidR="00466CB7">
        <w:rPr>
          <w:b/>
          <w:bCs/>
        </w:rPr>
        <w:t>ed</w:t>
      </w:r>
      <w:r w:rsidRPr="00195627" w:rsidR="00E03320">
        <w:rPr>
          <w:b/>
          <w:bCs/>
        </w:rPr>
        <w:t xml:space="preserve"> concept dat verwijst naar het systeem waarin internationaal recht opereert</w:t>
      </w:r>
      <w:r w:rsidRPr="00195627" w:rsidR="00C46FBF">
        <w:rPr>
          <w:b/>
          <w:bCs/>
        </w:rPr>
        <w:t xml:space="preserve">, waar internationale diplomatie </w:t>
      </w:r>
      <w:r w:rsidRPr="00195627" w:rsidR="00466CB7">
        <w:rPr>
          <w:b/>
          <w:bCs/>
        </w:rPr>
        <w:t xml:space="preserve">en naleving alsmede het respecteren van internationaal recht </w:t>
      </w:r>
      <w:r w:rsidRPr="00195627" w:rsidR="00C46FBF">
        <w:rPr>
          <w:b/>
          <w:bCs/>
        </w:rPr>
        <w:t xml:space="preserve">onderdeel van </w:t>
      </w:r>
      <w:r w:rsidR="00B54DAB">
        <w:rPr>
          <w:b/>
          <w:bCs/>
        </w:rPr>
        <w:t>zijn</w:t>
      </w:r>
      <w:r w:rsidRPr="00195627" w:rsidR="00E03320">
        <w:rPr>
          <w:b/>
          <w:bCs/>
        </w:rPr>
        <w:t xml:space="preserve">. Het omvat </w:t>
      </w:r>
      <w:r w:rsidRPr="00195627" w:rsidR="00C14748">
        <w:rPr>
          <w:b/>
          <w:bCs/>
        </w:rPr>
        <w:t>daarnaast</w:t>
      </w:r>
      <w:r w:rsidRPr="00195627" w:rsidR="00E03320">
        <w:rPr>
          <w:b/>
          <w:bCs/>
        </w:rPr>
        <w:t xml:space="preserve"> de </w:t>
      </w:r>
      <w:r w:rsidRPr="00195627" w:rsidR="00C46FBF">
        <w:rPr>
          <w:b/>
          <w:bCs/>
        </w:rPr>
        <w:t>mechanismen voor handhaving en geschillenbeslechting</w:t>
      </w:r>
      <w:r w:rsidRPr="00195627" w:rsidR="00C14748">
        <w:rPr>
          <w:b/>
          <w:bCs/>
        </w:rPr>
        <w:t>, en voor het ontstaan van nieuwe regels van internationaal recht</w:t>
      </w:r>
      <w:r w:rsidRPr="00195627" w:rsidR="00C46FBF">
        <w:rPr>
          <w:b/>
          <w:bCs/>
        </w:rPr>
        <w:t xml:space="preserve">. </w:t>
      </w:r>
    </w:p>
    <w:p w:rsidRPr="00195627" w:rsidR="00466CB7" w:rsidP="00C46FBF" w:rsidRDefault="00466CB7" w14:paraId="023B2852" w14:textId="77777777">
      <w:pPr>
        <w:rPr>
          <w:b/>
          <w:bCs/>
        </w:rPr>
      </w:pPr>
    </w:p>
    <w:p w:rsidRPr="00AC44C8" w:rsidR="00466CB7" w:rsidP="00C46FBF" w:rsidRDefault="00466CB7" w14:paraId="6FF16276" w14:textId="275F9FB9">
      <w:pPr>
        <w:rPr>
          <w:b/>
          <w:bCs/>
        </w:rPr>
      </w:pPr>
      <w:r w:rsidRPr="00195627">
        <w:rPr>
          <w:b/>
          <w:bCs/>
        </w:rPr>
        <w:t>Conform artikel 90 van de Grondwet bevordert het kabinet de ontwikkeling van de internationale rechtsorde. Nederland geeft op verschillende manieren inhoud aan de grondwettelijke taak, die raakt aan vele departementen en beleidsterreinen. Dit is onder andere uiteengezet in de Beleidsnota Mensenrechten, Democratie en Internationale Rechtsorde, en het Beleidskader Mondiaal Multilateralisme</w:t>
      </w:r>
      <w:r w:rsidR="00195627">
        <w:rPr>
          <w:b/>
          <w:bCs/>
        </w:rPr>
        <w:t xml:space="preserve"> (zie </w:t>
      </w:r>
      <w:r w:rsidRPr="00195627" w:rsidR="00195627">
        <w:rPr>
          <w:b/>
          <w:bCs/>
        </w:rPr>
        <w:t>Kamerstuk 32 735 nr. 370 en Kamerstuk 31271, nr. 22)</w:t>
      </w:r>
      <w:r w:rsidRPr="00195627">
        <w:rPr>
          <w:b/>
          <w:bCs/>
        </w:rPr>
        <w:t>.</w:t>
      </w:r>
    </w:p>
    <w:p w:rsidR="00105E63" w:rsidP="00D7150B" w:rsidRDefault="00D72834" w14:paraId="306AA629" w14:textId="131E1ED1">
      <w:r w:rsidRPr="00D72834">
        <w:lastRenderedPageBreak/>
        <w:t>De leden van de ChristenUnie-fractie vragen de minister of soevereiniteit van staten echt een algemeen rechtsbeginsel is en</w:t>
      </w:r>
      <w:r w:rsidR="009248D4">
        <w:t>,</w:t>
      </w:r>
      <w:r w:rsidRPr="00D72834">
        <w:t xml:space="preserve"> zo ja, sinds wanneer dat als zodanig is vastgesteld? Is de minister van mening dat de vastgestelde grenzen</w:t>
      </w:r>
      <w:r w:rsidR="009248D4">
        <w:t xml:space="preserve"> -</w:t>
      </w:r>
      <w:r w:rsidRPr="00D72834">
        <w:t xml:space="preserve"> bijvoorbeeld de grenzen die rond de conferentie van Berlijn zijn </w:t>
      </w:r>
      <w:r w:rsidR="009248D4">
        <w:t>bepaald</w:t>
      </w:r>
      <w:r w:rsidRPr="00D72834">
        <w:t>, maar waar</w:t>
      </w:r>
      <w:r w:rsidR="009248D4">
        <w:t>over</w:t>
      </w:r>
      <w:r w:rsidRPr="00D72834">
        <w:t xml:space="preserve"> tot aan de dag van vandaag conflict </w:t>
      </w:r>
      <w:r w:rsidR="009248D4">
        <w:t>bestaat -</w:t>
      </w:r>
      <w:r w:rsidRPr="00D72834">
        <w:t xml:space="preserve"> een uiting van deze rechtsbeginselen zijn? Is het kabinet van mening dat deze vastgestelde besluiten onveranderlijk zijn en dat deze een uiting van rechtsbeginselen zou</w:t>
      </w:r>
      <w:r w:rsidR="009248D4">
        <w:t>den</w:t>
      </w:r>
      <w:r w:rsidRPr="00D72834">
        <w:t xml:space="preserve"> zijn?</w:t>
      </w:r>
    </w:p>
    <w:p w:rsidR="00105E63" w:rsidP="00105E63" w:rsidRDefault="00105E63" w14:paraId="368FDC15" w14:textId="77777777"/>
    <w:p w:rsidRPr="00AC44C8" w:rsidR="00AC44C8" w:rsidP="00282DEF" w:rsidRDefault="00AC44C8" w14:paraId="2D8004E0" w14:textId="536A5E43">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AC44C8" w:rsidR="00282DEF" w:rsidP="00282DEF" w:rsidRDefault="00282DEF" w14:paraId="30B99E40" w14:textId="648A6CE2">
      <w:pPr>
        <w:rPr>
          <w:b/>
          <w:bCs/>
        </w:rPr>
      </w:pPr>
      <w:r w:rsidRPr="00AC44C8">
        <w:rPr>
          <w:b/>
          <w:bCs/>
        </w:rPr>
        <w:t xml:space="preserve">Staatssoevereiniteit betekent dat een staat het hoogste gezag uitoefent over een bepaald grondgebied (en de daar woonachtige bevolking). De grenzen van een staat kunnen betwist worden zonder dat dat afbreuk doet aan statelijkheid en daarmee aan de soevereiniteit van die staat. Het concept van soevereiniteit van staten (en daarmee de soevereine gelijkheid van staten, ongeacht territoriale omvang of politiek systeem) is terug te voeren naar de Vrede van Westfalen van 1648. Dat betrof een vredesregeling tussen Europese staten, waarbij een op personen </w:t>
      </w:r>
      <w:r w:rsidRPr="00AC44C8" w:rsidR="00B10071">
        <w:rPr>
          <w:b/>
          <w:bCs/>
        </w:rPr>
        <w:t xml:space="preserve">(monarchen) </w:t>
      </w:r>
      <w:r w:rsidRPr="00AC44C8">
        <w:rPr>
          <w:b/>
          <w:bCs/>
        </w:rPr>
        <w:t>gebaseerde rechtsorde werd getransformeerd naar een op grondgebied (van staten) gebaseerde rechtsorde</w:t>
      </w:r>
      <w:r w:rsidRPr="00AC44C8" w:rsidR="00F00FA8">
        <w:rPr>
          <w:b/>
          <w:bCs/>
        </w:rPr>
        <w:t xml:space="preserve"> gegrondvest op de soevereine gelijkheid van staten</w:t>
      </w:r>
      <w:r w:rsidRPr="00AC44C8">
        <w:rPr>
          <w:b/>
          <w:bCs/>
        </w:rPr>
        <w:t xml:space="preserve">. Als gevolg van dekolonisatie na de Tweede Wereldoorlog zijn verschillende voormalige koloniale </w:t>
      </w:r>
      <w:r w:rsidRPr="00AC44C8" w:rsidR="00B10071">
        <w:rPr>
          <w:b/>
          <w:bCs/>
        </w:rPr>
        <w:t>gebieden</w:t>
      </w:r>
      <w:r w:rsidRPr="00AC44C8">
        <w:rPr>
          <w:b/>
          <w:bCs/>
        </w:rPr>
        <w:t xml:space="preserve"> onafhankelijk</w:t>
      </w:r>
      <w:r w:rsidRPr="00AC44C8" w:rsidR="00B10071">
        <w:rPr>
          <w:b/>
          <w:bCs/>
        </w:rPr>
        <w:t>e staten</w:t>
      </w:r>
      <w:r w:rsidRPr="00AC44C8">
        <w:rPr>
          <w:b/>
          <w:bCs/>
        </w:rPr>
        <w:t xml:space="preserve"> geworden waardoor het beginsel van staatssoevereiniteit ook op hen van toepassing werd. Het Internationaal Gerechtshof heeft het beginsel van soevereine gelijkheid van staten (en daarmee staatssoevereiniteit) als beginsel onder internationaal recht bevestigd, waaronder in de context van het non-interventie verbod en het verbod op het gebruik van geweld.</w:t>
      </w:r>
    </w:p>
    <w:p w:rsidRPr="00AC44C8" w:rsidR="00282DEF" w:rsidP="00282DEF" w:rsidRDefault="00282DEF" w14:paraId="5BF8D643" w14:textId="77777777">
      <w:pPr>
        <w:rPr>
          <w:b/>
          <w:bCs/>
        </w:rPr>
      </w:pPr>
    </w:p>
    <w:p w:rsidRPr="00AC44C8" w:rsidR="00282DEF" w:rsidP="00105E63" w:rsidRDefault="00282DEF" w14:paraId="5092C4AA" w14:textId="4B543147">
      <w:pPr>
        <w:rPr>
          <w:b/>
          <w:bCs/>
        </w:rPr>
      </w:pPr>
      <w:r w:rsidRPr="00AC44C8">
        <w:rPr>
          <w:b/>
          <w:bCs/>
        </w:rPr>
        <w:t xml:space="preserve">Op basis van het (aan het Romeinse recht ontleende) beginsel van </w:t>
      </w:r>
      <w:r w:rsidRPr="00AC44C8">
        <w:rPr>
          <w:b/>
          <w:bCs/>
          <w:i/>
          <w:iCs/>
        </w:rPr>
        <w:t>uti possidetis</w:t>
      </w:r>
      <w:r w:rsidRPr="00AC44C8">
        <w:rPr>
          <w:b/>
          <w:bCs/>
        </w:rPr>
        <w:t xml:space="preserve"> worden de buitengrenzen van een territoriale entiteit bij onafhankelijkheid ‘bevroren’. Dit beginsel is op internationaal niveau eerst toegepast tijdens </w:t>
      </w:r>
      <w:r w:rsidR="00625990">
        <w:rPr>
          <w:b/>
          <w:bCs/>
        </w:rPr>
        <w:t>het ontstaan</w:t>
      </w:r>
      <w:r w:rsidRPr="00AC44C8">
        <w:rPr>
          <w:b/>
          <w:bCs/>
        </w:rPr>
        <w:t xml:space="preserve"> van Zuid-Amerikaanse staten, later tijdens </w:t>
      </w:r>
      <w:r w:rsidR="00625990">
        <w:rPr>
          <w:b/>
          <w:bCs/>
        </w:rPr>
        <w:t>het ontstaan</w:t>
      </w:r>
      <w:r w:rsidRPr="00AC44C8">
        <w:rPr>
          <w:b/>
          <w:bCs/>
        </w:rPr>
        <w:t xml:space="preserve"> van verschillende staten op het Afrikaanse continent en vervolgens in de context van het voormalig Joegoslavië, het uiteenvallen van de USSR en de </w:t>
      </w:r>
      <w:r w:rsidRPr="00AC44C8" w:rsidR="00B10071">
        <w:rPr>
          <w:b/>
          <w:bCs/>
        </w:rPr>
        <w:t>ontbinding</w:t>
      </w:r>
      <w:r w:rsidRPr="00AC44C8">
        <w:rPr>
          <w:b/>
          <w:bCs/>
        </w:rPr>
        <w:t xml:space="preserve"> van Tsjechoslowakije. De tijdens de conferentie van Berlijn (1884-1885) door koloniale mogendheden vastgestelde grenzen in Afrika vormden in de meeste gevallen inderdaad de basis voor de buitengrenzen van de onafhankelijk geworden staten na dekolonisatie middels toepassing van het beginsel van </w:t>
      </w:r>
      <w:r w:rsidRPr="00AC44C8">
        <w:rPr>
          <w:b/>
          <w:bCs/>
          <w:i/>
          <w:iCs/>
        </w:rPr>
        <w:t>uti possidetis</w:t>
      </w:r>
      <w:r w:rsidRPr="00AC44C8">
        <w:rPr>
          <w:b/>
          <w:bCs/>
        </w:rPr>
        <w:t xml:space="preserve">. </w:t>
      </w:r>
      <w:r w:rsidRPr="009B4BB3" w:rsidR="001170E5">
        <w:rPr>
          <w:b/>
          <w:bCs/>
        </w:rPr>
        <w:t>In het Statuut van de Afrikaanse Unie wordt de toepasselijkheid van dit beginsel op de buitengrenzen van een koloniaal gebied bij het bereiken van onafhankelijkheid bevestigd.</w:t>
      </w:r>
      <w:r w:rsidR="001170E5">
        <w:rPr>
          <w:b/>
          <w:bCs/>
        </w:rPr>
        <w:t xml:space="preserve"> </w:t>
      </w:r>
      <w:r w:rsidRPr="00AC44C8">
        <w:rPr>
          <w:b/>
          <w:bCs/>
        </w:rPr>
        <w:t>Dergelijke buitengrenzen zijn echter niet onveranderlijk. Buitengrenzen kunnen door middel van wederzijdse instemming van de betrokken staten worden gewijzigd.</w:t>
      </w:r>
    </w:p>
    <w:p w:rsidR="00D72834" w:rsidP="00105E63" w:rsidRDefault="00D72834" w14:paraId="1281E22F" w14:textId="1A492A88">
      <w:r w:rsidRPr="00D72834">
        <w:br/>
        <w:t>De leden van de ChristenUnie-fractie merken de volgende zinsnede</w:t>
      </w:r>
      <w:r w:rsidR="009248D4">
        <w:t xml:space="preserve"> op pagina 4 van de kabinetsreactie</w:t>
      </w:r>
      <w:r w:rsidRPr="00D72834">
        <w:t xml:space="preserve"> op:</w:t>
      </w:r>
      <w:r w:rsidR="009248D4">
        <w:t xml:space="preserve"> </w:t>
      </w:r>
      <w:r w:rsidRPr="00D72834">
        <w:t xml:space="preserve">‘Het kabinet merkt op dat waar de CAVV aangeeft dat de ILC niet ingaat op de vraag wat een beginsel onderscheidt van een rechtsbeginsel, het kabinet het zo begrijpt, dat een </w:t>
      </w:r>
      <w:r w:rsidRPr="00D72834">
        <w:rPr>
          <w:i/>
          <w:iCs/>
        </w:rPr>
        <w:t>rechts</w:t>
      </w:r>
      <w:r w:rsidRPr="00D72834">
        <w:t>beginsel een juridisch bindende norm is die de oorsprong kan zijn van andere regels, terwijl een beginsel</w:t>
      </w:r>
      <w:r w:rsidR="009248D4">
        <w:t xml:space="preserve"> e</w:t>
      </w:r>
      <w:r w:rsidRPr="00D72834">
        <w:t>en buiten het recht gelegen uitgangspunt is dat zelf niet juridisch bindend is.’ De</w:t>
      </w:r>
      <w:r w:rsidR="009248D4">
        <w:t>ze</w:t>
      </w:r>
      <w:r w:rsidRPr="00D72834">
        <w:t xml:space="preserve"> leden vragen of dit betekent dat</w:t>
      </w:r>
      <w:r w:rsidR="009248D4">
        <w:t>,</w:t>
      </w:r>
      <w:r w:rsidRPr="00D72834">
        <w:t xml:space="preserve"> als een rechtsbeginsel niet (meer) als norm wordt ervaren, </w:t>
      </w:r>
      <w:r w:rsidR="009248D4">
        <w:t>de</w:t>
      </w:r>
      <w:r w:rsidRPr="00D72834">
        <w:t xml:space="preserve">ze daarmee haar zeggingskracht verliest? Ziet de minister </w:t>
      </w:r>
      <w:r w:rsidR="00EC73F5">
        <w:t>het</w:t>
      </w:r>
      <w:r w:rsidRPr="00D72834">
        <w:t xml:space="preserve"> gevaar dat</w:t>
      </w:r>
      <w:r w:rsidR="00EC73F5">
        <w:t xml:space="preserve"> er slechts</w:t>
      </w:r>
      <w:r w:rsidRPr="00D72834">
        <w:t xml:space="preserve"> normovertreding ontstaat als maar een paar landen het rechtsbeginsel niet meer als bindend </w:t>
      </w:r>
      <w:r w:rsidRPr="00D72834">
        <w:lastRenderedPageBreak/>
        <w:t>ervaren, maar dat</w:t>
      </w:r>
      <w:r w:rsidR="00EC73F5">
        <w:t>,</w:t>
      </w:r>
      <w:r w:rsidRPr="00D72834">
        <w:t xml:space="preserve"> zodra meer landen dat doen, de ontwikkeling niet meer als een normovertreding gezien kan worden, maar als een doorontwikkeling van een rechtsbeginsel?</w:t>
      </w:r>
      <w:r w:rsidR="00EC73F5">
        <w:t xml:space="preserve"> </w:t>
      </w:r>
      <w:r w:rsidRPr="00D72834">
        <w:t xml:space="preserve">Hoe verhoudt deze conclusie zich tot de essentie van beginselen, de internationale machtsverhoudingen en bescherming van minderheden daarbij en de feitelijke constatering dat rechtspositivisme uiteindelijk toch vaker doorslaggevend blijkt te zijn dan beginselen? Vindt de minister deze redenering dan niet zeer kwetsbaar, </w:t>
      </w:r>
      <w:r w:rsidR="00EC73F5">
        <w:t xml:space="preserve">aangezien </w:t>
      </w:r>
      <w:r w:rsidRPr="00D72834">
        <w:t>die tevens vatbaar is voor machtsspel van de machtigste landen die (ook bij andere afhankelijke landen) afdwingen dat een rechtsbeginsel niet meer een bindende norm is?</w:t>
      </w:r>
    </w:p>
    <w:p w:rsidR="00CA1CC8" w:rsidP="00105E63" w:rsidRDefault="00CA1CC8" w14:paraId="34BF8B1D" w14:textId="77777777"/>
    <w:p w:rsidRPr="00AC44C8" w:rsidR="00AC44C8" w:rsidP="00AC44C8" w:rsidRDefault="00AC44C8" w14:paraId="2EEFEAA0"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AC44C8" w:rsidR="00CA1CC8" w:rsidP="00105E63" w:rsidRDefault="006929DE" w14:paraId="162D8A82" w14:textId="5D38ED0D">
      <w:pPr>
        <w:rPr>
          <w:b/>
          <w:bCs/>
        </w:rPr>
      </w:pPr>
      <w:r w:rsidRPr="00AC44C8">
        <w:rPr>
          <w:rFonts w:eastAsia="Aptos"/>
          <w:b/>
          <w:bCs/>
          <w:kern w:val="2"/>
          <w:lang w:eastAsia="en-US"/>
        </w:rPr>
        <w:t xml:space="preserve">Staten zijn de primaire actoren die het </w:t>
      </w:r>
      <w:r w:rsidRPr="00AC44C8" w:rsidR="00C8386E">
        <w:rPr>
          <w:rFonts w:eastAsia="Aptos"/>
          <w:b/>
          <w:bCs/>
          <w:kern w:val="2"/>
          <w:lang w:eastAsia="en-US"/>
        </w:rPr>
        <w:t xml:space="preserve">internationaal recht </w:t>
      </w:r>
      <w:r w:rsidRPr="00AC44C8">
        <w:rPr>
          <w:rFonts w:eastAsia="Aptos"/>
          <w:b/>
          <w:bCs/>
          <w:kern w:val="2"/>
          <w:lang w:eastAsia="en-US"/>
        </w:rPr>
        <w:t xml:space="preserve">vormgeven, inclusief </w:t>
      </w:r>
      <w:r w:rsidRPr="00AC44C8" w:rsidR="00C8386E">
        <w:rPr>
          <w:rFonts w:eastAsia="Aptos"/>
          <w:b/>
          <w:bCs/>
          <w:kern w:val="2"/>
          <w:lang w:eastAsia="en-US"/>
        </w:rPr>
        <w:t xml:space="preserve">bij het </w:t>
      </w:r>
      <w:r w:rsidR="00D8760A">
        <w:rPr>
          <w:rFonts w:eastAsia="Aptos"/>
          <w:b/>
          <w:bCs/>
          <w:kern w:val="2"/>
          <w:lang w:eastAsia="en-US"/>
        </w:rPr>
        <w:t xml:space="preserve">vormen en </w:t>
      </w:r>
      <w:r w:rsidRPr="00AC44C8" w:rsidR="00C8386E">
        <w:rPr>
          <w:rFonts w:eastAsia="Aptos"/>
          <w:b/>
          <w:bCs/>
          <w:kern w:val="2"/>
          <w:lang w:eastAsia="en-US"/>
        </w:rPr>
        <w:t>erkennen van algemene rechtsbeginselen</w:t>
      </w:r>
      <w:r w:rsidRPr="00AC44C8" w:rsidR="00850461">
        <w:rPr>
          <w:rFonts w:eastAsia="Aptos"/>
          <w:b/>
          <w:bCs/>
          <w:kern w:val="2"/>
          <w:lang w:eastAsia="en-US"/>
        </w:rPr>
        <w:t xml:space="preserve"> die als intrinsiek onderdeel van de internationale rechtsorde worden beschouwd</w:t>
      </w:r>
      <w:r w:rsidRPr="00AC44C8" w:rsidR="00C8386E">
        <w:rPr>
          <w:rFonts w:eastAsia="Aptos"/>
          <w:b/>
          <w:bCs/>
          <w:kern w:val="2"/>
          <w:lang w:eastAsia="en-US"/>
        </w:rPr>
        <w:t>.</w:t>
      </w:r>
      <w:r w:rsidRPr="00AC44C8" w:rsidR="00850461">
        <w:rPr>
          <w:rFonts w:eastAsia="Aptos"/>
          <w:b/>
          <w:bCs/>
          <w:kern w:val="2"/>
          <w:lang w:eastAsia="en-US"/>
        </w:rPr>
        <w:t xml:space="preserve"> Dat betekent dat er ruimte is voor ontwikkeling van rechtsbeginselen in het licht van veranderende opvattingen en praktijk. Dergelijke veranderingen vergen echter brede, consistente steun van de gehele internationale gemeenschap. Dit blijkt </w:t>
      </w:r>
      <w:r w:rsidR="00D8760A">
        <w:rPr>
          <w:rFonts w:eastAsia="Aptos"/>
          <w:b/>
          <w:bCs/>
          <w:kern w:val="2"/>
          <w:lang w:eastAsia="en-US"/>
        </w:rPr>
        <w:t xml:space="preserve">ook </w:t>
      </w:r>
      <w:r w:rsidRPr="00AC44C8" w:rsidR="00850461">
        <w:rPr>
          <w:rFonts w:eastAsia="Aptos"/>
          <w:b/>
          <w:bCs/>
          <w:kern w:val="2"/>
          <w:lang w:eastAsia="en-US"/>
        </w:rPr>
        <w:t>uit de bewoording</w:t>
      </w:r>
      <w:r w:rsidR="00D8760A">
        <w:rPr>
          <w:rFonts w:eastAsia="Aptos"/>
          <w:b/>
          <w:bCs/>
          <w:kern w:val="2"/>
          <w:lang w:eastAsia="en-US"/>
        </w:rPr>
        <w:t>en</w:t>
      </w:r>
      <w:r w:rsidRPr="00AC44C8" w:rsidR="00850461">
        <w:rPr>
          <w:rFonts w:eastAsia="Aptos"/>
          <w:b/>
          <w:bCs/>
          <w:kern w:val="2"/>
          <w:lang w:eastAsia="en-US"/>
        </w:rPr>
        <w:t xml:space="preserve"> van de ILC, die </w:t>
      </w:r>
      <w:r w:rsidRPr="00AC44C8" w:rsidR="005946E4">
        <w:rPr>
          <w:rFonts w:eastAsia="Aptos"/>
          <w:b/>
          <w:bCs/>
          <w:kern w:val="2"/>
          <w:lang w:eastAsia="en-US"/>
        </w:rPr>
        <w:t xml:space="preserve">als eis stelt dat het algemene rechtsbeginsel wordt erkend als intrinsiek aan </w:t>
      </w:r>
      <w:r w:rsidR="00AC44C8">
        <w:rPr>
          <w:rFonts w:eastAsia="Aptos"/>
          <w:b/>
          <w:bCs/>
          <w:kern w:val="2"/>
          <w:lang w:eastAsia="en-US"/>
        </w:rPr>
        <w:t>de internationale rechtsorde</w:t>
      </w:r>
      <w:r w:rsidRPr="00AC44C8" w:rsidR="005946E4">
        <w:rPr>
          <w:rFonts w:eastAsia="Aptos"/>
          <w:b/>
          <w:bCs/>
          <w:kern w:val="2"/>
          <w:lang w:eastAsia="en-US"/>
        </w:rPr>
        <w:t xml:space="preserve"> door de gemeenschap van naties.</w:t>
      </w:r>
      <w:r w:rsidRPr="00AC44C8" w:rsidR="00C8386E">
        <w:rPr>
          <w:rFonts w:eastAsia="Aptos"/>
          <w:b/>
          <w:bCs/>
          <w:kern w:val="2"/>
          <w:lang w:eastAsia="en-US"/>
        </w:rPr>
        <w:t xml:space="preserve"> </w:t>
      </w:r>
      <w:r w:rsidRPr="00AC44C8">
        <w:rPr>
          <w:rFonts w:eastAsia="Aptos"/>
          <w:b/>
          <w:bCs/>
          <w:kern w:val="2"/>
          <w:lang w:eastAsia="en-US"/>
        </w:rPr>
        <w:t>Het kabinet ziet</w:t>
      </w:r>
      <w:r w:rsidRPr="00AC44C8" w:rsidR="005946E4">
        <w:rPr>
          <w:rFonts w:eastAsia="Aptos"/>
          <w:b/>
          <w:bCs/>
          <w:kern w:val="2"/>
          <w:lang w:eastAsia="en-US"/>
        </w:rPr>
        <w:t xml:space="preserve"> derhalve</w:t>
      </w:r>
      <w:r w:rsidRPr="00AC44C8">
        <w:rPr>
          <w:rFonts w:eastAsia="Aptos"/>
          <w:b/>
          <w:bCs/>
          <w:kern w:val="2"/>
          <w:lang w:eastAsia="en-US"/>
        </w:rPr>
        <w:t xml:space="preserve"> het door de ChristenUnie genoemde risico hierbij niet. </w:t>
      </w:r>
    </w:p>
    <w:p w:rsidRPr="00D72834" w:rsidR="001415AB" w:rsidP="00105E63" w:rsidRDefault="001415AB" w14:paraId="6CB8F6A7" w14:textId="77777777"/>
    <w:p w:rsidRPr="00D72834" w:rsidR="00D72834" w:rsidP="00D7150B" w:rsidRDefault="00D72834" w14:paraId="1BCEEE5B" w14:textId="72FA6242">
      <w:pPr>
        <w:autoSpaceDE w:val="0"/>
        <w:autoSpaceDN w:val="0"/>
        <w:adjustRightInd w:val="0"/>
      </w:pPr>
      <w:r w:rsidRPr="00D72834">
        <w:t>De leden van de ChristenUnie-fractie vragen aan de minister hoe deze de acht criteria van professor Lon Fuller</w:t>
      </w:r>
      <w:r w:rsidR="00EC73F5">
        <w:t>,</w:t>
      </w:r>
      <w:r w:rsidRPr="00D72834">
        <w:t xml:space="preserve"> waaraan een wetgever zich </w:t>
      </w:r>
      <w:r w:rsidR="00EC73F5">
        <w:t xml:space="preserve">volgens hem zou </w:t>
      </w:r>
      <w:r w:rsidRPr="00D72834">
        <w:t>moet houden</w:t>
      </w:r>
      <w:r w:rsidR="00EC73F5">
        <w:t>,</w:t>
      </w:r>
      <w:r w:rsidRPr="00D72834">
        <w:t xml:space="preserve"> beoordeelt</w:t>
      </w:r>
      <w:r w:rsidR="00EC73F5">
        <w:t>. Deze criteria zijn:</w:t>
      </w:r>
    </w:p>
    <w:p w:rsidRPr="00D72834" w:rsidR="00D72834" w:rsidP="00D72834" w:rsidRDefault="00D72834" w14:paraId="6C9AE542" w14:textId="77777777">
      <w:pPr>
        <w:pStyle w:val="ListParagraph"/>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algemeen zijn (zorgt voor rechtvaardigheid en voorkomt willekeur)                             </w:t>
      </w:r>
    </w:p>
    <w:p w:rsidRPr="00D72834" w:rsidR="00D72834" w:rsidP="00D72834" w:rsidRDefault="00D72834" w14:paraId="0D5A0AC4" w14:textId="77777777">
      <w:pPr>
        <w:pStyle w:val="ListParagraph"/>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kenbaar zijn </w:t>
      </w:r>
    </w:p>
    <w:p w:rsidRPr="00D72834" w:rsidR="00D72834" w:rsidP="00D72834" w:rsidRDefault="00D72834" w14:paraId="525BC95C" w14:textId="77777777">
      <w:pPr>
        <w:pStyle w:val="ListParagraph"/>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geen terugwerkende kracht hebben (voorkomt willekeur en machtsmisbruik)            </w:t>
      </w:r>
    </w:p>
    <w:p w:rsidRPr="00D72834" w:rsidR="00D72834" w:rsidP="00D72834" w:rsidRDefault="00D72834" w14:paraId="2648A531" w14:textId="77777777">
      <w:pPr>
        <w:pStyle w:val="ListParagraph"/>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Wetten moeten duidelijk en helder</w:t>
      </w:r>
      <w:r w:rsidR="00EC73F5">
        <w:rPr>
          <w:rFonts w:ascii="Times New Roman" w:hAnsi="Times New Roman"/>
          <w:sz w:val="24"/>
          <w:szCs w:val="24"/>
        </w:rPr>
        <w:t xml:space="preserve"> </w:t>
      </w:r>
      <w:r w:rsidRPr="00D72834">
        <w:rPr>
          <w:rFonts w:ascii="Times New Roman" w:hAnsi="Times New Roman"/>
          <w:sz w:val="24"/>
          <w:szCs w:val="24"/>
        </w:rPr>
        <w:t xml:space="preserve">zijn                                                                                                             </w:t>
      </w:r>
    </w:p>
    <w:p w:rsidRPr="00D72834" w:rsidR="00D72834" w:rsidP="00D72834" w:rsidRDefault="00D72834" w14:paraId="4BF60950" w14:textId="77777777">
      <w:pPr>
        <w:pStyle w:val="ListParagraph"/>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Wetten moeten elkaar niet tegenspreken</w:t>
      </w:r>
    </w:p>
    <w:p w:rsidRPr="00D72834" w:rsidR="00D72834" w:rsidP="00D72834" w:rsidRDefault="00D72834" w14:paraId="38D02AF6" w14:textId="77777777">
      <w:pPr>
        <w:pStyle w:val="ListParagraph"/>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niet het onmogelijke verlangen                                                                                              </w:t>
      </w:r>
    </w:p>
    <w:p w:rsidRPr="00D72834" w:rsidR="00D72834" w:rsidP="00D72834" w:rsidRDefault="00D72834" w14:paraId="250D0499" w14:textId="77777777">
      <w:pPr>
        <w:pStyle w:val="ListParagraph"/>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stabiel en constant zijn                                                                                                             </w:t>
      </w:r>
    </w:p>
    <w:p w:rsidR="00D72834" w:rsidP="00D72834" w:rsidRDefault="00D72834" w14:paraId="7F762444" w14:textId="77777777">
      <w:pPr>
        <w:pStyle w:val="ListParagraph"/>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Er moet overeenstemming zijn tussen wat werkelijk wordt ondernomen en wat er in de wet is opgenomen</w:t>
      </w:r>
      <w:r w:rsidR="00EC73F5">
        <w:rPr>
          <w:rFonts w:ascii="Times New Roman" w:hAnsi="Times New Roman"/>
          <w:sz w:val="24"/>
          <w:szCs w:val="24"/>
        </w:rPr>
        <w:t xml:space="preserve">; </w:t>
      </w:r>
      <w:r w:rsidRPr="00D72834">
        <w:rPr>
          <w:rFonts w:ascii="Times New Roman" w:hAnsi="Times New Roman"/>
          <w:sz w:val="24"/>
          <w:szCs w:val="24"/>
        </w:rPr>
        <w:t>ook de overheid dient gebonden te zijn aan de wetten</w:t>
      </w:r>
      <w:r w:rsidR="00EC73F5">
        <w:rPr>
          <w:rFonts w:ascii="Times New Roman" w:hAnsi="Times New Roman"/>
          <w:sz w:val="24"/>
          <w:szCs w:val="24"/>
        </w:rPr>
        <w:t xml:space="preserve"> en</w:t>
      </w:r>
      <w:r w:rsidRPr="00D72834">
        <w:rPr>
          <w:rFonts w:ascii="Times New Roman" w:hAnsi="Times New Roman"/>
          <w:sz w:val="24"/>
          <w:szCs w:val="24"/>
        </w:rPr>
        <w:t xml:space="preserve"> regels niet te vaak </w:t>
      </w:r>
      <w:r w:rsidR="00EC73F5">
        <w:rPr>
          <w:rFonts w:ascii="Times New Roman" w:hAnsi="Times New Roman"/>
          <w:sz w:val="24"/>
          <w:szCs w:val="24"/>
        </w:rPr>
        <w:t>te v</w:t>
      </w:r>
      <w:r w:rsidRPr="00D72834">
        <w:rPr>
          <w:rFonts w:ascii="Times New Roman" w:hAnsi="Times New Roman"/>
          <w:sz w:val="24"/>
          <w:szCs w:val="24"/>
        </w:rPr>
        <w:t>eranderen</w:t>
      </w:r>
      <w:r w:rsidR="00EC73F5">
        <w:rPr>
          <w:rFonts w:ascii="Times New Roman" w:hAnsi="Times New Roman"/>
          <w:sz w:val="24"/>
          <w:szCs w:val="24"/>
        </w:rPr>
        <w:t>.</w:t>
      </w:r>
    </w:p>
    <w:p w:rsidRPr="00D72834" w:rsidR="00D7150B" w:rsidP="00D7150B" w:rsidRDefault="00D7150B" w14:paraId="1A9B4608" w14:textId="77777777">
      <w:pPr>
        <w:pStyle w:val="ListParagraph"/>
        <w:autoSpaceDE w:val="0"/>
        <w:autoSpaceDN w:val="0"/>
        <w:adjustRightInd w:val="0"/>
        <w:spacing w:line="240" w:lineRule="auto"/>
        <w:rPr>
          <w:rFonts w:ascii="Times New Roman" w:hAnsi="Times New Roman"/>
          <w:sz w:val="24"/>
          <w:szCs w:val="24"/>
        </w:rPr>
      </w:pPr>
    </w:p>
    <w:p w:rsidR="00CA1CC8" w:rsidP="00EC73F5" w:rsidRDefault="00D72834" w14:paraId="6F674FCE" w14:textId="77777777">
      <w:r w:rsidRPr="00D72834">
        <w:t>Heeft de minister het idee dat het huidig internationaal recht aan deze acht principes voldoet, zo vragen de leden? Zo nee, op welke onderdelen dan niet en kan het kabinet concrete voorbeelden geven?</w:t>
      </w:r>
      <w:r w:rsidR="00EC73F5">
        <w:t xml:space="preserve"> </w:t>
      </w:r>
    </w:p>
    <w:p w:rsidR="00CA1CC8" w:rsidP="00EC73F5" w:rsidRDefault="00CA1CC8" w14:paraId="2A774798" w14:textId="77777777"/>
    <w:p w:rsidRPr="00D7150B" w:rsidR="00FB0CBF" w:rsidP="00EC73F5" w:rsidRDefault="00AC44C8" w14:paraId="7152B90B" w14:textId="374B885E">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9966D0" w:rsidP="00EC73F5" w:rsidRDefault="005F639A" w14:paraId="67CEA100" w14:textId="77777777">
      <w:pPr>
        <w:rPr>
          <w:b/>
          <w:bCs/>
        </w:rPr>
      </w:pPr>
      <w:r w:rsidRPr="00AC44C8">
        <w:rPr>
          <w:b/>
          <w:bCs/>
        </w:rPr>
        <w:t>De criteria</w:t>
      </w:r>
      <w:r w:rsidRPr="00AC44C8" w:rsidR="000E010B">
        <w:rPr>
          <w:b/>
          <w:bCs/>
        </w:rPr>
        <w:t xml:space="preserve"> van Lon Fuller</w:t>
      </w:r>
      <w:r w:rsidRPr="00AC44C8">
        <w:rPr>
          <w:b/>
          <w:bCs/>
        </w:rPr>
        <w:t xml:space="preserve"> zijn niet zonder meer van toepassing op het internationaal recht.</w:t>
      </w:r>
    </w:p>
    <w:p w:rsidR="009966D0" w:rsidP="00EC73F5" w:rsidRDefault="009966D0" w14:paraId="2288E572" w14:textId="77777777">
      <w:pPr>
        <w:rPr>
          <w:b/>
          <w:bCs/>
        </w:rPr>
      </w:pPr>
    </w:p>
    <w:p w:rsidR="00F85D79" w:rsidP="00EF43B2" w:rsidRDefault="006825CF" w14:paraId="73611426" w14:textId="6160E7FF">
      <w:pPr>
        <w:rPr>
          <w:b/>
          <w:bCs/>
        </w:rPr>
      </w:pPr>
      <w:r>
        <w:rPr>
          <w:b/>
          <w:bCs/>
        </w:rPr>
        <w:t>De totstandkoming van i</w:t>
      </w:r>
      <w:r w:rsidRPr="00AC44C8" w:rsidR="005F639A">
        <w:rPr>
          <w:b/>
          <w:bCs/>
        </w:rPr>
        <w:t>nternationaal recht is gebaseerd op instemming</w:t>
      </w:r>
      <w:r w:rsidR="00D44D94">
        <w:rPr>
          <w:b/>
          <w:bCs/>
        </w:rPr>
        <w:t>.</w:t>
      </w:r>
      <w:r w:rsidRPr="00AC44C8" w:rsidR="005F639A">
        <w:rPr>
          <w:b/>
          <w:bCs/>
        </w:rPr>
        <w:t xml:space="preserve"> </w:t>
      </w:r>
      <w:r w:rsidR="00D44D94">
        <w:rPr>
          <w:b/>
          <w:bCs/>
        </w:rPr>
        <w:t>D</w:t>
      </w:r>
      <w:r w:rsidRPr="00AC44C8" w:rsidR="00E2062E">
        <w:rPr>
          <w:b/>
          <w:bCs/>
        </w:rPr>
        <w:t>e meeste</w:t>
      </w:r>
      <w:r w:rsidRPr="00AC44C8" w:rsidR="005F639A">
        <w:rPr>
          <w:b/>
          <w:bCs/>
        </w:rPr>
        <w:t xml:space="preserve"> regels van het internationaal recht zijn </w:t>
      </w:r>
      <w:r w:rsidRPr="00AC44C8" w:rsidR="00E2062E">
        <w:rPr>
          <w:b/>
          <w:bCs/>
        </w:rPr>
        <w:t xml:space="preserve">niet </w:t>
      </w:r>
      <w:r w:rsidRPr="00AC44C8" w:rsidR="005F639A">
        <w:rPr>
          <w:b/>
          <w:bCs/>
        </w:rPr>
        <w:t xml:space="preserve">algemeen, maar gelden alleen tussen de partijen die daarmee ingestemd hebben (in het geval van verdragen), of </w:t>
      </w:r>
      <w:r w:rsidR="00434233">
        <w:rPr>
          <w:b/>
          <w:bCs/>
        </w:rPr>
        <w:t xml:space="preserve">jegens partijen </w:t>
      </w:r>
      <w:r w:rsidR="00D6727D">
        <w:rPr>
          <w:b/>
          <w:bCs/>
        </w:rPr>
        <w:t xml:space="preserve">die </w:t>
      </w:r>
      <w:r w:rsidR="00434233">
        <w:rPr>
          <w:b/>
          <w:bCs/>
        </w:rPr>
        <w:t xml:space="preserve">zich niet </w:t>
      </w:r>
      <w:r w:rsidR="00434233">
        <w:rPr>
          <w:b/>
          <w:bCs/>
        </w:rPr>
        <w:lastRenderedPageBreak/>
        <w:t>aanhoudend</w:t>
      </w:r>
      <w:r w:rsidRPr="00AC44C8" w:rsidR="005F639A">
        <w:rPr>
          <w:b/>
          <w:bCs/>
        </w:rPr>
        <w:t xml:space="preserve"> </w:t>
      </w:r>
      <w:r w:rsidR="00434233">
        <w:rPr>
          <w:b/>
          <w:bCs/>
        </w:rPr>
        <w:t>en vanaf het ontstaan van de regel tegen de regel hebben</w:t>
      </w:r>
      <w:r w:rsidRPr="00AC44C8" w:rsidR="005F639A">
        <w:rPr>
          <w:b/>
          <w:bCs/>
        </w:rPr>
        <w:t xml:space="preserve"> </w:t>
      </w:r>
      <w:r w:rsidR="00434233">
        <w:rPr>
          <w:b/>
          <w:bCs/>
        </w:rPr>
        <w:t>verzet</w:t>
      </w:r>
      <w:r w:rsidRPr="00AC44C8" w:rsidR="005F639A">
        <w:rPr>
          <w:b/>
          <w:bCs/>
        </w:rPr>
        <w:t xml:space="preserve"> (in het geval van </w:t>
      </w:r>
      <w:r w:rsidR="00F85D79">
        <w:rPr>
          <w:b/>
          <w:bCs/>
        </w:rPr>
        <w:t xml:space="preserve">internationaal </w:t>
      </w:r>
      <w:r w:rsidRPr="00AC44C8" w:rsidR="005F639A">
        <w:rPr>
          <w:b/>
          <w:bCs/>
        </w:rPr>
        <w:t xml:space="preserve">gewoonterecht). </w:t>
      </w:r>
      <w:r w:rsidR="003432C6">
        <w:rPr>
          <w:b/>
          <w:bCs/>
        </w:rPr>
        <w:t>De uitzondering hierop wordt gevorm</w:t>
      </w:r>
      <w:r w:rsidR="00D4451E">
        <w:rPr>
          <w:b/>
          <w:bCs/>
        </w:rPr>
        <w:t>d</w:t>
      </w:r>
      <w:r w:rsidR="003432C6">
        <w:rPr>
          <w:b/>
          <w:bCs/>
        </w:rPr>
        <w:t xml:space="preserve"> door </w:t>
      </w:r>
      <w:r w:rsidR="00654303">
        <w:rPr>
          <w:b/>
          <w:bCs/>
        </w:rPr>
        <w:t>regels van</w:t>
      </w:r>
      <w:r w:rsidR="003432C6">
        <w:rPr>
          <w:b/>
          <w:bCs/>
        </w:rPr>
        <w:t xml:space="preserve"> dwingend internationaal recht, </w:t>
      </w:r>
      <w:r w:rsidR="003432C6">
        <w:rPr>
          <w:b/>
          <w:bCs/>
          <w:i/>
          <w:iCs/>
        </w:rPr>
        <w:t>jus cogens</w:t>
      </w:r>
      <w:r w:rsidR="003432C6">
        <w:rPr>
          <w:b/>
          <w:bCs/>
        </w:rPr>
        <w:t xml:space="preserve">, </w:t>
      </w:r>
      <w:r w:rsidR="00654303">
        <w:rPr>
          <w:b/>
          <w:bCs/>
        </w:rPr>
        <w:t>die</w:t>
      </w:r>
      <w:r w:rsidR="003432C6">
        <w:rPr>
          <w:b/>
          <w:bCs/>
        </w:rPr>
        <w:t xml:space="preserve"> geld</w:t>
      </w:r>
      <w:r w:rsidR="00654303">
        <w:rPr>
          <w:b/>
          <w:bCs/>
        </w:rPr>
        <w:t>en</w:t>
      </w:r>
      <w:r w:rsidR="003432C6">
        <w:rPr>
          <w:b/>
          <w:bCs/>
        </w:rPr>
        <w:t xml:space="preserve"> voor alle staten ongeacht hun expliciete instemming.</w:t>
      </w:r>
      <w:r w:rsidR="003432C6">
        <w:rPr>
          <w:b/>
          <w:bCs/>
          <w:i/>
          <w:iCs/>
        </w:rPr>
        <w:t xml:space="preserve"> </w:t>
      </w:r>
      <w:bookmarkStart w:name="_Hlk195194837" w:id="1"/>
    </w:p>
    <w:p w:rsidR="00F85D79" w:rsidP="00EF43B2" w:rsidRDefault="00F85D79" w14:paraId="78010374" w14:textId="77777777">
      <w:pPr>
        <w:rPr>
          <w:b/>
          <w:bCs/>
        </w:rPr>
      </w:pPr>
    </w:p>
    <w:p w:rsidRPr="00EF43B2" w:rsidR="00EF43B2" w:rsidP="00EF43B2" w:rsidRDefault="004B202C" w14:paraId="11475530" w14:textId="5A235B2D">
      <w:pPr>
        <w:rPr>
          <w:b/>
          <w:bCs/>
        </w:rPr>
      </w:pPr>
      <w:r>
        <w:rPr>
          <w:b/>
          <w:bCs/>
        </w:rPr>
        <w:t xml:space="preserve">Het belang van instemming alvorens een staat wordt gebonden aan een regel </w:t>
      </w:r>
      <w:r w:rsidR="00F85D79">
        <w:rPr>
          <w:b/>
          <w:bCs/>
        </w:rPr>
        <w:t xml:space="preserve">van internationaal gewoonterecht </w:t>
      </w:r>
      <w:r>
        <w:rPr>
          <w:b/>
          <w:bCs/>
        </w:rPr>
        <w:t xml:space="preserve">blijkt uit het feit dat </w:t>
      </w:r>
      <w:r w:rsidR="00D4451E">
        <w:rPr>
          <w:b/>
          <w:bCs/>
        </w:rPr>
        <w:t xml:space="preserve">het </w:t>
      </w:r>
      <w:r w:rsidR="003432C6">
        <w:rPr>
          <w:b/>
          <w:bCs/>
        </w:rPr>
        <w:t xml:space="preserve">internationaal recht </w:t>
      </w:r>
      <w:r w:rsidR="00F85D79">
        <w:rPr>
          <w:b/>
          <w:bCs/>
        </w:rPr>
        <w:t>de ruimte biedt aan een</w:t>
      </w:r>
      <w:r w:rsidR="00D4451E">
        <w:rPr>
          <w:b/>
          <w:bCs/>
        </w:rPr>
        <w:t xml:space="preserve"> staat</w:t>
      </w:r>
      <w:r w:rsidR="003432C6">
        <w:rPr>
          <w:b/>
          <w:bCs/>
        </w:rPr>
        <w:t xml:space="preserve"> </w:t>
      </w:r>
      <w:r w:rsidR="00F85D79">
        <w:rPr>
          <w:b/>
          <w:bCs/>
        </w:rPr>
        <w:t xml:space="preserve">door middel van </w:t>
      </w:r>
      <w:r w:rsidR="00E06525">
        <w:rPr>
          <w:b/>
          <w:bCs/>
        </w:rPr>
        <w:t>aanhoudend</w:t>
      </w:r>
      <w:r w:rsidR="003432C6">
        <w:rPr>
          <w:b/>
          <w:bCs/>
        </w:rPr>
        <w:t xml:space="preserve"> bezwaar </w:t>
      </w:r>
      <w:r w:rsidR="00F85D79">
        <w:rPr>
          <w:b/>
          <w:bCs/>
        </w:rPr>
        <w:t>te maken</w:t>
      </w:r>
      <w:r w:rsidR="003432C6">
        <w:rPr>
          <w:b/>
          <w:bCs/>
        </w:rPr>
        <w:t xml:space="preserve"> tegen </w:t>
      </w:r>
      <w:r w:rsidRPr="00AC44C8" w:rsidR="00E973B4">
        <w:rPr>
          <w:b/>
          <w:bCs/>
        </w:rPr>
        <w:t>de</w:t>
      </w:r>
      <w:r w:rsidRPr="00AC44C8" w:rsidR="004B5F2F">
        <w:rPr>
          <w:b/>
          <w:bCs/>
        </w:rPr>
        <w:t xml:space="preserve"> </w:t>
      </w:r>
      <w:r w:rsidR="003432C6">
        <w:rPr>
          <w:b/>
          <w:bCs/>
        </w:rPr>
        <w:t xml:space="preserve">totstandkoming van die regel. Dit vereist dat een staat </w:t>
      </w:r>
      <w:r w:rsidR="009441C4">
        <w:rPr>
          <w:b/>
          <w:bCs/>
        </w:rPr>
        <w:t>aanhoudend</w:t>
      </w:r>
      <w:r w:rsidR="003432C6">
        <w:rPr>
          <w:b/>
          <w:bCs/>
        </w:rPr>
        <w:t xml:space="preserve"> </w:t>
      </w:r>
      <w:r w:rsidR="00AC4DA1">
        <w:rPr>
          <w:b/>
          <w:bCs/>
        </w:rPr>
        <w:t xml:space="preserve">bezwaar maakt </w:t>
      </w:r>
      <w:r w:rsidR="00D4451E">
        <w:rPr>
          <w:b/>
          <w:bCs/>
        </w:rPr>
        <w:t xml:space="preserve">tegen </w:t>
      </w:r>
      <w:r w:rsidR="00AC4DA1">
        <w:rPr>
          <w:b/>
          <w:bCs/>
        </w:rPr>
        <w:t xml:space="preserve">zowel de totstandkoming van een regel als </w:t>
      </w:r>
      <w:r w:rsidR="00BA4A46">
        <w:rPr>
          <w:b/>
          <w:bCs/>
        </w:rPr>
        <w:t xml:space="preserve">tegen </w:t>
      </w:r>
      <w:r w:rsidR="00AC4DA1">
        <w:rPr>
          <w:b/>
          <w:bCs/>
        </w:rPr>
        <w:t xml:space="preserve">het bestaan van de regel als deze tot stand gekomen is. </w:t>
      </w:r>
      <w:bookmarkEnd w:id="1"/>
      <w:r w:rsidR="00F85D79">
        <w:rPr>
          <w:b/>
          <w:bCs/>
        </w:rPr>
        <w:t>In dat geval wordt die staat niet gebonden aan de desbetreffende regel van internationaal gewoonterecht.</w:t>
      </w:r>
    </w:p>
    <w:p w:rsidRPr="00AC44C8" w:rsidR="00EC7F77" w:rsidP="00EC73F5" w:rsidRDefault="00EC7F77" w14:paraId="7C87BAD6" w14:textId="77777777">
      <w:pPr>
        <w:rPr>
          <w:b/>
          <w:bCs/>
        </w:rPr>
      </w:pPr>
    </w:p>
    <w:p w:rsidRPr="00AC44C8" w:rsidR="00EC7F77" w:rsidP="00EC73F5" w:rsidRDefault="005F639A" w14:paraId="3C28EA35" w14:textId="3D9EA3E3">
      <w:pPr>
        <w:rPr>
          <w:b/>
          <w:bCs/>
        </w:rPr>
      </w:pPr>
      <w:r w:rsidRPr="00AC44C8">
        <w:rPr>
          <w:b/>
          <w:bCs/>
        </w:rPr>
        <w:t>Internationaal recht is niet op dezelfde wijze kenbaar</w:t>
      </w:r>
      <w:r w:rsidR="00D6727D">
        <w:rPr>
          <w:b/>
          <w:bCs/>
        </w:rPr>
        <w:t xml:space="preserve"> zoals wetten dat zijn</w:t>
      </w:r>
      <w:r w:rsidRPr="00AC44C8">
        <w:rPr>
          <w:b/>
          <w:bCs/>
        </w:rPr>
        <w:t xml:space="preserve">: het gewoonterecht is per definitie ongeschreven. Hoewel het Weens Verdragenverdrag stelt dat verdragen in beginsel niet met terugwerkende kracht gelden, is dit niet uitgesloten. Partijen bij een verdrag kunnen ervoor kiezen toch terugwerkende kracht toe te kennen aan hun afspraken, </w:t>
      </w:r>
      <w:r w:rsidR="009966D0">
        <w:rPr>
          <w:b/>
          <w:bCs/>
        </w:rPr>
        <w:t>hetgeen</w:t>
      </w:r>
      <w:r w:rsidRPr="00AC44C8">
        <w:rPr>
          <w:b/>
          <w:bCs/>
        </w:rPr>
        <w:t xml:space="preserve"> nodig </w:t>
      </w:r>
      <w:r w:rsidR="00BA4A46">
        <w:rPr>
          <w:b/>
          <w:bCs/>
        </w:rPr>
        <w:t xml:space="preserve">kan </w:t>
      </w:r>
      <w:r w:rsidRPr="00AC44C8">
        <w:rPr>
          <w:b/>
          <w:bCs/>
        </w:rPr>
        <w:t xml:space="preserve">zijn om het beoogde doel van een verdrag te bereiken. </w:t>
      </w:r>
      <w:r w:rsidRPr="00AC44C8" w:rsidR="00EC7F77">
        <w:rPr>
          <w:b/>
          <w:bCs/>
        </w:rPr>
        <w:t xml:space="preserve">Met name in geval van het uiteenvallen van staten, dekolonisatie, en onafhankelijkheid kan het van belang zijn feiten te reguleren die in het verleden liggen. </w:t>
      </w:r>
    </w:p>
    <w:p w:rsidRPr="00AC44C8" w:rsidR="00EC7F77" w:rsidP="00EC73F5" w:rsidRDefault="00EC7F77" w14:paraId="0D9F2F09" w14:textId="77777777">
      <w:pPr>
        <w:rPr>
          <w:b/>
          <w:bCs/>
        </w:rPr>
      </w:pPr>
    </w:p>
    <w:p w:rsidRPr="00AC44C8" w:rsidR="00EC7F77" w:rsidP="00EC73F5" w:rsidRDefault="005F639A" w14:paraId="088D584E" w14:textId="59A963A2">
      <w:pPr>
        <w:rPr>
          <w:b/>
          <w:bCs/>
        </w:rPr>
      </w:pPr>
      <w:r w:rsidRPr="00AC44C8">
        <w:rPr>
          <w:b/>
          <w:bCs/>
        </w:rPr>
        <w:t>Het internationaal recht is ook niet op dezelfde wijze duidelijk en helder als het nationale recht</w:t>
      </w:r>
      <w:r w:rsidR="00AE3C98">
        <w:rPr>
          <w:b/>
          <w:bCs/>
        </w:rPr>
        <w:t xml:space="preserve"> kan zijn</w:t>
      </w:r>
      <w:r w:rsidRPr="00AC44C8">
        <w:rPr>
          <w:b/>
          <w:bCs/>
        </w:rPr>
        <w:t>. Dit is ook niet</w:t>
      </w:r>
      <w:r w:rsidR="00AE3C98">
        <w:rPr>
          <w:b/>
          <w:bCs/>
        </w:rPr>
        <w:t xml:space="preserve"> per se</w:t>
      </w:r>
      <w:r w:rsidRPr="00AC44C8">
        <w:rPr>
          <w:b/>
          <w:bCs/>
        </w:rPr>
        <w:t xml:space="preserve"> wenselijk, aangezien de situatie die een regel van internationaal recht adresseert per land kan verschillen. Het internationaal recht moet dus de ruimte laten </w:t>
      </w:r>
      <w:r w:rsidRPr="00AC44C8" w:rsidR="004E4EBF">
        <w:rPr>
          <w:b/>
          <w:bCs/>
        </w:rPr>
        <w:t>opdat</w:t>
      </w:r>
      <w:r w:rsidRPr="00AC44C8">
        <w:rPr>
          <w:b/>
          <w:bCs/>
        </w:rPr>
        <w:t xml:space="preserve"> landen een </w:t>
      </w:r>
      <w:r w:rsidRPr="00AC44C8">
        <w:rPr>
          <w:b/>
          <w:bCs/>
          <w:i/>
          <w:iCs/>
        </w:rPr>
        <w:t>margin of appreciation</w:t>
      </w:r>
      <w:r w:rsidRPr="00AC44C8">
        <w:rPr>
          <w:b/>
          <w:bCs/>
        </w:rPr>
        <w:t xml:space="preserve"> </w:t>
      </w:r>
      <w:r w:rsidRPr="00AC44C8" w:rsidR="004E4EBF">
        <w:rPr>
          <w:b/>
          <w:bCs/>
        </w:rPr>
        <w:t xml:space="preserve">hebben </w:t>
      </w:r>
      <w:r w:rsidRPr="00AC44C8" w:rsidR="00630177">
        <w:rPr>
          <w:b/>
          <w:bCs/>
        </w:rPr>
        <w:t xml:space="preserve">voor wat betreft de implementatie </w:t>
      </w:r>
      <w:r w:rsidR="00AE3C98">
        <w:rPr>
          <w:b/>
          <w:bCs/>
        </w:rPr>
        <w:t>daar</w:t>
      </w:r>
      <w:r w:rsidRPr="00AC44C8" w:rsidR="00630177">
        <w:rPr>
          <w:b/>
          <w:bCs/>
        </w:rPr>
        <w:t>van</w:t>
      </w:r>
      <w:r w:rsidR="00AE3C98">
        <w:rPr>
          <w:b/>
          <w:bCs/>
        </w:rPr>
        <w:t xml:space="preserve"> in de nationale rechtsorde</w:t>
      </w:r>
      <w:r w:rsidRPr="00AC44C8">
        <w:rPr>
          <w:b/>
          <w:bCs/>
        </w:rPr>
        <w:t xml:space="preserve">. </w:t>
      </w:r>
    </w:p>
    <w:p w:rsidRPr="00AC44C8" w:rsidR="00EC7F77" w:rsidP="00EC73F5" w:rsidRDefault="00EC7F77" w14:paraId="4BEDFDC0" w14:textId="77777777">
      <w:pPr>
        <w:rPr>
          <w:b/>
          <w:bCs/>
        </w:rPr>
      </w:pPr>
    </w:p>
    <w:p w:rsidRPr="00AC4DA1" w:rsidR="00AC4DA1" w:rsidP="00EC73F5" w:rsidRDefault="005F639A" w14:paraId="73815411" w14:textId="1C1FE22C">
      <w:pPr>
        <w:rPr>
          <w:b/>
          <w:bCs/>
        </w:rPr>
      </w:pPr>
      <w:r w:rsidRPr="00AC44C8">
        <w:rPr>
          <w:b/>
          <w:bCs/>
        </w:rPr>
        <w:t xml:space="preserve">Het internationaal recht zal weliswaar niet snel zichzelf tegenspreken, maar </w:t>
      </w:r>
      <w:r w:rsidRPr="00AC44C8" w:rsidR="004B5F2F">
        <w:rPr>
          <w:b/>
          <w:bCs/>
        </w:rPr>
        <w:t xml:space="preserve">het is niet uitgesloten. Tegelijkertijd kent het internationaal recht duidelijke voorrangsregels die bepalen welke regel in geval van conflict voorgaat. </w:t>
      </w:r>
      <w:r w:rsidR="00AC4DA1">
        <w:rPr>
          <w:b/>
          <w:bCs/>
        </w:rPr>
        <w:t xml:space="preserve">Om te beginnen heeft een regel van dwingend </w:t>
      </w:r>
      <w:r w:rsidR="003D12F0">
        <w:rPr>
          <w:b/>
          <w:bCs/>
        </w:rPr>
        <w:t xml:space="preserve">internationaal </w:t>
      </w:r>
      <w:r w:rsidR="00AC4DA1">
        <w:rPr>
          <w:b/>
          <w:bCs/>
        </w:rPr>
        <w:t>recht altijd voorrang op een regel die niet die status heeft</w:t>
      </w:r>
      <w:r w:rsidR="007D4B18">
        <w:rPr>
          <w:b/>
          <w:bCs/>
        </w:rPr>
        <w:t>.</w:t>
      </w:r>
      <w:r w:rsidR="00BA4A46">
        <w:rPr>
          <w:b/>
          <w:bCs/>
        </w:rPr>
        <w:t xml:space="preserve"> </w:t>
      </w:r>
      <w:r w:rsidR="007D4B18">
        <w:rPr>
          <w:b/>
          <w:bCs/>
        </w:rPr>
        <w:t>V</w:t>
      </w:r>
      <w:r w:rsidR="00BA4A46">
        <w:rPr>
          <w:b/>
          <w:bCs/>
        </w:rPr>
        <w:t>erdragen die in strijd zijn met een regel van dwingend internationaal recht zijn nietig</w:t>
      </w:r>
      <w:r w:rsidR="00AC4DA1">
        <w:rPr>
          <w:b/>
          <w:bCs/>
        </w:rPr>
        <w:t xml:space="preserve">. </w:t>
      </w:r>
      <w:r w:rsidR="001E26FE">
        <w:rPr>
          <w:b/>
          <w:bCs/>
        </w:rPr>
        <w:t>Daarnaast</w:t>
      </w:r>
      <w:r w:rsidR="00AC4DA1">
        <w:rPr>
          <w:b/>
          <w:bCs/>
        </w:rPr>
        <w:t xml:space="preserve"> bepaalt artikel 103 van het Handvest van de Verenigde Naties dat verplichtingen voortvloeiend uit het Handvest voorrang hebben op verplichtingen voortvloeiend uit andere verdragen. </w:t>
      </w:r>
      <w:r w:rsidR="001E26FE">
        <w:rPr>
          <w:b/>
          <w:bCs/>
        </w:rPr>
        <w:t>Tevens</w:t>
      </w:r>
      <w:r w:rsidR="00AC4DA1">
        <w:rPr>
          <w:b/>
          <w:bCs/>
        </w:rPr>
        <w:t xml:space="preserve"> kunnen in verdragen zelf specifieke voorrangsregels opgenomen zijn. Te denken valt aan artikel 311, </w:t>
      </w:r>
      <w:r w:rsidR="005C5D7C">
        <w:rPr>
          <w:b/>
          <w:bCs/>
        </w:rPr>
        <w:t>lid</w:t>
      </w:r>
      <w:r w:rsidR="00AC4DA1">
        <w:rPr>
          <w:b/>
          <w:bCs/>
        </w:rPr>
        <w:t xml:space="preserve"> 1</w:t>
      </w:r>
      <w:r w:rsidR="00D4451E">
        <w:rPr>
          <w:b/>
          <w:bCs/>
        </w:rPr>
        <w:t>,</w:t>
      </w:r>
      <w:r w:rsidR="00AC4DA1">
        <w:rPr>
          <w:b/>
          <w:bCs/>
        </w:rPr>
        <w:t xml:space="preserve"> van het </w:t>
      </w:r>
      <w:r w:rsidR="005C5D7C">
        <w:rPr>
          <w:b/>
          <w:bCs/>
        </w:rPr>
        <w:t>V</w:t>
      </w:r>
      <w:r w:rsidR="00AC4DA1">
        <w:rPr>
          <w:b/>
          <w:bCs/>
        </w:rPr>
        <w:t>erdrag</w:t>
      </w:r>
      <w:r w:rsidR="005C5D7C">
        <w:rPr>
          <w:b/>
          <w:bCs/>
        </w:rPr>
        <w:t xml:space="preserve"> inzake het recht van de zee</w:t>
      </w:r>
      <w:r w:rsidR="00AC4DA1">
        <w:rPr>
          <w:b/>
          <w:bCs/>
        </w:rPr>
        <w:t xml:space="preserve">, dat bepaalt dat dit </w:t>
      </w:r>
      <w:r w:rsidR="005C5D7C">
        <w:rPr>
          <w:b/>
          <w:bCs/>
        </w:rPr>
        <w:t>V</w:t>
      </w:r>
      <w:r w:rsidR="00AC4DA1">
        <w:rPr>
          <w:b/>
          <w:bCs/>
        </w:rPr>
        <w:t xml:space="preserve">erdrag voorrang heeft </w:t>
      </w:r>
      <w:r w:rsidR="00BA4A46">
        <w:rPr>
          <w:b/>
          <w:bCs/>
        </w:rPr>
        <w:t>op</w:t>
      </w:r>
      <w:r w:rsidR="00AC4DA1">
        <w:rPr>
          <w:b/>
          <w:bCs/>
        </w:rPr>
        <w:t xml:space="preserve"> </w:t>
      </w:r>
      <w:r w:rsidR="00D4451E">
        <w:rPr>
          <w:b/>
          <w:bCs/>
        </w:rPr>
        <w:t>de</w:t>
      </w:r>
      <w:r w:rsidR="00AC4DA1">
        <w:rPr>
          <w:b/>
          <w:bCs/>
        </w:rPr>
        <w:t xml:space="preserve"> </w:t>
      </w:r>
      <w:r w:rsidR="00BA4A46">
        <w:rPr>
          <w:b/>
          <w:bCs/>
        </w:rPr>
        <w:t>V</w:t>
      </w:r>
      <w:r w:rsidR="00AC4DA1">
        <w:rPr>
          <w:b/>
          <w:bCs/>
        </w:rPr>
        <w:t>erdrag</w:t>
      </w:r>
      <w:r w:rsidR="00D4451E">
        <w:rPr>
          <w:b/>
          <w:bCs/>
        </w:rPr>
        <w:t>en van Genève van 1958 die betrekking hebben op het zeerecht</w:t>
      </w:r>
      <w:r w:rsidR="00AC4DA1">
        <w:rPr>
          <w:b/>
          <w:bCs/>
        </w:rPr>
        <w:t>. Tenslotte bepaalt het verdragenrecht dat specifieke regels voorrang hebben op algemene regels (</w:t>
      </w:r>
      <w:r w:rsidR="00AC4DA1">
        <w:rPr>
          <w:b/>
          <w:bCs/>
          <w:i/>
          <w:iCs/>
        </w:rPr>
        <w:t>lex specialis derogat lege generali</w:t>
      </w:r>
      <w:r w:rsidR="00AC4DA1">
        <w:rPr>
          <w:b/>
          <w:bCs/>
        </w:rPr>
        <w:t xml:space="preserve">) en dat latere </w:t>
      </w:r>
      <w:r w:rsidR="006325B9">
        <w:rPr>
          <w:b/>
          <w:bCs/>
        </w:rPr>
        <w:t>verdragen</w:t>
      </w:r>
      <w:r w:rsidR="00AC4DA1">
        <w:rPr>
          <w:b/>
          <w:bCs/>
        </w:rPr>
        <w:t xml:space="preserve"> voorrang hebben op eerdere </w:t>
      </w:r>
      <w:r w:rsidR="006325B9">
        <w:rPr>
          <w:b/>
          <w:bCs/>
        </w:rPr>
        <w:t xml:space="preserve">verdragen die betrekking hebben op eenzelfde onderwerp </w:t>
      </w:r>
      <w:r w:rsidR="00AC4DA1">
        <w:rPr>
          <w:b/>
          <w:bCs/>
        </w:rPr>
        <w:t>(</w:t>
      </w:r>
      <w:r w:rsidR="00AC4DA1">
        <w:rPr>
          <w:b/>
          <w:bCs/>
          <w:i/>
          <w:iCs/>
        </w:rPr>
        <w:t>lex posterior derogat lege priori</w:t>
      </w:r>
      <w:r w:rsidR="00AC4DA1">
        <w:rPr>
          <w:b/>
          <w:bCs/>
        </w:rPr>
        <w:t>).</w:t>
      </w:r>
    </w:p>
    <w:p w:rsidRPr="00AC44C8" w:rsidR="00EC7F77" w:rsidP="00EC73F5" w:rsidRDefault="004B5F2F" w14:paraId="3B419D60" w14:textId="12E8805E">
      <w:pPr>
        <w:rPr>
          <w:b/>
          <w:bCs/>
        </w:rPr>
      </w:pPr>
      <w:r w:rsidRPr="00AC44C8">
        <w:rPr>
          <w:b/>
          <w:bCs/>
        </w:rPr>
        <w:t xml:space="preserve">Het is dus in vrijwel alle gevallen mogelijk om te bepalen welke regel voorrang heeft. </w:t>
      </w:r>
    </w:p>
    <w:p w:rsidRPr="00AC44C8" w:rsidR="00EC7F77" w:rsidP="00EC73F5" w:rsidRDefault="00EC7F77" w14:paraId="15A7FA17" w14:textId="77777777">
      <w:pPr>
        <w:rPr>
          <w:b/>
          <w:bCs/>
        </w:rPr>
      </w:pPr>
    </w:p>
    <w:p w:rsidRPr="00AC44C8" w:rsidR="0008732D" w:rsidP="00EC73F5" w:rsidRDefault="004B5F2F" w14:paraId="3488FDAF" w14:textId="4C136FF1">
      <w:pPr>
        <w:rPr>
          <w:b/>
          <w:bCs/>
        </w:rPr>
      </w:pPr>
      <w:r w:rsidRPr="00AC44C8">
        <w:rPr>
          <w:b/>
          <w:bCs/>
        </w:rPr>
        <w:t xml:space="preserve">Het internationaal recht zal in de praktijk niet snel het onmogelijke verlangen. </w:t>
      </w:r>
      <w:r w:rsidRPr="00AC44C8" w:rsidR="00EC7F77">
        <w:rPr>
          <w:b/>
          <w:bCs/>
        </w:rPr>
        <w:t xml:space="preserve">Toch is </w:t>
      </w:r>
      <w:r w:rsidR="00A23AA1">
        <w:rPr>
          <w:b/>
          <w:bCs/>
        </w:rPr>
        <w:t xml:space="preserve"> daar</w:t>
      </w:r>
      <w:r w:rsidRPr="00AC44C8" w:rsidR="00EC7F77">
        <w:rPr>
          <w:b/>
          <w:bCs/>
        </w:rPr>
        <w:t xml:space="preserve"> onder internationaal recht een oplossing voor te vinden. Indien een staat niet aan zijn verplichtingen kan voldoen, zonder daar zelf schuld aan te hebben, is een beroep op een </w:t>
      </w:r>
      <w:r w:rsidRPr="00AC44C8" w:rsidR="00EC7F77">
        <w:rPr>
          <w:b/>
          <w:bCs/>
        </w:rPr>
        <w:lastRenderedPageBreak/>
        <w:t xml:space="preserve">aansprakelijkheidsuitsluitingsgrond mogelijk. </w:t>
      </w:r>
      <w:r w:rsidRPr="00AC44C8" w:rsidR="0008732D">
        <w:rPr>
          <w:b/>
          <w:bCs/>
        </w:rPr>
        <w:t xml:space="preserve">Hierbij valt te denken aan </w:t>
      </w:r>
      <w:r w:rsidRPr="00AC44C8" w:rsidR="0008732D">
        <w:rPr>
          <w:b/>
          <w:bCs/>
          <w:i/>
          <w:iCs/>
        </w:rPr>
        <w:t xml:space="preserve">Force Majeure </w:t>
      </w:r>
      <w:r w:rsidRPr="00AC44C8" w:rsidR="00630177">
        <w:rPr>
          <w:b/>
          <w:bCs/>
        </w:rPr>
        <w:t xml:space="preserve">(overmacht) </w:t>
      </w:r>
      <w:r w:rsidRPr="00AC44C8" w:rsidR="0008732D">
        <w:rPr>
          <w:b/>
          <w:bCs/>
        </w:rPr>
        <w:t xml:space="preserve">of een </w:t>
      </w:r>
      <w:r w:rsidRPr="00AC44C8" w:rsidR="00630177">
        <w:rPr>
          <w:b/>
          <w:bCs/>
        </w:rPr>
        <w:t xml:space="preserve">onvoorzienbare </w:t>
      </w:r>
      <w:r w:rsidRPr="00AC44C8" w:rsidR="0008732D">
        <w:rPr>
          <w:b/>
          <w:bCs/>
        </w:rPr>
        <w:t xml:space="preserve">wezenlijke verandering van omstandigheden. </w:t>
      </w:r>
      <w:r w:rsidR="00DE5282">
        <w:rPr>
          <w:b/>
          <w:bCs/>
        </w:rPr>
        <w:t>Deze</w:t>
      </w:r>
      <w:r w:rsidRPr="00AC44C8" w:rsidR="0008732D">
        <w:rPr>
          <w:b/>
          <w:bCs/>
        </w:rPr>
        <w:t xml:space="preserve"> gronden geven staten het recht </w:t>
      </w:r>
      <w:r w:rsidR="006325B9">
        <w:rPr>
          <w:b/>
          <w:bCs/>
        </w:rPr>
        <w:t>een regel niet na te leven</w:t>
      </w:r>
      <w:r w:rsidR="00A23AA1">
        <w:rPr>
          <w:b/>
          <w:bCs/>
        </w:rPr>
        <w:t xml:space="preserve"> </w:t>
      </w:r>
      <w:r w:rsidR="00DE5282">
        <w:rPr>
          <w:b/>
          <w:bCs/>
        </w:rPr>
        <w:t xml:space="preserve">respectievelijk </w:t>
      </w:r>
      <w:r w:rsidR="006325B9">
        <w:rPr>
          <w:b/>
          <w:bCs/>
        </w:rPr>
        <w:t xml:space="preserve">het recht </w:t>
      </w:r>
      <w:r w:rsidRPr="00AC44C8" w:rsidR="0008732D">
        <w:rPr>
          <w:b/>
          <w:bCs/>
        </w:rPr>
        <w:t xml:space="preserve">een regel </w:t>
      </w:r>
      <w:r w:rsidR="006325B9">
        <w:rPr>
          <w:b/>
          <w:bCs/>
        </w:rPr>
        <w:t>op te schorten</w:t>
      </w:r>
      <w:r w:rsidRPr="00AC44C8" w:rsidR="0008732D">
        <w:rPr>
          <w:b/>
          <w:bCs/>
        </w:rPr>
        <w:t xml:space="preserve"> of te beëindigen. </w:t>
      </w:r>
    </w:p>
    <w:p w:rsidRPr="00AC44C8" w:rsidR="0008732D" w:rsidP="00EC73F5" w:rsidRDefault="0008732D" w14:paraId="6B2A7829" w14:textId="77777777">
      <w:pPr>
        <w:rPr>
          <w:b/>
          <w:bCs/>
        </w:rPr>
      </w:pPr>
    </w:p>
    <w:p w:rsidRPr="00AC44C8" w:rsidR="004B5F2F" w:rsidP="00EC73F5" w:rsidRDefault="00125288" w14:paraId="3334E73D" w14:textId="54522ECE">
      <w:pPr>
        <w:rPr>
          <w:b/>
          <w:bCs/>
        </w:rPr>
      </w:pPr>
      <w:r w:rsidRPr="00DE5282">
        <w:rPr>
          <w:b/>
          <w:bCs/>
        </w:rPr>
        <w:t>Het</w:t>
      </w:r>
      <w:r w:rsidRPr="00DE5282" w:rsidR="004B5F2F">
        <w:rPr>
          <w:b/>
          <w:bCs/>
        </w:rPr>
        <w:t xml:space="preserve"> </w:t>
      </w:r>
      <w:r w:rsidRPr="00AC44C8" w:rsidR="004B5F2F">
        <w:rPr>
          <w:b/>
          <w:bCs/>
        </w:rPr>
        <w:t xml:space="preserve">internationaal recht </w:t>
      </w:r>
      <w:r>
        <w:rPr>
          <w:b/>
          <w:bCs/>
        </w:rPr>
        <w:t xml:space="preserve">is relatief </w:t>
      </w:r>
      <w:r w:rsidRPr="00AC44C8" w:rsidR="004B5F2F">
        <w:rPr>
          <w:b/>
          <w:bCs/>
        </w:rPr>
        <w:t xml:space="preserve">stabiel en constant, </w:t>
      </w:r>
      <w:r>
        <w:rPr>
          <w:b/>
          <w:bCs/>
        </w:rPr>
        <w:t xml:space="preserve">maar ontwikkelt zich </w:t>
      </w:r>
      <w:r w:rsidRPr="00AC44C8" w:rsidR="004B5F2F">
        <w:rPr>
          <w:b/>
          <w:bCs/>
        </w:rPr>
        <w:t xml:space="preserve">om ervoor te zorgen dat het blijft aansluiten bij de praktijk van staten. </w:t>
      </w:r>
      <w:r>
        <w:rPr>
          <w:b/>
          <w:bCs/>
        </w:rPr>
        <w:t xml:space="preserve">Hierin verschilt het internationaal recht niet wezenlijk van het nationaal recht. Voor de ontwikkeling van het internationaal recht gelden (evenals voor de ontwikkeling van het nationaal recht) regels. </w:t>
      </w:r>
      <w:r w:rsidRPr="00AC44C8" w:rsidR="004B5F2F">
        <w:rPr>
          <w:b/>
          <w:bCs/>
        </w:rPr>
        <w:t>Het gewoonterecht wordt gevormd door statenpraktijk en de daaraan verbonden rechtsopvatting van staten. Als die verandert, dan verandert ook het gewoonterecht</w:t>
      </w:r>
      <w:r w:rsidR="009D606F">
        <w:rPr>
          <w:b/>
          <w:bCs/>
        </w:rPr>
        <w:t xml:space="preserve"> indien aan de voorwaarden voor het ontstaan van een nieuwe regel van gewoonterecht is voldaan</w:t>
      </w:r>
      <w:r w:rsidRPr="00AC44C8" w:rsidR="004B5F2F">
        <w:rPr>
          <w:b/>
          <w:bCs/>
        </w:rPr>
        <w:t xml:space="preserve">. </w:t>
      </w:r>
      <w:r w:rsidR="00DE5282">
        <w:rPr>
          <w:b/>
          <w:bCs/>
        </w:rPr>
        <w:t xml:space="preserve">Deze voorwaarden zijn uitgewerkt in de </w:t>
      </w:r>
      <w:r w:rsidR="00DE5282">
        <w:rPr>
          <w:b/>
          <w:bCs/>
          <w:i/>
          <w:iCs/>
        </w:rPr>
        <w:t>Draft conclusions on identification of customary international law</w:t>
      </w:r>
      <w:r w:rsidR="00DE5282">
        <w:rPr>
          <w:b/>
          <w:bCs/>
        </w:rPr>
        <w:t xml:space="preserve"> uit 2018 van de </w:t>
      </w:r>
      <w:r w:rsidR="006325B9">
        <w:rPr>
          <w:b/>
          <w:bCs/>
        </w:rPr>
        <w:t>ILC</w:t>
      </w:r>
      <w:r w:rsidR="00DE5282">
        <w:rPr>
          <w:b/>
          <w:bCs/>
        </w:rPr>
        <w:t>.</w:t>
      </w:r>
      <w:r w:rsidRPr="00AC44C8" w:rsidR="004B5F2F">
        <w:rPr>
          <w:b/>
          <w:bCs/>
        </w:rPr>
        <w:t xml:space="preserve"> Verdragen kunnen gesloten, aangepast, en opgezegd worden, al naar gelang de noodzaak ingegeven door de stand van zaken in de internationale gemeenschap.</w:t>
      </w:r>
      <w:r w:rsidRPr="00AC44C8" w:rsidR="0008732D">
        <w:rPr>
          <w:b/>
          <w:bCs/>
        </w:rPr>
        <w:t xml:space="preserve"> Een voorbeeld hiervan is absolute en relatieve immuniteit van staten. In de loop van de vorige eeuw is uitgekristalliseerd, en vervolgens ook in verdragen vastgelegd, dat staten niet langer een beroep kunnen doen op absolute immuniteit voor handelingen die privaatrechtelijk van aard zijn en geen publiek doel dienen.</w:t>
      </w:r>
    </w:p>
    <w:p w:rsidRPr="00AC44C8" w:rsidR="0008732D" w:rsidP="00EC73F5" w:rsidRDefault="0008732D" w14:paraId="2CD54A43" w14:textId="77777777">
      <w:pPr>
        <w:rPr>
          <w:b/>
          <w:bCs/>
        </w:rPr>
      </w:pPr>
    </w:p>
    <w:p w:rsidRPr="00AC44C8" w:rsidR="0008732D" w:rsidP="00EC73F5" w:rsidRDefault="0008732D" w14:paraId="37A397E9" w14:textId="6DE01389">
      <w:pPr>
        <w:rPr>
          <w:b/>
          <w:bCs/>
        </w:rPr>
      </w:pPr>
      <w:r w:rsidRPr="00AC44C8">
        <w:rPr>
          <w:b/>
          <w:bCs/>
        </w:rPr>
        <w:t xml:space="preserve">De totstandkoming van regels van internationaal recht is noodzakelijkerwijs tijdrovend: voor de vorming van </w:t>
      </w:r>
      <w:r w:rsidRPr="00AC44C8" w:rsidR="00630177">
        <w:rPr>
          <w:b/>
          <w:bCs/>
        </w:rPr>
        <w:t xml:space="preserve">internationaal </w:t>
      </w:r>
      <w:r w:rsidRPr="00AC44C8">
        <w:rPr>
          <w:b/>
          <w:bCs/>
        </w:rPr>
        <w:t>gewoonterecht is een virtueel universele statenpraktijk met een daaraan verbonden rechtsopvatting vereist</w:t>
      </w:r>
      <w:r w:rsidR="006325B9">
        <w:rPr>
          <w:b/>
          <w:bCs/>
        </w:rPr>
        <w:t xml:space="preserve"> (zie ook de hierboven genoemde</w:t>
      </w:r>
      <w:r w:rsidRPr="006325B9" w:rsidR="006325B9">
        <w:rPr>
          <w:b/>
          <w:bCs/>
          <w:i/>
          <w:iCs/>
        </w:rPr>
        <w:t xml:space="preserve"> Draft conclusions on identification of customary international law</w:t>
      </w:r>
      <w:r w:rsidR="006325B9">
        <w:rPr>
          <w:b/>
          <w:bCs/>
        </w:rPr>
        <w:t>)</w:t>
      </w:r>
      <w:r w:rsidRPr="00AC44C8">
        <w:rPr>
          <w:b/>
          <w:bCs/>
        </w:rPr>
        <w:t>; voor</w:t>
      </w:r>
      <w:r w:rsidR="009D606F">
        <w:rPr>
          <w:b/>
          <w:bCs/>
        </w:rPr>
        <w:t xml:space="preserve"> de sluiting van</w:t>
      </w:r>
      <w:r w:rsidRPr="00AC44C8">
        <w:rPr>
          <w:b/>
          <w:bCs/>
        </w:rPr>
        <w:t xml:space="preserve"> verdragen zijn onderhandelingen </w:t>
      </w:r>
      <w:r w:rsidR="009D606F">
        <w:rPr>
          <w:b/>
          <w:bCs/>
        </w:rPr>
        <w:t xml:space="preserve">vereist </w:t>
      </w:r>
      <w:r w:rsidRPr="00AC44C8">
        <w:rPr>
          <w:b/>
          <w:bCs/>
        </w:rPr>
        <w:t xml:space="preserve">en </w:t>
      </w:r>
      <w:r w:rsidR="009D606F">
        <w:rPr>
          <w:b/>
          <w:bCs/>
        </w:rPr>
        <w:t xml:space="preserve">moeten in de regel nationale </w:t>
      </w:r>
      <w:r w:rsidRPr="00AC44C8">
        <w:rPr>
          <w:b/>
          <w:bCs/>
        </w:rPr>
        <w:t xml:space="preserve">procedures </w:t>
      </w:r>
      <w:r w:rsidR="009D606F">
        <w:rPr>
          <w:b/>
          <w:bCs/>
        </w:rPr>
        <w:t xml:space="preserve"> worden gevolgd om daaraan te worden gebonden</w:t>
      </w:r>
      <w:r w:rsidRPr="00AC44C8">
        <w:rPr>
          <w:b/>
          <w:bCs/>
        </w:rPr>
        <w:t xml:space="preserve">; en voor algemene rechtsbeginselen is vereist dat deze gevonden worden in de </w:t>
      </w:r>
      <w:r w:rsidRPr="00AC44C8" w:rsidR="009251B5">
        <w:rPr>
          <w:b/>
          <w:bCs/>
        </w:rPr>
        <w:t xml:space="preserve">verschillende </w:t>
      </w:r>
      <w:r w:rsidRPr="00AC44C8">
        <w:rPr>
          <w:b/>
          <w:bCs/>
        </w:rPr>
        <w:t>rechtssystemen</w:t>
      </w:r>
      <w:r w:rsidRPr="00AC44C8" w:rsidR="009251B5">
        <w:rPr>
          <w:b/>
          <w:bCs/>
        </w:rPr>
        <w:t xml:space="preserve"> van de wereld</w:t>
      </w:r>
      <w:r w:rsidRPr="00AC44C8" w:rsidR="001415AB">
        <w:rPr>
          <w:b/>
          <w:bCs/>
        </w:rPr>
        <w:t xml:space="preserve"> of worden erkend door de </w:t>
      </w:r>
      <w:r w:rsidRPr="00AC44C8" w:rsidR="009251B5">
        <w:rPr>
          <w:b/>
          <w:bCs/>
        </w:rPr>
        <w:t xml:space="preserve">gemeenschap van naties </w:t>
      </w:r>
      <w:r w:rsidRPr="00AC44C8" w:rsidR="001415AB">
        <w:rPr>
          <w:b/>
          <w:bCs/>
        </w:rPr>
        <w:t xml:space="preserve">als intrinsiek aan </w:t>
      </w:r>
      <w:r w:rsidR="00125288">
        <w:rPr>
          <w:b/>
          <w:bCs/>
        </w:rPr>
        <w:t>de</w:t>
      </w:r>
      <w:r w:rsidRPr="00AC44C8" w:rsidR="001415AB">
        <w:rPr>
          <w:b/>
          <w:bCs/>
        </w:rPr>
        <w:t xml:space="preserve"> internationale rechts</w:t>
      </w:r>
      <w:r w:rsidR="00125288">
        <w:rPr>
          <w:b/>
          <w:bCs/>
        </w:rPr>
        <w:t>orde</w:t>
      </w:r>
      <w:r w:rsidRPr="00AC44C8">
        <w:rPr>
          <w:b/>
          <w:bCs/>
        </w:rPr>
        <w:t xml:space="preserve">. Verandering zal dus niet vaak en niet snel optreden. Daarentegen is overeenstemming over de precieze reikwijdte van regels niet van te voren vast te leggen. Verwezen zij hierbij naar de eerdere opmerking over de noodzakelijke </w:t>
      </w:r>
      <w:r w:rsidRPr="00AC44C8">
        <w:rPr>
          <w:b/>
          <w:bCs/>
          <w:i/>
          <w:iCs/>
        </w:rPr>
        <w:t>margin of appreciation</w:t>
      </w:r>
      <w:r w:rsidRPr="00AC44C8">
        <w:rPr>
          <w:b/>
          <w:bCs/>
        </w:rPr>
        <w:t>. Een regel van internationaal recht wordt meestal op hoofdlijnen afgesproken, waarbij de precieze invulling in een concreet geval weliswaar voorspelbaar is, maar niet in de regel zelf uitgewerkt kan worden.</w:t>
      </w:r>
    </w:p>
    <w:p w:rsidR="00CA1CC8" w:rsidP="00EC73F5" w:rsidRDefault="00CA1CC8" w14:paraId="5DE4AC26" w14:textId="77777777"/>
    <w:p w:rsidR="00C46FBF" w:rsidP="00EC73F5" w:rsidRDefault="00D72834" w14:paraId="316FBFC6" w14:textId="696D8AEB">
      <w:r w:rsidRPr="00D72834">
        <w:t>De leden van de ChristenUnie-fractie merken op dat de beginselen onderliggend aan het ‘Verdrag inzake de voorkoming en bestraffing van genocide’ voorbeelden zijn van beginselen die bepaald gedrag verbieden. Kan de minister toelichten op welke manier de inbreng van het Nederlandse kabinet in de Myanmar/Rohingya-zaak om daar de definitie van genocide te willen aanscherpen</w:t>
      </w:r>
      <w:r w:rsidR="00EC73F5">
        <w:t>,</w:t>
      </w:r>
      <w:r w:rsidRPr="00D72834">
        <w:t xml:space="preserve"> zich verhoudt tot beginselen van voorzienbaarheid van wetten en de onveranderlijkheid van beginselen?</w:t>
      </w:r>
      <w:r w:rsidR="00EC73F5">
        <w:t xml:space="preserve"> </w:t>
      </w:r>
    </w:p>
    <w:p w:rsidR="00CA1CC8" w:rsidP="00EC73F5" w:rsidRDefault="00CA1CC8" w14:paraId="37EFB91D" w14:textId="693ADA93"/>
    <w:p w:rsidRPr="00AC44C8" w:rsidR="00AC44C8" w:rsidP="00AC44C8" w:rsidRDefault="00AC44C8" w14:paraId="60E4B4DE"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AC44C8" w:rsidR="0008732D" w:rsidP="00EC73F5" w:rsidRDefault="0008732D" w14:paraId="74F55649" w14:textId="1CCD1A44">
      <w:pPr>
        <w:rPr>
          <w:b/>
          <w:bCs/>
        </w:rPr>
      </w:pPr>
      <w:r w:rsidRPr="00AC44C8">
        <w:rPr>
          <w:b/>
          <w:bCs/>
        </w:rPr>
        <w:t>De in</w:t>
      </w:r>
      <w:r w:rsidRPr="00AC44C8" w:rsidR="00294F0B">
        <w:rPr>
          <w:b/>
          <w:bCs/>
        </w:rPr>
        <w:t>ter</w:t>
      </w:r>
      <w:r w:rsidRPr="00AC44C8">
        <w:rPr>
          <w:b/>
          <w:bCs/>
        </w:rPr>
        <w:t xml:space="preserve">ventie in de zaak bij het Internationaal Gerechtshof van Gambia tegen Myanmar inzake de vermeende genocide jegens de Rohingya is </w:t>
      </w:r>
      <w:r w:rsidRPr="00DE5282">
        <w:rPr>
          <w:b/>
          <w:bCs/>
        </w:rPr>
        <w:t>bedoeld</w:t>
      </w:r>
      <w:r w:rsidRPr="00AC44C8" w:rsidDel="00125288">
        <w:rPr>
          <w:b/>
          <w:bCs/>
        </w:rPr>
        <w:t xml:space="preserve"> </w:t>
      </w:r>
      <w:r w:rsidRPr="00AC44C8">
        <w:rPr>
          <w:b/>
          <w:bCs/>
        </w:rPr>
        <w:t xml:space="preserve">om het Hof te informeren over de visie van Nederland, samen met Canada, Denemarken, Duitsland, Frankrijk en het </w:t>
      </w:r>
      <w:r w:rsidRPr="00AC44C8">
        <w:rPr>
          <w:b/>
          <w:bCs/>
        </w:rPr>
        <w:lastRenderedPageBreak/>
        <w:t xml:space="preserve">Verenigd Koninkrijk, </w:t>
      </w:r>
      <w:r w:rsidR="00B94610">
        <w:rPr>
          <w:b/>
          <w:bCs/>
        </w:rPr>
        <w:t xml:space="preserve">met betrekking tot de constructie van het Genocideverdrag. </w:t>
      </w:r>
      <w:r w:rsidRPr="00DE5282" w:rsidR="00B94610">
        <w:rPr>
          <w:b/>
          <w:bCs/>
        </w:rPr>
        <w:t xml:space="preserve">De interventie beoogt dus geen verandering of wijziging van het verdrag, maar een interpretatie </w:t>
      </w:r>
      <w:r w:rsidRPr="00B94610" w:rsidR="00B94610">
        <w:rPr>
          <w:b/>
          <w:bCs/>
        </w:rPr>
        <w:t xml:space="preserve">van </w:t>
      </w:r>
      <w:r w:rsidR="00B94610">
        <w:rPr>
          <w:b/>
          <w:bCs/>
        </w:rPr>
        <w:t xml:space="preserve">verschillende bepalingen van </w:t>
      </w:r>
      <w:r w:rsidRPr="00B94610" w:rsidR="00B94610">
        <w:rPr>
          <w:b/>
          <w:bCs/>
        </w:rPr>
        <w:t xml:space="preserve">het verdrag, </w:t>
      </w:r>
      <w:r w:rsidR="00B94610">
        <w:rPr>
          <w:b/>
          <w:bCs/>
        </w:rPr>
        <w:t>waaronder</w:t>
      </w:r>
      <w:r w:rsidRPr="00B94610" w:rsidR="00B94610">
        <w:rPr>
          <w:b/>
          <w:bCs/>
        </w:rPr>
        <w:t xml:space="preserve"> m</w:t>
      </w:r>
      <w:r w:rsidR="00B94610">
        <w:rPr>
          <w:b/>
          <w:bCs/>
        </w:rPr>
        <w:t>et betrekking tot het vereist</w:t>
      </w:r>
      <w:r w:rsidR="00334A0D">
        <w:rPr>
          <w:b/>
          <w:bCs/>
        </w:rPr>
        <w:t>e</w:t>
      </w:r>
      <w:r w:rsidR="00B94610">
        <w:rPr>
          <w:b/>
          <w:bCs/>
        </w:rPr>
        <w:t xml:space="preserve"> van</w:t>
      </w:r>
      <w:r w:rsidRPr="00B94610" w:rsidR="00B94610">
        <w:rPr>
          <w:b/>
          <w:bCs/>
        </w:rPr>
        <w:t xml:space="preserve"> genocidale opzet, en dus een verduidelijking van een bestaande</w:t>
      </w:r>
      <w:r w:rsidR="00B94610">
        <w:rPr>
          <w:b/>
          <w:bCs/>
        </w:rPr>
        <w:t xml:space="preserve"> verplichting</w:t>
      </w:r>
      <w:r w:rsidRPr="00B94610" w:rsidR="00B94610">
        <w:rPr>
          <w:b/>
          <w:bCs/>
        </w:rPr>
        <w:t>.</w:t>
      </w:r>
    </w:p>
    <w:p w:rsidR="00C46FBF" w:rsidP="00EC73F5" w:rsidRDefault="00C46FBF" w14:paraId="1A966531" w14:textId="77777777"/>
    <w:p w:rsidR="004D5E72" w:rsidP="00EC73F5" w:rsidRDefault="00D72834" w14:paraId="0192D1EA" w14:textId="77777777">
      <w:r w:rsidRPr="00D72834">
        <w:t>De leden van de ChristenUnie-fractie merken op dat volgens de ILC een algemeen rechtsbeginsel intrinsiek is aan de internationale rechtsorde, als een algemeen rechtsbeginsel specifiek is aan de internationale rechtsorde en diens fundamentele kenmerken weerspiegelt en ordent. Het kabinet is het eens met de CAVV dat deze eis verder uitgewerkt dient te worden. Hoe ziet de minister dit voor zich? Zouden de criteria van Fuller daar handva</w:t>
      </w:r>
      <w:r w:rsidR="00EC73F5">
        <w:t>t</w:t>
      </w:r>
      <w:r w:rsidRPr="00D72834">
        <w:t>ten voor kunnen bieden? Leidt deze conclusie ook tot de optie om een herijking van internationale instituten (</w:t>
      </w:r>
      <w:r w:rsidR="00EC73F5">
        <w:t xml:space="preserve">van </w:t>
      </w:r>
      <w:r w:rsidRPr="00D72834">
        <w:t>de VN-Veiligheidsraad en permanente vertegenwoordiging, het vetorecht van vijf lidstaten, de stemmingen rond VN-resoluties etc.) te verkennen? Zo niet, waarom niet?</w:t>
      </w:r>
      <w:r w:rsidR="00C700D2">
        <w:t xml:space="preserve"> </w:t>
      </w:r>
    </w:p>
    <w:p w:rsidR="004D5E72" w:rsidP="00EC73F5" w:rsidRDefault="004D5E72" w14:paraId="2291EECF" w14:textId="77777777"/>
    <w:p w:rsidRPr="00AC44C8" w:rsidR="006E0221" w:rsidP="006E0221" w:rsidRDefault="006E0221" w14:paraId="5F65950D"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A904D2" w:rsidP="00EC73F5" w:rsidRDefault="00EF2B9E" w14:paraId="175907C1" w14:textId="643EB0B2">
      <w:pPr>
        <w:rPr>
          <w:b/>
          <w:bCs/>
        </w:rPr>
      </w:pPr>
      <w:r w:rsidRPr="006E0221">
        <w:rPr>
          <w:b/>
          <w:bCs/>
        </w:rPr>
        <w:t xml:space="preserve">De criteria van Fuller zien op </w:t>
      </w:r>
      <w:r w:rsidR="00B94610">
        <w:rPr>
          <w:b/>
          <w:bCs/>
        </w:rPr>
        <w:t xml:space="preserve">de totstandkoming van </w:t>
      </w:r>
      <w:r w:rsidRPr="006E0221">
        <w:rPr>
          <w:b/>
          <w:bCs/>
        </w:rPr>
        <w:t>nationale wetgeving</w:t>
      </w:r>
      <w:r w:rsidR="00B94610">
        <w:rPr>
          <w:b/>
          <w:bCs/>
        </w:rPr>
        <w:t>.</w:t>
      </w:r>
      <w:r w:rsidRPr="006E0221">
        <w:rPr>
          <w:b/>
          <w:bCs/>
        </w:rPr>
        <w:t xml:space="preserve"> </w:t>
      </w:r>
      <w:r w:rsidR="00B94610">
        <w:rPr>
          <w:b/>
          <w:bCs/>
        </w:rPr>
        <w:t xml:space="preserve">Deze criteria lenen zich niet zonder meer voor </w:t>
      </w:r>
      <w:r w:rsidRPr="006E0221">
        <w:rPr>
          <w:b/>
          <w:bCs/>
        </w:rPr>
        <w:t>analoge toepassing daarvan op algemene rechtsbeginselen</w:t>
      </w:r>
      <w:r w:rsidRPr="006E0221" w:rsidR="00D76AA0">
        <w:rPr>
          <w:b/>
          <w:bCs/>
        </w:rPr>
        <w:t xml:space="preserve"> gevormd binnen de internationale rechtsorde</w:t>
      </w:r>
      <w:r w:rsidR="00B94610">
        <w:rPr>
          <w:b/>
          <w:bCs/>
        </w:rPr>
        <w:t xml:space="preserve"> (zie ook </w:t>
      </w:r>
      <w:r w:rsidR="00A028BD">
        <w:rPr>
          <w:b/>
          <w:bCs/>
        </w:rPr>
        <w:t>antwoord 14</w:t>
      </w:r>
      <w:r w:rsidR="00B94610">
        <w:rPr>
          <w:b/>
          <w:bCs/>
        </w:rPr>
        <w:t xml:space="preserve"> hierboven).</w:t>
      </w:r>
      <w:r w:rsidR="00957608">
        <w:rPr>
          <w:b/>
          <w:bCs/>
        </w:rPr>
        <w:t xml:space="preserve"> </w:t>
      </w:r>
      <w:r w:rsidR="006825CF">
        <w:rPr>
          <w:b/>
          <w:bCs/>
        </w:rPr>
        <w:t xml:space="preserve">Voor de totstandkoming van nationale wetgeving bestaat in Nederland, evenals in de meeste andere staten, een </w:t>
      </w:r>
      <w:r w:rsidR="00D351B1">
        <w:rPr>
          <w:b/>
          <w:bCs/>
        </w:rPr>
        <w:t>vaste totstandkomingsprocedure met parlementaire betrokkenheid</w:t>
      </w:r>
      <w:r w:rsidR="006825CF">
        <w:rPr>
          <w:b/>
          <w:bCs/>
        </w:rPr>
        <w:t>. De totstandkoming van het internationaal recht is gebaseerd op instemming</w:t>
      </w:r>
      <w:r w:rsidR="00D351B1">
        <w:rPr>
          <w:b/>
          <w:bCs/>
        </w:rPr>
        <w:t xml:space="preserve"> van staten</w:t>
      </w:r>
      <w:r w:rsidR="006825CF">
        <w:rPr>
          <w:b/>
          <w:bCs/>
        </w:rPr>
        <w:t xml:space="preserve">. </w:t>
      </w:r>
    </w:p>
    <w:p w:rsidRPr="006E0221" w:rsidR="00D72834" w:rsidP="00EC73F5" w:rsidRDefault="006825CF" w14:paraId="725A37DD" w14:textId="4B5285D0">
      <w:pPr>
        <w:rPr>
          <w:b/>
          <w:bCs/>
        </w:rPr>
      </w:pPr>
      <w:r>
        <w:rPr>
          <w:b/>
          <w:bCs/>
        </w:rPr>
        <w:t>Het kabinet acht de inzet op een andere benadering</w:t>
      </w:r>
      <w:r w:rsidR="00A904D2">
        <w:rPr>
          <w:b/>
          <w:bCs/>
        </w:rPr>
        <w:t xml:space="preserve"> </w:t>
      </w:r>
      <w:r>
        <w:rPr>
          <w:b/>
          <w:bCs/>
        </w:rPr>
        <w:t>niet wenselijk in het licht van de soevereiniteit van staten en ook niet realistisch in het licht van de rechtsopvattingen van andere staten met betrekking tot de totstandkoming van het internationaal recht</w:t>
      </w:r>
      <w:r w:rsidRPr="006E7ADA" w:rsidR="00EF2B9E">
        <w:rPr>
          <w:b/>
          <w:bCs/>
        </w:rPr>
        <w:t xml:space="preserve">. </w:t>
      </w:r>
    </w:p>
    <w:p w:rsidRPr="00D72834" w:rsidR="00A37015" w:rsidP="00EC73F5" w:rsidRDefault="00A37015" w14:paraId="6F442DCE" w14:textId="77777777"/>
    <w:p w:rsidR="00B027FE" w:rsidP="00D7150B" w:rsidRDefault="00D72834" w14:paraId="0A1E2089" w14:textId="77777777">
      <w:r w:rsidRPr="00D72834">
        <w:t>De leden van de ChristenUnie-fractie vragen hoe de minister de lex specialis-afspraken tussen staten of groepen in verhouding tot VN-besluitvorming waardeert? Zou het respecteren van lex specialis moeten betekenen dat VN-besluitvorming theoretisch niet zou kunnen voldoen aan de criteria van internationaal recht, omdat de besluitvorming (die enerzijds belegd is bij een aantal landen die bij de oprichting een veto-structuur hebben ingesteld en anderzijds via VN-resoluties een politieke lading en weging kent) in strijd zou zijn met het eerbieden van lex specialis-afspraken? Kan het kabinet hier voorbeeld</w:t>
      </w:r>
      <w:r w:rsidR="001D4D1A">
        <w:t>en</w:t>
      </w:r>
      <w:r w:rsidRPr="00D72834">
        <w:t xml:space="preserve"> van noemen in het verleden? Indien de minister dit concludeert, hoe zou het kabinet daarmee omgaan in de toekomst, mocht dit scenario zich voordoen?</w:t>
      </w:r>
    </w:p>
    <w:p w:rsidR="004D5E72" w:rsidP="004D5E72" w:rsidRDefault="004D5E72" w14:paraId="176D8BB1" w14:textId="77777777">
      <w:pPr>
        <w:rPr>
          <w:b/>
          <w:color w:val="FF0000"/>
          <w:highlight w:val="yellow"/>
        </w:rPr>
      </w:pPr>
    </w:p>
    <w:p w:rsidRPr="00AC44C8" w:rsidR="00A30455" w:rsidP="00A30455" w:rsidRDefault="00A30455" w14:paraId="72AD9197" w14:textId="77777777">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A028BD" w:rsidP="004D5E72" w:rsidRDefault="00246218" w14:paraId="34DC5CA0" w14:textId="1E4945DF">
      <w:pPr>
        <w:rPr>
          <w:b/>
        </w:rPr>
      </w:pPr>
      <w:r>
        <w:rPr>
          <w:b/>
        </w:rPr>
        <w:t xml:space="preserve">De </w:t>
      </w:r>
      <w:r w:rsidR="007443C0">
        <w:rPr>
          <w:b/>
        </w:rPr>
        <w:t xml:space="preserve">ook </w:t>
      </w:r>
      <w:r>
        <w:rPr>
          <w:b/>
        </w:rPr>
        <w:t>bij antwoord 14 aangehaalde</w:t>
      </w:r>
      <w:r w:rsidR="00A028BD">
        <w:rPr>
          <w:b/>
        </w:rPr>
        <w:t xml:space="preserve"> </w:t>
      </w:r>
      <w:r w:rsidR="00A028BD">
        <w:rPr>
          <w:b/>
          <w:i/>
          <w:iCs/>
        </w:rPr>
        <w:t>lex specialis</w:t>
      </w:r>
      <w:r>
        <w:rPr>
          <w:b/>
        </w:rPr>
        <w:t>-regel</w:t>
      </w:r>
      <w:r w:rsidR="00A028BD">
        <w:rPr>
          <w:b/>
        </w:rPr>
        <w:t xml:space="preserve"> ziet op de aard van de regel: is dat wat geregeld wordt in een </w:t>
      </w:r>
      <w:r w:rsidR="007443C0">
        <w:rPr>
          <w:b/>
        </w:rPr>
        <w:t>verdrags</w:t>
      </w:r>
      <w:r w:rsidR="00A028BD">
        <w:rPr>
          <w:b/>
        </w:rPr>
        <w:t xml:space="preserve">bepaling specifieker dan een  </w:t>
      </w:r>
      <w:r w:rsidR="001E26FE">
        <w:rPr>
          <w:b/>
        </w:rPr>
        <w:t xml:space="preserve">andere </w:t>
      </w:r>
      <w:r w:rsidR="00A028BD">
        <w:rPr>
          <w:b/>
        </w:rPr>
        <w:t>regel</w:t>
      </w:r>
      <w:r w:rsidR="00334A0D">
        <w:rPr>
          <w:b/>
        </w:rPr>
        <w:t xml:space="preserve"> die een meer algemene norm reflecteert in de vorm van een verdragsbepaling, in het gewoonterecht of als algemeen rechtsbeginsel</w:t>
      </w:r>
      <w:r w:rsidR="00E87CE2">
        <w:rPr>
          <w:b/>
        </w:rPr>
        <w:t xml:space="preserve">? </w:t>
      </w:r>
      <w:r w:rsidR="00053106">
        <w:rPr>
          <w:b/>
        </w:rPr>
        <w:t>In dat geval</w:t>
      </w:r>
      <w:r w:rsidR="00E87CE2">
        <w:rPr>
          <w:b/>
        </w:rPr>
        <w:t xml:space="preserve"> gaat de specifiekere bepaling voor.</w:t>
      </w:r>
      <w:r w:rsidR="00A028BD">
        <w:rPr>
          <w:b/>
        </w:rPr>
        <w:t xml:space="preserve"> </w:t>
      </w:r>
      <w:r w:rsidR="00334A0D">
        <w:rPr>
          <w:b/>
        </w:rPr>
        <w:t xml:space="preserve">De </w:t>
      </w:r>
      <w:r w:rsidR="00334A0D">
        <w:rPr>
          <w:b/>
          <w:i/>
          <w:iCs/>
        </w:rPr>
        <w:t>lex specialis</w:t>
      </w:r>
      <w:r w:rsidR="00334A0D">
        <w:rPr>
          <w:b/>
        </w:rPr>
        <w:t>-regel</w:t>
      </w:r>
      <w:r w:rsidR="00A028BD">
        <w:rPr>
          <w:b/>
        </w:rPr>
        <w:t xml:space="preserve"> ziet niet op de wijze van totstandkoming</w:t>
      </w:r>
      <w:r w:rsidR="00E87CE2">
        <w:rPr>
          <w:b/>
        </w:rPr>
        <w:t xml:space="preserve"> van een regel</w:t>
      </w:r>
      <w:r w:rsidR="00A028BD">
        <w:rPr>
          <w:b/>
        </w:rPr>
        <w:t xml:space="preserve">. Het is in dat opzicht dus irrelevant of een verdragsbepaling tot stand komt tussen een beperkte groep staten of een grote groep staten. </w:t>
      </w:r>
      <w:r w:rsidR="00E87CE2">
        <w:rPr>
          <w:b/>
        </w:rPr>
        <w:t xml:space="preserve">Evenzeer is het niet bepalend voor de </w:t>
      </w:r>
      <w:r w:rsidR="00053106">
        <w:rPr>
          <w:b/>
        </w:rPr>
        <w:t>ver</w:t>
      </w:r>
      <w:r w:rsidR="00E87CE2">
        <w:rPr>
          <w:b/>
        </w:rPr>
        <w:t xml:space="preserve">bindende kracht van een regel of deze tot stand gekomen is </w:t>
      </w:r>
      <w:r w:rsidR="00A028BD">
        <w:rPr>
          <w:b/>
        </w:rPr>
        <w:t xml:space="preserve">in een politieke context. </w:t>
      </w:r>
    </w:p>
    <w:p w:rsidR="00A028BD" w:rsidP="004D5E72" w:rsidRDefault="00A028BD" w14:paraId="6466FBDE" w14:textId="6A678A47">
      <w:pPr>
        <w:rPr>
          <w:b/>
        </w:rPr>
      </w:pPr>
      <w:r>
        <w:rPr>
          <w:b/>
        </w:rPr>
        <w:lastRenderedPageBreak/>
        <w:t xml:space="preserve"> Zoals hierboven aangegeven, in antwoord</w:t>
      </w:r>
      <w:r w:rsidR="00DB0C2E">
        <w:rPr>
          <w:b/>
        </w:rPr>
        <w:t xml:space="preserve"> op vraag</w:t>
      </w:r>
      <w:r>
        <w:rPr>
          <w:b/>
        </w:rPr>
        <w:t xml:space="preserve"> 14, voorziet het </w:t>
      </w:r>
      <w:r w:rsidR="00720C4E">
        <w:rPr>
          <w:b/>
        </w:rPr>
        <w:t>internationaal recht in voorrang van regels van dwingend internationaal recht en het</w:t>
      </w:r>
      <w:r w:rsidR="00053106">
        <w:rPr>
          <w:b/>
        </w:rPr>
        <w:t xml:space="preserve"> </w:t>
      </w:r>
      <w:r w:rsidR="001E26FE">
        <w:rPr>
          <w:b/>
        </w:rPr>
        <w:t>H</w:t>
      </w:r>
      <w:r>
        <w:rPr>
          <w:b/>
        </w:rPr>
        <w:t xml:space="preserve">andvest </w:t>
      </w:r>
      <w:r w:rsidR="001E26FE">
        <w:rPr>
          <w:b/>
        </w:rPr>
        <w:t xml:space="preserve">van de Verenigde Naties </w:t>
      </w:r>
      <w:r w:rsidDel="00B94614">
        <w:rPr>
          <w:b/>
        </w:rPr>
        <w:t xml:space="preserve">in voorrang </w:t>
      </w:r>
      <w:r w:rsidR="00053106">
        <w:rPr>
          <w:b/>
        </w:rPr>
        <w:t xml:space="preserve">van het Handvest </w:t>
      </w:r>
      <w:r w:rsidR="00B94614">
        <w:rPr>
          <w:b/>
        </w:rPr>
        <w:t>op</w:t>
      </w:r>
      <w:r>
        <w:rPr>
          <w:b/>
        </w:rPr>
        <w:t xml:space="preserve"> andere verdragsverplichtingen. </w:t>
      </w:r>
      <w:r w:rsidR="00053106">
        <w:rPr>
          <w:b/>
        </w:rPr>
        <w:t>Het laatste</w:t>
      </w:r>
      <w:r>
        <w:rPr>
          <w:b/>
        </w:rPr>
        <w:t xml:space="preserve"> betekent </w:t>
      </w:r>
      <w:r w:rsidR="00053106">
        <w:rPr>
          <w:b/>
        </w:rPr>
        <w:t xml:space="preserve">ook </w:t>
      </w:r>
      <w:r>
        <w:rPr>
          <w:b/>
        </w:rPr>
        <w:t xml:space="preserve">dat bindende besluiten </w:t>
      </w:r>
      <w:r w:rsidR="001E26FE">
        <w:rPr>
          <w:b/>
        </w:rPr>
        <w:t>van</w:t>
      </w:r>
      <w:r>
        <w:rPr>
          <w:b/>
        </w:rPr>
        <w:t xml:space="preserve"> de VN </w:t>
      </w:r>
      <w:r w:rsidR="00053106">
        <w:rPr>
          <w:b/>
        </w:rPr>
        <w:t>voorrang hebben op andere verd</w:t>
      </w:r>
      <w:r w:rsidR="009B4BB3">
        <w:rPr>
          <w:b/>
        </w:rPr>
        <w:t>r</w:t>
      </w:r>
      <w:r w:rsidR="00053106">
        <w:rPr>
          <w:b/>
        </w:rPr>
        <w:t>ags</w:t>
      </w:r>
      <w:r w:rsidR="00004C77">
        <w:rPr>
          <w:b/>
        </w:rPr>
        <w:t>verplichtingen</w:t>
      </w:r>
      <w:r>
        <w:rPr>
          <w:b/>
        </w:rPr>
        <w:t xml:space="preserve">, </w:t>
      </w:r>
      <w:r w:rsidR="00004C77">
        <w:rPr>
          <w:b/>
        </w:rPr>
        <w:t>ook als deze</w:t>
      </w:r>
      <w:r>
        <w:rPr>
          <w:b/>
        </w:rPr>
        <w:t xml:space="preserve"> specifieker</w:t>
      </w:r>
      <w:r w:rsidR="00004C77">
        <w:rPr>
          <w:b/>
        </w:rPr>
        <w:t xml:space="preserve"> zijn</w:t>
      </w:r>
      <w:r>
        <w:rPr>
          <w:b/>
        </w:rPr>
        <w:t xml:space="preserve">. </w:t>
      </w:r>
    </w:p>
    <w:p w:rsidR="00A028BD" w:rsidP="004D5E72" w:rsidRDefault="00A028BD" w14:paraId="0D84B0E8" w14:textId="77777777">
      <w:pPr>
        <w:rPr>
          <w:b/>
        </w:rPr>
      </w:pPr>
    </w:p>
    <w:p w:rsidRPr="00A30455" w:rsidR="00237DA7" w:rsidP="004D5E72" w:rsidRDefault="00F41B9F" w14:paraId="405A0F46" w14:textId="010299A3">
      <w:pPr>
        <w:rPr>
          <w:b/>
        </w:rPr>
      </w:pPr>
      <w:r w:rsidRPr="00A30455">
        <w:rPr>
          <w:b/>
        </w:rPr>
        <w:t xml:space="preserve">Besluiten van de VN Veiligheidsraad die niet worden genomen onder Hoofdstuk VII van het VN Handvest en </w:t>
      </w:r>
      <w:r w:rsidR="00A028BD">
        <w:rPr>
          <w:b/>
        </w:rPr>
        <w:t xml:space="preserve">de meeste </w:t>
      </w:r>
      <w:r w:rsidRPr="00A30455">
        <w:rPr>
          <w:b/>
        </w:rPr>
        <w:t>b</w:t>
      </w:r>
      <w:r w:rsidRPr="00A30455" w:rsidR="00237DA7">
        <w:rPr>
          <w:b/>
        </w:rPr>
        <w:t xml:space="preserve">esluiten van de Algemene Vergadering van de Verenigde Naties zijn niet bindend. </w:t>
      </w:r>
      <w:r w:rsidR="00A028BD">
        <w:rPr>
          <w:b/>
        </w:rPr>
        <w:t xml:space="preserve">Dit betekent dat zij sowieso geen voorrang kunnen hebben op </w:t>
      </w:r>
      <w:r w:rsidR="00004C77">
        <w:rPr>
          <w:b/>
        </w:rPr>
        <w:t xml:space="preserve">afspraken die </w:t>
      </w:r>
      <w:r w:rsidR="00A028BD">
        <w:rPr>
          <w:b/>
        </w:rPr>
        <w:t>wel bindend</w:t>
      </w:r>
      <w:r w:rsidR="00004C77">
        <w:rPr>
          <w:b/>
        </w:rPr>
        <w:t xml:space="preserve"> zijn</w:t>
      </w:r>
      <w:r w:rsidR="00A028BD">
        <w:rPr>
          <w:b/>
        </w:rPr>
        <w:t xml:space="preserve">, ongeacht of deze afspraken als een </w:t>
      </w:r>
      <w:r w:rsidR="00A028BD">
        <w:rPr>
          <w:b/>
          <w:i/>
          <w:iCs/>
        </w:rPr>
        <w:t xml:space="preserve">lex specialis </w:t>
      </w:r>
      <w:r w:rsidR="00A028BD">
        <w:rPr>
          <w:b/>
        </w:rPr>
        <w:t xml:space="preserve">te karakteriseren zijn. </w:t>
      </w:r>
      <w:r w:rsidRPr="00A30455" w:rsidR="00237DA7">
        <w:rPr>
          <w:b/>
        </w:rPr>
        <w:t xml:space="preserve">Zij kunnen </w:t>
      </w:r>
      <w:r w:rsidRPr="00A30455" w:rsidR="00A02882">
        <w:rPr>
          <w:b/>
        </w:rPr>
        <w:t xml:space="preserve">wel </w:t>
      </w:r>
      <w:r w:rsidRPr="00A30455" w:rsidR="00237DA7">
        <w:rPr>
          <w:b/>
        </w:rPr>
        <w:t>een rol spelen bij het interpreteren van</w:t>
      </w:r>
      <w:r w:rsidRPr="00A30455" w:rsidR="00A02882">
        <w:rPr>
          <w:b/>
        </w:rPr>
        <w:t xml:space="preserve"> bindende</w:t>
      </w:r>
      <w:r w:rsidRPr="00A30455" w:rsidR="00237DA7">
        <w:rPr>
          <w:b/>
        </w:rPr>
        <w:t xml:space="preserve"> normen vastgelegd in verdragen of het gewoonterecht</w:t>
      </w:r>
      <w:r w:rsidR="00A028BD">
        <w:rPr>
          <w:b/>
        </w:rPr>
        <w:t xml:space="preserve">. Zie hiervoor ook antwoord 10 hierboven. </w:t>
      </w:r>
    </w:p>
    <w:p w:rsidR="00703432" w:rsidP="004D5E72" w:rsidRDefault="00703432" w14:paraId="357CD5D7" w14:textId="77777777">
      <w:pPr>
        <w:rPr>
          <w:bCs/>
          <w:color w:val="FF0000"/>
        </w:rPr>
      </w:pPr>
    </w:p>
    <w:p w:rsidR="00124CA6" w:rsidP="00124CA6" w:rsidRDefault="00124CA6" w14:paraId="73689A9C" w14:textId="77777777">
      <w:pPr>
        <w:rPr>
          <w:b/>
        </w:rPr>
      </w:pPr>
      <w:r>
        <w:rPr>
          <w:b/>
        </w:rPr>
        <w:t>Vragen en opmerkingen van de leden van de SGP-fractie</w:t>
      </w:r>
    </w:p>
    <w:p w:rsidR="00124CA6" w:rsidP="00124CA6" w:rsidRDefault="00124CA6" w14:paraId="0F003FFF" w14:textId="77777777">
      <w:pPr>
        <w:rPr>
          <w:b/>
        </w:rPr>
      </w:pPr>
    </w:p>
    <w:p w:rsidR="00F35C6A" w:rsidP="00B027FE" w:rsidRDefault="00B027FE" w14:paraId="17A3CDB7" w14:textId="77777777">
      <w:r>
        <w:t>De leden van de SGP-fractie hebben met dank kennisgenomen van het CAVV</w:t>
      </w:r>
      <w:r w:rsidR="00F35C6A">
        <w:t>-</w:t>
      </w:r>
      <w:r>
        <w:t xml:space="preserve">advies inzake algemene rechtsbeginselen in het internationaal recht en de kabinetsreactie. De voornoemde leden zien enige waarde in </w:t>
      </w:r>
      <w:r w:rsidR="00F35C6A">
        <w:t>de ontwerpconclusies van de International Law Commission</w:t>
      </w:r>
      <w:r>
        <w:t xml:space="preserve"> om algemene rechtsbeginselen te kunnen identificeren. De voornoemde leden hebben </w:t>
      </w:r>
      <w:r w:rsidR="00F35C6A">
        <w:t xml:space="preserve">daarover </w:t>
      </w:r>
      <w:r>
        <w:t>een aantal vragen.</w:t>
      </w:r>
    </w:p>
    <w:p w:rsidR="0014434D" w:rsidP="00D7150B" w:rsidRDefault="00B027FE" w14:paraId="1F337EB3" w14:textId="2C001F31">
      <w:r>
        <w:t>Hoe kijkt het kabinet naar een recht zoals soevereine gelijkheid waar die een algemeen rechtsbeginsel is en ook gecodificeerd is, zo vragen de leden van de SGP-fractie</w:t>
      </w:r>
      <w:r w:rsidR="00F35C6A">
        <w:t>.</w:t>
      </w:r>
      <w:r>
        <w:t xml:space="preserve"> Wat zijn de gangbare technieken om eventuele conflicten in interpretatie daarin op te lossen?</w:t>
      </w:r>
      <w:r w:rsidR="00F35C6A">
        <w:t xml:space="preserve"> </w:t>
      </w:r>
    </w:p>
    <w:p w:rsidR="0014434D" w:rsidP="00D7150B" w:rsidRDefault="00B027FE" w14:paraId="3724B603" w14:textId="13E92423">
      <w:r>
        <w:t>Bestaan er bij beginselen van internationaal recht ook mogelijkheden om eventueel voorbehoud of uitzondering te maken</w:t>
      </w:r>
      <w:r w:rsidR="00F35C6A">
        <w:t>,</w:t>
      </w:r>
      <w:r>
        <w:t xml:space="preserve"> zoals die in verdragenrecht bestaan, zo vragen de</w:t>
      </w:r>
      <w:r w:rsidR="00F35C6A">
        <w:t>ze</w:t>
      </w:r>
      <w:r>
        <w:t xml:space="preserve"> leden</w:t>
      </w:r>
      <w:r w:rsidR="00F35C6A">
        <w:t>.</w:t>
      </w:r>
      <w:r>
        <w:t xml:space="preserve"> </w:t>
      </w:r>
    </w:p>
    <w:p w:rsidR="00D7150B" w:rsidP="00A70B93" w:rsidRDefault="00B027FE" w14:paraId="4142B57F" w14:textId="61A8D81F">
      <w:r>
        <w:t>De voornoemde leden vragen naar het bestaan van het instrument</w:t>
      </w:r>
      <w:r w:rsidR="00F35C6A">
        <w:t>,</w:t>
      </w:r>
      <w:r>
        <w:t xml:space="preserve"> maar zien graag dat dat niet eenvoudig wordt ingezet.</w:t>
      </w:r>
      <w:r w:rsidR="00F35C6A">
        <w:t xml:space="preserve"> </w:t>
      </w:r>
      <w:r>
        <w:t>Hoe reflecteert het kabinet op ontwerpconclusie 9, die in het CAVV</w:t>
      </w:r>
      <w:r w:rsidR="00F35C6A">
        <w:t>-</w:t>
      </w:r>
      <w:r>
        <w:t xml:space="preserve">advies niet zeer wordt toegelicht, </w:t>
      </w:r>
      <w:r w:rsidR="00F35C6A">
        <w:t xml:space="preserve">zo </w:t>
      </w:r>
      <w:r>
        <w:t>vragen de</w:t>
      </w:r>
      <w:r w:rsidR="00F35C6A">
        <w:t>ze leden</w:t>
      </w:r>
      <w:r w:rsidRPr="003716DE" w:rsidR="00F35C6A">
        <w:t>.</w:t>
      </w:r>
      <w:r w:rsidRPr="003716DE">
        <w:t xml:space="preserve"> Deze luidt</w:t>
      </w:r>
      <w:r w:rsidRPr="00F35C6A">
        <w:rPr>
          <w:lang w:val="en-US"/>
        </w:rPr>
        <w:t xml:space="preserve"> “Teachings of the most highly qualified publicists of the various nations may serve as a subsidiary means for the determination of general principles of law”. </w:t>
      </w:r>
      <w:r w:rsidRPr="000F64F1">
        <w:t>Bij internationaal recht weegt de opinie van rechtsgeleerden vaker m</w:t>
      </w:r>
      <w:r>
        <w:t>ee als bron. Hoe wordt hierin een keuze en balans gemaakt bij verschillende interpretaties van verschillende geleerden waar soms nog zeer uiteenlopende visies kunnen bestaan?</w:t>
      </w:r>
      <w:r w:rsidR="00F35C6A">
        <w:t xml:space="preserve"> </w:t>
      </w:r>
      <w:r>
        <w:t xml:space="preserve">Hoe borgt </w:t>
      </w:r>
      <w:r w:rsidR="00F35C6A">
        <w:t>het kabinet</w:t>
      </w:r>
      <w:r>
        <w:t xml:space="preserve"> bij de algemene beginselen van internationaal recht dat er niet teveel beginselen komen die bij specifieke invulling, toepassing en toetsing ons buitenlandbeleid te veel inperken, zo vragen de</w:t>
      </w:r>
      <w:r w:rsidR="00F35C6A">
        <w:t>ze</w:t>
      </w:r>
      <w:r>
        <w:t xml:space="preserve"> leden </w:t>
      </w:r>
      <w:r w:rsidR="00F35C6A">
        <w:t>voorts.</w:t>
      </w:r>
      <w:r>
        <w:t xml:space="preserve"> Voornoemde leden vinden het belangrijk om ook </w:t>
      </w:r>
      <w:r w:rsidR="00F35C6A">
        <w:t>het kabinet</w:t>
      </w:r>
      <w:r>
        <w:t xml:space="preserve"> aan afspraken te kunnen houden, maar dat </w:t>
      </w:r>
      <w:r w:rsidR="00F35C6A">
        <w:t>maakt het idee dat het kabinet</w:t>
      </w:r>
      <w:r>
        <w:t xml:space="preserve"> meer vrijheid moet toekomen in buitenlandbeleid en </w:t>
      </w:r>
      <w:r w:rsidR="00F35C6A">
        <w:t xml:space="preserve">bij </w:t>
      </w:r>
      <w:r>
        <w:t>rechte</w:t>
      </w:r>
      <w:r w:rsidR="00F35C6A">
        <w:t>r</w:t>
      </w:r>
      <w:r>
        <w:t>lijke toetsing rond onder andere wapenexport dan lastig.</w:t>
      </w:r>
    </w:p>
    <w:p w:rsidRPr="00A70B93" w:rsidR="00D7150B" w:rsidP="00F35C6A" w:rsidRDefault="00D7150B" w14:paraId="3881AA41" w14:textId="77777777">
      <w:pPr>
        <w:ind w:firstLine="708"/>
      </w:pPr>
    </w:p>
    <w:p w:rsidRPr="002072C3" w:rsidR="002072C3" w:rsidP="00D34C50" w:rsidRDefault="002072C3" w14:paraId="2C1F1ACA" w14:textId="56FC0AC8">
      <w:pPr>
        <w:pStyle w:val="ListParagraph"/>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6E7ADA" w:rsidP="00D34C50" w:rsidRDefault="00D34C50" w14:paraId="622C3284" w14:textId="5CB879D9">
      <w:pPr>
        <w:rPr>
          <w:b/>
          <w:bCs/>
        </w:rPr>
      </w:pPr>
      <w:r w:rsidRPr="002072C3">
        <w:rPr>
          <w:b/>
          <w:bCs/>
        </w:rPr>
        <w:t>Het uitgangspunt is dat regels van internationaal recht zoveel mogelijk harmonieus geïnterpreteerd moeten worden. Dat betekent dat in de interpretatie van internationaal recht, zoveel mogelijk effect aan regels wordt toegekend, en een regel alleen buiten beschouwing gelaten wordt als dit moet vanwege een conflict met een andere regel</w:t>
      </w:r>
      <w:r w:rsidRPr="002072C3" w:rsidR="00E2062E">
        <w:rPr>
          <w:b/>
          <w:bCs/>
        </w:rPr>
        <w:t xml:space="preserve"> en die </w:t>
      </w:r>
      <w:r w:rsidRPr="002072C3" w:rsidR="00E2062E">
        <w:rPr>
          <w:b/>
          <w:bCs/>
        </w:rPr>
        <w:lastRenderedPageBreak/>
        <w:t>andere regel voorrang heeft</w:t>
      </w:r>
      <w:r w:rsidRPr="002072C3">
        <w:rPr>
          <w:b/>
          <w:bCs/>
        </w:rPr>
        <w:t>. Het internationaal recht kent duidelijke regels over voorrang in geval van conflict</w:t>
      </w:r>
      <w:r w:rsidR="00CC1FE1">
        <w:rPr>
          <w:b/>
          <w:bCs/>
        </w:rPr>
        <w:t xml:space="preserve"> (zie ook </w:t>
      </w:r>
      <w:r w:rsidR="009D3F1A">
        <w:rPr>
          <w:b/>
          <w:bCs/>
        </w:rPr>
        <w:t xml:space="preserve">het </w:t>
      </w:r>
      <w:r w:rsidR="006E7ADA">
        <w:rPr>
          <w:b/>
          <w:bCs/>
        </w:rPr>
        <w:t xml:space="preserve">antwoord </w:t>
      </w:r>
      <w:r w:rsidR="009D3F1A">
        <w:rPr>
          <w:b/>
          <w:bCs/>
        </w:rPr>
        <w:t xml:space="preserve">op vraag </w:t>
      </w:r>
      <w:r w:rsidR="006E7ADA">
        <w:rPr>
          <w:b/>
          <w:bCs/>
        </w:rPr>
        <w:t>14</w:t>
      </w:r>
      <w:r w:rsidR="00CC1FE1">
        <w:rPr>
          <w:b/>
          <w:bCs/>
        </w:rPr>
        <w:t>)</w:t>
      </w:r>
      <w:r w:rsidRPr="002072C3">
        <w:rPr>
          <w:b/>
          <w:bCs/>
        </w:rPr>
        <w:t xml:space="preserve">. Deze voorrangsregels zijn dus pas van toepassing als harmonieuze interpretatie niet mogelijk is. </w:t>
      </w:r>
    </w:p>
    <w:p w:rsidR="006E7ADA" w:rsidP="00D34C50" w:rsidRDefault="006E7ADA" w14:paraId="3AC9A67E" w14:textId="77777777">
      <w:pPr>
        <w:rPr>
          <w:b/>
          <w:bCs/>
        </w:rPr>
      </w:pPr>
    </w:p>
    <w:p w:rsidR="00720C4E" w:rsidP="00D34C50" w:rsidRDefault="00B6053F" w14:paraId="792D5657" w14:textId="16316D4A">
      <w:pPr>
        <w:rPr>
          <w:b/>
          <w:bCs/>
        </w:rPr>
      </w:pPr>
      <w:r>
        <w:rPr>
          <w:b/>
          <w:bCs/>
        </w:rPr>
        <w:t>Voor de</w:t>
      </w:r>
      <w:r w:rsidRPr="002072C3" w:rsidR="00D34C50">
        <w:rPr>
          <w:b/>
          <w:bCs/>
        </w:rPr>
        <w:t xml:space="preserve"> interpretatie </w:t>
      </w:r>
      <w:r>
        <w:rPr>
          <w:b/>
          <w:bCs/>
        </w:rPr>
        <w:t>van een verdragsbepaling voorziet</w:t>
      </w:r>
      <w:r w:rsidRPr="002072C3" w:rsidR="00D34C50">
        <w:rPr>
          <w:b/>
          <w:bCs/>
        </w:rPr>
        <w:t xml:space="preserve"> het </w:t>
      </w:r>
      <w:r w:rsidR="00004C77">
        <w:rPr>
          <w:b/>
          <w:bCs/>
        </w:rPr>
        <w:t>verdragenrecht (</w:t>
      </w:r>
      <w:r w:rsidR="00053106">
        <w:rPr>
          <w:b/>
          <w:bCs/>
        </w:rPr>
        <w:t>zo</w:t>
      </w:r>
      <w:r w:rsidR="00004C77">
        <w:rPr>
          <w:b/>
          <w:bCs/>
        </w:rPr>
        <w:t xml:space="preserve">als gecodificeerd in het </w:t>
      </w:r>
      <w:r w:rsidRPr="002072C3" w:rsidR="00D34C50">
        <w:rPr>
          <w:b/>
          <w:bCs/>
        </w:rPr>
        <w:t>Weens Verdragenverdrag</w:t>
      </w:r>
      <w:r w:rsidR="00004C77">
        <w:rPr>
          <w:b/>
          <w:bCs/>
        </w:rPr>
        <w:t>)</w:t>
      </w:r>
      <w:r>
        <w:rPr>
          <w:b/>
          <w:bCs/>
        </w:rPr>
        <w:t xml:space="preserve"> in een methode</w:t>
      </w:r>
      <w:r w:rsidRPr="002072C3" w:rsidR="00D34C50">
        <w:rPr>
          <w:b/>
          <w:bCs/>
        </w:rPr>
        <w:t xml:space="preserve">: een verdrag moet te goeder trouw worden uitgelegd overeenkomstig de gewone betekenis van de termen van het </w:t>
      </w:r>
      <w:r>
        <w:rPr>
          <w:b/>
          <w:bCs/>
        </w:rPr>
        <w:t>v</w:t>
      </w:r>
      <w:r w:rsidRPr="002072C3" w:rsidR="00D34C50">
        <w:rPr>
          <w:b/>
          <w:bCs/>
        </w:rPr>
        <w:t xml:space="preserve">erdrag in hun context en in het licht van voorwerp en doel van het </w:t>
      </w:r>
      <w:r>
        <w:rPr>
          <w:b/>
          <w:bCs/>
        </w:rPr>
        <w:t>v</w:t>
      </w:r>
      <w:r w:rsidRPr="002072C3" w:rsidR="00D34C50">
        <w:rPr>
          <w:b/>
          <w:bCs/>
        </w:rPr>
        <w:t>erdrag. Indien dat de betekenis dubbelzinnig of duister laat of leidt tot een resultaat dat duidelijk ongerijmd of onredelijk is, kan gekeken worden naar de aanvullende middelen van uitlegging.</w:t>
      </w:r>
      <w:r w:rsidR="002072C3">
        <w:rPr>
          <w:b/>
          <w:bCs/>
        </w:rPr>
        <w:t xml:space="preserve"> </w:t>
      </w:r>
    </w:p>
    <w:p w:rsidR="00720C4E" w:rsidP="00D34C50" w:rsidRDefault="00720C4E" w14:paraId="43D57C1A" w14:textId="77777777">
      <w:pPr>
        <w:rPr>
          <w:b/>
          <w:bCs/>
        </w:rPr>
      </w:pPr>
    </w:p>
    <w:p w:rsidRPr="002072C3" w:rsidR="00D34C50" w:rsidP="00D34C50" w:rsidRDefault="006E7ADA" w14:paraId="0EBBB274" w14:textId="341B0B66">
      <w:pPr>
        <w:rPr>
          <w:b/>
          <w:bCs/>
        </w:rPr>
      </w:pPr>
      <w:r>
        <w:rPr>
          <w:b/>
          <w:bCs/>
        </w:rPr>
        <w:t xml:space="preserve">Voor verdragen geldt dat deze pas verbindend voor een staat zijn nadat deze partij is geworden bij het verdrag. Voor gewoonterecht geldt dat dit niet verbindend is voor een staat die zich </w:t>
      </w:r>
      <w:r w:rsidR="00720C4E">
        <w:rPr>
          <w:b/>
          <w:bCs/>
        </w:rPr>
        <w:t>aanhoudend</w:t>
      </w:r>
      <w:r>
        <w:rPr>
          <w:b/>
          <w:bCs/>
        </w:rPr>
        <w:t xml:space="preserve"> verzet heeft tegen de totstandkoming van die regel. De </w:t>
      </w:r>
      <w:r w:rsidR="00B6053F">
        <w:rPr>
          <w:b/>
          <w:bCs/>
        </w:rPr>
        <w:t>ILC</w:t>
      </w:r>
      <w:r>
        <w:rPr>
          <w:b/>
          <w:bCs/>
        </w:rPr>
        <w:t xml:space="preserve"> heeft </w:t>
      </w:r>
      <w:r w:rsidR="00720C4E">
        <w:rPr>
          <w:b/>
          <w:bCs/>
        </w:rPr>
        <w:t xml:space="preserve">echter </w:t>
      </w:r>
      <w:r>
        <w:rPr>
          <w:b/>
          <w:bCs/>
        </w:rPr>
        <w:t xml:space="preserve">geen regel geïdentificeerd op grond waarvan een staat het recht zou hebben zich niet gebonden te achten aan een algemeen rechtsbeginsel. </w:t>
      </w:r>
      <w:r w:rsidRPr="002072C3" w:rsidR="00F71898">
        <w:rPr>
          <w:b/>
          <w:bCs/>
        </w:rPr>
        <w:t xml:space="preserve">Het kabinet is </w:t>
      </w:r>
      <w:r w:rsidR="00720C4E">
        <w:rPr>
          <w:b/>
          <w:bCs/>
        </w:rPr>
        <w:t xml:space="preserve">ook </w:t>
      </w:r>
      <w:r w:rsidRPr="002072C3" w:rsidR="00F71898">
        <w:rPr>
          <w:b/>
          <w:bCs/>
        </w:rPr>
        <w:t xml:space="preserve">niet bekend met een situatie waarin </w:t>
      </w:r>
      <w:r>
        <w:rPr>
          <w:b/>
          <w:bCs/>
        </w:rPr>
        <w:t>zich dit heeft voorgedaan</w:t>
      </w:r>
      <w:r w:rsidRPr="002072C3" w:rsidR="00F71898">
        <w:rPr>
          <w:b/>
          <w:bCs/>
        </w:rPr>
        <w:t>.</w:t>
      </w:r>
    </w:p>
    <w:p w:rsidRPr="002072C3" w:rsidR="00D34C50" w:rsidP="00D34C50" w:rsidRDefault="00D34C50" w14:paraId="3E94FC38" w14:textId="77777777">
      <w:pPr>
        <w:rPr>
          <w:b/>
          <w:bCs/>
        </w:rPr>
      </w:pPr>
    </w:p>
    <w:p w:rsidRPr="002072C3" w:rsidR="00806E63" w:rsidP="00D34C50" w:rsidRDefault="00CC1FE1" w14:paraId="756EA02A" w14:textId="6CBC926D">
      <w:pPr>
        <w:rPr>
          <w:b/>
          <w:bCs/>
        </w:rPr>
      </w:pPr>
      <w:r w:rsidRPr="006E7ADA">
        <w:rPr>
          <w:b/>
          <w:bCs/>
        </w:rPr>
        <w:t>D</w:t>
      </w:r>
      <w:r w:rsidRPr="006E7ADA" w:rsidR="00D34C50">
        <w:rPr>
          <w:b/>
          <w:bCs/>
        </w:rPr>
        <w:t xml:space="preserve">e </w:t>
      </w:r>
      <w:r w:rsidRPr="002072C3" w:rsidR="00D34C50">
        <w:rPr>
          <w:b/>
          <w:bCs/>
        </w:rPr>
        <w:t>doctrine, waaronder naast gerechtelijke uitspraken ook vallen de opvattingen van de meest bevoegde schrijvers der verschillende naties, is een subsidiaire bron van het internationaal recht. Dat betekent dat deze bron pas relevantie toekomt in twee gevallen. Ten eerste kan doctrine van belang zijn als er in de eerste drie bronnen (verdragen, gewoonterecht, algemene rechtsbeginselen) geen regel bestaat die een concrete situatie beheerst. Bij ontbreken van een regel</w:t>
      </w:r>
      <w:r>
        <w:rPr>
          <w:b/>
          <w:bCs/>
        </w:rPr>
        <w:t xml:space="preserve"> kunnen</w:t>
      </w:r>
      <w:r w:rsidRPr="002072C3" w:rsidR="00D34C50">
        <w:rPr>
          <w:b/>
          <w:bCs/>
        </w:rPr>
        <w:t xml:space="preserve"> gerechtelijke uitspraken en de </w:t>
      </w:r>
      <w:r w:rsidRPr="002072C3" w:rsidR="00806E63">
        <w:rPr>
          <w:b/>
          <w:bCs/>
        </w:rPr>
        <w:t>opvattingen van de meest bevoegde schrijvers</w:t>
      </w:r>
      <w:r>
        <w:rPr>
          <w:b/>
          <w:bCs/>
        </w:rPr>
        <w:t xml:space="preserve"> geraadpleegd worden</w:t>
      </w:r>
      <w:r w:rsidRPr="002072C3" w:rsidR="00806E63">
        <w:rPr>
          <w:b/>
          <w:bCs/>
        </w:rPr>
        <w:t xml:space="preserve">. Ten tweede kunnen gerechtelijke uitspraken en de opvattingen van de meest bevoegde schrijvers </w:t>
      </w:r>
      <w:r w:rsidR="00B00B6B">
        <w:rPr>
          <w:b/>
          <w:bCs/>
        </w:rPr>
        <w:t>relevant zijn</w:t>
      </w:r>
      <w:r w:rsidRPr="002072C3" w:rsidR="00806E63">
        <w:rPr>
          <w:b/>
          <w:bCs/>
        </w:rPr>
        <w:t xml:space="preserve"> als een bestaande regel nadere toelichting vereist, of om een ogenschijnlijk conflict tussen twee regels op te lossen.</w:t>
      </w:r>
    </w:p>
    <w:p w:rsidRPr="002072C3" w:rsidR="00806E63" w:rsidP="00D34C50" w:rsidRDefault="00806E63" w14:paraId="0DCE4496" w14:textId="77777777">
      <w:pPr>
        <w:rPr>
          <w:b/>
          <w:bCs/>
        </w:rPr>
      </w:pPr>
    </w:p>
    <w:p w:rsidRPr="002072C3" w:rsidR="00806E63" w:rsidP="00D34C50" w:rsidRDefault="00806E63" w14:paraId="6D2D4AE1" w14:textId="7300A668">
      <w:pPr>
        <w:rPr>
          <w:b/>
          <w:bCs/>
        </w:rPr>
      </w:pPr>
      <w:r w:rsidRPr="002072C3">
        <w:rPr>
          <w:b/>
          <w:bCs/>
        </w:rPr>
        <w:t>Het kabinet is</w:t>
      </w:r>
      <w:r w:rsidRPr="002072C3" w:rsidDel="00CC1FE1">
        <w:rPr>
          <w:b/>
          <w:bCs/>
        </w:rPr>
        <w:t xml:space="preserve"> </w:t>
      </w:r>
      <w:r w:rsidRPr="002072C3">
        <w:rPr>
          <w:b/>
          <w:bCs/>
        </w:rPr>
        <w:t>zeer terughoudend met gebruik maken van de subsidiaire bronnen van het internationaal recht. De uitzondering daarop wordt gevormd door uitspraken van het Internationaal Gerechtshof. Deze beschouwt het kabinet als gezaghebbend, en</w:t>
      </w:r>
      <w:r w:rsidRPr="002072C3" w:rsidR="00840162">
        <w:rPr>
          <w:b/>
          <w:bCs/>
        </w:rPr>
        <w:t xml:space="preserve"> in beginsel</w:t>
      </w:r>
      <w:r w:rsidRPr="002072C3" w:rsidDel="00840162">
        <w:rPr>
          <w:b/>
          <w:bCs/>
        </w:rPr>
        <w:t xml:space="preserve"> </w:t>
      </w:r>
      <w:r w:rsidRPr="002072C3">
        <w:rPr>
          <w:b/>
          <w:bCs/>
        </w:rPr>
        <w:t xml:space="preserve">als een weergave van het bestaande internationaal recht. Uitspraken van dit Hof daargelaten zal het kabinet zich niet zo snel laten leiden door de doctrine. Dit is, zoals de </w:t>
      </w:r>
      <w:r w:rsidR="00B00B6B">
        <w:rPr>
          <w:b/>
          <w:bCs/>
        </w:rPr>
        <w:t xml:space="preserve">leden van de </w:t>
      </w:r>
      <w:r w:rsidRPr="002072C3">
        <w:rPr>
          <w:b/>
          <w:bCs/>
        </w:rPr>
        <w:t>SGP</w:t>
      </w:r>
      <w:r w:rsidR="00B00B6B">
        <w:rPr>
          <w:b/>
          <w:bCs/>
        </w:rPr>
        <w:t>-fractie</w:t>
      </w:r>
      <w:r w:rsidRPr="002072C3">
        <w:rPr>
          <w:b/>
          <w:bCs/>
        </w:rPr>
        <w:t xml:space="preserve"> zelf ook al aange</w:t>
      </w:r>
      <w:r w:rsidR="00B00B6B">
        <w:rPr>
          <w:b/>
          <w:bCs/>
        </w:rPr>
        <w:t>ven</w:t>
      </w:r>
      <w:r w:rsidRPr="002072C3">
        <w:rPr>
          <w:b/>
          <w:bCs/>
        </w:rPr>
        <w:t>, onwenselijk omdat er voor elke opvatting een tegenovergestelde opvatting te vinden is. De waarde van de opvatting van een meest bevoegde schrijver is daarmee beperkt.</w:t>
      </w:r>
    </w:p>
    <w:p w:rsidRPr="002072C3" w:rsidR="00806E63" w:rsidP="00D34C50" w:rsidRDefault="00806E63" w14:paraId="462BBF67" w14:textId="77777777">
      <w:pPr>
        <w:rPr>
          <w:b/>
          <w:bCs/>
        </w:rPr>
      </w:pPr>
    </w:p>
    <w:p w:rsidR="00D34C50" w:rsidP="00D34C50" w:rsidRDefault="00806E63" w14:paraId="3BBDB900" w14:textId="1B8AF602">
      <w:pPr>
        <w:rPr>
          <w:b/>
          <w:bCs/>
        </w:rPr>
      </w:pPr>
      <w:r w:rsidRPr="002072C3">
        <w:rPr>
          <w:b/>
          <w:bCs/>
        </w:rPr>
        <w:t>Voor de zorgen over de (te) specifieke invulling van algemene rechtsbeginselen verwijs ik naar mijn antwoord</w:t>
      </w:r>
      <w:r w:rsidR="00132065">
        <w:rPr>
          <w:b/>
          <w:bCs/>
        </w:rPr>
        <w:t xml:space="preserve"> op vraag 4 en vraag 13</w:t>
      </w:r>
      <w:r w:rsidRPr="002072C3">
        <w:rPr>
          <w:b/>
          <w:bCs/>
        </w:rPr>
        <w:t xml:space="preserve">. Het internationaal recht </w:t>
      </w:r>
      <w:r w:rsidR="00A86ED4">
        <w:rPr>
          <w:b/>
          <w:bCs/>
        </w:rPr>
        <w:t>biedt</w:t>
      </w:r>
      <w:r w:rsidRPr="002072C3">
        <w:rPr>
          <w:b/>
          <w:bCs/>
        </w:rPr>
        <w:t xml:space="preserve"> staten een </w:t>
      </w:r>
      <w:r w:rsidRPr="002072C3">
        <w:rPr>
          <w:b/>
          <w:bCs/>
          <w:i/>
          <w:iCs/>
        </w:rPr>
        <w:t>margin of appreciation</w:t>
      </w:r>
      <w:r w:rsidRPr="002072C3">
        <w:rPr>
          <w:b/>
          <w:bCs/>
        </w:rPr>
        <w:t xml:space="preserve"> om </w:t>
      </w:r>
      <w:r w:rsidR="00A86ED4">
        <w:rPr>
          <w:b/>
          <w:bCs/>
        </w:rPr>
        <w:t>een</w:t>
      </w:r>
      <w:r w:rsidRPr="002072C3">
        <w:rPr>
          <w:b/>
          <w:bCs/>
        </w:rPr>
        <w:t xml:space="preserve"> internationale regel te kunnen toepassen op een wijze die past binnen de context van de desbetreffende staat.</w:t>
      </w:r>
      <w:r w:rsidRPr="002072C3" w:rsidR="00D34C50">
        <w:rPr>
          <w:b/>
          <w:bCs/>
        </w:rPr>
        <w:t xml:space="preserve"> </w:t>
      </w:r>
      <w:r w:rsidR="00A86ED4">
        <w:rPr>
          <w:b/>
          <w:bCs/>
        </w:rPr>
        <w:t>Dit geldt in het bijzonder voor de invulling van algemene rechtsbeginselen die inherent minder specifiek zijn dan verdragsbepalingen en regels van internationaal gewoonterecht.</w:t>
      </w:r>
    </w:p>
    <w:p w:rsidRPr="002072C3" w:rsidR="00A70B93" w:rsidP="00D34C50" w:rsidRDefault="00A70B93" w14:paraId="764E95DA" w14:textId="77777777">
      <w:pPr>
        <w:rPr>
          <w:b/>
          <w:bCs/>
        </w:rPr>
      </w:pPr>
    </w:p>
    <w:p w:rsidRPr="000F64F1" w:rsidR="00F35C6A" w:rsidP="00F35C6A" w:rsidRDefault="00F35C6A" w14:paraId="5FB550C4" w14:textId="77777777">
      <w:pPr>
        <w:ind w:firstLine="708"/>
      </w:pPr>
    </w:p>
    <w:p w:rsidRPr="00DD1F78" w:rsidR="00D30FFF" w:rsidP="00D30FFF" w:rsidRDefault="00D30FFF" w14:paraId="49E866CA" w14:textId="77777777">
      <w:pPr>
        <w:rPr>
          <w:b/>
        </w:rPr>
      </w:pPr>
      <w:r w:rsidRPr="00DD1F78">
        <w:rPr>
          <w:b/>
        </w:rPr>
        <w:lastRenderedPageBreak/>
        <w:t>II</w:t>
      </w:r>
      <w:r w:rsidRPr="00DD1F78">
        <w:rPr>
          <w:b/>
        </w:rPr>
        <w:tab/>
        <w:t>Antwoord/ Reactie van de minister</w:t>
      </w:r>
    </w:p>
    <w:p w:rsidRPr="00DD1F78" w:rsidR="00D30FFF" w:rsidP="00D30FFF" w:rsidRDefault="00D30FFF" w14:paraId="73BC4053" w14:textId="77777777">
      <w:pPr>
        <w:rPr>
          <w:b/>
        </w:rPr>
      </w:pPr>
    </w:p>
    <w:p w:rsidRPr="00DD1F78" w:rsidR="00D30FFF" w:rsidP="00D30FFF" w:rsidRDefault="00D30FFF" w14:paraId="17FCB467" w14:textId="77777777">
      <w:pPr>
        <w:rPr>
          <w:b/>
        </w:rPr>
      </w:pPr>
    </w:p>
    <w:p w:rsidRPr="00DD1F78" w:rsidR="00D30FFF" w:rsidP="00D30FFF" w:rsidRDefault="00D30FFF" w14:paraId="54A19DD2" w14:textId="77777777">
      <w:pPr>
        <w:rPr>
          <w:b/>
        </w:rPr>
      </w:pPr>
      <w:r w:rsidRPr="00DD1F78">
        <w:rPr>
          <w:b/>
        </w:rPr>
        <w:t>III</w:t>
      </w:r>
      <w:r w:rsidRPr="00DD1F78">
        <w:rPr>
          <w:b/>
        </w:rPr>
        <w:tab/>
        <w:t>Volledige agenda</w:t>
      </w:r>
    </w:p>
    <w:p w:rsidRPr="00246F01" w:rsidR="005E4DF3" w:rsidP="00246F01" w:rsidRDefault="00D30FFF" w14:paraId="5730694A" w14:textId="77777777">
      <w:pPr>
        <w:rPr>
          <w:bCs/>
        </w:rPr>
      </w:pPr>
      <w:r w:rsidRPr="00DD1F78">
        <w:rPr>
          <w:b/>
        </w:rPr>
        <w:br/>
      </w:r>
      <w:r w:rsidR="00246F01">
        <w:rPr>
          <w:b/>
        </w:rPr>
        <w:t xml:space="preserve">- </w:t>
      </w:r>
      <w:r w:rsidR="00246F01">
        <w:rPr>
          <w:bCs/>
        </w:rPr>
        <w:t>Brief van de minister van Buitenlandse Zaken over de kabinetsreactie op advies n</w:t>
      </w:r>
      <w:r w:rsidR="001A6F04">
        <w:rPr>
          <w:bCs/>
        </w:rPr>
        <w:t>ummer</w:t>
      </w:r>
      <w:r w:rsidR="00246F01">
        <w:rPr>
          <w:bCs/>
        </w:rPr>
        <w:t xml:space="preserve"> 46 van de Commissie </w:t>
      </w:r>
      <w:r w:rsidR="00246F01">
        <w:t>van advies inzake volkenrechtelijke vraagstukken (CAVV) over de ontwerpconclusies van de International Law Commission inzake algemene rechtsbeginselen (3</w:t>
      </w:r>
      <w:r w:rsidR="002F6691">
        <w:t>6</w:t>
      </w:r>
      <w:r w:rsidR="00246F01">
        <w:t xml:space="preserve"> 600-V, </w:t>
      </w:r>
      <w:proofErr w:type="spellStart"/>
      <w:r w:rsidR="00246F01">
        <w:t>nr</w:t>
      </w:r>
      <w:proofErr w:type="spellEnd"/>
      <w:r w:rsidR="00246F01">
        <w:t xml:space="preserve"> 59)</w:t>
      </w:r>
    </w:p>
    <w:p w:rsidRPr="00DD1F78" w:rsidR="00D30FFF" w:rsidP="00D30FFF" w:rsidRDefault="00D30FFF" w14:paraId="77441A37" w14:textId="77777777">
      <w:pPr>
        <w:rPr>
          <w:b/>
        </w:rPr>
      </w:pPr>
    </w:p>
    <w:sectPr w:rsidRPr="00DD1F78" w:rsidR="00D30FFF" w:rsidSect="00FC6343">
      <w:footerReference w:type="default" r:id="rId1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2F2D" w14:textId="77777777" w:rsidR="00122198" w:rsidRDefault="00122198" w:rsidP="00441AE3">
      <w:r>
        <w:separator/>
      </w:r>
    </w:p>
  </w:endnote>
  <w:endnote w:type="continuationSeparator" w:id="0">
    <w:p w14:paraId="6146A6D2" w14:textId="77777777" w:rsidR="00122198" w:rsidRDefault="00122198" w:rsidP="00441AE3">
      <w:r>
        <w:continuationSeparator/>
      </w:r>
    </w:p>
  </w:endnote>
  <w:endnote w:type="continuationNotice" w:id="1">
    <w:p w14:paraId="73382E52" w14:textId="77777777" w:rsidR="00122198" w:rsidRDefault="0012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1904"/>
      <w:docPartObj>
        <w:docPartGallery w:val="Page Numbers (Bottom of Page)"/>
        <w:docPartUnique/>
      </w:docPartObj>
    </w:sdtPr>
    <w:sdtContent>
      <w:p w14:paraId="1FA9B7DA" w14:textId="48B26C19" w:rsidR="007A701B" w:rsidRDefault="007A701B">
        <w:pPr>
          <w:pStyle w:val="Footer"/>
          <w:jc w:val="center"/>
        </w:pPr>
        <w:r>
          <w:fldChar w:fldCharType="begin"/>
        </w:r>
        <w:r>
          <w:instrText>PAGE   \* MERGEFORMAT</w:instrText>
        </w:r>
        <w:r>
          <w:fldChar w:fldCharType="separate"/>
        </w:r>
        <w:r>
          <w:t>2</w:t>
        </w:r>
        <w:r>
          <w:fldChar w:fldCharType="end"/>
        </w:r>
      </w:p>
    </w:sdtContent>
  </w:sdt>
  <w:p w14:paraId="0E4AAA9B" w14:textId="77777777" w:rsidR="007A701B" w:rsidRDefault="007A7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D461" w14:textId="77777777" w:rsidR="00122198" w:rsidRDefault="00122198" w:rsidP="00441AE3">
      <w:r>
        <w:separator/>
      </w:r>
    </w:p>
  </w:footnote>
  <w:footnote w:type="continuationSeparator" w:id="0">
    <w:p w14:paraId="51A12225" w14:textId="77777777" w:rsidR="00122198" w:rsidRDefault="00122198" w:rsidP="00441AE3">
      <w:r>
        <w:continuationSeparator/>
      </w:r>
    </w:p>
  </w:footnote>
  <w:footnote w:type="continuationNotice" w:id="1">
    <w:p w14:paraId="1B52F170" w14:textId="77777777" w:rsidR="00122198" w:rsidRDefault="00122198"/>
  </w:footnote>
  <w:footnote w:id="2">
    <w:p w14:paraId="553DB82A" w14:textId="47E89EE4" w:rsidR="003C58B9" w:rsidRPr="00EF23AD" w:rsidRDefault="003C58B9">
      <w:pPr>
        <w:pStyle w:val="FootnoteText"/>
        <w:rPr>
          <w:rFonts w:ascii="Times New Roman" w:hAnsi="Times New Roman"/>
          <w:lang w:val="en-US"/>
        </w:rPr>
      </w:pPr>
      <w:r w:rsidRPr="00EF23AD">
        <w:rPr>
          <w:rStyle w:val="FootnoteReference"/>
          <w:rFonts w:ascii="Times New Roman" w:hAnsi="Times New Roman"/>
        </w:rPr>
        <w:footnoteRef/>
      </w:r>
      <w:r w:rsidRPr="00EF23AD">
        <w:rPr>
          <w:rFonts w:ascii="Times New Roman" w:hAnsi="Times New Roman"/>
          <w:lang w:val="en-US"/>
        </w:rPr>
        <w:t xml:space="preserve"> ILC Draft conclusions on identification of customary international law, with commentaries,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0CD"/>
    <w:multiLevelType w:val="hybridMultilevel"/>
    <w:tmpl w:val="1498922C"/>
    <w:lvl w:ilvl="0" w:tplc="F9E688D6">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4460CB"/>
    <w:multiLevelType w:val="hybridMultilevel"/>
    <w:tmpl w:val="B678C9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3D38F9"/>
    <w:multiLevelType w:val="hybridMultilevel"/>
    <w:tmpl w:val="107A9C88"/>
    <w:lvl w:ilvl="0" w:tplc="96C812B6">
      <w:numFmt w:val="bullet"/>
      <w:lvlText w:val="-"/>
      <w:lvlJc w:val="left"/>
      <w:pPr>
        <w:ind w:left="720" w:hanging="360"/>
      </w:pPr>
      <w:rPr>
        <w:rFonts w:ascii="AppleSystemUIFont" w:eastAsia="Aptos" w:hAnsi="AppleSystemUIFont" w:cs="AppleSystemUIFo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5"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20CC3"/>
    <w:multiLevelType w:val="hybridMultilevel"/>
    <w:tmpl w:val="D21C35E2"/>
    <w:lvl w:ilvl="0" w:tplc="01DEF34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55544"/>
    <w:multiLevelType w:val="hybridMultilevel"/>
    <w:tmpl w:val="BD2A7D36"/>
    <w:lvl w:ilvl="0" w:tplc="E1760C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3545173">
    <w:abstractNumId w:val="32"/>
  </w:num>
  <w:num w:numId="2" w16cid:durableId="672145063">
    <w:abstractNumId w:val="18"/>
  </w:num>
  <w:num w:numId="3" w16cid:durableId="909731582">
    <w:abstractNumId w:val="17"/>
  </w:num>
  <w:num w:numId="4" w16cid:durableId="2041776385">
    <w:abstractNumId w:val="1"/>
  </w:num>
  <w:num w:numId="5" w16cid:durableId="673072329">
    <w:abstractNumId w:val="25"/>
  </w:num>
  <w:num w:numId="6" w16cid:durableId="444350795">
    <w:abstractNumId w:val="29"/>
  </w:num>
  <w:num w:numId="7" w16cid:durableId="716587345">
    <w:abstractNumId w:val="22"/>
  </w:num>
  <w:num w:numId="8" w16cid:durableId="350229466">
    <w:abstractNumId w:val="2"/>
  </w:num>
  <w:num w:numId="9" w16cid:durableId="1076896484">
    <w:abstractNumId w:val="6"/>
  </w:num>
  <w:num w:numId="10" w16cid:durableId="1341547679">
    <w:abstractNumId w:val="26"/>
  </w:num>
  <w:num w:numId="11" w16cid:durableId="2094399934">
    <w:abstractNumId w:val="11"/>
  </w:num>
  <w:num w:numId="12" w16cid:durableId="326439766">
    <w:abstractNumId w:val="16"/>
  </w:num>
  <w:num w:numId="13" w16cid:durableId="199976604">
    <w:abstractNumId w:val="4"/>
  </w:num>
  <w:num w:numId="14" w16cid:durableId="1059476168">
    <w:abstractNumId w:val="34"/>
  </w:num>
  <w:num w:numId="15" w16cid:durableId="2040932655">
    <w:abstractNumId w:val="8"/>
  </w:num>
  <w:num w:numId="16" w16cid:durableId="757143560">
    <w:abstractNumId w:val="28"/>
  </w:num>
  <w:num w:numId="17" w16cid:durableId="791361157">
    <w:abstractNumId w:val="20"/>
  </w:num>
  <w:num w:numId="18" w16cid:durableId="1036468685">
    <w:abstractNumId w:val="21"/>
  </w:num>
  <w:num w:numId="19" w16cid:durableId="140969044">
    <w:abstractNumId w:val="10"/>
  </w:num>
  <w:num w:numId="20" w16cid:durableId="984161966">
    <w:abstractNumId w:val="9"/>
  </w:num>
  <w:num w:numId="21" w16cid:durableId="583074559">
    <w:abstractNumId w:val="31"/>
  </w:num>
  <w:num w:numId="22" w16cid:durableId="773985104">
    <w:abstractNumId w:val="27"/>
  </w:num>
  <w:num w:numId="23" w16cid:durableId="564681456">
    <w:abstractNumId w:val="7"/>
  </w:num>
  <w:num w:numId="24" w16cid:durableId="18063138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8047881">
    <w:abstractNumId w:val="19"/>
  </w:num>
  <w:num w:numId="26" w16cid:durableId="2079014510">
    <w:abstractNumId w:val="14"/>
  </w:num>
  <w:num w:numId="27" w16cid:durableId="1297757671">
    <w:abstractNumId w:val="5"/>
  </w:num>
  <w:num w:numId="28" w16cid:durableId="380902679">
    <w:abstractNumId w:val="3"/>
  </w:num>
  <w:num w:numId="29" w16cid:durableId="673343137">
    <w:abstractNumId w:val="24"/>
  </w:num>
  <w:num w:numId="30" w16cid:durableId="116796069">
    <w:abstractNumId w:val="33"/>
  </w:num>
  <w:num w:numId="31" w16cid:durableId="1107966967">
    <w:abstractNumId w:val="30"/>
  </w:num>
  <w:num w:numId="32" w16cid:durableId="1117411593">
    <w:abstractNumId w:val="15"/>
  </w:num>
  <w:num w:numId="33" w16cid:durableId="2062051732">
    <w:abstractNumId w:val="13"/>
  </w:num>
  <w:num w:numId="34" w16cid:durableId="304167689">
    <w:abstractNumId w:val="23"/>
  </w:num>
  <w:num w:numId="35" w16cid:durableId="1763868326">
    <w:abstractNumId w:val="35"/>
  </w:num>
  <w:num w:numId="36" w16cid:durableId="668875212">
    <w:abstractNumId w:val="0"/>
  </w:num>
  <w:num w:numId="37" w16cid:durableId="443505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4C77"/>
    <w:rsid w:val="00005B69"/>
    <w:rsid w:val="00010C9E"/>
    <w:rsid w:val="00013FAE"/>
    <w:rsid w:val="00020094"/>
    <w:rsid w:val="000211CB"/>
    <w:rsid w:val="000226A6"/>
    <w:rsid w:val="00026C73"/>
    <w:rsid w:val="00030DF0"/>
    <w:rsid w:val="00037927"/>
    <w:rsid w:val="00040CE7"/>
    <w:rsid w:val="00043C00"/>
    <w:rsid w:val="00050081"/>
    <w:rsid w:val="00050B5B"/>
    <w:rsid w:val="00053106"/>
    <w:rsid w:val="000535F5"/>
    <w:rsid w:val="000543FF"/>
    <w:rsid w:val="00056E5D"/>
    <w:rsid w:val="000621E0"/>
    <w:rsid w:val="00063D0D"/>
    <w:rsid w:val="00077382"/>
    <w:rsid w:val="00086122"/>
    <w:rsid w:val="00086469"/>
    <w:rsid w:val="00086B19"/>
    <w:rsid w:val="0008732D"/>
    <w:rsid w:val="000902DC"/>
    <w:rsid w:val="000944AD"/>
    <w:rsid w:val="00094E27"/>
    <w:rsid w:val="000951AB"/>
    <w:rsid w:val="00097186"/>
    <w:rsid w:val="000A0F98"/>
    <w:rsid w:val="000A15DF"/>
    <w:rsid w:val="000A2736"/>
    <w:rsid w:val="000A2763"/>
    <w:rsid w:val="000A4064"/>
    <w:rsid w:val="000C1A9A"/>
    <w:rsid w:val="000C384A"/>
    <w:rsid w:val="000C4A88"/>
    <w:rsid w:val="000C6C8C"/>
    <w:rsid w:val="000D6313"/>
    <w:rsid w:val="000D7FA7"/>
    <w:rsid w:val="000E010B"/>
    <w:rsid w:val="000E1533"/>
    <w:rsid w:val="000E248A"/>
    <w:rsid w:val="000E578D"/>
    <w:rsid w:val="000E6010"/>
    <w:rsid w:val="000F56F5"/>
    <w:rsid w:val="000F697F"/>
    <w:rsid w:val="000F7012"/>
    <w:rsid w:val="000F75A5"/>
    <w:rsid w:val="00100B07"/>
    <w:rsid w:val="0010299E"/>
    <w:rsid w:val="00103CC4"/>
    <w:rsid w:val="00104AD9"/>
    <w:rsid w:val="00105DBE"/>
    <w:rsid w:val="00105E63"/>
    <w:rsid w:val="0011477D"/>
    <w:rsid w:val="00115F4A"/>
    <w:rsid w:val="001170E5"/>
    <w:rsid w:val="001179D8"/>
    <w:rsid w:val="00122198"/>
    <w:rsid w:val="00124CA6"/>
    <w:rsid w:val="00125288"/>
    <w:rsid w:val="00126FB7"/>
    <w:rsid w:val="00127760"/>
    <w:rsid w:val="00131E1E"/>
    <w:rsid w:val="00132065"/>
    <w:rsid w:val="001371A6"/>
    <w:rsid w:val="001375FA"/>
    <w:rsid w:val="00140113"/>
    <w:rsid w:val="00140EAC"/>
    <w:rsid w:val="00141442"/>
    <w:rsid w:val="001415AB"/>
    <w:rsid w:val="00141C46"/>
    <w:rsid w:val="00142BD6"/>
    <w:rsid w:val="00143EA2"/>
    <w:rsid w:val="0014434D"/>
    <w:rsid w:val="0014467C"/>
    <w:rsid w:val="0014549B"/>
    <w:rsid w:val="00147038"/>
    <w:rsid w:val="00147629"/>
    <w:rsid w:val="0014781D"/>
    <w:rsid w:val="00153DA7"/>
    <w:rsid w:val="001544E4"/>
    <w:rsid w:val="00160598"/>
    <w:rsid w:val="00160D42"/>
    <w:rsid w:val="001628D0"/>
    <w:rsid w:val="0016457B"/>
    <w:rsid w:val="00170A9E"/>
    <w:rsid w:val="00180F04"/>
    <w:rsid w:val="00183F4B"/>
    <w:rsid w:val="00186798"/>
    <w:rsid w:val="001921A4"/>
    <w:rsid w:val="001947B7"/>
    <w:rsid w:val="00195627"/>
    <w:rsid w:val="001A36F1"/>
    <w:rsid w:val="001A6EB7"/>
    <w:rsid w:val="001A6F04"/>
    <w:rsid w:val="001A7C40"/>
    <w:rsid w:val="001B0E04"/>
    <w:rsid w:val="001B0F67"/>
    <w:rsid w:val="001B1496"/>
    <w:rsid w:val="001B435F"/>
    <w:rsid w:val="001C203B"/>
    <w:rsid w:val="001C2146"/>
    <w:rsid w:val="001C297D"/>
    <w:rsid w:val="001C30B7"/>
    <w:rsid w:val="001C659F"/>
    <w:rsid w:val="001D4D1A"/>
    <w:rsid w:val="001D5AB7"/>
    <w:rsid w:val="001D6287"/>
    <w:rsid w:val="001E26FE"/>
    <w:rsid w:val="001E3AE1"/>
    <w:rsid w:val="001F06F3"/>
    <w:rsid w:val="001F1E99"/>
    <w:rsid w:val="001F4524"/>
    <w:rsid w:val="00201E1A"/>
    <w:rsid w:val="002072C3"/>
    <w:rsid w:val="0021005B"/>
    <w:rsid w:val="002114FB"/>
    <w:rsid w:val="00214092"/>
    <w:rsid w:val="00220B2F"/>
    <w:rsid w:val="00223C21"/>
    <w:rsid w:val="00223DFB"/>
    <w:rsid w:val="00224B83"/>
    <w:rsid w:val="00226C6E"/>
    <w:rsid w:val="0022733D"/>
    <w:rsid w:val="00237DA7"/>
    <w:rsid w:val="00240545"/>
    <w:rsid w:val="00241B0E"/>
    <w:rsid w:val="0024558C"/>
    <w:rsid w:val="00246218"/>
    <w:rsid w:val="00246F01"/>
    <w:rsid w:val="002502BD"/>
    <w:rsid w:val="0025159B"/>
    <w:rsid w:val="00251B13"/>
    <w:rsid w:val="002522A4"/>
    <w:rsid w:val="00261E15"/>
    <w:rsid w:val="00263A68"/>
    <w:rsid w:val="00272C7B"/>
    <w:rsid w:val="00277472"/>
    <w:rsid w:val="00280EBE"/>
    <w:rsid w:val="00282DEF"/>
    <w:rsid w:val="002847AC"/>
    <w:rsid w:val="002850B9"/>
    <w:rsid w:val="00294F0B"/>
    <w:rsid w:val="0029522E"/>
    <w:rsid w:val="002979A6"/>
    <w:rsid w:val="002A0AEA"/>
    <w:rsid w:val="002B2BC7"/>
    <w:rsid w:val="002B3F2D"/>
    <w:rsid w:val="002B5F93"/>
    <w:rsid w:val="002B7EB1"/>
    <w:rsid w:val="002C477B"/>
    <w:rsid w:val="002C4FAF"/>
    <w:rsid w:val="002C58F3"/>
    <w:rsid w:val="002C5DA8"/>
    <w:rsid w:val="002C6143"/>
    <w:rsid w:val="002C7071"/>
    <w:rsid w:val="002D1721"/>
    <w:rsid w:val="002D3571"/>
    <w:rsid w:val="002D56BB"/>
    <w:rsid w:val="002E2DE0"/>
    <w:rsid w:val="002E39F5"/>
    <w:rsid w:val="002E442C"/>
    <w:rsid w:val="002E732A"/>
    <w:rsid w:val="002F0DB3"/>
    <w:rsid w:val="002F32C6"/>
    <w:rsid w:val="002F3BE9"/>
    <w:rsid w:val="002F5360"/>
    <w:rsid w:val="002F6691"/>
    <w:rsid w:val="00304E0B"/>
    <w:rsid w:val="0030556F"/>
    <w:rsid w:val="00305FB4"/>
    <w:rsid w:val="0031380E"/>
    <w:rsid w:val="00313F7D"/>
    <w:rsid w:val="003146C7"/>
    <w:rsid w:val="00320F0D"/>
    <w:rsid w:val="00326DF5"/>
    <w:rsid w:val="00330872"/>
    <w:rsid w:val="003320C4"/>
    <w:rsid w:val="00332A8A"/>
    <w:rsid w:val="00334A0D"/>
    <w:rsid w:val="0033707A"/>
    <w:rsid w:val="003432C6"/>
    <w:rsid w:val="00343DBD"/>
    <w:rsid w:val="00356C65"/>
    <w:rsid w:val="0036177B"/>
    <w:rsid w:val="00361AA8"/>
    <w:rsid w:val="00362C65"/>
    <w:rsid w:val="00363ECA"/>
    <w:rsid w:val="00364612"/>
    <w:rsid w:val="003648DE"/>
    <w:rsid w:val="00364929"/>
    <w:rsid w:val="003679E8"/>
    <w:rsid w:val="003716DE"/>
    <w:rsid w:val="003742E5"/>
    <w:rsid w:val="00374D22"/>
    <w:rsid w:val="00374E06"/>
    <w:rsid w:val="00376B15"/>
    <w:rsid w:val="00376E0C"/>
    <w:rsid w:val="003774EC"/>
    <w:rsid w:val="00380E8E"/>
    <w:rsid w:val="0038107D"/>
    <w:rsid w:val="00393559"/>
    <w:rsid w:val="003942B2"/>
    <w:rsid w:val="003A0E77"/>
    <w:rsid w:val="003A16E6"/>
    <w:rsid w:val="003A3A89"/>
    <w:rsid w:val="003A3D7B"/>
    <w:rsid w:val="003A46CB"/>
    <w:rsid w:val="003A4FE6"/>
    <w:rsid w:val="003B0C1B"/>
    <w:rsid w:val="003B588F"/>
    <w:rsid w:val="003B6AF2"/>
    <w:rsid w:val="003B6CAA"/>
    <w:rsid w:val="003B7C6D"/>
    <w:rsid w:val="003C4275"/>
    <w:rsid w:val="003C44CE"/>
    <w:rsid w:val="003C509E"/>
    <w:rsid w:val="003C58B9"/>
    <w:rsid w:val="003C5BC0"/>
    <w:rsid w:val="003C62F3"/>
    <w:rsid w:val="003D10F1"/>
    <w:rsid w:val="003D12F0"/>
    <w:rsid w:val="003D1BCA"/>
    <w:rsid w:val="003D1E8E"/>
    <w:rsid w:val="003D32A8"/>
    <w:rsid w:val="003D5D40"/>
    <w:rsid w:val="003D5F60"/>
    <w:rsid w:val="003E4A63"/>
    <w:rsid w:val="003E791A"/>
    <w:rsid w:val="003F4FC1"/>
    <w:rsid w:val="00401EBA"/>
    <w:rsid w:val="00402977"/>
    <w:rsid w:val="00405C96"/>
    <w:rsid w:val="0040658A"/>
    <w:rsid w:val="00413F4C"/>
    <w:rsid w:val="004166A1"/>
    <w:rsid w:val="00416CE7"/>
    <w:rsid w:val="004173C9"/>
    <w:rsid w:val="004210E3"/>
    <w:rsid w:val="00427510"/>
    <w:rsid w:val="00434233"/>
    <w:rsid w:val="0043525E"/>
    <w:rsid w:val="00435D39"/>
    <w:rsid w:val="004362D3"/>
    <w:rsid w:val="004407E3"/>
    <w:rsid w:val="00441AE3"/>
    <w:rsid w:val="00441C24"/>
    <w:rsid w:val="00444394"/>
    <w:rsid w:val="00445582"/>
    <w:rsid w:val="0044685B"/>
    <w:rsid w:val="004508C0"/>
    <w:rsid w:val="00453A50"/>
    <w:rsid w:val="004553E2"/>
    <w:rsid w:val="004556ED"/>
    <w:rsid w:val="00460346"/>
    <w:rsid w:val="00462A8A"/>
    <w:rsid w:val="00465E1C"/>
    <w:rsid w:val="00466CB7"/>
    <w:rsid w:val="0047090C"/>
    <w:rsid w:val="00474198"/>
    <w:rsid w:val="004803CA"/>
    <w:rsid w:val="00486B16"/>
    <w:rsid w:val="004930FF"/>
    <w:rsid w:val="00494899"/>
    <w:rsid w:val="004951AD"/>
    <w:rsid w:val="004A4B2E"/>
    <w:rsid w:val="004B014B"/>
    <w:rsid w:val="004B202C"/>
    <w:rsid w:val="004B5F2F"/>
    <w:rsid w:val="004C09C0"/>
    <w:rsid w:val="004C526B"/>
    <w:rsid w:val="004C5C68"/>
    <w:rsid w:val="004C7595"/>
    <w:rsid w:val="004D1E66"/>
    <w:rsid w:val="004D4DA9"/>
    <w:rsid w:val="004D559F"/>
    <w:rsid w:val="004D5E72"/>
    <w:rsid w:val="004D6619"/>
    <w:rsid w:val="004E1F30"/>
    <w:rsid w:val="004E20BA"/>
    <w:rsid w:val="004E44F4"/>
    <w:rsid w:val="004E4CDB"/>
    <w:rsid w:val="004E4EBF"/>
    <w:rsid w:val="004E7E7A"/>
    <w:rsid w:val="004F1718"/>
    <w:rsid w:val="004F33B6"/>
    <w:rsid w:val="005031EC"/>
    <w:rsid w:val="00510755"/>
    <w:rsid w:val="005109FF"/>
    <w:rsid w:val="00511F00"/>
    <w:rsid w:val="005139E4"/>
    <w:rsid w:val="0052535C"/>
    <w:rsid w:val="00533DB0"/>
    <w:rsid w:val="00534A8C"/>
    <w:rsid w:val="00535ABD"/>
    <w:rsid w:val="00535D17"/>
    <w:rsid w:val="00536C7C"/>
    <w:rsid w:val="00542CA0"/>
    <w:rsid w:val="00546F36"/>
    <w:rsid w:val="005472D5"/>
    <w:rsid w:val="00553BC1"/>
    <w:rsid w:val="00556103"/>
    <w:rsid w:val="005700A1"/>
    <w:rsid w:val="00572072"/>
    <w:rsid w:val="0057720F"/>
    <w:rsid w:val="00577AE3"/>
    <w:rsid w:val="00585B18"/>
    <w:rsid w:val="005866D6"/>
    <w:rsid w:val="005946E4"/>
    <w:rsid w:val="00594A00"/>
    <w:rsid w:val="00594EB4"/>
    <w:rsid w:val="0059631B"/>
    <w:rsid w:val="005A4F3D"/>
    <w:rsid w:val="005A789E"/>
    <w:rsid w:val="005A7EB5"/>
    <w:rsid w:val="005B6FE3"/>
    <w:rsid w:val="005C12EB"/>
    <w:rsid w:val="005C5D7C"/>
    <w:rsid w:val="005C7378"/>
    <w:rsid w:val="005D4506"/>
    <w:rsid w:val="005D4761"/>
    <w:rsid w:val="005E092E"/>
    <w:rsid w:val="005E27AD"/>
    <w:rsid w:val="005E35FF"/>
    <w:rsid w:val="005E4DF3"/>
    <w:rsid w:val="005E4FFA"/>
    <w:rsid w:val="005F13E0"/>
    <w:rsid w:val="005F2072"/>
    <w:rsid w:val="005F34B5"/>
    <w:rsid w:val="005F49B5"/>
    <w:rsid w:val="005F639A"/>
    <w:rsid w:val="00600F55"/>
    <w:rsid w:val="00603800"/>
    <w:rsid w:val="00603E86"/>
    <w:rsid w:val="0060709E"/>
    <w:rsid w:val="006072B1"/>
    <w:rsid w:val="006073CB"/>
    <w:rsid w:val="00614C05"/>
    <w:rsid w:val="00616427"/>
    <w:rsid w:val="006219E2"/>
    <w:rsid w:val="0062468C"/>
    <w:rsid w:val="006250C2"/>
    <w:rsid w:val="00625990"/>
    <w:rsid w:val="00625DFE"/>
    <w:rsid w:val="0062685A"/>
    <w:rsid w:val="00630177"/>
    <w:rsid w:val="006325B9"/>
    <w:rsid w:val="00633EFA"/>
    <w:rsid w:val="00634460"/>
    <w:rsid w:val="006345CA"/>
    <w:rsid w:val="00636FA1"/>
    <w:rsid w:val="00637174"/>
    <w:rsid w:val="00637818"/>
    <w:rsid w:val="00642339"/>
    <w:rsid w:val="00645EF9"/>
    <w:rsid w:val="00651928"/>
    <w:rsid w:val="00654303"/>
    <w:rsid w:val="00654821"/>
    <w:rsid w:val="006559C9"/>
    <w:rsid w:val="00657613"/>
    <w:rsid w:val="0066045C"/>
    <w:rsid w:val="00673CB5"/>
    <w:rsid w:val="006775C2"/>
    <w:rsid w:val="0068112D"/>
    <w:rsid w:val="00681DE2"/>
    <w:rsid w:val="00682065"/>
    <w:rsid w:val="006825CF"/>
    <w:rsid w:val="0068627C"/>
    <w:rsid w:val="00687CE5"/>
    <w:rsid w:val="00691791"/>
    <w:rsid w:val="00691E1D"/>
    <w:rsid w:val="006921A9"/>
    <w:rsid w:val="006929DE"/>
    <w:rsid w:val="00693C3D"/>
    <w:rsid w:val="00694A4E"/>
    <w:rsid w:val="0069659E"/>
    <w:rsid w:val="006A1674"/>
    <w:rsid w:val="006A3286"/>
    <w:rsid w:val="006A3CF4"/>
    <w:rsid w:val="006A4D54"/>
    <w:rsid w:val="006A51F4"/>
    <w:rsid w:val="006A5E1C"/>
    <w:rsid w:val="006B4B20"/>
    <w:rsid w:val="006B6C93"/>
    <w:rsid w:val="006C149F"/>
    <w:rsid w:val="006C2469"/>
    <w:rsid w:val="006C3783"/>
    <w:rsid w:val="006C3A89"/>
    <w:rsid w:val="006C44AD"/>
    <w:rsid w:val="006D2EBC"/>
    <w:rsid w:val="006D7B6E"/>
    <w:rsid w:val="006E0221"/>
    <w:rsid w:val="006E1385"/>
    <w:rsid w:val="006E2058"/>
    <w:rsid w:val="006E5865"/>
    <w:rsid w:val="006E7ADA"/>
    <w:rsid w:val="006F079F"/>
    <w:rsid w:val="006F294E"/>
    <w:rsid w:val="00703432"/>
    <w:rsid w:val="00704652"/>
    <w:rsid w:val="00706658"/>
    <w:rsid w:val="0070733C"/>
    <w:rsid w:val="0071109B"/>
    <w:rsid w:val="00715AD0"/>
    <w:rsid w:val="007164FA"/>
    <w:rsid w:val="007203C9"/>
    <w:rsid w:val="00720C4E"/>
    <w:rsid w:val="007216FA"/>
    <w:rsid w:val="00725926"/>
    <w:rsid w:val="0072718C"/>
    <w:rsid w:val="0072786C"/>
    <w:rsid w:val="00730457"/>
    <w:rsid w:val="00731891"/>
    <w:rsid w:val="00734ADF"/>
    <w:rsid w:val="007443C0"/>
    <w:rsid w:val="00745847"/>
    <w:rsid w:val="00747AD6"/>
    <w:rsid w:val="00755AC6"/>
    <w:rsid w:val="00757785"/>
    <w:rsid w:val="0076326F"/>
    <w:rsid w:val="007711B9"/>
    <w:rsid w:val="007721E0"/>
    <w:rsid w:val="00773D62"/>
    <w:rsid w:val="00776201"/>
    <w:rsid w:val="007879D6"/>
    <w:rsid w:val="00787CEC"/>
    <w:rsid w:val="007911DB"/>
    <w:rsid w:val="0079120D"/>
    <w:rsid w:val="0079166D"/>
    <w:rsid w:val="007976C2"/>
    <w:rsid w:val="007A09F0"/>
    <w:rsid w:val="007A21CE"/>
    <w:rsid w:val="007A2F6F"/>
    <w:rsid w:val="007A385E"/>
    <w:rsid w:val="007A4D46"/>
    <w:rsid w:val="007A701B"/>
    <w:rsid w:val="007B3517"/>
    <w:rsid w:val="007B50E5"/>
    <w:rsid w:val="007B7266"/>
    <w:rsid w:val="007C067E"/>
    <w:rsid w:val="007C3E69"/>
    <w:rsid w:val="007D014C"/>
    <w:rsid w:val="007D187A"/>
    <w:rsid w:val="007D2E5D"/>
    <w:rsid w:val="007D4B18"/>
    <w:rsid w:val="007D737D"/>
    <w:rsid w:val="007D7693"/>
    <w:rsid w:val="007E042F"/>
    <w:rsid w:val="007E0461"/>
    <w:rsid w:val="007E0BFE"/>
    <w:rsid w:val="007F19CD"/>
    <w:rsid w:val="007F687C"/>
    <w:rsid w:val="00800089"/>
    <w:rsid w:val="008004D9"/>
    <w:rsid w:val="008013F3"/>
    <w:rsid w:val="0080649D"/>
    <w:rsid w:val="00806E63"/>
    <w:rsid w:val="00807DD9"/>
    <w:rsid w:val="008133C5"/>
    <w:rsid w:val="00814EAA"/>
    <w:rsid w:val="00821F74"/>
    <w:rsid w:val="00824A7F"/>
    <w:rsid w:val="00825373"/>
    <w:rsid w:val="008274C9"/>
    <w:rsid w:val="00831948"/>
    <w:rsid w:val="008325D4"/>
    <w:rsid w:val="00840162"/>
    <w:rsid w:val="00843991"/>
    <w:rsid w:val="00845CA5"/>
    <w:rsid w:val="00850461"/>
    <w:rsid w:val="0085092F"/>
    <w:rsid w:val="00850BFD"/>
    <w:rsid w:val="00851042"/>
    <w:rsid w:val="00852169"/>
    <w:rsid w:val="00856573"/>
    <w:rsid w:val="00857355"/>
    <w:rsid w:val="00862711"/>
    <w:rsid w:val="00863FFF"/>
    <w:rsid w:val="008648B3"/>
    <w:rsid w:val="00866A6D"/>
    <w:rsid w:val="0086759F"/>
    <w:rsid w:val="00871CF1"/>
    <w:rsid w:val="00876FEE"/>
    <w:rsid w:val="00881D34"/>
    <w:rsid w:val="008826ED"/>
    <w:rsid w:val="00885700"/>
    <w:rsid w:val="00885EA7"/>
    <w:rsid w:val="00890208"/>
    <w:rsid w:val="00896B3C"/>
    <w:rsid w:val="008A1EF6"/>
    <w:rsid w:val="008A36F8"/>
    <w:rsid w:val="008B339B"/>
    <w:rsid w:val="008B3827"/>
    <w:rsid w:val="008B3F88"/>
    <w:rsid w:val="008B7B9C"/>
    <w:rsid w:val="008C4AAA"/>
    <w:rsid w:val="008D07A1"/>
    <w:rsid w:val="008D3339"/>
    <w:rsid w:val="008D747C"/>
    <w:rsid w:val="008D7FD6"/>
    <w:rsid w:val="008E1ED2"/>
    <w:rsid w:val="008F2348"/>
    <w:rsid w:val="008F2F80"/>
    <w:rsid w:val="008F3937"/>
    <w:rsid w:val="008F54BA"/>
    <w:rsid w:val="00900F98"/>
    <w:rsid w:val="00904E46"/>
    <w:rsid w:val="00906B58"/>
    <w:rsid w:val="00907824"/>
    <w:rsid w:val="00911A79"/>
    <w:rsid w:val="009148F1"/>
    <w:rsid w:val="00922766"/>
    <w:rsid w:val="009248D4"/>
    <w:rsid w:val="009251B5"/>
    <w:rsid w:val="0092633C"/>
    <w:rsid w:val="00926F86"/>
    <w:rsid w:val="009313C8"/>
    <w:rsid w:val="00932E9A"/>
    <w:rsid w:val="00935A90"/>
    <w:rsid w:val="00935BC5"/>
    <w:rsid w:val="009364B1"/>
    <w:rsid w:val="00940CF9"/>
    <w:rsid w:val="009441C4"/>
    <w:rsid w:val="00944BC3"/>
    <w:rsid w:val="00950B6C"/>
    <w:rsid w:val="00953070"/>
    <w:rsid w:val="00955242"/>
    <w:rsid w:val="00957608"/>
    <w:rsid w:val="00960648"/>
    <w:rsid w:val="00963EEE"/>
    <w:rsid w:val="00966664"/>
    <w:rsid w:val="00971144"/>
    <w:rsid w:val="00971FCE"/>
    <w:rsid w:val="00975C13"/>
    <w:rsid w:val="00981DDA"/>
    <w:rsid w:val="00992CAD"/>
    <w:rsid w:val="00994BB5"/>
    <w:rsid w:val="009966D0"/>
    <w:rsid w:val="009A4687"/>
    <w:rsid w:val="009A4CF9"/>
    <w:rsid w:val="009A6371"/>
    <w:rsid w:val="009A6579"/>
    <w:rsid w:val="009B1A53"/>
    <w:rsid w:val="009B4BB3"/>
    <w:rsid w:val="009B5928"/>
    <w:rsid w:val="009B7442"/>
    <w:rsid w:val="009C172C"/>
    <w:rsid w:val="009D02B0"/>
    <w:rsid w:val="009D1A4F"/>
    <w:rsid w:val="009D208B"/>
    <w:rsid w:val="009D3F1A"/>
    <w:rsid w:val="009D606F"/>
    <w:rsid w:val="009D613E"/>
    <w:rsid w:val="009E0A06"/>
    <w:rsid w:val="009E3209"/>
    <w:rsid w:val="009E7396"/>
    <w:rsid w:val="009F103F"/>
    <w:rsid w:val="009F4CDA"/>
    <w:rsid w:val="009F5F91"/>
    <w:rsid w:val="009F6A63"/>
    <w:rsid w:val="009F75E9"/>
    <w:rsid w:val="00A00493"/>
    <w:rsid w:val="00A023B3"/>
    <w:rsid w:val="00A02882"/>
    <w:rsid w:val="00A028BD"/>
    <w:rsid w:val="00A02D62"/>
    <w:rsid w:val="00A02EB8"/>
    <w:rsid w:val="00A03131"/>
    <w:rsid w:val="00A03E55"/>
    <w:rsid w:val="00A05D67"/>
    <w:rsid w:val="00A07661"/>
    <w:rsid w:val="00A114F5"/>
    <w:rsid w:val="00A11BAD"/>
    <w:rsid w:val="00A13C94"/>
    <w:rsid w:val="00A15D77"/>
    <w:rsid w:val="00A214B6"/>
    <w:rsid w:val="00A23AA1"/>
    <w:rsid w:val="00A242CA"/>
    <w:rsid w:val="00A2673C"/>
    <w:rsid w:val="00A30455"/>
    <w:rsid w:val="00A35083"/>
    <w:rsid w:val="00A36530"/>
    <w:rsid w:val="00A37015"/>
    <w:rsid w:val="00A4066B"/>
    <w:rsid w:val="00A40B03"/>
    <w:rsid w:val="00A43D10"/>
    <w:rsid w:val="00A43ED9"/>
    <w:rsid w:val="00A57F33"/>
    <w:rsid w:val="00A60E94"/>
    <w:rsid w:val="00A61742"/>
    <w:rsid w:val="00A640C5"/>
    <w:rsid w:val="00A70B93"/>
    <w:rsid w:val="00A7496B"/>
    <w:rsid w:val="00A74A48"/>
    <w:rsid w:val="00A75439"/>
    <w:rsid w:val="00A7555C"/>
    <w:rsid w:val="00A777BE"/>
    <w:rsid w:val="00A80042"/>
    <w:rsid w:val="00A81596"/>
    <w:rsid w:val="00A85873"/>
    <w:rsid w:val="00A86ED4"/>
    <w:rsid w:val="00A87C77"/>
    <w:rsid w:val="00A904D2"/>
    <w:rsid w:val="00A9295E"/>
    <w:rsid w:val="00AA3392"/>
    <w:rsid w:val="00AA4AD1"/>
    <w:rsid w:val="00AB20EF"/>
    <w:rsid w:val="00AB4992"/>
    <w:rsid w:val="00AB4C34"/>
    <w:rsid w:val="00AB5A09"/>
    <w:rsid w:val="00AC069C"/>
    <w:rsid w:val="00AC1A99"/>
    <w:rsid w:val="00AC2A92"/>
    <w:rsid w:val="00AC44C8"/>
    <w:rsid w:val="00AC4DA1"/>
    <w:rsid w:val="00AC7690"/>
    <w:rsid w:val="00AD07A6"/>
    <w:rsid w:val="00AD4310"/>
    <w:rsid w:val="00AD438D"/>
    <w:rsid w:val="00AD736F"/>
    <w:rsid w:val="00AE1387"/>
    <w:rsid w:val="00AE3C98"/>
    <w:rsid w:val="00AE4E06"/>
    <w:rsid w:val="00AF1A9B"/>
    <w:rsid w:val="00AF1B44"/>
    <w:rsid w:val="00AF2F66"/>
    <w:rsid w:val="00AF33B2"/>
    <w:rsid w:val="00AF48E0"/>
    <w:rsid w:val="00AF60E1"/>
    <w:rsid w:val="00B00700"/>
    <w:rsid w:val="00B00B6B"/>
    <w:rsid w:val="00B027FE"/>
    <w:rsid w:val="00B04517"/>
    <w:rsid w:val="00B10071"/>
    <w:rsid w:val="00B1065D"/>
    <w:rsid w:val="00B1192C"/>
    <w:rsid w:val="00B138B5"/>
    <w:rsid w:val="00B13C8D"/>
    <w:rsid w:val="00B14E2F"/>
    <w:rsid w:val="00B15A6A"/>
    <w:rsid w:val="00B17183"/>
    <w:rsid w:val="00B317DE"/>
    <w:rsid w:val="00B36704"/>
    <w:rsid w:val="00B4196F"/>
    <w:rsid w:val="00B427F5"/>
    <w:rsid w:val="00B45E3E"/>
    <w:rsid w:val="00B46329"/>
    <w:rsid w:val="00B535EA"/>
    <w:rsid w:val="00B54DAB"/>
    <w:rsid w:val="00B6053F"/>
    <w:rsid w:val="00B627E3"/>
    <w:rsid w:val="00B71472"/>
    <w:rsid w:val="00B76080"/>
    <w:rsid w:val="00B81534"/>
    <w:rsid w:val="00B8305B"/>
    <w:rsid w:val="00B94610"/>
    <w:rsid w:val="00B94614"/>
    <w:rsid w:val="00B94719"/>
    <w:rsid w:val="00B96D31"/>
    <w:rsid w:val="00BA00E2"/>
    <w:rsid w:val="00BA05FC"/>
    <w:rsid w:val="00BA485B"/>
    <w:rsid w:val="00BA4A46"/>
    <w:rsid w:val="00BA53DC"/>
    <w:rsid w:val="00BB32C9"/>
    <w:rsid w:val="00BB39CA"/>
    <w:rsid w:val="00BB3CFA"/>
    <w:rsid w:val="00BB547A"/>
    <w:rsid w:val="00BB59FA"/>
    <w:rsid w:val="00BB7395"/>
    <w:rsid w:val="00BC07AF"/>
    <w:rsid w:val="00BC0C9A"/>
    <w:rsid w:val="00BC0F27"/>
    <w:rsid w:val="00BC3945"/>
    <w:rsid w:val="00BC419E"/>
    <w:rsid w:val="00BC5F32"/>
    <w:rsid w:val="00BC64E4"/>
    <w:rsid w:val="00BD2448"/>
    <w:rsid w:val="00BD25B0"/>
    <w:rsid w:val="00BD3DAB"/>
    <w:rsid w:val="00BD52FE"/>
    <w:rsid w:val="00BE2277"/>
    <w:rsid w:val="00BE781B"/>
    <w:rsid w:val="00BE7F3B"/>
    <w:rsid w:val="00BF1414"/>
    <w:rsid w:val="00BF2612"/>
    <w:rsid w:val="00C00047"/>
    <w:rsid w:val="00C01425"/>
    <w:rsid w:val="00C02388"/>
    <w:rsid w:val="00C02AC8"/>
    <w:rsid w:val="00C03121"/>
    <w:rsid w:val="00C055EA"/>
    <w:rsid w:val="00C12C6A"/>
    <w:rsid w:val="00C130E4"/>
    <w:rsid w:val="00C14748"/>
    <w:rsid w:val="00C15EC9"/>
    <w:rsid w:val="00C203DE"/>
    <w:rsid w:val="00C23752"/>
    <w:rsid w:val="00C23982"/>
    <w:rsid w:val="00C307D7"/>
    <w:rsid w:val="00C344D3"/>
    <w:rsid w:val="00C34E47"/>
    <w:rsid w:val="00C351F4"/>
    <w:rsid w:val="00C35F1E"/>
    <w:rsid w:val="00C43530"/>
    <w:rsid w:val="00C45CAB"/>
    <w:rsid w:val="00C4643F"/>
    <w:rsid w:val="00C46F41"/>
    <w:rsid w:val="00C46FBF"/>
    <w:rsid w:val="00C51A7A"/>
    <w:rsid w:val="00C51EF3"/>
    <w:rsid w:val="00C533EB"/>
    <w:rsid w:val="00C54E0D"/>
    <w:rsid w:val="00C5636F"/>
    <w:rsid w:val="00C573A2"/>
    <w:rsid w:val="00C62F94"/>
    <w:rsid w:val="00C65EE4"/>
    <w:rsid w:val="00C700D2"/>
    <w:rsid w:val="00C746C7"/>
    <w:rsid w:val="00C753A0"/>
    <w:rsid w:val="00C76B92"/>
    <w:rsid w:val="00C8386E"/>
    <w:rsid w:val="00C97890"/>
    <w:rsid w:val="00C97C0D"/>
    <w:rsid w:val="00CA0E24"/>
    <w:rsid w:val="00CA1CC8"/>
    <w:rsid w:val="00CA29D2"/>
    <w:rsid w:val="00CA35D7"/>
    <w:rsid w:val="00CA5061"/>
    <w:rsid w:val="00CA7E63"/>
    <w:rsid w:val="00CB0C4C"/>
    <w:rsid w:val="00CB127D"/>
    <w:rsid w:val="00CB297D"/>
    <w:rsid w:val="00CB37BB"/>
    <w:rsid w:val="00CB3A7E"/>
    <w:rsid w:val="00CB5FF1"/>
    <w:rsid w:val="00CB6661"/>
    <w:rsid w:val="00CB7AA2"/>
    <w:rsid w:val="00CC0CBF"/>
    <w:rsid w:val="00CC1EC3"/>
    <w:rsid w:val="00CC1FE1"/>
    <w:rsid w:val="00CC21E1"/>
    <w:rsid w:val="00CC5595"/>
    <w:rsid w:val="00CC5CFF"/>
    <w:rsid w:val="00CC5E28"/>
    <w:rsid w:val="00CC7852"/>
    <w:rsid w:val="00CD7968"/>
    <w:rsid w:val="00CE1931"/>
    <w:rsid w:val="00CE64F9"/>
    <w:rsid w:val="00CF15B4"/>
    <w:rsid w:val="00CF3EC8"/>
    <w:rsid w:val="00CF6C7F"/>
    <w:rsid w:val="00D00689"/>
    <w:rsid w:val="00D01B91"/>
    <w:rsid w:val="00D039C5"/>
    <w:rsid w:val="00D11FDC"/>
    <w:rsid w:val="00D13722"/>
    <w:rsid w:val="00D142F0"/>
    <w:rsid w:val="00D15E60"/>
    <w:rsid w:val="00D209C6"/>
    <w:rsid w:val="00D2566D"/>
    <w:rsid w:val="00D30FFF"/>
    <w:rsid w:val="00D34C50"/>
    <w:rsid w:val="00D351B1"/>
    <w:rsid w:val="00D4078F"/>
    <w:rsid w:val="00D40AD3"/>
    <w:rsid w:val="00D4301C"/>
    <w:rsid w:val="00D4330A"/>
    <w:rsid w:val="00D4451E"/>
    <w:rsid w:val="00D44D94"/>
    <w:rsid w:val="00D461A5"/>
    <w:rsid w:val="00D47096"/>
    <w:rsid w:val="00D51E1C"/>
    <w:rsid w:val="00D5222D"/>
    <w:rsid w:val="00D53047"/>
    <w:rsid w:val="00D53C3C"/>
    <w:rsid w:val="00D54E10"/>
    <w:rsid w:val="00D637E2"/>
    <w:rsid w:val="00D6653D"/>
    <w:rsid w:val="00D6727D"/>
    <w:rsid w:val="00D7150B"/>
    <w:rsid w:val="00D71771"/>
    <w:rsid w:val="00D72834"/>
    <w:rsid w:val="00D76AA0"/>
    <w:rsid w:val="00D80B8C"/>
    <w:rsid w:val="00D80C80"/>
    <w:rsid w:val="00D85E19"/>
    <w:rsid w:val="00D8760A"/>
    <w:rsid w:val="00D87F2E"/>
    <w:rsid w:val="00D904B2"/>
    <w:rsid w:val="00D9059D"/>
    <w:rsid w:val="00DA0BC3"/>
    <w:rsid w:val="00DA20A6"/>
    <w:rsid w:val="00DA5911"/>
    <w:rsid w:val="00DA604F"/>
    <w:rsid w:val="00DA6284"/>
    <w:rsid w:val="00DA684B"/>
    <w:rsid w:val="00DA7574"/>
    <w:rsid w:val="00DB0C2E"/>
    <w:rsid w:val="00DB1125"/>
    <w:rsid w:val="00DB42D0"/>
    <w:rsid w:val="00DB46F2"/>
    <w:rsid w:val="00DB6DEF"/>
    <w:rsid w:val="00DC712A"/>
    <w:rsid w:val="00DD6764"/>
    <w:rsid w:val="00DE2340"/>
    <w:rsid w:val="00DE5282"/>
    <w:rsid w:val="00DE5EBF"/>
    <w:rsid w:val="00DF3AE5"/>
    <w:rsid w:val="00DF77B6"/>
    <w:rsid w:val="00E00C9E"/>
    <w:rsid w:val="00E019FB"/>
    <w:rsid w:val="00E03320"/>
    <w:rsid w:val="00E06525"/>
    <w:rsid w:val="00E07AD1"/>
    <w:rsid w:val="00E2062E"/>
    <w:rsid w:val="00E20CCB"/>
    <w:rsid w:val="00E222DC"/>
    <w:rsid w:val="00E239A5"/>
    <w:rsid w:val="00E378D8"/>
    <w:rsid w:val="00E37C47"/>
    <w:rsid w:val="00E40641"/>
    <w:rsid w:val="00E4237D"/>
    <w:rsid w:val="00E478BA"/>
    <w:rsid w:val="00E505B8"/>
    <w:rsid w:val="00E531A0"/>
    <w:rsid w:val="00E574C2"/>
    <w:rsid w:val="00E60E14"/>
    <w:rsid w:val="00E65386"/>
    <w:rsid w:val="00E66B02"/>
    <w:rsid w:val="00E6751B"/>
    <w:rsid w:val="00E6758E"/>
    <w:rsid w:val="00E77028"/>
    <w:rsid w:val="00E84B57"/>
    <w:rsid w:val="00E860FF"/>
    <w:rsid w:val="00E875E1"/>
    <w:rsid w:val="00E87CE2"/>
    <w:rsid w:val="00E923B9"/>
    <w:rsid w:val="00E92D75"/>
    <w:rsid w:val="00E973AE"/>
    <w:rsid w:val="00E973B4"/>
    <w:rsid w:val="00EA057A"/>
    <w:rsid w:val="00EA16C7"/>
    <w:rsid w:val="00EA2034"/>
    <w:rsid w:val="00EA2AEB"/>
    <w:rsid w:val="00EA5311"/>
    <w:rsid w:val="00EA62D2"/>
    <w:rsid w:val="00EB2138"/>
    <w:rsid w:val="00EB348A"/>
    <w:rsid w:val="00EB34A8"/>
    <w:rsid w:val="00EB49B1"/>
    <w:rsid w:val="00EB4B79"/>
    <w:rsid w:val="00EB6385"/>
    <w:rsid w:val="00EB67CE"/>
    <w:rsid w:val="00EB696A"/>
    <w:rsid w:val="00EC73F5"/>
    <w:rsid w:val="00EC7D8D"/>
    <w:rsid w:val="00EC7F77"/>
    <w:rsid w:val="00ED1C46"/>
    <w:rsid w:val="00ED3CF7"/>
    <w:rsid w:val="00ED5022"/>
    <w:rsid w:val="00ED52A0"/>
    <w:rsid w:val="00ED7F04"/>
    <w:rsid w:val="00EF1D10"/>
    <w:rsid w:val="00EF23AD"/>
    <w:rsid w:val="00EF2B9E"/>
    <w:rsid w:val="00EF43B2"/>
    <w:rsid w:val="00EF4A5C"/>
    <w:rsid w:val="00F00FA8"/>
    <w:rsid w:val="00F05E96"/>
    <w:rsid w:val="00F101CD"/>
    <w:rsid w:val="00F11251"/>
    <w:rsid w:val="00F11F08"/>
    <w:rsid w:val="00F15168"/>
    <w:rsid w:val="00F15828"/>
    <w:rsid w:val="00F16EEE"/>
    <w:rsid w:val="00F22AD8"/>
    <w:rsid w:val="00F24D14"/>
    <w:rsid w:val="00F24D16"/>
    <w:rsid w:val="00F27D8B"/>
    <w:rsid w:val="00F33379"/>
    <w:rsid w:val="00F35C6A"/>
    <w:rsid w:val="00F374F2"/>
    <w:rsid w:val="00F4010F"/>
    <w:rsid w:val="00F41B9F"/>
    <w:rsid w:val="00F45880"/>
    <w:rsid w:val="00F50A2E"/>
    <w:rsid w:val="00F51ECD"/>
    <w:rsid w:val="00F52592"/>
    <w:rsid w:val="00F53611"/>
    <w:rsid w:val="00F56703"/>
    <w:rsid w:val="00F6258C"/>
    <w:rsid w:val="00F64445"/>
    <w:rsid w:val="00F70F0C"/>
    <w:rsid w:val="00F71898"/>
    <w:rsid w:val="00F8292D"/>
    <w:rsid w:val="00F85C55"/>
    <w:rsid w:val="00F85D79"/>
    <w:rsid w:val="00F86893"/>
    <w:rsid w:val="00F90853"/>
    <w:rsid w:val="00F92C57"/>
    <w:rsid w:val="00FA2D28"/>
    <w:rsid w:val="00FA5512"/>
    <w:rsid w:val="00FA6965"/>
    <w:rsid w:val="00FA6E33"/>
    <w:rsid w:val="00FB0069"/>
    <w:rsid w:val="00FB0CBF"/>
    <w:rsid w:val="00FB4A5F"/>
    <w:rsid w:val="00FB56EC"/>
    <w:rsid w:val="00FB62FC"/>
    <w:rsid w:val="00FC1E11"/>
    <w:rsid w:val="00FC449D"/>
    <w:rsid w:val="00FC51C0"/>
    <w:rsid w:val="00FC53B9"/>
    <w:rsid w:val="00FC5E9E"/>
    <w:rsid w:val="00FC6343"/>
    <w:rsid w:val="00FC68BC"/>
    <w:rsid w:val="00FD4B1F"/>
    <w:rsid w:val="00FD709F"/>
    <w:rsid w:val="00FE1EC0"/>
    <w:rsid w:val="00FE1EDB"/>
    <w:rsid w:val="00FE5C16"/>
    <w:rsid w:val="00FF146F"/>
    <w:rsid w:val="00FF41F2"/>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2E5E3"/>
  <w15:chartTrackingRefBased/>
  <w15:docId w15:val="{E2B07624-42B4-47B5-8892-1BE8E65C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E248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8F54B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441AE3"/>
    <w:pPr>
      <w:keepNext/>
      <w:spacing w:before="240" w:after="60" w:line="240" w:lineRule="atLeast"/>
      <w:outlineLvl w:val="2"/>
    </w:pPr>
    <w:rPr>
      <w:rFonts w:ascii="Verdana" w:hAnsi="Verdan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41AE3"/>
    <w:pPr>
      <w:spacing w:line="240" w:lineRule="atLeast"/>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HeaderChar">
    <w:name w:val="Header Char"/>
    <w:link w:val="Header"/>
    <w:uiPriority w:val="99"/>
    <w:rsid w:val="00441AE3"/>
    <w:rPr>
      <w:rFonts w:ascii="Calibri" w:eastAsia="Calibri" w:hAnsi="Calibri" w:cs="Times New Roman"/>
      <w:sz w:val="22"/>
      <w:szCs w:val="22"/>
      <w:lang w:eastAsia="en-US"/>
    </w:rPr>
  </w:style>
  <w:style w:type="paragraph" w:styleId="Footer">
    <w:name w:val="footer"/>
    <w:basedOn w:val="Normal"/>
    <w:link w:val="Footer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FooterChar">
    <w:name w:val="Footer Char"/>
    <w:link w:val="Footer"/>
    <w:uiPriority w:val="99"/>
    <w:rsid w:val="00441AE3"/>
    <w:rPr>
      <w:rFonts w:ascii="Verdana" w:eastAsia="Calibri" w:hAnsi="Verdana" w:cs="Times New Roman"/>
      <w:sz w:val="16"/>
      <w:szCs w:val="22"/>
      <w:lang w:eastAsia="en-US"/>
    </w:rPr>
  </w:style>
  <w:style w:type="character" w:styleId="CommentReference">
    <w:name w:val="annotation reference"/>
    <w:uiPriority w:val="99"/>
    <w:unhideWhenUsed/>
    <w:rsid w:val="00441AE3"/>
    <w:rPr>
      <w:sz w:val="16"/>
      <w:szCs w:val="16"/>
    </w:rPr>
  </w:style>
  <w:style w:type="paragraph" w:styleId="CommentText">
    <w:name w:val="annotation text"/>
    <w:basedOn w:val="Normal"/>
    <w:link w:val="CommentTextChar"/>
    <w:uiPriority w:val="99"/>
    <w:unhideWhenUsed/>
    <w:rsid w:val="00441AE3"/>
    <w:rPr>
      <w:rFonts w:ascii="Calibri" w:eastAsia="Calibri" w:hAnsi="Calibri"/>
      <w:sz w:val="20"/>
      <w:szCs w:val="20"/>
      <w:lang w:eastAsia="en-US"/>
    </w:rPr>
  </w:style>
  <w:style w:type="character" w:customStyle="1" w:styleId="CommentTextChar">
    <w:name w:val="Comment Text Char"/>
    <w:link w:val="CommentText"/>
    <w:uiPriority w:val="99"/>
    <w:rsid w:val="00441AE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441AE3"/>
    <w:rPr>
      <w:b/>
      <w:bCs/>
    </w:rPr>
  </w:style>
  <w:style w:type="character" w:customStyle="1" w:styleId="CommentSubjectChar">
    <w:name w:val="Comment Subject Char"/>
    <w:link w:val="CommentSubject"/>
    <w:uiPriority w:val="99"/>
    <w:rsid w:val="00441AE3"/>
    <w:rPr>
      <w:rFonts w:ascii="Calibri" w:eastAsia="Calibri" w:hAnsi="Calibri" w:cs="Times New Roman"/>
      <w:b/>
      <w:bCs/>
      <w:lang w:eastAsia="en-US"/>
    </w:rPr>
  </w:style>
  <w:style w:type="paragraph" w:styleId="BalloonText">
    <w:name w:val="Balloon Text"/>
    <w:basedOn w:val="Normal"/>
    <w:link w:val="BalloonTextChar"/>
    <w:uiPriority w:val="99"/>
    <w:unhideWhenUsed/>
    <w:rsid w:val="00441AE3"/>
    <w:rPr>
      <w:rFonts w:ascii="Tahoma" w:eastAsia="Calibri" w:hAnsi="Tahoma" w:cs="Tahoma"/>
      <w:sz w:val="16"/>
      <w:szCs w:val="16"/>
      <w:lang w:eastAsia="en-US"/>
    </w:rPr>
  </w:style>
  <w:style w:type="character" w:customStyle="1" w:styleId="BalloonTextChar">
    <w:name w:val="Balloon Text Char"/>
    <w:link w:val="BalloonText"/>
    <w:uiPriority w:val="99"/>
    <w:rsid w:val="00441AE3"/>
    <w:rPr>
      <w:rFonts w:ascii="Tahoma" w:eastAsia="Calibri" w:hAnsi="Tahoma" w:cs="Tahoma"/>
      <w:sz w:val="16"/>
      <w:szCs w:val="16"/>
      <w:lang w:eastAsia="en-US"/>
    </w:rPr>
  </w:style>
  <w:style w:type="paragraph" w:styleId="FootnoteText">
    <w:name w:val="footnote text"/>
    <w:basedOn w:val="Normal"/>
    <w:link w:val="FootnoteTextChar"/>
    <w:uiPriority w:val="99"/>
    <w:unhideWhenUsed/>
    <w:rsid w:val="00441AE3"/>
    <w:rPr>
      <w:rFonts w:ascii="Calibri" w:eastAsia="Calibri" w:hAnsi="Calibri"/>
      <w:sz w:val="20"/>
      <w:szCs w:val="20"/>
      <w:lang w:eastAsia="en-US"/>
    </w:rPr>
  </w:style>
  <w:style w:type="character" w:customStyle="1" w:styleId="FootnoteTextChar">
    <w:name w:val="Footnote Text Char"/>
    <w:link w:val="FootnoteText"/>
    <w:uiPriority w:val="99"/>
    <w:rsid w:val="00441AE3"/>
    <w:rPr>
      <w:rFonts w:ascii="Calibri" w:eastAsia="Calibri" w:hAnsi="Calibri" w:cs="Times New Roman"/>
      <w:lang w:eastAsia="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Normal"/>
    <w:next w:val="Normal"/>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Normal"/>
    <w:next w:val="Normal"/>
    <w:uiPriority w:val="99"/>
    <w:rsid w:val="00441AE3"/>
    <w:pPr>
      <w:keepNext/>
      <w:autoSpaceDE w:val="0"/>
      <w:autoSpaceDN w:val="0"/>
      <w:adjustRightInd w:val="0"/>
      <w:spacing w:before="100" w:after="100"/>
      <w:outlineLvl w:val="4"/>
    </w:pPr>
    <w:rPr>
      <w:rFonts w:eastAsia="Calibri"/>
      <w:b/>
      <w:bCs/>
      <w:lang w:eastAsia="en-US"/>
    </w:rPr>
  </w:style>
  <w:style w:type="character" w:styleId="Emphasis">
    <w:name w:val="Emphasis"/>
    <w:uiPriority w:val="20"/>
    <w:qFormat/>
    <w:rsid w:val="00441AE3"/>
    <w:rPr>
      <w:i/>
      <w:iCs/>
    </w:rPr>
  </w:style>
  <w:style w:type="character" w:styleId="Strong">
    <w:name w:val="Strong"/>
    <w:uiPriority w:val="99"/>
    <w:qFormat/>
    <w:rsid w:val="00441AE3"/>
    <w:rPr>
      <w:b/>
      <w:bCs/>
    </w:rPr>
  </w:style>
  <w:style w:type="character" w:styleId="FollowedHyperlink">
    <w:name w:val="FollowedHyperlink"/>
    <w:uiPriority w:val="99"/>
    <w:unhideWhenUsed/>
    <w:rsid w:val="00441AE3"/>
    <w:rPr>
      <w:color w:val="800080"/>
      <w:u w:val="single"/>
    </w:rPr>
  </w:style>
  <w:style w:type="paragraph" w:styleId="Revision">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PlainText">
    <w:name w:val="Plain Text"/>
    <w:basedOn w:val="Normal"/>
    <w:link w:val="PlainTextChar"/>
    <w:uiPriority w:val="99"/>
    <w:unhideWhenUsed/>
    <w:rsid w:val="00304E0B"/>
    <w:rPr>
      <w:rFonts w:ascii="Calibri" w:eastAsia="Calibri" w:hAnsi="Calibri"/>
      <w:sz w:val="22"/>
      <w:szCs w:val="21"/>
      <w:lang w:eastAsia="en-US"/>
    </w:rPr>
  </w:style>
  <w:style w:type="character" w:customStyle="1" w:styleId="PlainTextChar">
    <w:name w:val="Plain Text Char"/>
    <w:link w:val="PlainText"/>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Heading1Char">
    <w:name w:val="Heading 1 Char"/>
    <w:link w:val="Heading1"/>
    <w:rsid w:val="000E248A"/>
    <w:rPr>
      <w:rFonts w:ascii="Calibri Light" w:eastAsia="Times New Roman" w:hAnsi="Calibri Light" w:cs="Times New Roman"/>
      <w:b/>
      <w:bCs/>
      <w:kern w:val="32"/>
      <w:sz w:val="32"/>
      <w:szCs w:val="32"/>
    </w:rPr>
  </w:style>
  <w:style w:type="paragraph" w:styleId="NoSpacing">
    <w:name w:val="No Spacing"/>
    <w:uiPriority w:val="1"/>
    <w:qFormat/>
    <w:rsid w:val="00594A00"/>
    <w:rPr>
      <w:rFonts w:ascii="Calibri" w:eastAsia="Calibri" w:hAnsi="Calibri"/>
      <w:sz w:val="22"/>
      <w:szCs w:val="22"/>
      <w:lang w:eastAsia="en-US"/>
    </w:rPr>
  </w:style>
  <w:style w:type="character" w:customStyle="1" w:styleId="Heading2Char">
    <w:name w:val="Heading 2 Char"/>
    <w:link w:val="Heading2"/>
    <w:semiHidden/>
    <w:rsid w:val="008F54BA"/>
    <w:rPr>
      <w:rFonts w:ascii="Calibri Light" w:eastAsia="Times New Roman" w:hAnsi="Calibri Light" w:cs="Times New Roman"/>
      <w:b/>
      <w:bCs/>
      <w:i/>
      <w:iCs/>
      <w:sz w:val="28"/>
      <w:szCs w:val="28"/>
    </w:rPr>
  </w:style>
  <w:style w:type="paragraph" w:customStyle="1" w:styleId="xxmsonormal">
    <w:name w:val="x_x_msonormal"/>
    <w:basedOn w:val="Normal"/>
    <w:uiPriority w:val="99"/>
    <w:semiHidden/>
    <w:rsid w:val="00374E06"/>
    <w:rPr>
      <w:rFonts w:eastAsia="Calibri"/>
    </w:rPr>
  </w:style>
  <w:style w:type="paragraph" w:styleId="NormalWeb">
    <w:name w:val="Normal (Web)"/>
    <w:basedOn w:val="Normal"/>
    <w:uiPriority w:val="99"/>
    <w:unhideWhenUsed/>
    <w:rsid w:val="00374E06"/>
    <w:rPr>
      <w:rFonts w:eastAsia="Calibri"/>
    </w:rPr>
  </w:style>
  <w:style w:type="paragraph" w:customStyle="1" w:styleId="xmsonormal">
    <w:name w:val="x_msonormal"/>
    <w:basedOn w:val="Normal"/>
    <w:uiPriority w:val="99"/>
    <w:semiHidden/>
    <w:rsid w:val="00374E06"/>
    <w:rPr>
      <w:rFonts w:eastAsia="Calibri"/>
    </w:rPr>
  </w:style>
  <w:style w:type="paragraph" w:customStyle="1" w:styleId="text3vj6y0g">
    <w:name w:val="text_3v_j6y0g"/>
    <w:basedOn w:val="Normal"/>
    <w:rsid w:val="00374E06"/>
    <w:pPr>
      <w:spacing w:before="100" w:beforeAutospacing="1" w:after="100" w:afterAutospacing="1"/>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D637E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55603769">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29941319">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452182">
      <w:bodyDiv w:val="1"/>
      <w:marLeft w:val="0"/>
      <w:marRight w:val="0"/>
      <w:marTop w:val="0"/>
      <w:marBottom w:val="0"/>
      <w:divBdr>
        <w:top w:val="none" w:sz="0" w:space="0" w:color="auto"/>
        <w:left w:val="none" w:sz="0" w:space="0" w:color="auto"/>
        <w:bottom w:val="none" w:sz="0" w:space="0" w:color="auto"/>
        <w:right w:val="none" w:sz="0" w:space="0" w:color="auto"/>
      </w:divBdr>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07134564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6094477">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23180867">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4702351">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33976925">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7422</ap:Words>
  <ap:Characters>40821</ap:Characters>
  <ap:DocSecurity>0</ap:DocSecurity>
  <ap:Lines>340</ap:Lines>
  <ap:Paragraphs>96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48147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2025-04-11T12:59:00.0000000Z</dcterms:created>
  <dcterms:modified xsi:type="dcterms:W3CDTF">2025-04-17T09:25:00.0000000Z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
    <vt:lpwstr>4NJQF572VQVT-1779735923-129</vt:lpwstr>
  </property>
  <property fmtid="{D5CDD505-2E9C-101B-9397-08002B2CF9AE}" pid="4" name="_dlc_DocIdItemGuid">
    <vt:lpwstr>f304dbf3-56e6-4e25-b9b4-438a97583f24</vt:lpwstr>
  </property>
  <property fmtid="{D5CDD505-2E9C-101B-9397-08002B2CF9AE}" pid="5" name="_dlc_DocIdUrl">
    <vt:lpwstr>https://247.plaza.buzaservices.nl/subject/PV-VZ202501/_layouts/15/DocIdRedir.aspx?ID=4NJQF572VQVT-1779735923-129, 4NJQF572VQVT-1779735923-129</vt:lpwstr>
  </property>
  <property fmtid="{D5CDD505-2E9C-101B-9397-08002B2CF9AE}" pid="6" name="display_urn:schemas-microsoft-com:office:office#Editor">
    <vt:lpwstr>svc_sp19_migratie</vt:lpwstr>
  </property>
  <property fmtid="{D5CDD505-2E9C-101B-9397-08002B2CF9AE}" pid="7" name="display_urn:schemas-microsoft-com:office:office#Author">
    <vt:lpwstr>svc_sp19_migratie</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_Forum">
    <vt:lpwstr>512;#N.v.t.|0049e722-bfb1-4a3f-9d08-af7366a9af40</vt:lpwstr>
  </property>
  <property fmtid="{D5CDD505-2E9C-101B-9397-08002B2CF9AE}" pid="11" name="BZ_Country">
    <vt:lpwstr>511;#N.v.t.|ec01d90b-9d0f-4785-8785-e1ea615196bf</vt:lpwstr>
  </property>
  <property fmtid="{D5CDD505-2E9C-101B-9397-08002B2CF9AE}" pid="12" name="BZ_Theme">
    <vt:lpwstr>595;#Internationaal recht|c3ccc6b0-9272-4627-b7a1-3f29178c4f7c</vt:lpwstr>
  </property>
  <property fmtid="{D5CDD505-2E9C-101B-9397-08002B2CF9AE}" pid="13" name="BZ_Classification">
    <vt:lpwstr>510;#ONGERUBRICEERD|d92c6340-bc14-4cb2-a9a6-6deda93c493b</vt:lpwstr>
  </property>
  <property fmtid="{D5CDD505-2E9C-101B-9397-08002B2CF9AE}" pid="14" name="TaxKeyword">
    <vt:lpwstr/>
  </property>
  <property fmtid="{D5CDD505-2E9C-101B-9397-08002B2CF9AE}" pid="15" name="TaxKeywordTaxHTField">
    <vt:lpwstr/>
  </property>
  <property fmtid="{D5CDD505-2E9C-101B-9397-08002B2CF9AE}" pid="16" name="BZForumOrganisation">
    <vt:lpwstr>2;#Not applicable|0049e722-bfb1-4a3f-9d08-af7366a9af40</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y fmtid="{D5CDD505-2E9C-101B-9397-08002B2CF9AE}" pid="19" name="_docset_NoMedatataSyncRequired">
    <vt:lpwstr>False</vt:lpwstr>
  </property>
</Properties>
</file>