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077E10" w:rsidR="00FE359A" w:rsidP="00FE359A" w14:paraId="74E40396" w14:textId="63D2BFBE">
      <w:pPr>
        <w:spacing w:before="120" w:after="120" w:line="276" w:lineRule="auto"/>
        <w:rPr>
          <w:bCs/>
        </w:rPr>
      </w:pPr>
      <w:bookmarkStart w:name="_Hlk107402289" w:id="0"/>
    </w:p>
    <w:p w:rsidR="00FE359A" w:rsidP="00FE359A" w14:paraId="6A6A8C13" w14:textId="77777777">
      <w:pPr>
        <w:spacing w:before="120" w:after="120" w:line="276" w:lineRule="auto"/>
        <w:rPr>
          <w:b/>
        </w:rPr>
      </w:pPr>
    </w:p>
    <w:p w:rsidRPr="00FE359A" w:rsidR="00FE359A" w:rsidP="00FE359A" w14:paraId="148C950A" w14:textId="4B3BCD36">
      <w:pPr>
        <w:spacing w:before="120" w:after="120" w:line="276" w:lineRule="auto"/>
        <w:rPr>
          <w:b/>
        </w:rPr>
      </w:pPr>
      <w:r w:rsidRPr="00FE359A">
        <w:rPr>
          <w:b/>
        </w:rPr>
        <w:t>Artikel I</w:t>
      </w:r>
      <w:r w:rsidR="00D10EE5">
        <w:rPr>
          <w:b/>
        </w:rPr>
        <w:t xml:space="preserve"> (Besluit bouwwerken leefomgeving)</w:t>
      </w:r>
    </w:p>
    <w:p w:rsidR="006A6B49" w:rsidP="00FE359A" w14:paraId="7881E718" w14:textId="77777777">
      <w:pPr>
        <w:spacing w:before="120" w:after="120" w:line="276" w:lineRule="auto"/>
        <w:rPr>
          <w:bCs/>
        </w:rPr>
      </w:pPr>
    </w:p>
    <w:p w:rsidRPr="00FE359A" w:rsidR="00FE359A" w:rsidP="00FE359A" w14:paraId="226FA4DF" w14:textId="143CB895">
      <w:pPr>
        <w:spacing w:before="120" w:after="120" w:line="276" w:lineRule="auto"/>
        <w:rPr>
          <w:bCs/>
        </w:rPr>
      </w:pPr>
      <w:r w:rsidRPr="00FE359A">
        <w:rPr>
          <w:bCs/>
        </w:rPr>
        <w:t xml:space="preserve">Het Besluit bouwwerken leefomgeving wordt als volgt gewijzigd: </w:t>
      </w:r>
    </w:p>
    <w:p w:rsidR="00077E10" w:rsidP="00FE359A" w14:paraId="1589BD6F" w14:textId="449C71A0">
      <w:pPr>
        <w:spacing w:before="120" w:after="120" w:line="276" w:lineRule="auto"/>
        <w:rPr>
          <w:b/>
        </w:rPr>
      </w:pPr>
    </w:p>
    <w:p w:rsidR="00FE359A" w:rsidP="00FE359A" w14:paraId="280CD4AF" w14:textId="2712C12E">
      <w:pPr>
        <w:spacing w:before="120" w:after="120" w:line="276" w:lineRule="auto"/>
        <w:rPr>
          <w:b/>
        </w:rPr>
      </w:pPr>
      <w:r w:rsidRPr="00FE359A">
        <w:rPr>
          <w:b/>
        </w:rPr>
        <w:t>A</w:t>
      </w:r>
    </w:p>
    <w:p w:rsidR="008C071C" w:rsidP="00FE359A" w14:paraId="60EC7AA4" w14:textId="7287DE90">
      <w:pPr>
        <w:spacing w:before="120" w:after="120" w:line="276" w:lineRule="auto"/>
        <w:rPr>
          <w:bCs/>
        </w:rPr>
      </w:pPr>
      <w:r w:rsidRPr="006A70DA">
        <w:rPr>
          <w:bCs/>
        </w:rPr>
        <w:t xml:space="preserve">Artikel </w:t>
      </w:r>
      <w:r>
        <w:rPr>
          <w:bCs/>
        </w:rPr>
        <w:t>1.1a wordt als volgt gewijzigd:</w:t>
      </w:r>
    </w:p>
    <w:p w:rsidRPr="006A70DA" w:rsidR="002B7D3F" w:rsidP="002B7D3F" w14:paraId="15F8D437" w14:textId="1FB2E72F">
      <w:pPr>
        <w:spacing w:before="120" w:after="120" w:line="276" w:lineRule="auto"/>
        <w:rPr>
          <w:bCs/>
        </w:rPr>
      </w:pPr>
      <w:r w:rsidRPr="002B7D3F">
        <w:rPr>
          <w:bCs/>
        </w:rPr>
        <w:t>1.</w:t>
      </w:r>
      <w:r>
        <w:rPr>
          <w:bCs/>
        </w:rPr>
        <w:t xml:space="preserve"> In het eerste lid wordt na “de </w:t>
      </w:r>
      <w:r w:rsidRPr="000333C6">
        <w:rPr>
          <w:bCs/>
        </w:rPr>
        <w:t>artikelen</w:t>
      </w:r>
      <w:r w:rsidRPr="006A70DA">
        <w:rPr>
          <w:rFonts w:cs="Arial"/>
          <w:color w:val="333333"/>
          <w:shd w:val="clear" w:color="auto" w:fill="FFFFFF"/>
        </w:rPr>
        <w:t>” ingevoegd “2.24, eerste lid,”.</w:t>
      </w:r>
    </w:p>
    <w:p w:rsidRPr="0055707A" w:rsidR="00CE0968" w:rsidP="00FE359A" w14:paraId="237D54DA" w14:textId="75898E2D">
      <w:pPr>
        <w:spacing w:before="120" w:after="120" w:line="276" w:lineRule="auto"/>
        <w:rPr>
          <w:bCs/>
        </w:rPr>
      </w:pPr>
      <w:r w:rsidRPr="006A70DA">
        <w:rPr>
          <w:bCs/>
        </w:rPr>
        <w:t xml:space="preserve">2. </w:t>
      </w:r>
      <w:r w:rsidR="000333C6">
        <w:rPr>
          <w:bCs/>
        </w:rPr>
        <w:t xml:space="preserve">In het tweede lid </w:t>
      </w:r>
      <w:r w:rsidR="0055707A">
        <w:rPr>
          <w:bCs/>
        </w:rPr>
        <w:t>wordt na “de artikelen” ingevoegd “7ab,”</w:t>
      </w:r>
      <w:r w:rsidR="00D501C6">
        <w:rPr>
          <w:bCs/>
        </w:rPr>
        <w:t>.</w:t>
      </w:r>
    </w:p>
    <w:p w:rsidR="00F24815" w:rsidP="00FE359A" w14:paraId="73CF7AB5" w14:textId="77777777">
      <w:pPr>
        <w:spacing w:before="120" w:after="120" w:line="276" w:lineRule="auto"/>
        <w:rPr>
          <w:b/>
        </w:rPr>
      </w:pPr>
    </w:p>
    <w:p w:rsidR="00CE0968" w:rsidP="00FE359A" w14:paraId="6DA4569B" w14:textId="0510E28A">
      <w:pPr>
        <w:spacing w:before="120" w:after="120" w:line="276" w:lineRule="auto"/>
        <w:rPr>
          <w:b/>
        </w:rPr>
      </w:pPr>
      <w:r w:rsidRPr="00117F9F">
        <w:rPr>
          <w:b/>
        </w:rPr>
        <w:t>B</w:t>
      </w:r>
    </w:p>
    <w:p w:rsidR="008C071C" w:rsidP="00FE359A" w14:paraId="40304909" w14:textId="77777777">
      <w:pPr>
        <w:spacing w:before="120" w:after="120" w:line="276" w:lineRule="auto"/>
        <w:rPr>
          <w:b/>
        </w:rPr>
      </w:pPr>
    </w:p>
    <w:p w:rsidRPr="00F411A7" w:rsidR="00482849" w:rsidP="00482849" w14:paraId="682FBA05" w14:textId="77777777">
      <w:pPr>
        <w:spacing w:before="120" w:after="120" w:line="276" w:lineRule="auto"/>
        <w:rPr>
          <w:bCs/>
        </w:rPr>
      </w:pPr>
      <w:r w:rsidRPr="00F411A7">
        <w:rPr>
          <w:bCs/>
        </w:rPr>
        <w:t>Na artikel 2.16 wordt een artikel ingevoegd, luidende:</w:t>
      </w:r>
    </w:p>
    <w:p w:rsidRPr="008E4386" w:rsidR="00482849" w:rsidP="00482849" w14:paraId="0A00449C" w14:textId="77777777">
      <w:pPr>
        <w:spacing w:before="120" w:after="120" w:line="276" w:lineRule="auto"/>
        <w:rPr>
          <w:b/>
        </w:rPr>
      </w:pPr>
      <w:r w:rsidRPr="008E4386">
        <w:rPr>
          <w:b/>
        </w:rPr>
        <w:t>Artikel 2.16a (maatwerkvoorschriften)</w:t>
      </w:r>
    </w:p>
    <w:p w:rsidRPr="00F411A7" w:rsidR="00482849" w:rsidP="00482849" w14:paraId="4754D2A3" w14:textId="77777777">
      <w:pPr>
        <w:spacing w:before="120" w:after="120" w:line="276" w:lineRule="auto"/>
        <w:rPr>
          <w:bCs/>
        </w:rPr>
      </w:pPr>
      <w:r w:rsidRPr="00F411A7">
        <w:rPr>
          <w:bCs/>
        </w:rPr>
        <w:t xml:space="preserve">1. Een maatwerkvoorschrift kan worden gesteld over artikel 2.21, eerste lid. </w:t>
      </w:r>
    </w:p>
    <w:p w:rsidRPr="00F411A7" w:rsidR="00482849" w:rsidP="00482849" w14:paraId="1C219960" w14:textId="77777777">
      <w:pPr>
        <w:spacing w:before="120" w:after="120" w:line="276" w:lineRule="auto"/>
        <w:rPr>
          <w:bCs/>
        </w:rPr>
      </w:pPr>
      <w:r w:rsidRPr="00F411A7">
        <w:rPr>
          <w:bCs/>
        </w:rPr>
        <w:t>2. Een maatwerkvoorschrift wordt gesteld op aanvraag van degene die de bouwactiviteit heeft verricht.</w:t>
      </w:r>
    </w:p>
    <w:p w:rsidRPr="00F411A7" w:rsidR="00482849" w:rsidP="00482849" w14:paraId="5005A967" w14:textId="06529BBC">
      <w:pPr>
        <w:spacing w:before="120" w:after="120" w:line="276" w:lineRule="auto"/>
        <w:rPr>
          <w:bCs/>
        </w:rPr>
      </w:pPr>
      <w:r w:rsidRPr="00F411A7">
        <w:rPr>
          <w:bCs/>
        </w:rPr>
        <w:t xml:space="preserve">3. Het maatwerkvoorschrift kan alleen het bepaalde in artikel 2.21a, eerste lid, inhouden en alleen worden gesteld als wordt voldaan aan </w:t>
      </w:r>
      <w:r w:rsidR="00546FC4">
        <w:rPr>
          <w:bCs/>
        </w:rPr>
        <w:t>het bepaalde</w:t>
      </w:r>
      <w:r w:rsidRPr="00F411A7">
        <w:rPr>
          <w:bCs/>
        </w:rPr>
        <w:t xml:space="preserve"> in het tweede lid van dat artikel.</w:t>
      </w:r>
    </w:p>
    <w:p w:rsidR="00482849" w:rsidP="00FE359A" w14:paraId="762D7F06" w14:textId="77777777">
      <w:pPr>
        <w:spacing w:before="120" w:after="120" w:line="276" w:lineRule="auto"/>
        <w:rPr>
          <w:b/>
        </w:rPr>
      </w:pPr>
    </w:p>
    <w:p w:rsidR="00482849" w:rsidP="00FE359A" w14:paraId="5A836762" w14:textId="0EEAF52F">
      <w:pPr>
        <w:spacing w:before="120" w:after="120" w:line="276" w:lineRule="auto"/>
        <w:rPr>
          <w:b/>
        </w:rPr>
      </w:pPr>
      <w:r>
        <w:rPr>
          <w:b/>
        </w:rPr>
        <w:t>C</w:t>
      </w:r>
    </w:p>
    <w:p w:rsidR="008E4386" w:rsidP="00FE359A" w14:paraId="72AC3565" w14:textId="77777777">
      <w:pPr>
        <w:spacing w:before="120" w:after="120" w:line="276" w:lineRule="auto"/>
        <w:rPr>
          <w:bCs/>
        </w:rPr>
      </w:pPr>
    </w:p>
    <w:p w:rsidR="00FE359A" w:rsidP="00FE359A" w14:paraId="5858B5FA" w14:textId="479322D6">
      <w:pPr>
        <w:spacing w:before="120" w:after="120" w:line="276" w:lineRule="auto"/>
        <w:rPr>
          <w:bCs/>
        </w:rPr>
      </w:pPr>
      <w:r w:rsidRPr="00FE359A">
        <w:rPr>
          <w:bCs/>
        </w:rPr>
        <w:t>Artikel 2.17 wordt als volgt gewijzigd:</w:t>
      </w:r>
    </w:p>
    <w:p w:rsidRPr="00D501C6" w:rsidR="00D501C6" w:rsidP="00D501C6" w14:paraId="43677855" w14:textId="37593030">
      <w:pPr>
        <w:spacing w:before="120" w:after="120" w:line="276" w:lineRule="auto"/>
        <w:rPr>
          <w:bCs/>
        </w:rPr>
      </w:pPr>
      <w:r w:rsidRPr="00D501C6">
        <w:rPr>
          <w:bCs/>
        </w:rPr>
        <w:t xml:space="preserve">1. Het eerste lid komt te luiden: </w:t>
      </w:r>
    </w:p>
    <w:p w:rsidRPr="00D501C6" w:rsidR="00D501C6" w:rsidP="00D501C6" w14:paraId="738036F5" w14:textId="77777777">
      <w:pPr>
        <w:spacing w:before="120" w:after="120" w:line="276" w:lineRule="auto"/>
        <w:rPr>
          <w:bCs/>
        </w:rPr>
      </w:pPr>
      <w:r w:rsidRPr="00D501C6">
        <w:rPr>
          <w:bCs/>
        </w:rPr>
        <w:t>1. Categorieën bouwwerken als bedoeld in artikel 7ab, eerste lid, van de Woningwet zijn bouwactiviteiten die:</w:t>
      </w:r>
    </w:p>
    <w:p w:rsidRPr="00D501C6" w:rsidR="00D501C6" w:rsidP="00D501C6" w14:paraId="18C94C4B" w14:textId="77777777">
      <w:pPr>
        <w:spacing w:before="120" w:after="120" w:line="276" w:lineRule="auto"/>
        <w:rPr>
          <w:bCs/>
        </w:rPr>
      </w:pPr>
      <w:r w:rsidRPr="00D501C6">
        <w:rPr>
          <w:bCs/>
        </w:rPr>
        <w:t>a. een bouwwerk als bedoeld in artikel 2.25 of 2.26 betreffen; en</w:t>
      </w:r>
    </w:p>
    <w:p w:rsidR="00D501C6" w:rsidP="00D501C6" w14:paraId="4AE305A8" w14:textId="77777777">
      <w:pPr>
        <w:spacing w:before="120" w:after="120" w:line="276" w:lineRule="auto"/>
        <w:rPr>
          <w:bCs/>
        </w:rPr>
      </w:pPr>
      <w:r w:rsidRPr="00D501C6">
        <w:rPr>
          <w:bCs/>
        </w:rPr>
        <w:t>b. vallen onder gevolgklasse 1 als bedoeld in het tweede lid.</w:t>
      </w:r>
    </w:p>
    <w:p w:rsidRPr="00FE359A" w:rsidR="00FE359A" w:rsidP="00D501C6" w14:paraId="5E4A19E6" w14:textId="48A05B7F">
      <w:pPr>
        <w:spacing w:before="120" w:after="120" w:line="276" w:lineRule="auto"/>
        <w:rPr>
          <w:bCs/>
        </w:rPr>
      </w:pPr>
      <w:r>
        <w:rPr>
          <w:bCs/>
        </w:rPr>
        <w:t>2</w:t>
      </w:r>
      <w:r w:rsidRPr="00FE359A">
        <w:rPr>
          <w:bCs/>
        </w:rPr>
        <w:t>. Het tweede lid wordt als volgt gewijzigd:</w:t>
      </w:r>
    </w:p>
    <w:p w:rsidRPr="00FE359A" w:rsidR="00FE359A" w:rsidP="00FE359A" w14:paraId="695EAF89" w14:textId="4E9D7C0D">
      <w:pPr>
        <w:spacing w:before="120" w:after="120" w:line="276" w:lineRule="auto"/>
        <w:rPr>
          <w:bCs/>
        </w:rPr>
      </w:pPr>
      <w:r w:rsidRPr="00FE359A">
        <w:rPr>
          <w:bCs/>
        </w:rPr>
        <w:t>a.</w:t>
      </w:r>
      <w:r w:rsidR="008E4386">
        <w:rPr>
          <w:bCs/>
        </w:rPr>
        <w:t xml:space="preserve"> </w:t>
      </w:r>
      <w:r w:rsidRPr="00FE359A">
        <w:rPr>
          <w:bCs/>
        </w:rPr>
        <w:t>Onderdeel a komt te luiden:</w:t>
      </w:r>
    </w:p>
    <w:p w:rsidRPr="00FE359A" w:rsidR="00146B29" w:rsidP="00FE359A" w14:paraId="0D8B35B9" w14:textId="025CD4CD">
      <w:pPr>
        <w:spacing w:before="120" w:after="120" w:line="276" w:lineRule="auto"/>
        <w:rPr>
          <w:bCs/>
        </w:rPr>
      </w:pPr>
      <w:r w:rsidRPr="00FE359A">
        <w:rPr>
          <w:bCs/>
        </w:rPr>
        <w:t>a. de bouwactiviteit geen gemeentelijk monument, voorbeschermd gemeentelijk monument, provinciaal monument, voorbeschermd provinciaal monument, rijksmonument of voorbeschermd rijksmonument betreft;</w:t>
      </w:r>
      <w:r w:rsidR="00D501C6">
        <w:rPr>
          <w:bCs/>
        </w:rPr>
        <w:t>.</w:t>
      </w:r>
    </w:p>
    <w:p w:rsidRPr="00FE359A" w:rsidR="00FE359A" w:rsidP="00FE359A" w14:paraId="22A44343" w14:textId="014BC024">
      <w:pPr>
        <w:spacing w:before="120" w:after="120" w:line="276" w:lineRule="auto"/>
        <w:rPr>
          <w:bCs/>
        </w:rPr>
      </w:pPr>
      <w:r>
        <w:rPr>
          <w:bCs/>
        </w:rPr>
        <w:t>b</w:t>
      </w:r>
      <w:r w:rsidRPr="00FE359A">
        <w:rPr>
          <w:bCs/>
        </w:rPr>
        <w:t>. In onderdeel e wordt de puntkomma</w:t>
      </w:r>
      <w:r w:rsidR="00FC62D8">
        <w:rPr>
          <w:bCs/>
        </w:rPr>
        <w:t xml:space="preserve"> vervangen door “; en”</w:t>
      </w:r>
      <w:r w:rsidR="00EF62A9">
        <w:rPr>
          <w:bCs/>
        </w:rPr>
        <w:t>.</w:t>
      </w:r>
    </w:p>
    <w:p w:rsidRPr="00FE359A" w:rsidR="00FE359A" w:rsidP="00FE359A" w14:paraId="12B52A40" w14:textId="24645955">
      <w:pPr>
        <w:spacing w:before="120" w:after="120" w:line="276" w:lineRule="auto"/>
        <w:rPr>
          <w:bCs/>
        </w:rPr>
      </w:pPr>
      <w:r>
        <w:rPr>
          <w:bCs/>
        </w:rPr>
        <w:t>3</w:t>
      </w:r>
      <w:r w:rsidRPr="00FE359A">
        <w:rPr>
          <w:bCs/>
        </w:rPr>
        <w:t>. Het derde lid wordt als volgt gewijzigd:</w:t>
      </w:r>
    </w:p>
    <w:p w:rsidRPr="00FE359A" w:rsidR="00FE359A" w:rsidP="00FE359A" w14:paraId="4B22829C" w14:textId="77777777">
      <w:pPr>
        <w:spacing w:before="120" w:after="120" w:line="276" w:lineRule="auto"/>
        <w:rPr>
          <w:bCs/>
        </w:rPr>
      </w:pPr>
      <w:r w:rsidRPr="00FE359A">
        <w:rPr>
          <w:bCs/>
        </w:rPr>
        <w:t>a. In de aanhef wordt “De gebruiksfunctie, bedoeld in het tweede lid” vervangen door “Een gebruiksfunctie als bedoeld in het tweede lid”.</w:t>
      </w:r>
    </w:p>
    <w:p w:rsidR="00C86DF8" w:rsidP="00FE359A" w14:paraId="76FEDF01" w14:textId="25EEE0AF">
      <w:pPr>
        <w:spacing w:before="120" w:after="120" w:line="276" w:lineRule="auto"/>
        <w:rPr>
          <w:bCs/>
        </w:rPr>
      </w:pPr>
      <w:r>
        <w:rPr>
          <w:bCs/>
        </w:rPr>
        <w:t>b. In de onderdelen a en b wordt “nevenfuncties” vervangen door “nevengebruiksfuncties”.</w:t>
      </w:r>
    </w:p>
    <w:p w:rsidR="00FE359A" w:rsidP="00FE359A" w14:paraId="05F97EB4" w14:textId="243B8951">
      <w:pPr>
        <w:spacing w:before="120" w:after="120" w:line="276" w:lineRule="auto"/>
        <w:rPr>
          <w:bCs/>
        </w:rPr>
      </w:pPr>
      <w:r>
        <w:rPr>
          <w:bCs/>
        </w:rPr>
        <w:t>c</w:t>
      </w:r>
      <w:r w:rsidRPr="00FE359A">
        <w:rPr>
          <w:bCs/>
        </w:rPr>
        <w:t xml:space="preserve">. In </w:t>
      </w:r>
      <w:r w:rsidR="00272440">
        <w:rPr>
          <w:bCs/>
        </w:rPr>
        <w:t xml:space="preserve">onderdeel </w:t>
      </w:r>
      <w:r w:rsidRPr="00FE359A">
        <w:rPr>
          <w:bCs/>
        </w:rPr>
        <w:t>f wordt “meter” vervangen door “m”.</w:t>
      </w:r>
    </w:p>
    <w:p w:rsidR="00272440" w:rsidP="00FE359A" w14:paraId="1653ECA5" w14:textId="77777777">
      <w:pPr>
        <w:spacing w:before="120" w:after="120" w:line="276" w:lineRule="auto"/>
        <w:rPr>
          <w:bCs/>
        </w:rPr>
      </w:pPr>
      <w:r>
        <w:rPr>
          <w:bCs/>
        </w:rPr>
        <w:t>d</w:t>
      </w:r>
      <w:r w:rsidR="003F6BC1">
        <w:rPr>
          <w:bCs/>
        </w:rPr>
        <w:t xml:space="preserve">. </w:t>
      </w:r>
      <w:r>
        <w:rPr>
          <w:bCs/>
        </w:rPr>
        <w:t>Onderdeel g komt te luiden:</w:t>
      </w:r>
    </w:p>
    <w:p w:rsidR="00F411A7" w:rsidP="00FE359A" w14:paraId="59222F84" w14:textId="2A2D1E71">
      <w:pPr>
        <w:spacing w:before="120" w:after="120" w:line="276" w:lineRule="auto"/>
        <w:rPr>
          <w:bCs/>
        </w:rPr>
      </w:pPr>
      <w:r>
        <w:rPr>
          <w:bCs/>
        </w:rPr>
        <w:t>g. een bovengronds gelegen bouwwerk geen gebouw zijnde dat niet hoger is dan 20 m, met uitzondering van een infrastructurele voorziening bestemd voor verkeer die niet voldoet aan de onder f gestelde eisen of een bouwwerk met een waterkerende functie.</w:t>
      </w:r>
    </w:p>
    <w:p w:rsidR="00531098" w:rsidP="00FE359A" w14:paraId="52DB56AD" w14:textId="77777777">
      <w:pPr>
        <w:spacing w:before="120" w:after="120" w:line="276" w:lineRule="auto"/>
        <w:rPr>
          <w:bCs/>
        </w:rPr>
      </w:pPr>
    </w:p>
    <w:p w:rsidR="00FE359A" w:rsidP="00FE359A" w14:paraId="7E2F8CD4" w14:textId="0A746629">
      <w:pPr>
        <w:spacing w:before="120" w:after="120" w:line="276" w:lineRule="auto"/>
        <w:rPr>
          <w:b/>
        </w:rPr>
      </w:pPr>
      <w:r>
        <w:rPr>
          <w:b/>
        </w:rPr>
        <w:t>D</w:t>
      </w:r>
    </w:p>
    <w:p w:rsidRPr="00FE359A" w:rsidR="008E4386" w:rsidP="00FE359A" w14:paraId="2298C7B6" w14:textId="77777777">
      <w:pPr>
        <w:spacing w:before="120" w:after="120" w:line="276" w:lineRule="auto"/>
        <w:rPr>
          <w:b/>
        </w:rPr>
      </w:pPr>
    </w:p>
    <w:p w:rsidRPr="00FE359A" w:rsidR="00FE359A" w:rsidP="00FE359A" w14:paraId="56AD868F" w14:textId="386433DF">
      <w:pPr>
        <w:spacing w:before="120" w:after="120" w:line="276" w:lineRule="auto"/>
        <w:rPr>
          <w:bCs/>
        </w:rPr>
      </w:pPr>
      <w:r>
        <w:rPr>
          <w:bCs/>
        </w:rPr>
        <w:t>In ar</w:t>
      </w:r>
      <w:r w:rsidRPr="00FE359A">
        <w:rPr>
          <w:bCs/>
        </w:rPr>
        <w:t>tikel 2.18</w:t>
      </w:r>
      <w:r>
        <w:rPr>
          <w:bCs/>
        </w:rPr>
        <w:t>, eerste lid,</w:t>
      </w:r>
      <w:r w:rsidRPr="00FE359A">
        <w:rPr>
          <w:bCs/>
        </w:rPr>
        <w:t xml:space="preserve"> wordt “uit te voeren” vervangen door “te verrichten”.</w:t>
      </w:r>
    </w:p>
    <w:p w:rsidR="00C878E3" w:rsidP="00FE359A" w14:paraId="5A24A92C" w14:textId="77777777">
      <w:pPr>
        <w:spacing w:before="120" w:after="120" w:line="276" w:lineRule="auto"/>
        <w:rPr>
          <w:b/>
        </w:rPr>
      </w:pPr>
    </w:p>
    <w:p w:rsidR="0081410C" w14:paraId="210DC3A6" w14:textId="77777777">
      <w:pPr>
        <w:spacing w:line="240" w:lineRule="auto"/>
        <w:rPr>
          <w:b/>
        </w:rPr>
      </w:pPr>
      <w:r>
        <w:rPr>
          <w:b/>
        </w:rPr>
        <w:br w:type="page"/>
      </w:r>
    </w:p>
    <w:p w:rsidR="00583BC1" w:rsidP="00FE359A" w14:paraId="3C353003" w14:textId="6987FD50">
      <w:pPr>
        <w:spacing w:before="120" w:after="120" w:line="276" w:lineRule="auto"/>
        <w:rPr>
          <w:b/>
        </w:rPr>
      </w:pPr>
      <w:r>
        <w:rPr>
          <w:b/>
        </w:rPr>
        <w:t>E</w:t>
      </w:r>
    </w:p>
    <w:p w:rsidR="0081410C" w:rsidP="00D501C6" w14:paraId="28DE0C3B" w14:textId="77777777">
      <w:pPr>
        <w:spacing w:before="120" w:after="120" w:line="276" w:lineRule="auto"/>
        <w:rPr>
          <w:b/>
        </w:rPr>
      </w:pPr>
    </w:p>
    <w:p w:rsidRPr="00D501C6" w:rsidR="008E4386" w:rsidP="00D501C6" w14:paraId="52AB8944" w14:textId="3E8FAC9E">
      <w:pPr>
        <w:spacing w:before="120" w:after="120" w:line="276" w:lineRule="auto"/>
        <w:rPr>
          <w:bCs/>
        </w:rPr>
      </w:pPr>
      <w:r>
        <w:rPr>
          <w:bCs/>
        </w:rPr>
        <w:t xml:space="preserve">In artikel 2.19, eerste lid, onderdeel g, wordt “betreffende” vervangen door “over”. </w:t>
      </w:r>
    </w:p>
    <w:p w:rsidR="008E4386" w:rsidP="00FE359A" w14:paraId="226B1230" w14:textId="77777777">
      <w:pPr>
        <w:spacing w:before="120" w:after="120" w:line="276" w:lineRule="auto"/>
        <w:rPr>
          <w:b/>
        </w:rPr>
      </w:pPr>
    </w:p>
    <w:p w:rsidR="003F6BC1" w:rsidP="00FE359A" w14:paraId="33F70750" w14:textId="19BDD397">
      <w:pPr>
        <w:spacing w:before="120" w:after="120" w:line="276" w:lineRule="auto"/>
        <w:rPr>
          <w:b/>
        </w:rPr>
      </w:pPr>
      <w:r>
        <w:rPr>
          <w:b/>
        </w:rPr>
        <w:t>F</w:t>
      </w:r>
    </w:p>
    <w:p w:rsidR="008E4386" w:rsidP="003F6BC1" w14:paraId="57D431FD" w14:textId="77777777">
      <w:pPr>
        <w:spacing w:before="120" w:after="120" w:line="276" w:lineRule="auto"/>
        <w:rPr>
          <w:bCs/>
        </w:rPr>
      </w:pPr>
    </w:p>
    <w:p w:rsidR="003F6BC1" w:rsidP="003F6BC1" w14:paraId="02129821" w14:textId="5A32542D">
      <w:pPr>
        <w:spacing w:before="120" w:after="120" w:line="276" w:lineRule="auto"/>
        <w:rPr>
          <w:bCs/>
        </w:rPr>
      </w:pPr>
      <w:r>
        <w:rPr>
          <w:bCs/>
        </w:rPr>
        <w:t>Artikel 2.21 wordt als volgt gewijzigd:</w:t>
      </w:r>
    </w:p>
    <w:p w:rsidRPr="00F97BDC" w:rsidR="003F6BC1" w:rsidP="003F6BC1" w14:paraId="6CD4F915" w14:textId="46EE533F">
      <w:pPr>
        <w:spacing w:before="120" w:after="120" w:line="276" w:lineRule="auto"/>
        <w:rPr>
          <w:bCs/>
        </w:rPr>
      </w:pPr>
      <w:r w:rsidRPr="003F6BC1">
        <w:rPr>
          <w:bCs/>
        </w:rPr>
        <w:t>1.</w:t>
      </w:r>
      <w:r>
        <w:rPr>
          <w:bCs/>
        </w:rPr>
        <w:t xml:space="preserve"> In het eerste lid wordt </w:t>
      </w:r>
      <w:r w:rsidR="008C071C">
        <w:rPr>
          <w:bCs/>
        </w:rPr>
        <w:t>“</w:t>
      </w:r>
      <w:r w:rsidRPr="00E5733F" w:rsidR="00E5733F">
        <w:t>het bouwwerk of de bouwwerken die onderdeel uitmaken</w:t>
      </w:r>
      <w:r w:rsidR="00E5733F">
        <w:t>”</w:t>
      </w:r>
      <w:r w:rsidRPr="00E5733F" w:rsidR="00E5733F">
        <w:rPr>
          <w:bCs/>
        </w:rPr>
        <w:t xml:space="preserve"> </w:t>
      </w:r>
      <w:r w:rsidR="008C071C">
        <w:rPr>
          <w:bCs/>
        </w:rPr>
        <w:t>vervangen door “een bouwwerk</w:t>
      </w:r>
      <w:r w:rsidR="00E5733F">
        <w:rPr>
          <w:bCs/>
        </w:rPr>
        <w:t xml:space="preserve"> dat onderdeel uitmaakt</w:t>
      </w:r>
      <w:r w:rsidR="008C071C">
        <w:rPr>
          <w:bCs/>
        </w:rPr>
        <w:t>”</w:t>
      </w:r>
      <w:r w:rsidR="005626AC">
        <w:rPr>
          <w:bCs/>
        </w:rPr>
        <w:t>.</w:t>
      </w:r>
    </w:p>
    <w:p w:rsidR="005626AC" w:rsidP="00FE359A" w14:paraId="14D667AB" w14:textId="77777777">
      <w:pPr>
        <w:spacing w:before="120" w:after="120" w:line="276" w:lineRule="auto"/>
        <w:rPr>
          <w:bCs/>
        </w:rPr>
      </w:pPr>
      <w:r>
        <w:rPr>
          <w:bCs/>
        </w:rPr>
        <w:t>2. Het tweede lid wordt als volgt gewijzigd:</w:t>
      </w:r>
    </w:p>
    <w:p w:rsidR="003F6BC1" w:rsidP="00FE359A" w14:paraId="275F04A1" w14:textId="31BECE0F">
      <w:pPr>
        <w:spacing w:before="120" w:after="120" w:line="276" w:lineRule="auto"/>
        <w:rPr>
          <w:bCs/>
        </w:rPr>
      </w:pPr>
      <w:r>
        <w:rPr>
          <w:bCs/>
        </w:rPr>
        <w:t xml:space="preserve">a. In de aanhef wordt “gerealiseerde” vervangen door “verrichte”. </w:t>
      </w:r>
    </w:p>
    <w:p w:rsidR="005626AC" w:rsidP="00FE359A" w14:paraId="05882DE6" w14:textId="10308BCF">
      <w:pPr>
        <w:spacing w:before="120" w:after="120" w:line="276" w:lineRule="auto"/>
        <w:rPr>
          <w:bCs/>
        </w:rPr>
      </w:pPr>
      <w:r>
        <w:rPr>
          <w:bCs/>
        </w:rPr>
        <w:t xml:space="preserve">b. In onderdeel a wordt na “artikel 2.18” </w:t>
      </w:r>
      <w:r w:rsidR="00A576AC">
        <w:rPr>
          <w:bCs/>
        </w:rPr>
        <w:t xml:space="preserve">een komma </w:t>
      </w:r>
      <w:r>
        <w:rPr>
          <w:bCs/>
        </w:rPr>
        <w:t xml:space="preserve">ingevoegd. </w:t>
      </w:r>
    </w:p>
    <w:p w:rsidR="005626AC" w:rsidP="00FE359A" w14:paraId="5862ABB1" w14:textId="3C79B250">
      <w:pPr>
        <w:spacing w:before="120" w:after="120" w:line="276" w:lineRule="auto"/>
        <w:rPr>
          <w:bCs/>
        </w:rPr>
      </w:pPr>
      <w:r>
        <w:rPr>
          <w:bCs/>
        </w:rPr>
        <w:t>c. In onderdeel c wordt “uitgevoerd” vervangen door “verricht</w:t>
      </w:r>
      <w:r w:rsidR="00A576AC">
        <w:rPr>
          <w:bCs/>
        </w:rPr>
        <w:t>”</w:t>
      </w:r>
      <w:r>
        <w:rPr>
          <w:bCs/>
        </w:rPr>
        <w:t xml:space="preserve">. </w:t>
      </w:r>
    </w:p>
    <w:p w:rsidRPr="00F97BDC" w:rsidR="005626AC" w:rsidP="00FE359A" w14:paraId="2A939545" w14:textId="31704EC1">
      <w:pPr>
        <w:spacing w:before="120" w:after="120" w:line="276" w:lineRule="auto"/>
        <w:rPr>
          <w:bCs/>
        </w:rPr>
      </w:pPr>
      <w:r>
        <w:rPr>
          <w:bCs/>
        </w:rPr>
        <w:t xml:space="preserve">d. In onderdeel d wordt na “waarbij” </w:t>
      </w:r>
      <w:r w:rsidR="00A576AC">
        <w:rPr>
          <w:bCs/>
        </w:rPr>
        <w:t xml:space="preserve">een komma </w:t>
      </w:r>
      <w:r>
        <w:rPr>
          <w:bCs/>
        </w:rPr>
        <w:t>ingevoegd.</w:t>
      </w:r>
    </w:p>
    <w:p w:rsidR="003F6BC1" w:rsidP="00FE359A" w14:paraId="40D7974E" w14:textId="3C8A11B0">
      <w:pPr>
        <w:spacing w:before="120" w:after="120" w:line="276" w:lineRule="auto"/>
        <w:rPr>
          <w:bCs/>
        </w:rPr>
      </w:pPr>
      <w:r>
        <w:rPr>
          <w:bCs/>
        </w:rPr>
        <w:t xml:space="preserve">e. In onderdeel e wordt na “gebruiksfunctie” </w:t>
      </w:r>
      <w:r w:rsidR="00014BC1">
        <w:rPr>
          <w:bCs/>
        </w:rPr>
        <w:t xml:space="preserve">een komma </w:t>
      </w:r>
      <w:r>
        <w:rPr>
          <w:bCs/>
        </w:rPr>
        <w:t>ingevoegd.</w:t>
      </w:r>
    </w:p>
    <w:p w:rsidR="009D179C" w:rsidP="00FE359A" w14:paraId="1114B64D" w14:textId="17D56308">
      <w:pPr>
        <w:spacing w:before="120" w:after="120" w:line="276" w:lineRule="auto"/>
        <w:rPr>
          <w:bCs/>
        </w:rPr>
      </w:pPr>
      <w:r>
        <w:rPr>
          <w:bCs/>
        </w:rPr>
        <w:t xml:space="preserve">f. In onderdeel f, </w:t>
      </w:r>
      <w:r w:rsidR="00014BC1">
        <w:rPr>
          <w:bCs/>
        </w:rPr>
        <w:t xml:space="preserve">onder </w:t>
      </w:r>
      <w:r>
        <w:rPr>
          <w:bCs/>
        </w:rPr>
        <w:t xml:space="preserve">1, wordt “belastingcombinaties” vervangen door “belastingscombinaties”. </w:t>
      </w:r>
    </w:p>
    <w:p w:rsidR="009D179C" w:rsidP="00FE359A" w14:paraId="3B346039" w14:textId="0CFD9BE7">
      <w:pPr>
        <w:spacing w:before="120" w:after="120" w:line="276" w:lineRule="auto"/>
        <w:rPr>
          <w:bCs/>
        </w:rPr>
      </w:pPr>
      <w:r>
        <w:rPr>
          <w:bCs/>
        </w:rPr>
        <w:t xml:space="preserve">g. Aan het slot van onderdeel f, </w:t>
      </w:r>
      <w:r w:rsidR="00014BC1">
        <w:rPr>
          <w:bCs/>
        </w:rPr>
        <w:t xml:space="preserve">onder </w:t>
      </w:r>
      <w:r>
        <w:rPr>
          <w:bCs/>
        </w:rPr>
        <w:t xml:space="preserve">4, wordt </w:t>
      </w:r>
      <w:r w:rsidR="00014BC1">
        <w:rPr>
          <w:bCs/>
        </w:rPr>
        <w:t>de puntkomma</w:t>
      </w:r>
      <w:r>
        <w:rPr>
          <w:bCs/>
        </w:rPr>
        <w:t xml:space="preserve"> vervangen door “; en”. </w:t>
      </w:r>
    </w:p>
    <w:p w:rsidR="009C4E03" w:rsidP="00FE359A" w14:paraId="4A02B26E" w14:textId="27474B51">
      <w:pPr>
        <w:spacing w:before="120" w:after="120" w:line="276" w:lineRule="auto"/>
        <w:rPr>
          <w:bCs/>
        </w:rPr>
      </w:pPr>
      <w:r>
        <w:rPr>
          <w:bCs/>
        </w:rPr>
        <w:t xml:space="preserve">3. </w:t>
      </w:r>
      <w:r w:rsidR="00D501C6">
        <w:rPr>
          <w:bCs/>
        </w:rPr>
        <w:t xml:space="preserve">Er </w:t>
      </w:r>
      <w:r>
        <w:rPr>
          <w:bCs/>
        </w:rPr>
        <w:t>wordt een lid toegevoegd, luidende:</w:t>
      </w:r>
    </w:p>
    <w:p w:rsidRPr="00F97BDC" w:rsidR="009C4E03" w:rsidP="00FE359A" w14:paraId="2746CABC" w14:textId="3FFC7C71">
      <w:pPr>
        <w:spacing w:before="120" w:after="120" w:line="276" w:lineRule="auto"/>
        <w:rPr>
          <w:bCs/>
        </w:rPr>
      </w:pPr>
      <w:r w:rsidRPr="009C4E03">
        <w:rPr>
          <w:bCs/>
        </w:rPr>
        <w:t>3. Een melding kan betrekking hebben op meerdere bouwwerken op hetzelfde terrein of op met elkaar samenhangende terreinen.</w:t>
      </w:r>
    </w:p>
    <w:p w:rsidR="00C878E3" w:rsidP="00FE359A" w14:paraId="46CEBD70" w14:textId="22954A7E">
      <w:pPr>
        <w:spacing w:before="120" w:after="120" w:line="276" w:lineRule="auto"/>
        <w:rPr>
          <w:b/>
        </w:rPr>
      </w:pPr>
    </w:p>
    <w:p w:rsidR="00CF3C6E" w:rsidP="00CF3C6E" w14:paraId="3267441F" w14:textId="4D4D43B2">
      <w:pPr>
        <w:spacing w:before="120" w:after="120" w:line="276" w:lineRule="auto"/>
        <w:rPr>
          <w:b/>
          <w:bCs/>
        </w:rPr>
      </w:pPr>
      <w:r w:rsidRPr="00482849">
        <w:rPr>
          <w:b/>
          <w:bCs/>
        </w:rPr>
        <w:t>G</w:t>
      </w:r>
    </w:p>
    <w:p w:rsidRPr="00482849" w:rsidR="008E4386" w:rsidP="00CF3C6E" w14:paraId="378B551A" w14:textId="77777777">
      <w:pPr>
        <w:spacing w:before="120" w:after="120" w:line="276" w:lineRule="auto"/>
        <w:rPr>
          <w:b/>
          <w:bCs/>
        </w:rPr>
      </w:pPr>
    </w:p>
    <w:p w:rsidRPr="00FE359A" w:rsidR="00CF3C6E" w:rsidP="00CF3C6E" w14:paraId="06574F12" w14:textId="60E0D898">
      <w:pPr>
        <w:spacing w:before="120" w:after="120" w:line="276" w:lineRule="auto"/>
      </w:pPr>
      <w:r>
        <w:t>Aan afdeling 2.2</w:t>
      </w:r>
      <w:r w:rsidR="00CE635A">
        <w:t>a</w:t>
      </w:r>
      <w:r>
        <w:t xml:space="preserve"> </w:t>
      </w:r>
      <w:r w:rsidRPr="00FE359A">
        <w:t xml:space="preserve">wordt een artikel </w:t>
      </w:r>
      <w:r>
        <w:t>toe</w:t>
      </w:r>
      <w:r w:rsidRPr="00FE359A">
        <w:t>gevoegd, luidende:</w:t>
      </w:r>
    </w:p>
    <w:p w:rsidRPr="00CE5161" w:rsidR="00CE5161" w:rsidP="00CE5161" w14:paraId="6C55C660" w14:textId="77777777">
      <w:pPr>
        <w:spacing w:before="120" w:after="120" w:line="276" w:lineRule="auto"/>
        <w:rPr>
          <w:b/>
          <w:bCs/>
        </w:rPr>
      </w:pPr>
      <w:r w:rsidRPr="00CE5161">
        <w:rPr>
          <w:b/>
          <w:bCs/>
        </w:rPr>
        <w:t>Artikel 2.21a (afbakening maatwerkvoorschrift ingebruikname)</w:t>
      </w:r>
    </w:p>
    <w:p w:rsidRPr="00CF3C6E" w:rsidR="00CE5161" w:rsidP="00CE5161" w14:paraId="31A83235" w14:textId="21813219">
      <w:pPr>
        <w:spacing w:before="120" w:after="120" w:line="276" w:lineRule="auto"/>
      </w:pPr>
      <w:r w:rsidRPr="00CF3C6E">
        <w:t>1. Een maatwerkvoorschrift over artikel 2.21</w:t>
      </w:r>
      <w:r w:rsidR="00CF15EC">
        <w:t>, eerste lid,</w:t>
      </w:r>
      <w:r w:rsidRPr="00CF3C6E">
        <w:t xml:space="preserve"> kan alleen inhouden dat de verklaring, bedoeld in </w:t>
      </w:r>
      <w:r w:rsidR="00AA2BD5">
        <w:t xml:space="preserve">het </w:t>
      </w:r>
      <w:r>
        <w:t xml:space="preserve">tweede lid, onder d, </w:t>
      </w:r>
      <w:r w:rsidR="00CF15EC">
        <w:t xml:space="preserve">van dat artikel, </w:t>
      </w:r>
      <w:r w:rsidRPr="00CF3C6E">
        <w:t xml:space="preserve">geen onderdeel is van de melding, bedoeld in </w:t>
      </w:r>
      <w:r w:rsidR="000B1341">
        <w:t>artikel</w:t>
      </w:r>
      <w:r w:rsidR="00CF15EC">
        <w:t xml:space="preserve"> 2.21, eerste lid</w:t>
      </w:r>
      <w:r>
        <w:t>.</w:t>
      </w:r>
    </w:p>
    <w:p w:rsidR="00FD3F8C" w:rsidP="00CE5161" w14:paraId="38976B11" w14:textId="16E0D62F">
      <w:pPr>
        <w:spacing w:before="120" w:after="120" w:line="276" w:lineRule="auto"/>
      </w:pPr>
      <w:r w:rsidRPr="00CF3C6E">
        <w:t xml:space="preserve">2. </w:t>
      </w:r>
      <w:r w:rsidR="00CC4EC1">
        <w:t>Een</w:t>
      </w:r>
      <w:r w:rsidRPr="00CF3C6E">
        <w:t xml:space="preserve"> maatwerkvoorschrift wordt alleen gesteld als</w:t>
      </w:r>
      <w:r w:rsidR="00F24815">
        <w:t xml:space="preserve"> </w:t>
      </w:r>
      <w:r w:rsidRPr="00FE359A">
        <w:t>het herstel van de gebreken</w:t>
      </w:r>
      <w:r>
        <w:t xml:space="preserve"> die aan die verklaring in de weg staan,</w:t>
      </w:r>
      <w:r w:rsidRPr="00FE359A">
        <w:t xml:space="preserve"> </w:t>
      </w:r>
      <w:r>
        <w:t>onevenredig is in verhouding tot de oogmerken van de regels waaraan niet wordt voldaan</w:t>
      </w:r>
      <w:r w:rsidR="00286087">
        <w:t>.</w:t>
      </w:r>
    </w:p>
    <w:p w:rsidR="003118A5" w:rsidP="003118A5" w14:paraId="7A99D033" w14:textId="77777777">
      <w:pPr>
        <w:pStyle w:val="NoSpacing"/>
      </w:pPr>
    </w:p>
    <w:p w:rsidR="008E67D9" w:rsidP="003118A5" w14:paraId="67D4D876" w14:textId="77777777">
      <w:pPr>
        <w:pStyle w:val="NoSpacing"/>
        <w:rPr>
          <w:b/>
          <w:bCs/>
        </w:rPr>
        <w:sectPr>
          <w:headerReference w:type="even" r:id="rId9"/>
          <w:headerReference w:type="default" r:id="rId10"/>
          <w:footerReference w:type="even" r:id="rId11"/>
          <w:footerReference w:type="default" r:id="rId12"/>
          <w:headerReference w:type="first" r:id="rId13"/>
          <w:footerReference w:type="first" r:id="rId14"/>
          <w:pgSz w:w="11905" w:h="16837"/>
          <w:pgMar w:top="2577" w:right="1765" w:bottom="1128" w:left="2011" w:header="0" w:footer="0" w:gutter="0"/>
          <w:cols w:space="708"/>
          <w:titlePg/>
        </w:sectPr>
      </w:pPr>
    </w:p>
    <w:p w:rsidR="003118A5" w:rsidP="003118A5" w14:paraId="5C7EE25A" w14:textId="77777777">
      <w:pPr>
        <w:pStyle w:val="NoSpacing"/>
        <w:rPr>
          <w:b/>
          <w:bCs/>
        </w:rPr>
      </w:pPr>
      <w:r>
        <w:rPr>
          <w:b/>
          <w:bCs/>
        </w:rPr>
        <w:t>H</w:t>
      </w:r>
    </w:p>
    <w:p w:rsidR="003118A5" w:rsidP="003118A5" w14:paraId="052E8072" w14:textId="77777777">
      <w:pPr>
        <w:pStyle w:val="NoSpacing"/>
        <w:rPr>
          <w:b/>
          <w:bCs/>
        </w:rPr>
      </w:pPr>
    </w:p>
    <w:p w:rsidR="003118A5" w:rsidP="003118A5" w14:paraId="0ABE7436" w14:textId="77777777">
      <w:pPr>
        <w:pStyle w:val="NoSpacing"/>
      </w:pPr>
      <w:r>
        <w:t>Tabel 3.118 komt te luiden:</w:t>
      </w:r>
    </w:p>
    <w:p w:rsidR="003118A5" w:rsidP="003118A5" w14:paraId="777A40EB" w14:textId="77777777">
      <w:pPr>
        <w:pStyle w:val="NoSpacing"/>
        <w:rPr>
          <w:b/>
          <w:bCs/>
        </w:rPr>
      </w:pPr>
    </w:p>
    <w:p w:rsidRPr="003118A5" w:rsidR="003118A5" w:rsidP="003118A5" w14:paraId="477CE31B" w14:textId="41C841DF">
      <w:pPr>
        <w:pStyle w:val="NoSpacing"/>
        <w:rPr>
          <w:b/>
          <w:bCs/>
        </w:rPr>
      </w:pPr>
      <w:r>
        <w:rPr>
          <w:b/>
          <w:bCs/>
        </w:rPr>
        <w:t>Tabel 3.118</w:t>
      </w:r>
    </w:p>
    <w:tbl>
      <w:tblPr>
        <w:tblW w:w="26789" w:type="dxa"/>
        <w:tblCellMar>
          <w:left w:w="70" w:type="dxa"/>
          <w:right w:w="70" w:type="dxa"/>
        </w:tblCellMar>
        <w:tblLook w:val="04A0"/>
      </w:tblPr>
      <w:tblGrid>
        <w:gridCol w:w="15449"/>
        <w:gridCol w:w="11340"/>
      </w:tblGrid>
      <w:tr w:rsidTr="008E105C" w14:paraId="052E6A96" w14:textId="77777777">
        <w:tblPrEx>
          <w:tblW w:w="26789" w:type="dxa"/>
          <w:tblCellMar>
            <w:left w:w="70" w:type="dxa"/>
            <w:right w:w="70" w:type="dxa"/>
          </w:tblCellMar>
          <w:tblLook w:val="04A0"/>
        </w:tblPrEx>
        <w:trPr>
          <w:trHeight w:val="288"/>
        </w:trPr>
        <w:tc>
          <w:tcPr>
            <w:tcW w:w="15449" w:type="dxa"/>
            <w:shd w:val="clear" w:color="auto" w:fill="auto"/>
            <w:noWrap/>
            <w:vAlign w:val="center"/>
          </w:tcPr>
          <w:tbl>
            <w:tblPr>
              <w:tblW w:w="15016" w:type="dxa"/>
              <w:tblCellMar>
                <w:left w:w="70" w:type="dxa"/>
                <w:right w:w="70" w:type="dxa"/>
              </w:tblCellMar>
              <w:tblLook w:val="04A0"/>
            </w:tblPr>
            <w:tblGrid>
              <w:gridCol w:w="319"/>
              <w:gridCol w:w="228"/>
              <w:gridCol w:w="3229"/>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146"/>
            </w:tblGrid>
            <w:tr w:rsidTr="008E105C" w14:paraId="777E86A0" w14:textId="77777777">
              <w:tblPrEx>
                <w:tblW w:w="15016" w:type="dxa"/>
                <w:tblCellMar>
                  <w:left w:w="70" w:type="dxa"/>
                  <w:right w:w="70" w:type="dxa"/>
                </w:tblCellMar>
                <w:tblLook w:val="04A0"/>
              </w:tblPrEx>
              <w:trPr>
                <w:gridAfter w:val="1"/>
                <w:wAfter w:w="36" w:type="dxa"/>
                <w:trHeight w:val="288"/>
              </w:trPr>
              <w:tc>
                <w:tcPr>
                  <w:tcW w:w="36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4041B" w:rsidR="003118A5" w:rsidP="008E105C" w14:paraId="1D215216" w14:textId="77777777">
                  <w:pPr>
                    <w:spacing w:line="240" w:lineRule="auto"/>
                    <w:rPr>
                      <w:rFonts w:eastAsia="Times New Roman" w:cs="Calibri"/>
                      <w:b/>
                      <w:bCs/>
                      <w:sz w:val="14"/>
                      <w:szCs w:val="14"/>
                    </w:rPr>
                  </w:pPr>
                  <w:r w:rsidRPr="0014041B">
                    <w:rPr>
                      <w:rFonts w:eastAsia="Times New Roman" w:cs="Arial"/>
                      <w:b/>
                      <w:bCs/>
                      <w:sz w:val="14"/>
                      <w:szCs w:val="14"/>
                    </w:rPr>
                    <w:t xml:space="preserve">gebruiksfunctie </w:t>
                  </w:r>
                </w:p>
              </w:tc>
              <w:tc>
                <w:tcPr>
                  <w:tcW w:w="11340" w:type="dxa"/>
                  <w:gridSpan w:val="21"/>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2256D037" w14:textId="77777777">
                  <w:pPr>
                    <w:spacing w:line="240" w:lineRule="auto"/>
                    <w:rPr>
                      <w:rFonts w:eastAsia="Times New Roman" w:cs="Calibri"/>
                      <w:b/>
                      <w:bCs/>
                      <w:sz w:val="14"/>
                      <w:szCs w:val="14"/>
                    </w:rPr>
                  </w:pPr>
                  <w:r w:rsidRPr="0014041B">
                    <w:rPr>
                      <w:rFonts w:eastAsia="Times New Roman" w:cs="Arial"/>
                      <w:b/>
                      <w:bCs/>
                      <w:sz w:val="14"/>
                      <w:szCs w:val="14"/>
                    </w:rPr>
                    <w:t xml:space="preserve">leden van toepassing </w:t>
                  </w:r>
                </w:p>
              </w:tc>
            </w:tr>
            <w:tr w:rsidTr="008E105C" w14:paraId="4DD5CC88" w14:textId="77777777">
              <w:tblPrEx>
                <w:tblW w:w="15016" w:type="dxa"/>
                <w:tblCellMar>
                  <w:left w:w="70" w:type="dxa"/>
                  <w:right w:w="70" w:type="dxa"/>
                </w:tblCellMar>
                <w:tblLook w:val="04A0"/>
              </w:tblPrEx>
              <w:trPr>
                <w:gridAfter w:val="1"/>
                <w:wAfter w:w="36" w:type="dxa"/>
                <w:trHeight w:val="504"/>
              </w:trPr>
              <w:tc>
                <w:tcPr>
                  <w:tcW w:w="264" w:type="dxa"/>
                  <w:vMerge w:val="restart"/>
                  <w:tcBorders>
                    <w:top w:val="nil"/>
                    <w:left w:val="single" w:color="auto" w:sz="4" w:space="0"/>
                    <w:bottom w:val="single" w:color="auto" w:sz="4" w:space="0"/>
                    <w:right w:val="single" w:color="FFFFFF" w:sz="4" w:space="0"/>
                  </w:tcBorders>
                  <w:shd w:val="clear" w:color="auto" w:fill="auto"/>
                  <w:noWrap/>
                  <w:vAlign w:val="center"/>
                  <w:hideMark/>
                </w:tcPr>
                <w:p w:rsidRPr="0014041B" w:rsidR="003118A5" w:rsidP="008E105C" w14:paraId="4BFF8E40" w14:textId="77777777">
                  <w:pPr>
                    <w:spacing w:line="240" w:lineRule="auto"/>
                    <w:rPr>
                      <w:rFonts w:eastAsia="Times New Roman" w:cs="Calibri"/>
                      <w:b/>
                      <w:bCs/>
                      <w:sz w:val="14"/>
                      <w:szCs w:val="14"/>
                    </w:rPr>
                  </w:pPr>
                  <w:r w:rsidRPr="0014041B">
                    <w:rPr>
                      <w:rFonts w:eastAsia="Times New Roman" w:cs="Arial"/>
                      <w:b/>
                      <w:bCs/>
                      <w:sz w:val="14"/>
                      <w:szCs w:val="14"/>
                    </w:rPr>
                    <w:t> </w:t>
                  </w:r>
                </w:p>
              </w:tc>
              <w:tc>
                <w:tcPr>
                  <w:tcW w:w="147" w:type="dxa"/>
                  <w:vMerge w:val="restart"/>
                  <w:tcBorders>
                    <w:top w:val="nil"/>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26011D45" w14:textId="77777777">
                  <w:pPr>
                    <w:spacing w:line="240" w:lineRule="auto"/>
                    <w:rPr>
                      <w:rFonts w:eastAsia="Times New Roman" w:cs="Calibri"/>
                      <w:b/>
                      <w:bCs/>
                      <w:sz w:val="14"/>
                      <w:szCs w:val="14"/>
                    </w:rPr>
                  </w:pPr>
                  <w:r w:rsidRPr="0014041B">
                    <w:rPr>
                      <w:rFonts w:eastAsia="Times New Roman" w:cs="Arial"/>
                      <w:b/>
                      <w:bCs/>
                      <w:sz w:val="14"/>
                      <w:szCs w:val="14"/>
                    </w:rPr>
                    <w:t> </w:t>
                  </w:r>
                </w:p>
              </w:tc>
              <w:tc>
                <w:tcPr>
                  <w:tcW w:w="3229" w:type="dxa"/>
                  <w:vMerge w:val="restart"/>
                  <w:tcBorders>
                    <w:top w:val="nil"/>
                    <w:left w:val="single" w:color="FFFFFF" w:sz="4" w:space="0"/>
                    <w:bottom w:val="single" w:color="auto" w:sz="4" w:space="0"/>
                    <w:right w:val="single" w:color="auto" w:sz="4" w:space="0"/>
                  </w:tcBorders>
                  <w:shd w:val="clear" w:color="auto" w:fill="auto"/>
                  <w:noWrap/>
                  <w:vAlign w:val="center"/>
                  <w:hideMark/>
                </w:tcPr>
                <w:p w:rsidRPr="0014041B" w:rsidR="003118A5" w:rsidP="008E105C" w14:paraId="13CCA8C0" w14:textId="77777777">
                  <w:pPr>
                    <w:spacing w:line="240" w:lineRule="auto"/>
                    <w:rPr>
                      <w:rFonts w:eastAsia="Times New Roman" w:cs="Calibri"/>
                      <w:b/>
                      <w:bCs/>
                      <w:sz w:val="14"/>
                      <w:szCs w:val="14"/>
                    </w:rPr>
                  </w:pPr>
                  <w:r w:rsidRPr="0014041B">
                    <w:rPr>
                      <w:rFonts w:eastAsia="Times New Roman" w:cs="Arial"/>
                      <w:b/>
                      <w:bCs/>
                      <w:sz w:val="14"/>
                      <w:szCs w:val="14"/>
                    </w:rPr>
                    <w:t> </w:t>
                  </w:r>
                </w:p>
              </w:tc>
              <w:tc>
                <w:tcPr>
                  <w:tcW w:w="1620" w:type="dxa"/>
                  <w:gridSpan w:val="3"/>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2D728892" w14:textId="77777777">
                  <w:pPr>
                    <w:spacing w:line="240" w:lineRule="auto"/>
                    <w:rPr>
                      <w:rFonts w:eastAsia="Times New Roman" w:cs="Calibri"/>
                      <w:sz w:val="14"/>
                      <w:szCs w:val="14"/>
                    </w:rPr>
                  </w:pPr>
                  <w:r w:rsidRPr="0014041B">
                    <w:rPr>
                      <w:rFonts w:eastAsia="Times New Roman" w:cs="Arial"/>
                      <w:sz w:val="14"/>
                      <w:szCs w:val="14"/>
                    </w:rPr>
                    <w:t>ontruimingsalarminstallatie</w:t>
                  </w:r>
                </w:p>
              </w:tc>
              <w:tc>
                <w:tcPr>
                  <w:tcW w:w="2700" w:type="dxa"/>
                  <w:gridSpan w:val="5"/>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1DEE1312" w14:textId="77777777">
                  <w:pPr>
                    <w:spacing w:line="240" w:lineRule="auto"/>
                    <w:rPr>
                      <w:rFonts w:eastAsia="Times New Roman" w:cs="Calibri"/>
                      <w:sz w:val="14"/>
                      <w:szCs w:val="14"/>
                    </w:rPr>
                  </w:pPr>
                  <w:r w:rsidRPr="0014041B">
                    <w:rPr>
                      <w:rFonts w:eastAsia="Times New Roman" w:cs="Arial"/>
                      <w:sz w:val="14"/>
                      <w:szCs w:val="14"/>
                    </w:rPr>
                    <w:t xml:space="preserve">vluchtrouteaanduiding </w:t>
                  </w:r>
                </w:p>
              </w:tc>
              <w:tc>
                <w:tcPr>
                  <w:tcW w:w="1620" w:type="dxa"/>
                  <w:gridSpan w:val="3"/>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515E5EB2" w14:textId="77777777">
                  <w:pPr>
                    <w:spacing w:line="240" w:lineRule="auto"/>
                    <w:rPr>
                      <w:rFonts w:eastAsia="Times New Roman" w:cs="Calibri"/>
                      <w:sz w:val="14"/>
                      <w:szCs w:val="14"/>
                    </w:rPr>
                  </w:pPr>
                  <w:r w:rsidRPr="0014041B">
                    <w:rPr>
                      <w:rFonts w:eastAsia="Times New Roman" w:cs="Arial"/>
                      <w:sz w:val="14"/>
                      <w:szCs w:val="14"/>
                    </w:rPr>
                    <w:t>deuren in vluchtroutes: draairichting</w:t>
                  </w:r>
                </w:p>
              </w:tc>
              <w:tc>
                <w:tcPr>
                  <w:tcW w:w="3240" w:type="dxa"/>
                  <w:gridSpan w:val="6"/>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2C63C59B" w14:textId="77777777">
                  <w:pPr>
                    <w:spacing w:line="240" w:lineRule="auto"/>
                    <w:rPr>
                      <w:rFonts w:eastAsia="Times New Roman" w:cs="Calibri"/>
                      <w:sz w:val="14"/>
                      <w:szCs w:val="14"/>
                    </w:rPr>
                  </w:pPr>
                  <w:r w:rsidRPr="0014041B">
                    <w:rPr>
                      <w:rFonts w:eastAsia="Times New Roman" w:cs="Arial"/>
                      <w:sz w:val="14"/>
                      <w:szCs w:val="14"/>
                    </w:rPr>
                    <w:t>deuren in vluchtroutes: weerstand bij het openen</w:t>
                  </w:r>
                </w:p>
              </w:tc>
              <w:tc>
                <w:tcPr>
                  <w:tcW w:w="2160" w:type="dxa"/>
                  <w:gridSpan w:val="4"/>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0AA09737" w14:textId="77777777">
                  <w:pPr>
                    <w:spacing w:line="240" w:lineRule="auto"/>
                    <w:rPr>
                      <w:rFonts w:eastAsia="Times New Roman" w:cs="Calibri"/>
                      <w:sz w:val="14"/>
                      <w:szCs w:val="14"/>
                    </w:rPr>
                  </w:pPr>
                  <w:r w:rsidRPr="0014041B">
                    <w:rPr>
                      <w:rFonts w:eastAsia="Times New Roman" w:cs="Arial"/>
                      <w:sz w:val="14"/>
                      <w:szCs w:val="14"/>
                    </w:rPr>
                    <w:t>zelfsluitende constructieonderdelen</w:t>
                  </w:r>
                </w:p>
              </w:tc>
            </w:tr>
            <w:tr w:rsidTr="008E105C" w14:paraId="4D4319DA" w14:textId="77777777">
              <w:tblPrEx>
                <w:tblW w:w="15016" w:type="dxa"/>
                <w:tblCellMar>
                  <w:left w:w="70" w:type="dxa"/>
                  <w:right w:w="70" w:type="dxa"/>
                </w:tblCellMar>
                <w:tblLook w:val="04A0"/>
              </w:tblPrEx>
              <w:trPr>
                <w:trHeight w:val="1818"/>
              </w:trPr>
              <w:tc>
                <w:tcPr>
                  <w:tcW w:w="264" w:type="dxa"/>
                  <w:vMerge/>
                  <w:tcBorders>
                    <w:top w:val="nil"/>
                    <w:left w:val="single" w:color="auto" w:sz="4" w:space="0"/>
                    <w:bottom w:val="single" w:color="FFFFFF" w:sz="4" w:space="0"/>
                    <w:right w:val="single" w:color="FFFFFF" w:sz="4" w:space="0"/>
                  </w:tcBorders>
                  <w:vAlign w:val="center"/>
                  <w:hideMark/>
                </w:tcPr>
                <w:p w:rsidRPr="0014041B" w:rsidR="003118A5" w:rsidP="008E105C" w14:paraId="1E14560C" w14:textId="77777777">
                  <w:pPr>
                    <w:spacing w:line="240" w:lineRule="auto"/>
                    <w:rPr>
                      <w:rFonts w:eastAsia="Times New Roman" w:cs="Calibri"/>
                      <w:b/>
                      <w:bCs/>
                      <w:sz w:val="14"/>
                      <w:szCs w:val="14"/>
                    </w:rPr>
                  </w:pPr>
                </w:p>
              </w:tc>
              <w:tc>
                <w:tcPr>
                  <w:tcW w:w="147" w:type="dxa"/>
                  <w:vMerge/>
                  <w:tcBorders>
                    <w:top w:val="nil"/>
                    <w:left w:val="single" w:color="FFFFFF" w:sz="4" w:space="0"/>
                    <w:bottom w:val="single" w:color="FFFFFF" w:sz="4" w:space="0"/>
                    <w:right w:val="single" w:color="FFFFFF" w:sz="4" w:space="0"/>
                  </w:tcBorders>
                  <w:vAlign w:val="center"/>
                  <w:hideMark/>
                </w:tcPr>
                <w:p w:rsidRPr="0014041B" w:rsidR="003118A5" w:rsidP="008E105C" w14:paraId="0D35DFA2" w14:textId="77777777">
                  <w:pPr>
                    <w:spacing w:line="240" w:lineRule="auto"/>
                    <w:rPr>
                      <w:rFonts w:eastAsia="Times New Roman" w:cs="Calibri"/>
                      <w:b/>
                      <w:bCs/>
                      <w:sz w:val="14"/>
                      <w:szCs w:val="14"/>
                    </w:rPr>
                  </w:pPr>
                </w:p>
              </w:tc>
              <w:tc>
                <w:tcPr>
                  <w:tcW w:w="3229" w:type="dxa"/>
                  <w:vMerge/>
                  <w:tcBorders>
                    <w:top w:val="nil"/>
                    <w:left w:val="single" w:color="FFFFFF" w:sz="4" w:space="0"/>
                    <w:bottom w:val="single" w:color="FFFFFF" w:sz="4" w:space="0"/>
                    <w:right w:val="single" w:color="auto" w:sz="4" w:space="0"/>
                  </w:tcBorders>
                  <w:vAlign w:val="center"/>
                  <w:hideMark/>
                </w:tcPr>
                <w:p w:rsidRPr="0014041B" w:rsidR="003118A5" w:rsidP="008E105C" w14:paraId="66D0F216" w14:textId="77777777">
                  <w:pPr>
                    <w:spacing w:line="240" w:lineRule="auto"/>
                    <w:rPr>
                      <w:rFonts w:eastAsia="Times New Roman" w:cs="Calibri"/>
                      <w:b/>
                      <w:bCs/>
                      <w:sz w:val="14"/>
                      <w:szCs w:val="14"/>
                    </w:rPr>
                  </w:pPr>
                </w:p>
              </w:tc>
              <w:tc>
                <w:tcPr>
                  <w:tcW w:w="1620" w:type="dxa"/>
                  <w:gridSpan w:val="3"/>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78E42495" w14:textId="77777777">
                  <w:pPr>
                    <w:spacing w:line="240" w:lineRule="auto"/>
                    <w:rPr>
                      <w:rFonts w:eastAsia="Times New Roman" w:cs="Calibri"/>
                      <w:sz w:val="14"/>
                      <w:szCs w:val="14"/>
                    </w:rPr>
                  </w:pPr>
                </w:p>
              </w:tc>
              <w:tc>
                <w:tcPr>
                  <w:tcW w:w="2700" w:type="dxa"/>
                  <w:gridSpan w:val="5"/>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635C6C3A" w14:textId="77777777">
                  <w:pPr>
                    <w:spacing w:line="240" w:lineRule="auto"/>
                    <w:rPr>
                      <w:rFonts w:eastAsia="Times New Roman" w:cs="Calibri"/>
                      <w:sz w:val="14"/>
                      <w:szCs w:val="14"/>
                    </w:rPr>
                  </w:pPr>
                </w:p>
              </w:tc>
              <w:tc>
                <w:tcPr>
                  <w:tcW w:w="1620" w:type="dxa"/>
                  <w:gridSpan w:val="3"/>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6BB0CFE6" w14:textId="77777777">
                  <w:pPr>
                    <w:spacing w:line="240" w:lineRule="auto"/>
                    <w:rPr>
                      <w:rFonts w:eastAsia="Times New Roman" w:cs="Calibri"/>
                      <w:sz w:val="14"/>
                      <w:szCs w:val="14"/>
                    </w:rPr>
                  </w:pPr>
                </w:p>
              </w:tc>
              <w:tc>
                <w:tcPr>
                  <w:tcW w:w="3240" w:type="dxa"/>
                  <w:gridSpan w:val="6"/>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79249ACB" w14:textId="77777777">
                  <w:pPr>
                    <w:spacing w:line="240" w:lineRule="auto"/>
                    <w:rPr>
                      <w:rFonts w:eastAsia="Times New Roman" w:cs="Calibri"/>
                      <w:sz w:val="14"/>
                      <w:szCs w:val="14"/>
                    </w:rPr>
                  </w:pPr>
                </w:p>
              </w:tc>
              <w:tc>
                <w:tcPr>
                  <w:tcW w:w="2160" w:type="dxa"/>
                  <w:gridSpan w:val="4"/>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0C5361D9" w14:textId="77777777">
                  <w:pPr>
                    <w:spacing w:line="240" w:lineRule="auto"/>
                    <w:rPr>
                      <w:rFonts w:eastAsia="Times New Roman" w:cs="Calibri"/>
                      <w:sz w:val="14"/>
                      <w:szCs w:val="14"/>
                    </w:rPr>
                  </w:pPr>
                </w:p>
              </w:tc>
              <w:tc>
                <w:tcPr>
                  <w:tcW w:w="36" w:type="dxa"/>
                  <w:tcBorders>
                    <w:top w:val="nil"/>
                    <w:left w:val="nil"/>
                    <w:bottom w:val="nil"/>
                    <w:right w:val="nil"/>
                  </w:tcBorders>
                  <w:shd w:val="clear" w:color="auto" w:fill="auto"/>
                  <w:noWrap/>
                  <w:vAlign w:val="bottom"/>
                  <w:hideMark/>
                </w:tcPr>
                <w:p w:rsidRPr="0014041B" w:rsidR="003118A5" w:rsidP="008E105C" w14:paraId="75DD7E4C" w14:textId="77777777">
                  <w:pPr>
                    <w:spacing w:line="240" w:lineRule="auto"/>
                    <w:rPr>
                      <w:rFonts w:eastAsia="Times New Roman" w:cs="Calibri"/>
                      <w:sz w:val="14"/>
                      <w:szCs w:val="14"/>
                    </w:rPr>
                  </w:pPr>
                </w:p>
              </w:tc>
            </w:tr>
            <w:tr w:rsidTr="008E105C" w14:paraId="69A4D5AE"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22439DEF" w14:textId="77777777">
                  <w:pPr>
                    <w:spacing w:line="240" w:lineRule="auto"/>
                    <w:rPr>
                      <w:rFonts w:eastAsia="Times New Roman" w:cs="Calibri"/>
                      <w:b/>
                      <w:bCs/>
                      <w:sz w:val="14"/>
                      <w:szCs w:val="14"/>
                    </w:rPr>
                  </w:pPr>
                  <w:r w:rsidRPr="0014041B">
                    <w:rPr>
                      <w:rFonts w:eastAsia="Times New Roman" w:cs="Arial"/>
                      <w:b/>
                      <w:bCs/>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70E9638" w14:textId="77777777">
                  <w:pPr>
                    <w:spacing w:line="240" w:lineRule="auto"/>
                    <w:rPr>
                      <w:rFonts w:eastAsia="Times New Roman" w:cs="Calibri"/>
                      <w:b/>
                      <w:bCs/>
                      <w:sz w:val="14"/>
                      <w:szCs w:val="14"/>
                    </w:rPr>
                  </w:pPr>
                  <w:r w:rsidRPr="0014041B">
                    <w:rPr>
                      <w:rFonts w:eastAsia="Times New Roman" w:cs="Arial"/>
                      <w:b/>
                      <w:bCs/>
                      <w:sz w:val="14"/>
                      <w:szCs w:val="14"/>
                    </w:rPr>
                    <w:t>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5A5A542" w14:textId="77777777">
                  <w:pPr>
                    <w:spacing w:line="240" w:lineRule="auto"/>
                    <w:jc w:val="right"/>
                    <w:rPr>
                      <w:rFonts w:eastAsia="Times New Roman" w:cs="Calibri"/>
                      <w:b/>
                      <w:bCs/>
                      <w:sz w:val="14"/>
                      <w:szCs w:val="14"/>
                    </w:rPr>
                  </w:pPr>
                  <w:r w:rsidRPr="0014041B">
                    <w:rPr>
                      <w:rFonts w:eastAsia="Times New Roman" w:cs="Arial"/>
                      <w:b/>
                      <w:bCs/>
                      <w:sz w:val="14"/>
                      <w:szCs w:val="14"/>
                    </w:rPr>
                    <w:t xml:space="preserve">artikel </w:t>
                  </w:r>
                </w:p>
              </w:tc>
              <w:tc>
                <w:tcPr>
                  <w:tcW w:w="1620" w:type="dxa"/>
                  <w:gridSpan w:val="3"/>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5EC19051" w14:textId="77777777">
                  <w:pPr>
                    <w:spacing w:line="240" w:lineRule="auto"/>
                    <w:rPr>
                      <w:rFonts w:eastAsia="Times New Roman" w:cs="Calibri"/>
                      <w:b/>
                      <w:bCs/>
                      <w:sz w:val="14"/>
                      <w:szCs w:val="14"/>
                    </w:rPr>
                  </w:pPr>
                  <w:r w:rsidRPr="0014041B">
                    <w:rPr>
                      <w:rFonts w:eastAsia="Times New Roman" w:cs="Arial"/>
                      <w:b/>
                      <w:bCs/>
                      <w:sz w:val="14"/>
                      <w:szCs w:val="14"/>
                    </w:rPr>
                    <w:t>3.119</w:t>
                  </w:r>
                </w:p>
              </w:tc>
              <w:tc>
                <w:tcPr>
                  <w:tcW w:w="2700" w:type="dxa"/>
                  <w:gridSpan w:val="5"/>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42CA6E3C" w14:textId="77777777">
                  <w:pPr>
                    <w:spacing w:line="240" w:lineRule="auto"/>
                    <w:rPr>
                      <w:rFonts w:eastAsia="Times New Roman" w:cs="Calibri"/>
                      <w:b/>
                      <w:bCs/>
                      <w:sz w:val="14"/>
                      <w:szCs w:val="14"/>
                    </w:rPr>
                  </w:pPr>
                  <w:r w:rsidRPr="0014041B">
                    <w:rPr>
                      <w:rFonts w:eastAsia="Times New Roman" w:cs="Arial"/>
                      <w:b/>
                      <w:bCs/>
                      <w:sz w:val="14"/>
                      <w:szCs w:val="14"/>
                    </w:rPr>
                    <w:t>3.120</w:t>
                  </w:r>
                </w:p>
              </w:tc>
              <w:tc>
                <w:tcPr>
                  <w:tcW w:w="1620" w:type="dxa"/>
                  <w:gridSpan w:val="3"/>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6AF3C278" w14:textId="77777777">
                  <w:pPr>
                    <w:spacing w:line="240" w:lineRule="auto"/>
                    <w:rPr>
                      <w:rFonts w:eastAsia="Times New Roman" w:cs="Calibri"/>
                      <w:b/>
                      <w:bCs/>
                      <w:sz w:val="14"/>
                      <w:szCs w:val="14"/>
                    </w:rPr>
                  </w:pPr>
                  <w:r w:rsidRPr="0014041B">
                    <w:rPr>
                      <w:rFonts w:eastAsia="Times New Roman" w:cs="Arial"/>
                      <w:b/>
                      <w:bCs/>
                      <w:sz w:val="14"/>
                      <w:szCs w:val="14"/>
                    </w:rPr>
                    <w:t>3.121</w:t>
                  </w:r>
                </w:p>
              </w:tc>
              <w:tc>
                <w:tcPr>
                  <w:tcW w:w="3240" w:type="dxa"/>
                  <w:gridSpan w:val="6"/>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24786B29" w14:textId="77777777">
                  <w:pPr>
                    <w:spacing w:line="240" w:lineRule="auto"/>
                    <w:rPr>
                      <w:rFonts w:eastAsia="Times New Roman" w:cs="Calibri"/>
                      <w:b/>
                      <w:bCs/>
                      <w:sz w:val="14"/>
                      <w:szCs w:val="14"/>
                    </w:rPr>
                  </w:pPr>
                  <w:r w:rsidRPr="0014041B">
                    <w:rPr>
                      <w:rFonts w:eastAsia="Times New Roman" w:cs="Arial"/>
                      <w:b/>
                      <w:bCs/>
                      <w:sz w:val="14"/>
                      <w:szCs w:val="14"/>
                    </w:rPr>
                    <w:t>3.122</w:t>
                  </w:r>
                </w:p>
              </w:tc>
              <w:tc>
                <w:tcPr>
                  <w:tcW w:w="2160" w:type="dxa"/>
                  <w:gridSpan w:val="4"/>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3AB3B739" w14:textId="77777777">
                  <w:pPr>
                    <w:spacing w:line="240" w:lineRule="auto"/>
                    <w:rPr>
                      <w:rFonts w:eastAsia="Times New Roman" w:cs="Calibri"/>
                      <w:b/>
                      <w:bCs/>
                      <w:sz w:val="14"/>
                      <w:szCs w:val="14"/>
                    </w:rPr>
                  </w:pPr>
                  <w:r w:rsidRPr="0014041B">
                    <w:rPr>
                      <w:rFonts w:eastAsia="Times New Roman" w:cs="Arial"/>
                      <w:b/>
                      <w:bCs/>
                      <w:sz w:val="14"/>
                      <w:szCs w:val="14"/>
                    </w:rPr>
                    <w:t>3.123</w:t>
                  </w:r>
                </w:p>
              </w:tc>
              <w:tc>
                <w:tcPr>
                  <w:tcW w:w="36" w:type="dxa"/>
                  <w:vAlign w:val="center"/>
                  <w:hideMark/>
                </w:tcPr>
                <w:p w:rsidRPr="0014041B" w:rsidR="003118A5" w:rsidP="008E105C" w14:paraId="1B88C972" w14:textId="77777777">
                  <w:pPr>
                    <w:spacing w:line="240" w:lineRule="auto"/>
                    <w:rPr>
                      <w:rFonts w:eastAsia="Times New Roman" w:cs="Times New Roman"/>
                      <w:sz w:val="14"/>
                      <w:szCs w:val="14"/>
                    </w:rPr>
                  </w:pPr>
                </w:p>
              </w:tc>
            </w:tr>
            <w:tr w:rsidTr="008E105C" w14:paraId="021933FD"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73A6680C" w14:textId="77777777">
                  <w:pPr>
                    <w:spacing w:line="240" w:lineRule="auto"/>
                    <w:rPr>
                      <w:rFonts w:eastAsia="Times New Roman" w:cs="Calibri"/>
                      <w:b/>
                      <w:bCs/>
                      <w:sz w:val="14"/>
                      <w:szCs w:val="14"/>
                    </w:rPr>
                  </w:pPr>
                  <w:r w:rsidRPr="0014041B">
                    <w:rPr>
                      <w:rFonts w:eastAsia="Times New Roman" w:cs="Arial"/>
                      <w:b/>
                      <w:bCs/>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1F28D85" w14:textId="77777777">
                  <w:pPr>
                    <w:spacing w:line="240" w:lineRule="auto"/>
                    <w:rPr>
                      <w:rFonts w:eastAsia="Times New Roman" w:cs="Calibri"/>
                      <w:b/>
                      <w:bCs/>
                      <w:sz w:val="14"/>
                      <w:szCs w:val="14"/>
                    </w:rPr>
                  </w:pPr>
                  <w:r w:rsidRPr="0014041B">
                    <w:rPr>
                      <w:rFonts w:eastAsia="Times New Roman" w:cs="Arial"/>
                      <w:b/>
                      <w:bCs/>
                      <w:sz w:val="14"/>
                      <w:szCs w:val="14"/>
                    </w:rPr>
                    <w:t>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12BF637" w14:textId="77777777">
                  <w:pPr>
                    <w:spacing w:line="240" w:lineRule="auto"/>
                    <w:jc w:val="right"/>
                    <w:rPr>
                      <w:rFonts w:eastAsia="Times New Roman" w:cs="Calibri"/>
                      <w:b/>
                      <w:bCs/>
                      <w:sz w:val="14"/>
                      <w:szCs w:val="14"/>
                    </w:rPr>
                  </w:pPr>
                  <w:r w:rsidRPr="0014041B">
                    <w:rPr>
                      <w:rFonts w:eastAsia="Times New Roman" w:cs="Arial"/>
                      <w:b/>
                      <w:bCs/>
                      <w:sz w:val="14"/>
                      <w:szCs w:val="14"/>
                    </w:rPr>
                    <w:t xml:space="preserve">lid </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E918015"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5EEB993E"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0F62C3DB"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5B00645A"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916A896"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54E5ECE"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1A97D649" w14:textId="77777777">
                  <w:pPr>
                    <w:spacing w:line="240" w:lineRule="auto"/>
                    <w:jc w:val="center"/>
                    <w:rPr>
                      <w:rFonts w:eastAsia="Times New Roman" w:cs="Calibri"/>
                      <w:b/>
                      <w:bCs/>
                      <w:sz w:val="14"/>
                      <w:szCs w:val="14"/>
                    </w:rPr>
                  </w:pPr>
                  <w:r w:rsidRPr="0014041B">
                    <w:rPr>
                      <w:rFonts w:eastAsia="Times New Roman" w:cs="Arial"/>
                      <w:b/>
                      <w:bCs/>
                      <w:sz w:val="14"/>
                      <w:szCs w:val="14"/>
                    </w:rPr>
                    <w:t>4</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4E047301" w14:textId="77777777">
                  <w:pPr>
                    <w:spacing w:line="240" w:lineRule="auto"/>
                    <w:jc w:val="center"/>
                    <w:rPr>
                      <w:rFonts w:eastAsia="Times New Roman" w:cs="Calibri"/>
                      <w:b/>
                      <w:bCs/>
                      <w:sz w:val="14"/>
                      <w:szCs w:val="14"/>
                    </w:rPr>
                  </w:pPr>
                  <w:r w:rsidRPr="0014041B">
                    <w:rPr>
                      <w:rFonts w:eastAsia="Times New Roman" w:cs="Arial"/>
                      <w:b/>
                      <w:bCs/>
                      <w:sz w:val="14"/>
                      <w:szCs w:val="14"/>
                    </w:rPr>
                    <w:t>5</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1BBCC7F4"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44FA645"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EAA7B9B"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1D54E1A5"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5C6145FD"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1AC6ECF4"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5C7D11A6" w14:textId="77777777">
                  <w:pPr>
                    <w:spacing w:line="240" w:lineRule="auto"/>
                    <w:jc w:val="center"/>
                    <w:rPr>
                      <w:rFonts w:eastAsia="Times New Roman" w:cs="Calibri"/>
                      <w:b/>
                      <w:bCs/>
                      <w:sz w:val="14"/>
                      <w:szCs w:val="14"/>
                    </w:rPr>
                  </w:pPr>
                  <w:r w:rsidRPr="0014041B">
                    <w:rPr>
                      <w:rFonts w:eastAsia="Times New Roman" w:cs="Arial"/>
                      <w:b/>
                      <w:bCs/>
                      <w:sz w:val="14"/>
                      <w:szCs w:val="14"/>
                    </w:rPr>
                    <w:t>4</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451AF24F" w14:textId="77777777">
                  <w:pPr>
                    <w:spacing w:line="240" w:lineRule="auto"/>
                    <w:jc w:val="center"/>
                    <w:rPr>
                      <w:rFonts w:eastAsia="Times New Roman" w:cs="Calibri"/>
                      <w:b/>
                      <w:bCs/>
                      <w:sz w:val="14"/>
                      <w:szCs w:val="14"/>
                    </w:rPr>
                  </w:pPr>
                  <w:r w:rsidRPr="0014041B">
                    <w:rPr>
                      <w:rFonts w:eastAsia="Times New Roman" w:cs="Arial"/>
                      <w:b/>
                      <w:bCs/>
                      <w:sz w:val="14"/>
                      <w:szCs w:val="14"/>
                    </w:rPr>
                    <w:t>5</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5CE94D8" w14:textId="77777777">
                  <w:pPr>
                    <w:spacing w:line="240" w:lineRule="auto"/>
                    <w:jc w:val="center"/>
                    <w:rPr>
                      <w:rFonts w:eastAsia="Times New Roman" w:cs="Calibri"/>
                      <w:b/>
                      <w:bCs/>
                      <w:sz w:val="14"/>
                      <w:szCs w:val="14"/>
                    </w:rPr>
                  </w:pPr>
                  <w:r w:rsidRPr="0014041B">
                    <w:rPr>
                      <w:rFonts w:eastAsia="Times New Roman" w:cs="Arial"/>
                      <w:b/>
                      <w:bCs/>
                      <w:sz w:val="14"/>
                      <w:szCs w:val="14"/>
                    </w:rPr>
                    <w:t>6</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5130FBA2"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5F325589"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290840E3"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540"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CAE0F52" w14:textId="77777777">
                  <w:pPr>
                    <w:spacing w:line="240" w:lineRule="auto"/>
                    <w:jc w:val="center"/>
                    <w:rPr>
                      <w:rFonts w:eastAsia="Times New Roman" w:cs="Calibri"/>
                      <w:b/>
                      <w:bCs/>
                      <w:sz w:val="14"/>
                      <w:szCs w:val="14"/>
                    </w:rPr>
                  </w:pPr>
                  <w:r w:rsidRPr="0014041B">
                    <w:rPr>
                      <w:rFonts w:eastAsia="Times New Roman" w:cs="Arial"/>
                      <w:b/>
                      <w:bCs/>
                      <w:sz w:val="14"/>
                      <w:szCs w:val="14"/>
                    </w:rPr>
                    <w:t>4</w:t>
                  </w:r>
                </w:p>
              </w:tc>
              <w:tc>
                <w:tcPr>
                  <w:tcW w:w="36" w:type="dxa"/>
                  <w:vAlign w:val="center"/>
                  <w:hideMark/>
                </w:tcPr>
                <w:p w:rsidRPr="0014041B" w:rsidR="003118A5" w:rsidP="008E105C" w14:paraId="7C8E81DF" w14:textId="77777777">
                  <w:pPr>
                    <w:spacing w:line="240" w:lineRule="auto"/>
                    <w:rPr>
                      <w:rFonts w:eastAsia="Times New Roman" w:cs="Times New Roman"/>
                      <w:sz w:val="14"/>
                      <w:szCs w:val="14"/>
                    </w:rPr>
                  </w:pPr>
                </w:p>
              </w:tc>
            </w:tr>
            <w:tr w:rsidTr="008E105C" w14:paraId="4918084B"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BEC1AA6" w14:textId="77777777">
                  <w:pPr>
                    <w:spacing w:line="240" w:lineRule="auto"/>
                    <w:jc w:val="right"/>
                    <w:rPr>
                      <w:rFonts w:eastAsia="Times New Roman" w:cs="Calibri"/>
                      <w:sz w:val="14"/>
                      <w:szCs w:val="14"/>
                    </w:rPr>
                  </w:pPr>
                  <w:r w:rsidRPr="0014041B">
                    <w:rPr>
                      <w:rFonts w:eastAsia="Times New Roman" w:cs="Arial"/>
                      <w:sz w:val="14"/>
                      <w:szCs w:val="14"/>
                    </w:rPr>
                    <w:t>1</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BC70C73" w14:textId="77777777">
                  <w:pPr>
                    <w:spacing w:line="240" w:lineRule="auto"/>
                    <w:rPr>
                      <w:rFonts w:eastAsia="Times New Roman" w:cs="Calibri"/>
                      <w:sz w:val="14"/>
                      <w:szCs w:val="14"/>
                    </w:rPr>
                  </w:pPr>
                  <w:r w:rsidRPr="0014041B">
                    <w:rPr>
                      <w:rFonts w:eastAsia="Times New Roman" w:cs="Arial"/>
                      <w:sz w:val="14"/>
                      <w:szCs w:val="14"/>
                    </w:rPr>
                    <w:t xml:space="preserve">Woonfunctie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E3586D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682077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56576F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0928D1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13AB81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4B622C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A61EC6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9B6761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7DC5DC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06F2A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197326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075756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526D8E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E5BC48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18F21C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B0F5B4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72DB56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F94AE2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EA969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9FF92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B25D59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6" w:type="dxa"/>
                  <w:vAlign w:val="center"/>
                  <w:hideMark/>
                </w:tcPr>
                <w:p w:rsidRPr="0014041B" w:rsidR="003118A5" w:rsidP="008E105C" w14:paraId="657EB5F9" w14:textId="77777777">
                  <w:pPr>
                    <w:spacing w:line="240" w:lineRule="auto"/>
                    <w:rPr>
                      <w:rFonts w:eastAsia="Times New Roman" w:cs="Times New Roman"/>
                      <w:sz w:val="14"/>
                      <w:szCs w:val="14"/>
                    </w:rPr>
                  </w:pPr>
                </w:p>
              </w:tc>
            </w:tr>
            <w:tr w:rsidTr="008E105C" w14:paraId="10ACB5C6"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3A03023C"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0797B3C"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3229"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F79728D" w14:textId="77777777">
                  <w:pPr>
                    <w:spacing w:line="240" w:lineRule="auto"/>
                    <w:rPr>
                      <w:rFonts w:eastAsia="Times New Roman" w:cs="Calibri"/>
                      <w:sz w:val="14"/>
                      <w:szCs w:val="14"/>
                    </w:rPr>
                  </w:pPr>
                  <w:r w:rsidRPr="0014041B">
                    <w:rPr>
                      <w:rFonts w:eastAsia="Times New Roman" w:cs="Arial"/>
                      <w:sz w:val="14"/>
                      <w:szCs w:val="14"/>
                    </w:rPr>
                    <w:t>voor zorg met een g.o. &gt; 500 m</w:t>
                  </w:r>
                  <w:r w:rsidRPr="0014041B">
                    <w:rPr>
                      <w:rFonts w:eastAsia="Times New Roman" w:cs="Arial"/>
                      <w:sz w:val="14"/>
                      <w:szCs w:val="14"/>
                      <w:vertAlign w:val="superscript"/>
                    </w:rPr>
                    <w:t>2</w:t>
                  </w:r>
                  <w:r w:rsidRPr="0014041B">
                    <w:rPr>
                      <w:rFonts w:eastAsia="Times New Roman" w:cs="Arial"/>
                      <w:sz w:val="14"/>
                      <w:szCs w:val="14"/>
                    </w:rPr>
                    <w:t xml:space="preserv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12C8F8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58BBF4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D36FE3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1C22BA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111E36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64D238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858044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3A8C74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CF28E9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0552AD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E59813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ABE6E7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6A0F5D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80429C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C45825"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1763F89"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070382C"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C27BBD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B5CED81"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1070FC"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CCB6EF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236C66B3" w14:textId="77777777">
                  <w:pPr>
                    <w:spacing w:line="240" w:lineRule="auto"/>
                    <w:rPr>
                      <w:rFonts w:eastAsia="Times New Roman" w:cs="Times New Roman"/>
                      <w:sz w:val="14"/>
                      <w:szCs w:val="14"/>
                    </w:rPr>
                  </w:pPr>
                </w:p>
              </w:tc>
            </w:tr>
            <w:tr w:rsidTr="008E105C" w14:paraId="20A22F13"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4CC6311D"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A570A9C"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83F0426" w14:textId="77777777">
                  <w:pPr>
                    <w:spacing w:line="240" w:lineRule="auto"/>
                    <w:rPr>
                      <w:rFonts w:eastAsia="Times New Roman" w:cs="Calibri"/>
                      <w:sz w:val="14"/>
                      <w:szCs w:val="14"/>
                    </w:rPr>
                  </w:pPr>
                  <w:r w:rsidRPr="0014041B">
                    <w:rPr>
                      <w:rFonts w:eastAsia="Times New Roman" w:cs="Arial"/>
                      <w:sz w:val="14"/>
                      <w:szCs w:val="14"/>
                    </w:rPr>
                    <w:t xml:space="preserve">andere woonfunctie voor zorg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48EFADA"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3A36E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0589D6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29C14D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8D88FC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71112B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09057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623D5F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7D3300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BE56BB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B61D45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31B384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4A408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99A3AF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D4A098"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21CE06"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FE977B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AA3C3B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798EC20"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0A73F86"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B3CBE7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04648DD7" w14:textId="77777777">
                  <w:pPr>
                    <w:spacing w:line="240" w:lineRule="auto"/>
                    <w:rPr>
                      <w:rFonts w:eastAsia="Times New Roman" w:cs="Times New Roman"/>
                      <w:sz w:val="14"/>
                      <w:szCs w:val="14"/>
                    </w:rPr>
                  </w:pPr>
                </w:p>
              </w:tc>
            </w:tr>
            <w:tr w:rsidTr="008E105C" w14:paraId="7CD1F9EB"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8F4A7B3"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CD22F8E" w14:textId="77777777">
                  <w:pPr>
                    <w:spacing w:line="240" w:lineRule="auto"/>
                    <w:rPr>
                      <w:rFonts w:eastAsia="Times New Roman" w:cs="Calibri"/>
                      <w:sz w:val="14"/>
                      <w:szCs w:val="14"/>
                    </w:rPr>
                  </w:pPr>
                  <w:r w:rsidRPr="0014041B">
                    <w:rPr>
                      <w:rFonts w:eastAsia="Times New Roman" w:cs="Arial"/>
                      <w:sz w:val="14"/>
                      <w:szCs w:val="14"/>
                    </w:rPr>
                    <w:t xml:space="preserve">c </w:t>
                  </w:r>
                </w:p>
              </w:tc>
              <w:tc>
                <w:tcPr>
                  <w:tcW w:w="3229"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67736E7" w14:textId="77777777">
                  <w:pPr>
                    <w:spacing w:line="240" w:lineRule="auto"/>
                    <w:rPr>
                      <w:rFonts w:eastAsia="Times New Roman" w:cs="Calibri"/>
                      <w:sz w:val="14"/>
                      <w:szCs w:val="14"/>
                    </w:rPr>
                  </w:pPr>
                  <w:r w:rsidRPr="0014041B">
                    <w:rPr>
                      <w:rFonts w:eastAsia="Times New Roman" w:cs="Arial"/>
                      <w:sz w:val="14"/>
                      <w:szCs w:val="14"/>
                    </w:rPr>
                    <w:t xml:space="preserve">voor kamergewijze verhuur </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7681E70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087D5D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623C09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449F79A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0BDD7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3C864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3F866C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B8AB17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22C7C4C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4D5D5B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A75E21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176F872A"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CA1250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D1593E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FD78DAE"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B635615"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CEA1F7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3CC729F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FA2F3FA"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9769D9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68815D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2DBB12EE" w14:textId="77777777">
                  <w:pPr>
                    <w:spacing w:line="240" w:lineRule="auto"/>
                    <w:rPr>
                      <w:rFonts w:eastAsia="Times New Roman" w:cs="Times New Roman"/>
                      <w:sz w:val="14"/>
                      <w:szCs w:val="14"/>
                    </w:rPr>
                  </w:pPr>
                </w:p>
              </w:tc>
            </w:tr>
            <w:tr w:rsidTr="008E105C" w14:paraId="7BA7DA9C"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E6D94D3"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CF31E38" w14:textId="77777777">
                  <w:pPr>
                    <w:spacing w:line="240" w:lineRule="auto"/>
                    <w:rPr>
                      <w:rFonts w:eastAsia="Times New Roman" w:cs="Calibri"/>
                      <w:sz w:val="14"/>
                      <w:szCs w:val="14"/>
                    </w:rPr>
                  </w:pPr>
                  <w:r w:rsidRPr="0014041B">
                    <w:rPr>
                      <w:rFonts w:eastAsia="Times New Roman" w:cs="Arial"/>
                      <w:sz w:val="14"/>
                      <w:szCs w:val="14"/>
                    </w:rPr>
                    <w:t xml:space="preserve">d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5DB33B1" w14:textId="77777777">
                  <w:pPr>
                    <w:spacing w:line="240" w:lineRule="auto"/>
                    <w:rPr>
                      <w:rFonts w:eastAsia="Times New Roman" w:cs="Calibri"/>
                      <w:sz w:val="14"/>
                      <w:szCs w:val="14"/>
                    </w:rPr>
                  </w:pPr>
                  <w:r w:rsidRPr="0014041B">
                    <w:rPr>
                      <w:rFonts w:eastAsia="Times New Roman" w:cs="Arial"/>
                      <w:sz w:val="14"/>
                      <w:szCs w:val="14"/>
                    </w:rPr>
                    <w:t xml:space="preserve">andere woonfunctie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55AF62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DA107E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5B8564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BD287D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6B2C0E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9EA69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B6AF9A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1F857F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F5409A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602505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1D0CDD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2752F0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99364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C3C71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5BA7966"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DD04468"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9DCF11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C1AF399"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1001D68"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C74FD1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F1F35A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4B5AF64E" w14:textId="77777777">
                  <w:pPr>
                    <w:spacing w:line="240" w:lineRule="auto"/>
                    <w:rPr>
                      <w:rFonts w:eastAsia="Times New Roman" w:cs="Times New Roman"/>
                      <w:sz w:val="14"/>
                      <w:szCs w:val="14"/>
                    </w:rPr>
                  </w:pPr>
                </w:p>
              </w:tc>
            </w:tr>
            <w:tr w:rsidTr="008E105C" w14:paraId="12B3A74D"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717A8F6D" w14:textId="77777777">
                  <w:pPr>
                    <w:spacing w:line="240" w:lineRule="auto"/>
                    <w:jc w:val="right"/>
                    <w:rPr>
                      <w:rFonts w:eastAsia="Times New Roman" w:cs="Calibri"/>
                      <w:sz w:val="14"/>
                      <w:szCs w:val="14"/>
                    </w:rPr>
                  </w:pPr>
                  <w:r w:rsidRPr="0014041B">
                    <w:rPr>
                      <w:rFonts w:eastAsia="Times New Roman" w:cs="Arial"/>
                      <w:sz w:val="14"/>
                      <w:szCs w:val="14"/>
                    </w:rPr>
                    <w:t>2</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5DD3313" w14:textId="77777777">
                  <w:pPr>
                    <w:spacing w:line="240" w:lineRule="auto"/>
                    <w:rPr>
                      <w:rFonts w:eastAsia="Times New Roman" w:cs="Calibri"/>
                      <w:sz w:val="14"/>
                      <w:szCs w:val="14"/>
                    </w:rPr>
                  </w:pPr>
                  <w:r w:rsidRPr="0014041B">
                    <w:rPr>
                      <w:rFonts w:eastAsia="Times New Roman" w:cs="Arial"/>
                      <w:sz w:val="14"/>
                      <w:szCs w:val="14"/>
                    </w:rPr>
                    <w:t xml:space="preserve">Bijeenkomstfunctie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1FD17BA"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83FA6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32A5EB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B7F9042"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7CDF34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2FB4A62"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D6145AD"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7BAE0E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752DCB4"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0E9B69D"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10F7AF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9EDAFC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E7D086F"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DB96B6E"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5B4462"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15B533F"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7956416"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92D95C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4D7E1D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8FEBF5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FFEE06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5FF3453A" w14:textId="77777777">
                  <w:pPr>
                    <w:spacing w:line="240" w:lineRule="auto"/>
                    <w:rPr>
                      <w:rFonts w:eastAsia="Times New Roman" w:cs="Times New Roman"/>
                      <w:sz w:val="14"/>
                      <w:szCs w:val="14"/>
                    </w:rPr>
                  </w:pPr>
                </w:p>
              </w:tc>
            </w:tr>
            <w:tr w:rsidTr="008E105C" w14:paraId="3C1A0DB1"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125F7A9" w14:textId="77777777">
                  <w:pPr>
                    <w:spacing w:line="240" w:lineRule="auto"/>
                    <w:jc w:val="right"/>
                    <w:rPr>
                      <w:rFonts w:eastAsia="Times New Roman" w:cs="Calibri"/>
                      <w:sz w:val="14"/>
                      <w:szCs w:val="14"/>
                    </w:rPr>
                  </w:pPr>
                  <w:r w:rsidRPr="0014041B">
                    <w:rPr>
                      <w:rFonts w:eastAsia="Times New Roman" w:cs="Arial"/>
                      <w:sz w:val="14"/>
                      <w:szCs w:val="14"/>
                    </w:rPr>
                    <w:t>3</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89ADB31" w14:textId="77777777">
                  <w:pPr>
                    <w:spacing w:line="240" w:lineRule="auto"/>
                    <w:rPr>
                      <w:rFonts w:eastAsia="Times New Roman" w:cs="Calibri"/>
                      <w:sz w:val="14"/>
                      <w:szCs w:val="14"/>
                    </w:rPr>
                  </w:pPr>
                  <w:r w:rsidRPr="0014041B">
                    <w:rPr>
                      <w:rFonts w:eastAsia="Times New Roman" w:cs="Arial"/>
                      <w:sz w:val="14"/>
                      <w:szCs w:val="14"/>
                    </w:rPr>
                    <w:t xml:space="preserve">Celfunctie </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67D7EDF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1D1370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238217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2E69A97A"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6978AD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EB5DB3B"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1A835B5"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D21415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2FD45F4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1570062"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1B652D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4A94040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B6A64CE"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BA9F42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0924CF"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D5F776"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28330AC"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5DEF2946"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B0F46C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1A62A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346B8BF"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6" w:type="dxa"/>
                  <w:vAlign w:val="center"/>
                  <w:hideMark/>
                </w:tcPr>
                <w:p w:rsidRPr="0014041B" w:rsidR="003118A5" w:rsidP="008E105C" w14:paraId="1B2A2D56" w14:textId="77777777">
                  <w:pPr>
                    <w:spacing w:line="240" w:lineRule="auto"/>
                    <w:rPr>
                      <w:rFonts w:eastAsia="Times New Roman" w:cs="Times New Roman"/>
                      <w:sz w:val="14"/>
                      <w:szCs w:val="14"/>
                    </w:rPr>
                  </w:pPr>
                </w:p>
              </w:tc>
            </w:tr>
            <w:tr w:rsidTr="008E105C" w14:paraId="7DB8D398"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4E8C03C9" w14:textId="77777777">
                  <w:pPr>
                    <w:spacing w:line="240" w:lineRule="auto"/>
                    <w:jc w:val="right"/>
                    <w:rPr>
                      <w:rFonts w:eastAsia="Times New Roman" w:cs="Calibri"/>
                      <w:sz w:val="14"/>
                      <w:szCs w:val="14"/>
                    </w:rPr>
                  </w:pPr>
                  <w:r w:rsidRPr="0014041B">
                    <w:rPr>
                      <w:rFonts w:eastAsia="Times New Roman" w:cs="Arial"/>
                      <w:sz w:val="14"/>
                      <w:szCs w:val="14"/>
                    </w:rPr>
                    <w:t>4</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C7A109B" w14:textId="77777777">
                  <w:pPr>
                    <w:spacing w:line="240" w:lineRule="auto"/>
                    <w:rPr>
                      <w:rFonts w:eastAsia="Times New Roman" w:cs="Calibri"/>
                      <w:sz w:val="14"/>
                      <w:szCs w:val="14"/>
                    </w:rPr>
                  </w:pPr>
                  <w:r w:rsidRPr="0014041B">
                    <w:rPr>
                      <w:rFonts w:eastAsia="Times New Roman" w:cs="Arial"/>
                      <w:sz w:val="14"/>
                      <w:szCs w:val="14"/>
                    </w:rPr>
                    <w:t xml:space="preserve">Gezondheidszorgfunctie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1DBFB4D"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F448F8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4428CE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8252F0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88D0B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BCD646"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751FB0"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F4D57C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52CAFDB"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E631A21"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AEE5F5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5CBA60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0AD4146"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1ADCF08"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3EC2D03"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687BFE5"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0D97049"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0B56DEB"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B46C28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4A2E14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7A87DD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75EF706C" w14:textId="77777777">
                  <w:pPr>
                    <w:spacing w:line="240" w:lineRule="auto"/>
                    <w:rPr>
                      <w:rFonts w:eastAsia="Times New Roman" w:cs="Times New Roman"/>
                      <w:sz w:val="14"/>
                      <w:szCs w:val="14"/>
                    </w:rPr>
                  </w:pPr>
                </w:p>
              </w:tc>
            </w:tr>
            <w:tr w:rsidTr="008E105C" w14:paraId="03DAF543"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369A71DE" w14:textId="77777777">
                  <w:pPr>
                    <w:spacing w:line="240" w:lineRule="auto"/>
                    <w:jc w:val="right"/>
                    <w:rPr>
                      <w:rFonts w:eastAsia="Times New Roman" w:cs="Calibri"/>
                      <w:sz w:val="14"/>
                      <w:szCs w:val="14"/>
                    </w:rPr>
                  </w:pPr>
                  <w:r w:rsidRPr="0014041B">
                    <w:rPr>
                      <w:rFonts w:eastAsia="Times New Roman" w:cs="Arial"/>
                      <w:sz w:val="14"/>
                      <w:szCs w:val="14"/>
                    </w:rPr>
                    <w:t>5</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E0F3108" w14:textId="77777777">
                  <w:pPr>
                    <w:spacing w:line="240" w:lineRule="auto"/>
                    <w:rPr>
                      <w:rFonts w:eastAsia="Times New Roman" w:cs="Calibri"/>
                      <w:sz w:val="14"/>
                      <w:szCs w:val="14"/>
                    </w:rPr>
                  </w:pPr>
                  <w:r w:rsidRPr="0014041B">
                    <w:rPr>
                      <w:rFonts w:eastAsia="Times New Roman" w:cs="Arial"/>
                      <w:sz w:val="14"/>
                      <w:szCs w:val="14"/>
                    </w:rPr>
                    <w:t xml:space="preserve">Industriefunctie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7D8E28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67696E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E88EC0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5D45C0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EDC5AC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9462E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A24DF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E96033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C06A3A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C0565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EBD354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BB2A1D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EF6966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F4F88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F06BA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65DC5A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6733F3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E4C6A9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A1B51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AAC05F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46DEF2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6" w:type="dxa"/>
                  <w:vAlign w:val="center"/>
                  <w:hideMark/>
                </w:tcPr>
                <w:p w:rsidRPr="0014041B" w:rsidR="003118A5" w:rsidP="008E105C" w14:paraId="187CB93C" w14:textId="77777777">
                  <w:pPr>
                    <w:spacing w:line="240" w:lineRule="auto"/>
                    <w:rPr>
                      <w:rFonts w:eastAsia="Times New Roman" w:cs="Times New Roman"/>
                      <w:sz w:val="14"/>
                      <w:szCs w:val="14"/>
                    </w:rPr>
                  </w:pPr>
                </w:p>
              </w:tc>
            </w:tr>
            <w:tr w:rsidTr="008E105C" w14:paraId="71670936"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1FFC33E"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BF1C1F8"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4AB1387" w14:textId="77777777">
                  <w:pPr>
                    <w:spacing w:line="240" w:lineRule="auto"/>
                    <w:rPr>
                      <w:rFonts w:eastAsia="Times New Roman" w:cs="Calibri"/>
                      <w:sz w:val="14"/>
                      <w:szCs w:val="14"/>
                    </w:rPr>
                  </w:pPr>
                  <w:r w:rsidRPr="0014041B">
                    <w:rPr>
                      <w:rFonts w:eastAsia="Times New Roman" w:cs="Arial"/>
                      <w:sz w:val="14"/>
                      <w:szCs w:val="14"/>
                    </w:rPr>
                    <w:t xml:space="preserve">lichte industriefunctie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218D0A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D09496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51806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9B8090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3E909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F3D6B7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5064B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134619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1910F5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5072207"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DB125B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0006F5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BBB32BE"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96855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85CD59"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C237D09"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880BAD5"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D8C3AE5"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7BC41E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39052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288430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008109F1" w14:textId="77777777">
                  <w:pPr>
                    <w:spacing w:line="240" w:lineRule="auto"/>
                    <w:rPr>
                      <w:rFonts w:eastAsia="Times New Roman" w:cs="Times New Roman"/>
                      <w:sz w:val="14"/>
                      <w:szCs w:val="14"/>
                    </w:rPr>
                  </w:pPr>
                </w:p>
              </w:tc>
            </w:tr>
            <w:tr w:rsidTr="008E105C" w14:paraId="7A65EA08"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8D95255"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43853AE"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FEF1B04" w14:textId="77777777">
                  <w:pPr>
                    <w:spacing w:line="240" w:lineRule="auto"/>
                    <w:rPr>
                      <w:rFonts w:eastAsia="Times New Roman" w:cs="Calibri"/>
                      <w:sz w:val="14"/>
                      <w:szCs w:val="14"/>
                    </w:rPr>
                  </w:pPr>
                  <w:r w:rsidRPr="0014041B">
                    <w:rPr>
                      <w:rFonts w:eastAsia="Times New Roman" w:cs="Arial"/>
                      <w:sz w:val="14"/>
                      <w:szCs w:val="14"/>
                    </w:rPr>
                    <w:t xml:space="preserve">andere industriefunctie </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72EC5C5D"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0A05BE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2F2EAD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4C28E572"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7F712F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CA0662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07CA642"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90330F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0A7AE28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7512AB0"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FDF6D0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69660C7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AF82ABD"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D8C4669"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9761B5D"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0483F3"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F46A77D"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349458AE"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A1AD5C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878FC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5A39B6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408CF37D" w14:textId="77777777">
                  <w:pPr>
                    <w:spacing w:line="240" w:lineRule="auto"/>
                    <w:rPr>
                      <w:rFonts w:eastAsia="Times New Roman" w:cs="Times New Roman"/>
                      <w:sz w:val="14"/>
                      <w:szCs w:val="14"/>
                    </w:rPr>
                  </w:pPr>
                </w:p>
              </w:tc>
            </w:tr>
            <w:tr w:rsidTr="008E105C" w14:paraId="25B01A09"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32D03D21" w14:textId="77777777">
                  <w:pPr>
                    <w:spacing w:line="240" w:lineRule="auto"/>
                    <w:jc w:val="right"/>
                    <w:rPr>
                      <w:rFonts w:eastAsia="Times New Roman" w:cs="Calibri"/>
                      <w:sz w:val="14"/>
                      <w:szCs w:val="14"/>
                    </w:rPr>
                  </w:pPr>
                  <w:r w:rsidRPr="0014041B">
                    <w:rPr>
                      <w:rFonts w:eastAsia="Times New Roman" w:cs="Arial"/>
                      <w:sz w:val="14"/>
                      <w:szCs w:val="14"/>
                    </w:rPr>
                    <w:t>6</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9C5D727" w14:textId="77777777">
                  <w:pPr>
                    <w:spacing w:line="240" w:lineRule="auto"/>
                    <w:rPr>
                      <w:rFonts w:eastAsia="Times New Roman" w:cs="Calibri"/>
                      <w:sz w:val="14"/>
                      <w:szCs w:val="14"/>
                    </w:rPr>
                  </w:pPr>
                  <w:r w:rsidRPr="0014041B">
                    <w:rPr>
                      <w:rFonts w:eastAsia="Times New Roman" w:cs="Arial"/>
                      <w:sz w:val="14"/>
                      <w:szCs w:val="14"/>
                    </w:rPr>
                    <w:t xml:space="preserve">Kantoorfunctie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5DBEDE7"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1427EC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F06532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0B2297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DEC6EC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63826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E8E20F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D92F65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A00A525"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5CC51DB"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A6D417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C750BE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1578EEB"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7127E9A"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B8F9A63"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F228F0A"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BD61DF1"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0477FF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2040EC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0B7B40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282FC6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361A2FFF" w14:textId="77777777">
                  <w:pPr>
                    <w:spacing w:line="240" w:lineRule="auto"/>
                    <w:rPr>
                      <w:rFonts w:eastAsia="Times New Roman" w:cs="Times New Roman"/>
                      <w:sz w:val="14"/>
                      <w:szCs w:val="14"/>
                    </w:rPr>
                  </w:pPr>
                </w:p>
              </w:tc>
            </w:tr>
            <w:tr w:rsidTr="008E105C" w14:paraId="02CA9DE8"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FE3A149" w14:textId="77777777">
                  <w:pPr>
                    <w:spacing w:line="240" w:lineRule="auto"/>
                    <w:jc w:val="right"/>
                    <w:rPr>
                      <w:rFonts w:eastAsia="Times New Roman" w:cs="Calibri"/>
                      <w:sz w:val="14"/>
                      <w:szCs w:val="14"/>
                    </w:rPr>
                  </w:pPr>
                  <w:r w:rsidRPr="0014041B">
                    <w:rPr>
                      <w:rFonts w:eastAsia="Times New Roman" w:cs="Arial"/>
                      <w:sz w:val="14"/>
                      <w:szCs w:val="14"/>
                    </w:rPr>
                    <w:t>7</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AAF5B71" w14:textId="77777777">
                  <w:pPr>
                    <w:spacing w:line="240" w:lineRule="auto"/>
                    <w:rPr>
                      <w:rFonts w:eastAsia="Times New Roman" w:cs="Calibri"/>
                      <w:sz w:val="14"/>
                      <w:szCs w:val="14"/>
                    </w:rPr>
                  </w:pPr>
                  <w:r w:rsidRPr="0014041B">
                    <w:rPr>
                      <w:rFonts w:eastAsia="Times New Roman" w:cs="Arial"/>
                      <w:sz w:val="14"/>
                      <w:szCs w:val="14"/>
                    </w:rPr>
                    <w:t xml:space="preserve">Logiesfunctie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453C38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C803AA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E57E0A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C515BE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83F777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5D72C8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AD4338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9C8840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C7DC1C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F80DDB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DC5B1A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43E4D1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51FF58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1BCA4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2D195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329E3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4EB610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4F5BE8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9B266B" w14:textId="77777777">
                  <w:pPr>
                    <w:spacing w:line="240" w:lineRule="auto"/>
                    <w:jc w:val="center"/>
                    <w:rPr>
                      <w:rFonts w:eastAsia="Times New Roman" w:cs="Calibri"/>
                      <w:sz w:val="14"/>
                      <w:szCs w:val="14"/>
                    </w:rPr>
                  </w:pP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51DCDDB" w14:textId="77777777">
                  <w:pPr>
                    <w:spacing w:line="240" w:lineRule="auto"/>
                    <w:jc w:val="center"/>
                    <w:rPr>
                      <w:rFonts w:eastAsia="Times New Roman" w:cs="Calibri"/>
                      <w:sz w:val="14"/>
                      <w:szCs w:val="14"/>
                    </w:rPr>
                  </w:pP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36F357C" w14:textId="77777777">
                  <w:pPr>
                    <w:spacing w:line="240" w:lineRule="auto"/>
                    <w:jc w:val="center"/>
                    <w:rPr>
                      <w:rFonts w:eastAsia="Times New Roman" w:cs="Calibri"/>
                      <w:sz w:val="14"/>
                      <w:szCs w:val="14"/>
                    </w:rPr>
                  </w:pPr>
                </w:p>
              </w:tc>
              <w:tc>
                <w:tcPr>
                  <w:tcW w:w="36" w:type="dxa"/>
                  <w:vAlign w:val="center"/>
                  <w:hideMark/>
                </w:tcPr>
                <w:p w:rsidRPr="0014041B" w:rsidR="003118A5" w:rsidP="008E105C" w14:paraId="2C639151" w14:textId="77777777">
                  <w:pPr>
                    <w:spacing w:line="240" w:lineRule="auto"/>
                    <w:rPr>
                      <w:rFonts w:eastAsia="Times New Roman" w:cs="Times New Roman"/>
                      <w:sz w:val="14"/>
                      <w:szCs w:val="14"/>
                    </w:rPr>
                  </w:pPr>
                </w:p>
              </w:tc>
            </w:tr>
            <w:tr w:rsidTr="008E105C" w14:paraId="037FFC7E" w14:textId="77777777">
              <w:tblPrEx>
                <w:tblW w:w="15016" w:type="dxa"/>
                <w:tblCellMar>
                  <w:left w:w="70" w:type="dxa"/>
                  <w:right w:w="70" w:type="dxa"/>
                </w:tblCellMar>
                <w:tblLook w:val="04A0"/>
              </w:tblPrEx>
              <w:trPr>
                <w:trHeight w:val="40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321879B7"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002304E"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3229"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1F04147A" w14:textId="77777777">
                  <w:pPr>
                    <w:spacing w:line="240" w:lineRule="auto"/>
                    <w:rPr>
                      <w:rFonts w:eastAsia="Times New Roman" w:cs="Calibri"/>
                      <w:sz w:val="14"/>
                      <w:szCs w:val="14"/>
                    </w:rPr>
                  </w:pPr>
                  <w:r w:rsidRPr="0014041B">
                    <w:rPr>
                      <w:rFonts w:eastAsia="Times New Roman" w:cs="Arial"/>
                      <w:sz w:val="14"/>
                      <w:szCs w:val="14"/>
                    </w:rPr>
                    <w:t xml:space="preserve">in een logiesgebouw met 24-uursbewaking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A9254C6"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ACB229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DFA119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D81531A"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55DDB5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CB4A313"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8E0DD27"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591056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789DB6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EB39A3F"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B313ED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B43F99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9CC21DA"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73B80F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0D026C0"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C6B8079"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32C6AF0"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A0F4FE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8784AA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9D488F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9972A3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373B92EA" w14:textId="77777777">
                  <w:pPr>
                    <w:spacing w:line="240" w:lineRule="auto"/>
                    <w:rPr>
                      <w:rFonts w:eastAsia="Times New Roman" w:cs="Times New Roman"/>
                      <w:sz w:val="14"/>
                      <w:szCs w:val="14"/>
                    </w:rPr>
                  </w:pPr>
                </w:p>
              </w:tc>
            </w:tr>
            <w:tr w:rsidTr="008E105C" w14:paraId="35F53BA2"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0062D50"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8053119"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A398086" w14:textId="77777777">
                  <w:pPr>
                    <w:spacing w:line="240" w:lineRule="auto"/>
                    <w:rPr>
                      <w:rFonts w:eastAsia="Times New Roman" w:cs="Calibri"/>
                      <w:sz w:val="14"/>
                      <w:szCs w:val="14"/>
                    </w:rPr>
                  </w:pPr>
                  <w:r w:rsidRPr="0014041B">
                    <w:rPr>
                      <w:rFonts w:eastAsia="Times New Roman" w:cs="Arial"/>
                      <w:sz w:val="14"/>
                      <w:szCs w:val="14"/>
                    </w:rPr>
                    <w:t xml:space="preserve">in een ander logiesgebouw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B04527E"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FDDA65B"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543D13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5BD207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392482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DE69D0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32279AB"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CA27F7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1000896"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95649F8"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E60830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78EF4B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4ED629"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57AE041"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5F9CCAB"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B2D98A8"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F464B62"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6C6CD3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BC607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CCCD39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8DE7AC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7A194190" w14:textId="77777777">
                  <w:pPr>
                    <w:spacing w:line="240" w:lineRule="auto"/>
                    <w:rPr>
                      <w:rFonts w:eastAsia="Times New Roman" w:cs="Times New Roman"/>
                      <w:sz w:val="14"/>
                      <w:szCs w:val="14"/>
                    </w:rPr>
                  </w:pPr>
                </w:p>
              </w:tc>
            </w:tr>
            <w:tr w:rsidTr="008E105C" w14:paraId="5F20D2A1"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BFD7551"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8A787E" w14:textId="77777777">
                  <w:pPr>
                    <w:spacing w:line="240" w:lineRule="auto"/>
                    <w:rPr>
                      <w:rFonts w:eastAsia="Times New Roman" w:cs="Calibri"/>
                      <w:sz w:val="14"/>
                      <w:szCs w:val="14"/>
                    </w:rPr>
                  </w:pPr>
                  <w:r w:rsidRPr="0014041B">
                    <w:rPr>
                      <w:rFonts w:eastAsia="Times New Roman" w:cs="Arial"/>
                      <w:sz w:val="14"/>
                      <w:szCs w:val="14"/>
                    </w:rPr>
                    <w:t xml:space="preserve">c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C3D7256" w14:textId="77777777">
                  <w:pPr>
                    <w:spacing w:line="240" w:lineRule="auto"/>
                    <w:rPr>
                      <w:rFonts w:eastAsia="Times New Roman" w:cs="Calibri"/>
                      <w:sz w:val="14"/>
                      <w:szCs w:val="14"/>
                    </w:rPr>
                  </w:pPr>
                  <w:r w:rsidRPr="0014041B">
                    <w:rPr>
                      <w:rFonts w:eastAsia="Times New Roman" w:cs="Arial"/>
                      <w:sz w:val="14"/>
                      <w:szCs w:val="14"/>
                    </w:rPr>
                    <w:t xml:space="preserve">andere logiesfunctie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C580AA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89EB35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B51F8C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2C2AA2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106D0F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8C81E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2606EC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885DB4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239DB54"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0A009B2"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6A0C5E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0D44F3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BF08C5D"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457E0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302011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EF05161"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46ECC68"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9A48746"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E66BE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DC7920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C3B01F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3EC6791B" w14:textId="77777777">
                  <w:pPr>
                    <w:spacing w:line="240" w:lineRule="auto"/>
                    <w:rPr>
                      <w:rFonts w:eastAsia="Times New Roman" w:cs="Times New Roman"/>
                      <w:sz w:val="14"/>
                      <w:szCs w:val="14"/>
                    </w:rPr>
                  </w:pPr>
                </w:p>
              </w:tc>
            </w:tr>
            <w:tr w:rsidTr="008E105C" w14:paraId="05F798C3"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93D51D1" w14:textId="77777777">
                  <w:pPr>
                    <w:spacing w:line="240" w:lineRule="auto"/>
                    <w:jc w:val="right"/>
                    <w:rPr>
                      <w:rFonts w:eastAsia="Times New Roman" w:cs="Calibri"/>
                      <w:sz w:val="14"/>
                      <w:szCs w:val="14"/>
                    </w:rPr>
                  </w:pPr>
                  <w:r w:rsidRPr="0014041B">
                    <w:rPr>
                      <w:rFonts w:eastAsia="Times New Roman" w:cs="Arial"/>
                      <w:sz w:val="14"/>
                      <w:szCs w:val="14"/>
                    </w:rPr>
                    <w:t>8</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07884E9" w14:textId="77777777">
                  <w:pPr>
                    <w:spacing w:line="240" w:lineRule="auto"/>
                    <w:rPr>
                      <w:rFonts w:eastAsia="Times New Roman" w:cs="Calibri"/>
                      <w:sz w:val="14"/>
                      <w:szCs w:val="14"/>
                    </w:rPr>
                  </w:pPr>
                  <w:r w:rsidRPr="0014041B">
                    <w:rPr>
                      <w:rFonts w:eastAsia="Times New Roman" w:cs="Arial"/>
                      <w:sz w:val="14"/>
                      <w:szCs w:val="14"/>
                    </w:rPr>
                    <w:t xml:space="preserve">Onderwijsfunctie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A8FAB25"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4A595B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F6E51B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640F202"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90F01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758B458"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10B8112"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1632EA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500E54E"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E69A841"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668AFB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929BAC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0EE253B"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B16F4DE"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ABCB779"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D77A19"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973BC18"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803A23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E73B68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82D637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04E3FB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34F068F7" w14:textId="77777777">
                  <w:pPr>
                    <w:spacing w:line="240" w:lineRule="auto"/>
                    <w:rPr>
                      <w:rFonts w:eastAsia="Times New Roman" w:cs="Times New Roman"/>
                      <w:sz w:val="14"/>
                      <w:szCs w:val="14"/>
                    </w:rPr>
                  </w:pPr>
                </w:p>
              </w:tc>
            </w:tr>
            <w:tr w:rsidTr="008E105C" w14:paraId="6EE5A245"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6AC19D4" w14:textId="77777777">
                  <w:pPr>
                    <w:spacing w:line="240" w:lineRule="auto"/>
                    <w:jc w:val="right"/>
                    <w:rPr>
                      <w:rFonts w:eastAsia="Times New Roman" w:cs="Calibri"/>
                      <w:sz w:val="14"/>
                      <w:szCs w:val="14"/>
                    </w:rPr>
                  </w:pPr>
                  <w:r w:rsidRPr="0014041B">
                    <w:rPr>
                      <w:rFonts w:eastAsia="Times New Roman" w:cs="Arial"/>
                      <w:sz w:val="14"/>
                      <w:szCs w:val="14"/>
                    </w:rPr>
                    <w:t>9</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3679B35" w14:textId="77777777">
                  <w:pPr>
                    <w:spacing w:line="240" w:lineRule="auto"/>
                    <w:rPr>
                      <w:rFonts w:eastAsia="Times New Roman" w:cs="Calibri"/>
                      <w:sz w:val="14"/>
                      <w:szCs w:val="14"/>
                    </w:rPr>
                  </w:pPr>
                  <w:r w:rsidRPr="0014041B">
                    <w:rPr>
                      <w:rFonts w:eastAsia="Times New Roman" w:cs="Arial"/>
                      <w:sz w:val="14"/>
                      <w:szCs w:val="14"/>
                    </w:rPr>
                    <w:t xml:space="preserve">Sportfunctie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8B9F4C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0F05CC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024C42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D86791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AE04E8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A31A43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752ED6"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392C0A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FF68D47"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096D43B"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558A39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488AE9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A9FF0A4"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4DF861E"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E28EBC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2E980E3"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30277A1"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0B43C4B"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D79FD2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BF1E7B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A53E8F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301D4B7C" w14:textId="77777777">
                  <w:pPr>
                    <w:spacing w:line="240" w:lineRule="auto"/>
                    <w:rPr>
                      <w:rFonts w:eastAsia="Times New Roman" w:cs="Times New Roman"/>
                      <w:sz w:val="14"/>
                      <w:szCs w:val="14"/>
                    </w:rPr>
                  </w:pPr>
                </w:p>
              </w:tc>
            </w:tr>
            <w:tr w:rsidTr="008E105C" w14:paraId="1FB58E37"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7A8F232E" w14:textId="77777777">
                  <w:pPr>
                    <w:spacing w:line="240" w:lineRule="auto"/>
                    <w:jc w:val="right"/>
                    <w:rPr>
                      <w:rFonts w:eastAsia="Times New Roman" w:cs="Calibri"/>
                      <w:sz w:val="14"/>
                      <w:szCs w:val="14"/>
                    </w:rPr>
                  </w:pPr>
                  <w:r w:rsidRPr="0014041B">
                    <w:rPr>
                      <w:rFonts w:eastAsia="Times New Roman" w:cs="Arial"/>
                      <w:sz w:val="14"/>
                      <w:szCs w:val="14"/>
                    </w:rPr>
                    <w:t>10</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0458E20" w14:textId="77777777">
                  <w:pPr>
                    <w:spacing w:line="240" w:lineRule="auto"/>
                    <w:rPr>
                      <w:rFonts w:eastAsia="Times New Roman" w:cs="Calibri"/>
                      <w:sz w:val="14"/>
                      <w:szCs w:val="14"/>
                    </w:rPr>
                  </w:pPr>
                  <w:r w:rsidRPr="0014041B">
                    <w:rPr>
                      <w:rFonts w:eastAsia="Times New Roman" w:cs="Arial"/>
                      <w:sz w:val="14"/>
                      <w:szCs w:val="14"/>
                    </w:rPr>
                    <w:t xml:space="preserve">Winkelfunctie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76A498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3947D9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2A2DBC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CD5431E"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C7CC51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9A1F279"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4DFF42F"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EA77BF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A4B010D"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A743F84"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8B5851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6BFB0E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2F256D4"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5F9AC61"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56C2E7"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9801B90"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2AE690F"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801472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4129F4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975E61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B083AF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45CB34CE" w14:textId="77777777">
                  <w:pPr>
                    <w:spacing w:line="240" w:lineRule="auto"/>
                    <w:rPr>
                      <w:rFonts w:eastAsia="Times New Roman" w:cs="Times New Roman"/>
                      <w:sz w:val="14"/>
                      <w:szCs w:val="14"/>
                    </w:rPr>
                  </w:pPr>
                </w:p>
              </w:tc>
            </w:tr>
            <w:tr w:rsidTr="008E105C" w14:paraId="196A6943"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31DA37C" w14:textId="77777777">
                  <w:pPr>
                    <w:spacing w:line="240" w:lineRule="auto"/>
                    <w:jc w:val="right"/>
                    <w:rPr>
                      <w:rFonts w:eastAsia="Times New Roman" w:cs="Calibri"/>
                      <w:sz w:val="14"/>
                      <w:szCs w:val="14"/>
                    </w:rPr>
                  </w:pPr>
                  <w:r w:rsidRPr="0014041B">
                    <w:rPr>
                      <w:rFonts w:eastAsia="Times New Roman" w:cs="Arial"/>
                      <w:sz w:val="14"/>
                      <w:szCs w:val="14"/>
                    </w:rPr>
                    <w:t>11</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31574CE" w14:textId="77777777">
                  <w:pPr>
                    <w:spacing w:line="240" w:lineRule="auto"/>
                    <w:rPr>
                      <w:rFonts w:eastAsia="Times New Roman" w:cs="Calibri"/>
                      <w:sz w:val="14"/>
                      <w:szCs w:val="14"/>
                    </w:rPr>
                  </w:pPr>
                  <w:r w:rsidRPr="0014041B">
                    <w:rPr>
                      <w:rFonts w:eastAsia="Times New Roman" w:cs="Arial"/>
                      <w:sz w:val="14"/>
                      <w:szCs w:val="14"/>
                    </w:rPr>
                    <w:t xml:space="preserve">Overige gebruiksfunctie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92EFBD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A8074C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D0D7C1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95E713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72A5CB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F33BD7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EF9123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43BBAF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280759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52AFB5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CFA07C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F0889B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99504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5A9C99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DA6EA0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76E439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C24320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3A1050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4A8B0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DC448D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E2B038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6" w:type="dxa"/>
                  <w:vAlign w:val="center"/>
                  <w:hideMark/>
                </w:tcPr>
                <w:p w:rsidRPr="0014041B" w:rsidR="003118A5" w:rsidP="008E105C" w14:paraId="2333E87B" w14:textId="77777777">
                  <w:pPr>
                    <w:spacing w:line="240" w:lineRule="auto"/>
                    <w:rPr>
                      <w:rFonts w:eastAsia="Times New Roman" w:cs="Times New Roman"/>
                      <w:sz w:val="14"/>
                      <w:szCs w:val="14"/>
                    </w:rPr>
                  </w:pPr>
                </w:p>
              </w:tc>
            </w:tr>
            <w:tr w:rsidTr="008E105C" w14:paraId="1C28F370" w14:textId="77777777">
              <w:tblPrEx>
                <w:tblW w:w="15016" w:type="dxa"/>
                <w:tblCellMar>
                  <w:left w:w="70" w:type="dxa"/>
                  <w:right w:w="70" w:type="dxa"/>
                </w:tblCellMar>
                <w:tblLook w:val="04A0"/>
              </w:tblPrEx>
              <w:trPr>
                <w:trHeight w:val="40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2254FA1F"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10C3561"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3229"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3C6893F8" w14:textId="77777777">
                  <w:pPr>
                    <w:spacing w:line="240" w:lineRule="auto"/>
                    <w:rPr>
                      <w:rFonts w:eastAsia="Times New Roman" w:cs="Calibri"/>
                      <w:sz w:val="14"/>
                      <w:szCs w:val="14"/>
                    </w:rPr>
                  </w:pPr>
                  <w:r w:rsidRPr="0014041B">
                    <w:rPr>
                      <w:rFonts w:eastAsia="Times New Roman" w:cs="Arial"/>
                      <w:sz w:val="14"/>
                      <w:szCs w:val="14"/>
                    </w:rPr>
                    <w:t xml:space="preserve">voor het stallen van motorvoertuigen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30160B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6E9361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BCCB46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7316EB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E705AA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51ECF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FD94BB"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73F963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D726C03"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9A67320"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19B69C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235679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5D2AD3F"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E4D0AA1"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C9D7392"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F675A8B"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B094A4F"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E747AE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59D128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5DD31B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1CA184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1112E006" w14:textId="77777777">
                  <w:pPr>
                    <w:spacing w:line="240" w:lineRule="auto"/>
                    <w:rPr>
                      <w:rFonts w:eastAsia="Times New Roman" w:cs="Times New Roman"/>
                      <w:sz w:val="14"/>
                      <w:szCs w:val="14"/>
                    </w:rPr>
                  </w:pPr>
                </w:p>
              </w:tc>
            </w:tr>
            <w:tr w:rsidTr="008E105C" w14:paraId="39800525"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A0FDE6F"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D544DA"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9BF5B0C" w14:textId="77777777">
                  <w:pPr>
                    <w:spacing w:line="240" w:lineRule="auto"/>
                    <w:rPr>
                      <w:rFonts w:eastAsia="Times New Roman" w:cs="Calibri"/>
                      <w:sz w:val="14"/>
                      <w:szCs w:val="14"/>
                    </w:rPr>
                  </w:pPr>
                  <w:r w:rsidRPr="0014041B">
                    <w:rPr>
                      <w:rFonts w:eastAsia="Times New Roman" w:cs="Arial"/>
                      <w:sz w:val="14"/>
                      <w:szCs w:val="14"/>
                    </w:rPr>
                    <w:t xml:space="preserve">voor het personenvervoer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D14E54E"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ADA43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182E69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5D529AA"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AC2D6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157CA86"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001505F"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D75103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EFD2285"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02215CA"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6AADF8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44EA65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84F74ED"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B457979"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51D47A"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55104AB"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02CDE60"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45BE2F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41DF7C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B6E73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FD191C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45D28D35" w14:textId="77777777">
                  <w:pPr>
                    <w:spacing w:line="240" w:lineRule="auto"/>
                    <w:rPr>
                      <w:rFonts w:eastAsia="Times New Roman" w:cs="Times New Roman"/>
                      <w:sz w:val="14"/>
                      <w:szCs w:val="14"/>
                    </w:rPr>
                  </w:pPr>
                </w:p>
              </w:tc>
            </w:tr>
            <w:tr w:rsidTr="008E105C" w14:paraId="2C0CABCA" w14:textId="77777777">
              <w:tblPrEx>
                <w:tblW w:w="15016" w:type="dxa"/>
                <w:tblCellMar>
                  <w:left w:w="70" w:type="dxa"/>
                  <w:right w:w="70" w:type="dxa"/>
                </w:tblCellMar>
                <w:tblLook w:val="04A0"/>
              </w:tblPrEx>
              <w:trPr>
                <w:trHeight w:val="28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7F521C94"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C1F4631" w14:textId="77777777">
                  <w:pPr>
                    <w:spacing w:line="240" w:lineRule="auto"/>
                    <w:rPr>
                      <w:rFonts w:eastAsia="Times New Roman" w:cs="Calibri"/>
                      <w:sz w:val="14"/>
                      <w:szCs w:val="14"/>
                    </w:rPr>
                  </w:pPr>
                  <w:r w:rsidRPr="0014041B">
                    <w:rPr>
                      <w:rFonts w:eastAsia="Times New Roman" w:cs="Arial"/>
                      <w:sz w:val="14"/>
                      <w:szCs w:val="14"/>
                    </w:rPr>
                    <w:t xml:space="preserve">c </w:t>
                  </w:r>
                </w:p>
              </w:tc>
              <w:tc>
                <w:tcPr>
                  <w:tcW w:w="322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6D472FC" w14:textId="77777777">
                  <w:pPr>
                    <w:spacing w:line="240" w:lineRule="auto"/>
                    <w:rPr>
                      <w:rFonts w:eastAsia="Times New Roman" w:cs="Calibri"/>
                      <w:sz w:val="14"/>
                      <w:szCs w:val="14"/>
                    </w:rPr>
                  </w:pPr>
                  <w:r w:rsidRPr="0014041B">
                    <w:rPr>
                      <w:rFonts w:eastAsia="Times New Roman" w:cs="Arial"/>
                      <w:sz w:val="14"/>
                      <w:szCs w:val="14"/>
                    </w:rPr>
                    <w:t xml:space="preserve">andere overige gebruiksfunctie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F4BF55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00F71C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B8DC0F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83037A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CD46B9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30833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C264BB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4328B0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20D9C7D"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F391950"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C8CEAD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51AA76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A94FE12"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0E3E8B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633E5F"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5C9B74"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FC47BEB"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FD2CAD9"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4BCD6E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B8E11B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44BA97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15B06B2F" w14:textId="77777777">
                  <w:pPr>
                    <w:spacing w:line="240" w:lineRule="auto"/>
                    <w:rPr>
                      <w:rFonts w:eastAsia="Times New Roman" w:cs="Times New Roman"/>
                      <w:sz w:val="14"/>
                      <w:szCs w:val="14"/>
                    </w:rPr>
                  </w:pPr>
                </w:p>
              </w:tc>
            </w:tr>
            <w:tr w:rsidTr="008E105C" w14:paraId="7CDEC3A2" w14:textId="77777777">
              <w:tblPrEx>
                <w:tblW w:w="15016" w:type="dxa"/>
                <w:tblCellMar>
                  <w:left w:w="70" w:type="dxa"/>
                  <w:right w:w="70" w:type="dxa"/>
                </w:tblCellMar>
                <w:tblLook w:val="04A0"/>
              </w:tblPrEx>
              <w:trPr>
                <w:trHeight w:val="372"/>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7D272352" w14:textId="77777777">
                  <w:pPr>
                    <w:spacing w:line="240" w:lineRule="auto"/>
                    <w:jc w:val="right"/>
                    <w:rPr>
                      <w:rFonts w:eastAsia="Times New Roman" w:cs="Calibri"/>
                      <w:sz w:val="14"/>
                      <w:szCs w:val="14"/>
                    </w:rPr>
                  </w:pPr>
                  <w:r w:rsidRPr="0014041B">
                    <w:rPr>
                      <w:rFonts w:eastAsia="Times New Roman" w:cs="Arial"/>
                      <w:sz w:val="14"/>
                      <w:szCs w:val="14"/>
                    </w:rPr>
                    <w:t>12</w:t>
                  </w:r>
                </w:p>
              </w:tc>
              <w:tc>
                <w:tcPr>
                  <w:tcW w:w="3376"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182F0CE" w14:textId="77777777">
                  <w:pPr>
                    <w:spacing w:line="240" w:lineRule="auto"/>
                    <w:rPr>
                      <w:rFonts w:eastAsia="Times New Roman" w:cs="Calibri"/>
                      <w:sz w:val="14"/>
                      <w:szCs w:val="14"/>
                    </w:rPr>
                  </w:pPr>
                  <w:r w:rsidRPr="0014041B">
                    <w:rPr>
                      <w:rFonts w:eastAsia="Times New Roman" w:cs="Arial"/>
                      <w:sz w:val="14"/>
                      <w:szCs w:val="14"/>
                    </w:rPr>
                    <w:t xml:space="preserve">Bouwwerk geen gebouw zijnde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75CFDF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58761C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5BF6EC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C0AA84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FE79FA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E502B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A6FF8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A5A2F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56A2ED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5945FD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82CFA7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090A44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7FA3E5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636324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8346B5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E06F1B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B742FA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354232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D49B8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060661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D39293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6" w:type="dxa"/>
                  <w:vAlign w:val="center"/>
                  <w:hideMark/>
                </w:tcPr>
                <w:p w:rsidRPr="0014041B" w:rsidR="003118A5" w:rsidP="008E105C" w14:paraId="44EE166A" w14:textId="77777777">
                  <w:pPr>
                    <w:spacing w:line="240" w:lineRule="auto"/>
                    <w:rPr>
                      <w:rFonts w:eastAsia="Times New Roman" w:cs="Times New Roman"/>
                      <w:sz w:val="14"/>
                      <w:szCs w:val="14"/>
                    </w:rPr>
                  </w:pPr>
                </w:p>
              </w:tc>
            </w:tr>
            <w:tr w:rsidTr="008E105C" w14:paraId="49F29D88" w14:textId="77777777">
              <w:tblPrEx>
                <w:tblW w:w="15016" w:type="dxa"/>
                <w:tblCellMar>
                  <w:left w:w="70" w:type="dxa"/>
                  <w:right w:w="70" w:type="dxa"/>
                </w:tblCellMar>
                <w:tblLook w:val="04A0"/>
              </w:tblPrEx>
              <w:trPr>
                <w:trHeight w:val="408"/>
              </w:trPr>
              <w:tc>
                <w:tcPr>
                  <w:tcW w:w="26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90429F9"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FCADC57"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3229"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2474003A" w14:textId="77777777">
                  <w:pPr>
                    <w:spacing w:line="240" w:lineRule="auto"/>
                    <w:rPr>
                      <w:rFonts w:eastAsia="Times New Roman" w:cs="Calibri"/>
                      <w:sz w:val="14"/>
                      <w:szCs w:val="14"/>
                    </w:rPr>
                  </w:pPr>
                  <w:r w:rsidRPr="0014041B">
                    <w:rPr>
                      <w:rFonts w:eastAsia="Times New Roman" w:cs="Arial"/>
                      <w:sz w:val="14"/>
                      <w:szCs w:val="14"/>
                    </w:rPr>
                    <w:t xml:space="preserve">wegtunnel met een tunnellengte van meer dan 250 m </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139660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0C9DF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914209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433D66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B48C60"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07A14B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67A9D0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8E6235B"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FE71FE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0BF52C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6D6A9BB"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43A28D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63D01D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D7C711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A0C67D5"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8F851B5"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9638C34"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B06A60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91CD73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78AC4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A74DC3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40319A20" w14:textId="77777777">
                  <w:pPr>
                    <w:spacing w:line="240" w:lineRule="auto"/>
                    <w:rPr>
                      <w:rFonts w:eastAsia="Times New Roman" w:cs="Times New Roman"/>
                      <w:sz w:val="14"/>
                      <w:szCs w:val="14"/>
                    </w:rPr>
                  </w:pPr>
                </w:p>
              </w:tc>
            </w:tr>
            <w:tr w:rsidTr="008E105C" w14:paraId="203E74CC" w14:textId="77777777">
              <w:tblPrEx>
                <w:tblW w:w="15016" w:type="dxa"/>
                <w:tblCellMar>
                  <w:left w:w="70" w:type="dxa"/>
                  <w:right w:w="70" w:type="dxa"/>
                </w:tblCellMar>
                <w:tblLook w:val="04A0"/>
              </w:tblPrEx>
              <w:trPr>
                <w:trHeight w:val="408"/>
              </w:trPr>
              <w:tc>
                <w:tcPr>
                  <w:tcW w:w="264" w:type="dxa"/>
                  <w:tcBorders>
                    <w:top w:val="single" w:color="FFFFFF" w:sz="4" w:space="0"/>
                    <w:left w:val="single" w:color="auto" w:sz="4" w:space="0"/>
                    <w:bottom w:val="single" w:color="auto" w:sz="4" w:space="0"/>
                    <w:right w:val="single" w:color="FFFFFF" w:sz="4" w:space="0"/>
                  </w:tcBorders>
                  <w:shd w:val="clear" w:color="auto" w:fill="auto"/>
                  <w:noWrap/>
                  <w:vAlign w:val="center"/>
                  <w:hideMark/>
                </w:tcPr>
                <w:p w:rsidRPr="0014041B" w:rsidR="003118A5" w:rsidP="008E105C" w14:paraId="7B92576C" w14:textId="77777777">
                  <w:pPr>
                    <w:spacing w:line="240" w:lineRule="auto"/>
                    <w:rPr>
                      <w:rFonts w:eastAsia="Times New Roman" w:cs="Calibri"/>
                      <w:sz w:val="14"/>
                      <w:szCs w:val="14"/>
                    </w:rPr>
                  </w:pPr>
                  <w:r w:rsidRPr="0014041B">
                    <w:rPr>
                      <w:rFonts w:eastAsia="Times New Roman" w:cs="Arial"/>
                      <w:sz w:val="14"/>
                      <w:szCs w:val="14"/>
                    </w:rPr>
                    <w:t> </w:t>
                  </w:r>
                </w:p>
              </w:tc>
              <w:tc>
                <w:tcPr>
                  <w:tcW w:w="147"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3830D574"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3229" w:type="dxa"/>
                  <w:tcBorders>
                    <w:top w:val="single" w:color="FFFFFF" w:sz="4" w:space="0"/>
                    <w:left w:val="single" w:color="FFFFFF" w:sz="4" w:space="0"/>
                    <w:bottom w:val="single" w:color="auto" w:sz="4" w:space="0"/>
                    <w:right w:val="single" w:color="auto" w:sz="4" w:space="0"/>
                  </w:tcBorders>
                  <w:shd w:val="clear" w:color="auto" w:fill="auto"/>
                  <w:vAlign w:val="center"/>
                  <w:hideMark/>
                </w:tcPr>
                <w:p w:rsidRPr="0014041B" w:rsidR="003118A5" w:rsidP="008E105C" w14:paraId="44798980" w14:textId="77777777">
                  <w:pPr>
                    <w:spacing w:line="240" w:lineRule="auto"/>
                    <w:rPr>
                      <w:rFonts w:eastAsia="Times New Roman" w:cs="Calibri"/>
                      <w:sz w:val="14"/>
                      <w:szCs w:val="14"/>
                    </w:rPr>
                  </w:pPr>
                  <w:r w:rsidRPr="0014041B">
                    <w:rPr>
                      <w:rFonts w:eastAsia="Times New Roman" w:cs="Arial"/>
                      <w:sz w:val="14"/>
                      <w:szCs w:val="14"/>
                    </w:rPr>
                    <w:t xml:space="preserve">ander bouwwerk geen gebouw zijnde </w:t>
                  </w:r>
                </w:p>
              </w:tc>
              <w:tc>
                <w:tcPr>
                  <w:tcW w:w="540"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059CBC7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68F7916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7C90EFC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5F4BB8A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76F8A9C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3C96047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62364D0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5835F2C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28B002C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03676C81"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31BA4D0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532A004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0D596B81"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3A7DE0D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0A26B188"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09756EB3"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540"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792476A8"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540"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06E8FCA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333047B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5E3B024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540"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18D43C3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6" w:type="dxa"/>
                  <w:vAlign w:val="center"/>
                  <w:hideMark/>
                </w:tcPr>
                <w:p w:rsidRPr="0014041B" w:rsidR="003118A5" w:rsidP="008E105C" w14:paraId="211791BB" w14:textId="77777777">
                  <w:pPr>
                    <w:spacing w:line="240" w:lineRule="auto"/>
                    <w:rPr>
                      <w:rFonts w:eastAsia="Times New Roman" w:cs="Times New Roman"/>
                      <w:sz w:val="14"/>
                      <w:szCs w:val="14"/>
                    </w:rPr>
                  </w:pPr>
                </w:p>
              </w:tc>
            </w:tr>
          </w:tbl>
          <w:p w:rsidRPr="00A95622" w:rsidR="003118A5" w:rsidP="008E105C" w14:paraId="171382FD" w14:textId="77777777">
            <w:pPr>
              <w:spacing w:line="240" w:lineRule="auto"/>
              <w:rPr>
                <w:rFonts w:eastAsia="Times New Roman" w:cs="Calibri"/>
                <w:b/>
                <w:bCs/>
                <w:sz w:val="16"/>
                <w:szCs w:val="16"/>
              </w:rPr>
            </w:pPr>
          </w:p>
        </w:tc>
        <w:tc>
          <w:tcPr>
            <w:tcW w:w="11340" w:type="dxa"/>
            <w:shd w:val="clear" w:color="auto" w:fill="auto"/>
            <w:noWrap/>
            <w:vAlign w:val="center"/>
          </w:tcPr>
          <w:p w:rsidRPr="00A95622" w:rsidR="003118A5" w:rsidP="008E105C" w14:paraId="6294E552" w14:textId="77777777">
            <w:pPr>
              <w:spacing w:line="240" w:lineRule="auto"/>
              <w:rPr>
                <w:rFonts w:eastAsia="Times New Roman" w:cs="Calibri"/>
                <w:b/>
                <w:bCs/>
                <w:sz w:val="16"/>
                <w:szCs w:val="16"/>
              </w:rPr>
            </w:pPr>
          </w:p>
        </w:tc>
      </w:tr>
    </w:tbl>
    <w:p w:rsidRPr="003118A5" w:rsidR="003118A5" w:rsidP="003118A5" w14:paraId="60BBB044" w14:textId="77777777">
      <w:pPr>
        <w:pStyle w:val="NoSpacing"/>
        <w:rPr>
          <w:b/>
          <w:bCs/>
        </w:rPr>
      </w:pPr>
    </w:p>
    <w:p w:rsidRPr="003118A5" w:rsidR="003118A5" w:rsidP="003118A5" w14:paraId="66A6CD63" w14:textId="77777777">
      <w:pPr>
        <w:pStyle w:val="NoSpacing"/>
        <w:rPr>
          <w:b/>
          <w:bCs/>
        </w:rPr>
      </w:pPr>
      <w:r w:rsidRPr="003118A5">
        <w:rPr>
          <w:b/>
          <w:bCs/>
        </w:rPr>
        <w:t>I</w:t>
      </w:r>
    </w:p>
    <w:p w:rsidRPr="003118A5" w:rsidR="003118A5" w:rsidP="003118A5" w14:paraId="160563B4" w14:textId="77777777">
      <w:pPr>
        <w:pStyle w:val="NoSpacing"/>
      </w:pPr>
    </w:p>
    <w:p w:rsidRPr="003118A5" w:rsidR="003118A5" w:rsidP="003118A5" w14:paraId="471A37CB" w14:textId="77777777">
      <w:pPr>
        <w:pStyle w:val="NoSpacing"/>
      </w:pPr>
      <w:r w:rsidRPr="003118A5">
        <w:t xml:space="preserve">Tabel 4.212 komt te luiden: </w:t>
      </w:r>
    </w:p>
    <w:p w:rsidRPr="003118A5" w:rsidR="003118A5" w:rsidP="003118A5" w14:paraId="12D2D13B" w14:textId="77777777">
      <w:pPr>
        <w:pStyle w:val="NoSpacing"/>
      </w:pPr>
    </w:p>
    <w:p w:rsidRPr="003118A5" w:rsidR="003118A5" w:rsidP="003118A5" w14:paraId="5056B343" w14:textId="3E7016DF">
      <w:pPr>
        <w:pStyle w:val="NoSpacing"/>
        <w:rPr>
          <w:b/>
          <w:bCs/>
        </w:rPr>
      </w:pPr>
      <w:r w:rsidRPr="003118A5">
        <w:rPr>
          <w:b/>
          <w:bCs/>
        </w:rPr>
        <w:t>Tabel 4.212</w:t>
      </w:r>
    </w:p>
    <w:tbl>
      <w:tblPr>
        <w:tblW w:w="12895" w:type="dxa"/>
        <w:tblCellMar>
          <w:left w:w="70" w:type="dxa"/>
          <w:right w:w="70" w:type="dxa"/>
        </w:tblCellMar>
        <w:tblLook w:val="04A0"/>
      </w:tblPr>
      <w:tblGrid>
        <w:gridCol w:w="344"/>
        <w:gridCol w:w="298"/>
        <w:gridCol w:w="2056"/>
        <w:gridCol w:w="416"/>
        <w:gridCol w:w="276"/>
        <w:gridCol w:w="348"/>
        <w:gridCol w:w="653"/>
        <w:gridCol w:w="424"/>
        <w:gridCol w:w="425"/>
        <w:gridCol w:w="425"/>
        <w:gridCol w:w="426"/>
        <w:gridCol w:w="425"/>
        <w:gridCol w:w="425"/>
        <w:gridCol w:w="425"/>
        <w:gridCol w:w="426"/>
        <w:gridCol w:w="439"/>
        <w:gridCol w:w="343"/>
        <w:gridCol w:w="342"/>
        <w:gridCol w:w="342"/>
        <w:gridCol w:w="342"/>
        <w:gridCol w:w="343"/>
        <w:gridCol w:w="345"/>
        <w:gridCol w:w="342"/>
        <w:gridCol w:w="342"/>
        <w:gridCol w:w="343"/>
        <w:gridCol w:w="342"/>
        <w:gridCol w:w="345"/>
        <w:gridCol w:w="893"/>
      </w:tblGrid>
      <w:tr w:rsidTr="008E105C" w14:paraId="7DE6F0F2" w14:textId="77777777">
        <w:tblPrEx>
          <w:tblW w:w="12895" w:type="dxa"/>
          <w:tblCellMar>
            <w:left w:w="70" w:type="dxa"/>
            <w:right w:w="70" w:type="dxa"/>
          </w:tblCellMar>
          <w:tblLook w:val="04A0"/>
        </w:tblPrEx>
        <w:trPr>
          <w:trHeight w:val="279"/>
        </w:trPr>
        <w:tc>
          <w:tcPr>
            <w:tcW w:w="2698" w:type="dxa"/>
            <w:gridSpan w:val="3"/>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4041B" w:rsidR="003118A5" w:rsidP="008E105C" w14:paraId="2927F2C0" w14:textId="77777777">
            <w:pPr>
              <w:spacing w:line="240" w:lineRule="auto"/>
              <w:rPr>
                <w:rFonts w:eastAsia="Times New Roman" w:cs="Calibri"/>
                <w:b/>
                <w:bCs/>
                <w:sz w:val="14"/>
                <w:szCs w:val="14"/>
              </w:rPr>
            </w:pPr>
            <w:r w:rsidRPr="0014041B">
              <w:rPr>
                <w:rFonts w:eastAsia="Times New Roman" w:cs="Arial"/>
                <w:b/>
                <w:bCs/>
                <w:sz w:val="14"/>
                <w:szCs w:val="14"/>
              </w:rPr>
              <w:t>gebruiksfunctie</w:t>
            </w:r>
          </w:p>
        </w:tc>
        <w:tc>
          <w:tcPr>
            <w:tcW w:w="10197" w:type="dxa"/>
            <w:gridSpan w:val="25"/>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7C986851" w14:textId="77777777">
            <w:pPr>
              <w:spacing w:line="240" w:lineRule="auto"/>
              <w:rPr>
                <w:rFonts w:eastAsia="Times New Roman" w:cs="Arial"/>
                <w:b/>
                <w:bCs/>
                <w:sz w:val="14"/>
                <w:szCs w:val="14"/>
              </w:rPr>
            </w:pPr>
            <w:r w:rsidRPr="0014041B">
              <w:rPr>
                <w:rFonts w:eastAsia="Times New Roman" w:cs="Arial"/>
                <w:b/>
                <w:bCs/>
                <w:sz w:val="14"/>
                <w:szCs w:val="14"/>
              </w:rPr>
              <w:t>leden van toepassing</w:t>
            </w:r>
          </w:p>
        </w:tc>
      </w:tr>
      <w:tr w:rsidTr="008E105C" w14:paraId="6331288F" w14:textId="77777777">
        <w:tblPrEx>
          <w:tblW w:w="12895" w:type="dxa"/>
          <w:tblCellMar>
            <w:left w:w="70" w:type="dxa"/>
            <w:right w:w="70" w:type="dxa"/>
          </w:tblCellMar>
          <w:tblLook w:val="04A0"/>
        </w:tblPrEx>
        <w:trPr>
          <w:trHeight w:val="475"/>
        </w:trPr>
        <w:tc>
          <w:tcPr>
            <w:tcW w:w="269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4041B" w:rsidR="003118A5" w:rsidP="008E105C" w14:paraId="1FB66821" w14:textId="77777777">
            <w:pPr>
              <w:spacing w:line="240" w:lineRule="auto"/>
              <w:rPr>
                <w:rFonts w:eastAsia="Times New Roman" w:cs="Calibri"/>
                <w:sz w:val="14"/>
                <w:szCs w:val="14"/>
              </w:rPr>
            </w:pPr>
            <w:r w:rsidRPr="0014041B">
              <w:rPr>
                <w:rFonts w:eastAsia="Times New Roman" w:cs="Arial"/>
                <w:sz w:val="14"/>
                <w:szCs w:val="14"/>
              </w:rPr>
              <w:t> </w:t>
            </w:r>
          </w:p>
        </w:tc>
        <w:tc>
          <w:tcPr>
            <w:tcW w:w="104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textDirection w:val="btLr"/>
            <w:hideMark/>
          </w:tcPr>
          <w:p w:rsidRPr="0014041B" w:rsidR="003118A5" w:rsidP="008E105C" w14:paraId="33C58957" w14:textId="77777777">
            <w:pPr>
              <w:spacing w:line="240" w:lineRule="auto"/>
              <w:rPr>
                <w:rFonts w:eastAsia="Times New Roman" w:cs="Calibri"/>
                <w:sz w:val="14"/>
                <w:szCs w:val="14"/>
              </w:rPr>
            </w:pPr>
            <w:r w:rsidRPr="0014041B">
              <w:rPr>
                <w:rFonts w:eastAsia="Times New Roman" w:cs="Arial"/>
                <w:sz w:val="14"/>
                <w:szCs w:val="14"/>
              </w:rPr>
              <w:t>ontruimingsalarminstallatie</w:t>
            </w:r>
          </w:p>
        </w:tc>
        <w:tc>
          <w:tcPr>
            <w:tcW w:w="653" w:type="dxa"/>
            <w:vMerge w:val="restart"/>
            <w:tcBorders>
              <w:top w:val="nil"/>
              <w:left w:val="single" w:color="auto" w:sz="4" w:space="0"/>
              <w:bottom w:val="single" w:color="000000" w:sz="4" w:space="0"/>
              <w:right w:val="single" w:color="auto" w:sz="4" w:space="0"/>
            </w:tcBorders>
            <w:shd w:val="clear" w:color="auto" w:fill="auto"/>
            <w:textDirection w:val="btLr"/>
            <w:hideMark/>
          </w:tcPr>
          <w:p w:rsidRPr="0014041B" w:rsidR="003118A5" w:rsidP="008E105C" w14:paraId="3C328FCB" w14:textId="77777777">
            <w:pPr>
              <w:spacing w:line="240" w:lineRule="auto"/>
              <w:rPr>
                <w:rFonts w:eastAsia="Times New Roman" w:cs="Calibri"/>
                <w:sz w:val="14"/>
                <w:szCs w:val="14"/>
              </w:rPr>
            </w:pPr>
            <w:r w:rsidRPr="0014041B">
              <w:rPr>
                <w:rFonts w:eastAsia="Times New Roman" w:cs="Arial"/>
                <w:sz w:val="14"/>
                <w:szCs w:val="14"/>
              </w:rPr>
              <w:t>inspectiecertificaat ontruimingsalarminstallatie</w:t>
            </w:r>
          </w:p>
        </w:tc>
        <w:tc>
          <w:tcPr>
            <w:tcW w:w="2125" w:type="dxa"/>
            <w:gridSpan w:val="5"/>
            <w:vMerge w:val="restart"/>
            <w:tcBorders>
              <w:top w:val="single" w:color="auto" w:sz="4" w:space="0"/>
              <w:left w:val="single" w:color="auto" w:sz="4" w:space="0"/>
              <w:bottom w:val="single" w:color="auto" w:sz="4" w:space="0"/>
              <w:right w:val="single" w:color="auto" w:sz="4" w:space="0"/>
            </w:tcBorders>
            <w:shd w:val="clear" w:color="auto" w:fill="auto"/>
            <w:noWrap/>
            <w:textDirection w:val="btLr"/>
            <w:hideMark/>
          </w:tcPr>
          <w:p w:rsidRPr="0014041B" w:rsidR="003118A5" w:rsidP="008E105C" w14:paraId="7AC339A1" w14:textId="77777777">
            <w:pPr>
              <w:spacing w:line="240" w:lineRule="auto"/>
              <w:rPr>
                <w:rFonts w:eastAsia="Times New Roman" w:cs="Calibri"/>
                <w:sz w:val="14"/>
                <w:szCs w:val="14"/>
              </w:rPr>
            </w:pPr>
            <w:r w:rsidRPr="0014041B">
              <w:rPr>
                <w:rFonts w:eastAsia="Times New Roman" w:cs="Arial"/>
                <w:sz w:val="14"/>
                <w:szCs w:val="14"/>
              </w:rPr>
              <w:t xml:space="preserve">vluchtrouteaanduidingen </w:t>
            </w:r>
          </w:p>
        </w:tc>
        <w:tc>
          <w:tcPr>
            <w:tcW w:w="1715" w:type="dxa"/>
            <w:gridSpan w:val="4"/>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2E86E25B" w14:textId="77777777">
            <w:pPr>
              <w:spacing w:line="240" w:lineRule="auto"/>
              <w:rPr>
                <w:rFonts w:eastAsia="Times New Roman" w:cs="Calibri"/>
                <w:sz w:val="14"/>
                <w:szCs w:val="14"/>
              </w:rPr>
            </w:pPr>
            <w:r w:rsidRPr="0014041B">
              <w:rPr>
                <w:rFonts w:eastAsia="Times New Roman" w:cs="Arial"/>
                <w:sz w:val="14"/>
                <w:szCs w:val="14"/>
              </w:rPr>
              <w:t>deuren in vluchtroutes, draairichting</w:t>
            </w:r>
          </w:p>
        </w:tc>
        <w:tc>
          <w:tcPr>
            <w:tcW w:w="2057" w:type="dxa"/>
            <w:gridSpan w:val="6"/>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07A6831F" w14:textId="77777777">
            <w:pPr>
              <w:spacing w:line="240" w:lineRule="auto"/>
              <w:rPr>
                <w:rFonts w:eastAsia="Times New Roman" w:cs="Calibri"/>
                <w:sz w:val="14"/>
                <w:szCs w:val="14"/>
              </w:rPr>
            </w:pPr>
            <w:r w:rsidRPr="0014041B">
              <w:rPr>
                <w:rFonts w:eastAsia="Times New Roman" w:cs="Arial"/>
                <w:sz w:val="14"/>
                <w:szCs w:val="14"/>
              </w:rPr>
              <w:t>deuren in vluchtroutes, weerstand bij het openen</w:t>
            </w:r>
          </w:p>
        </w:tc>
        <w:tc>
          <w:tcPr>
            <w:tcW w:w="1714" w:type="dxa"/>
            <w:gridSpan w:val="5"/>
            <w:vMerge w:val="restart"/>
            <w:tcBorders>
              <w:top w:val="single" w:color="auto" w:sz="4" w:space="0"/>
              <w:left w:val="single" w:color="auto" w:sz="4" w:space="0"/>
              <w:bottom w:val="single" w:color="auto" w:sz="4" w:space="0"/>
              <w:right w:val="single" w:color="auto" w:sz="4" w:space="0"/>
            </w:tcBorders>
            <w:shd w:val="clear" w:color="auto" w:fill="auto"/>
            <w:textDirection w:val="btLr"/>
            <w:hideMark/>
          </w:tcPr>
          <w:p w:rsidRPr="0014041B" w:rsidR="003118A5" w:rsidP="008E105C" w14:paraId="1A00E95F" w14:textId="77777777">
            <w:pPr>
              <w:spacing w:line="240" w:lineRule="auto"/>
              <w:rPr>
                <w:rFonts w:eastAsia="Times New Roman" w:cs="Calibri"/>
                <w:sz w:val="14"/>
                <w:szCs w:val="14"/>
              </w:rPr>
            </w:pPr>
            <w:r w:rsidRPr="0014041B">
              <w:rPr>
                <w:rFonts w:eastAsia="Times New Roman" w:cs="Arial"/>
                <w:sz w:val="14"/>
                <w:szCs w:val="14"/>
              </w:rPr>
              <w:t>zelfsluitende constructieonderdelen</w:t>
            </w:r>
          </w:p>
        </w:tc>
        <w:tc>
          <w:tcPr>
            <w:tcW w:w="893" w:type="dxa"/>
            <w:vMerge w:val="restart"/>
            <w:tcBorders>
              <w:top w:val="single" w:color="auto" w:sz="4" w:space="0"/>
              <w:left w:val="single" w:color="auto" w:sz="4" w:space="0"/>
              <w:right w:val="single" w:color="auto" w:sz="4" w:space="0"/>
            </w:tcBorders>
            <w:textDirection w:val="btLr"/>
          </w:tcPr>
          <w:p w:rsidRPr="0014041B" w:rsidR="003118A5" w:rsidP="008E105C" w14:paraId="3005A253" w14:textId="77777777">
            <w:pPr>
              <w:spacing w:line="240" w:lineRule="auto"/>
              <w:rPr>
                <w:rFonts w:eastAsia="Times New Roman" w:cs="Arial"/>
                <w:sz w:val="14"/>
                <w:szCs w:val="14"/>
              </w:rPr>
            </w:pPr>
            <w:r w:rsidRPr="0014041B">
              <w:rPr>
                <w:rFonts w:eastAsia="Times New Roman" w:cs="Arial"/>
                <w:sz w:val="14"/>
                <w:szCs w:val="14"/>
              </w:rPr>
              <w:t>lift voor vluchten bij brand</w:t>
            </w:r>
          </w:p>
        </w:tc>
      </w:tr>
      <w:tr w:rsidTr="008E105C" w14:paraId="646EF102" w14:textId="77777777">
        <w:tblPrEx>
          <w:tblW w:w="12895" w:type="dxa"/>
          <w:tblCellMar>
            <w:left w:w="70" w:type="dxa"/>
            <w:right w:w="70" w:type="dxa"/>
          </w:tblCellMar>
          <w:tblLook w:val="04A0"/>
        </w:tblPrEx>
        <w:trPr>
          <w:trHeight w:val="1821"/>
        </w:trPr>
        <w:tc>
          <w:tcPr>
            <w:tcW w:w="2698" w:type="dxa"/>
            <w:gridSpan w:val="3"/>
            <w:vMerge/>
            <w:tcBorders>
              <w:top w:val="single" w:color="auto" w:sz="4" w:space="0"/>
              <w:left w:val="single" w:color="auto" w:sz="4" w:space="0"/>
              <w:bottom w:val="single" w:color="FFFFFF" w:themeColor="background1" w:sz="4" w:space="0"/>
              <w:right w:val="single" w:color="auto" w:sz="4" w:space="0"/>
            </w:tcBorders>
            <w:vAlign w:val="center"/>
            <w:hideMark/>
          </w:tcPr>
          <w:p w:rsidRPr="0014041B" w:rsidR="003118A5" w:rsidP="008E105C" w14:paraId="6FEDF10E" w14:textId="77777777">
            <w:pPr>
              <w:spacing w:line="240" w:lineRule="auto"/>
              <w:rPr>
                <w:rFonts w:eastAsia="Times New Roman" w:cs="Calibri"/>
                <w:sz w:val="14"/>
                <w:szCs w:val="14"/>
              </w:rPr>
            </w:pPr>
          </w:p>
        </w:tc>
        <w:tc>
          <w:tcPr>
            <w:tcW w:w="1040" w:type="dxa"/>
            <w:gridSpan w:val="3"/>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164590A3" w14:textId="77777777">
            <w:pPr>
              <w:spacing w:line="240" w:lineRule="auto"/>
              <w:rPr>
                <w:rFonts w:eastAsia="Times New Roman" w:cs="Calibri"/>
                <w:b/>
                <w:bCs/>
                <w:sz w:val="14"/>
                <w:szCs w:val="14"/>
              </w:rPr>
            </w:pPr>
          </w:p>
        </w:tc>
        <w:tc>
          <w:tcPr>
            <w:tcW w:w="653" w:type="dxa"/>
            <w:vMerge/>
            <w:tcBorders>
              <w:top w:val="nil"/>
              <w:left w:val="single" w:color="auto" w:sz="4" w:space="0"/>
              <w:bottom w:val="single" w:color="000000" w:sz="4" w:space="0"/>
              <w:right w:val="single" w:color="auto" w:sz="4" w:space="0"/>
            </w:tcBorders>
            <w:vAlign w:val="center"/>
            <w:hideMark/>
          </w:tcPr>
          <w:p w:rsidRPr="0014041B" w:rsidR="003118A5" w:rsidP="008E105C" w14:paraId="05CA7C15" w14:textId="77777777">
            <w:pPr>
              <w:spacing w:line="240" w:lineRule="auto"/>
              <w:rPr>
                <w:rFonts w:eastAsia="Times New Roman" w:cs="Calibri"/>
                <w:b/>
                <w:bCs/>
                <w:sz w:val="14"/>
                <w:szCs w:val="14"/>
              </w:rPr>
            </w:pPr>
          </w:p>
        </w:tc>
        <w:tc>
          <w:tcPr>
            <w:tcW w:w="2125" w:type="dxa"/>
            <w:gridSpan w:val="5"/>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4406F451" w14:textId="77777777">
            <w:pPr>
              <w:spacing w:line="240" w:lineRule="auto"/>
              <w:rPr>
                <w:rFonts w:eastAsia="Times New Roman" w:cs="Calibri"/>
                <w:b/>
                <w:bCs/>
                <w:sz w:val="14"/>
                <w:szCs w:val="14"/>
              </w:rPr>
            </w:pPr>
          </w:p>
        </w:tc>
        <w:tc>
          <w:tcPr>
            <w:tcW w:w="1715" w:type="dxa"/>
            <w:gridSpan w:val="4"/>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59D7943A" w14:textId="77777777">
            <w:pPr>
              <w:spacing w:line="240" w:lineRule="auto"/>
              <w:rPr>
                <w:rFonts w:eastAsia="Times New Roman" w:cs="Calibri"/>
                <w:b/>
                <w:bCs/>
                <w:sz w:val="14"/>
                <w:szCs w:val="14"/>
              </w:rPr>
            </w:pPr>
          </w:p>
        </w:tc>
        <w:tc>
          <w:tcPr>
            <w:tcW w:w="2057" w:type="dxa"/>
            <w:gridSpan w:val="6"/>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3E5E55E1" w14:textId="77777777">
            <w:pPr>
              <w:spacing w:line="240" w:lineRule="auto"/>
              <w:rPr>
                <w:rFonts w:eastAsia="Times New Roman" w:cs="Calibri"/>
                <w:b/>
                <w:bCs/>
                <w:sz w:val="14"/>
                <w:szCs w:val="14"/>
              </w:rPr>
            </w:pPr>
          </w:p>
        </w:tc>
        <w:tc>
          <w:tcPr>
            <w:tcW w:w="1714" w:type="dxa"/>
            <w:gridSpan w:val="5"/>
            <w:vMerge/>
            <w:tcBorders>
              <w:top w:val="single" w:color="auto" w:sz="4" w:space="0"/>
              <w:left w:val="single" w:color="auto" w:sz="4" w:space="0"/>
              <w:bottom w:val="single" w:color="auto" w:sz="4" w:space="0"/>
              <w:right w:val="single" w:color="auto" w:sz="4" w:space="0"/>
            </w:tcBorders>
            <w:vAlign w:val="center"/>
            <w:hideMark/>
          </w:tcPr>
          <w:p w:rsidRPr="0014041B" w:rsidR="003118A5" w:rsidP="008E105C" w14:paraId="4411664A" w14:textId="77777777">
            <w:pPr>
              <w:spacing w:line="240" w:lineRule="auto"/>
              <w:rPr>
                <w:rFonts w:eastAsia="Times New Roman" w:cs="Calibri"/>
                <w:b/>
                <w:bCs/>
                <w:sz w:val="14"/>
                <w:szCs w:val="14"/>
              </w:rPr>
            </w:pPr>
          </w:p>
        </w:tc>
        <w:tc>
          <w:tcPr>
            <w:tcW w:w="893" w:type="dxa"/>
            <w:vMerge/>
            <w:tcBorders>
              <w:left w:val="single" w:color="auto" w:sz="4" w:space="0"/>
              <w:bottom w:val="single" w:color="auto" w:sz="4" w:space="0"/>
              <w:right w:val="single" w:color="auto" w:sz="4" w:space="0"/>
            </w:tcBorders>
          </w:tcPr>
          <w:p w:rsidRPr="0014041B" w:rsidR="003118A5" w:rsidP="008E105C" w14:paraId="6A8DFEA5" w14:textId="77777777">
            <w:pPr>
              <w:spacing w:line="240" w:lineRule="auto"/>
              <w:rPr>
                <w:rFonts w:eastAsia="Times New Roman" w:cs="Calibri"/>
                <w:b/>
                <w:bCs/>
                <w:sz w:val="14"/>
                <w:szCs w:val="14"/>
              </w:rPr>
            </w:pPr>
          </w:p>
        </w:tc>
      </w:tr>
      <w:tr w:rsidTr="008E105C" w14:paraId="401B8C86" w14:textId="77777777">
        <w:tblPrEx>
          <w:tblW w:w="12895" w:type="dxa"/>
          <w:tblCellMar>
            <w:left w:w="70" w:type="dxa"/>
            <w:right w:w="70" w:type="dxa"/>
          </w:tblCellMar>
          <w:tblLook w:val="04A0"/>
        </w:tblPrEx>
        <w:trPr>
          <w:trHeight w:val="279"/>
        </w:trPr>
        <w:tc>
          <w:tcPr>
            <w:tcW w:w="2698" w:type="dxa"/>
            <w:gridSpan w:val="3"/>
            <w:tcBorders>
              <w:top w:val="single" w:color="FFFFFF" w:themeColor="background1" w:sz="4" w:space="0"/>
              <w:left w:val="single" w:color="auto" w:sz="4" w:space="0"/>
              <w:bottom w:val="single" w:color="FFFFFF" w:themeColor="background1" w:sz="4" w:space="0"/>
              <w:right w:val="single" w:color="auto" w:sz="4" w:space="0"/>
            </w:tcBorders>
            <w:shd w:val="clear" w:color="auto" w:fill="auto"/>
            <w:noWrap/>
            <w:vAlign w:val="center"/>
            <w:hideMark/>
          </w:tcPr>
          <w:p w:rsidRPr="0014041B" w:rsidR="003118A5" w:rsidP="008E105C" w14:paraId="0F20B73E" w14:textId="77777777">
            <w:pPr>
              <w:spacing w:line="240" w:lineRule="auto"/>
              <w:jc w:val="right"/>
              <w:rPr>
                <w:rFonts w:eastAsia="Times New Roman" w:cs="Calibri"/>
                <w:b/>
                <w:bCs/>
                <w:sz w:val="14"/>
                <w:szCs w:val="14"/>
              </w:rPr>
            </w:pPr>
            <w:r w:rsidRPr="0014041B">
              <w:rPr>
                <w:rFonts w:eastAsia="Times New Roman" w:cs="Arial"/>
                <w:b/>
                <w:bCs/>
                <w:sz w:val="14"/>
                <w:szCs w:val="14"/>
              </w:rPr>
              <w:t xml:space="preserve">artikel </w:t>
            </w:r>
          </w:p>
        </w:tc>
        <w:tc>
          <w:tcPr>
            <w:tcW w:w="1040" w:type="dxa"/>
            <w:gridSpan w:val="3"/>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75226D02" w14:textId="77777777">
            <w:pPr>
              <w:spacing w:line="240" w:lineRule="auto"/>
              <w:rPr>
                <w:rFonts w:eastAsia="Times New Roman" w:cs="Calibri"/>
                <w:b/>
                <w:bCs/>
                <w:sz w:val="14"/>
                <w:szCs w:val="14"/>
              </w:rPr>
            </w:pPr>
            <w:r w:rsidRPr="0014041B">
              <w:rPr>
                <w:rFonts w:eastAsia="Times New Roman" w:cs="Arial"/>
                <w:b/>
                <w:bCs/>
                <w:sz w:val="14"/>
                <w:szCs w:val="14"/>
              </w:rPr>
              <w:t>4.213</w:t>
            </w:r>
          </w:p>
        </w:tc>
        <w:tc>
          <w:tcPr>
            <w:tcW w:w="653" w:type="dxa"/>
            <w:tcBorders>
              <w:top w:val="nil"/>
              <w:left w:val="nil"/>
              <w:bottom w:val="single" w:color="auto" w:sz="4" w:space="0"/>
              <w:right w:val="single" w:color="auto" w:sz="4" w:space="0"/>
            </w:tcBorders>
            <w:shd w:val="clear" w:color="auto" w:fill="auto"/>
            <w:noWrap/>
            <w:vAlign w:val="center"/>
            <w:hideMark/>
          </w:tcPr>
          <w:p w:rsidRPr="0014041B" w:rsidR="003118A5" w:rsidP="008E105C" w14:paraId="44BCDB5D" w14:textId="77777777">
            <w:pPr>
              <w:spacing w:line="240" w:lineRule="auto"/>
              <w:rPr>
                <w:rFonts w:eastAsia="Times New Roman" w:cs="Calibri"/>
                <w:b/>
                <w:bCs/>
                <w:sz w:val="14"/>
                <w:szCs w:val="14"/>
              </w:rPr>
            </w:pPr>
            <w:r w:rsidRPr="0014041B">
              <w:rPr>
                <w:rFonts w:eastAsia="Times New Roman" w:cs="Arial"/>
                <w:b/>
                <w:bCs/>
                <w:sz w:val="14"/>
                <w:szCs w:val="14"/>
              </w:rPr>
              <w:t>4.214</w:t>
            </w:r>
          </w:p>
        </w:tc>
        <w:tc>
          <w:tcPr>
            <w:tcW w:w="2125" w:type="dxa"/>
            <w:gridSpan w:val="5"/>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1C385F85" w14:textId="77777777">
            <w:pPr>
              <w:spacing w:line="240" w:lineRule="auto"/>
              <w:rPr>
                <w:rFonts w:eastAsia="Times New Roman" w:cs="Calibri"/>
                <w:b/>
                <w:bCs/>
                <w:sz w:val="14"/>
                <w:szCs w:val="14"/>
              </w:rPr>
            </w:pPr>
            <w:r w:rsidRPr="0014041B">
              <w:rPr>
                <w:rFonts w:eastAsia="Times New Roman" w:cs="Arial"/>
                <w:b/>
                <w:bCs/>
                <w:sz w:val="14"/>
                <w:szCs w:val="14"/>
              </w:rPr>
              <w:t>4.215</w:t>
            </w:r>
          </w:p>
        </w:tc>
        <w:tc>
          <w:tcPr>
            <w:tcW w:w="1715" w:type="dxa"/>
            <w:gridSpan w:val="4"/>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39B537E6" w14:textId="77777777">
            <w:pPr>
              <w:spacing w:line="240" w:lineRule="auto"/>
              <w:rPr>
                <w:rFonts w:eastAsia="Times New Roman" w:cs="Calibri"/>
                <w:b/>
                <w:bCs/>
                <w:sz w:val="14"/>
                <w:szCs w:val="14"/>
              </w:rPr>
            </w:pPr>
            <w:r w:rsidRPr="0014041B">
              <w:rPr>
                <w:rFonts w:eastAsia="Times New Roman" w:cs="Arial"/>
                <w:b/>
                <w:bCs/>
                <w:sz w:val="14"/>
                <w:szCs w:val="14"/>
              </w:rPr>
              <w:t>4.216</w:t>
            </w:r>
          </w:p>
        </w:tc>
        <w:tc>
          <w:tcPr>
            <w:tcW w:w="2057" w:type="dxa"/>
            <w:gridSpan w:val="6"/>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782E5070" w14:textId="77777777">
            <w:pPr>
              <w:spacing w:line="240" w:lineRule="auto"/>
              <w:rPr>
                <w:rFonts w:eastAsia="Times New Roman" w:cs="Calibri"/>
                <w:b/>
                <w:bCs/>
                <w:sz w:val="14"/>
                <w:szCs w:val="14"/>
              </w:rPr>
            </w:pPr>
            <w:r w:rsidRPr="0014041B">
              <w:rPr>
                <w:rFonts w:eastAsia="Times New Roman" w:cs="Arial"/>
                <w:b/>
                <w:bCs/>
                <w:sz w:val="14"/>
                <w:szCs w:val="14"/>
              </w:rPr>
              <w:t>4.217</w:t>
            </w:r>
          </w:p>
        </w:tc>
        <w:tc>
          <w:tcPr>
            <w:tcW w:w="1714" w:type="dxa"/>
            <w:gridSpan w:val="5"/>
            <w:tcBorders>
              <w:top w:val="single" w:color="auto" w:sz="4" w:space="0"/>
              <w:left w:val="nil"/>
              <w:bottom w:val="single" w:color="auto" w:sz="4" w:space="0"/>
              <w:right w:val="single" w:color="auto" w:sz="4" w:space="0"/>
            </w:tcBorders>
            <w:shd w:val="clear" w:color="auto" w:fill="auto"/>
            <w:noWrap/>
            <w:vAlign w:val="center"/>
            <w:hideMark/>
          </w:tcPr>
          <w:p w:rsidRPr="0014041B" w:rsidR="003118A5" w:rsidP="008E105C" w14:paraId="23D0C962" w14:textId="77777777">
            <w:pPr>
              <w:spacing w:line="240" w:lineRule="auto"/>
              <w:rPr>
                <w:rFonts w:eastAsia="Times New Roman" w:cs="Calibri"/>
                <w:b/>
                <w:bCs/>
                <w:sz w:val="14"/>
                <w:szCs w:val="14"/>
              </w:rPr>
            </w:pPr>
            <w:r w:rsidRPr="0014041B">
              <w:rPr>
                <w:rFonts w:eastAsia="Times New Roman" w:cs="Arial"/>
                <w:b/>
                <w:bCs/>
                <w:sz w:val="14"/>
                <w:szCs w:val="14"/>
              </w:rPr>
              <w:t>4.218</w:t>
            </w:r>
          </w:p>
        </w:tc>
        <w:tc>
          <w:tcPr>
            <w:tcW w:w="893" w:type="dxa"/>
            <w:tcBorders>
              <w:top w:val="single" w:color="auto" w:sz="4" w:space="0"/>
              <w:bottom w:val="single" w:color="auto" w:sz="4" w:space="0"/>
              <w:right w:val="single" w:color="auto" w:sz="4" w:space="0"/>
            </w:tcBorders>
            <w:vAlign w:val="center"/>
          </w:tcPr>
          <w:p w:rsidRPr="0014041B" w:rsidR="003118A5" w:rsidP="008E105C" w14:paraId="1BCA6F46" w14:textId="77777777">
            <w:pPr>
              <w:spacing w:line="240" w:lineRule="auto"/>
              <w:rPr>
                <w:rFonts w:eastAsia="Times New Roman" w:cs="Times New Roman"/>
                <w:b/>
                <w:bCs/>
                <w:sz w:val="14"/>
                <w:szCs w:val="14"/>
              </w:rPr>
            </w:pPr>
            <w:r w:rsidRPr="0014041B">
              <w:rPr>
                <w:rFonts w:eastAsia="Times New Roman" w:cs="Times New Roman"/>
                <w:b/>
                <w:bCs/>
                <w:sz w:val="14"/>
                <w:szCs w:val="14"/>
              </w:rPr>
              <w:t>4.218a</w:t>
            </w:r>
          </w:p>
        </w:tc>
      </w:tr>
      <w:tr w:rsidTr="008E105C" w14:paraId="758F6DE3" w14:textId="77777777">
        <w:tblPrEx>
          <w:tblW w:w="12895" w:type="dxa"/>
          <w:tblCellMar>
            <w:left w:w="70" w:type="dxa"/>
            <w:right w:w="70" w:type="dxa"/>
          </w:tblCellMar>
          <w:tblLook w:val="04A0"/>
        </w:tblPrEx>
        <w:trPr>
          <w:trHeight w:val="279"/>
        </w:trPr>
        <w:tc>
          <w:tcPr>
            <w:tcW w:w="2698" w:type="dxa"/>
            <w:gridSpan w:val="3"/>
            <w:tcBorders>
              <w:top w:val="single" w:color="FFFFFF" w:themeColor="background1" w:sz="4" w:space="0"/>
              <w:left w:val="single" w:color="auto" w:sz="4" w:space="0"/>
              <w:bottom w:val="single" w:color="FFFFFF" w:themeColor="background1" w:sz="4" w:space="0"/>
              <w:right w:val="single" w:color="auto" w:sz="4" w:space="0"/>
            </w:tcBorders>
            <w:shd w:val="clear" w:color="auto" w:fill="auto"/>
            <w:noWrap/>
            <w:vAlign w:val="center"/>
            <w:hideMark/>
          </w:tcPr>
          <w:p w:rsidRPr="0014041B" w:rsidR="003118A5" w:rsidP="008E105C" w14:paraId="7BEABE14" w14:textId="77777777">
            <w:pPr>
              <w:spacing w:line="240" w:lineRule="auto"/>
              <w:jc w:val="right"/>
              <w:rPr>
                <w:rFonts w:eastAsia="Times New Roman" w:cs="Calibri"/>
                <w:b/>
                <w:bCs/>
                <w:sz w:val="14"/>
                <w:szCs w:val="14"/>
              </w:rPr>
            </w:pPr>
            <w:r w:rsidRPr="0014041B">
              <w:rPr>
                <w:rFonts w:eastAsia="Times New Roman" w:cs="Arial"/>
                <w:b/>
                <w:bCs/>
                <w:sz w:val="14"/>
                <w:szCs w:val="14"/>
              </w:rPr>
              <w:t>lid</w:t>
            </w:r>
          </w:p>
        </w:tc>
        <w:tc>
          <w:tcPr>
            <w:tcW w:w="416"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778AF774"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276"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29441674"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348"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41E169D"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653"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015660E7" w14:textId="77777777">
            <w:pPr>
              <w:spacing w:line="240" w:lineRule="auto"/>
              <w:jc w:val="center"/>
              <w:rPr>
                <w:rFonts w:eastAsia="Times New Roman" w:cs="Calibri"/>
                <w:b/>
                <w:bCs/>
                <w:sz w:val="14"/>
                <w:szCs w:val="14"/>
              </w:rPr>
            </w:pPr>
            <w:r w:rsidRPr="0014041B">
              <w:rPr>
                <w:rFonts w:eastAsia="Times New Roman" w:cs="Arial"/>
                <w:b/>
                <w:bCs/>
                <w:sz w:val="14"/>
                <w:szCs w:val="14"/>
              </w:rPr>
              <w:t>*</w:t>
            </w:r>
          </w:p>
        </w:tc>
        <w:tc>
          <w:tcPr>
            <w:tcW w:w="424"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9D0258E"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425"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713D95CC"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425"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2A896E9"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426"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78B266BF" w14:textId="77777777">
            <w:pPr>
              <w:spacing w:line="240" w:lineRule="auto"/>
              <w:jc w:val="center"/>
              <w:rPr>
                <w:rFonts w:eastAsia="Times New Roman" w:cs="Calibri"/>
                <w:b/>
                <w:bCs/>
                <w:sz w:val="14"/>
                <w:szCs w:val="14"/>
              </w:rPr>
            </w:pPr>
            <w:r w:rsidRPr="0014041B">
              <w:rPr>
                <w:rFonts w:eastAsia="Times New Roman" w:cs="Arial"/>
                <w:b/>
                <w:bCs/>
                <w:sz w:val="14"/>
                <w:szCs w:val="14"/>
              </w:rPr>
              <w:t>4</w:t>
            </w:r>
          </w:p>
        </w:tc>
        <w:tc>
          <w:tcPr>
            <w:tcW w:w="425"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F1CA21F" w14:textId="77777777">
            <w:pPr>
              <w:spacing w:line="240" w:lineRule="auto"/>
              <w:jc w:val="center"/>
              <w:rPr>
                <w:rFonts w:eastAsia="Times New Roman" w:cs="Calibri"/>
                <w:b/>
                <w:bCs/>
                <w:sz w:val="14"/>
                <w:szCs w:val="14"/>
              </w:rPr>
            </w:pPr>
            <w:r w:rsidRPr="0014041B">
              <w:rPr>
                <w:rFonts w:eastAsia="Times New Roman" w:cs="Arial"/>
                <w:b/>
                <w:bCs/>
                <w:sz w:val="14"/>
                <w:szCs w:val="14"/>
              </w:rPr>
              <w:t>5</w:t>
            </w:r>
          </w:p>
        </w:tc>
        <w:tc>
          <w:tcPr>
            <w:tcW w:w="425"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8847F77"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425"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4E1AC9FA"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426"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74C35C2D"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439"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05B41AD2" w14:textId="77777777">
            <w:pPr>
              <w:spacing w:line="240" w:lineRule="auto"/>
              <w:jc w:val="center"/>
              <w:rPr>
                <w:rFonts w:eastAsia="Times New Roman" w:cs="Calibri"/>
                <w:b/>
                <w:bCs/>
                <w:sz w:val="14"/>
                <w:szCs w:val="14"/>
              </w:rPr>
            </w:pPr>
            <w:r w:rsidRPr="0014041B">
              <w:rPr>
                <w:rFonts w:eastAsia="Times New Roman" w:cs="Arial"/>
                <w:b/>
                <w:bCs/>
                <w:sz w:val="14"/>
                <w:szCs w:val="14"/>
              </w:rPr>
              <w:t>4</w:t>
            </w:r>
          </w:p>
        </w:tc>
        <w:tc>
          <w:tcPr>
            <w:tcW w:w="343"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9759020"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342"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5E271169"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342"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1BD3D7AB"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342"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29056B87" w14:textId="77777777">
            <w:pPr>
              <w:spacing w:line="240" w:lineRule="auto"/>
              <w:jc w:val="center"/>
              <w:rPr>
                <w:rFonts w:eastAsia="Times New Roman" w:cs="Calibri"/>
                <w:b/>
                <w:bCs/>
                <w:sz w:val="14"/>
                <w:szCs w:val="14"/>
              </w:rPr>
            </w:pPr>
            <w:r w:rsidRPr="0014041B">
              <w:rPr>
                <w:rFonts w:eastAsia="Times New Roman" w:cs="Arial"/>
                <w:b/>
                <w:bCs/>
                <w:sz w:val="14"/>
                <w:szCs w:val="14"/>
              </w:rPr>
              <w:t>4</w:t>
            </w:r>
          </w:p>
        </w:tc>
        <w:tc>
          <w:tcPr>
            <w:tcW w:w="343"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4FFADA8E" w14:textId="77777777">
            <w:pPr>
              <w:spacing w:line="240" w:lineRule="auto"/>
              <w:jc w:val="center"/>
              <w:rPr>
                <w:rFonts w:eastAsia="Times New Roman" w:cs="Calibri"/>
                <w:b/>
                <w:bCs/>
                <w:sz w:val="14"/>
                <w:szCs w:val="14"/>
              </w:rPr>
            </w:pPr>
            <w:r w:rsidRPr="0014041B">
              <w:rPr>
                <w:rFonts w:eastAsia="Times New Roman" w:cs="Arial"/>
                <w:b/>
                <w:bCs/>
                <w:sz w:val="14"/>
                <w:szCs w:val="14"/>
              </w:rPr>
              <w:t>5</w:t>
            </w:r>
          </w:p>
        </w:tc>
        <w:tc>
          <w:tcPr>
            <w:tcW w:w="345"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59F627C" w14:textId="77777777">
            <w:pPr>
              <w:spacing w:line="240" w:lineRule="auto"/>
              <w:jc w:val="center"/>
              <w:rPr>
                <w:rFonts w:eastAsia="Times New Roman" w:cs="Calibri"/>
                <w:b/>
                <w:bCs/>
                <w:sz w:val="14"/>
                <w:szCs w:val="14"/>
              </w:rPr>
            </w:pPr>
            <w:r w:rsidRPr="0014041B">
              <w:rPr>
                <w:rFonts w:eastAsia="Times New Roman" w:cs="Arial"/>
                <w:b/>
                <w:bCs/>
                <w:sz w:val="14"/>
                <w:szCs w:val="14"/>
              </w:rPr>
              <w:t>6</w:t>
            </w:r>
          </w:p>
        </w:tc>
        <w:tc>
          <w:tcPr>
            <w:tcW w:w="342"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2E921447" w14:textId="77777777">
            <w:pPr>
              <w:spacing w:line="240" w:lineRule="auto"/>
              <w:jc w:val="center"/>
              <w:rPr>
                <w:rFonts w:eastAsia="Times New Roman" w:cs="Calibri"/>
                <w:b/>
                <w:bCs/>
                <w:sz w:val="14"/>
                <w:szCs w:val="14"/>
              </w:rPr>
            </w:pPr>
            <w:r w:rsidRPr="0014041B">
              <w:rPr>
                <w:rFonts w:eastAsia="Times New Roman" w:cs="Arial"/>
                <w:b/>
                <w:bCs/>
                <w:sz w:val="14"/>
                <w:szCs w:val="14"/>
              </w:rPr>
              <w:t>1</w:t>
            </w:r>
          </w:p>
        </w:tc>
        <w:tc>
          <w:tcPr>
            <w:tcW w:w="342"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520AA7B" w14:textId="77777777">
            <w:pPr>
              <w:spacing w:line="240" w:lineRule="auto"/>
              <w:jc w:val="center"/>
              <w:rPr>
                <w:rFonts w:eastAsia="Times New Roman" w:cs="Calibri"/>
                <w:b/>
                <w:bCs/>
                <w:sz w:val="14"/>
                <w:szCs w:val="14"/>
              </w:rPr>
            </w:pPr>
            <w:r w:rsidRPr="0014041B">
              <w:rPr>
                <w:rFonts w:eastAsia="Times New Roman" w:cs="Arial"/>
                <w:b/>
                <w:bCs/>
                <w:sz w:val="14"/>
                <w:szCs w:val="14"/>
              </w:rPr>
              <w:t>2</w:t>
            </w:r>
          </w:p>
        </w:tc>
        <w:tc>
          <w:tcPr>
            <w:tcW w:w="343"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4138FD7C" w14:textId="77777777">
            <w:pPr>
              <w:spacing w:line="240" w:lineRule="auto"/>
              <w:jc w:val="center"/>
              <w:rPr>
                <w:rFonts w:eastAsia="Times New Roman" w:cs="Calibri"/>
                <w:b/>
                <w:bCs/>
                <w:sz w:val="14"/>
                <w:szCs w:val="14"/>
              </w:rPr>
            </w:pPr>
            <w:r w:rsidRPr="0014041B">
              <w:rPr>
                <w:rFonts w:eastAsia="Times New Roman" w:cs="Arial"/>
                <w:b/>
                <w:bCs/>
                <w:sz w:val="14"/>
                <w:szCs w:val="14"/>
              </w:rPr>
              <w:t>3</w:t>
            </w:r>
          </w:p>
        </w:tc>
        <w:tc>
          <w:tcPr>
            <w:tcW w:w="342"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42615EDB" w14:textId="77777777">
            <w:pPr>
              <w:spacing w:line="240" w:lineRule="auto"/>
              <w:jc w:val="center"/>
              <w:rPr>
                <w:rFonts w:eastAsia="Times New Roman" w:cs="Calibri"/>
                <w:b/>
                <w:bCs/>
                <w:sz w:val="14"/>
                <w:szCs w:val="14"/>
              </w:rPr>
            </w:pPr>
            <w:r w:rsidRPr="0014041B">
              <w:rPr>
                <w:rFonts w:eastAsia="Times New Roman" w:cs="Arial"/>
                <w:b/>
                <w:bCs/>
                <w:sz w:val="14"/>
                <w:szCs w:val="14"/>
              </w:rPr>
              <w:t>4</w:t>
            </w:r>
          </w:p>
        </w:tc>
        <w:tc>
          <w:tcPr>
            <w:tcW w:w="345"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2C80C51C" w14:textId="77777777">
            <w:pPr>
              <w:spacing w:line="240" w:lineRule="auto"/>
              <w:jc w:val="center"/>
              <w:rPr>
                <w:rFonts w:eastAsia="Times New Roman" w:cs="Calibri"/>
                <w:b/>
                <w:bCs/>
                <w:sz w:val="14"/>
                <w:szCs w:val="14"/>
              </w:rPr>
            </w:pPr>
            <w:r w:rsidRPr="0014041B">
              <w:rPr>
                <w:rFonts w:eastAsia="Times New Roman" w:cs="Arial"/>
                <w:b/>
                <w:bCs/>
                <w:sz w:val="14"/>
                <w:szCs w:val="14"/>
              </w:rPr>
              <w:t>5</w:t>
            </w:r>
          </w:p>
        </w:tc>
        <w:tc>
          <w:tcPr>
            <w:tcW w:w="893" w:type="dxa"/>
            <w:tcBorders>
              <w:top w:val="single" w:color="auto" w:sz="4" w:space="0"/>
              <w:bottom w:val="single" w:color="FFFFFF" w:sz="4" w:space="0"/>
              <w:right w:val="single" w:color="auto" w:sz="4" w:space="0"/>
            </w:tcBorders>
            <w:vAlign w:val="center"/>
          </w:tcPr>
          <w:p w:rsidRPr="0014041B" w:rsidR="003118A5" w:rsidP="008E105C" w14:paraId="63169CEF" w14:textId="77777777">
            <w:pPr>
              <w:spacing w:line="240" w:lineRule="auto"/>
              <w:jc w:val="center"/>
              <w:rPr>
                <w:rFonts w:eastAsia="Times New Roman" w:cs="Times New Roman"/>
                <w:sz w:val="14"/>
                <w:szCs w:val="14"/>
              </w:rPr>
            </w:pPr>
            <w:r w:rsidRPr="0014041B">
              <w:rPr>
                <w:rFonts w:eastAsia="Times New Roman" w:cs="Times New Roman"/>
                <w:sz w:val="14"/>
                <w:szCs w:val="14"/>
              </w:rPr>
              <w:t>*</w:t>
            </w:r>
          </w:p>
        </w:tc>
      </w:tr>
      <w:tr w:rsidTr="008E105C" w14:paraId="5510ECAE" w14:textId="77777777">
        <w:tblPrEx>
          <w:tblW w:w="12895" w:type="dxa"/>
          <w:tblCellMar>
            <w:left w:w="70" w:type="dxa"/>
            <w:right w:w="70" w:type="dxa"/>
          </w:tblCellMar>
          <w:tblLook w:val="04A0"/>
        </w:tblPrEx>
        <w:trPr>
          <w:trHeight w:val="306"/>
        </w:trPr>
        <w:tc>
          <w:tcPr>
            <w:tcW w:w="344" w:type="dxa"/>
            <w:tcBorders>
              <w:top w:val="single" w:color="FFFFFF" w:themeColor="background1" w:sz="4" w:space="0"/>
              <w:left w:val="single" w:color="auto" w:sz="4" w:space="0"/>
              <w:bottom w:val="single" w:color="FFFFFF" w:sz="4" w:space="0"/>
              <w:right w:val="single" w:color="FFFFFF" w:themeColor="background1" w:sz="4" w:space="0"/>
            </w:tcBorders>
            <w:shd w:val="clear" w:color="auto" w:fill="auto"/>
            <w:noWrap/>
            <w:vAlign w:val="center"/>
            <w:hideMark/>
          </w:tcPr>
          <w:p w:rsidRPr="0014041B" w:rsidR="003118A5" w:rsidP="008E105C" w14:paraId="1A77A157" w14:textId="77777777">
            <w:pPr>
              <w:spacing w:line="240" w:lineRule="auto"/>
              <w:jc w:val="right"/>
              <w:rPr>
                <w:rFonts w:eastAsia="Times New Roman" w:cs="Calibri"/>
                <w:sz w:val="14"/>
                <w:szCs w:val="14"/>
              </w:rPr>
            </w:pPr>
            <w:r w:rsidRPr="0014041B">
              <w:rPr>
                <w:rFonts w:eastAsia="Times New Roman" w:cs="Arial"/>
                <w:sz w:val="14"/>
                <w:szCs w:val="14"/>
              </w:rPr>
              <w:t>1</w:t>
            </w:r>
          </w:p>
        </w:tc>
        <w:tc>
          <w:tcPr>
            <w:tcW w:w="2354" w:type="dxa"/>
            <w:gridSpan w:val="2"/>
            <w:tcBorders>
              <w:top w:val="single" w:color="FFFFFF" w:themeColor="background1" w:sz="4" w:space="0"/>
              <w:left w:val="single" w:color="FFFFFF" w:themeColor="background1" w:sz="4" w:space="0"/>
              <w:bottom w:val="single" w:color="FFFFFF" w:sz="4" w:space="0"/>
              <w:right w:val="single" w:color="auto" w:sz="4" w:space="0"/>
            </w:tcBorders>
            <w:shd w:val="clear" w:color="auto" w:fill="auto"/>
            <w:noWrap/>
            <w:vAlign w:val="center"/>
            <w:hideMark/>
          </w:tcPr>
          <w:p w:rsidRPr="0014041B" w:rsidR="003118A5" w:rsidP="008E105C" w14:paraId="7A755474" w14:textId="77777777">
            <w:pPr>
              <w:spacing w:line="240" w:lineRule="auto"/>
              <w:rPr>
                <w:rFonts w:eastAsia="Times New Roman" w:cs="Calibri"/>
                <w:sz w:val="14"/>
                <w:szCs w:val="14"/>
              </w:rPr>
            </w:pPr>
            <w:r w:rsidRPr="0014041B">
              <w:rPr>
                <w:rFonts w:eastAsia="Times New Roman" w:cs="Arial"/>
                <w:sz w:val="14"/>
                <w:szCs w:val="14"/>
              </w:rPr>
              <w:t xml:space="preserve">Woonfunctie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235DBC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3D420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41ACD2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033C398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8773E3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19AA5D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4D8FC2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4D3B5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4EAE2D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20CD7E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1C29CB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0216D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533B74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C0A47C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17161B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5BF301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A5483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9D10A1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37E4FC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FC783B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4142DE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32335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1E949F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DC7074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893" w:type="dxa"/>
            <w:tcBorders>
              <w:top w:val="single" w:color="FFFFFF" w:sz="4" w:space="0"/>
              <w:bottom w:val="single" w:color="FFFFFF" w:sz="4" w:space="0"/>
              <w:right w:val="single" w:color="auto" w:sz="4" w:space="0"/>
            </w:tcBorders>
            <w:vAlign w:val="center"/>
          </w:tcPr>
          <w:p w:rsidRPr="0014041B" w:rsidR="003118A5" w:rsidP="008E105C" w14:paraId="67702A3A" w14:textId="77777777">
            <w:pPr>
              <w:spacing w:line="240" w:lineRule="auto"/>
              <w:jc w:val="center"/>
              <w:rPr>
                <w:rFonts w:eastAsia="Times New Roman" w:cs="Times New Roman"/>
                <w:sz w:val="14"/>
                <w:szCs w:val="14"/>
              </w:rPr>
            </w:pPr>
          </w:p>
        </w:tc>
      </w:tr>
      <w:tr w:rsidTr="008E105C" w14:paraId="3AB1D2C9" w14:textId="77777777">
        <w:tblPrEx>
          <w:tblW w:w="12895" w:type="dxa"/>
          <w:tblCellMar>
            <w:left w:w="70" w:type="dxa"/>
            <w:right w:w="70" w:type="dxa"/>
          </w:tblCellMar>
          <w:tblLook w:val="04A0"/>
        </w:tblPrEx>
        <w:trPr>
          <w:trHeight w:val="70"/>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554A17C"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AC3D676"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2056"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66071A1F" w14:textId="77777777">
            <w:pPr>
              <w:spacing w:line="240" w:lineRule="auto"/>
              <w:rPr>
                <w:rFonts w:eastAsia="Times New Roman" w:cs="Calibri"/>
                <w:sz w:val="14"/>
                <w:szCs w:val="14"/>
              </w:rPr>
            </w:pPr>
            <w:r w:rsidRPr="0014041B">
              <w:rPr>
                <w:rFonts w:eastAsia="Times New Roman" w:cs="Arial"/>
                <w:sz w:val="14"/>
                <w:szCs w:val="14"/>
              </w:rPr>
              <w:t>voor zorg met een g.o. &gt; 500 m</w:t>
            </w:r>
            <w:r w:rsidRPr="0014041B">
              <w:rPr>
                <w:rFonts w:eastAsia="Times New Roman" w:cs="Arial"/>
                <w:sz w:val="14"/>
                <w:szCs w:val="14"/>
                <w:vertAlign w:val="superscript"/>
              </w:rPr>
              <w:t>2</w:t>
            </w:r>
            <w:r w:rsidRPr="0014041B">
              <w:rPr>
                <w:rFonts w:eastAsia="Times New Roman" w:cs="Arial"/>
                <w:sz w:val="14"/>
                <w:szCs w:val="14"/>
              </w:rPr>
              <w:t xml:space="preserv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9820C6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D21950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C5F9C7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1B034AE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85DD53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2CA640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96BEC0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C49DAA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854F40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E23A55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889BAF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6D570F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55B7D2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1DD680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ECE87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9E730C"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5B06315"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AD600A9"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EE419C0"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FBCCA19"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8A1D16A"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EB890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0F5A4B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ABDF1E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13F50AF3" w14:textId="77777777">
            <w:pPr>
              <w:spacing w:line="240" w:lineRule="auto"/>
              <w:jc w:val="center"/>
              <w:rPr>
                <w:rFonts w:eastAsia="Times New Roman" w:cs="Times New Roman"/>
                <w:sz w:val="14"/>
                <w:szCs w:val="14"/>
              </w:rPr>
            </w:pPr>
            <w:r w:rsidRPr="0014041B">
              <w:rPr>
                <w:rFonts w:eastAsia="Times New Roman" w:cs="Times New Roman"/>
                <w:sz w:val="14"/>
                <w:szCs w:val="14"/>
              </w:rPr>
              <w:t>*</w:t>
            </w:r>
          </w:p>
        </w:tc>
      </w:tr>
      <w:tr w:rsidTr="008E105C" w14:paraId="0E2175D1" w14:textId="77777777">
        <w:tblPrEx>
          <w:tblW w:w="12895" w:type="dxa"/>
          <w:tblCellMar>
            <w:left w:w="70" w:type="dxa"/>
            <w:right w:w="70" w:type="dxa"/>
          </w:tblCellMar>
          <w:tblLook w:val="04A0"/>
        </w:tblPrEx>
        <w:trPr>
          <w:trHeight w:val="443"/>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52F03FEF"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D1A8A3"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2056"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373F55E0" w14:textId="77777777">
            <w:pPr>
              <w:spacing w:line="240" w:lineRule="auto"/>
              <w:rPr>
                <w:rFonts w:eastAsia="Times New Roman" w:cs="Calibri"/>
                <w:sz w:val="14"/>
                <w:szCs w:val="14"/>
              </w:rPr>
            </w:pPr>
            <w:r w:rsidRPr="0014041B">
              <w:rPr>
                <w:rFonts w:eastAsia="Times New Roman" w:cs="Arial"/>
                <w:sz w:val="14"/>
                <w:szCs w:val="14"/>
              </w:rPr>
              <w:t xml:space="preserve">andere woonfunctie voor zorg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3CE31FE"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86098E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CD7395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47BF09B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6E4357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BE36EA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F19738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E72FBE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C36CDA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D7C0F2D"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B5F223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BAF7A8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5FD81B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966F59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E7A79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B147B76"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BD11529"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F25C80C"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7783B7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A8E2C8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B4F3141"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82147E8"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FD0591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6F6779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3857749D" w14:textId="77777777">
            <w:pPr>
              <w:spacing w:line="240" w:lineRule="auto"/>
              <w:jc w:val="center"/>
              <w:rPr>
                <w:rFonts w:eastAsia="Times New Roman" w:cs="Times New Roman"/>
                <w:sz w:val="14"/>
                <w:szCs w:val="14"/>
              </w:rPr>
            </w:pPr>
            <w:r w:rsidRPr="0014041B">
              <w:rPr>
                <w:rFonts w:eastAsia="Times New Roman" w:cs="Times New Roman"/>
                <w:sz w:val="14"/>
                <w:szCs w:val="14"/>
              </w:rPr>
              <w:t>*</w:t>
            </w:r>
          </w:p>
        </w:tc>
      </w:tr>
      <w:tr w:rsidTr="008E105C" w14:paraId="64B7C008" w14:textId="77777777">
        <w:tblPrEx>
          <w:tblW w:w="12895" w:type="dxa"/>
          <w:tblCellMar>
            <w:left w:w="70" w:type="dxa"/>
            <w:right w:w="70" w:type="dxa"/>
          </w:tblCellMar>
          <w:tblLook w:val="04A0"/>
        </w:tblPrEx>
        <w:trPr>
          <w:trHeight w:val="443"/>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34B1910B"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B161CBA" w14:textId="77777777">
            <w:pPr>
              <w:spacing w:line="240" w:lineRule="auto"/>
              <w:rPr>
                <w:rFonts w:eastAsia="Times New Roman" w:cs="Calibri"/>
                <w:sz w:val="14"/>
                <w:szCs w:val="14"/>
              </w:rPr>
            </w:pPr>
            <w:r w:rsidRPr="0014041B">
              <w:rPr>
                <w:rFonts w:eastAsia="Times New Roman" w:cs="Arial"/>
                <w:sz w:val="14"/>
                <w:szCs w:val="14"/>
              </w:rPr>
              <w:t xml:space="preserve">c. </w:t>
            </w:r>
          </w:p>
        </w:tc>
        <w:tc>
          <w:tcPr>
            <w:tcW w:w="2056"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3A58DB38" w14:textId="77777777">
            <w:pPr>
              <w:spacing w:line="240" w:lineRule="auto"/>
              <w:rPr>
                <w:rFonts w:eastAsia="Times New Roman" w:cs="Calibri"/>
                <w:sz w:val="14"/>
                <w:szCs w:val="14"/>
              </w:rPr>
            </w:pPr>
            <w:r w:rsidRPr="0014041B">
              <w:rPr>
                <w:rFonts w:eastAsia="Times New Roman" w:cs="Arial"/>
                <w:sz w:val="14"/>
                <w:szCs w:val="14"/>
              </w:rPr>
              <w:t xml:space="preserve">voor kamergewijze verhuur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DDED06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EDF02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E24232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3B654E1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87251D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B9FAB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DD35FD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110D1D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D4FD07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9FC721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B0C90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1DA72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5A25C2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0B748D2"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7180A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7612A68"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A4CA45"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F0A7E2"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4657BB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448FE92"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F5AD2A6"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A4FF93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91823F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E29BAE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31F37AB8" w14:textId="77777777">
            <w:pPr>
              <w:spacing w:line="240" w:lineRule="auto"/>
              <w:jc w:val="center"/>
              <w:rPr>
                <w:rFonts w:eastAsia="Times New Roman" w:cs="Times New Roman"/>
                <w:sz w:val="14"/>
                <w:szCs w:val="14"/>
              </w:rPr>
            </w:pPr>
            <w:r w:rsidRPr="0014041B">
              <w:rPr>
                <w:rFonts w:eastAsia="Times New Roman" w:cs="Times New Roman"/>
                <w:sz w:val="14"/>
                <w:szCs w:val="14"/>
              </w:rPr>
              <w:t>*</w:t>
            </w:r>
          </w:p>
        </w:tc>
      </w:tr>
      <w:tr w:rsidTr="008E105C" w14:paraId="78D6F07D" w14:textId="77777777">
        <w:tblPrEx>
          <w:tblW w:w="12895" w:type="dxa"/>
          <w:tblCellMar>
            <w:left w:w="70" w:type="dxa"/>
            <w:right w:w="70" w:type="dxa"/>
          </w:tblCellMar>
          <w:tblLook w:val="04A0"/>
        </w:tblPrEx>
        <w:trPr>
          <w:trHeight w:val="443"/>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784ECEEA"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264E950" w14:textId="77777777">
            <w:pPr>
              <w:spacing w:line="240" w:lineRule="auto"/>
              <w:rPr>
                <w:rFonts w:eastAsia="Times New Roman" w:cs="Calibri"/>
                <w:sz w:val="14"/>
                <w:szCs w:val="14"/>
              </w:rPr>
            </w:pPr>
            <w:r w:rsidRPr="0014041B">
              <w:rPr>
                <w:rFonts w:eastAsia="Times New Roman" w:cs="Arial"/>
                <w:sz w:val="14"/>
                <w:szCs w:val="14"/>
              </w:rPr>
              <w:t xml:space="preserve">d. </w:t>
            </w:r>
          </w:p>
        </w:tc>
        <w:tc>
          <w:tcPr>
            <w:tcW w:w="2056"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45750BD" w14:textId="77777777">
            <w:pPr>
              <w:spacing w:line="240" w:lineRule="auto"/>
              <w:rPr>
                <w:rFonts w:eastAsia="Times New Roman" w:cs="Calibri"/>
                <w:sz w:val="14"/>
                <w:szCs w:val="14"/>
              </w:rPr>
            </w:pPr>
            <w:r w:rsidRPr="0014041B">
              <w:rPr>
                <w:rFonts w:eastAsia="Times New Roman" w:cs="Arial"/>
                <w:sz w:val="14"/>
                <w:szCs w:val="14"/>
              </w:rPr>
              <w:t xml:space="preserve">andere woonfunctie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4C1691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AE9364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FD5027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29CD391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113424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AE2765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CE375B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D280CE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484CE5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5EBDAA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4313C9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FED947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64800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28F6EC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3985AB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6DC392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98A7460"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F9F5878"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F11EC6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DA61795"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E3A0D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9F5AA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665E27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DAD6CE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2137E849" w14:textId="77777777">
            <w:pPr>
              <w:spacing w:line="240" w:lineRule="auto"/>
              <w:jc w:val="center"/>
              <w:rPr>
                <w:rFonts w:eastAsia="Times New Roman" w:cs="Times New Roman"/>
                <w:sz w:val="14"/>
                <w:szCs w:val="14"/>
              </w:rPr>
            </w:pPr>
            <w:r w:rsidRPr="0014041B">
              <w:rPr>
                <w:rFonts w:eastAsia="Times New Roman" w:cs="Times New Roman"/>
                <w:sz w:val="14"/>
                <w:szCs w:val="14"/>
              </w:rPr>
              <w:t>*</w:t>
            </w:r>
          </w:p>
        </w:tc>
      </w:tr>
      <w:tr w:rsidTr="008E105C" w14:paraId="76558692"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8D4DF8C" w14:textId="77777777">
            <w:pPr>
              <w:spacing w:line="240" w:lineRule="auto"/>
              <w:jc w:val="right"/>
              <w:rPr>
                <w:rFonts w:eastAsia="Times New Roman" w:cs="Calibri"/>
                <w:sz w:val="14"/>
                <w:szCs w:val="14"/>
              </w:rPr>
            </w:pPr>
            <w:r w:rsidRPr="0014041B">
              <w:rPr>
                <w:rFonts w:eastAsia="Times New Roman" w:cs="Arial"/>
                <w:sz w:val="14"/>
                <w:szCs w:val="14"/>
              </w:rPr>
              <w:t>2</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990ECAE" w14:textId="77777777">
            <w:pPr>
              <w:spacing w:line="240" w:lineRule="auto"/>
              <w:rPr>
                <w:rFonts w:eastAsia="Times New Roman" w:cs="Calibri"/>
                <w:sz w:val="14"/>
                <w:szCs w:val="14"/>
              </w:rPr>
            </w:pPr>
            <w:r w:rsidRPr="0014041B">
              <w:rPr>
                <w:rFonts w:eastAsia="Times New Roman" w:cs="Arial"/>
                <w:sz w:val="14"/>
                <w:szCs w:val="14"/>
              </w:rPr>
              <w:t xml:space="preserve">Bijeenkomstfunctie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7D49B7D"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25DE0C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68602D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4E28FC2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55E4787"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CEAB3F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3073E8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7F7CB6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42943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D3C05F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BE0A0F"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F94AACE"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569740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9943C0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6CFC770"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C22E6E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2023118"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922507E"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476C564"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B7F8272"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BBFF4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83DBCB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7D4B2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B8605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14540521"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366F71D1"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4A188919" w14:textId="77777777">
            <w:pPr>
              <w:spacing w:line="240" w:lineRule="auto"/>
              <w:jc w:val="right"/>
              <w:rPr>
                <w:rFonts w:eastAsia="Times New Roman" w:cs="Calibri"/>
                <w:sz w:val="14"/>
                <w:szCs w:val="14"/>
              </w:rPr>
            </w:pPr>
            <w:r w:rsidRPr="0014041B">
              <w:rPr>
                <w:rFonts w:eastAsia="Times New Roman" w:cs="Arial"/>
                <w:sz w:val="14"/>
                <w:szCs w:val="14"/>
              </w:rPr>
              <w:t>3</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A5059E0" w14:textId="77777777">
            <w:pPr>
              <w:spacing w:line="240" w:lineRule="auto"/>
              <w:rPr>
                <w:rFonts w:eastAsia="Times New Roman" w:cs="Calibri"/>
                <w:sz w:val="14"/>
                <w:szCs w:val="14"/>
              </w:rPr>
            </w:pPr>
            <w:r w:rsidRPr="0014041B">
              <w:rPr>
                <w:rFonts w:eastAsia="Times New Roman" w:cs="Arial"/>
                <w:sz w:val="14"/>
                <w:szCs w:val="14"/>
              </w:rPr>
              <w:t xml:space="preserve">Celfunctie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794BF63"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07F311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A8A864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6F4D827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B921B8B"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F376BF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C353BEC"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1487CE9"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4ECEEF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098E23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2BE379"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C2845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B5B6F8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DD2157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F8E291B"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BCBD776"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6159E0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65BB241"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6D2474D"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C0606BA"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E3CD86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F4792A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7D3092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614202C"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893" w:type="dxa"/>
            <w:tcBorders>
              <w:top w:val="single" w:color="FFFFFF" w:sz="4" w:space="0"/>
              <w:bottom w:val="single" w:color="FFFFFF" w:sz="4" w:space="0"/>
              <w:right w:val="single" w:color="auto" w:sz="4" w:space="0"/>
            </w:tcBorders>
            <w:vAlign w:val="center"/>
          </w:tcPr>
          <w:p w:rsidRPr="0014041B" w:rsidR="003118A5" w:rsidP="008E105C" w14:paraId="2D23187E"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26328B58" w14:textId="77777777">
        <w:tblPrEx>
          <w:tblW w:w="12895" w:type="dxa"/>
          <w:tblCellMar>
            <w:left w:w="70" w:type="dxa"/>
            <w:right w:w="70" w:type="dxa"/>
          </w:tblCellMar>
          <w:tblLook w:val="04A0"/>
        </w:tblPrEx>
        <w:trPr>
          <w:trHeight w:val="279"/>
        </w:trPr>
        <w:tc>
          <w:tcPr>
            <w:tcW w:w="344" w:type="dxa"/>
            <w:tcBorders>
              <w:top w:val="nil"/>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C6E22CF" w14:textId="77777777">
            <w:pPr>
              <w:spacing w:line="240" w:lineRule="auto"/>
              <w:jc w:val="right"/>
              <w:rPr>
                <w:rFonts w:eastAsia="Times New Roman" w:cs="Calibri"/>
                <w:sz w:val="14"/>
                <w:szCs w:val="14"/>
              </w:rPr>
            </w:pPr>
            <w:r w:rsidRPr="0014041B">
              <w:rPr>
                <w:rFonts w:eastAsia="Times New Roman" w:cs="Arial"/>
                <w:sz w:val="14"/>
                <w:szCs w:val="14"/>
              </w:rPr>
              <w:t>4</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83A4EC4" w14:textId="77777777">
            <w:pPr>
              <w:spacing w:line="240" w:lineRule="auto"/>
              <w:rPr>
                <w:rFonts w:eastAsia="Times New Roman" w:cs="Calibri"/>
                <w:sz w:val="14"/>
                <w:szCs w:val="14"/>
              </w:rPr>
            </w:pPr>
            <w:r w:rsidRPr="0014041B">
              <w:rPr>
                <w:rFonts w:eastAsia="Times New Roman" w:cs="Arial"/>
                <w:sz w:val="14"/>
                <w:szCs w:val="14"/>
              </w:rPr>
              <w:t xml:space="preserve">Gezondheidszorgfunctie </w:t>
            </w:r>
          </w:p>
        </w:tc>
        <w:tc>
          <w:tcPr>
            <w:tcW w:w="416"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4FECA0E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E48BE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1D76D7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30902F1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266ABD8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7F4A9E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027951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98F1201"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0B2A63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609FCE4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DB906AE"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E422FC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C30CF9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7797F6D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BE692F8"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7A0F25B"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47E8B16"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AAB8EA"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184AE77"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0A25F3A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D023C2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9CA1A6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964B06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6D0FD7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6A99B7F1"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6C81F2B0"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7C186CEE" w14:textId="77777777">
            <w:pPr>
              <w:spacing w:line="240" w:lineRule="auto"/>
              <w:jc w:val="right"/>
              <w:rPr>
                <w:rFonts w:eastAsia="Times New Roman" w:cs="Calibri"/>
                <w:sz w:val="14"/>
                <w:szCs w:val="14"/>
              </w:rPr>
            </w:pPr>
            <w:r w:rsidRPr="0014041B">
              <w:rPr>
                <w:rFonts w:eastAsia="Times New Roman" w:cs="Arial"/>
                <w:sz w:val="14"/>
                <w:szCs w:val="14"/>
              </w:rPr>
              <w:t>5</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017EEFB" w14:textId="77777777">
            <w:pPr>
              <w:spacing w:line="240" w:lineRule="auto"/>
              <w:rPr>
                <w:rFonts w:eastAsia="Times New Roman" w:cs="Calibri"/>
                <w:sz w:val="14"/>
                <w:szCs w:val="14"/>
              </w:rPr>
            </w:pPr>
            <w:r w:rsidRPr="0014041B">
              <w:rPr>
                <w:rFonts w:eastAsia="Times New Roman" w:cs="Arial"/>
                <w:sz w:val="14"/>
                <w:szCs w:val="14"/>
              </w:rPr>
              <w:t xml:space="preserve">Industriefunctie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137EB3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947D3F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39B273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223C07D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40609B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6B085C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0A0A4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39027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7212DD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EE8159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8918AE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8A0D6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5318B6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8BCC2F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C91009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1D12A0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04621C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D8B14A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BA4357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5A303A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9D0AC3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56C4FF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7448C3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BC44A3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893" w:type="dxa"/>
            <w:tcBorders>
              <w:top w:val="single" w:color="FFFFFF" w:sz="4" w:space="0"/>
              <w:bottom w:val="single" w:color="FFFFFF" w:sz="4" w:space="0"/>
              <w:right w:val="single" w:color="auto" w:sz="4" w:space="0"/>
            </w:tcBorders>
            <w:vAlign w:val="center"/>
          </w:tcPr>
          <w:p w:rsidRPr="0014041B" w:rsidR="003118A5" w:rsidP="008E105C" w14:paraId="045FDBDA" w14:textId="77777777">
            <w:pPr>
              <w:spacing w:line="240" w:lineRule="auto"/>
              <w:jc w:val="center"/>
              <w:rPr>
                <w:rFonts w:eastAsia="Times New Roman" w:cs="Times New Roman"/>
                <w:sz w:val="14"/>
                <w:szCs w:val="14"/>
              </w:rPr>
            </w:pPr>
          </w:p>
        </w:tc>
      </w:tr>
      <w:tr w:rsidTr="008E105C" w14:paraId="7CCCF45D"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5048487E"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011DBAD"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2056"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8251D6A" w14:textId="77777777">
            <w:pPr>
              <w:spacing w:line="240" w:lineRule="auto"/>
              <w:rPr>
                <w:rFonts w:eastAsia="Times New Roman" w:cs="Calibri"/>
                <w:sz w:val="14"/>
                <w:szCs w:val="14"/>
              </w:rPr>
            </w:pPr>
            <w:r w:rsidRPr="0014041B">
              <w:rPr>
                <w:rFonts w:eastAsia="Times New Roman" w:cs="Arial"/>
                <w:sz w:val="14"/>
                <w:szCs w:val="14"/>
              </w:rPr>
              <w:t xml:space="preserve">lichte industriefunctie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2E653B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9272DC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F15483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0E808D6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4BC471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00CF9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828CC9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03CA22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124A27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5792DA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4D966FE"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50D366"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ECAC19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371163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46E38CF"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864E91"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280E3C6"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5AEE743"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1EAE85B"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BE0BE0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7E6092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EF8E58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89F16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000328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129F1A9F"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4A878851"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5DC7933D"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6863F3"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2056"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BCF447B" w14:textId="77777777">
            <w:pPr>
              <w:spacing w:line="240" w:lineRule="auto"/>
              <w:rPr>
                <w:rFonts w:eastAsia="Times New Roman" w:cs="Calibri"/>
                <w:sz w:val="14"/>
                <w:szCs w:val="14"/>
              </w:rPr>
            </w:pPr>
            <w:r w:rsidRPr="0014041B">
              <w:rPr>
                <w:rFonts w:eastAsia="Times New Roman" w:cs="Arial"/>
                <w:sz w:val="14"/>
                <w:szCs w:val="14"/>
              </w:rPr>
              <w:t xml:space="preserve">andere industriefunctie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9830F6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3F2D1C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565FC8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7495CD6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1F542F4"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9166B6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C22087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0AB4E6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6EB1CA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4B73A1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43B5A44"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02D677"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BEA856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F0D532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3CE878"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4AF3EDA"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20B036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B8DF722"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04EAB19"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506861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653206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E0F2E4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76EC38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F50611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29A8C482"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4E7FC86F"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4C856424" w14:textId="77777777">
            <w:pPr>
              <w:spacing w:line="240" w:lineRule="auto"/>
              <w:jc w:val="right"/>
              <w:rPr>
                <w:rFonts w:eastAsia="Times New Roman" w:cs="Calibri"/>
                <w:sz w:val="14"/>
                <w:szCs w:val="14"/>
              </w:rPr>
            </w:pPr>
            <w:r w:rsidRPr="0014041B">
              <w:rPr>
                <w:rFonts w:eastAsia="Times New Roman" w:cs="Arial"/>
                <w:sz w:val="14"/>
                <w:szCs w:val="14"/>
              </w:rPr>
              <w:t>6</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45F9551" w14:textId="77777777">
            <w:pPr>
              <w:spacing w:line="240" w:lineRule="auto"/>
              <w:rPr>
                <w:rFonts w:eastAsia="Times New Roman" w:cs="Calibri"/>
                <w:sz w:val="14"/>
                <w:szCs w:val="14"/>
              </w:rPr>
            </w:pPr>
            <w:r w:rsidRPr="0014041B">
              <w:rPr>
                <w:rFonts w:eastAsia="Times New Roman" w:cs="Arial"/>
                <w:sz w:val="14"/>
                <w:szCs w:val="14"/>
              </w:rPr>
              <w:t xml:space="preserve">Kantoorfunctie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1F00EE7"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178A2E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C0DB8A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0572B95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D3DF513"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CEF924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DCBDB71"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0AE42E9"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849BBB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FB3118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B35A48"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29B3C8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86D954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F04B24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379CA4"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A81136C"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D2F9E3"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CC969A2"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5E64279"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D90CE89"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750288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930675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0F93E6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4DC18C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6AAEC9C7"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7D182659"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7392ECE" w14:textId="77777777">
            <w:pPr>
              <w:spacing w:line="240" w:lineRule="auto"/>
              <w:jc w:val="right"/>
              <w:rPr>
                <w:rFonts w:eastAsia="Times New Roman" w:cs="Calibri"/>
                <w:sz w:val="14"/>
                <w:szCs w:val="14"/>
              </w:rPr>
            </w:pPr>
            <w:r w:rsidRPr="0014041B">
              <w:rPr>
                <w:rFonts w:eastAsia="Times New Roman" w:cs="Arial"/>
                <w:sz w:val="14"/>
                <w:szCs w:val="14"/>
              </w:rPr>
              <w:t>7</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7C55E92" w14:textId="77777777">
            <w:pPr>
              <w:spacing w:line="240" w:lineRule="auto"/>
              <w:rPr>
                <w:rFonts w:eastAsia="Times New Roman" w:cs="Calibri"/>
                <w:sz w:val="14"/>
                <w:szCs w:val="14"/>
              </w:rPr>
            </w:pPr>
            <w:r w:rsidRPr="0014041B">
              <w:rPr>
                <w:rFonts w:eastAsia="Times New Roman" w:cs="Arial"/>
                <w:sz w:val="14"/>
                <w:szCs w:val="14"/>
              </w:rPr>
              <w:t xml:space="preserve">Logiesfunctie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9C9B05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97E3D3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AFF316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3B16649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51E464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57B05E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B9F6A2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B758B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DD25CE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A44267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384CE2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8E5214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93A97B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7DAB85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CDEEDC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F557F2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FCDA0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8463CD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998608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5BB771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3D40CEA" w14:textId="77777777">
            <w:pPr>
              <w:spacing w:line="240" w:lineRule="auto"/>
              <w:jc w:val="center"/>
              <w:rPr>
                <w:rFonts w:eastAsia="Times New Roman" w:cs="Calibri"/>
                <w:sz w:val="14"/>
                <w:szCs w:val="14"/>
              </w:rPr>
            </w:pP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9002DF8" w14:textId="77777777">
            <w:pPr>
              <w:spacing w:line="240" w:lineRule="auto"/>
              <w:jc w:val="center"/>
              <w:rPr>
                <w:rFonts w:eastAsia="Times New Roman" w:cs="Calibri"/>
                <w:sz w:val="14"/>
                <w:szCs w:val="14"/>
              </w:rPr>
            </w:pP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6F06F71" w14:textId="77777777">
            <w:pPr>
              <w:spacing w:line="240" w:lineRule="auto"/>
              <w:jc w:val="center"/>
              <w:rPr>
                <w:rFonts w:eastAsia="Times New Roman" w:cs="Calibri"/>
                <w:sz w:val="14"/>
                <w:szCs w:val="14"/>
              </w:rPr>
            </w:pP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0F00E8E" w14:textId="77777777">
            <w:pPr>
              <w:spacing w:line="240" w:lineRule="auto"/>
              <w:jc w:val="center"/>
              <w:rPr>
                <w:rFonts w:eastAsia="Times New Roman" w:cs="Calibri"/>
                <w:sz w:val="14"/>
                <w:szCs w:val="14"/>
              </w:rPr>
            </w:pPr>
          </w:p>
        </w:tc>
        <w:tc>
          <w:tcPr>
            <w:tcW w:w="893" w:type="dxa"/>
            <w:tcBorders>
              <w:top w:val="single" w:color="FFFFFF" w:sz="4" w:space="0"/>
              <w:bottom w:val="single" w:color="FFFFFF" w:sz="4" w:space="0"/>
              <w:right w:val="single" w:color="auto" w:sz="4" w:space="0"/>
            </w:tcBorders>
            <w:vAlign w:val="center"/>
          </w:tcPr>
          <w:p w:rsidRPr="0014041B" w:rsidR="003118A5" w:rsidP="008E105C" w14:paraId="646B2285" w14:textId="77777777">
            <w:pPr>
              <w:spacing w:line="240" w:lineRule="auto"/>
              <w:jc w:val="center"/>
              <w:rPr>
                <w:rFonts w:eastAsia="Times New Roman" w:cs="Times New Roman"/>
                <w:sz w:val="14"/>
                <w:szCs w:val="14"/>
              </w:rPr>
            </w:pPr>
          </w:p>
        </w:tc>
      </w:tr>
      <w:tr w:rsidTr="008E105C" w14:paraId="13F6087E" w14:textId="77777777">
        <w:tblPrEx>
          <w:tblW w:w="12895" w:type="dxa"/>
          <w:tblCellMar>
            <w:left w:w="70" w:type="dxa"/>
            <w:right w:w="70" w:type="dxa"/>
          </w:tblCellMar>
          <w:tblLook w:val="04A0"/>
        </w:tblPrEx>
        <w:trPr>
          <w:trHeight w:val="454"/>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228422F7"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23E104F"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2056"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6204717A" w14:textId="77777777">
            <w:pPr>
              <w:spacing w:line="240" w:lineRule="auto"/>
              <w:rPr>
                <w:rFonts w:eastAsia="Times New Roman" w:cs="Calibri"/>
                <w:sz w:val="14"/>
                <w:szCs w:val="14"/>
              </w:rPr>
            </w:pPr>
            <w:r w:rsidRPr="0014041B">
              <w:rPr>
                <w:rFonts w:eastAsia="Times New Roman" w:cs="Arial"/>
                <w:sz w:val="14"/>
                <w:szCs w:val="14"/>
              </w:rPr>
              <w:t xml:space="preserve">in een logiesgebouw met 24-uurs bewaking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F8239C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1F0373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782958B"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07AFAC3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96DC491"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1AD6A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7AA892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45D9DDB"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67D938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A90978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810E8F5"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BC5E893"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2784CF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C2E238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1150267"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E09EAAE"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D7CF712"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E1F29B6"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C8FD91F"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5896856"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374583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16875C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F7AC6D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42B938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46C879D0"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5809EAF2"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0B07AC6"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D62F630"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2056"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88B7DBC" w14:textId="77777777">
            <w:pPr>
              <w:spacing w:line="240" w:lineRule="auto"/>
              <w:rPr>
                <w:rFonts w:eastAsia="Times New Roman" w:cs="Calibri"/>
                <w:sz w:val="14"/>
                <w:szCs w:val="14"/>
              </w:rPr>
            </w:pPr>
            <w:r w:rsidRPr="0014041B">
              <w:rPr>
                <w:rFonts w:eastAsia="Times New Roman" w:cs="Arial"/>
                <w:sz w:val="14"/>
                <w:szCs w:val="14"/>
              </w:rPr>
              <w:t xml:space="preserve">in een ander logiesgebouw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A635728"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0138CC6"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90C495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37667E6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20BF6D9"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009CAC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B44BEC"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9D14F3C"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DD99AF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01B04C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792C9F7"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55ADEC0"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A20334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05D231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017BE1D"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9E51E1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5BF99F2"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8180A1"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D305E4D"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39EAA8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901E9B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970136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BA5554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0C525D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5649608D"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1583612D"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F872B12"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F8C0D42" w14:textId="77777777">
            <w:pPr>
              <w:spacing w:line="240" w:lineRule="auto"/>
              <w:rPr>
                <w:rFonts w:eastAsia="Times New Roman" w:cs="Calibri"/>
                <w:sz w:val="14"/>
                <w:szCs w:val="14"/>
              </w:rPr>
            </w:pPr>
            <w:r w:rsidRPr="0014041B">
              <w:rPr>
                <w:rFonts w:eastAsia="Times New Roman" w:cs="Arial"/>
                <w:sz w:val="14"/>
                <w:szCs w:val="14"/>
              </w:rPr>
              <w:t xml:space="preserve">c. </w:t>
            </w:r>
          </w:p>
        </w:tc>
        <w:tc>
          <w:tcPr>
            <w:tcW w:w="2056"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AE56DE6" w14:textId="77777777">
            <w:pPr>
              <w:spacing w:line="240" w:lineRule="auto"/>
              <w:rPr>
                <w:rFonts w:eastAsia="Times New Roman" w:cs="Calibri"/>
                <w:sz w:val="14"/>
                <w:szCs w:val="14"/>
              </w:rPr>
            </w:pPr>
            <w:r w:rsidRPr="0014041B">
              <w:rPr>
                <w:rFonts w:eastAsia="Times New Roman" w:cs="Arial"/>
                <w:sz w:val="14"/>
                <w:szCs w:val="14"/>
              </w:rPr>
              <w:t xml:space="preserve">andere logiesfunctie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EB5F0F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4EAEAF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3458D8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5E54496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29156A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CB5204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BA409B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F1503F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447440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D0973B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EA93602"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C89AE3C"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8EE26E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356AC4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F1CFE02"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496C43"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9CB48DD"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6B73050"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CC52170"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1A09E4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9E3F1E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8C470C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285DA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E9DF98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6D7AA7C7"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5617E928"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C33B3C4" w14:textId="77777777">
            <w:pPr>
              <w:spacing w:line="240" w:lineRule="auto"/>
              <w:jc w:val="right"/>
              <w:rPr>
                <w:rFonts w:eastAsia="Times New Roman" w:cs="Calibri"/>
                <w:sz w:val="14"/>
                <w:szCs w:val="14"/>
              </w:rPr>
            </w:pPr>
            <w:r w:rsidRPr="0014041B">
              <w:rPr>
                <w:rFonts w:eastAsia="Times New Roman" w:cs="Arial"/>
                <w:sz w:val="14"/>
                <w:szCs w:val="14"/>
              </w:rPr>
              <w:t>8</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6845DCB" w14:textId="77777777">
            <w:pPr>
              <w:spacing w:line="240" w:lineRule="auto"/>
              <w:rPr>
                <w:rFonts w:eastAsia="Times New Roman" w:cs="Calibri"/>
                <w:sz w:val="14"/>
                <w:szCs w:val="14"/>
              </w:rPr>
            </w:pPr>
            <w:r w:rsidRPr="0014041B">
              <w:rPr>
                <w:rFonts w:eastAsia="Times New Roman" w:cs="Arial"/>
                <w:sz w:val="14"/>
                <w:szCs w:val="14"/>
              </w:rPr>
              <w:t xml:space="preserve">Onderwijsfunctie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F0EE453"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95A2B1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334747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0E64C1E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A6FE8D4"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243EE0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1024D1"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613353"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4FAE95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8D6A7E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DF498D8"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B98725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266F4E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2CD390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6117A7E"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794E90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BD50D1"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7D24B80"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9A744CB"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106EAA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165BAE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6BFF16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C9CF32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C2A01B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42912A7E"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7D5618E4"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E588503" w14:textId="77777777">
            <w:pPr>
              <w:spacing w:line="240" w:lineRule="auto"/>
              <w:jc w:val="right"/>
              <w:rPr>
                <w:rFonts w:eastAsia="Times New Roman" w:cs="Calibri"/>
                <w:sz w:val="14"/>
                <w:szCs w:val="14"/>
              </w:rPr>
            </w:pPr>
            <w:r w:rsidRPr="0014041B">
              <w:rPr>
                <w:rFonts w:eastAsia="Times New Roman" w:cs="Arial"/>
                <w:sz w:val="14"/>
                <w:szCs w:val="14"/>
              </w:rPr>
              <w:t>9</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4F3A9FE" w14:textId="77777777">
            <w:pPr>
              <w:spacing w:line="240" w:lineRule="auto"/>
              <w:rPr>
                <w:rFonts w:eastAsia="Times New Roman" w:cs="Calibri"/>
                <w:sz w:val="14"/>
                <w:szCs w:val="14"/>
              </w:rPr>
            </w:pPr>
            <w:r w:rsidRPr="0014041B">
              <w:rPr>
                <w:rFonts w:eastAsia="Times New Roman" w:cs="Arial"/>
                <w:sz w:val="14"/>
                <w:szCs w:val="14"/>
              </w:rPr>
              <w:t xml:space="preserve">Sportfunctie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2CD5050"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98EDB2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79B1E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2FAA726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8F40647"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4A1AD5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984548C"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4AC6C8D"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5CD5A6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212F58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C61B4B4"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B5E1883"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3DF302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4465A5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A03F10D"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44363D3"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8598945"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DF3D9F4"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EFD6731"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A6C9EE4"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184D5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5D065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2C9D0E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35F69A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2E654007"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75EE0F4F"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6B05E68D" w14:textId="77777777">
            <w:pPr>
              <w:spacing w:line="240" w:lineRule="auto"/>
              <w:jc w:val="right"/>
              <w:rPr>
                <w:rFonts w:eastAsia="Times New Roman" w:cs="Calibri"/>
                <w:sz w:val="14"/>
                <w:szCs w:val="14"/>
              </w:rPr>
            </w:pPr>
            <w:r w:rsidRPr="0014041B">
              <w:rPr>
                <w:rFonts w:eastAsia="Times New Roman" w:cs="Arial"/>
                <w:sz w:val="14"/>
                <w:szCs w:val="14"/>
              </w:rPr>
              <w:t>10</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C6A95A6" w14:textId="77777777">
            <w:pPr>
              <w:spacing w:line="240" w:lineRule="auto"/>
              <w:rPr>
                <w:rFonts w:eastAsia="Times New Roman" w:cs="Calibri"/>
                <w:sz w:val="14"/>
                <w:szCs w:val="14"/>
              </w:rPr>
            </w:pPr>
            <w:r w:rsidRPr="0014041B">
              <w:rPr>
                <w:rFonts w:eastAsia="Times New Roman" w:cs="Arial"/>
                <w:sz w:val="14"/>
                <w:szCs w:val="14"/>
              </w:rPr>
              <w:t xml:space="preserve">Winkelfunctie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FFBE6D4"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D357E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FE1750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77530AC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7D10C1F"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9CAD21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4EB55A3"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412369"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4F83AC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1F3B0A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CCC874D"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D6F7B3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D81DD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5FDA7F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F223114"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DC1D7DB"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082D5AE"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64C6E58"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D3202CF"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2A274B3"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D63C50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78A7AC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694167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A2E3FE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3B5639A4"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1C70374E" w14:textId="77777777">
        <w:tblPrEx>
          <w:tblW w:w="12895" w:type="dxa"/>
          <w:tblCellMar>
            <w:left w:w="70" w:type="dxa"/>
            <w:right w:w="70" w:type="dxa"/>
          </w:tblCellMar>
          <w:tblLook w:val="04A0"/>
        </w:tblPrEx>
        <w:trPr>
          <w:trHeight w:val="279"/>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48CE3585" w14:textId="77777777">
            <w:pPr>
              <w:spacing w:line="240" w:lineRule="auto"/>
              <w:jc w:val="right"/>
              <w:rPr>
                <w:rFonts w:eastAsia="Times New Roman" w:cs="Calibri"/>
                <w:sz w:val="14"/>
                <w:szCs w:val="14"/>
              </w:rPr>
            </w:pPr>
            <w:r w:rsidRPr="0014041B">
              <w:rPr>
                <w:rFonts w:eastAsia="Times New Roman" w:cs="Arial"/>
                <w:sz w:val="14"/>
                <w:szCs w:val="14"/>
              </w:rPr>
              <w:t>11</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9E817D8" w14:textId="77777777">
            <w:pPr>
              <w:spacing w:line="240" w:lineRule="auto"/>
              <w:rPr>
                <w:rFonts w:eastAsia="Times New Roman" w:cs="Calibri"/>
                <w:sz w:val="14"/>
                <w:szCs w:val="14"/>
              </w:rPr>
            </w:pPr>
            <w:r w:rsidRPr="0014041B">
              <w:rPr>
                <w:rFonts w:eastAsia="Times New Roman" w:cs="Arial"/>
                <w:sz w:val="14"/>
                <w:szCs w:val="14"/>
              </w:rPr>
              <w:t xml:space="preserve">Overige gebruiksfunctie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7E77BD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68757D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142111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3E97C4A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F6108B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8978B6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8CCAA9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EBA36F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8DB1A6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890297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D92E051"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6B45E7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098C94F"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06F99A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466F0E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C35246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DC2310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DE08AF3"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A3F743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F59C642"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217A3E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FF6904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10AE89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A88A94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893" w:type="dxa"/>
            <w:tcBorders>
              <w:top w:val="single" w:color="FFFFFF" w:sz="4" w:space="0"/>
              <w:bottom w:val="single" w:color="FFFFFF" w:sz="4" w:space="0"/>
              <w:right w:val="single" w:color="auto" w:sz="4" w:space="0"/>
            </w:tcBorders>
            <w:vAlign w:val="center"/>
          </w:tcPr>
          <w:p w:rsidRPr="0014041B" w:rsidR="003118A5" w:rsidP="008E105C" w14:paraId="37D25E16" w14:textId="77777777">
            <w:pPr>
              <w:spacing w:line="240" w:lineRule="auto"/>
              <w:jc w:val="center"/>
              <w:rPr>
                <w:rFonts w:eastAsia="Times New Roman" w:cs="Times New Roman"/>
                <w:sz w:val="14"/>
                <w:szCs w:val="14"/>
              </w:rPr>
            </w:pPr>
          </w:p>
        </w:tc>
      </w:tr>
      <w:tr w:rsidTr="008E105C" w14:paraId="1DE3657E" w14:textId="77777777">
        <w:tblPrEx>
          <w:tblW w:w="12895" w:type="dxa"/>
          <w:tblCellMar>
            <w:left w:w="70" w:type="dxa"/>
            <w:right w:w="70" w:type="dxa"/>
          </w:tblCellMar>
          <w:tblLook w:val="04A0"/>
        </w:tblPrEx>
        <w:trPr>
          <w:trHeight w:val="454"/>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18065F7D"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78A0212"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2056"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147E4735" w14:textId="77777777">
            <w:pPr>
              <w:spacing w:line="240" w:lineRule="auto"/>
              <w:rPr>
                <w:rFonts w:eastAsia="Times New Roman" w:cs="Calibri"/>
                <w:sz w:val="14"/>
                <w:szCs w:val="14"/>
              </w:rPr>
            </w:pPr>
            <w:r w:rsidRPr="0014041B">
              <w:rPr>
                <w:rFonts w:eastAsia="Times New Roman" w:cs="Arial"/>
                <w:sz w:val="14"/>
                <w:szCs w:val="14"/>
              </w:rPr>
              <w:t xml:space="preserve">voor het stallen van motorvoertuigen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4B7E677D"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B54F8D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5DAD5B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07460BF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54538C7"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B9FF96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330508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F8DBF48"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BEFF33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F52587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5181AF3"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8CEE10D"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39C847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5692B3C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507BE85"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524DD5E"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24D2BF4"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9BEA16"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9701B8B"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CDD7D43"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81B3E0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828098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3018E1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DB4648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7C81E2B6"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26B824BB" w14:textId="77777777">
        <w:tblPrEx>
          <w:tblW w:w="12895" w:type="dxa"/>
          <w:tblCellMar>
            <w:left w:w="70" w:type="dxa"/>
            <w:right w:w="70" w:type="dxa"/>
          </w:tblCellMar>
          <w:tblLook w:val="04A0"/>
        </w:tblPrEx>
        <w:trPr>
          <w:trHeight w:val="454"/>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37B9528A"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BA041B6"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2056"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E05CB32" w14:textId="77777777">
            <w:pPr>
              <w:spacing w:line="240" w:lineRule="auto"/>
              <w:rPr>
                <w:rFonts w:eastAsia="Times New Roman" w:cs="Calibri"/>
                <w:sz w:val="14"/>
                <w:szCs w:val="14"/>
              </w:rPr>
            </w:pPr>
            <w:r w:rsidRPr="0014041B">
              <w:rPr>
                <w:rFonts w:eastAsia="Times New Roman" w:cs="Arial"/>
                <w:sz w:val="14"/>
                <w:szCs w:val="14"/>
              </w:rPr>
              <w:t xml:space="preserve">voor het personenvervoer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F50FC1B"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0E4617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47BDAE9"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7E89FDD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EDB780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499298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2DA9FE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834E018"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F85D2A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BEE697F"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451DC0B"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3736098"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C4D95D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7792A4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E58885E"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574410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7F0BE28"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9BBD8FA"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67FBD7F"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D958057"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B693CD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F5080B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E65C5B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15DE46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0A1019BD"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1D2C3799" w14:textId="77777777">
        <w:tblPrEx>
          <w:tblW w:w="12895" w:type="dxa"/>
          <w:tblCellMar>
            <w:left w:w="70" w:type="dxa"/>
            <w:right w:w="70" w:type="dxa"/>
          </w:tblCellMar>
          <w:tblLook w:val="04A0"/>
        </w:tblPrEx>
        <w:trPr>
          <w:trHeight w:val="454"/>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0165DA57"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B75E082" w14:textId="77777777">
            <w:pPr>
              <w:spacing w:line="240" w:lineRule="auto"/>
              <w:rPr>
                <w:rFonts w:eastAsia="Times New Roman" w:cs="Calibri"/>
                <w:sz w:val="14"/>
                <w:szCs w:val="14"/>
              </w:rPr>
            </w:pPr>
            <w:r w:rsidRPr="0014041B">
              <w:rPr>
                <w:rFonts w:eastAsia="Times New Roman" w:cs="Arial"/>
                <w:sz w:val="14"/>
                <w:szCs w:val="14"/>
              </w:rPr>
              <w:t xml:space="preserve">c. </w:t>
            </w:r>
          </w:p>
        </w:tc>
        <w:tc>
          <w:tcPr>
            <w:tcW w:w="2056" w:type="dxa"/>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3432B375" w14:textId="77777777">
            <w:pPr>
              <w:spacing w:line="240" w:lineRule="auto"/>
              <w:rPr>
                <w:rFonts w:eastAsia="Times New Roman" w:cs="Calibri"/>
                <w:sz w:val="14"/>
                <w:szCs w:val="14"/>
              </w:rPr>
            </w:pPr>
            <w:r w:rsidRPr="0014041B">
              <w:rPr>
                <w:rFonts w:eastAsia="Times New Roman" w:cs="Arial"/>
                <w:sz w:val="14"/>
                <w:szCs w:val="14"/>
              </w:rPr>
              <w:t xml:space="preserve">andere overige gebruiksfunctie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181B5D2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CD09BB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19F2CEC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12F3F96C"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4B4562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559558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F32191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FF88DE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D68798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7C0B537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98DB5C6"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C8359F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61EA421"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208B729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0B6B95C"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CF1B6FF"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0060D70"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33E2907"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02B8B2E3"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2B35839"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54C350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79A4BC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55A115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B56D72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7D8973CB"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4F74322B" w14:textId="77777777">
        <w:tblPrEx>
          <w:tblW w:w="12895" w:type="dxa"/>
          <w:tblCellMar>
            <w:left w:w="70" w:type="dxa"/>
            <w:right w:w="70" w:type="dxa"/>
          </w:tblCellMar>
          <w:tblLook w:val="04A0"/>
        </w:tblPrEx>
        <w:trPr>
          <w:trHeight w:val="454"/>
        </w:trPr>
        <w:tc>
          <w:tcPr>
            <w:tcW w:w="344" w:type="dxa"/>
            <w:tcBorders>
              <w:top w:val="single" w:color="FFFFFF" w:sz="4" w:space="0"/>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445D9E02" w14:textId="77777777">
            <w:pPr>
              <w:spacing w:line="240" w:lineRule="auto"/>
              <w:jc w:val="right"/>
              <w:rPr>
                <w:rFonts w:eastAsia="Times New Roman" w:cs="Calibri"/>
                <w:sz w:val="14"/>
                <w:szCs w:val="14"/>
              </w:rPr>
            </w:pPr>
            <w:r w:rsidRPr="0014041B">
              <w:rPr>
                <w:rFonts w:eastAsia="Times New Roman" w:cs="Arial"/>
                <w:sz w:val="14"/>
                <w:szCs w:val="14"/>
              </w:rPr>
              <w:t>12</w:t>
            </w:r>
          </w:p>
        </w:tc>
        <w:tc>
          <w:tcPr>
            <w:tcW w:w="2354" w:type="dxa"/>
            <w:gridSpan w:val="2"/>
            <w:tcBorders>
              <w:top w:val="single" w:color="FFFFFF" w:sz="4" w:space="0"/>
              <w:left w:val="single" w:color="FFFFFF" w:sz="4" w:space="0"/>
              <w:bottom w:val="single" w:color="FFFFFF" w:sz="4" w:space="0"/>
              <w:right w:val="single" w:color="auto" w:sz="4" w:space="0"/>
            </w:tcBorders>
            <w:shd w:val="clear" w:color="auto" w:fill="auto"/>
            <w:vAlign w:val="center"/>
            <w:hideMark/>
          </w:tcPr>
          <w:p w:rsidRPr="0014041B" w:rsidR="003118A5" w:rsidP="008E105C" w14:paraId="568379C2" w14:textId="77777777">
            <w:pPr>
              <w:spacing w:line="240" w:lineRule="auto"/>
              <w:rPr>
                <w:rFonts w:eastAsia="Times New Roman" w:cs="Calibri"/>
                <w:sz w:val="14"/>
                <w:szCs w:val="14"/>
              </w:rPr>
            </w:pPr>
            <w:r w:rsidRPr="0014041B">
              <w:rPr>
                <w:rFonts w:eastAsia="Times New Roman" w:cs="Arial"/>
                <w:sz w:val="14"/>
                <w:szCs w:val="14"/>
              </w:rPr>
              <w:t xml:space="preserve">Bouwwerk geen gebouw zijnde </w:t>
            </w:r>
          </w:p>
        </w:tc>
        <w:tc>
          <w:tcPr>
            <w:tcW w:w="416"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0CE2E8D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27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80A252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8"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409F8A"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653" w:type="dxa"/>
            <w:tcBorders>
              <w:top w:val="single" w:color="FFFFFF" w:sz="4" w:space="0"/>
              <w:left w:val="nil"/>
              <w:bottom w:val="single" w:color="FFFFFF" w:sz="4" w:space="0"/>
              <w:right w:val="single" w:color="auto" w:sz="4" w:space="0"/>
            </w:tcBorders>
            <w:shd w:val="clear" w:color="auto" w:fill="auto"/>
            <w:noWrap/>
            <w:vAlign w:val="center"/>
            <w:hideMark/>
          </w:tcPr>
          <w:p w:rsidRPr="0014041B" w:rsidR="003118A5" w:rsidP="008E105C" w14:paraId="22353E8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4"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FACD99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524958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78938E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6657EB9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5F6411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32C20D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5"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EF5B4C0"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26"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23E3E5"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439"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2EAA03C"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6E11E1A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F0BBFC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0C920F7"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F027E3E"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DB1FA8D"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FE5A79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nil"/>
              <w:bottom w:val="single" w:color="FFFFFF" w:sz="4" w:space="0"/>
              <w:right w:val="single" w:color="FFFFFF" w:sz="4" w:space="0"/>
            </w:tcBorders>
            <w:shd w:val="clear" w:color="auto" w:fill="auto"/>
            <w:noWrap/>
            <w:vAlign w:val="center"/>
            <w:hideMark/>
          </w:tcPr>
          <w:p w:rsidRPr="0014041B" w:rsidR="003118A5" w:rsidP="008E105C" w14:paraId="385B7126"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7108D1B"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3"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1021788"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2" w:type="dxa"/>
            <w:tcBorders>
              <w:top w:val="single" w:color="FFFFFF" w:sz="4" w:space="0"/>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084D8444"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345" w:type="dxa"/>
            <w:tcBorders>
              <w:top w:val="single" w:color="FFFFFF" w:sz="4" w:space="0"/>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20D7DF99" w14:textId="77777777">
            <w:pPr>
              <w:spacing w:line="240" w:lineRule="auto"/>
              <w:jc w:val="center"/>
              <w:rPr>
                <w:rFonts w:eastAsia="Times New Roman" w:cs="Calibri"/>
                <w:sz w:val="14"/>
                <w:szCs w:val="14"/>
              </w:rPr>
            </w:pPr>
            <w:r w:rsidRPr="0014041B">
              <w:rPr>
                <w:rFonts w:eastAsia="Times New Roman" w:cs="Arial"/>
                <w:sz w:val="14"/>
                <w:szCs w:val="14"/>
              </w:rPr>
              <w:t> </w:t>
            </w:r>
          </w:p>
        </w:tc>
        <w:tc>
          <w:tcPr>
            <w:tcW w:w="893" w:type="dxa"/>
            <w:tcBorders>
              <w:top w:val="single" w:color="FFFFFF" w:sz="4" w:space="0"/>
              <w:bottom w:val="single" w:color="FFFFFF" w:sz="4" w:space="0"/>
              <w:right w:val="single" w:color="auto" w:sz="4" w:space="0"/>
            </w:tcBorders>
            <w:vAlign w:val="center"/>
          </w:tcPr>
          <w:p w:rsidRPr="0014041B" w:rsidR="003118A5" w:rsidP="008E105C" w14:paraId="14A9C195" w14:textId="77777777">
            <w:pPr>
              <w:spacing w:line="240" w:lineRule="auto"/>
              <w:jc w:val="center"/>
              <w:rPr>
                <w:rFonts w:eastAsia="Times New Roman" w:cs="Times New Roman"/>
                <w:sz w:val="14"/>
                <w:szCs w:val="14"/>
              </w:rPr>
            </w:pPr>
          </w:p>
        </w:tc>
      </w:tr>
      <w:tr w:rsidTr="008E105C" w14:paraId="57A0DA2D" w14:textId="77777777">
        <w:tblPrEx>
          <w:tblW w:w="12895" w:type="dxa"/>
          <w:tblCellMar>
            <w:left w:w="70" w:type="dxa"/>
            <w:right w:w="70" w:type="dxa"/>
          </w:tblCellMar>
          <w:tblLook w:val="04A0"/>
        </w:tblPrEx>
        <w:trPr>
          <w:trHeight w:val="629"/>
        </w:trPr>
        <w:tc>
          <w:tcPr>
            <w:tcW w:w="344" w:type="dxa"/>
            <w:tcBorders>
              <w:top w:val="nil"/>
              <w:left w:val="single" w:color="auto" w:sz="4" w:space="0"/>
              <w:bottom w:val="single" w:color="FFFFFF" w:sz="4" w:space="0"/>
              <w:right w:val="single" w:color="FFFFFF" w:sz="4" w:space="0"/>
            </w:tcBorders>
            <w:shd w:val="clear" w:color="auto" w:fill="auto"/>
            <w:noWrap/>
            <w:vAlign w:val="center"/>
            <w:hideMark/>
          </w:tcPr>
          <w:p w:rsidRPr="0014041B" w:rsidR="003118A5" w:rsidP="008E105C" w14:paraId="37B56893"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57997C8" w14:textId="77777777">
            <w:pPr>
              <w:spacing w:line="240" w:lineRule="auto"/>
              <w:rPr>
                <w:rFonts w:eastAsia="Times New Roman" w:cs="Calibri"/>
                <w:sz w:val="14"/>
                <w:szCs w:val="14"/>
              </w:rPr>
            </w:pPr>
            <w:r w:rsidRPr="0014041B">
              <w:rPr>
                <w:rFonts w:eastAsia="Times New Roman" w:cs="Arial"/>
                <w:sz w:val="14"/>
                <w:szCs w:val="14"/>
              </w:rPr>
              <w:t xml:space="preserve">a. </w:t>
            </w:r>
          </w:p>
        </w:tc>
        <w:tc>
          <w:tcPr>
            <w:tcW w:w="2056" w:type="dxa"/>
            <w:tcBorders>
              <w:top w:val="nil"/>
              <w:left w:val="single" w:color="FFFFFF" w:sz="4" w:space="0"/>
              <w:bottom w:val="single" w:color="FFFFFF" w:sz="4" w:space="0"/>
              <w:right w:val="single" w:color="auto" w:sz="4" w:space="0"/>
            </w:tcBorders>
            <w:shd w:val="clear" w:color="auto" w:fill="auto"/>
            <w:vAlign w:val="center"/>
            <w:hideMark/>
          </w:tcPr>
          <w:p w:rsidRPr="0014041B" w:rsidR="003118A5" w:rsidP="008E105C" w14:paraId="64C0BF54" w14:textId="77777777">
            <w:pPr>
              <w:spacing w:line="240" w:lineRule="auto"/>
              <w:rPr>
                <w:rFonts w:eastAsia="Times New Roman" w:cs="Calibri"/>
                <w:sz w:val="14"/>
                <w:szCs w:val="14"/>
              </w:rPr>
            </w:pPr>
            <w:r w:rsidRPr="0014041B">
              <w:rPr>
                <w:rFonts w:eastAsia="Times New Roman" w:cs="Arial"/>
                <w:sz w:val="14"/>
                <w:szCs w:val="14"/>
              </w:rPr>
              <w:t xml:space="preserve">wegtunnel met een tunnellengte van meer dan 250 m </w:t>
            </w:r>
          </w:p>
        </w:tc>
        <w:tc>
          <w:tcPr>
            <w:tcW w:w="416"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5178D40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276"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36AFA9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5A1B675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nil"/>
              <w:left w:val="nil"/>
              <w:bottom w:val="single" w:color="FFFFFF" w:sz="4" w:space="0"/>
              <w:right w:val="single" w:color="auto" w:sz="4" w:space="0"/>
            </w:tcBorders>
            <w:shd w:val="clear" w:color="auto" w:fill="auto"/>
            <w:noWrap/>
            <w:vAlign w:val="center"/>
            <w:hideMark/>
          </w:tcPr>
          <w:p w:rsidRPr="0014041B" w:rsidR="003118A5" w:rsidP="008E105C" w14:paraId="68584633"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1D8A0B5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3E0CE68"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5"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725B5D85"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26"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361FAD2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78438CE8"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425"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5281A04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1EDE71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EC7DC90"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39"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44654D6A"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7D57B1D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84DCF1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C0E33F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57EC74AE"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5450AE8"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64C03BFF"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nil"/>
              <w:left w:val="nil"/>
              <w:bottom w:val="single" w:color="FFFFFF" w:sz="4" w:space="0"/>
              <w:right w:val="single" w:color="FFFFFF" w:sz="4" w:space="0"/>
            </w:tcBorders>
            <w:shd w:val="clear" w:color="auto" w:fill="auto"/>
            <w:noWrap/>
            <w:vAlign w:val="center"/>
            <w:hideMark/>
          </w:tcPr>
          <w:p w:rsidRPr="0014041B" w:rsidR="003118A5" w:rsidP="008E105C" w14:paraId="3DCA9E0C"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211E083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182E790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nil"/>
              <w:left w:val="single" w:color="FFFFFF" w:sz="4" w:space="0"/>
              <w:bottom w:val="single" w:color="FFFFFF" w:sz="4" w:space="0"/>
              <w:right w:val="single" w:color="FFFFFF" w:sz="4" w:space="0"/>
            </w:tcBorders>
            <w:shd w:val="clear" w:color="auto" w:fill="auto"/>
            <w:noWrap/>
            <w:vAlign w:val="center"/>
            <w:hideMark/>
          </w:tcPr>
          <w:p w:rsidRPr="0014041B" w:rsidR="003118A5" w:rsidP="008E105C" w14:paraId="49E6DBB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nil"/>
              <w:left w:val="single" w:color="FFFFFF" w:sz="4" w:space="0"/>
              <w:bottom w:val="single" w:color="FFFFFF" w:sz="4" w:space="0"/>
              <w:right w:val="single" w:color="auto" w:sz="4" w:space="0"/>
            </w:tcBorders>
            <w:shd w:val="clear" w:color="auto" w:fill="auto"/>
            <w:noWrap/>
            <w:vAlign w:val="center"/>
            <w:hideMark/>
          </w:tcPr>
          <w:p w:rsidRPr="0014041B" w:rsidR="003118A5" w:rsidP="008E105C" w14:paraId="3887B5DA"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FFFFFF" w:sz="4" w:space="0"/>
              <w:right w:val="single" w:color="auto" w:sz="4" w:space="0"/>
            </w:tcBorders>
            <w:vAlign w:val="center"/>
          </w:tcPr>
          <w:p w:rsidRPr="0014041B" w:rsidR="003118A5" w:rsidP="008E105C" w14:paraId="495832C7" w14:textId="77777777">
            <w:pPr>
              <w:spacing w:line="240" w:lineRule="auto"/>
              <w:jc w:val="center"/>
              <w:rPr>
                <w:rFonts w:eastAsia="Times New Roman" w:cs="Times New Roman"/>
                <w:sz w:val="14"/>
                <w:szCs w:val="14"/>
              </w:rPr>
            </w:pPr>
            <w:r w:rsidRPr="0014041B">
              <w:rPr>
                <w:rFonts w:eastAsia="Times New Roman" w:cs="Arial"/>
                <w:sz w:val="14"/>
                <w:szCs w:val="14"/>
              </w:rPr>
              <w:t>–</w:t>
            </w:r>
          </w:p>
        </w:tc>
      </w:tr>
      <w:tr w:rsidTr="008E105C" w14:paraId="1F647509" w14:textId="77777777">
        <w:tblPrEx>
          <w:tblW w:w="12895" w:type="dxa"/>
          <w:tblCellMar>
            <w:left w:w="70" w:type="dxa"/>
            <w:right w:w="70" w:type="dxa"/>
          </w:tblCellMar>
          <w:tblLook w:val="04A0"/>
        </w:tblPrEx>
        <w:trPr>
          <w:trHeight w:val="454"/>
        </w:trPr>
        <w:tc>
          <w:tcPr>
            <w:tcW w:w="344" w:type="dxa"/>
            <w:tcBorders>
              <w:top w:val="single" w:color="FFFFFF" w:sz="4" w:space="0"/>
              <w:left w:val="single" w:color="auto" w:sz="4" w:space="0"/>
              <w:bottom w:val="single" w:color="auto" w:sz="4" w:space="0"/>
              <w:right w:val="single" w:color="FFFFFF" w:sz="4" w:space="0"/>
            </w:tcBorders>
            <w:shd w:val="clear" w:color="auto" w:fill="auto"/>
            <w:noWrap/>
            <w:vAlign w:val="center"/>
            <w:hideMark/>
          </w:tcPr>
          <w:p w:rsidRPr="0014041B" w:rsidR="003118A5" w:rsidP="008E105C" w14:paraId="50DEE10A" w14:textId="77777777">
            <w:pPr>
              <w:spacing w:line="240" w:lineRule="auto"/>
              <w:rPr>
                <w:rFonts w:eastAsia="Times New Roman" w:cs="Calibri"/>
                <w:sz w:val="14"/>
                <w:szCs w:val="14"/>
              </w:rPr>
            </w:pPr>
            <w:r w:rsidRPr="0014041B">
              <w:rPr>
                <w:rFonts w:eastAsia="Times New Roman" w:cs="Arial"/>
                <w:sz w:val="14"/>
                <w:szCs w:val="14"/>
              </w:rPr>
              <w:t> </w:t>
            </w:r>
          </w:p>
        </w:tc>
        <w:tc>
          <w:tcPr>
            <w:tcW w:w="298"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116C1DAB" w14:textId="77777777">
            <w:pPr>
              <w:spacing w:line="240" w:lineRule="auto"/>
              <w:rPr>
                <w:rFonts w:eastAsia="Times New Roman" w:cs="Calibri"/>
                <w:sz w:val="14"/>
                <w:szCs w:val="14"/>
              </w:rPr>
            </w:pPr>
            <w:r w:rsidRPr="0014041B">
              <w:rPr>
                <w:rFonts w:eastAsia="Times New Roman" w:cs="Arial"/>
                <w:sz w:val="14"/>
                <w:szCs w:val="14"/>
              </w:rPr>
              <w:t xml:space="preserve">b. </w:t>
            </w:r>
          </w:p>
        </w:tc>
        <w:tc>
          <w:tcPr>
            <w:tcW w:w="2056" w:type="dxa"/>
            <w:tcBorders>
              <w:top w:val="single" w:color="FFFFFF" w:sz="4" w:space="0"/>
              <w:left w:val="single" w:color="FFFFFF" w:sz="4" w:space="0"/>
              <w:bottom w:val="single" w:color="auto" w:sz="4" w:space="0"/>
              <w:right w:val="single" w:color="auto" w:sz="4" w:space="0"/>
            </w:tcBorders>
            <w:shd w:val="clear" w:color="auto" w:fill="auto"/>
            <w:vAlign w:val="center"/>
            <w:hideMark/>
          </w:tcPr>
          <w:p w:rsidRPr="0014041B" w:rsidR="003118A5" w:rsidP="008E105C" w14:paraId="7BBAE536" w14:textId="77777777">
            <w:pPr>
              <w:spacing w:line="240" w:lineRule="auto"/>
              <w:rPr>
                <w:rFonts w:eastAsia="Times New Roman" w:cs="Calibri"/>
                <w:sz w:val="14"/>
                <w:szCs w:val="14"/>
              </w:rPr>
            </w:pPr>
            <w:r w:rsidRPr="0014041B">
              <w:rPr>
                <w:rFonts w:eastAsia="Times New Roman" w:cs="Arial"/>
                <w:sz w:val="14"/>
                <w:szCs w:val="14"/>
              </w:rPr>
              <w:t xml:space="preserve">ander bouwwerk geen gebouw zijnde </w:t>
            </w:r>
          </w:p>
        </w:tc>
        <w:tc>
          <w:tcPr>
            <w:tcW w:w="416"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4BF83C6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276"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0D31478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8"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3690F9C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653" w:type="dxa"/>
            <w:tcBorders>
              <w:top w:val="single" w:color="FFFFFF" w:sz="4" w:space="0"/>
              <w:left w:val="nil"/>
              <w:bottom w:val="single" w:color="auto" w:sz="4" w:space="0"/>
              <w:right w:val="single" w:color="auto" w:sz="4" w:space="0"/>
            </w:tcBorders>
            <w:shd w:val="clear" w:color="auto" w:fill="auto"/>
            <w:noWrap/>
            <w:vAlign w:val="center"/>
            <w:hideMark/>
          </w:tcPr>
          <w:p w:rsidRPr="0014041B" w:rsidR="003118A5" w:rsidP="008E105C" w14:paraId="72CB1FEE"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4"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7594E91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6CBF0C7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784E2DD5"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6"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6A414747"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65585538"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08CA2ACD"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425"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4ED8ABB3"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426"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693FD8D4" w14:textId="77777777">
            <w:pPr>
              <w:spacing w:line="240" w:lineRule="auto"/>
              <w:jc w:val="center"/>
              <w:rPr>
                <w:rFonts w:eastAsia="Times New Roman" w:cs="Calibri"/>
                <w:sz w:val="14"/>
                <w:szCs w:val="14"/>
              </w:rPr>
            </w:pPr>
            <w:r w:rsidRPr="0014041B">
              <w:rPr>
                <w:rFonts w:eastAsia="Times New Roman" w:cs="Arial"/>
                <w:sz w:val="14"/>
                <w:szCs w:val="14"/>
              </w:rPr>
              <w:t>3</w:t>
            </w:r>
          </w:p>
        </w:tc>
        <w:tc>
          <w:tcPr>
            <w:tcW w:w="439"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516E1EF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08A6134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663DDA03" w14:textId="77777777">
            <w:pPr>
              <w:spacing w:line="240" w:lineRule="auto"/>
              <w:jc w:val="center"/>
              <w:rPr>
                <w:rFonts w:eastAsia="Times New Roman" w:cs="Calibri"/>
                <w:sz w:val="14"/>
                <w:szCs w:val="14"/>
              </w:rPr>
            </w:pPr>
            <w:r w:rsidRPr="0014041B">
              <w:rPr>
                <w:rFonts w:eastAsia="Times New Roman" w:cs="Arial"/>
                <w:sz w:val="14"/>
                <w:szCs w:val="14"/>
              </w:rPr>
              <w:t>2</w:t>
            </w:r>
          </w:p>
        </w:tc>
        <w:tc>
          <w:tcPr>
            <w:tcW w:w="342"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6DE19BC6"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0321F059" w14:textId="77777777">
            <w:pPr>
              <w:spacing w:line="240" w:lineRule="auto"/>
              <w:jc w:val="center"/>
              <w:rPr>
                <w:rFonts w:eastAsia="Times New Roman" w:cs="Calibri"/>
                <w:sz w:val="14"/>
                <w:szCs w:val="14"/>
              </w:rPr>
            </w:pPr>
            <w:r w:rsidRPr="0014041B">
              <w:rPr>
                <w:rFonts w:eastAsia="Times New Roman" w:cs="Arial"/>
                <w:sz w:val="14"/>
                <w:szCs w:val="14"/>
              </w:rPr>
              <w:t>4</w:t>
            </w:r>
          </w:p>
        </w:tc>
        <w:tc>
          <w:tcPr>
            <w:tcW w:w="343"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480E2BB9" w14:textId="77777777">
            <w:pPr>
              <w:spacing w:line="240" w:lineRule="auto"/>
              <w:jc w:val="center"/>
              <w:rPr>
                <w:rFonts w:eastAsia="Times New Roman" w:cs="Calibri"/>
                <w:sz w:val="14"/>
                <w:szCs w:val="14"/>
              </w:rPr>
            </w:pPr>
            <w:r w:rsidRPr="0014041B">
              <w:rPr>
                <w:rFonts w:eastAsia="Times New Roman" w:cs="Arial"/>
                <w:sz w:val="14"/>
                <w:szCs w:val="14"/>
              </w:rPr>
              <w:t>5</w:t>
            </w:r>
          </w:p>
        </w:tc>
        <w:tc>
          <w:tcPr>
            <w:tcW w:w="345"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62B0242F" w14:textId="77777777">
            <w:pPr>
              <w:spacing w:line="240" w:lineRule="auto"/>
              <w:jc w:val="center"/>
              <w:rPr>
                <w:rFonts w:eastAsia="Times New Roman" w:cs="Calibri"/>
                <w:sz w:val="14"/>
                <w:szCs w:val="14"/>
              </w:rPr>
            </w:pPr>
            <w:r w:rsidRPr="0014041B">
              <w:rPr>
                <w:rFonts w:eastAsia="Times New Roman" w:cs="Arial"/>
                <w:sz w:val="14"/>
                <w:szCs w:val="14"/>
              </w:rPr>
              <w:t>6</w:t>
            </w:r>
          </w:p>
        </w:tc>
        <w:tc>
          <w:tcPr>
            <w:tcW w:w="342" w:type="dxa"/>
            <w:tcBorders>
              <w:top w:val="single" w:color="FFFFFF" w:sz="4" w:space="0"/>
              <w:left w:val="nil"/>
              <w:bottom w:val="single" w:color="auto" w:sz="4" w:space="0"/>
              <w:right w:val="single" w:color="FFFFFF" w:sz="4" w:space="0"/>
            </w:tcBorders>
            <w:shd w:val="clear" w:color="auto" w:fill="auto"/>
            <w:noWrap/>
            <w:vAlign w:val="center"/>
            <w:hideMark/>
          </w:tcPr>
          <w:p w:rsidRPr="0014041B" w:rsidR="003118A5" w:rsidP="008E105C" w14:paraId="1A6916F6" w14:textId="77777777">
            <w:pPr>
              <w:spacing w:line="240" w:lineRule="auto"/>
              <w:jc w:val="center"/>
              <w:rPr>
                <w:rFonts w:eastAsia="Times New Roman" w:cs="Calibri"/>
                <w:sz w:val="14"/>
                <w:szCs w:val="14"/>
              </w:rPr>
            </w:pPr>
            <w:r w:rsidRPr="0014041B">
              <w:rPr>
                <w:rFonts w:eastAsia="Times New Roman" w:cs="Arial"/>
                <w:sz w:val="14"/>
                <w:szCs w:val="14"/>
              </w:rPr>
              <w:t>1</w:t>
            </w:r>
          </w:p>
        </w:tc>
        <w:tc>
          <w:tcPr>
            <w:tcW w:w="342"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4CA2A6D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3"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16E69CC2"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2" w:type="dxa"/>
            <w:tcBorders>
              <w:top w:val="single" w:color="FFFFFF" w:sz="4" w:space="0"/>
              <w:left w:val="single" w:color="FFFFFF" w:sz="4" w:space="0"/>
              <w:bottom w:val="single" w:color="auto" w:sz="4" w:space="0"/>
              <w:right w:val="single" w:color="FFFFFF" w:sz="4" w:space="0"/>
            </w:tcBorders>
            <w:shd w:val="clear" w:color="auto" w:fill="auto"/>
            <w:noWrap/>
            <w:vAlign w:val="center"/>
            <w:hideMark/>
          </w:tcPr>
          <w:p w:rsidRPr="0014041B" w:rsidR="003118A5" w:rsidP="008E105C" w14:paraId="2818897B"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345" w:type="dxa"/>
            <w:tcBorders>
              <w:top w:val="single" w:color="FFFFFF" w:sz="4" w:space="0"/>
              <w:left w:val="single" w:color="FFFFFF" w:sz="4" w:space="0"/>
              <w:bottom w:val="single" w:color="auto" w:sz="4" w:space="0"/>
              <w:right w:val="single" w:color="auto" w:sz="4" w:space="0"/>
            </w:tcBorders>
            <w:shd w:val="clear" w:color="auto" w:fill="auto"/>
            <w:noWrap/>
            <w:vAlign w:val="center"/>
            <w:hideMark/>
          </w:tcPr>
          <w:p w:rsidRPr="0014041B" w:rsidR="003118A5" w:rsidP="008E105C" w14:paraId="505F06B4" w14:textId="77777777">
            <w:pPr>
              <w:spacing w:line="240" w:lineRule="auto"/>
              <w:jc w:val="center"/>
              <w:rPr>
                <w:rFonts w:eastAsia="Times New Roman" w:cs="Calibri"/>
                <w:sz w:val="14"/>
                <w:szCs w:val="14"/>
              </w:rPr>
            </w:pPr>
            <w:r w:rsidRPr="0014041B">
              <w:rPr>
                <w:rFonts w:eastAsia="Times New Roman" w:cs="Arial"/>
                <w:sz w:val="14"/>
                <w:szCs w:val="14"/>
              </w:rPr>
              <w:t>–</w:t>
            </w:r>
          </w:p>
        </w:tc>
        <w:tc>
          <w:tcPr>
            <w:tcW w:w="893" w:type="dxa"/>
            <w:tcBorders>
              <w:top w:val="single" w:color="FFFFFF" w:sz="4" w:space="0"/>
              <w:bottom w:val="single" w:color="auto" w:sz="4" w:space="0"/>
              <w:right w:val="single" w:color="auto" w:sz="4" w:space="0"/>
            </w:tcBorders>
            <w:vAlign w:val="center"/>
          </w:tcPr>
          <w:p w:rsidRPr="0014041B" w:rsidR="003118A5" w:rsidP="008E105C" w14:paraId="68910B1E" w14:textId="77777777">
            <w:pPr>
              <w:spacing w:line="240" w:lineRule="auto"/>
              <w:jc w:val="center"/>
              <w:rPr>
                <w:rFonts w:eastAsia="Times New Roman" w:cs="Times New Roman"/>
                <w:sz w:val="14"/>
                <w:szCs w:val="14"/>
              </w:rPr>
            </w:pPr>
            <w:r w:rsidRPr="0014041B">
              <w:rPr>
                <w:rFonts w:eastAsia="Times New Roman" w:cs="Arial"/>
                <w:sz w:val="14"/>
                <w:szCs w:val="14"/>
              </w:rPr>
              <w:t>–</w:t>
            </w:r>
          </w:p>
        </w:tc>
      </w:tr>
    </w:tbl>
    <w:p w:rsidR="008E4386" w:rsidP="00FE359A" w14:paraId="4B6E427B" w14:textId="77777777">
      <w:pPr>
        <w:spacing w:before="120" w:after="120" w:line="276" w:lineRule="auto"/>
        <w:rPr>
          <w:b/>
          <w:iCs/>
        </w:rPr>
      </w:pPr>
    </w:p>
    <w:p w:rsidR="008E67D9" w:rsidP="00FE359A" w14:paraId="47A2FBFD" w14:textId="77777777">
      <w:pPr>
        <w:spacing w:before="120" w:after="120" w:line="276" w:lineRule="auto"/>
        <w:rPr>
          <w:b/>
          <w:iCs/>
        </w:rPr>
        <w:sectPr w:rsidSect="008E67D9">
          <w:headerReference w:type="first" r:id="rId15"/>
          <w:pgSz w:w="16837" w:h="11905" w:orient="landscape"/>
          <w:pgMar w:top="2011" w:right="2577" w:bottom="1765" w:left="1128" w:header="0" w:footer="0" w:gutter="0"/>
          <w:cols w:space="708"/>
          <w:docGrid w:linePitch="245"/>
        </w:sectPr>
      </w:pPr>
    </w:p>
    <w:p w:rsidR="002675F2" w:rsidP="00FE359A" w14:paraId="635CF695" w14:textId="6AA909CB">
      <w:pPr>
        <w:spacing w:before="120" w:after="120" w:line="276" w:lineRule="auto"/>
        <w:rPr>
          <w:b/>
          <w:iCs/>
        </w:rPr>
      </w:pPr>
      <w:r>
        <w:rPr>
          <w:b/>
          <w:iCs/>
        </w:rPr>
        <w:t>Artikel II</w:t>
      </w:r>
      <w:r w:rsidR="00546FC4">
        <w:rPr>
          <w:b/>
          <w:iCs/>
        </w:rPr>
        <w:t xml:space="preserve"> (</w:t>
      </w:r>
      <w:r w:rsidR="0082621D">
        <w:rPr>
          <w:b/>
          <w:iCs/>
        </w:rPr>
        <w:t>A</w:t>
      </w:r>
      <w:r w:rsidR="00546FC4">
        <w:rPr>
          <w:b/>
          <w:iCs/>
        </w:rPr>
        <w:t xml:space="preserve">anwijzingsbesluit Wet kenbaarheid publiekrechtelijke beperkingen onroerende zaken) </w:t>
      </w:r>
    </w:p>
    <w:p w:rsidR="00614D43" w14:paraId="3A1FC4BE" w14:textId="366EA01B">
      <w:pPr>
        <w:spacing w:before="120" w:after="120" w:line="276" w:lineRule="auto"/>
        <w:rPr>
          <w:iCs/>
        </w:rPr>
      </w:pPr>
      <w:r w:rsidRPr="006A70DA">
        <w:rPr>
          <w:iCs/>
        </w:rPr>
        <w:t>Aan hoofdstuk VII van de bijlage bij </w:t>
      </w:r>
      <w:r w:rsidRPr="006A70DA">
        <w:rPr>
          <w:rStyle w:val="Hyperlink"/>
          <w:iCs/>
          <w:color w:val="auto"/>
        </w:rPr>
        <w:t>artikel 2, eerste lid</w:t>
      </w:r>
      <w:r w:rsidRPr="006A70DA">
        <w:rPr>
          <w:iCs/>
        </w:rPr>
        <w:t xml:space="preserve">, van het Aanwijzingsbesluit Wet kenbaarheid publiekrechtelijke beperkingen onroerende zaken wordt in de opsomming onder de categorie Omgevingswet voor het onderdeel met de verwijzing </w:t>
      </w:r>
      <w:r w:rsidRPr="00F94C80">
        <w:t>naar artikel 4.5 in samenhang met artikel 3.7, tweede lid, van het Besluit bouwwerken leefomgeving een onderdeel ingevoegd</w:t>
      </w:r>
      <w:r w:rsidRPr="006A70DA">
        <w:rPr>
          <w:iCs/>
        </w:rPr>
        <w:t>, luidende:</w:t>
      </w:r>
    </w:p>
    <w:p w:rsidRPr="0081410C" w:rsidR="00FC12CB" w:rsidP="006A70DA" w14:paraId="22D3E427" w14:textId="77777777">
      <w:pPr>
        <w:pStyle w:val="ListParagraph"/>
        <w:numPr>
          <w:ilvl w:val="0"/>
          <w:numId w:val="45"/>
        </w:numPr>
        <w:spacing w:before="120" w:after="120" w:line="276" w:lineRule="auto"/>
        <w:rPr>
          <w:rFonts w:ascii="Verdana" w:hAnsi="Verdana" w:cs="Calibri"/>
          <w:sz w:val="18"/>
          <w:szCs w:val="18"/>
        </w:rPr>
      </w:pPr>
      <w:r w:rsidRPr="0081410C">
        <w:rPr>
          <w:rFonts w:ascii="Verdana" w:hAnsi="Verdana"/>
          <w:sz w:val="18"/>
          <w:szCs w:val="18"/>
        </w:rPr>
        <w:t xml:space="preserve">(artikel 4.5 in samenhang met artikel 2.21a, eerste lid, van het Besluit bouwwerken leefomgeving) door het bevoegd gezag gesteld maatwerkvoorschrift inhoudende dat de verklaring van de kwaliteitsborger, bedoeld in artikel 2.21, tweede lid, onder d, van het Besluit bouwwerken leefomgeving, geen onderdeel is van de melding van de ingebruikname van een bouwwerk, bedoeld in het eerste lid van dat artikel;. </w:t>
      </w:r>
    </w:p>
    <w:p w:rsidR="002675F2" w:rsidP="00FE359A" w14:paraId="3985F1C8" w14:textId="51A6E280">
      <w:pPr>
        <w:spacing w:before="120" w:after="120" w:line="276" w:lineRule="auto"/>
        <w:rPr>
          <w:b/>
          <w:iCs/>
        </w:rPr>
      </w:pPr>
      <w:r>
        <w:rPr>
          <w:b/>
          <w:iCs/>
        </w:rPr>
        <w:t>Artikel III</w:t>
      </w:r>
    </w:p>
    <w:p w:rsidRPr="009055BD" w:rsidR="00531098" w:rsidP="00531098" w14:paraId="06C3D6FB" w14:textId="7EBA2C71">
      <w:pPr>
        <w:spacing w:before="120" w:after="120" w:line="276" w:lineRule="auto"/>
        <w:rPr>
          <w:bCs/>
          <w:iCs/>
        </w:rPr>
      </w:pPr>
      <w:r w:rsidRPr="009055BD">
        <w:rPr>
          <w:bCs/>
          <w:iCs/>
        </w:rPr>
        <w:t xml:space="preserve">Artikel II, tweede lid, van het Besluit van 24 maart 2023 tot wijziging van het Besluit bouwwerken leefomgeving in verband met de periodieke beoordeling van gebouwen, de aanscherping van de schileisen van tijdelijke woningen en enkele andere wijzigingen vervalt. </w:t>
      </w:r>
    </w:p>
    <w:p w:rsidR="00531098" w:rsidP="00FE359A" w14:paraId="6E20EA00" w14:textId="221B0FB6">
      <w:pPr>
        <w:spacing w:before="120" w:after="120" w:line="276" w:lineRule="auto"/>
        <w:rPr>
          <w:b/>
          <w:iCs/>
        </w:rPr>
      </w:pPr>
    </w:p>
    <w:p w:rsidRPr="00FE359A" w:rsidR="00FE359A" w:rsidP="00FE359A" w14:paraId="0510D22C" w14:textId="446FE006">
      <w:pPr>
        <w:spacing w:before="120" w:after="120" w:line="276" w:lineRule="auto"/>
        <w:rPr>
          <w:b/>
          <w:iCs/>
        </w:rPr>
      </w:pPr>
      <w:r w:rsidRPr="00FE359A">
        <w:rPr>
          <w:b/>
          <w:iCs/>
        </w:rPr>
        <w:t xml:space="preserve">Artikel </w:t>
      </w:r>
      <w:r w:rsidR="002675F2">
        <w:rPr>
          <w:b/>
          <w:iCs/>
        </w:rPr>
        <w:t>I</w:t>
      </w:r>
      <w:r w:rsidR="00531098">
        <w:rPr>
          <w:b/>
          <w:iCs/>
        </w:rPr>
        <w:t>V</w:t>
      </w:r>
      <w:r w:rsidR="00FC12CB">
        <w:rPr>
          <w:b/>
          <w:iCs/>
        </w:rPr>
        <w:t xml:space="preserve"> (inwerkingtreding)</w:t>
      </w:r>
    </w:p>
    <w:p w:rsidRPr="00D501C6" w:rsidR="00FE359A" w:rsidP="00FE359A" w14:paraId="252B79B6" w14:textId="702D847A">
      <w:pPr>
        <w:spacing w:before="120" w:after="120" w:line="276" w:lineRule="auto"/>
        <w:rPr>
          <w:bCs/>
          <w:iCs/>
        </w:rPr>
      </w:pPr>
      <w:r w:rsidRPr="00FE359A">
        <w:rPr>
          <w:bCs/>
          <w:iCs/>
        </w:rPr>
        <w:t>Dit besluit treedt in werking op een bij koninklijk besluit te bepalen tijdstip, dat voor de verschillende artikelen of onderdelen daarvan verschillend kan worden vastgesteld.</w:t>
      </w:r>
    </w:p>
    <w:p w:rsidRPr="00FE359A" w:rsidR="00FE359A" w:rsidP="00FE359A" w14:paraId="0FE90B25" w14:textId="77777777">
      <w:pPr>
        <w:spacing w:before="120" w:after="120" w:line="276" w:lineRule="auto"/>
        <w:rPr>
          <w:b/>
          <w:iCs/>
        </w:rPr>
      </w:pPr>
    </w:p>
    <w:p w:rsidRPr="00FE359A" w:rsidR="00FE359A" w:rsidP="00FE359A" w14:paraId="7A5D3D9D" w14:textId="77777777">
      <w:pPr>
        <w:spacing w:before="120" w:after="120" w:line="276" w:lineRule="auto"/>
        <w:rPr>
          <w:bCs/>
          <w:iCs/>
        </w:rPr>
      </w:pPr>
      <w:r w:rsidRPr="00FE359A">
        <w:rPr>
          <w:bCs/>
          <w:iCs/>
        </w:rPr>
        <w:t>Lasten en bevelen dat dit besluit met de daarbij behorende nota van toelichting in het Staatsblad zal worden geplaatst.</w:t>
      </w:r>
    </w:p>
    <w:p w:rsidRPr="00FE359A" w:rsidR="00FE359A" w:rsidP="00FE359A" w14:paraId="6611B28F" w14:textId="77777777">
      <w:pPr>
        <w:spacing w:before="120" w:after="120" w:line="276" w:lineRule="auto"/>
        <w:rPr>
          <w:bCs/>
          <w:iCs/>
        </w:rPr>
      </w:pPr>
    </w:p>
    <w:p w:rsidRPr="00FE359A" w:rsidR="00FE359A" w:rsidP="00FE359A" w14:paraId="4FFC01F9" w14:textId="77777777">
      <w:pPr>
        <w:spacing w:before="120" w:after="120" w:line="276" w:lineRule="auto"/>
        <w:rPr>
          <w:bCs/>
          <w:iCs/>
        </w:rPr>
      </w:pPr>
    </w:p>
    <w:p w:rsidRPr="00356204" w:rsidR="00356204" w:rsidP="00356204" w14:paraId="5CEF2709" w14:textId="77777777">
      <w:pPr>
        <w:spacing w:before="120" w:after="120" w:line="276" w:lineRule="auto"/>
        <w:rPr>
          <w:bCs/>
        </w:rPr>
      </w:pPr>
      <w:r w:rsidRPr="00356204">
        <w:rPr>
          <w:bCs/>
        </w:rPr>
        <w:t>De minister van Volkshuisvesting en Ruimtelijke Ordening,</w:t>
      </w:r>
    </w:p>
    <w:p w:rsidR="00356204" w:rsidP="00356204" w14:paraId="0B733DD9" w14:textId="77777777">
      <w:pPr>
        <w:spacing w:before="120" w:after="120" w:line="276" w:lineRule="auto"/>
        <w:rPr>
          <w:bCs/>
        </w:rPr>
      </w:pPr>
    </w:p>
    <w:p w:rsidR="00356204" w:rsidP="00356204" w14:paraId="4448D1A8" w14:textId="77777777">
      <w:pPr>
        <w:spacing w:before="120" w:after="120" w:line="276" w:lineRule="auto"/>
        <w:rPr>
          <w:bCs/>
        </w:rPr>
      </w:pPr>
    </w:p>
    <w:p w:rsidR="00356204" w:rsidP="00356204" w14:paraId="6C7816E1" w14:textId="77777777">
      <w:pPr>
        <w:spacing w:before="120" w:after="120" w:line="276" w:lineRule="auto"/>
        <w:rPr>
          <w:bCs/>
        </w:rPr>
      </w:pPr>
    </w:p>
    <w:p w:rsidR="00356204" w:rsidP="00356204" w14:paraId="23233B08" w14:textId="77777777">
      <w:pPr>
        <w:spacing w:before="120" w:after="120" w:line="276" w:lineRule="auto"/>
        <w:rPr>
          <w:bCs/>
        </w:rPr>
      </w:pPr>
    </w:p>
    <w:p w:rsidR="00356204" w:rsidP="00356204" w14:paraId="20A65E32" w14:textId="77777777">
      <w:pPr>
        <w:spacing w:before="120" w:after="120" w:line="276" w:lineRule="auto"/>
        <w:rPr>
          <w:bCs/>
        </w:rPr>
      </w:pPr>
    </w:p>
    <w:p w:rsidRPr="00FE359A" w:rsidR="00FE359A" w:rsidP="00356204" w14:paraId="3FA8FC93" w14:textId="199C6A4A">
      <w:pPr>
        <w:spacing w:before="120" w:after="120" w:line="276" w:lineRule="auto"/>
        <w:rPr>
          <w:b/>
        </w:rPr>
      </w:pPr>
      <w:r w:rsidRPr="00356204">
        <w:rPr>
          <w:bCs/>
        </w:rPr>
        <w:t>Mona Keijzer</w:t>
      </w:r>
      <w:r w:rsidRPr="00FE359A">
        <w:rPr>
          <w:b/>
        </w:rPr>
        <w:t> </w:t>
      </w:r>
      <w:r w:rsidRPr="00FE359A">
        <w:rPr>
          <w:b/>
        </w:rPr>
        <w:br w:type="page"/>
      </w:r>
    </w:p>
    <w:bookmarkEnd w:id="0"/>
    <w:p w:rsidRPr="00FA7761" w:rsidR="00FA7761" w:rsidP="0015371C" w14:paraId="0FA90EF6" w14:textId="1F224B5D">
      <w:pPr>
        <w:spacing w:after="120" w:line="276" w:lineRule="auto"/>
        <w:rPr>
          <w:b/>
          <w:color w:val="000000" w:themeColor="text1"/>
        </w:rPr>
      </w:pPr>
      <w:r>
        <w:rPr>
          <w:b/>
          <w:color w:val="000000" w:themeColor="text1"/>
        </w:rPr>
        <w:t>NO</w:t>
      </w:r>
      <w:r w:rsidRPr="0015371C" w:rsidR="004D2E01">
        <w:rPr>
          <w:b/>
          <w:color w:val="000000" w:themeColor="text1"/>
        </w:rPr>
        <w:t>TA VAN TOELICHTING</w:t>
      </w:r>
    </w:p>
    <w:p w:rsidRPr="00FE359A" w:rsidR="00FE359A" w:rsidP="00FE359A" w14:paraId="58BE85AD" w14:textId="77777777">
      <w:pPr>
        <w:spacing w:before="120" w:after="120" w:line="276" w:lineRule="auto"/>
        <w:rPr>
          <w:b/>
          <w:bCs/>
        </w:rPr>
      </w:pPr>
    </w:p>
    <w:p w:rsidRPr="00CC1BE2" w:rsidR="00FE359A" w:rsidP="00A403DC" w14:paraId="201B301E" w14:textId="0859FEEA">
      <w:pPr>
        <w:spacing w:before="120" w:after="120" w:line="276" w:lineRule="auto"/>
        <w:rPr>
          <w:b/>
          <w:bCs/>
        </w:rPr>
      </w:pPr>
      <w:r>
        <w:rPr>
          <w:b/>
          <w:bCs/>
        </w:rPr>
        <w:t xml:space="preserve">I. </w:t>
      </w:r>
      <w:r w:rsidRPr="00CC1BE2">
        <w:rPr>
          <w:b/>
          <w:bCs/>
        </w:rPr>
        <w:t>Algemeen deel</w:t>
      </w:r>
    </w:p>
    <w:p w:rsidRPr="009055BD" w:rsidR="006A0561" w:rsidP="00FE359A" w14:paraId="4B27BFE1" w14:textId="27F71E3E">
      <w:pPr>
        <w:spacing w:before="120" w:after="120" w:line="276" w:lineRule="auto"/>
        <w:rPr>
          <w:b/>
          <w:bCs/>
        </w:rPr>
      </w:pPr>
      <w:bookmarkStart w:name="_Hlk114838610" w:id="3"/>
      <w:r w:rsidRPr="009055BD">
        <w:rPr>
          <w:b/>
          <w:bCs/>
        </w:rPr>
        <w:t>1</w:t>
      </w:r>
      <w:r w:rsidRPr="009055BD" w:rsidR="009055BD">
        <w:rPr>
          <w:b/>
          <w:bCs/>
        </w:rPr>
        <w:t>.</w:t>
      </w:r>
      <w:r w:rsidRPr="009055BD">
        <w:rPr>
          <w:b/>
          <w:bCs/>
        </w:rPr>
        <w:t xml:space="preserve"> Aanleiding</w:t>
      </w:r>
      <w:r w:rsidRPr="009055BD" w:rsidR="00A2532B">
        <w:rPr>
          <w:b/>
          <w:bCs/>
        </w:rPr>
        <w:t xml:space="preserve"> en inhoud </w:t>
      </w:r>
    </w:p>
    <w:p w:rsidR="002870AF" w:rsidP="002870AF" w14:paraId="3E17AF22" w14:textId="33FF13DD">
      <w:pPr>
        <w:spacing w:before="120" w:after="120" w:line="276" w:lineRule="auto"/>
      </w:pPr>
      <w:r>
        <w:t>O</w:t>
      </w:r>
      <w:r w:rsidRPr="002870AF">
        <w:t xml:space="preserve">p 24 oktober 2023 vond een debat met de Eerste Kamer plaats over de invoering van de Wet kwaliteitsborging voor het bouwen (hierna: Wkb) en over de motie 34.453, AN van het lid Crone c.s.. Het Kamerlid Crone heeft in dat debat aandacht gevraagd voor de situatie waarin een bouwactiviteit is afgerond, maar waar sprake is en blijft van strijdigheid met de bouwtechnische voorschriften. In dat geval zal een verklaring van de kwaliteitsborger ontbreken. Zijn zorgen </w:t>
      </w:r>
      <w:r w:rsidR="0011402B">
        <w:t>hadden</w:t>
      </w:r>
      <w:r w:rsidRPr="002870AF">
        <w:t xml:space="preserve"> met name betrekking op de onzekerheid voor de gebouweigenaar. Het Kamerlid Crone heeft aangegeven, dat die gebouweigenaren dan een gedoogverklaring moeten krijgen. Bij ontbreken van een verklaring van de kwaliteitsborger, zullen gebouweigenaren immers zekerheid willen over de rechtmatigheid van ingebruikname. In </w:t>
      </w:r>
      <w:r>
        <w:t xml:space="preserve">de </w:t>
      </w:r>
      <w:r w:rsidRPr="002870AF">
        <w:t>brief van 18 december 2023</w:t>
      </w:r>
      <w:r>
        <w:rPr>
          <w:vertAlign w:val="superscript"/>
        </w:rPr>
        <w:footnoteReference w:id="3"/>
      </w:r>
      <w:r w:rsidRPr="002870AF">
        <w:t xml:space="preserve"> </w:t>
      </w:r>
      <w:r>
        <w:t>van de minister van Binnenlands</w:t>
      </w:r>
      <w:r w:rsidR="0011402B">
        <w:t>e</w:t>
      </w:r>
      <w:r>
        <w:t xml:space="preserve"> Zaken en Koninkrijksrelaties is</w:t>
      </w:r>
      <w:r w:rsidRPr="002870AF">
        <w:t xml:space="preserve"> aangegeven op welke wijze </w:t>
      </w:r>
      <w:r>
        <w:t xml:space="preserve">uitvoering wordt gegeven aan die motie, namelijk via een wijziging van </w:t>
      </w:r>
      <w:r w:rsidRPr="002870AF">
        <w:t>het B</w:t>
      </w:r>
      <w:r>
        <w:t xml:space="preserve">esluit </w:t>
      </w:r>
      <w:r w:rsidRPr="002870AF">
        <w:t>b</w:t>
      </w:r>
      <w:r>
        <w:t xml:space="preserve">ouwwerken </w:t>
      </w:r>
      <w:r w:rsidRPr="002870AF">
        <w:t>l</w:t>
      </w:r>
      <w:r>
        <w:t>eefomgeving (hierna: Bbl)</w:t>
      </w:r>
      <w:r w:rsidRPr="002870AF">
        <w:t xml:space="preserve">.  </w:t>
      </w:r>
    </w:p>
    <w:p w:rsidR="00305A09" w:rsidP="002870AF" w14:paraId="68586177" w14:textId="3A77AA27">
      <w:pPr>
        <w:spacing w:before="120" w:after="120" w:line="276" w:lineRule="auto"/>
      </w:pPr>
      <w:r>
        <w:t xml:space="preserve">Onder het stelsel van kwaliteitsborging voor het bouwen mag een bouwwerk in gebruik worden genomen na gereedmelding en het overleggen van het dossier bevoegd gezag, inclusief de verklaring van de kwaliteitsborger dat het bouwwerk voldoet aan de gestelde bouwtechnische voorschriften. Is sprake van een strijdigheid met de regels dan zal geen verklaring kunnen worden afgegeven en geen gereedmelding kunnen worden gedaan totdat de strijdigheid is hersteld. Er kunnen zich situaties voordoen waarin sprake is van een strijdigheid waarbij de kosten van herstel niet opwegen tegen het belang van de regel die wordt overtreden. Het inzetten van handhavingsmaatregelen om de strijdigheid op te heffen kan disproportioneel zijn. </w:t>
      </w:r>
    </w:p>
    <w:p w:rsidR="00782995" w:rsidP="00FE359A" w14:paraId="010CC8E9" w14:textId="5CF32CE5">
      <w:pPr>
        <w:spacing w:before="120" w:after="120" w:line="276" w:lineRule="auto"/>
      </w:pPr>
      <w:r>
        <w:t>Deze wijziging van het Bbl strekt ertoe te regelen dat het bevoegd gezag</w:t>
      </w:r>
      <w:r w:rsidR="004C4326">
        <w:t>,</w:t>
      </w:r>
      <w:r>
        <w:t xml:space="preserve"> in </w:t>
      </w:r>
      <w:r w:rsidRPr="00FE359A" w:rsidR="00A2532B">
        <w:t xml:space="preserve">het </w:t>
      </w:r>
      <w:r w:rsidR="00A2532B">
        <w:t xml:space="preserve">geval dat </w:t>
      </w:r>
      <w:r w:rsidRPr="00FE359A" w:rsidR="00A2532B">
        <w:t xml:space="preserve">herstel van gebreken </w:t>
      </w:r>
      <w:r w:rsidR="00A2532B">
        <w:t xml:space="preserve">van een gebouw </w:t>
      </w:r>
      <w:r w:rsidRPr="00FE359A" w:rsidR="00A2532B">
        <w:t>niet proportioneel is</w:t>
      </w:r>
      <w:r w:rsidR="00A2532B">
        <w:t xml:space="preserve"> in relatie tot de doelen van de regels waaraan niet wordt </w:t>
      </w:r>
      <w:r w:rsidR="004C4326">
        <w:t>voldaan, een</w:t>
      </w:r>
      <w:r w:rsidR="008F28A9">
        <w:t xml:space="preserve"> maatwerkvoorschrift </w:t>
      </w:r>
      <w:r>
        <w:t xml:space="preserve">kan </w:t>
      </w:r>
      <w:r w:rsidR="00A37900">
        <w:t xml:space="preserve">stellen dat de gereedmelding is gedaan, ook </w:t>
      </w:r>
      <w:r>
        <w:t>als de verklaring van de kwaliteit</w:t>
      </w:r>
      <w:r w:rsidR="004C4326">
        <w:t>s</w:t>
      </w:r>
      <w:r>
        <w:t xml:space="preserve">borger ontbreekt. </w:t>
      </w:r>
      <w:r w:rsidRPr="00FD10A6" w:rsidR="00FD10A6">
        <w:rPr>
          <w:bCs/>
        </w:rPr>
        <w:t>Is sprake van een strijdigheid met de regels dan zal geen verklaring kunnen worden afgegeven en geen gereedmelding kunnen worden gedaan totdat de strijdigheid is hersteld. Wordt de strijdigheid niet hersteld en besluit de initiatie</w:t>
      </w:r>
      <w:r w:rsidR="00726DAF">
        <w:rPr>
          <w:bCs/>
        </w:rPr>
        <w:t>f</w:t>
      </w:r>
      <w:r w:rsidRPr="00FD10A6" w:rsidR="00FD10A6">
        <w:rPr>
          <w:bCs/>
        </w:rPr>
        <w:t>nemer het bouwwerk wel gereed te melden, dan zal de kwaliteitsborger richting het bevoegd gezag aangeven dat er geen verklaring volgt, inclusief een toelichting op de strijdigheid</w:t>
      </w:r>
      <w:r w:rsidR="00A37900">
        <w:rPr>
          <w:bCs/>
        </w:rPr>
        <w:t xml:space="preserve"> die aan de verklaring in de weg staat</w:t>
      </w:r>
      <w:r w:rsidRPr="00FD10A6" w:rsidR="00FD10A6">
        <w:rPr>
          <w:bCs/>
        </w:rPr>
        <w:t xml:space="preserve">. Het bevoegd gezag zal de initiatiefnemer vervolgens informeren dat de gereedmelding niet volledig is, dat het gebruik van het bouwwerk niet is toegestaan en herstel dus nodig is. Het is aan de initiatiefnemer om vervolgens alsnog tot herstel over te (laten) gaan. Is dit naar de mening van de initiatiefnemer niet mogelijk of disproportioneel, dan kan hij (gemotiveerd) verzoeken om gebruik toch toe te staan via een </w:t>
      </w:r>
      <w:r w:rsidR="008F28A9">
        <w:rPr>
          <w:bCs/>
        </w:rPr>
        <w:t>maatwerkvoorschrift</w:t>
      </w:r>
      <w:r w:rsidR="00A37900">
        <w:rPr>
          <w:bCs/>
        </w:rPr>
        <w:t xml:space="preserve"> dat gereedmelding zonder verklaring kan worden gedaan</w:t>
      </w:r>
      <w:r w:rsidRPr="00FD10A6" w:rsidR="00FD10A6">
        <w:rPr>
          <w:bCs/>
        </w:rPr>
        <w:t>.</w:t>
      </w:r>
      <w:r>
        <w:rPr>
          <w:rStyle w:val="FootnoteReference"/>
          <w:bCs/>
        </w:rPr>
        <w:footnoteReference w:id="4"/>
      </w:r>
      <w:r w:rsidRPr="00FD10A6" w:rsidR="00FD10A6">
        <w:rPr>
          <w:bCs/>
        </w:rPr>
        <w:t xml:space="preserve"> Het is vervolgens aan het bevoegd gezag om de afweging te maken dit verzoek </w:t>
      </w:r>
      <w:r w:rsidRPr="00FD10A6" w:rsidR="00FD10A6">
        <w:rPr>
          <w:bCs/>
        </w:rPr>
        <w:t xml:space="preserve">al dan niet te honoreren. </w:t>
      </w:r>
      <w:r w:rsidR="00A37900">
        <w:t xml:space="preserve">Met </w:t>
      </w:r>
      <w:r w:rsidR="00553A12">
        <w:t xml:space="preserve">het maatwerkvoorschrift </w:t>
      </w:r>
      <w:r w:rsidR="00A37900">
        <w:t xml:space="preserve">kan het bouwwerk gereed worden gemeld en </w:t>
      </w:r>
      <w:r w:rsidR="00A2532B">
        <w:t xml:space="preserve">zal gebruik van het gebouw toch toegestaan zijn voor de gebouweigenaar. </w:t>
      </w:r>
      <w:r>
        <w:t xml:space="preserve">Dit zorgt voor rechtszekerheid voor betrokken gebouweigenaren en derden. </w:t>
      </w:r>
      <w:r w:rsidR="003734F5">
        <w:t xml:space="preserve">In verband met het mogelijk maken van dit maatwerkvoorschrift is bij dit besluit ook voorzien in een wijziging van het Aanwijzingsbesluit </w:t>
      </w:r>
      <w:r w:rsidR="0026252E">
        <w:t xml:space="preserve">Wet kenbaarheid publiekrechtelijke beperkingen onroerende zaken. Hiermee wordt bewerkstelligd dat de maatwerkvoorschriften onder het regime van de Wet kenbaarheid publiekrechtelijke beperkingen onroerende zaken vallen. In paragraaf 5.2 van het algemeen deel van deze toelichting en in de toelichting op artikel II van dit besluit is nader toegelicht wat dit betekent. </w:t>
      </w:r>
    </w:p>
    <w:p w:rsidR="00DF0127" w:rsidP="00FE359A" w14:paraId="71EB3CC0" w14:textId="2339D894">
      <w:pPr>
        <w:spacing w:before="120" w:after="120" w:line="276" w:lineRule="auto"/>
      </w:pPr>
      <w:r>
        <w:t xml:space="preserve">Een tweede wijziging betreft een verduidelijking van de samenhang tussen de vergunningplicht </w:t>
      </w:r>
      <w:r w:rsidR="00365A0F">
        <w:t xml:space="preserve">en de meldingplicht. In artikel 2.27 is geregeld dat voor bouwwerken die vallen onder gevolgklasse 1 als bedoeld in artikel 2.17 geen omgevingsvergunning nodig is. </w:t>
      </w:r>
      <w:r>
        <w:t xml:space="preserve">Uit de regels bleek echter onvoldoende dat vergunningvrije </w:t>
      </w:r>
      <w:r w:rsidR="00F31932">
        <w:t>bouw</w:t>
      </w:r>
      <w:r>
        <w:t>activiteiten niet alsnog meldingplichtig zijn.</w:t>
      </w:r>
      <w:r w:rsidR="00A20474">
        <w:t xml:space="preserve"> </w:t>
      </w:r>
      <w:r w:rsidR="00365A0F">
        <w:t xml:space="preserve">Om die reden is aan het eerste lid van artikel 2.17 toegevoegd dat alleen bouwwerken waarvoor een omgevingsvergunning voor de bouwactiviteit nodig </w:t>
      </w:r>
      <w:r w:rsidR="00D501C6">
        <w:t>is</w:t>
      </w:r>
      <w:r w:rsidR="00365A0F">
        <w:t xml:space="preserve"> kunnen vallen onder gevolgklasse 1 en daarmee meldingplichtig worden.</w:t>
      </w:r>
    </w:p>
    <w:p w:rsidR="00FE359A" w:rsidP="00FE359A" w14:paraId="1A745424" w14:textId="6122986A">
      <w:pPr>
        <w:spacing w:before="120" w:after="120" w:line="276" w:lineRule="auto"/>
      </w:pPr>
      <w:r>
        <w:t xml:space="preserve">Verder </w:t>
      </w:r>
      <w:r w:rsidR="00F36B4E">
        <w:t>zijn</w:t>
      </w:r>
      <w:r>
        <w:t xml:space="preserve"> enkele technische </w:t>
      </w:r>
      <w:r w:rsidR="00644080">
        <w:t xml:space="preserve">en redactionele </w:t>
      </w:r>
      <w:r w:rsidRPr="00FE359A">
        <w:t xml:space="preserve">wijzigingen </w:t>
      </w:r>
      <w:r>
        <w:t xml:space="preserve">aangebracht. </w:t>
      </w:r>
      <w:bookmarkEnd w:id="3"/>
    </w:p>
    <w:p w:rsidR="009055BD" w:rsidP="00FE359A" w14:paraId="53227468" w14:textId="77777777">
      <w:pPr>
        <w:spacing w:before="120" w:after="120" w:line="276" w:lineRule="auto"/>
      </w:pPr>
    </w:p>
    <w:p w:rsidRPr="009055BD" w:rsidR="00A2532B" w:rsidP="00FE359A" w14:paraId="4FFBA5E5" w14:textId="11C93200">
      <w:pPr>
        <w:spacing w:before="120" w:after="120" w:line="276" w:lineRule="auto"/>
        <w:rPr>
          <w:b/>
          <w:bCs/>
        </w:rPr>
      </w:pPr>
      <w:r w:rsidRPr="009055BD">
        <w:rPr>
          <w:b/>
          <w:bCs/>
        </w:rPr>
        <w:t xml:space="preserve">2. </w:t>
      </w:r>
      <w:r w:rsidRPr="009055BD" w:rsidR="00693645">
        <w:rPr>
          <w:b/>
          <w:bCs/>
        </w:rPr>
        <w:t>Verhouding tot</w:t>
      </w:r>
      <w:r w:rsidRPr="009055BD">
        <w:rPr>
          <w:b/>
          <w:bCs/>
        </w:rPr>
        <w:t xml:space="preserve"> </w:t>
      </w:r>
      <w:r w:rsidRPr="009055BD" w:rsidR="00E076D4">
        <w:rPr>
          <w:b/>
          <w:bCs/>
        </w:rPr>
        <w:t xml:space="preserve">ander </w:t>
      </w:r>
      <w:r w:rsidRPr="009055BD">
        <w:rPr>
          <w:b/>
          <w:bCs/>
        </w:rPr>
        <w:t>nationaal recht</w:t>
      </w:r>
    </w:p>
    <w:p w:rsidR="00AF7F61" w:rsidP="00FE359A" w14:paraId="0F6911CA" w14:textId="3DD43312">
      <w:pPr>
        <w:spacing w:before="120" w:after="120" w:line="276" w:lineRule="auto"/>
        <w:rPr>
          <w:bCs/>
        </w:rPr>
      </w:pPr>
      <w:r w:rsidRPr="006A0561">
        <w:rPr>
          <w:bCs/>
        </w:rPr>
        <w:t xml:space="preserve">Het </w:t>
      </w:r>
      <w:r w:rsidR="008F28A9">
        <w:rPr>
          <w:bCs/>
        </w:rPr>
        <w:t xml:space="preserve">maatwerkvoorschrift </w:t>
      </w:r>
      <w:r w:rsidR="007A299C">
        <w:rPr>
          <w:bCs/>
        </w:rPr>
        <w:t>op grond van het nieuwe artikel 2</w:t>
      </w:r>
      <w:r w:rsidR="00D501C6">
        <w:rPr>
          <w:bCs/>
        </w:rPr>
        <w:t>.</w:t>
      </w:r>
      <w:r w:rsidR="007A299C">
        <w:rPr>
          <w:bCs/>
        </w:rPr>
        <w:t xml:space="preserve">21a </w:t>
      </w:r>
      <w:r w:rsidRPr="006A0561">
        <w:rPr>
          <w:bCs/>
        </w:rPr>
        <w:t>is een besluit in de zin van artikel 1:3 van de Algemene wet bestuursrecht en daarmee dus appellabel. Alle belanghebbenden hebben daarmee direct toegang tot de gebruikelijke rechtsmiddelen en ook wordt bewerkstelligd dat er hiermee een afzienbare en concrete termijn ontstaat waarbinnen definitieve zekerheid over de status van het gebouw gegeven word</w:t>
      </w:r>
      <w:r>
        <w:rPr>
          <w:bCs/>
        </w:rPr>
        <w:t>t.</w:t>
      </w:r>
    </w:p>
    <w:p w:rsidRPr="00AF7F61" w:rsidR="009055BD" w:rsidP="00FE359A" w14:paraId="3BAAE932" w14:textId="77777777">
      <w:pPr>
        <w:spacing w:before="120" w:after="120" w:line="276" w:lineRule="auto"/>
        <w:rPr>
          <w:bCs/>
        </w:rPr>
      </w:pPr>
    </w:p>
    <w:p w:rsidRPr="006378E4" w:rsidR="00FE359A" w:rsidP="00FE359A" w14:paraId="45841714" w14:textId="3C106638">
      <w:pPr>
        <w:spacing w:before="120" w:after="120" w:line="276" w:lineRule="auto"/>
        <w:rPr>
          <w:b/>
          <w:bCs/>
        </w:rPr>
      </w:pPr>
      <w:r>
        <w:rPr>
          <w:b/>
          <w:bCs/>
        </w:rPr>
        <w:t>3</w:t>
      </w:r>
      <w:r w:rsidRPr="006378E4">
        <w:rPr>
          <w:b/>
          <w:bCs/>
        </w:rPr>
        <w:t>. Gevolgen van dit besluit</w:t>
      </w:r>
    </w:p>
    <w:p w:rsidR="00740A1C" w:rsidP="00740A1C" w14:paraId="0398A612" w14:textId="720C1145">
      <w:pPr>
        <w:spacing w:before="120" w:after="120" w:line="276" w:lineRule="auto"/>
      </w:pPr>
      <w:r>
        <w:rPr>
          <w:i/>
        </w:rPr>
        <w:t>3</w:t>
      </w:r>
      <w:r w:rsidRPr="00FE359A" w:rsidR="00FE359A">
        <w:rPr>
          <w:i/>
        </w:rPr>
        <w:t>.</w:t>
      </w:r>
      <w:r w:rsidR="00BB4B31">
        <w:rPr>
          <w:i/>
        </w:rPr>
        <w:t>1</w:t>
      </w:r>
      <w:r w:rsidRPr="00FE359A" w:rsidR="00FE359A">
        <w:rPr>
          <w:i/>
        </w:rPr>
        <w:t xml:space="preserve"> Regeldruk</w:t>
      </w:r>
      <w:r w:rsidRPr="00FE359A" w:rsidR="00FE359A">
        <w:rPr>
          <w:i/>
        </w:rPr>
        <w:br/>
      </w:r>
      <w:r w:rsidRPr="00FE359A" w:rsidR="006378E4">
        <w:t xml:space="preserve">Dit besluit heeft invloed op de regeldruk voor bedrijven, burgers en overheden. </w:t>
      </w:r>
      <w:r w:rsidR="00644080">
        <w:t xml:space="preserve">De regeldruk bestaat uit een verzoek om </w:t>
      </w:r>
      <w:r>
        <w:t xml:space="preserve">een bouwwerk </w:t>
      </w:r>
      <w:r w:rsidR="00A37900">
        <w:t xml:space="preserve">gereed te mogen melden en </w:t>
      </w:r>
      <w:r>
        <w:t xml:space="preserve">in gebruik te kunnen nemen in die gevallen waar de verklaring ontbreekt en herstel van gebreken niet proportioneel is in relatie tot het doel van de regel die wordt overtreden. De initiatiefnemer dient een verzoek hiertoe in bij het bevoegd gezag. </w:t>
      </w:r>
      <w:r w:rsidR="00644080">
        <w:t>D</w:t>
      </w:r>
      <w:r>
        <w:t xml:space="preserve">e regeldruk voor initiatiefnemers die om een </w:t>
      </w:r>
      <w:r w:rsidR="00644080">
        <w:t xml:space="preserve">dergelijk </w:t>
      </w:r>
      <w:r w:rsidR="008F28A9">
        <w:t xml:space="preserve">maatwerkvoorschrift </w:t>
      </w:r>
      <w:r>
        <w:t>verzoeken</w:t>
      </w:r>
      <w:r w:rsidR="00644080">
        <w:t xml:space="preserve"> bestaat uit</w:t>
      </w:r>
      <w:r>
        <w:t>:</w:t>
      </w:r>
    </w:p>
    <w:p w:rsidRPr="00740A1C" w:rsidR="00740A1C" w:rsidP="00EC4160" w14:paraId="1227A8C7" w14:textId="700356B6">
      <w:pPr>
        <w:pStyle w:val="ListParagraph"/>
        <w:numPr>
          <w:ilvl w:val="0"/>
          <w:numId w:val="29"/>
        </w:numPr>
        <w:spacing w:before="120" w:after="120" w:line="276" w:lineRule="auto"/>
        <w:rPr>
          <w:rFonts w:ascii="Verdana" w:hAnsi="Verdana"/>
          <w:sz w:val="18"/>
          <w:szCs w:val="18"/>
        </w:rPr>
      </w:pPr>
      <w:r>
        <w:rPr>
          <w:rFonts w:ascii="Verdana" w:hAnsi="Verdana"/>
          <w:sz w:val="18"/>
          <w:szCs w:val="18"/>
        </w:rPr>
        <w:t>k</w:t>
      </w:r>
      <w:r w:rsidRPr="00740A1C">
        <w:rPr>
          <w:rFonts w:ascii="Verdana" w:hAnsi="Verdana"/>
          <w:sz w:val="18"/>
          <w:szCs w:val="18"/>
        </w:rPr>
        <w:t xml:space="preserve">ennisnemen van de </w:t>
      </w:r>
      <w:r w:rsidR="003825F1">
        <w:rPr>
          <w:rFonts w:ascii="Verdana" w:hAnsi="Verdana"/>
          <w:sz w:val="18"/>
          <w:szCs w:val="18"/>
        </w:rPr>
        <w:t>regels waaraan niet voldaan is en de achterliggende doelen</w:t>
      </w:r>
      <w:r w:rsidRPr="00740A1C">
        <w:rPr>
          <w:rFonts w:ascii="Verdana" w:hAnsi="Verdana"/>
          <w:sz w:val="18"/>
          <w:szCs w:val="18"/>
        </w:rPr>
        <w:t>; en</w:t>
      </w:r>
    </w:p>
    <w:p w:rsidRPr="00740A1C" w:rsidR="00740A1C" w:rsidP="00EC4160" w14:paraId="1682A287" w14:textId="1106968C">
      <w:pPr>
        <w:pStyle w:val="ListParagraph"/>
        <w:numPr>
          <w:ilvl w:val="0"/>
          <w:numId w:val="29"/>
        </w:numPr>
        <w:spacing w:before="120" w:after="120" w:line="276" w:lineRule="auto"/>
        <w:rPr>
          <w:rFonts w:ascii="Verdana" w:hAnsi="Verdana"/>
          <w:sz w:val="18"/>
          <w:szCs w:val="18"/>
        </w:rPr>
      </w:pPr>
      <w:r w:rsidRPr="00740A1C">
        <w:rPr>
          <w:rFonts w:ascii="Verdana" w:hAnsi="Verdana"/>
          <w:sz w:val="18"/>
          <w:szCs w:val="18"/>
        </w:rPr>
        <w:t xml:space="preserve">het verzamelen en indienen van de </w:t>
      </w:r>
      <w:r w:rsidR="00644080">
        <w:rPr>
          <w:rFonts w:ascii="Verdana" w:hAnsi="Verdana"/>
          <w:sz w:val="18"/>
          <w:szCs w:val="18"/>
        </w:rPr>
        <w:t>gegevens en bescheiden</w:t>
      </w:r>
      <w:r w:rsidRPr="00740A1C" w:rsidR="00644080">
        <w:rPr>
          <w:rFonts w:ascii="Verdana" w:hAnsi="Verdana"/>
          <w:sz w:val="18"/>
          <w:szCs w:val="18"/>
        </w:rPr>
        <w:t xml:space="preserve"> </w:t>
      </w:r>
      <w:r w:rsidRPr="00740A1C">
        <w:rPr>
          <w:rFonts w:ascii="Verdana" w:hAnsi="Verdana"/>
          <w:sz w:val="18"/>
          <w:szCs w:val="18"/>
        </w:rPr>
        <w:t>voor het verzoek.</w:t>
      </w:r>
    </w:p>
    <w:p w:rsidR="00524D32" w:rsidP="00740A1C" w14:paraId="6A075A68" w14:textId="7CFC5543">
      <w:pPr>
        <w:spacing w:before="120" w:after="120" w:line="276" w:lineRule="auto"/>
      </w:pPr>
      <w:r>
        <w:t>De verwachting is dat i</w:t>
      </w:r>
      <w:r w:rsidR="00740A1C">
        <w:t xml:space="preserve">nitiatiefnemers slechts </w:t>
      </w:r>
      <w:r>
        <w:t>incidenteel</w:t>
      </w:r>
      <w:r w:rsidR="00740A1C">
        <w:t xml:space="preserve"> </w:t>
      </w:r>
      <w:r w:rsidR="00644080">
        <w:t xml:space="preserve">een </w:t>
      </w:r>
      <w:r w:rsidR="008F28A9">
        <w:t xml:space="preserve">maatwerkvoorschrift </w:t>
      </w:r>
      <w:r w:rsidR="009D119E">
        <w:t>zullen aanv</w:t>
      </w:r>
      <w:r w:rsidR="00644080">
        <w:t>ragen</w:t>
      </w:r>
      <w:r w:rsidR="00740A1C">
        <w:t>.</w:t>
      </w:r>
      <w:r>
        <w:t xml:space="preserve"> Uit de proefprojecten </w:t>
      </w:r>
      <w:r w:rsidR="000A672C">
        <w:t xml:space="preserve">met </w:t>
      </w:r>
      <w:r w:rsidR="00AF37B2">
        <w:t xml:space="preserve">kwaliteitsborging </w:t>
      </w:r>
      <w:r w:rsidR="000A672C">
        <w:t xml:space="preserve">blijkt weliswaar dat in een relatief groot aantal gevallen gereedmelding niet mogelijk </w:t>
      </w:r>
      <w:r w:rsidR="00AF37B2">
        <w:t>bleek</w:t>
      </w:r>
      <w:r w:rsidR="000A672C">
        <w:t xml:space="preserve">, echter </w:t>
      </w:r>
      <w:r w:rsidR="00AF37B2">
        <w:t>was bij</w:t>
      </w:r>
      <w:r w:rsidR="000A672C">
        <w:t xml:space="preserve"> het grootste deel </w:t>
      </w:r>
      <w:r w:rsidR="00AF37B2">
        <w:t xml:space="preserve">daarvan </w:t>
      </w:r>
      <w:r w:rsidR="000A672C">
        <w:t>het ontbreken van gegevens in het dossier bevoegd gezag</w:t>
      </w:r>
      <w:r w:rsidR="00AF37B2">
        <w:t xml:space="preserve"> de reden</w:t>
      </w:r>
      <w:r w:rsidR="000A672C">
        <w:t>.</w:t>
      </w:r>
      <w:r>
        <w:rPr>
          <w:rStyle w:val="FootnoteReference"/>
        </w:rPr>
        <w:footnoteReference w:id="5"/>
      </w:r>
      <w:r w:rsidR="000A672C">
        <w:t xml:space="preserve"> De voorliggende regeling maakt het in dergelijke gevallen niet mogelijk om een </w:t>
      </w:r>
      <w:r w:rsidR="000A672C">
        <w:t xml:space="preserve">maatwerkvoorschrift te </w:t>
      </w:r>
      <w:r w:rsidR="00D501C6">
        <w:t>stellen</w:t>
      </w:r>
      <w:r w:rsidR="000A672C">
        <w:t>. Het aantal gevallen dat daadwerkelijk in aanmerking komt voor een dergelijk besluit van de gemeente zal beperkt zijn.</w:t>
      </w:r>
      <w:r>
        <w:t xml:space="preserve"> </w:t>
      </w:r>
      <w:r w:rsidR="00740A1C">
        <w:t xml:space="preserve"> </w:t>
      </w:r>
    </w:p>
    <w:p w:rsidR="00740A1C" w:rsidP="00740A1C" w14:paraId="2CA1CC6B" w14:textId="25E8AB7B">
      <w:pPr>
        <w:spacing w:before="120" w:after="120" w:line="276" w:lineRule="auto"/>
      </w:pPr>
      <w:r>
        <w:t xml:space="preserve">Initiatiefnemers </w:t>
      </w:r>
      <w:r>
        <w:t xml:space="preserve">dienen éénmalig kennis te nemen van de verplichtingen om hun </w:t>
      </w:r>
      <w:r w:rsidR="0073582B">
        <w:t xml:space="preserve">bouwwerk </w:t>
      </w:r>
      <w:r w:rsidR="00A37900">
        <w:t xml:space="preserve">gereed te kunnen melden en </w:t>
      </w:r>
      <w:r>
        <w:t>in gebruik te mogen nemen bij het ontbreken van een verklaring. Initiatiefnemers kunnen deze werkzaamheden ook laten uitvoeren door het bouwbedrijf of andere partijen die hen ondersteunen in het bouwproces.</w:t>
      </w:r>
    </w:p>
    <w:p w:rsidR="00740A1C" w:rsidP="00740A1C" w14:paraId="562BE143" w14:textId="68D58535">
      <w:pPr>
        <w:spacing w:before="120" w:after="120" w:line="276" w:lineRule="auto"/>
      </w:pPr>
      <w:r>
        <w:t xml:space="preserve">De onderstaande tijdsduur en hiermee gepaard gaande kosten komen voort uit het handboek meting regeldrukkosten, uitgaande van een uurloon van € 17,- voor burgers. </w:t>
      </w:r>
      <w:r w:rsidR="00644080">
        <w:t>Als</w:t>
      </w:r>
      <w:r>
        <w:t xml:space="preserve"> de taken worden uitgevoerd door bedrijven dan is uitgegaan van een uurloon van € 39-55 voor administratief personeel.</w:t>
      </w:r>
    </w:p>
    <w:p w:rsidR="004460B8" w:rsidP="004460B8" w14:paraId="0F3E78BE" w14:textId="39D46857">
      <w:pPr>
        <w:spacing w:before="120" w:after="120" w:line="276" w:lineRule="auto"/>
      </w:pPr>
      <w:r>
        <w:t>De tijdbesteding voor het verzamelen van de gegevens over de strijdigheid waarop het verzoek om maatwerk is gericht is nihil. Dit omdat de betreffende informatie al beschikbaar is vanuit de verplichting voor de kwaliteitsborger om alle betrokken partijen te informeren over strijdigheden (zie artikel 3.86 van het Besluit kwaliteit leefomgeving).</w:t>
      </w:r>
    </w:p>
    <w:p w:rsidR="00740A1C" w:rsidP="00740A1C" w14:paraId="7C993407" w14:textId="414C277E">
      <w:pPr>
        <w:spacing w:before="120" w:after="120" w:line="276" w:lineRule="auto"/>
      </w:pPr>
      <w:r>
        <w:t xml:space="preserve">Voor </w:t>
      </w:r>
      <w:r w:rsidR="00F36B4E">
        <w:t xml:space="preserve">het </w:t>
      </w:r>
      <w:r>
        <w:t>kennisnemen van de regel</w:t>
      </w:r>
      <w:r w:rsidR="003825F1">
        <w:t>gev</w:t>
      </w:r>
      <w:r>
        <w:t>ing wordt voor iedere initiatiefnemer een tijdbesteding van maximaal 15 minuten geraamd. Voor het verkrijgen van advies geldt maximaal 105 minuten. Voor het invullen van het formulier worden 20 minuten gerekend, waar voor het verzenden van de informatie maximaal 5 minuten wordt gerekend. Het totaal voor burgers komt hiermee op een tijdsbesteding van 145 minuten.</w:t>
      </w:r>
    </w:p>
    <w:p w:rsidR="00740A1C" w:rsidP="00740A1C" w14:paraId="1C6DE549" w14:textId="77777777">
      <w:pPr>
        <w:spacing w:before="120" w:after="120" w:line="276" w:lineRule="auto"/>
      </w:pPr>
      <w:r>
        <w:t>Voor kennisnemen van de regeling wordt voor bedrijven een tijdbesteding van maximaal 5 minuten geraamd. Voor het verkrijgen van de gegevens geldt maximaal 10 minuten. Voor het invullen van het formulier worden 5 minuten gerekend, waar voor het verzenden van de informatie maximaal 2 minuten wordt gerekend. Het totaal voor bedrijven komt hiermee op een tijdsbesteding van 22 minuten.</w:t>
      </w:r>
    </w:p>
    <w:p w:rsidR="00740A1C" w:rsidP="00740A1C" w14:paraId="44550C4F" w14:textId="77777777">
      <w:pPr>
        <w:spacing w:before="120" w:after="120" w:line="276" w:lineRule="auto"/>
      </w:pPr>
      <w:r>
        <w:t>De berekening van de administratieve lasten is hieronder nader gespecificeerd en uitgesplitst naar de (geschatte) kosten per project voor burger en bedrijven en de totale (geschatte) kosten. Uitgesplitst naar kosten per project gaat het om de volgende bedragen:</w:t>
      </w:r>
    </w:p>
    <w:tbl>
      <w:tblPr>
        <w:tblStyle w:val="PlainTable4"/>
        <w:tblW w:w="0" w:type="auto"/>
        <w:tblLook w:val="04A0"/>
      </w:tblPr>
      <w:tblGrid>
        <w:gridCol w:w="6237"/>
        <w:gridCol w:w="1892"/>
      </w:tblGrid>
      <w:tr w:rsidTr="00195EA1" w14:paraId="1ABC84B5" w14:textId="77777777">
        <w:tblPrEx>
          <w:tblW w:w="0" w:type="auto"/>
          <w:tblLook w:val="04A0"/>
        </w:tblPrEx>
        <w:tc>
          <w:tcPr>
            <w:tcW w:w="6941" w:type="dxa"/>
            <w:tcBorders>
              <w:top w:val="single" w:color="auto" w:sz="12" w:space="0"/>
              <w:bottom w:val="single" w:color="auto" w:sz="8" w:space="0"/>
            </w:tcBorders>
          </w:tcPr>
          <w:p w:rsidR="00740A1C" w:rsidP="00195EA1" w14:paraId="253FCEFF" w14:textId="77777777">
            <w:pPr>
              <w:rPr>
                <w:lang w:val="nl-NL"/>
              </w:rPr>
            </w:pPr>
            <w:r>
              <w:rPr>
                <w:lang w:val="nl-NL"/>
              </w:rPr>
              <w:t xml:space="preserve">Administratieve Lasten (AL) </w:t>
            </w:r>
          </w:p>
        </w:tc>
        <w:tc>
          <w:tcPr>
            <w:tcW w:w="2076" w:type="dxa"/>
            <w:tcBorders>
              <w:top w:val="single" w:color="auto" w:sz="12" w:space="0"/>
              <w:bottom w:val="single" w:color="auto" w:sz="8" w:space="0"/>
            </w:tcBorders>
          </w:tcPr>
          <w:p w:rsidR="00740A1C" w:rsidP="00195EA1" w14:paraId="1BF4D5D8" w14:textId="77777777">
            <w:pPr>
              <w:jc w:val="right"/>
              <w:rPr>
                <w:lang w:val="nl-NL"/>
              </w:rPr>
            </w:pPr>
            <w:r>
              <w:rPr>
                <w:lang w:val="nl-NL"/>
              </w:rPr>
              <w:t xml:space="preserve">  </w:t>
            </w:r>
          </w:p>
        </w:tc>
      </w:tr>
      <w:tr w:rsidTr="00195EA1" w14:paraId="38C4CA62" w14:textId="77777777">
        <w:tblPrEx>
          <w:tblW w:w="0" w:type="auto"/>
          <w:tblLook w:val="04A0"/>
        </w:tblPrEx>
        <w:tc>
          <w:tcPr>
            <w:tcW w:w="6941" w:type="dxa"/>
            <w:tcBorders>
              <w:top w:val="single" w:color="auto" w:sz="8" w:space="0"/>
              <w:bottom w:val="single" w:color="auto" w:sz="8" w:space="0"/>
            </w:tcBorders>
          </w:tcPr>
          <w:p w:rsidR="00740A1C" w:rsidP="00195EA1" w14:paraId="4D3BC0EF" w14:textId="77777777">
            <w:pPr>
              <w:rPr>
                <w:lang w:val="nl-NL"/>
              </w:rPr>
            </w:pPr>
            <w:r>
              <w:rPr>
                <w:lang w:val="nl-NL"/>
              </w:rPr>
              <w:t>AL per project voor burgers (uurtarief € 17,-)</w:t>
            </w:r>
          </w:p>
        </w:tc>
        <w:tc>
          <w:tcPr>
            <w:tcW w:w="2076" w:type="dxa"/>
            <w:tcBorders>
              <w:top w:val="single" w:color="auto" w:sz="8" w:space="0"/>
              <w:bottom w:val="single" w:color="auto" w:sz="8" w:space="0"/>
            </w:tcBorders>
          </w:tcPr>
          <w:p w:rsidR="00740A1C" w:rsidP="00195EA1" w14:paraId="08657EF9" w14:textId="77777777">
            <w:pPr>
              <w:jc w:val="right"/>
              <w:rPr>
                <w:lang w:val="nl-NL"/>
              </w:rPr>
            </w:pPr>
            <w:r>
              <w:rPr>
                <w:lang w:val="nl-NL"/>
              </w:rPr>
              <w:t>€ 41</w:t>
            </w:r>
          </w:p>
        </w:tc>
      </w:tr>
      <w:tr w:rsidTr="00DC15F9" w14:paraId="678EC68F" w14:textId="77777777">
        <w:tblPrEx>
          <w:tblW w:w="0" w:type="auto"/>
          <w:tblLook w:val="04A0"/>
        </w:tblPrEx>
        <w:trPr>
          <w:trHeight w:val="366"/>
        </w:trPr>
        <w:tc>
          <w:tcPr>
            <w:tcW w:w="6941" w:type="dxa"/>
            <w:tcBorders>
              <w:top w:val="single" w:color="auto" w:sz="8" w:space="0"/>
              <w:bottom w:val="single" w:color="auto" w:sz="8" w:space="0"/>
            </w:tcBorders>
          </w:tcPr>
          <w:p w:rsidR="00740A1C" w:rsidP="00195EA1" w14:paraId="7094E6B8" w14:textId="77777777">
            <w:pPr>
              <w:rPr>
                <w:lang w:val="nl-NL"/>
              </w:rPr>
            </w:pPr>
            <w:r>
              <w:rPr>
                <w:lang w:val="nl-NL"/>
              </w:rPr>
              <w:t>AL per project voor bedrijven (uurtarief € 39-€55)</w:t>
            </w:r>
          </w:p>
        </w:tc>
        <w:tc>
          <w:tcPr>
            <w:tcW w:w="2076" w:type="dxa"/>
            <w:tcBorders>
              <w:top w:val="single" w:color="auto" w:sz="8" w:space="0"/>
              <w:bottom w:val="single" w:color="auto" w:sz="8" w:space="0"/>
            </w:tcBorders>
          </w:tcPr>
          <w:p w:rsidR="00740A1C" w:rsidP="00195EA1" w14:paraId="1B6407DF" w14:textId="77777777">
            <w:pPr>
              <w:jc w:val="right"/>
              <w:rPr>
                <w:lang w:val="nl-NL"/>
              </w:rPr>
            </w:pPr>
            <w:r>
              <w:rPr>
                <w:lang w:val="nl-NL"/>
              </w:rPr>
              <w:t>€ 14,30 - € 20,16</w:t>
            </w:r>
          </w:p>
        </w:tc>
      </w:tr>
    </w:tbl>
    <w:p w:rsidR="00740A1C" w:rsidP="00740A1C" w14:paraId="2C8B1C27" w14:textId="03326EFA">
      <w:pPr>
        <w:spacing w:before="120" w:after="120" w:line="276" w:lineRule="auto"/>
      </w:pPr>
      <w:r>
        <w:t xml:space="preserve">Het </w:t>
      </w:r>
      <w:r w:rsidR="008F28A9">
        <w:t xml:space="preserve">maatwerkvoorschrift </w:t>
      </w:r>
      <w:r>
        <w:t xml:space="preserve">vormt een geclausuleerde uitzondering op het </w:t>
      </w:r>
      <w:r w:rsidR="00A37900">
        <w:t>gereed kunnen melden van een bouwactiviteit</w:t>
      </w:r>
      <w:r>
        <w:t>. Deze situatie</w:t>
      </w:r>
      <w:r w:rsidR="00A37900">
        <w:t>, waarbij handhaven om te komen tot herstel niet proportioneel is,</w:t>
      </w:r>
      <w:r>
        <w:t xml:space="preserve"> zal daarom naar verwachting niet vaak voorkomen. In de proefprojecten </w:t>
      </w:r>
      <w:r w:rsidR="0073582B">
        <w:t>in de periode 2020 tot en met 2023</w:t>
      </w:r>
      <w:r w:rsidR="004E2786">
        <w:t xml:space="preserve"> is het weliswaar regelmatig voorgekomen dat geen verklaring kon worden afgegeven, </w:t>
      </w:r>
      <w:r>
        <w:t xml:space="preserve">de </w:t>
      </w:r>
      <w:r w:rsidR="004E2786">
        <w:t xml:space="preserve">specifieke </w:t>
      </w:r>
      <w:r>
        <w:t>situatie</w:t>
      </w:r>
      <w:r w:rsidR="004E2786">
        <w:t xml:space="preserve"> </w:t>
      </w:r>
      <w:r w:rsidR="00EA5068">
        <w:t xml:space="preserve">waarvoor het maatwerkvoorschrift kan worden gehanteerd </w:t>
      </w:r>
      <w:r w:rsidR="004E2786">
        <w:t>heeft</w:t>
      </w:r>
      <w:r>
        <w:t xml:space="preserve"> zich </w:t>
      </w:r>
      <w:r w:rsidR="004E2786">
        <w:t xml:space="preserve">echter </w:t>
      </w:r>
      <w:r>
        <w:t xml:space="preserve">niet voorgedaan. </w:t>
      </w:r>
      <w:r w:rsidR="004E2786">
        <w:t xml:space="preserve">Het aantal bouwactiviteiten dat valt onder </w:t>
      </w:r>
      <w:r w:rsidR="007A299C">
        <w:t>g</w:t>
      </w:r>
      <w:r>
        <w:t xml:space="preserve">evolgklasse 1 is in 2022 geraamd op 18.940 bouwwerken. Aangezien wordt uitgegaan van regelnaleving wordt verwacht dat de aanvraag voor een </w:t>
      </w:r>
      <w:r w:rsidR="008F28A9">
        <w:t xml:space="preserve">maatwerkvoorschrift </w:t>
      </w:r>
      <w:r w:rsidR="004460B8">
        <w:t>slechts in een beperkt aantal</w:t>
      </w:r>
      <w:r>
        <w:t xml:space="preserve"> gevallen zal </w:t>
      </w:r>
      <w:r w:rsidR="004E2786">
        <w:t>worden gehonoreerd</w:t>
      </w:r>
      <w:r>
        <w:t xml:space="preserve">. </w:t>
      </w:r>
      <w:r w:rsidR="004460B8">
        <w:t>Het aantal aanvragen zal hoger liggen en wordt geraamd op 10% van de projecten onder gevolgklasse 1</w:t>
      </w:r>
      <w:r w:rsidR="00AF7F61">
        <w:t xml:space="preserve"> (ca. 1900). Dit percentage is lager dan het percentage proefprojecten dat niet gereed gemeld kon worden, echter was daarbij in de meeste gevallen sprake van onvolledige dossiers. De verwachting is dat dergelijke </w:t>
      </w:r>
      <w:r w:rsidR="00AF7F61">
        <w:t>situaties dan ook niet zullen leiden tot een verzoek om maatwerk aangezien deze verzoeken niet gehonoreerd kunnen worden.</w:t>
      </w:r>
    </w:p>
    <w:p w:rsidR="00740A1C" w:rsidP="00740A1C" w14:paraId="6FC3CF9E" w14:textId="77777777">
      <w:pPr>
        <w:spacing w:before="120" w:after="120" w:line="276" w:lineRule="auto"/>
      </w:pPr>
      <w:r>
        <w:t>Uitgaande van de hogere administratieve lasten voor burgers leidt de regeling tot de volgende bedragen:</w:t>
      </w:r>
    </w:p>
    <w:tbl>
      <w:tblPr>
        <w:tblStyle w:val="PlainTable4"/>
        <w:tblW w:w="0" w:type="auto"/>
        <w:tblLook w:val="04A0"/>
      </w:tblPr>
      <w:tblGrid>
        <w:gridCol w:w="6242"/>
        <w:gridCol w:w="1887"/>
      </w:tblGrid>
      <w:tr w:rsidTr="00195EA1" w14:paraId="59B17C8A" w14:textId="77777777">
        <w:tblPrEx>
          <w:tblW w:w="0" w:type="auto"/>
          <w:tblLook w:val="04A0"/>
        </w:tblPrEx>
        <w:tc>
          <w:tcPr>
            <w:tcW w:w="6941" w:type="dxa"/>
            <w:tcBorders>
              <w:top w:val="single" w:color="auto" w:sz="12" w:space="0"/>
              <w:bottom w:val="single" w:color="auto" w:sz="8" w:space="0"/>
            </w:tcBorders>
          </w:tcPr>
          <w:p w:rsidR="00740A1C" w:rsidP="00195EA1" w14:paraId="1F12AA17" w14:textId="77777777">
            <w:pPr>
              <w:rPr>
                <w:lang w:val="nl-NL"/>
              </w:rPr>
            </w:pPr>
            <w:r>
              <w:rPr>
                <w:lang w:val="nl-NL"/>
              </w:rPr>
              <w:t>Administratieve Lasten (AL) Totaal ingebruiknamebesluit</w:t>
            </w:r>
          </w:p>
        </w:tc>
        <w:tc>
          <w:tcPr>
            <w:tcW w:w="2076" w:type="dxa"/>
            <w:tcBorders>
              <w:top w:val="single" w:color="auto" w:sz="12" w:space="0"/>
              <w:bottom w:val="single" w:color="auto" w:sz="8" w:space="0"/>
            </w:tcBorders>
          </w:tcPr>
          <w:p w:rsidR="00740A1C" w:rsidP="00195EA1" w14:paraId="2A13EE80" w14:textId="77777777">
            <w:pPr>
              <w:jc w:val="right"/>
              <w:rPr>
                <w:lang w:val="nl-NL"/>
              </w:rPr>
            </w:pPr>
          </w:p>
        </w:tc>
      </w:tr>
      <w:tr w:rsidTr="00195EA1" w14:paraId="27E6266F" w14:textId="77777777">
        <w:tblPrEx>
          <w:tblW w:w="0" w:type="auto"/>
          <w:tblLook w:val="04A0"/>
        </w:tblPrEx>
        <w:tc>
          <w:tcPr>
            <w:tcW w:w="6941" w:type="dxa"/>
            <w:tcBorders>
              <w:top w:val="single" w:color="auto" w:sz="8" w:space="0"/>
              <w:bottom w:val="single" w:color="auto" w:sz="8" w:space="0"/>
            </w:tcBorders>
          </w:tcPr>
          <w:p w:rsidR="00740A1C" w:rsidP="00195EA1" w14:paraId="0903A463" w14:textId="67F8134F">
            <w:pPr>
              <w:rPr>
                <w:lang w:val="nl-NL"/>
              </w:rPr>
            </w:pPr>
            <w:r>
              <w:rPr>
                <w:lang w:val="nl-NL"/>
              </w:rPr>
              <w:t xml:space="preserve">AL Totaal </w:t>
            </w:r>
            <w:r w:rsidR="00AF7F61">
              <w:rPr>
                <w:lang w:val="nl-NL"/>
              </w:rPr>
              <w:t>1900</w:t>
            </w:r>
            <w:r>
              <w:rPr>
                <w:lang w:val="nl-NL"/>
              </w:rPr>
              <w:t xml:space="preserve"> gevallen à max €41</w:t>
            </w:r>
          </w:p>
        </w:tc>
        <w:tc>
          <w:tcPr>
            <w:tcW w:w="2076" w:type="dxa"/>
            <w:tcBorders>
              <w:top w:val="single" w:color="auto" w:sz="8" w:space="0"/>
              <w:bottom w:val="single" w:color="auto" w:sz="8" w:space="0"/>
            </w:tcBorders>
          </w:tcPr>
          <w:p w:rsidR="00740A1C" w:rsidP="00195EA1" w14:paraId="6BC60CCE" w14:textId="5376EF92">
            <w:pPr>
              <w:jc w:val="right"/>
              <w:rPr>
                <w:lang w:val="nl-NL"/>
              </w:rPr>
            </w:pPr>
            <w:r>
              <w:rPr>
                <w:lang w:val="nl-NL"/>
              </w:rPr>
              <w:t xml:space="preserve">€ </w:t>
            </w:r>
            <w:r w:rsidR="00AF7F61">
              <w:rPr>
                <w:lang w:val="nl-NL"/>
              </w:rPr>
              <w:t>77</w:t>
            </w:r>
            <w:r>
              <w:rPr>
                <w:lang w:val="nl-NL"/>
              </w:rPr>
              <w:t>.</w:t>
            </w:r>
            <w:r w:rsidR="00AF7F61">
              <w:rPr>
                <w:lang w:val="nl-NL"/>
              </w:rPr>
              <w:t>900</w:t>
            </w:r>
          </w:p>
        </w:tc>
      </w:tr>
    </w:tbl>
    <w:p w:rsidR="009055BD" w:rsidP="009055BD" w14:paraId="50D4CA3D" w14:textId="77777777">
      <w:pPr>
        <w:spacing w:line="276" w:lineRule="auto"/>
        <w:rPr>
          <w:i/>
        </w:rPr>
      </w:pPr>
    </w:p>
    <w:p w:rsidRPr="00FE359A" w:rsidR="00FE359A" w:rsidP="009055BD" w14:paraId="0F93E0A3" w14:textId="76D7D35F">
      <w:pPr>
        <w:spacing w:after="120" w:line="276" w:lineRule="auto"/>
        <w:rPr>
          <w:i/>
        </w:rPr>
      </w:pPr>
      <w:r>
        <w:rPr>
          <w:i/>
        </w:rPr>
        <w:t>3</w:t>
      </w:r>
      <w:r w:rsidRPr="00FE359A">
        <w:rPr>
          <w:i/>
        </w:rPr>
        <w:t>.</w:t>
      </w:r>
      <w:r w:rsidR="00CC1BE2">
        <w:rPr>
          <w:i/>
        </w:rPr>
        <w:t>2</w:t>
      </w:r>
      <w:r w:rsidRPr="00FE359A">
        <w:rPr>
          <w:i/>
        </w:rPr>
        <w:t xml:space="preserve"> Bestuurlijke lasten</w:t>
      </w:r>
    </w:p>
    <w:p w:rsidR="00B819F0" w:rsidP="00B819F0" w14:paraId="7F62B641" w14:textId="3D8EDF97">
      <w:pPr>
        <w:spacing w:before="120" w:after="120" w:line="276" w:lineRule="auto"/>
      </w:pPr>
      <w:r>
        <w:t>Dit besluit heeft financiële gevolgen voor gemeenten. Dit blijkt uit het onderzoeksrapport “Ingebruiknamebesluit in de Wkb, Financiële gevolgen gemeenten” (Cebeon, november 2024)</w:t>
      </w:r>
      <w:r w:rsidR="00EC6A92">
        <w:t xml:space="preserve">. Zie hoofdstuk 5 van die rapportage voor een overzicht van alle financiële gevolgen. Cebeon raamt </w:t>
      </w:r>
      <w:r w:rsidRPr="00EC6A92" w:rsidR="00EC6A92">
        <w:t>de eenmalige kosten voor de invoering van het Ingebruiknamebesluit op circa 0,9 miljoen euro.</w:t>
      </w:r>
      <w:r w:rsidR="00EC6A92">
        <w:t xml:space="preserve"> </w:t>
      </w:r>
      <w:r w:rsidRPr="00EC6A92" w:rsidR="00EC6A92">
        <w:t>De raming van het total</w:t>
      </w:r>
      <w:r w:rsidR="00EC6A92">
        <w:t>e</w:t>
      </w:r>
      <w:r w:rsidRPr="00EC6A92" w:rsidR="00EC6A92">
        <w:t xml:space="preserve"> </w:t>
      </w:r>
      <w:r w:rsidRPr="00EC6A92" w:rsidR="006672BE">
        <w:t>financiël</w:t>
      </w:r>
      <w:r w:rsidR="006672BE">
        <w:t>e</w:t>
      </w:r>
      <w:r w:rsidRPr="00EC6A92" w:rsidR="00EC6A92">
        <w:t xml:space="preserve"> effect van</w:t>
      </w:r>
      <w:r w:rsidR="00EC6A92">
        <w:t xml:space="preserve"> dit besluit </w:t>
      </w:r>
      <w:r w:rsidRPr="00EC6A92" w:rsidR="00EC6A92">
        <w:t>komt uit op een kostenverlaging van circa 225.000 euro per jaar</w:t>
      </w:r>
      <w:r w:rsidR="00EC6A92">
        <w:t xml:space="preserve">. </w:t>
      </w:r>
      <w:r w:rsidRPr="00EC6A92" w:rsidR="00EC6A92">
        <w:t xml:space="preserve">Als maximaal gebruik wordt gemaakt van de mogelijkheid om leges te heffen </w:t>
      </w:r>
      <w:r w:rsidR="00EC6A92">
        <w:t>voor het opleggen van een maatwerkvoorschrift</w:t>
      </w:r>
      <w:r w:rsidRPr="00EC6A92" w:rsidR="00EC6A92">
        <w:t xml:space="preserve">, bedragen de geraamde legesinkomsten circa 1,2 miljoen euro </w:t>
      </w:r>
      <w:r w:rsidR="00EC6A92">
        <w:t>per jaar</w:t>
      </w:r>
      <w:r w:rsidRPr="00EC6A92" w:rsidR="00EC6A92">
        <w:t xml:space="preserve">. Dat leidt dan tot een geraamd </w:t>
      </w:r>
      <w:r w:rsidR="00C951BC">
        <w:t xml:space="preserve">positief financieel effect </w:t>
      </w:r>
      <w:r w:rsidRPr="00EC6A92" w:rsidR="00EC6A92">
        <w:t>van circa 1,4 miljoen euro</w:t>
      </w:r>
      <w:r w:rsidR="00EC6A92">
        <w:t xml:space="preserve"> per jaar</w:t>
      </w:r>
      <w:r w:rsidRPr="00EC6A92" w:rsidR="00EC6A92">
        <w:t>.</w:t>
      </w:r>
    </w:p>
    <w:p w:rsidR="00B819F0" w:rsidP="00FE359A" w14:paraId="3ACC6CEB" w14:textId="77777777">
      <w:pPr>
        <w:spacing w:before="120" w:after="120" w:line="276" w:lineRule="auto"/>
        <w:rPr>
          <w:b/>
          <w:bCs/>
        </w:rPr>
      </w:pPr>
    </w:p>
    <w:p w:rsidRPr="00CC1BE2" w:rsidR="00FE359A" w:rsidP="00FE359A" w14:paraId="63416577" w14:textId="0EED25B6">
      <w:pPr>
        <w:spacing w:before="120" w:after="120" w:line="276" w:lineRule="auto"/>
        <w:rPr>
          <w:b/>
          <w:bCs/>
        </w:rPr>
      </w:pPr>
      <w:r>
        <w:rPr>
          <w:b/>
          <w:bCs/>
        </w:rPr>
        <w:t>4</w:t>
      </w:r>
      <w:r w:rsidRPr="00CC1BE2">
        <w:rPr>
          <w:b/>
          <w:bCs/>
        </w:rPr>
        <w:t>. Toezicht en handhaving</w:t>
      </w:r>
    </w:p>
    <w:p w:rsidRPr="00FE359A" w:rsidR="00FE359A" w:rsidP="00FE359A" w14:paraId="5EDE683D" w14:textId="3842C6CC">
      <w:pPr>
        <w:spacing w:before="120" w:after="120" w:line="276" w:lineRule="auto"/>
      </w:pPr>
      <w:r w:rsidRPr="00FE359A">
        <w:t xml:space="preserve">Het toezicht op </w:t>
      </w:r>
      <w:r w:rsidR="00F36B4E">
        <w:t xml:space="preserve">de naleving </w:t>
      </w:r>
      <w:r w:rsidRPr="00FE359A">
        <w:t xml:space="preserve">en de handhaving van de betreffende eisen uit het Bbl worden primair uitgevoerd door de gemeente. Zij beschikken hiertoe over de bestuursrechtelijke handhavingsbevoegdheden zoals opgenomen in de Omgevingswet en de Algemene wet bestuursrecht. </w:t>
      </w:r>
    </w:p>
    <w:p w:rsidR="00FE359A" w:rsidP="00FE359A" w14:paraId="7CEC4241" w14:textId="2CAA7018">
      <w:pPr>
        <w:spacing w:before="120" w:after="120" w:line="276" w:lineRule="auto"/>
      </w:pPr>
      <w:r w:rsidRPr="00FE359A">
        <w:t>Dit wijzigingsbesluit voegt</w:t>
      </w:r>
      <w:r w:rsidR="00AD1045">
        <w:t xml:space="preserve"> </w:t>
      </w:r>
      <w:r w:rsidR="00085F6E">
        <w:t>daarom</w:t>
      </w:r>
      <w:r w:rsidR="00AD1045">
        <w:t xml:space="preserve"> geen nieuwe bevoegdheden in het kader van toezicht en handhaving toe.</w:t>
      </w:r>
      <w:r w:rsidRPr="00FE359A" w:rsidR="00AD1045">
        <w:t xml:space="preserve"> </w:t>
      </w:r>
      <w:r w:rsidRPr="00FE359A">
        <w:t xml:space="preserve">Gemeenten hebben beleidsruimte met betrekking tot de wijze waarop zij invulling geven aan het toezicht en de handhaving van de eisen uit het Bbl. Dit geldt ook voor de in dit besluit opgenomen nieuwe of gewijzigde eisen. </w:t>
      </w:r>
    </w:p>
    <w:p w:rsidR="00FE359A" w:rsidP="00FE359A" w14:paraId="2A330131" w14:textId="4EC7403F">
      <w:pPr>
        <w:spacing w:before="120" w:after="120" w:line="276" w:lineRule="auto"/>
      </w:pPr>
      <w:r>
        <w:t xml:space="preserve">Bij de voorbereiding van het besluit kan het bevoegd gezag gebruik maken van de door een kwaliteitsborger op grond van artikel 3.86 van het Bkl verstrekte informatie. </w:t>
      </w:r>
    </w:p>
    <w:p w:rsidRPr="00FE359A" w:rsidR="00E367D6" w:rsidP="00FE359A" w14:paraId="77BD9E6B" w14:textId="77777777">
      <w:pPr>
        <w:spacing w:before="120" w:after="120" w:line="276" w:lineRule="auto"/>
      </w:pPr>
    </w:p>
    <w:p w:rsidRPr="00CC1BE2" w:rsidR="00FE359A" w:rsidP="00FE359A" w14:paraId="755CAB5B" w14:textId="6938270C">
      <w:pPr>
        <w:spacing w:before="120" w:after="120" w:line="276" w:lineRule="auto"/>
        <w:rPr>
          <w:b/>
          <w:bCs/>
        </w:rPr>
      </w:pPr>
      <w:r>
        <w:rPr>
          <w:b/>
          <w:bCs/>
        </w:rPr>
        <w:t>5</w:t>
      </w:r>
      <w:r w:rsidRPr="00CC1BE2">
        <w:rPr>
          <w:b/>
          <w:bCs/>
        </w:rPr>
        <w:t>. Advies en consultatie</w:t>
      </w:r>
    </w:p>
    <w:p w:rsidRPr="00FE359A" w:rsidR="00FE359A" w:rsidP="00FE359A" w14:paraId="7F26C050" w14:textId="5660AD9B">
      <w:pPr>
        <w:spacing w:before="120" w:after="120" w:line="276" w:lineRule="auto"/>
        <w:rPr>
          <w:i/>
        </w:rPr>
      </w:pPr>
      <w:r>
        <w:rPr>
          <w:i/>
        </w:rPr>
        <w:t>5</w:t>
      </w:r>
      <w:r w:rsidRPr="00FE359A">
        <w:rPr>
          <w:i/>
        </w:rPr>
        <w:t>.1 JTC en OPB</w:t>
      </w:r>
    </w:p>
    <w:p w:rsidRPr="00FE359A" w:rsidR="00FE359A" w:rsidP="00FE359A" w14:paraId="57F741B1" w14:textId="5AA8EF15">
      <w:pPr>
        <w:spacing w:before="120" w:after="120" w:line="276" w:lineRule="auto"/>
      </w:pPr>
      <w:r w:rsidRPr="00FE359A">
        <w:t xml:space="preserve">De voorgenomen wijzigingen in dit besluit zijn </w:t>
      </w:r>
      <w:r w:rsidR="00DC15F9">
        <w:t>besproken i</w:t>
      </w:r>
      <w:r w:rsidRPr="00FE359A">
        <w:t xml:space="preserve">n het Overlegplatform Bouwregelgeving (OPB). Een grote diversiteit aan partijen neemt deel aan </w:t>
      </w:r>
      <w:r w:rsidR="00DC15F9">
        <w:t>dit</w:t>
      </w:r>
      <w:r w:rsidRPr="00FE359A">
        <w:t xml:space="preserve"> overlegplatform: de ontwerpende, toeleverende en uitvoerende bouw, vertegenwoordigers van de gebruikers en eigenaren van gebouwen en andere belangenorganisaties. </w:t>
      </w:r>
    </w:p>
    <w:p w:rsidR="00FE359A" w:rsidP="00FE359A" w14:paraId="6F7694F1" w14:textId="3B1B5354">
      <w:pPr>
        <w:spacing w:before="120" w:after="120" w:line="276" w:lineRule="auto"/>
      </w:pPr>
      <w:r w:rsidRPr="00FE359A">
        <w:t xml:space="preserve">Het OPB heeft in zijn vergadering van </w:t>
      </w:r>
      <w:r w:rsidR="00AD1045">
        <w:t xml:space="preserve">15 december 2023 het </w:t>
      </w:r>
      <w:r w:rsidR="00AF7F61">
        <w:t xml:space="preserve">voorstel voor introductie van een </w:t>
      </w:r>
      <w:r w:rsidR="00AD1045">
        <w:t>ingebruiknamebesluit besproken. De vragen naar aanleiding van dat overleg zijn schriftelijk teruggekoppeld.</w:t>
      </w:r>
      <w:r w:rsidRPr="00FE359A" w:rsidR="00AD1045">
        <w:t xml:space="preserve"> </w:t>
      </w:r>
      <w:r w:rsidR="00AD1045">
        <w:t>Naar aanleiding daarvan heeft het OPB geen reden gezien aanvullende opmerkingen met betrekking tot dit voorstel te maken.</w:t>
      </w:r>
    </w:p>
    <w:p w:rsidRPr="00FE359A" w:rsidR="007E7DA5" w:rsidP="00FE359A" w14:paraId="2B9F7B7C" w14:textId="77777777">
      <w:pPr>
        <w:spacing w:before="120" w:after="120" w:line="276" w:lineRule="auto"/>
      </w:pPr>
    </w:p>
    <w:p w:rsidRPr="00FE359A" w:rsidR="00FE359A" w:rsidP="00FE359A" w14:paraId="5D41EC39" w14:textId="40ECF541">
      <w:pPr>
        <w:spacing w:before="120" w:after="120" w:line="276" w:lineRule="auto"/>
        <w:rPr>
          <w:i/>
        </w:rPr>
      </w:pPr>
      <w:r w:rsidRPr="0081410C">
        <w:rPr>
          <w:i/>
        </w:rPr>
        <w:t>5</w:t>
      </w:r>
      <w:r w:rsidRPr="0081410C" w:rsidR="003F249E">
        <w:rPr>
          <w:i/>
        </w:rPr>
        <w:t>.2</w:t>
      </w:r>
      <w:r w:rsidRPr="0081410C">
        <w:rPr>
          <w:i/>
        </w:rPr>
        <w:t xml:space="preserve"> Internetconsultatie</w:t>
      </w:r>
    </w:p>
    <w:p w:rsidRPr="00FE359A" w:rsidR="00FE359A" w:rsidP="00FE359A" w14:paraId="4510415D" w14:textId="3BF89AB4">
      <w:pPr>
        <w:spacing w:before="120" w:after="120" w:line="276" w:lineRule="auto"/>
      </w:pPr>
      <w:r w:rsidRPr="00FE359A">
        <w:t xml:space="preserve">Op </w:t>
      </w:r>
      <w:r w:rsidR="007D005F">
        <w:t>26 maart 2024</w:t>
      </w:r>
      <w:r w:rsidRPr="00FE359A">
        <w:t xml:space="preserve"> is het ontwerpbesluit voor consultatie op www.internetconsultatie.nl gepubliceerd waarbij eenieder de gelegenheid is geboden te reageren. </w:t>
      </w:r>
      <w:r w:rsidR="007D005F">
        <w:t>In totaal zijn 13 reacties ontvangen.</w:t>
      </w:r>
    </w:p>
    <w:p w:rsidR="00085F6E" w:rsidP="00FE359A" w14:paraId="68779442" w14:textId="1CF80B86">
      <w:pPr>
        <w:spacing w:before="120" w:after="120" w:line="276" w:lineRule="auto"/>
      </w:pPr>
      <w:r>
        <w:t xml:space="preserve">Een deel van de reacties heeft betrekking op de mate waarin het bevoegd gezag in staat is </w:t>
      </w:r>
      <w:r w:rsidR="00E00933">
        <w:t xml:space="preserve">en beleidsvrijheid heeft </w:t>
      </w:r>
      <w:r>
        <w:t>om te bepalen of herstel vorderen al dan niet onevenredig is in verhouding tot de oogmerken van de regels waaraan niet wordt voldaan. Voor het bevoegd</w:t>
      </w:r>
      <w:r w:rsidR="008B11CC">
        <w:t xml:space="preserve"> gezag</w:t>
      </w:r>
      <w:r>
        <w:t xml:space="preserve"> is dit echter geen nieuwe taak, ook tot op heden moet een dergelijke afweging regelmatig worden gemaakt. In dat kader wordt </w:t>
      </w:r>
      <w:r w:rsidR="00E00933">
        <w:t>ook</w:t>
      </w:r>
      <w:r>
        <w:t xml:space="preserve"> verwezen naar de handreiking van de VNG </w:t>
      </w:r>
      <w:r w:rsidR="00E00933">
        <w:t>over</w:t>
      </w:r>
      <w:r>
        <w:t xml:space="preserve"> </w:t>
      </w:r>
      <w:r w:rsidR="008B11CC">
        <w:t xml:space="preserve">toezicht en </w:t>
      </w:r>
      <w:r>
        <w:t>handhaving onder de Wkb.</w:t>
      </w:r>
      <w:r w:rsidR="00E00933">
        <w:t xml:space="preserve"> </w:t>
      </w:r>
    </w:p>
    <w:p w:rsidR="00085F6E" w:rsidP="00FE359A" w14:paraId="3DFCF87E" w14:textId="383F0D7A">
      <w:pPr>
        <w:spacing w:before="120" w:after="120" w:line="276" w:lineRule="auto"/>
      </w:pPr>
      <w:r>
        <w:t xml:space="preserve">Een aantal respondenten vraagt zich af in hoeverre het </w:t>
      </w:r>
      <w:r w:rsidR="00161908">
        <w:t xml:space="preserve">stellen </w:t>
      </w:r>
      <w:r>
        <w:t xml:space="preserve">van een maatwerkvoorschrift in de weg staat aan </w:t>
      </w:r>
      <w:r w:rsidR="00C978C6">
        <w:t xml:space="preserve">het mogelijk verhalen van schade langs privaatrechtelijke weg. Het feit dat het bevoegd gezag toestaat dat een bouwwerk op enkele punten niet aan de regels van het Bbl voldoet doet niets af aan de contractueel overeengekomen afspraken tussen opdrachtgever en opdrachtnemer. Wordt contractueel overeengekomen dat een bouwwerk na afronding aan de regels van het Bbl voldoet dan maakt het </w:t>
      </w:r>
      <w:r w:rsidR="00AB25F7">
        <w:t xml:space="preserve">stellen </w:t>
      </w:r>
      <w:r w:rsidR="00C978C6">
        <w:t>van het maatwerkvoorschrift dat een bouwwerk kan worden gereed</w:t>
      </w:r>
      <w:r w:rsidR="008B11CC">
        <w:t>ge</w:t>
      </w:r>
      <w:r w:rsidR="00C978C6">
        <w:t xml:space="preserve">meld niet dat daarmee ook aan de bouwregels van het Bbl is voldaan. </w:t>
      </w:r>
    </w:p>
    <w:p w:rsidR="00244FB2" w:rsidP="00FE359A" w14:paraId="7F1D2F4F" w14:textId="108E1B89">
      <w:pPr>
        <w:spacing w:before="120" w:after="120" w:line="276" w:lineRule="auto"/>
      </w:pPr>
      <w:r>
        <w:t xml:space="preserve">In de ter consultatie aangeboden versie was opgenomen dat een besluit door gemeenten aan de Toelatingsorganisatie Kwaliteitsborging Bouw (verder: TloKB) moet worden toegezonden. In reactie hierop vraagt de VNG om te bepalen dat de TloKB een openbaar register moet bijhouden zodat (toekomstige) eigenaren en gebruikers kunnen nagaan in hoeverre er bij de gereedmelding van een bouwwerk is afgeweken van de geldende regels. </w:t>
      </w:r>
      <w:r w:rsidR="00D501C6">
        <w:t xml:space="preserve">Aangezien de TloKB niet bevoegd en toegerust is tot het bijhouden van een dergelijk systeem is ter invulling van dit verzoek van de VNG aangesloten bij de Wet kenbaarheid publiekrechtelijke beperking onroerende zaken. </w:t>
      </w:r>
      <w:r w:rsidR="00AB25F7">
        <w:t>Op grond van die wet moeten g</w:t>
      </w:r>
      <w:r w:rsidR="00D501C6">
        <w:t xml:space="preserve">emeenten </w:t>
      </w:r>
      <w:r w:rsidR="00AB25F7">
        <w:t xml:space="preserve">de gestelde </w:t>
      </w:r>
      <w:r w:rsidR="00D501C6">
        <w:t>maatwerkvoorschriften aan het Kadaster aanbieden ter inschrijving in de openbare registers. Door die inschrijving worden de maatwerkvoorschriften voor eenieder kenbaar. Ter beperking van de lasten van gemeenten is de toezending aan de TloKB geschrapt.</w:t>
      </w:r>
    </w:p>
    <w:p w:rsidR="00244FB2" w:rsidP="00FE359A" w14:paraId="1989B8B8" w14:textId="3D2695E1">
      <w:pPr>
        <w:spacing w:before="120" w:after="120" w:line="276" w:lineRule="auto"/>
      </w:pPr>
      <w:r>
        <w:t>De VNG, een gemeente</w:t>
      </w:r>
      <w:r w:rsidR="00E00933">
        <w:t>, een omgevingsdienst</w:t>
      </w:r>
      <w:r>
        <w:t xml:space="preserve"> en een advocatenkantoor hebben gevraagd of een ingebruiknamebesluit/ maatwerkvoorschrift niet alleen op verzoek zou moeten worden opgelegd. </w:t>
      </w:r>
      <w:r w:rsidR="00D37571">
        <w:t>In de grondslag voor het maatwerkvoorschrift, artikel 2.16, is dit nadrukkelijk opgenomen in het tweede lid.</w:t>
      </w:r>
      <w:r w:rsidR="00CC44DE">
        <w:t xml:space="preserve"> </w:t>
      </w:r>
      <w:r w:rsidR="00E519B9">
        <w:t>Voor</w:t>
      </w:r>
      <w:r w:rsidR="00CC44DE">
        <w:t xml:space="preserve"> </w:t>
      </w:r>
      <w:r w:rsidR="00E519B9">
        <w:t xml:space="preserve">een </w:t>
      </w:r>
      <w:r w:rsidR="00CC44DE">
        <w:t xml:space="preserve">besluit op verzoek </w:t>
      </w:r>
      <w:r w:rsidR="00E519B9">
        <w:t>kunnen op grond van de Gemeentewet rechten worden geheven.</w:t>
      </w:r>
    </w:p>
    <w:p w:rsidR="00244FB2" w:rsidP="00FE359A" w14:paraId="2C219823" w14:textId="235A8508">
      <w:pPr>
        <w:spacing w:before="120" w:after="120" w:line="276" w:lineRule="auto"/>
      </w:pPr>
      <w:r>
        <w:t xml:space="preserve">De </w:t>
      </w:r>
      <w:r w:rsidRPr="00D37571" w:rsidR="00D37571">
        <w:t xml:space="preserve">VNG pleit er ook voor om afwijkingen die de brand- of constructieve veiligheid </w:t>
      </w:r>
      <w:r w:rsidR="00D37571">
        <w:t>betreffen</w:t>
      </w:r>
      <w:r w:rsidRPr="00D37571" w:rsidR="00D37571">
        <w:t xml:space="preserve"> of aspecten die de gezondheid raken</w:t>
      </w:r>
      <w:r w:rsidR="00D37571">
        <w:t xml:space="preserve"> uit te sluiten van het maatwerkvoorschrift</w:t>
      </w:r>
      <w:r w:rsidRPr="00D37571" w:rsidR="00D37571">
        <w:t xml:space="preserve">. </w:t>
      </w:r>
      <w:r w:rsidR="00D37571">
        <w:t xml:space="preserve">Brandweer Nederland vraagt hetzelfde voor het onderwerp brandveiligheid. </w:t>
      </w:r>
      <w:r w:rsidRPr="00D37571" w:rsidR="00D37571">
        <w:t xml:space="preserve">De wetgever erkent het belang van genoemde aspecten van de bouwregelgeving. Gezien het belang van de regels voor brand- en constructieve veiligheid en gezondheid zal bij dergelijke afwijkingen al snel het belang van toekomstige bewoners, gebruikers en derden zwaarder wegen, zodat </w:t>
      </w:r>
      <w:r w:rsidR="000717A8">
        <w:t>(</w:t>
      </w:r>
      <w:r w:rsidRPr="00D37571" w:rsidR="00D37571">
        <w:t xml:space="preserve">een verzoek om) een </w:t>
      </w:r>
      <w:r w:rsidR="00D37571">
        <w:t>maatwerkvoorschrift</w:t>
      </w:r>
      <w:r w:rsidRPr="00D37571" w:rsidR="00D37571">
        <w:t xml:space="preserve"> negatief zal uitpakken. Ook bij deze onderwerpen kan echter sprake zijn van een geringe afwijking van de regels waarbij herstel disproportioneel is. Gekozen </w:t>
      </w:r>
      <w:r w:rsidRPr="00D37571" w:rsidR="00D37571">
        <w:t xml:space="preserve">is daarom </w:t>
      </w:r>
      <w:r w:rsidR="00D501C6">
        <w:t>om de afweging om al dan niet maatwerk op te leggen voor alle onderwerpen van het Bbl bij het bevoegd gezag te laten</w:t>
      </w:r>
      <w:r w:rsidRPr="00D37571" w:rsidR="00D37571">
        <w:t>.</w:t>
      </w:r>
    </w:p>
    <w:p w:rsidR="00FD3229" w:rsidP="00FD3229" w14:paraId="7F79DDE6" w14:textId="22C5E8A3">
      <w:pPr>
        <w:spacing w:before="120" w:after="120" w:line="276" w:lineRule="auto"/>
      </w:pPr>
      <w:r>
        <w:t>De VNG vraagt welke alternatieve</w:t>
      </w:r>
      <w:r w:rsidR="00240A74">
        <w:t>n</w:t>
      </w:r>
      <w:r>
        <w:t xml:space="preserve"> voor een ing</w:t>
      </w:r>
      <w:r w:rsidR="00D501C6">
        <w:t>e</w:t>
      </w:r>
      <w:r>
        <w:t>b</w:t>
      </w:r>
      <w:r w:rsidR="00D501C6">
        <w:t>r</w:t>
      </w:r>
      <w:r>
        <w:t>uiknamebesluit/ maatwerkvoorschrift zijn overwogen. Dit betreft een drietal alternatieve mogelijkheden om in geval van een strijdigheid een bouwwerk toch in gebruik te mogen nemen.</w:t>
      </w:r>
    </w:p>
    <w:p w:rsidR="00FD3229" w:rsidP="00FD3229" w14:paraId="31DD7EFA" w14:textId="71CE2924">
      <w:pPr>
        <w:pStyle w:val="ListParagraph"/>
        <w:numPr>
          <w:ilvl w:val="0"/>
          <w:numId w:val="41"/>
        </w:numPr>
        <w:spacing w:before="120" w:after="120" w:line="276" w:lineRule="auto"/>
        <w:rPr>
          <w:rFonts w:ascii="Verdana" w:hAnsi="Verdana"/>
          <w:sz w:val="18"/>
          <w:szCs w:val="18"/>
        </w:rPr>
      </w:pPr>
      <w:r w:rsidRPr="00FD3229">
        <w:rPr>
          <w:rFonts w:ascii="Verdana" w:hAnsi="Verdana"/>
          <w:sz w:val="18"/>
          <w:szCs w:val="18"/>
        </w:rPr>
        <w:t xml:space="preserve">Het koppelen van een fatale termijn aan de reactie van het bevoegd gezag na de gereedmelding. Als er binnen 4 weken na gereedmelding geen reactie van het bevoegd gezag volgt dan mag een bouwwerk, ook bij het ontbreken van een verklaring, in gebruik worden genomen. Een dergelijke uitwerking was in een eerste consultatieversie van het Besluit kwaliteitsborging </w:t>
      </w:r>
      <w:r w:rsidR="00D501C6">
        <w:rPr>
          <w:rFonts w:ascii="Verdana" w:hAnsi="Verdana"/>
          <w:sz w:val="18"/>
          <w:szCs w:val="18"/>
        </w:rPr>
        <w:t xml:space="preserve">voor het bouwen </w:t>
      </w:r>
      <w:r w:rsidRPr="00FD3229">
        <w:rPr>
          <w:rFonts w:ascii="Verdana" w:hAnsi="Verdana"/>
          <w:sz w:val="18"/>
          <w:szCs w:val="18"/>
        </w:rPr>
        <w:t xml:space="preserve">voorzien. De rechtstreekse werking vanhet Bouwbesluit 2012 (nu Bbl) zou niet gelden doordat bij bouwen onder kwaliteitsborging het toenmalige artikel 1b Woningwet niet van toepassing zou zijn. Voor dit alternatief is niet gekozen omdat hiermee handhaving na gereedmelding alleen nog mogelijk is als een bouwwerk niet voldoet aan de regels voor bestaande bouw. Met betrekking tot duurzaamheid zouden hierdoor de facto geen eisen gesteld worden aan nieuwbouw. </w:t>
      </w:r>
    </w:p>
    <w:p w:rsidR="00FD3229" w:rsidP="00FD3229" w14:paraId="76268409" w14:textId="380CAA64">
      <w:pPr>
        <w:pStyle w:val="ListParagraph"/>
        <w:numPr>
          <w:ilvl w:val="0"/>
          <w:numId w:val="41"/>
        </w:numPr>
        <w:spacing w:before="120" w:after="120" w:line="276" w:lineRule="auto"/>
        <w:rPr>
          <w:rFonts w:ascii="Verdana" w:hAnsi="Verdana"/>
          <w:sz w:val="18"/>
          <w:szCs w:val="18"/>
        </w:rPr>
      </w:pPr>
      <w:r w:rsidRPr="00FD3229">
        <w:rPr>
          <w:rFonts w:ascii="Verdana" w:hAnsi="Verdana"/>
          <w:sz w:val="18"/>
          <w:szCs w:val="18"/>
        </w:rPr>
        <w:t xml:space="preserve">Het introduceren van de mogelijkheid om de kwaliteitsborger te laten bepalen in welke gevallen een strijdigheid al dan niet acceptabel is. </w:t>
      </w:r>
      <w:r w:rsidR="00D501C6">
        <w:rPr>
          <w:rFonts w:ascii="Verdana" w:hAnsi="Verdana"/>
          <w:sz w:val="18"/>
          <w:szCs w:val="18"/>
        </w:rPr>
        <w:t>Deze</w:t>
      </w:r>
      <w:r>
        <w:rPr>
          <w:rFonts w:ascii="Verdana" w:hAnsi="Verdana"/>
          <w:sz w:val="18"/>
          <w:szCs w:val="18"/>
        </w:rPr>
        <w:t xml:space="preserve"> optie </w:t>
      </w:r>
      <w:r w:rsidR="00D501C6">
        <w:rPr>
          <w:rFonts w:ascii="Verdana" w:hAnsi="Verdana"/>
          <w:sz w:val="18"/>
          <w:szCs w:val="18"/>
        </w:rPr>
        <w:t xml:space="preserve">is </w:t>
      </w:r>
      <w:r>
        <w:rPr>
          <w:rFonts w:ascii="Verdana" w:hAnsi="Verdana"/>
          <w:sz w:val="18"/>
          <w:szCs w:val="18"/>
        </w:rPr>
        <w:t xml:space="preserve">ook door een advocaat in de consultatie gevraagd. </w:t>
      </w:r>
      <w:r w:rsidRPr="00FD3229">
        <w:rPr>
          <w:rFonts w:ascii="Verdana" w:hAnsi="Verdana"/>
          <w:sz w:val="18"/>
          <w:szCs w:val="18"/>
        </w:rPr>
        <w:t>Los van het feit dat een kwaliteitsborger daarmee met gezag bekleed zou moeten worden, past dit niet bij de taakverdeling tussen kwaliteitsborger en bevoegd gezag. Het is aan de kwaliteitsborger om te registreren en aan het bevoegd gezag te oordelen over de eventuele toelaatbaarheid van een strijdigheid.</w:t>
      </w:r>
    </w:p>
    <w:p w:rsidRPr="001C2F35" w:rsidR="001C2F35" w:rsidP="001C2F35" w14:paraId="096B6A40" w14:textId="710063F1">
      <w:pPr>
        <w:pStyle w:val="ListParagraph"/>
        <w:numPr>
          <w:ilvl w:val="0"/>
          <w:numId w:val="41"/>
        </w:numPr>
        <w:spacing w:before="120" w:after="120" w:line="276" w:lineRule="auto"/>
        <w:rPr>
          <w:rFonts w:ascii="Verdana" w:hAnsi="Verdana"/>
          <w:sz w:val="18"/>
          <w:szCs w:val="18"/>
        </w:rPr>
      </w:pPr>
      <w:r>
        <w:rPr>
          <w:rFonts w:ascii="Verdana" w:hAnsi="Verdana"/>
          <w:sz w:val="18"/>
          <w:szCs w:val="18"/>
        </w:rPr>
        <w:t>Als variant hierop stellen de G4 en de Vereniging Bouw- en Woningtoezicht Nederland voor om de kwaliteitsborger aan te laten geven</w:t>
      </w:r>
      <w:r w:rsidRPr="001C2F35">
        <w:rPr>
          <w:rFonts w:ascii="Verdana" w:hAnsi="Verdana"/>
          <w:sz w:val="18"/>
          <w:szCs w:val="18"/>
        </w:rPr>
        <w:t xml:space="preserve"> hoe (op gelijkwaardige wijze) aan de regel(s) van het Bbl kan worden voldaan</w:t>
      </w:r>
      <w:r>
        <w:rPr>
          <w:rFonts w:ascii="Verdana" w:hAnsi="Verdana"/>
          <w:sz w:val="18"/>
          <w:szCs w:val="18"/>
        </w:rPr>
        <w:t xml:space="preserve">. Deze mogelijkheid bestaat echter al </w:t>
      </w:r>
      <w:r w:rsidR="009324D0">
        <w:rPr>
          <w:rFonts w:ascii="Verdana" w:hAnsi="Verdana"/>
          <w:sz w:val="18"/>
          <w:szCs w:val="18"/>
        </w:rPr>
        <w:t>binnen het huidige stelsel; daar waar sprake is van een gelijkwaardige maatregel kan een kwaliteitsborger een verklaring afgeven onder voorwaarde dat de geli</w:t>
      </w:r>
      <w:r w:rsidR="000717A8">
        <w:rPr>
          <w:rFonts w:ascii="Verdana" w:hAnsi="Verdana"/>
          <w:sz w:val="18"/>
          <w:szCs w:val="18"/>
        </w:rPr>
        <w:t>j</w:t>
      </w:r>
      <w:r w:rsidR="009324D0">
        <w:rPr>
          <w:rFonts w:ascii="Verdana" w:hAnsi="Verdana"/>
          <w:sz w:val="18"/>
          <w:szCs w:val="18"/>
        </w:rPr>
        <w:t>kwaardige maatregel in het dossier bevoegd gezag wordt opgenomen.</w:t>
      </w:r>
      <w:r>
        <w:rPr>
          <w:rStyle w:val="FootnoteReference"/>
          <w:rFonts w:ascii="Verdana" w:hAnsi="Verdana"/>
          <w:sz w:val="18"/>
          <w:szCs w:val="18"/>
        </w:rPr>
        <w:footnoteReference w:id="6"/>
      </w:r>
      <w:r w:rsidR="009324D0">
        <w:rPr>
          <w:rFonts w:ascii="Verdana" w:hAnsi="Verdana"/>
          <w:sz w:val="18"/>
          <w:szCs w:val="18"/>
        </w:rPr>
        <w:t xml:space="preserve"> De mogelijkheid tot het stellen van maatwerk is nu juist bedoeld voor die situaties dat er geen sprake is van gelijkwaardigheid.</w:t>
      </w:r>
    </w:p>
    <w:p w:rsidRPr="00FD3229" w:rsidR="00FD3229" w:rsidP="00FD3229" w14:paraId="4D27422E" w14:textId="3F63B3DF">
      <w:pPr>
        <w:pStyle w:val="ListParagraph"/>
        <w:numPr>
          <w:ilvl w:val="0"/>
          <w:numId w:val="41"/>
        </w:numPr>
        <w:spacing w:before="120" w:after="120" w:line="276" w:lineRule="auto"/>
        <w:rPr>
          <w:rFonts w:ascii="Verdana" w:hAnsi="Verdana"/>
          <w:sz w:val="18"/>
          <w:szCs w:val="18"/>
        </w:rPr>
      </w:pPr>
      <w:r w:rsidRPr="00FD3229">
        <w:rPr>
          <w:rFonts w:ascii="Verdana" w:hAnsi="Verdana"/>
          <w:sz w:val="18"/>
          <w:szCs w:val="18"/>
        </w:rPr>
        <w:t xml:space="preserve">Het introduceren van een verklaring onder voorwaarden. Voldoet een bouwactiviteit bij afronding niet aan de regels dan stelt de kwaliteitsborger een verklaring op onder voorbehoud van de nog aanwezige strijdigheid. Het bevoegd gezag zou op basis van de gereedmelding kunnen besluiten om gebruik al dan niet toe te staan. Bij dit alternatief kan een kwaliteitsborger dus een verklaring verstrekken dat een bouwactiviteit voldoet en een verklaring dat een bouwactiviteit niet voldoet. Dit leidt mogelijk tot verwarring en doet afbreuk aan het uitgangspunt dat een bouwactiviteit aan de regels </w:t>
      </w:r>
      <w:r w:rsidR="00D501C6">
        <w:rPr>
          <w:rFonts w:ascii="Verdana" w:hAnsi="Verdana"/>
          <w:sz w:val="18"/>
          <w:szCs w:val="18"/>
        </w:rPr>
        <w:t>vol</w:t>
      </w:r>
      <w:r w:rsidRPr="00FD3229">
        <w:rPr>
          <w:rFonts w:ascii="Verdana" w:hAnsi="Verdana"/>
          <w:sz w:val="18"/>
          <w:szCs w:val="18"/>
        </w:rPr>
        <w:t>doet bij gereedmelding. Niet voldoen aan de regels is een uitzondering op de regels en wordt ingevuld met de informatieplicht in artikel 3.86 Bkl. Materieel gezien is dezelfde informatie aanwezig</w:t>
      </w:r>
      <w:r w:rsidR="000717A8">
        <w:rPr>
          <w:rFonts w:ascii="Verdana" w:hAnsi="Verdana"/>
          <w:sz w:val="18"/>
          <w:szCs w:val="18"/>
        </w:rPr>
        <w:t>,</w:t>
      </w:r>
      <w:r w:rsidRPr="00FD3229">
        <w:rPr>
          <w:rFonts w:ascii="Verdana" w:hAnsi="Verdana"/>
          <w:sz w:val="18"/>
          <w:szCs w:val="18"/>
        </w:rPr>
        <w:t xml:space="preserve"> maar het </w:t>
      </w:r>
      <w:r w:rsidRPr="00FD3229" w:rsidR="00D501C6">
        <w:rPr>
          <w:rFonts w:ascii="Verdana" w:hAnsi="Verdana"/>
          <w:sz w:val="18"/>
          <w:szCs w:val="18"/>
        </w:rPr>
        <w:t>blijft</w:t>
      </w:r>
      <w:r w:rsidRPr="00FD3229">
        <w:rPr>
          <w:rFonts w:ascii="Verdana" w:hAnsi="Verdana"/>
          <w:sz w:val="18"/>
          <w:szCs w:val="18"/>
        </w:rPr>
        <w:t xml:space="preserve"> helder dat er niet aan de regels is voldaan als er geen verklaring is.</w:t>
      </w:r>
    </w:p>
    <w:p w:rsidR="00CC44DE" w:rsidP="00FE359A" w14:paraId="68DEFB35" w14:textId="3FD68AAF">
      <w:pPr>
        <w:spacing w:before="120" w:after="120" w:line="276" w:lineRule="auto"/>
      </w:pPr>
      <w:r w:rsidRPr="00CC44DE">
        <w:t>VNG heeft aangegeven dat het van belang is dat gemeenten moet</w:t>
      </w:r>
      <w:r w:rsidR="00D501C6">
        <w:t>en</w:t>
      </w:r>
      <w:r w:rsidRPr="00CC44DE">
        <w:t xml:space="preserve"> kunnen nagaan of een kwaliteitsborger is ingehuurd voor het project waarvoor een ingebruiknamebesluit wordt verzocht. Hiervoor kunnen zij zowel de instrumentaanbieder als de </w:t>
      </w:r>
      <w:r w:rsidRPr="00CC44DE">
        <w:t xml:space="preserve">kwaliteitsborger benaderen. Een extra waarborg hiervoor is </w:t>
      </w:r>
      <w:r w:rsidR="000717A8">
        <w:t>dat de</w:t>
      </w:r>
      <w:r w:rsidR="0081410C">
        <w:t xml:space="preserve"> </w:t>
      </w:r>
      <w:r w:rsidRPr="00CC44DE">
        <w:t>kwaliteitsborger</w:t>
      </w:r>
      <w:r w:rsidR="0081410C">
        <w:t xml:space="preserve"> </w:t>
      </w:r>
      <w:r w:rsidRPr="00CC44DE">
        <w:t>onverwijld melding</w:t>
      </w:r>
      <w:r w:rsidR="000717A8">
        <w:t xml:space="preserve"> moet</w:t>
      </w:r>
      <w:r w:rsidRPr="00CC44DE">
        <w:t xml:space="preserve"> maken bij onder meer het bevoegd gezag </w:t>
      </w:r>
      <w:r w:rsidRPr="00CC44DE" w:rsidR="00085F6E">
        <w:t>als</w:t>
      </w:r>
      <w:r w:rsidRPr="00CC44DE">
        <w:t xml:space="preserve"> er sprake is van strijdigheden die een verklaring in de weg staan. </w:t>
      </w:r>
    </w:p>
    <w:p w:rsidR="00244FB2" w:rsidP="00FE359A" w14:paraId="7C6FC2A9" w14:textId="53B34DCC">
      <w:pPr>
        <w:spacing w:before="120" w:after="120" w:line="276" w:lineRule="auto"/>
      </w:pPr>
      <w:r>
        <w:t>Brandweer Nederland vraagt in hoeverre de mogelijkheid geboden kan worden om aan een maatwerkvoorschrift aanvullende regels tot het treffen van maatregel</w:t>
      </w:r>
      <w:r w:rsidR="00D501C6">
        <w:t>en</w:t>
      </w:r>
      <w:r>
        <w:t xml:space="preserve"> </w:t>
      </w:r>
      <w:r w:rsidR="00D501C6">
        <w:t>te verbinden</w:t>
      </w:r>
      <w:r>
        <w:t xml:space="preserve">. </w:t>
      </w:r>
      <w:r w:rsidRPr="007301A8" w:rsidR="007301A8">
        <w:t xml:space="preserve">Artikel 2.21a </w:t>
      </w:r>
      <w:r w:rsidR="000717A8">
        <w:t xml:space="preserve">van het Bbl </w:t>
      </w:r>
      <w:r w:rsidRPr="007301A8" w:rsidR="007301A8">
        <w:t>(afbakening maatwerkvoorschrift ingebruikname)</w:t>
      </w:r>
      <w:r w:rsidR="007301A8">
        <w:t xml:space="preserve"> voorziet nadrukkelijk niet in deze mogelijkheid. </w:t>
      </w:r>
      <w:r w:rsidR="00FD3229">
        <w:t>Eventueel te herstellen strijdigheden zullen moeten worden hersteld voordat een verzoek om maatwerk kan worden ingediend.</w:t>
      </w:r>
    </w:p>
    <w:p w:rsidR="00E54374" w:rsidP="00FE359A" w14:paraId="78D9F3B0" w14:textId="6B3FB0BD">
      <w:pPr>
        <w:spacing w:before="120" w:after="120" w:line="276" w:lineRule="auto"/>
        <w:rPr>
          <w:b/>
          <w:bCs/>
        </w:rPr>
      </w:pPr>
      <w:r>
        <w:t xml:space="preserve">Diverse partijen hebben opmerkingen gemaakt over de inschatting van het aantal gevallen waarin initiatiefnemers </w:t>
      </w:r>
      <w:r w:rsidR="000717A8">
        <w:t xml:space="preserve">zullen </w:t>
      </w:r>
      <w:r>
        <w:t>vragen om een besluit</w:t>
      </w:r>
      <w:r w:rsidR="00553A12">
        <w:t xml:space="preserve"> tot </w:t>
      </w:r>
      <w:r w:rsidR="00161908">
        <w:t xml:space="preserve">het stellen </w:t>
      </w:r>
      <w:r w:rsidR="00553A12">
        <w:t>van maatwerkvoorschriften</w:t>
      </w:r>
      <w:r>
        <w:t xml:space="preserve">. Voor de inschatting daarvan in het ontwerpbesluit was abusievelijk uitgegaan van een schatting van het aantal gevallen waarin het bevoegd gezag positief zou kunnen besluiten op een verzoek om maatwerkvoorschriften. </w:t>
      </w:r>
      <w:r w:rsidR="00085F6E">
        <w:t>Dit is aangepast naar een schatting van het aantal gevallen waarin een verzoek om maatwerkvoorschriften wordt gedaan. Hierbij is uitgegaan van 10%. In de proefprojecten is weliswaar sprake van een hoger percentage</w:t>
      </w:r>
      <w:r w:rsidR="000717A8">
        <w:t>,</w:t>
      </w:r>
      <w:r w:rsidR="00085F6E">
        <w:t xml:space="preserve"> maar het merendeel betrof daar het ontbreken van documenten in het dossier bevoegd gezag. Dergelijke situaties komen niet in aanmerking voor een verzoek tot </w:t>
      </w:r>
      <w:r w:rsidR="00161908">
        <w:t xml:space="preserve">het stellen </w:t>
      </w:r>
      <w:r w:rsidR="00085F6E">
        <w:t>van maatwerkvoorschriften.</w:t>
      </w:r>
    </w:p>
    <w:p w:rsidR="00CC44DE" w:rsidP="00FE359A" w14:paraId="0BCB87AC" w14:textId="6818E84A">
      <w:pPr>
        <w:spacing w:before="120" w:after="120" w:line="276" w:lineRule="auto"/>
      </w:pPr>
      <w:r>
        <w:t xml:space="preserve">Diverse partijen hebben vragen gesteld over </w:t>
      </w:r>
      <w:r w:rsidR="007D005F">
        <w:t xml:space="preserve">het ontbreken van </w:t>
      </w:r>
      <w:r>
        <w:t xml:space="preserve">aanvullende regels </w:t>
      </w:r>
      <w:r w:rsidR="007D005F">
        <w:t>met betrekking tot</w:t>
      </w:r>
      <w:r>
        <w:t xml:space="preserve"> beslistermijnen, publicatie van besluiten en de reikwijdte van de onderzoeksplicht van </w:t>
      </w:r>
      <w:r w:rsidR="007E28FD">
        <w:t xml:space="preserve">het bevoegd gezag </w:t>
      </w:r>
      <w:r>
        <w:t xml:space="preserve">ter voorbereiding </w:t>
      </w:r>
      <w:r w:rsidR="007E28FD">
        <w:t xml:space="preserve">op </w:t>
      </w:r>
      <w:r>
        <w:t>een besluit</w:t>
      </w:r>
      <w:r w:rsidR="00E54374">
        <w:t xml:space="preserve"> en de mogelijkheid voor het bevoegd gezag om aanvullende informatie op te vragen</w:t>
      </w:r>
      <w:r>
        <w:t xml:space="preserve">. Deze onderwerpen zijn niet meegenomen in deze wijziging aangezien hierin al voorzien </w:t>
      </w:r>
      <w:r w:rsidR="000717A8">
        <w:t>in</w:t>
      </w:r>
      <w:r>
        <w:t xml:space="preserve"> de Algemene wet bestuursrecht</w:t>
      </w:r>
      <w:r w:rsidR="000717A8">
        <w:t xml:space="preserve"> (hierna: Awb)</w:t>
      </w:r>
      <w:r>
        <w:t>.</w:t>
      </w:r>
      <w:r w:rsidR="00E00933">
        <w:t xml:space="preserve"> Zo is op een verzoek om maatwerkvoorschiften de redelijke termijn, zoals bedoeld in artikel 4:13 </w:t>
      </w:r>
      <w:r w:rsidR="000717A8">
        <w:t xml:space="preserve">van de </w:t>
      </w:r>
      <w:r w:rsidR="00E00933">
        <w:t>A</w:t>
      </w:r>
      <w:r w:rsidR="000717A8">
        <w:t>wb</w:t>
      </w:r>
      <w:r w:rsidR="00E00933">
        <w:t xml:space="preserve"> van toepassing.</w:t>
      </w:r>
    </w:p>
    <w:p w:rsidRPr="00CC44DE" w:rsidR="001C2F35" w:rsidP="00FE359A" w14:paraId="7A1CB69E" w14:textId="090F4D37">
      <w:pPr>
        <w:spacing w:before="120" w:after="120" w:line="276" w:lineRule="auto"/>
      </w:pPr>
      <w:r>
        <w:t>Een groot deel van de respondenten</w:t>
      </w:r>
      <w:r w:rsidR="009324D0">
        <w:t>, waaronder de VNG, de G4, de vereniging Bouw- en Woningtoezicht Nederland en de Vereniging Eigen Huis,</w:t>
      </w:r>
      <w:r>
        <w:t xml:space="preserve"> vraagt om duidelijkheid over zogenoemde deelleveringen of wel het gefaseerd in gebruik nemen van bouwwerken </w:t>
      </w:r>
      <w:r w:rsidR="000717A8">
        <w:t xml:space="preserve">die zijn </w:t>
      </w:r>
      <w:r>
        <w:t>opgenomen in een bouwmelding. Hieraan wordt tegemoetgekomen door een redactionele aanpassing en aanvulling van artikel 2.21. Hierdoor wordt verduidelijkt dat het mogelijk is om bouwwerken die zijn opgenomen in een bouwmelding in delen gereed te melden.</w:t>
      </w:r>
    </w:p>
    <w:p w:rsidRPr="00FE359A" w:rsidR="00FE359A" w:rsidP="00FE359A" w14:paraId="2872A2E8" w14:textId="756451EA">
      <w:pPr>
        <w:spacing w:before="120" w:after="120" w:line="276" w:lineRule="auto"/>
      </w:pPr>
      <w:r>
        <w:t xml:space="preserve">Ten slotte is na de internetconsultatie het ingebruiknamebesluit qua </w:t>
      </w:r>
      <w:r w:rsidR="00AF37B2">
        <w:t xml:space="preserve">systematiek en </w:t>
      </w:r>
      <w:r>
        <w:t xml:space="preserve">terminologie </w:t>
      </w:r>
      <w:r w:rsidR="00AF37B2">
        <w:t>beter passend gemaakt bij</w:t>
      </w:r>
      <w:r>
        <w:t xml:space="preserve"> het stelsel van de Omgevingswet door </w:t>
      </w:r>
      <w:r w:rsidR="001C2F35">
        <w:t>ontheffing op de regels</w:t>
      </w:r>
      <w:r>
        <w:t xml:space="preserve"> te wijzigen in een maatwerkvoorschrift </w:t>
      </w:r>
      <w:r w:rsidR="001C2F35">
        <w:t>dat zonder verklaring kan worden gereedgemeld</w:t>
      </w:r>
      <w:r>
        <w:t xml:space="preserve">. </w:t>
      </w:r>
      <w:r w:rsidR="00AF37B2">
        <w:t xml:space="preserve">Materieel en qua werkwijze voor de gemeente is dit geen wijziging ten opzichte van het ontwerpbesluit dat ter consultatie is voorgelegd. </w:t>
      </w:r>
      <w:r w:rsidR="001C2F35">
        <w:t xml:space="preserve">Met de wijziging wordt </w:t>
      </w:r>
      <w:r w:rsidR="00553A12">
        <w:t>ook</w:t>
      </w:r>
      <w:r w:rsidR="001C2F35">
        <w:t xml:space="preserve"> tegemoetgekomen aan de opmerking van de G4 en de Vereniging Bouw- en Woningtoezicht Nederland </w:t>
      </w:r>
      <w:r w:rsidR="00553A12">
        <w:t>aangezien</w:t>
      </w:r>
      <w:r w:rsidR="001C2F35">
        <w:t xml:space="preserve"> de systematiek van de melding ter afronding intact</w:t>
      </w:r>
      <w:r w:rsidR="00553A12">
        <w:t xml:space="preserve"> blijft</w:t>
      </w:r>
      <w:r w:rsidR="001C2F35">
        <w:t xml:space="preserve">. </w:t>
      </w:r>
    </w:p>
    <w:p w:rsidR="007A47F0" w14:paraId="2D7E5916" w14:textId="77777777">
      <w:pPr>
        <w:spacing w:line="240" w:lineRule="auto"/>
        <w:rPr>
          <w:i/>
        </w:rPr>
      </w:pPr>
      <w:r>
        <w:rPr>
          <w:i/>
        </w:rPr>
        <w:br w:type="page"/>
      </w:r>
    </w:p>
    <w:p w:rsidRPr="00FE359A" w:rsidR="00FE359A" w:rsidP="00FE359A" w14:paraId="50E07725" w14:textId="192EA50B">
      <w:pPr>
        <w:spacing w:before="120" w:after="120" w:line="276" w:lineRule="auto"/>
        <w:rPr>
          <w:i/>
        </w:rPr>
      </w:pPr>
      <w:r>
        <w:rPr>
          <w:i/>
        </w:rPr>
        <w:t>5.3</w:t>
      </w:r>
      <w:r w:rsidRPr="00FE359A">
        <w:rPr>
          <w:i/>
        </w:rPr>
        <w:t xml:space="preserve"> Adviescollege toetsing regeldruk</w:t>
      </w:r>
    </w:p>
    <w:p w:rsidRPr="00FE359A" w:rsidR="00FE359A" w:rsidP="00FE359A" w14:paraId="4E47B09D" w14:textId="1D0E8360">
      <w:pPr>
        <w:spacing w:before="120" w:after="120" w:line="276" w:lineRule="auto"/>
      </w:pPr>
      <w:r w:rsidRPr="00FE359A">
        <w:t>De minister v</w:t>
      </w:r>
      <w:r w:rsidR="00744E74">
        <w:t>an BZK</w:t>
      </w:r>
      <w:r w:rsidRPr="00FE359A">
        <w:t xml:space="preserve"> heeft op </w:t>
      </w:r>
      <w:r w:rsidR="007E28FD">
        <w:t>4 april 2024</w:t>
      </w:r>
      <w:r w:rsidRPr="00FE359A">
        <w:t xml:space="preserve"> de consultatieversie van het onderhavige </w:t>
      </w:r>
      <w:r w:rsidR="006672BE">
        <w:t>ontwerp</w:t>
      </w:r>
      <w:r w:rsidRPr="00FE359A">
        <w:t xml:space="preserve">besluit ter toetsing aan het Adviescollege toetsing regeldruk (hierna: ATR of college) voorgelegd. </w:t>
      </w:r>
    </w:p>
    <w:p w:rsidRPr="009055BD" w:rsidR="00FE359A" w:rsidP="00FE359A" w14:paraId="1314B993" w14:textId="4B542F0D">
      <w:pPr>
        <w:spacing w:before="120" w:after="120" w:line="276" w:lineRule="auto"/>
        <w:rPr>
          <w:i/>
          <w:iCs/>
        </w:rPr>
      </w:pPr>
      <w:r w:rsidRPr="007E28FD">
        <w:t>Het ATR heeft het dossier niet geselecteerd voor een formeel advies, omdat het geen omvangrijke gevolgen voor de regeldruk heeft.</w:t>
      </w:r>
      <w:r w:rsidRPr="00FE359A">
        <w:t xml:space="preserve"> </w:t>
      </w:r>
    </w:p>
    <w:p w:rsidRPr="00FE359A" w:rsidR="00FE359A" w:rsidP="00FE359A" w14:paraId="1D1FE936" w14:textId="02AF39D7">
      <w:pPr>
        <w:spacing w:before="120" w:after="120" w:line="276" w:lineRule="auto"/>
        <w:rPr>
          <w:i/>
        </w:rPr>
      </w:pPr>
      <w:r>
        <w:rPr>
          <w:i/>
        </w:rPr>
        <w:t>5.4</w:t>
      </w:r>
      <w:r w:rsidRPr="00FE359A">
        <w:rPr>
          <w:i/>
        </w:rPr>
        <w:t xml:space="preserve"> Code interbestuurlijke verhoudingen</w:t>
      </w:r>
    </w:p>
    <w:p w:rsidR="00FE359A" w:rsidP="00FE359A" w14:paraId="6C4287EB" w14:textId="38BBDE8A">
      <w:pPr>
        <w:spacing w:before="120" w:after="120" w:line="276" w:lineRule="auto"/>
      </w:pPr>
      <w:r w:rsidRPr="00FE359A">
        <w:t xml:space="preserve">In het kader van de Code interbestuurlijke verhoudingen is dit </w:t>
      </w:r>
      <w:r w:rsidR="006672BE">
        <w:t>ontwerp</w:t>
      </w:r>
      <w:r w:rsidRPr="00FE359A">
        <w:t xml:space="preserve">besluit voorgelegd aan de Vereniging Nederlandse Gemeenten (VNG). </w:t>
      </w:r>
      <w:r w:rsidR="006A70DA">
        <w:t>De VNG heeft op 15 mei schriftelijk gereageerd</w:t>
      </w:r>
      <w:r w:rsidR="0081410C">
        <w:t xml:space="preserve"> op het ontwerpbesluit</w:t>
      </w:r>
      <w:r w:rsidR="006A70DA">
        <w:t>. In verband met samenloop met andere reacties vanuit de openbare consulatie is reactie op de VNG opgenomen in paragraaf 5.2.</w:t>
      </w:r>
    </w:p>
    <w:p w:rsidR="007E7DA5" w:rsidP="00FE359A" w14:paraId="37002780" w14:textId="1B9AC0B3">
      <w:pPr>
        <w:spacing w:before="120" w:after="120" w:line="276" w:lineRule="auto"/>
      </w:pPr>
      <w:r w:rsidRPr="007E7DA5">
        <w:t xml:space="preserve">De wijzigingen naar aanleiding van de consultatie zijn ambtelijk besproken met de VNG. Naar aanleiding daarvan is op 1 november 2024 een </w:t>
      </w:r>
      <w:r>
        <w:t xml:space="preserve">aanvullende </w:t>
      </w:r>
      <w:r w:rsidRPr="007E7DA5">
        <w:t>reactie van de VNG</w:t>
      </w:r>
      <w:r>
        <w:t xml:space="preserve"> ontvangen. De VNG geeft aan materi</w:t>
      </w:r>
      <w:r w:rsidR="009055BD">
        <w:t>ee</w:t>
      </w:r>
      <w:r>
        <w:t xml:space="preserve">l geen bezwaar te hebben tegen de aanpassingen ten opzichte van het ter </w:t>
      </w:r>
      <w:r w:rsidR="006672BE">
        <w:t>internet</w:t>
      </w:r>
      <w:r>
        <w:t>consultatie gepubliceerde besluit maar vraagt wel aandacht voor de naar hun mening hierdoor rommelig verlopen wetgevingsproces</w:t>
      </w:r>
      <w:r w:rsidRPr="007E7DA5">
        <w:t xml:space="preserve">. </w:t>
      </w:r>
    </w:p>
    <w:p w:rsidR="009055BD" w:rsidP="00FE359A" w14:paraId="3229C532" w14:textId="77777777">
      <w:pPr>
        <w:spacing w:before="120" w:after="120" w:line="276" w:lineRule="auto"/>
      </w:pPr>
      <w:r w:rsidRPr="007E7DA5">
        <w:t xml:space="preserve">De VNG herhaalt in </w:t>
      </w:r>
      <w:r w:rsidR="007E7DA5">
        <w:t>haar</w:t>
      </w:r>
      <w:r w:rsidRPr="007E7DA5">
        <w:t xml:space="preserve"> schrijven </w:t>
      </w:r>
      <w:r w:rsidR="007E7DA5">
        <w:t>verder de</w:t>
      </w:r>
      <w:r w:rsidRPr="007E7DA5">
        <w:t xml:space="preserve"> eerder</w:t>
      </w:r>
      <w:r w:rsidR="006672BE">
        <w:t>e</w:t>
      </w:r>
      <w:r w:rsidRPr="007E7DA5">
        <w:t xml:space="preserve"> opmerkingen en voegt daar </w:t>
      </w:r>
      <w:r w:rsidRPr="007E7DA5" w:rsidR="007E7DA5">
        <w:t>d</w:t>
      </w:r>
      <w:r w:rsidRPr="007E7DA5">
        <w:t xml:space="preserve">e vraag </w:t>
      </w:r>
      <w:r w:rsidR="006672BE">
        <w:t xml:space="preserve">aan toe </w:t>
      </w:r>
      <w:r w:rsidRPr="007E7DA5">
        <w:t>in hoeverre sprake kan zijn van aansprakelijkheid van het bevoegd gezag na het opleggen van een maatwerkvoorschrift.</w:t>
      </w:r>
      <w:r w:rsidRPr="00C86ABC" w:rsidR="00C86ABC">
        <w:rPr>
          <w:rFonts w:eastAsia="Times New Roman" w:cs="Calibri"/>
          <w:color w:val="auto"/>
          <w:lang w:eastAsia="en-US"/>
          <w14:ligatures w14:val="standardContextual"/>
        </w:rPr>
        <w:t xml:space="preserve"> </w:t>
      </w:r>
      <w:r w:rsidR="001B0D0B">
        <w:rPr>
          <w:rFonts w:eastAsia="Times New Roman" w:cs="Calibri"/>
          <w:color w:val="auto"/>
          <w:lang w:eastAsia="en-US"/>
          <w14:ligatures w14:val="standardContextual"/>
        </w:rPr>
        <w:t xml:space="preserve">In de aansprakelijkheid van het bevoegd gezag verandert niets ten opzichte van de huidige situatie. </w:t>
      </w:r>
      <w:r w:rsidR="00C86ABC">
        <w:rPr>
          <w:rFonts w:eastAsia="Times New Roman" w:cs="Calibri"/>
          <w:color w:val="auto"/>
          <w:lang w:eastAsia="en-US"/>
          <w14:ligatures w14:val="standardContextual"/>
        </w:rPr>
        <w:t>Het b</w:t>
      </w:r>
      <w:r w:rsidRPr="00C86ABC" w:rsidR="00C86ABC">
        <w:t>evoegd gezag he</w:t>
      </w:r>
      <w:r w:rsidR="00C86ABC">
        <w:t>eft</w:t>
      </w:r>
      <w:r w:rsidRPr="00C86ABC" w:rsidR="00C86ABC">
        <w:t xml:space="preserve"> in algemene zin een beginselplicht tot handhaving. Dit is ook in de huidige situatie het geval. In de jurisprudentie</w:t>
      </w:r>
      <w:r>
        <w:rPr>
          <w:rStyle w:val="FootnoteReference"/>
        </w:rPr>
        <w:footnoteReference w:id="7"/>
      </w:r>
      <w:r w:rsidRPr="00C86ABC" w:rsidR="00C86ABC">
        <w:t xml:space="preserve"> is als uitzondering op die beginselplicht aanvaard dat het zo kan zijn dat handhavend optreden onevenredig is in verhouding tot de daarmee te dienen doelen, zodat van optreden in die concrete situatie moet worden afgezien.</w:t>
      </w:r>
      <w:r w:rsidR="00C86ABC">
        <w:t xml:space="preserve"> </w:t>
      </w:r>
      <w:r w:rsidRPr="00C86ABC" w:rsidR="00C86ABC">
        <w:t>Dus</w:t>
      </w:r>
      <w:r w:rsidR="001B0D0B">
        <w:t xml:space="preserve"> in de huidige situatie moet het bevoegd gezag</w:t>
      </w:r>
      <w:r w:rsidRPr="00C86ABC" w:rsidR="00C86ABC">
        <w:t xml:space="preserve"> al</w:t>
      </w:r>
      <w:r w:rsidR="001B0D0B">
        <w:t xml:space="preserve">, </w:t>
      </w:r>
      <w:r w:rsidRPr="00C86ABC" w:rsidR="00C86ABC">
        <w:t xml:space="preserve">als de overtreder dit aannemelijk kan maken </w:t>
      </w:r>
      <w:r>
        <w:t>richting</w:t>
      </w:r>
      <w:r w:rsidRPr="00C86ABC" w:rsidR="00C86ABC">
        <w:t xml:space="preserve"> het bevoegd gezag</w:t>
      </w:r>
      <w:r w:rsidR="001B0D0B">
        <w:t xml:space="preserve">, </w:t>
      </w:r>
      <w:r w:rsidRPr="00C86ABC" w:rsidR="00C86ABC">
        <w:t>afzien van handhaving als dit onevenredig is met de daarmee te dienen doelen.</w:t>
      </w:r>
      <w:r w:rsidR="001B0D0B">
        <w:t xml:space="preserve"> O</w:t>
      </w:r>
      <w:r w:rsidRPr="00C86ABC" w:rsidR="00C86ABC">
        <w:t xml:space="preserve">p dit moment </w:t>
      </w:r>
      <w:r w:rsidR="001B0D0B">
        <w:t xml:space="preserve">rust er dus </w:t>
      </w:r>
      <w:r w:rsidRPr="00C86ABC" w:rsidR="00C86ABC">
        <w:t xml:space="preserve">al een verantwoordelijkheid op het bevoegd gezag om te beoordelen of handhaving proportioneel is. </w:t>
      </w:r>
      <w:r w:rsidR="001B0D0B">
        <w:t xml:space="preserve">Als het bevoegd gezag ten </w:t>
      </w:r>
      <w:r w:rsidRPr="00C86ABC" w:rsidR="00C86ABC">
        <w:t>onrechte niet-handhavend heeft opgetreden vanwege vermeende onevenredigheid en een wel door de kwaliteitsborger opgemerkt gebrek tot schade leidt</w:t>
      </w:r>
      <w:r w:rsidR="001B0D0B">
        <w:t>, kan er sprake zijn van aansprakelijkheid van het bevoegd gezag</w:t>
      </w:r>
      <w:r w:rsidRPr="00C86ABC" w:rsidR="00C86ABC">
        <w:t xml:space="preserve">. </w:t>
      </w:r>
    </w:p>
    <w:p w:rsidRPr="007E7DA5" w:rsidR="007E7DA5" w:rsidP="00FE359A" w14:paraId="1EBB5759" w14:textId="7FEFEB7B">
      <w:pPr>
        <w:spacing w:before="120" w:after="120" w:line="276" w:lineRule="auto"/>
      </w:pPr>
      <w:r>
        <w:t>Tot slot</w:t>
      </w:r>
      <w:r>
        <w:t xml:space="preserve"> benadrukt de VNG het belang </w:t>
      </w:r>
      <w:r w:rsidR="006672BE">
        <w:t xml:space="preserve">van </w:t>
      </w:r>
      <w:r>
        <w:t>het beschikbaar zijn van maatwerkvoorschriften voor de T</w:t>
      </w:r>
      <w:r w:rsidR="006672BE">
        <w:t>loKB</w:t>
      </w:r>
      <w:r>
        <w:t>. Opgelegde maatwerkvoorschriften zullen vanuit dat oogpunt ook een nadrukkelijk onderdeel uitmaken van de monitoring en evaluatie van het stelsel.</w:t>
      </w:r>
    </w:p>
    <w:p w:rsidRPr="00FE359A" w:rsidR="00FE359A" w:rsidP="00FE359A" w14:paraId="779FCC8C" w14:textId="0903A794">
      <w:pPr>
        <w:spacing w:before="120" w:after="120" w:line="276" w:lineRule="auto"/>
        <w:rPr>
          <w:i/>
        </w:rPr>
      </w:pPr>
      <w:r>
        <w:rPr>
          <w:i/>
        </w:rPr>
        <w:t>5.5</w:t>
      </w:r>
      <w:r w:rsidRPr="00FE359A">
        <w:rPr>
          <w:i/>
        </w:rPr>
        <w:t xml:space="preserve"> Voorhang</w:t>
      </w:r>
    </w:p>
    <w:p w:rsidRPr="00FE359A" w:rsidR="00FE359A" w:rsidP="00FE359A" w14:paraId="46B2F62B" w14:textId="57ED2AFE">
      <w:pPr>
        <w:spacing w:before="120" w:after="120" w:line="276" w:lineRule="auto"/>
      </w:pPr>
      <w:r w:rsidRPr="00FE359A">
        <w:rPr>
          <w:i/>
          <w:iCs/>
        </w:rPr>
        <w:t>Deze paragraaf wordt ingevuld na de voorhangprocedure bij beide Kamers der Staten-Generaal.</w:t>
      </w:r>
      <w:r w:rsidRPr="00FE359A">
        <w:t xml:space="preserve"> Artikel 23.5, eerste lid, van de Omgevingswet bepaalt dat de voordracht voor een algemene maatregel van bestuur op grond van hoofdstuk 4 niet eerder wordt gedaan dan vier weken nadat het ontwerp aan beide kamers der Staten-Generaal is overgelegd.</w:t>
      </w:r>
    </w:p>
    <w:p w:rsidR="009055BD" w14:paraId="559CCEB9" w14:textId="632C5C69">
      <w:pPr>
        <w:spacing w:line="240" w:lineRule="auto"/>
        <w:rPr>
          <w:b/>
          <w:bCs/>
        </w:rPr>
      </w:pPr>
    </w:p>
    <w:p w:rsidRPr="00C7021E" w:rsidR="00FE359A" w:rsidP="00FE359A" w14:paraId="34F683E7" w14:textId="61CECD09">
      <w:pPr>
        <w:spacing w:before="120" w:after="120" w:line="276" w:lineRule="auto"/>
        <w:rPr>
          <w:b/>
          <w:bCs/>
        </w:rPr>
      </w:pPr>
      <w:r w:rsidRPr="00FE359A">
        <w:rPr>
          <w:b/>
          <w:bCs/>
        </w:rPr>
        <w:t>II. Artikelsgewijs deel</w:t>
      </w:r>
    </w:p>
    <w:p w:rsidRPr="006A70DA" w:rsidR="00FE359A" w:rsidP="00FE359A" w14:paraId="702F0623" w14:textId="12377BF7">
      <w:pPr>
        <w:spacing w:before="120" w:after="120" w:line="276" w:lineRule="auto"/>
        <w:rPr>
          <w:b/>
          <w:bCs/>
          <w:i/>
        </w:rPr>
      </w:pPr>
      <w:r w:rsidRPr="006A70DA">
        <w:rPr>
          <w:b/>
          <w:bCs/>
          <w:i/>
        </w:rPr>
        <w:t>Artikel I</w:t>
      </w:r>
      <w:r w:rsidRPr="006A70DA" w:rsidR="00D312BC">
        <w:rPr>
          <w:b/>
          <w:bCs/>
          <w:i/>
        </w:rPr>
        <w:t xml:space="preserve"> (Besluit bouwwerken leefomgeving)</w:t>
      </w:r>
    </w:p>
    <w:p w:rsidR="00CF4734" w:rsidP="00FE359A" w14:paraId="23C51C45" w14:textId="6AB378C2">
      <w:pPr>
        <w:spacing w:before="120" w:after="120" w:line="276" w:lineRule="auto"/>
        <w:rPr>
          <w:i/>
        </w:rPr>
      </w:pPr>
      <w:r w:rsidRPr="003E1855">
        <w:rPr>
          <w:i/>
        </w:rPr>
        <w:t>Onderdeel A</w:t>
      </w:r>
    </w:p>
    <w:p w:rsidRPr="003E1855" w:rsidR="00936C30" w:rsidP="00FE359A" w14:paraId="126D2486" w14:textId="5A8226BF">
      <w:pPr>
        <w:spacing w:before="120" w:after="120" w:line="276" w:lineRule="auto"/>
        <w:rPr>
          <w:i/>
        </w:rPr>
      </w:pPr>
      <w:r>
        <w:rPr>
          <w:iCs/>
        </w:rPr>
        <w:t xml:space="preserve">In dit onderdeel </w:t>
      </w:r>
      <w:r w:rsidR="000333C6">
        <w:rPr>
          <w:iCs/>
        </w:rPr>
        <w:t xml:space="preserve">zijn </w:t>
      </w:r>
      <w:r w:rsidR="00D312BC">
        <w:rPr>
          <w:iCs/>
        </w:rPr>
        <w:t>aan artikel 1.1</w:t>
      </w:r>
      <w:r w:rsidR="00D139C0">
        <w:rPr>
          <w:iCs/>
        </w:rPr>
        <w:t>a</w:t>
      </w:r>
      <w:r w:rsidR="00D312BC">
        <w:rPr>
          <w:iCs/>
        </w:rPr>
        <w:t xml:space="preserve"> van het Bbl (de zogeheten </w:t>
      </w:r>
      <w:r w:rsidR="000D140C">
        <w:rPr>
          <w:iCs/>
        </w:rPr>
        <w:t>berustings</w:t>
      </w:r>
      <w:r w:rsidR="00D312BC">
        <w:rPr>
          <w:iCs/>
        </w:rPr>
        <w:t xml:space="preserve">bepaling) </w:t>
      </w:r>
      <w:r w:rsidR="000333C6">
        <w:rPr>
          <w:iCs/>
        </w:rPr>
        <w:t>twee</w:t>
      </w:r>
      <w:r>
        <w:rPr>
          <w:iCs/>
        </w:rPr>
        <w:t xml:space="preserve"> grondslag</w:t>
      </w:r>
      <w:r w:rsidR="000333C6">
        <w:rPr>
          <w:iCs/>
        </w:rPr>
        <w:t>en</w:t>
      </w:r>
      <w:r>
        <w:rPr>
          <w:iCs/>
        </w:rPr>
        <w:t xml:space="preserve"> toegevoegd waarop </w:t>
      </w:r>
      <w:r w:rsidR="000D140C">
        <w:rPr>
          <w:iCs/>
        </w:rPr>
        <w:t>het Bbl</w:t>
      </w:r>
      <w:r>
        <w:rPr>
          <w:iCs/>
        </w:rPr>
        <w:t xml:space="preserve"> berust. </w:t>
      </w:r>
      <w:r w:rsidR="000D140C">
        <w:rPr>
          <w:iCs/>
        </w:rPr>
        <w:t>Aan beide grondslagen is bij dit wijzigingsbesluit uitvoering gegeven maar het Bbl bevatte al bepalingen die op deze grondslagen waren gebaseerd. De berustingsbepaling strekt er</w:t>
      </w:r>
      <w:r w:rsidR="006E12C3">
        <w:rPr>
          <w:iCs/>
        </w:rPr>
        <w:t xml:space="preserve"> louter </w:t>
      </w:r>
      <w:r w:rsidR="000D140C">
        <w:rPr>
          <w:iCs/>
        </w:rPr>
        <w:t xml:space="preserve">toe de gebruiker duidelijkheid te bieden over de grondslagen van de regels zoals die op enig moment </w:t>
      </w:r>
      <w:r w:rsidR="006E12C3">
        <w:rPr>
          <w:iCs/>
        </w:rPr>
        <w:t xml:space="preserve">gelden en staat los van het van toepassing zijn van die grondslagen als zodanig. </w:t>
      </w:r>
    </w:p>
    <w:p w:rsidRPr="003E1855" w:rsidR="003E1855" w:rsidP="003E1855" w14:paraId="3687247B" w14:textId="77777777">
      <w:pPr>
        <w:spacing w:before="120" w:after="120" w:line="276" w:lineRule="auto"/>
        <w:rPr>
          <w:i/>
        </w:rPr>
      </w:pPr>
      <w:r w:rsidRPr="003E1855">
        <w:rPr>
          <w:i/>
        </w:rPr>
        <w:t>Onderdelen B</w:t>
      </w:r>
      <w:bookmarkStart w:name="_Hlk160704536" w:id="4"/>
      <w:bookmarkStart w:name="_Hlk160704862" w:id="5"/>
      <w:r w:rsidRPr="003E1855">
        <w:rPr>
          <w:i/>
        </w:rPr>
        <w:t xml:space="preserve"> en G</w:t>
      </w:r>
    </w:p>
    <w:p w:rsidRPr="003E1855" w:rsidR="003E1855" w:rsidP="003E1855" w14:paraId="798F4691" w14:textId="36C8E686">
      <w:pPr>
        <w:spacing w:before="120" w:after="120" w:line="276" w:lineRule="auto"/>
        <w:rPr>
          <w:bCs/>
          <w:iCs/>
        </w:rPr>
      </w:pPr>
      <w:bookmarkStart w:name="_Hlk160707562" w:id="6"/>
      <w:r w:rsidRPr="003E1855">
        <w:rPr>
          <w:bCs/>
          <w:iCs/>
        </w:rPr>
        <w:t>In d</w:t>
      </w:r>
      <w:r>
        <w:rPr>
          <w:bCs/>
          <w:iCs/>
        </w:rPr>
        <w:t>eze onderdelen</w:t>
      </w:r>
      <w:r w:rsidRPr="003E1855">
        <w:rPr>
          <w:bCs/>
          <w:iCs/>
        </w:rPr>
        <w:t xml:space="preserve"> is geregeld dat </w:t>
      </w:r>
      <w:r w:rsidRPr="003E1855" w:rsidR="00D501C6">
        <w:rPr>
          <w:bCs/>
          <w:iCs/>
        </w:rPr>
        <w:t>als</w:t>
      </w:r>
      <w:r w:rsidRPr="003E1855">
        <w:rPr>
          <w:bCs/>
          <w:iCs/>
        </w:rPr>
        <w:t xml:space="preserve"> bij de gereedmelding een verklaring van de kwaliteitsborger ontbreekt, het bevoegd gezag een maatwerkvoorschrift kan </w:t>
      </w:r>
      <w:r w:rsidR="00D501C6">
        <w:rPr>
          <w:bCs/>
          <w:iCs/>
        </w:rPr>
        <w:t>stellen</w:t>
      </w:r>
      <w:r w:rsidRPr="003E1855">
        <w:rPr>
          <w:bCs/>
          <w:iCs/>
        </w:rPr>
        <w:t xml:space="preserve"> dat gereedmelding zonder verklaring kan plaatsvinden</w:t>
      </w:r>
      <w:r w:rsidR="00AF37B2">
        <w:rPr>
          <w:bCs/>
          <w:iCs/>
        </w:rPr>
        <w:t xml:space="preserve">. Een dergelijk maatwerkvoorschrift kan alleen worden </w:t>
      </w:r>
      <w:r w:rsidR="00D501C6">
        <w:rPr>
          <w:bCs/>
          <w:iCs/>
        </w:rPr>
        <w:t>gesteld</w:t>
      </w:r>
      <w:r w:rsidRPr="003E1855">
        <w:rPr>
          <w:bCs/>
          <w:iCs/>
        </w:rPr>
        <w:t xml:space="preserve"> als herstel van de gebreken niet proportioneel is in relatie tot de doelen van de regels waaraan niet wordt voldaan. Hiervan kan bijvoorbeeld sprake zijn bij minimale afwijkingen van de regels in de hoofdstukken 4 en 5 van het Bbl.</w:t>
      </w:r>
      <w:bookmarkEnd w:id="4"/>
      <w:r w:rsidRPr="003E1855">
        <w:rPr>
          <w:bCs/>
          <w:iCs/>
        </w:rPr>
        <w:t xml:space="preserve"> </w:t>
      </w:r>
      <w:bookmarkEnd w:id="5"/>
      <w:bookmarkEnd w:id="6"/>
      <w:r w:rsidRPr="003E1855">
        <w:rPr>
          <w:bCs/>
          <w:iCs/>
        </w:rPr>
        <w:t xml:space="preserve">Met een dergelijk maatwerkvoorschrift kan een bouwactiviteit gereed worden gemeld, ook als er geen verklaring door de kwaliteitsborger kan worden verstrekt. Bouwwerken kunnen in gebruik worden genomen, wat eigenaren </w:t>
      </w:r>
      <w:r w:rsidR="00AF37B2">
        <w:rPr>
          <w:bCs/>
          <w:iCs/>
        </w:rPr>
        <w:t xml:space="preserve">en gebruikers – </w:t>
      </w:r>
      <w:r w:rsidRPr="003E1855">
        <w:rPr>
          <w:bCs/>
          <w:iCs/>
        </w:rPr>
        <w:t>en eventuele volgende eigenaren</w:t>
      </w:r>
      <w:r w:rsidR="00AF37B2">
        <w:rPr>
          <w:bCs/>
          <w:iCs/>
        </w:rPr>
        <w:t xml:space="preserve"> –</w:t>
      </w:r>
      <w:r w:rsidRPr="003E1855">
        <w:rPr>
          <w:bCs/>
          <w:iCs/>
        </w:rPr>
        <w:t xml:space="preserve"> rechtszekerheid geeft. Is sprake van strijdigheid dan zal het bevoegd gezag in eerste instantie de initiatiefnemer sommeren om herstel uit te (laten) voeren. Als een initiatiefnemer van mening is dat herstel niet proportioneel is dan kan hij een verzoek </w:t>
      </w:r>
      <w:r w:rsidR="00D501C6">
        <w:rPr>
          <w:bCs/>
          <w:iCs/>
        </w:rPr>
        <w:t xml:space="preserve">om een </w:t>
      </w:r>
      <w:r w:rsidRPr="003E1855">
        <w:rPr>
          <w:bCs/>
          <w:iCs/>
        </w:rPr>
        <w:t>maatwerk</w:t>
      </w:r>
      <w:r w:rsidR="00D501C6">
        <w:rPr>
          <w:bCs/>
          <w:iCs/>
        </w:rPr>
        <w:t>schrift</w:t>
      </w:r>
      <w:r w:rsidRPr="003E1855">
        <w:rPr>
          <w:bCs/>
          <w:iCs/>
        </w:rPr>
        <w:t xml:space="preserve"> </w:t>
      </w:r>
      <w:r w:rsidR="00D501C6">
        <w:rPr>
          <w:bCs/>
          <w:iCs/>
        </w:rPr>
        <w:t>doen</w:t>
      </w:r>
      <w:r w:rsidRPr="003E1855">
        <w:rPr>
          <w:bCs/>
          <w:iCs/>
        </w:rPr>
        <w:t xml:space="preserve"> aan het bevoegd gezag. Als uit de hierbij aangeleverde gegevens en bescheiden volgt dat inderdaad sprake is van disproportionaliteit dan kan het bevoegd gezag besluiten dat gereedmelding zonder verklaring is toegestaan.</w:t>
      </w:r>
    </w:p>
    <w:p w:rsidRPr="003E1855" w:rsidR="003E1855" w:rsidP="003E1855" w14:paraId="0893183F" w14:textId="403E30CC">
      <w:pPr>
        <w:spacing w:before="120" w:after="120" w:line="276" w:lineRule="auto"/>
        <w:rPr>
          <w:bCs/>
          <w:iCs/>
        </w:rPr>
      </w:pPr>
      <w:r w:rsidRPr="003E1855">
        <w:rPr>
          <w:bCs/>
          <w:iCs/>
        </w:rPr>
        <w:t xml:space="preserve">De bevoegdheid tot het toestaan van ingebruikname via een maatwerkvoorschrift is alleen mogelijk als </w:t>
      </w:r>
      <w:r w:rsidR="00AF37B2">
        <w:rPr>
          <w:bCs/>
          <w:iCs/>
        </w:rPr>
        <w:t>alleen</w:t>
      </w:r>
      <w:r w:rsidRPr="003E1855">
        <w:rPr>
          <w:bCs/>
          <w:iCs/>
        </w:rPr>
        <w:t xml:space="preserve"> de verklaring van de kwaliteitsborger ontbreekt. </w:t>
      </w:r>
      <w:r w:rsidR="00AF37B2">
        <w:rPr>
          <w:bCs/>
          <w:iCs/>
        </w:rPr>
        <w:t xml:space="preserve">De gereedmelding moet verder voldoen aan de eisen die daarin in artikel 2.19 worden gesteld. </w:t>
      </w:r>
      <w:r w:rsidRPr="003E1855">
        <w:rPr>
          <w:bCs/>
          <w:iCs/>
        </w:rPr>
        <w:t xml:space="preserve">Dit betekent dat alle gegevens en bescheiden van het bouwwerk beschikbaar zijn </w:t>
      </w:r>
      <w:r w:rsidR="00AF37B2">
        <w:rPr>
          <w:bCs/>
          <w:iCs/>
        </w:rPr>
        <w:t xml:space="preserve">in het dossier bevoegd gezag </w:t>
      </w:r>
      <w:r w:rsidRPr="003E1855">
        <w:rPr>
          <w:bCs/>
          <w:iCs/>
        </w:rPr>
        <w:t>en informatie over de strijdigheid beschikbaar is. Het bevoegd gezag kan bij de afweging om al dan niet positief te besluiten gebruik maken van dit dossier en van de informatie die op grond van de informatieplicht die voortvloeit uit artikel 3.86 van het Bkl door de kwaliteitsborger aan het bevoegd gezag is aangeleverd.</w:t>
      </w:r>
      <w:r>
        <w:rPr>
          <w:rStyle w:val="FootnoteReference"/>
          <w:bCs/>
          <w:iCs/>
        </w:rPr>
        <w:footnoteReference w:id="8"/>
      </w:r>
      <w:r w:rsidRPr="003E1855">
        <w:rPr>
          <w:bCs/>
          <w:iCs/>
        </w:rPr>
        <w:t xml:space="preserve"> Mocht deze informatie ontbreken dan kan het bevoegd gezag verzoeken dit alsnog aan te leveren of anders het verzoek weigeren en zo nodig overgaan tot handhaving.</w:t>
      </w:r>
    </w:p>
    <w:p w:rsidRPr="003E1855" w:rsidR="007A47F0" w:rsidP="003E1855" w14:paraId="397AD0B3" w14:textId="37A52DBB">
      <w:pPr>
        <w:spacing w:before="120" w:after="120" w:line="276" w:lineRule="auto"/>
        <w:rPr>
          <w:bCs/>
          <w:iCs/>
        </w:rPr>
      </w:pPr>
      <w:r w:rsidRPr="003E1855">
        <w:rPr>
          <w:bCs/>
          <w:iCs/>
        </w:rPr>
        <w:t xml:space="preserve">Bij de afweging of herstel van een resterende strijdigheid al dan </w:t>
      </w:r>
      <w:r w:rsidR="00D501C6">
        <w:rPr>
          <w:bCs/>
          <w:iCs/>
        </w:rPr>
        <w:t xml:space="preserve">niet </w:t>
      </w:r>
      <w:r w:rsidRPr="003E1855">
        <w:rPr>
          <w:bCs/>
          <w:iCs/>
        </w:rPr>
        <w:t>disproportioneel is, kan het bevoegd gezag gebruik maken van beschikbare jurisprudentie op dit gebied. Een overzicht daarvan is door de VNG opgenomen in de Handreiking Toezicht en handhaving Wkb.</w:t>
      </w:r>
      <w:r>
        <w:rPr>
          <w:bCs/>
          <w:iCs/>
          <w:vertAlign w:val="superscript"/>
        </w:rPr>
        <w:footnoteReference w:id="9"/>
      </w:r>
      <w:r w:rsidRPr="003E1855">
        <w:rPr>
          <w:bCs/>
          <w:iCs/>
        </w:rPr>
        <w:t xml:space="preserve"> Vanzelfsprekend zal bij deze afweging het belang van derden meegewogen </w:t>
      </w:r>
      <w:r w:rsidRPr="003E1855">
        <w:rPr>
          <w:bCs/>
          <w:iCs/>
        </w:rPr>
        <w:t>worden en zal bij gevaar voor derden niet snel tot een dergelijk maatwerkvoorschrift kunnen worden besloten. Derden die belanghebbend zijn kunnen bezwaar maken</w:t>
      </w:r>
      <w:r w:rsidR="00AF37B2">
        <w:rPr>
          <w:bCs/>
          <w:iCs/>
        </w:rPr>
        <w:t xml:space="preserve"> tegen het besluit </w:t>
      </w:r>
      <w:r w:rsidR="00D501C6">
        <w:rPr>
          <w:bCs/>
          <w:iCs/>
        </w:rPr>
        <w:t xml:space="preserve">een </w:t>
      </w:r>
      <w:r w:rsidR="00AF37B2">
        <w:rPr>
          <w:bCs/>
          <w:iCs/>
        </w:rPr>
        <w:t xml:space="preserve">maatwerkvoorschriften te </w:t>
      </w:r>
      <w:r w:rsidR="00D501C6">
        <w:rPr>
          <w:bCs/>
          <w:iCs/>
        </w:rPr>
        <w:t>stellen</w:t>
      </w:r>
      <w:r w:rsidR="00AF37B2">
        <w:rPr>
          <w:bCs/>
          <w:iCs/>
        </w:rPr>
        <w:t xml:space="preserve"> om gereedmelding van een bouwproject mogelijk te maken</w:t>
      </w:r>
      <w:r w:rsidRPr="003E1855">
        <w:rPr>
          <w:bCs/>
          <w:iCs/>
        </w:rPr>
        <w:t xml:space="preserve">.  </w:t>
      </w:r>
    </w:p>
    <w:p w:rsidRPr="003E1855" w:rsidR="00A20474" w:rsidP="00FE359A" w14:paraId="40D52628" w14:textId="7A5BE015">
      <w:pPr>
        <w:spacing w:before="120" w:after="120" w:line="276" w:lineRule="auto"/>
        <w:rPr>
          <w:i/>
          <w:iCs/>
        </w:rPr>
      </w:pPr>
      <w:r w:rsidRPr="003E1855">
        <w:rPr>
          <w:i/>
          <w:iCs/>
        </w:rPr>
        <w:t>Onderde</w:t>
      </w:r>
      <w:r w:rsidR="009F71D2">
        <w:rPr>
          <w:i/>
          <w:iCs/>
        </w:rPr>
        <w:t>e</w:t>
      </w:r>
      <w:r w:rsidRPr="003E1855">
        <w:rPr>
          <w:i/>
          <w:iCs/>
        </w:rPr>
        <w:t xml:space="preserve">l </w:t>
      </w:r>
      <w:r w:rsidRPr="003E1855" w:rsidR="006666D0">
        <w:rPr>
          <w:i/>
          <w:iCs/>
        </w:rPr>
        <w:t>C</w:t>
      </w:r>
    </w:p>
    <w:p w:rsidR="007A47F0" w:rsidP="00FE359A" w14:paraId="4E439A06" w14:textId="784F267E">
      <w:pPr>
        <w:spacing w:before="120" w:after="120" w:line="276" w:lineRule="auto"/>
      </w:pPr>
      <w:r>
        <w:t xml:space="preserve">In </w:t>
      </w:r>
      <w:r w:rsidR="009F71D2">
        <w:t>onderdeel C</w:t>
      </w:r>
      <w:r w:rsidR="00D501C6">
        <w:t>, onder 1,</w:t>
      </w:r>
      <w:r>
        <w:t xml:space="preserve"> </w:t>
      </w:r>
      <w:r w:rsidR="00F36B4E">
        <w:t>is</w:t>
      </w:r>
      <w:r>
        <w:t xml:space="preserve"> de verhouding tussen vergunningvrije, meldingplichtige en vergunningplichtige bouwactiviteiten verduidelijkt. </w:t>
      </w:r>
      <w:r w:rsidR="00CC1BE2">
        <w:t>Aan d</w:t>
      </w:r>
      <w:r>
        <w:t xml:space="preserve">e aanhef van artikel 2.17, </w:t>
      </w:r>
      <w:r w:rsidR="00D501C6">
        <w:t>eerste</w:t>
      </w:r>
      <w:r>
        <w:t xml:space="preserve"> lid,</w:t>
      </w:r>
      <w:r w:rsidR="00CC1BE2">
        <w:t xml:space="preserve"> van het Bbl</w:t>
      </w:r>
      <w:r w:rsidR="00AD1045">
        <w:t xml:space="preserve"> </w:t>
      </w:r>
      <w:r w:rsidR="00F36B4E">
        <w:t>is</w:t>
      </w:r>
      <w:r w:rsidR="00DF0127">
        <w:t xml:space="preserve"> toegevoegd dat een bouwactiviteit </w:t>
      </w:r>
      <w:r>
        <w:t xml:space="preserve">alleen kan vallen onder gevolgklasse 1 als het een bouwactiviteit betreft </w:t>
      </w:r>
      <w:r w:rsidR="00DF0127">
        <w:t xml:space="preserve">die op grond van artikel 2.25 of 2.26 vergunningplichtig is. Dit om te verduidelijken dat vergunningvrije bouwactiviteiten niet alsnog onder de meldingplicht </w:t>
      </w:r>
      <w:r>
        <w:t>vallen</w:t>
      </w:r>
      <w:r w:rsidR="00DF0127">
        <w:t>.</w:t>
      </w:r>
      <w:r>
        <w:t xml:space="preserve"> De overige wijzigingen </w:t>
      </w:r>
      <w:r w:rsidR="00CC1BE2">
        <w:t>in onderde</w:t>
      </w:r>
      <w:r w:rsidR="009F71D2">
        <w:t>e</w:t>
      </w:r>
      <w:r w:rsidR="00CC1BE2">
        <w:t xml:space="preserve">l </w:t>
      </w:r>
      <w:r w:rsidR="006666D0">
        <w:t>C</w:t>
      </w:r>
      <w:r w:rsidR="00CC1BE2">
        <w:t xml:space="preserve"> </w:t>
      </w:r>
      <w:r>
        <w:t>zijn redactioneel van aard</w:t>
      </w:r>
      <w:r w:rsidR="00677C25">
        <w:t xml:space="preserve">. </w:t>
      </w:r>
      <w:r w:rsidR="00742A5A">
        <w:t xml:space="preserve"> </w:t>
      </w:r>
    </w:p>
    <w:p w:rsidRPr="003E1855" w:rsidR="003F249E" w:rsidP="00FE359A" w14:paraId="1A3D5C64" w14:textId="29FCAD5C">
      <w:pPr>
        <w:spacing w:before="120" w:after="120" w:line="276" w:lineRule="auto"/>
        <w:rPr>
          <w:i/>
          <w:iCs/>
        </w:rPr>
      </w:pPr>
      <w:r w:rsidRPr="003E1855">
        <w:rPr>
          <w:i/>
          <w:iCs/>
        </w:rPr>
        <w:t>Onderdel</w:t>
      </w:r>
      <w:r w:rsidRPr="003E1855" w:rsidR="009D179C">
        <w:rPr>
          <w:i/>
          <w:iCs/>
        </w:rPr>
        <w:t>en</w:t>
      </w:r>
      <w:r w:rsidRPr="003E1855">
        <w:rPr>
          <w:i/>
          <w:iCs/>
        </w:rPr>
        <w:t xml:space="preserve"> </w:t>
      </w:r>
      <w:r w:rsidRPr="003E1855" w:rsidR="006666D0">
        <w:rPr>
          <w:i/>
          <w:iCs/>
        </w:rPr>
        <w:t>D</w:t>
      </w:r>
      <w:r w:rsidR="00936C30">
        <w:rPr>
          <w:i/>
          <w:iCs/>
        </w:rPr>
        <w:t xml:space="preserve">, </w:t>
      </w:r>
      <w:r w:rsidRPr="003E1855" w:rsidR="006666D0">
        <w:rPr>
          <w:i/>
          <w:iCs/>
        </w:rPr>
        <w:t>E</w:t>
      </w:r>
      <w:r w:rsidR="00936C30">
        <w:rPr>
          <w:i/>
          <w:iCs/>
        </w:rPr>
        <w:t xml:space="preserve"> en F</w:t>
      </w:r>
    </w:p>
    <w:p w:rsidR="00A41C03" w:rsidP="00E5733F" w14:paraId="00D25887" w14:textId="45639A98">
      <w:pPr>
        <w:spacing w:before="120" w:after="120" w:line="276" w:lineRule="auto"/>
      </w:pPr>
      <w:r w:rsidRPr="009C4E03">
        <w:t xml:space="preserve">De wijzigingen </w:t>
      </w:r>
      <w:r>
        <w:t>in de onderdelen D</w:t>
      </w:r>
      <w:r w:rsidR="00CB6208">
        <w:t xml:space="preserve">, </w:t>
      </w:r>
      <w:r>
        <w:t xml:space="preserve">E </w:t>
      </w:r>
      <w:r w:rsidR="00CB6208">
        <w:t xml:space="preserve">en F </w:t>
      </w:r>
      <w:r w:rsidRPr="009C4E03">
        <w:t xml:space="preserve">zijn van redactionele aard. </w:t>
      </w:r>
      <w:r>
        <w:t>De wijziging in onderdeel F</w:t>
      </w:r>
      <w:r w:rsidR="00D501C6">
        <w:t>, onder 1,</w:t>
      </w:r>
      <w:r>
        <w:t xml:space="preserve"> van </w:t>
      </w:r>
      <w:r w:rsidRPr="00E5733F" w:rsidR="00E5733F">
        <w:t xml:space="preserve">artikel 2.21, eerste lid, betreft een redactionele aanpassing in verband </w:t>
      </w:r>
      <w:r w:rsidR="00E5733F">
        <w:t xml:space="preserve">met </w:t>
      </w:r>
      <w:r w:rsidRPr="00E5733F" w:rsidR="00E5733F">
        <w:t xml:space="preserve">de definitie van bouwactiviteit. Het nieuwe derde lid </w:t>
      </w:r>
      <w:r>
        <w:t xml:space="preserve">van dat artikel </w:t>
      </w:r>
      <w:r w:rsidRPr="00E5733F" w:rsidR="00E5733F">
        <w:t>maakt, analoog aan het derde lid van artikel 2.18, duidelijk dat een gereedmelding betrekking kan hebben op één of meerdere bouwwerk die in een bouwmelding zijn opgenomen.</w:t>
      </w:r>
      <w:r>
        <w:t xml:space="preserve"> </w:t>
      </w:r>
      <w:r w:rsidR="00D501C6">
        <w:t xml:space="preserve">Dit betekent ook dat bouwwerken die samen in één bouwmelding opgenomen zijn geweest </w:t>
      </w:r>
      <w:r w:rsidR="00CB6208">
        <w:t xml:space="preserve">gefaseerd </w:t>
      </w:r>
      <w:r w:rsidR="00D501C6">
        <w:t xml:space="preserve">kunnen worden gereed gemeld met afzonderlijke meldingen. </w:t>
      </w:r>
      <w:r>
        <w:t>De overige wijzigingen in onderdeel F zijn redactioneel van aard.</w:t>
      </w:r>
    </w:p>
    <w:p w:rsidR="00A41C03" w:rsidP="00A41C03" w14:paraId="785CA5EF" w14:textId="77777777">
      <w:pPr>
        <w:pStyle w:val="NoSpacing"/>
        <w:rPr>
          <w:i/>
          <w:iCs/>
        </w:rPr>
      </w:pPr>
      <w:r>
        <w:rPr>
          <w:i/>
          <w:iCs/>
        </w:rPr>
        <w:t xml:space="preserve">Onderdelen H en I </w:t>
      </w:r>
    </w:p>
    <w:p w:rsidR="00010BFB" w:rsidP="00CB6208" w14:paraId="2626A191" w14:textId="0038D022">
      <w:pPr>
        <w:pStyle w:val="NoSpacing"/>
      </w:pPr>
      <w:r>
        <w:t xml:space="preserve">Met het opnieuw vaststellen van de tabellen 3.118 en 4.212 zijn wijzigingen van redactionele aard doorgevoerd. In beide tabellen is de verschrijving ‘ontruimtingsalarminstallatie’ gecorrigeerd en zijn de overtollige streepjes bij de logiesfunctie geschrapt.  </w:t>
      </w:r>
    </w:p>
    <w:p w:rsidRPr="00CB6208" w:rsidR="00CB6208" w:rsidP="00CB6208" w14:paraId="5FC04A6A" w14:textId="77777777">
      <w:pPr>
        <w:pStyle w:val="NoSpacing"/>
      </w:pPr>
    </w:p>
    <w:p w:rsidRPr="006A70DA" w:rsidR="00FE359A" w:rsidP="00FE359A" w14:paraId="02F513B1" w14:textId="612889E3">
      <w:pPr>
        <w:spacing w:before="120" w:after="120" w:line="276" w:lineRule="auto"/>
        <w:rPr>
          <w:b/>
          <w:bCs/>
          <w:i/>
          <w:iCs/>
        </w:rPr>
      </w:pPr>
      <w:r w:rsidRPr="006A70DA">
        <w:rPr>
          <w:b/>
          <w:bCs/>
          <w:i/>
          <w:iCs/>
        </w:rPr>
        <w:t>Artikel II (Aanwijzingsbesluit Wet kenbaarheid publiekrechtelijke beperkingen onroerende zaken)</w:t>
      </w:r>
    </w:p>
    <w:p w:rsidR="00CB772C" w:rsidP="00CB772C" w14:paraId="08231C52" w14:textId="5C3607B6">
      <w:pPr>
        <w:spacing w:before="120" w:after="120" w:line="276" w:lineRule="auto"/>
        <w:rPr>
          <w:bCs/>
        </w:rPr>
      </w:pPr>
      <w:r w:rsidRPr="00DF1752">
        <w:rPr>
          <w:bCs/>
        </w:rPr>
        <w:t xml:space="preserve">In dit artikel </w:t>
      </w:r>
      <w:r>
        <w:rPr>
          <w:bCs/>
        </w:rPr>
        <w:t xml:space="preserve">zijn maatwerkvoorschriften tot ingebruikname die met toepassing van het nieuwe artikel 2.21a, eerste lid, van het Bbl zijn gesteld, toegevoegd aan de bijlage </w:t>
      </w:r>
      <w:r w:rsidRPr="00DF1752">
        <w:rPr>
          <w:bCs/>
        </w:rPr>
        <w:t>bij artikel 2, eerste lid, van het Aanwijzingsbesluit Wet kenbaarheid publiekrechtelijke beperkingen onroerende zaken</w:t>
      </w:r>
      <w:r>
        <w:rPr>
          <w:bCs/>
        </w:rPr>
        <w:t xml:space="preserve"> </w:t>
      </w:r>
      <w:r w:rsidRPr="000B12B4">
        <w:rPr>
          <w:bCs/>
        </w:rPr>
        <w:t>als nieuwe categorie aangewezen beperkingenbesluiten</w:t>
      </w:r>
      <w:r>
        <w:rPr>
          <w:bCs/>
        </w:rPr>
        <w:t xml:space="preserve">. </w:t>
      </w:r>
      <w:r w:rsidRPr="00DF1752">
        <w:rPr>
          <w:bCs/>
        </w:rPr>
        <w:t xml:space="preserve">De aanwijzing als beperkingenbesluit brengt mee dat op het betreffende besluit de Wet kenbaarheid publiekrechtelijke beperkingen onroerende zaken (hierna: Wkpb) van toepassing </w:t>
      </w:r>
      <w:r>
        <w:rPr>
          <w:bCs/>
        </w:rPr>
        <w:t xml:space="preserve">wordt. Op grond van artikel 15 van de Wkpb heeft het bevoegd gezag de verplichting om een aangewezen beperkingenbesluit aan het Kadaster aan te bieden ter inschrijving in de openbare registers. Na inschrijving is het besluit voor eenieder raadpleegbaar via de Basisregistratie Kadaster (BRK). Zoals in paragraaf 5.2 van het algemeen deel van de toelichting al is opgemerkt, is voor aanwijzing van het maatwerkbesluit als beperkingenbesluit aanleiding gezien, omdat door de kenbaarheid van het besluit via de BRK </w:t>
      </w:r>
      <w:r>
        <w:t xml:space="preserve">een </w:t>
      </w:r>
      <w:r w:rsidR="001F6862">
        <w:t xml:space="preserve">(toekomstige) </w:t>
      </w:r>
      <w:r>
        <w:t xml:space="preserve">eigenaar of gebruiker inzicht krijgt in de aanwezige strijdigheid met de </w:t>
      </w:r>
      <w:r w:rsidRPr="00095C27">
        <w:rPr>
          <w:bCs/>
        </w:rPr>
        <w:t xml:space="preserve">nieuwbouwregels </w:t>
      </w:r>
      <w:r>
        <w:rPr>
          <w:bCs/>
        </w:rPr>
        <w:t xml:space="preserve">zoals </w:t>
      </w:r>
      <w:r w:rsidRPr="00095C27">
        <w:rPr>
          <w:bCs/>
        </w:rPr>
        <w:t>die golden ten tijde van het bouwen van het bouwwerk</w:t>
      </w:r>
      <w:r>
        <w:rPr>
          <w:bCs/>
        </w:rPr>
        <w:t xml:space="preserve">. Het maatwerkbesluit kwalificeert in dit opzicht als beperkingenbesluit. Dat het maatwerkbesluit tegelijkertijd ook een begunstigend </w:t>
      </w:r>
      <w:r>
        <w:rPr>
          <w:bCs/>
        </w:rPr>
        <w:t>karakter heeft (mogelijk maken ingebruikname bouwwerk in weerwil van de strijdigheid met de nieuwbouwregels) doet daaraan niet af.</w:t>
      </w:r>
    </w:p>
    <w:p w:rsidRPr="00FE359A" w:rsidR="007A47F0" w:rsidP="00CB772C" w14:paraId="4CD18A05" w14:textId="77777777">
      <w:pPr>
        <w:spacing w:before="120" w:after="120" w:line="276" w:lineRule="auto"/>
      </w:pPr>
    </w:p>
    <w:p w:rsidR="00531098" w:rsidP="00531098" w14:paraId="4B103D78" w14:textId="21CC59F2">
      <w:pPr>
        <w:spacing w:before="120" w:after="120" w:line="276" w:lineRule="auto"/>
        <w:rPr>
          <w:b/>
          <w:bCs/>
          <w:i/>
          <w:iCs/>
        </w:rPr>
      </w:pPr>
      <w:r w:rsidRPr="007A47F0">
        <w:rPr>
          <w:b/>
          <w:bCs/>
          <w:i/>
          <w:iCs/>
        </w:rPr>
        <w:t>Artikel III</w:t>
      </w:r>
      <w:r>
        <w:rPr>
          <w:b/>
          <w:bCs/>
          <w:i/>
          <w:iCs/>
        </w:rPr>
        <w:t xml:space="preserve"> (</w:t>
      </w:r>
      <w:r w:rsidRPr="00531098">
        <w:rPr>
          <w:b/>
          <w:bCs/>
          <w:i/>
          <w:iCs/>
        </w:rPr>
        <w:t>Besluit van 24 maart 2023 tot wijziging van het Besluit bouwwerken leefomgeving in verband met de periodieke beoordeling van gebouwen, de aanscherping van de schileisen van tijdelijke woningen en enkele andere wijzigingen</w:t>
      </w:r>
      <w:r>
        <w:rPr>
          <w:b/>
          <w:bCs/>
          <w:i/>
          <w:iCs/>
        </w:rPr>
        <w:t>)</w:t>
      </w:r>
    </w:p>
    <w:p w:rsidRPr="007A47F0" w:rsidR="00531098" w:rsidP="00FE359A" w14:paraId="2BF7D551" w14:textId="002A1E80">
      <w:pPr>
        <w:spacing w:before="120" w:after="120" w:line="276" w:lineRule="auto"/>
      </w:pPr>
      <w:r>
        <w:t>In mijn brief</w:t>
      </w:r>
      <w:r>
        <w:rPr>
          <w:rStyle w:val="FootnoteReference"/>
        </w:rPr>
        <w:footnoteReference w:id="10"/>
      </w:r>
      <w:r>
        <w:t xml:space="preserve"> van</w:t>
      </w:r>
      <w:r w:rsidR="004037CF">
        <w:t xml:space="preserve"> 10 </w:t>
      </w:r>
      <w:r>
        <w:t xml:space="preserve">december </w:t>
      </w:r>
      <w:r w:rsidR="004037CF">
        <w:t>2024</w:t>
      </w:r>
      <w:r>
        <w:t xml:space="preserve"> aan de Eerste Kamer heb ik aangegeven dat verbouwactiviteiten vooralsnog niet onder het stelsel van kwaliteitsborging worden gebracht. Ook heb ik aangegeven dat het besluit om verbouwactiviteiten </w:t>
      </w:r>
      <w:r w:rsidR="009055BD">
        <w:t xml:space="preserve">eventueel </w:t>
      </w:r>
      <w:r>
        <w:t xml:space="preserve">alsnog onder de Wkb te brengen, </w:t>
      </w:r>
      <w:r w:rsidR="009055BD">
        <w:t xml:space="preserve">opnieuw </w:t>
      </w:r>
      <w:r>
        <w:t xml:space="preserve">aan de Kamers zal worden voorgehangen. In lijn daarmee is </w:t>
      </w:r>
      <w:r w:rsidR="007A47F0">
        <w:t xml:space="preserve">in dit artikel geregeld dat </w:t>
      </w:r>
      <w:r w:rsidR="00A925C2">
        <w:t xml:space="preserve">wordt </w:t>
      </w:r>
      <w:r w:rsidR="007A47F0">
        <w:t xml:space="preserve">geschrapt dat het vierde lid van artikel 2.17 van het Bbl vervalt op een bij koninklijk besluit te bepalen tijdstip. Hiertoe is </w:t>
      </w:r>
      <w:r>
        <w:t>het tweede lid van artikel II van</w:t>
      </w:r>
      <w:r w:rsidRPr="006672BE">
        <w:rPr>
          <w:b/>
          <w:bCs/>
          <w:i/>
          <w:iCs/>
        </w:rPr>
        <w:t xml:space="preserve"> </w:t>
      </w:r>
      <w:r w:rsidRPr="007A47F0">
        <w:t xml:space="preserve">het </w:t>
      </w:r>
      <w:r w:rsidR="009055BD">
        <w:t xml:space="preserve">Besluit tot wijziging van het </w:t>
      </w:r>
      <w:r w:rsidRPr="007A47F0">
        <w:t>Besluit bouwwerken leefomgeving in verband met de periodieke beoordeling van gebouwen, de aanscherping van de schileisen van tijdelijke woningen en enkele andere wijzigingen</w:t>
      </w:r>
      <w:r>
        <w:t xml:space="preserve"> vervallen. </w:t>
      </w:r>
    </w:p>
    <w:p w:rsidRPr="007A47F0" w:rsidR="00531098" w:rsidP="00FE359A" w14:paraId="5EC7C257" w14:textId="77777777">
      <w:pPr>
        <w:spacing w:before="120" w:after="120" w:line="276" w:lineRule="auto"/>
        <w:rPr>
          <w:b/>
          <w:bCs/>
          <w:i/>
          <w:iCs/>
        </w:rPr>
      </w:pPr>
    </w:p>
    <w:p w:rsidRPr="006A70DA" w:rsidR="00FE359A" w:rsidP="00FE359A" w14:paraId="0F011850" w14:textId="4BDC4AFA">
      <w:pPr>
        <w:spacing w:before="120" w:after="120" w:line="276" w:lineRule="auto"/>
        <w:rPr>
          <w:b/>
          <w:bCs/>
          <w:i/>
        </w:rPr>
      </w:pPr>
      <w:r w:rsidRPr="006A70DA">
        <w:rPr>
          <w:b/>
          <w:bCs/>
          <w:i/>
        </w:rPr>
        <w:t>Artikel I</w:t>
      </w:r>
      <w:r w:rsidR="00531098">
        <w:rPr>
          <w:b/>
          <w:bCs/>
          <w:i/>
        </w:rPr>
        <w:t>V</w:t>
      </w:r>
      <w:r w:rsidRPr="006A70DA" w:rsidR="001F6862">
        <w:rPr>
          <w:b/>
          <w:bCs/>
          <w:i/>
        </w:rPr>
        <w:t xml:space="preserve"> (inwerkingtreding)</w:t>
      </w:r>
    </w:p>
    <w:p w:rsidRPr="00FE359A" w:rsidR="00FE359A" w:rsidP="00FE359A" w14:paraId="1D4E8D7B" w14:textId="0A704FAC">
      <w:pPr>
        <w:spacing w:before="120" w:after="120" w:line="276" w:lineRule="auto"/>
      </w:pPr>
      <w:r>
        <w:t>In dit artikel is de inwerkingtreding gerege</w:t>
      </w:r>
      <w:r w:rsidR="00832A45">
        <w:t xml:space="preserve">ld. Hierbij zal worden aangesloten bij de vaste verandermomenten. </w:t>
      </w:r>
    </w:p>
    <w:p w:rsidRPr="00FE359A" w:rsidR="00FE359A" w:rsidP="00FE359A" w14:paraId="699668DE" w14:textId="77777777">
      <w:pPr>
        <w:spacing w:before="120" w:after="120" w:line="276" w:lineRule="auto"/>
      </w:pPr>
    </w:p>
    <w:p w:rsidRPr="00FE359A" w:rsidR="00FE359A" w:rsidP="00FE359A" w14:paraId="4A420DE6" w14:textId="1869A297">
      <w:pPr>
        <w:spacing w:before="120" w:after="120" w:line="276" w:lineRule="auto"/>
      </w:pPr>
      <w:r w:rsidRPr="00FE359A">
        <w:t>De minister v</w:t>
      </w:r>
      <w:r>
        <w:t>an</w:t>
      </w:r>
      <w:r w:rsidR="00BF67FF">
        <w:t xml:space="preserve"> Volkshuisvesting en Ruimtelijke Ordening</w:t>
      </w:r>
      <w:r w:rsidRPr="00FE359A">
        <w:t xml:space="preserve">, </w:t>
      </w:r>
    </w:p>
    <w:p w:rsidRPr="00FE359A" w:rsidR="00FE359A" w:rsidP="00FE359A" w14:paraId="631C170E" w14:textId="77777777">
      <w:pPr>
        <w:spacing w:before="120" w:after="120" w:line="276" w:lineRule="auto"/>
      </w:pPr>
    </w:p>
    <w:p w:rsidRPr="00FE359A" w:rsidR="00FE359A" w:rsidP="00FE359A" w14:paraId="47AD6082" w14:textId="77777777">
      <w:pPr>
        <w:spacing w:before="120" w:after="120" w:line="276" w:lineRule="auto"/>
      </w:pPr>
    </w:p>
    <w:p w:rsidRPr="00FE359A" w:rsidR="00FE359A" w:rsidP="00FE359A" w14:paraId="615C2EB2" w14:textId="77777777">
      <w:pPr>
        <w:spacing w:before="120" w:after="120" w:line="276" w:lineRule="auto"/>
      </w:pPr>
    </w:p>
    <w:p w:rsidRPr="00FE359A" w:rsidR="00FE359A" w:rsidP="00FE359A" w14:paraId="287849D8" w14:textId="77777777">
      <w:pPr>
        <w:spacing w:before="120" w:after="120" w:line="276" w:lineRule="auto"/>
      </w:pPr>
    </w:p>
    <w:p w:rsidRPr="00FE359A" w:rsidR="00FE359A" w:rsidP="00FE359A" w14:paraId="29B59B84" w14:textId="77777777">
      <w:pPr>
        <w:spacing w:before="120" w:after="120" w:line="276" w:lineRule="auto"/>
      </w:pPr>
    </w:p>
    <w:p w:rsidRPr="00823B88" w:rsidR="002A02C7" w:rsidP="001D4C39" w14:paraId="49ADFD1A" w14:textId="730D940C">
      <w:pPr>
        <w:spacing w:before="120" w:after="120" w:line="276" w:lineRule="auto"/>
        <w:rPr>
          <w:bCs/>
        </w:rPr>
      </w:pPr>
      <w:r>
        <w:t>M. Keijzer</w:t>
      </w:r>
    </w:p>
    <w:sectPr w:rsidSect="008E67D9">
      <w:pgSz w:w="11905" w:h="16837"/>
      <w:pgMar w:top="-1985" w:right="1765" w:bottom="1128" w:left="2011"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756" w14:paraId="7F4B80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7FD" w14:paraId="17DE143A" w14:textId="77777777">
    <w:pPr>
      <w:spacing w:after="2339"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756" w14:paraId="2743D2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807A0" w14:paraId="3C76DF42" w14:textId="77777777">
      <w:pPr>
        <w:spacing w:line="240" w:lineRule="auto"/>
      </w:pPr>
      <w:r>
        <w:separator/>
      </w:r>
    </w:p>
  </w:footnote>
  <w:footnote w:type="continuationSeparator" w:id="1">
    <w:p w:rsidR="00D807A0" w14:paraId="6C7B25DE" w14:textId="77777777">
      <w:pPr>
        <w:spacing w:line="240" w:lineRule="auto"/>
      </w:pPr>
      <w:r>
        <w:continuationSeparator/>
      </w:r>
    </w:p>
  </w:footnote>
  <w:footnote w:type="continuationNotice" w:id="2">
    <w:p w:rsidR="00D807A0" w14:paraId="07F341F4" w14:textId="77777777">
      <w:pPr>
        <w:spacing w:line="240" w:lineRule="auto"/>
      </w:pPr>
    </w:p>
  </w:footnote>
  <w:footnote w:id="3">
    <w:p w:rsidR="002870AF" w:rsidRPr="00CB6208" w:rsidP="002870AF" w14:paraId="2DA680D9" w14:textId="6AF57EE0">
      <w:pPr>
        <w:pStyle w:val="FootnoteText"/>
        <w:rPr>
          <w:rFonts w:ascii="Verdana" w:hAnsi="Verdana"/>
          <w:sz w:val="16"/>
          <w:szCs w:val="16"/>
          <w:lang w:val="nl-NL"/>
        </w:rPr>
      </w:pPr>
      <w:r w:rsidRPr="00CB6208">
        <w:rPr>
          <w:rStyle w:val="FootnoteReference"/>
          <w:rFonts w:ascii="Verdana" w:hAnsi="Verdana"/>
          <w:sz w:val="16"/>
          <w:szCs w:val="16"/>
        </w:rPr>
        <w:footnoteRef/>
      </w:r>
      <w:r w:rsidRPr="00CB6208">
        <w:rPr>
          <w:rFonts w:ascii="Verdana" w:hAnsi="Verdana"/>
          <w:sz w:val="16"/>
          <w:szCs w:val="16"/>
          <w:lang w:val="nl-NL"/>
        </w:rPr>
        <w:t xml:space="preserve"> Kamerstukken I</w:t>
      </w:r>
      <w:r w:rsidRPr="00CB6208" w:rsidR="00726DAF">
        <w:rPr>
          <w:rFonts w:ascii="Verdana" w:hAnsi="Verdana"/>
          <w:sz w:val="16"/>
          <w:szCs w:val="16"/>
          <w:lang w:val="nl-NL"/>
        </w:rPr>
        <w:t xml:space="preserve"> 2023/24</w:t>
      </w:r>
      <w:r w:rsidRPr="00CB6208">
        <w:rPr>
          <w:rFonts w:ascii="Verdana" w:hAnsi="Verdana"/>
          <w:sz w:val="16"/>
          <w:szCs w:val="16"/>
          <w:lang w:val="nl-NL"/>
        </w:rPr>
        <w:t>, 34 453, AV</w:t>
      </w:r>
      <w:r w:rsidRPr="00CB6208" w:rsidR="00726DAF">
        <w:rPr>
          <w:rFonts w:ascii="Verdana" w:hAnsi="Verdana"/>
          <w:sz w:val="16"/>
          <w:szCs w:val="16"/>
          <w:lang w:val="nl-NL"/>
        </w:rPr>
        <w:t>.</w:t>
      </w:r>
    </w:p>
  </w:footnote>
  <w:footnote w:id="4">
    <w:p w:rsidR="00AF7F61" w:rsidRPr="00CB6208" w14:paraId="6E3E3CC1" w14:textId="472B43BF">
      <w:pPr>
        <w:pStyle w:val="FootnoteText"/>
        <w:rPr>
          <w:rFonts w:ascii="Verdana" w:hAnsi="Verdana"/>
          <w:sz w:val="16"/>
          <w:szCs w:val="16"/>
          <w:lang w:val="nl-NL"/>
        </w:rPr>
      </w:pPr>
      <w:r w:rsidRPr="00CB6208">
        <w:rPr>
          <w:rStyle w:val="FootnoteReference"/>
          <w:rFonts w:ascii="Verdana" w:hAnsi="Verdana"/>
          <w:sz w:val="16"/>
          <w:szCs w:val="16"/>
        </w:rPr>
        <w:footnoteRef/>
      </w:r>
      <w:r w:rsidRPr="00CB6208">
        <w:rPr>
          <w:rFonts w:ascii="Verdana" w:hAnsi="Verdana"/>
          <w:sz w:val="16"/>
          <w:szCs w:val="16"/>
          <w:lang w:val="nl-NL"/>
        </w:rPr>
        <w:t xml:space="preserve"> In de brief van 18 december 2023 aan de Eerste Kamer en in het ontwerpbesluit dat ter consultatie is voorgelegd is sprake van een door het bevoegd gezag te nemen ingebruiknamebesluit. </w:t>
      </w:r>
      <w:r w:rsidRPr="00CB6208" w:rsidR="00CB6208">
        <w:rPr>
          <w:rFonts w:ascii="Verdana" w:hAnsi="Verdana"/>
          <w:sz w:val="16"/>
          <w:szCs w:val="16"/>
          <w:lang w:val="nl-NL"/>
        </w:rPr>
        <w:t xml:space="preserve">Volgens </w:t>
      </w:r>
      <w:r w:rsidRPr="00CB6208">
        <w:rPr>
          <w:rFonts w:ascii="Verdana" w:hAnsi="Verdana"/>
          <w:sz w:val="16"/>
          <w:szCs w:val="16"/>
          <w:lang w:val="nl-NL"/>
        </w:rPr>
        <w:t>de</w:t>
      </w:r>
      <w:r>
        <w:rPr>
          <w:lang w:val="nl-NL"/>
        </w:rPr>
        <w:t xml:space="preserve"> </w:t>
      </w:r>
      <w:r w:rsidRPr="00CB6208">
        <w:rPr>
          <w:rFonts w:ascii="Verdana" w:hAnsi="Verdana"/>
          <w:sz w:val="16"/>
          <w:szCs w:val="16"/>
          <w:lang w:val="nl-NL"/>
        </w:rPr>
        <w:t xml:space="preserve">systematiek van de Omgevingswet is dit aangepast naar de mogelijk voor het bevoegd gezag om een maatwerkvoorschrift </w:t>
      </w:r>
      <w:r w:rsidRPr="00CB6208" w:rsidR="00D501C6">
        <w:rPr>
          <w:rFonts w:ascii="Verdana" w:hAnsi="Verdana"/>
          <w:sz w:val="16"/>
          <w:szCs w:val="16"/>
          <w:lang w:val="nl-NL"/>
        </w:rPr>
        <w:t>te stellen</w:t>
      </w:r>
      <w:r w:rsidRPr="00CB6208">
        <w:rPr>
          <w:rFonts w:ascii="Verdana" w:hAnsi="Verdana"/>
          <w:sz w:val="16"/>
          <w:szCs w:val="16"/>
          <w:lang w:val="nl-NL"/>
        </w:rPr>
        <w:t>.</w:t>
      </w:r>
    </w:p>
  </w:footnote>
  <w:footnote w:id="5">
    <w:p w:rsidR="000A672C" w:rsidRPr="000A672C" w14:paraId="3F744140" w14:textId="119AD4AA">
      <w:pPr>
        <w:pStyle w:val="FootnoteText"/>
        <w:rPr>
          <w:lang w:val="nl-NL"/>
        </w:rPr>
      </w:pPr>
      <w:r w:rsidRPr="00CB6208">
        <w:rPr>
          <w:rStyle w:val="FootnoteReference"/>
          <w:rFonts w:ascii="Verdana" w:hAnsi="Verdana"/>
          <w:sz w:val="16"/>
          <w:szCs w:val="16"/>
        </w:rPr>
        <w:footnoteRef/>
      </w:r>
      <w:r w:rsidRPr="00CB6208">
        <w:rPr>
          <w:rFonts w:ascii="Verdana" w:hAnsi="Verdana"/>
          <w:sz w:val="16"/>
          <w:szCs w:val="16"/>
          <w:lang w:val="nl-NL"/>
        </w:rPr>
        <w:t xml:space="preserve"> </w:t>
      </w:r>
      <w:r w:rsidRPr="00CB6208">
        <w:rPr>
          <w:rFonts w:ascii="Verdana" w:hAnsi="Verdana"/>
          <w:i/>
          <w:iCs/>
          <w:sz w:val="16"/>
          <w:szCs w:val="16"/>
          <w:lang w:val="nl-NL"/>
        </w:rPr>
        <w:t>Kamerstukken I 2021-22</w:t>
      </w:r>
      <w:r w:rsidRPr="00CB6208">
        <w:rPr>
          <w:rFonts w:ascii="Verdana" w:hAnsi="Verdana"/>
          <w:sz w:val="16"/>
          <w:szCs w:val="16"/>
          <w:lang w:val="nl-NL"/>
        </w:rPr>
        <w:t>, 34 453, AB, bijlage</w:t>
      </w:r>
    </w:p>
  </w:footnote>
  <w:footnote w:id="6">
    <w:p w:rsidR="009324D0" w:rsidRPr="009324D0" w:rsidP="009324D0" w14:paraId="22523F8F" w14:textId="43930F68">
      <w:pPr>
        <w:pStyle w:val="FootnoteText"/>
        <w:jc w:val="left"/>
        <w:rPr>
          <w:rFonts w:ascii="Verdana" w:hAnsi="Verdana"/>
          <w:lang w:val="nl-NL"/>
        </w:rPr>
      </w:pPr>
      <w:r w:rsidRPr="009324D0">
        <w:rPr>
          <w:rStyle w:val="FootnoteReference"/>
          <w:rFonts w:ascii="Verdana" w:hAnsi="Verdana"/>
          <w:sz w:val="16"/>
          <w:szCs w:val="16"/>
        </w:rPr>
        <w:footnoteRef/>
      </w:r>
      <w:r w:rsidRPr="009324D0">
        <w:rPr>
          <w:rFonts w:ascii="Verdana" w:hAnsi="Verdana"/>
          <w:sz w:val="16"/>
          <w:szCs w:val="16"/>
          <w:lang w:val="nl-NL"/>
        </w:rPr>
        <w:t xml:space="preserve"> Dit betreft logischerwijs niet de gelijkwaardige maatregelen constructieve veiligheid en brandveiligheid aangezien bouwwerken in dat geval geen onderdeel uitmaken van gevolgklasse 1. </w:t>
      </w:r>
    </w:p>
  </w:footnote>
  <w:footnote w:id="7">
    <w:p w:rsidR="001B0D0B" w:rsidRPr="007A47F0" w14:paraId="2511CFC2" w14:textId="776793A3">
      <w:pPr>
        <w:pStyle w:val="FootnoteText"/>
        <w:rPr>
          <w:lang w:val="nl-NL"/>
        </w:rPr>
      </w:pPr>
      <w:r>
        <w:rPr>
          <w:rStyle w:val="FootnoteReference"/>
        </w:rPr>
        <w:footnoteRef/>
      </w:r>
      <w:r w:rsidRPr="007A47F0">
        <w:rPr>
          <w:lang w:val="nl-NL"/>
        </w:rPr>
        <w:t xml:space="preserve"> </w:t>
      </w:r>
      <w:r w:rsidRPr="007A47F0">
        <w:rPr>
          <w:rFonts w:ascii="Verdana" w:hAnsi="Verdana"/>
          <w:sz w:val="16"/>
          <w:szCs w:val="16"/>
          <w:lang w:val="nl-NL"/>
        </w:rPr>
        <w:t>ABRvS 30 juni 2004, </w:t>
      </w:r>
      <w:hyperlink r:id="rId1" w:history="1">
        <w:r w:rsidRPr="007A47F0">
          <w:rPr>
            <w:rStyle w:val="Hyperlink"/>
            <w:rFonts w:ascii="Verdana" w:hAnsi="Verdana"/>
            <w:sz w:val="16"/>
            <w:szCs w:val="16"/>
            <w:lang w:val="nl-NL"/>
          </w:rPr>
          <w:t>AB</w:t>
        </w:r>
        <w:r w:rsidRPr="007A47F0">
          <w:rPr>
            <w:rStyle w:val="Hyperlink"/>
            <w:rFonts w:ascii="Verdana" w:hAnsi="Verdana"/>
            <w:i/>
            <w:iCs/>
            <w:sz w:val="16"/>
            <w:szCs w:val="16"/>
            <w:lang w:val="nl-NL"/>
          </w:rPr>
          <w:t> </w:t>
        </w:r>
        <w:r w:rsidRPr="007A47F0">
          <w:rPr>
            <w:rStyle w:val="Hyperlink"/>
            <w:rFonts w:ascii="Verdana" w:hAnsi="Verdana"/>
            <w:sz w:val="16"/>
            <w:szCs w:val="16"/>
            <w:lang w:val="nl-NL"/>
          </w:rPr>
          <w:t>2004/320</w:t>
        </w:r>
      </w:hyperlink>
      <w:r w:rsidRPr="007A47F0">
        <w:rPr>
          <w:rFonts w:ascii="Verdana" w:hAnsi="Verdana"/>
          <w:sz w:val="16"/>
          <w:szCs w:val="16"/>
          <w:lang w:val="nl-NL"/>
        </w:rPr>
        <w:t>; JB</w:t>
      </w:r>
      <w:r w:rsidRPr="007A47F0">
        <w:rPr>
          <w:rFonts w:ascii="Verdana" w:hAnsi="Verdana"/>
          <w:i/>
          <w:iCs/>
          <w:sz w:val="16"/>
          <w:szCs w:val="16"/>
          <w:lang w:val="nl-NL"/>
        </w:rPr>
        <w:t> </w:t>
      </w:r>
      <w:r w:rsidRPr="007A47F0">
        <w:rPr>
          <w:rFonts w:ascii="Verdana" w:hAnsi="Verdana"/>
          <w:sz w:val="16"/>
          <w:szCs w:val="16"/>
          <w:lang w:val="nl-NL"/>
        </w:rPr>
        <w:t>2004/293.</w:t>
      </w:r>
    </w:p>
  </w:footnote>
  <w:footnote w:id="8">
    <w:p w:rsidR="00E367D6" w:rsidRPr="00E367D6" w14:paraId="2CE2E192" w14:textId="56DF1A84">
      <w:pPr>
        <w:pStyle w:val="FootnoteText"/>
        <w:rPr>
          <w:rFonts w:ascii="Verdana" w:hAnsi="Verdana"/>
          <w:lang w:val="nl-NL"/>
        </w:rPr>
      </w:pPr>
      <w:r w:rsidRPr="00E367D6">
        <w:rPr>
          <w:rStyle w:val="FootnoteReference"/>
          <w:rFonts w:ascii="Verdana" w:hAnsi="Verdana"/>
          <w:sz w:val="16"/>
          <w:szCs w:val="16"/>
        </w:rPr>
        <w:footnoteRef/>
      </w:r>
      <w:r w:rsidRPr="00E367D6">
        <w:rPr>
          <w:rFonts w:ascii="Verdana" w:hAnsi="Verdana"/>
          <w:sz w:val="16"/>
          <w:szCs w:val="16"/>
          <w:lang w:val="nl-NL"/>
        </w:rPr>
        <w:t xml:space="preserve"> </w:t>
      </w:r>
      <w:r w:rsidR="006F08B1">
        <w:rPr>
          <w:rFonts w:ascii="Verdana" w:hAnsi="Verdana"/>
          <w:sz w:val="16"/>
          <w:szCs w:val="16"/>
          <w:lang w:val="nl-NL"/>
        </w:rPr>
        <w:t>Vergelijk</w:t>
      </w:r>
      <w:r w:rsidRPr="00E367D6">
        <w:rPr>
          <w:rFonts w:ascii="Verdana" w:hAnsi="Verdana"/>
          <w:sz w:val="16"/>
          <w:szCs w:val="16"/>
          <w:lang w:val="nl-NL"/>
        </w:rPr>
        <w:t xml:space="preserve"> ECLI:N</w:t>
      </w:r>
      <w:r w:rsidR="009055BD">
        <w:rPr>
          <w:rFonts w:ascii="Verdana" w:hAnsi="Verdana"/>
          <w:sz w:val="16"/>
          <w:szCs w:val="16"/>
          <w:lang w:val="nl-NL"/>
        </w:rPr>
        <w:t>L</w:t>
      </w:r>
      <w:r w:rsidRPr="00E367D6">
        <w:rPr>
          <w:rFonts w:ascii="Verdana" w:hAnsi="Verdana"/>
          <w:sz w:val="16"/>
          <w:szCs w:val="16"/>
          <w:lang w:val="nl-NL"/>
        </w:rPr>
        <w:t>:RVS:2019:1775, r.o. 18.1</w:t>
      </w:r>
      <w:r w:rsidR="00E00933">
        <w:rPr>
          <w:rFonts w:ascii="Verdana" w:hAnsi="Verdana"/>
          <w:sz w:val="16"/>
          <w:szCs w:val="16"/>
          <w:lang w:val="nl-NL"/>
        </w:rPr>
        <w:t>,</w:t>
      </w:r>
      <w:r w:rsidRPr="00E367D6">
        <w:rPr>
          <w:rFonts w:ascii="Verdana" w:hAnsi="Verdana"/>
          <w:sz w:val="16"/>
          <w:szCs w:val="16"/>
          <w:lang w:val="nl-NL"/>
        </w:rPr>
        <w:t xml:space="preserve"> waarin is aangegeven dat vaststelling van feiten door een ter zake deskundige medewerker van het bevoegd gezag, door een ter zake deskundige persoon in opdracht van het bevoegd gezag of door een ter zake deskundige persoon wiens bevindingen het bevoegd gezag voor zijn rekening heeft genomen moet worden gedaan.</w:t>
      </w:r>
      <w:r>
        <w:rPr>
          <w:rFonts w:ascii="Verdana" w:hAnsi="Verdana"/>
          <w:sz w:val="16"/>
          <w:szCs w:val="16"/>
          <w:lang w:val="nl-NL"/>
        </w:rPr>
        <w:t xml:space="preserve"> </w:t>
      </w:r>
    </w:p>
  </w:footnote>
  <w:footnote w:id="9">
    <w:p w:rsidR="003E1855" w:rsidRPr="00753B3F" w:rsidP="003E1855" w14:paraId="57E9124A" w14:textId="77777777">
      <w:pPr>
        <w:pStyle w:val="FootnoteText"/>
        <w:rPr>
          <w:lang w:val="nl-NL"/>
        </w:rPr>
      </w:pPr>
      <w:r>
        <w:rPr>
          <w:rStyle w:val="FootnoteReference"/>
        </w:rPr>
        <w:footnoteRef/>
      </w:r>
      <w:r w:rsidRPr="00753B3F">
        <w:rPr>
          <w:lang w:val="nl-NL"/>
        </w:rPr>
        <w:t xml:space="preserve"> </w:t>
      </w:r>
      <w:r w:rsidRPr="00FD10A6">
        <w:rPr>
          <w:rFonts w:ascii="Verdana" w:hAnsi="Verdana"/>
          <w:sz w:val="16"/>
          <w:szCs w:val="16"/>
          <w:lang w:val="nl-NL"/>
        </w:rPr>
        <w:t>Handreiking Toezicht en handhaving Wet kwaliteitsborging bouw, Handelingsperspectieven voor gemeente. Versie 2. VNG, januari 2024</w:t>
      </w:r>
    </w:p>
  </w:footnote>
  <w:footnote w:id="10">
    <w:p w:rsidR="007A47F0" w:rsidRPr="007A47F0" w14:paraId="5A686969" w14:textId="61F361B5">
      <w:pPr>
        <w:pStyle w:val="FootnoteText"/>
        <w:rPr>
          <w:lang w:val="nl-NL"/>
        </w:rPr>
      </w:pPr>
      <w:r>
        <w:rPr>
          <w:rStyle w:val="FootnoteReference"/>
        </w:rPr>
        <w:footnoteRef/>
      </w:r>
      <w:r>
        <w:t xml:space="preserve"> </w:t>
      </w:r>
      <w:r w:rsidRPr="00A31D20">
        <w:rPr>
          <w:rFonts w:ascii="Verdana" w:hAnsi="Verdana"/>
          <w:sz w:val="16"/>
          <w:szCs w:val="16"/>
          <w:lang w:val="nl-NL"/>
        </w:rPr>
        <w:t xml:space="preserve">Kamerstukken I, 2023/24, </w:t>
      </w:r>
      <w:r>
        <w:rPr>
          <w:rFonts w:ascii="Verdana" w:hAnsi="Verdana"/>
          <w:sz w:val="16"/>
          <w:szCs w:val="16"/>
          <w:lang w:val="nl-NL"/>
        </w:rPr>
        <w:t xml:space="preserve">34 453, </w:t>
      </w:r>
      <w:r w:rsidRPr="00A31D20">
        <w:rPr>
          <w:rFonts w:ascii="Verdana" w:hAnsi="Verdana"/>
          <w:sz w:val="16"/>
          <w:szCs w:val="16"/>
          <w:lang w:val="nl-NL"/>
        </w:rPr>
        <w:t>nr.</w:t>
      </w:r>
      <w:r>
        <w:rPr>
          <w:rFonts w:ascii="Verdana" w:hAnsi="Verdana"/>
          <w:sz w:val="16"/>
          <w:szCs w:val="16"/>
          <w:lang w:val="nl-NL"/>
        </w:rPr>
        <w:t xml:space="preserve"> 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756" w14:paraId="046974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7FD" w14:paraId="1A808D58" w14:textId="77777777">
    <w:r>
      <w:rPr>
        <w:noProof/>
      </w:rPr>
      <mc:AlternateContent>
        <mc:Choice Requires="wps">
          <w:drawing>
            <wp:anchor distT="0" distB="0" distL="0" distR="0" simplePos="0" relativeHeight="251658240" behindDoc="0" locked="1" layoutInCell="1" allowOverlap="1">
              <wp:simplePos x="0" y="0"/>
              <wp:positionH relativeFrom="page">
                <wp:posOffset>5932170</wp:posOffset>
              </wp:positionH>
              <wp:positionV relativeFrom="page">
                <wp:posOffset>10223500</wp:posOffset>
              </wp:positionV>
              <wp:extent cx="1247140" cy="142875"/>
              <wp:effectExtent l="0" t="0" r="0" b="0"/>
              <wp:wrapNone/>
              <wp:docPr id="5" name="Tekstvak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7140" cy="142875"/>
                      </a:xfrm>
                      <a:prstGeom prst="rect">
                        <a:avLst/>
                      </a:prstGeom>
                      <a:noFill/>
                    </wps:spPr>
                    <wps:txbx>
                      <w:txbxContent>
                        <w:p>
                          <w:pPr>
                            <w:pStyle w:val="Referentiegegevens"/>
                          </w:pPr>
                          <w:r>
                            <w:fldChar w:fldCharType="begin"/>
                          </w:r>
                          <w:r>
                            <w:instrText>PAGE</w:instrText>
                          </w:r>
                          <w:r>
                            <w:fldChar w:fldCharType="separate"/>
                          </w:r>
                          <w:r>
                            <w:t>19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5" o:spid="_x0000_s2049" type="#_x0000_t202" style="width:98.2pt;height:11.25pt;margin-top:805pt;margin-left:467.1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pPr>
                      <w:pStyle w:val="Referentiegegevens"/>
                    </w:pPr>
                    <w:r>
                      <w:fldChar w:fldCharType="begin"/>
                    </w:r>
                    <w:r>
                      <w:instrText>PAGE</w:instrText>
                    </w:r>
                    <w:r>
                      <w:fldChar w:fldCharType="separate"/>
                    </w:r>
                    <w:r>
                      <w:t>19</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77FD" w14:paraId="3E004799" w14:textId="77777777">
    <w:pPr>
      <w:spacing w:after="8691" w:line="14" w:lineRule="exact"/>
    </w:pPr>
    <w:r>
      <w:rPr>
        <w:noProof/>
      </w:rPr>
      <mc:AlternateContent>
        <mc:Choice Requires="wps">
          <w:drawing>
            <wp:anchor distT="0" distB="0" distL="0" distR="0" simplePos="0" relativeHeight="251660288" behindDoc="0" locked="1" layoutInCell="1" allowOverlap="1">
              <wp:simplePos x="0" y="0"/>
              <wp:positionH relativeFrom="page">
                <wp:posOffset>816610</wp:posOffset>
              </wp:positionH>
              <wp:positionV relativeFrom="page">
                <wp:posOffset>0</wp:posOffset>
              </wp:positionV>
              <wp:extent cx="6638290" cy="2562860"/>
              <wp:effectExtent l="0" t="0" r="0" b="0"/>
              <wp:wrapNone/>
              <wp:docPr id="1" name="Tekstvak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638290" cy="2562860"/>
                      </a:xfrm>
                      <a:prstGeom prst="rect">
                        <a:avLst/>
                      </a:prstGeom>
                      <a:noFill/>
                    </wps:spPr>
                    <wps:txbx>
                      <w:txbxContent>
                        <w:p w:rsidR="00AE77FD" w14:textId="77777777">
                          <w:pPr>
                            <w:spacing w:line="240" w:lineRule="auto"/>
                          </w:pPr>
                          <w:r>
                            <w:rPr>
                              <w:noProof/>
                            </w:rPr>
                            <w:drawing>
                              <wp:inline distT="0" distB="0" distL="0" distR="0">
                                <wp:extent cx="6638290" cy="2561979"/>
                                <wp:effectExtent l="0" t="0" r="0" b="0"/>
                                <wp:docPr id="1771788936" name="Afbeelding 2"/>
                                <wp:cNvGraphicFramePr/>
                                <a:graphic xmlns:a="http://schemas.openxmlformats.org/drawingml/2006/main">
                                  <a:graphicData uri="http://schemas.openxmlformats.org/drawingml/2006/picture">
                                    <pic:pic xmlns:pic="http://schemas.openxmlformats.org/drawingml/2006/picture">
                                      <pic:nvPicPr>
                                        <pic:cNvPr id="1771788936" name="Wij_Willem_Alexander"/>
                                        <pic:cNvPicPr/>
                                      </pic:nvPicPr>
                                      <pic:blipFill>
                                        <a:blip xmlns:r="http://schemas.openxmlformats.org/officeDocument/2006/relationships" r:embed="rId1"/>
                                        <a:stretch>
                                          <a:fillRect/>
                                        </a:stretch>
                                      </pic:blipFill>
                                      <pic:spPr bwMode="auto">
                                        <a:xfrm>
                                          <a:off x="0" y="0"/>
                                          <a:ext cx="6638290" cy="2561979"/>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1" o:spid="_x0000_s2050" type="#_x0000_t202" style="width:522.7pt;height:201.8pt;margin-top:0;margin-left:64.3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E77FD" w14:paraId="47986622" w14:textId="77777777">
                    <w:pPr>
                      <w:spacing w:line="240" w:lineRule="auto"/>
                    </w:pPr>
                    <w:drawing>
                      <wp:inline distT="0" distB="0" distL="0" distR="0">
                        <wp:extent cx="6638290" cy="256197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xmlns:r="http://schemas.openxmlformats.org/officeDocument/2006/relationships" r:embed="rId1"/>
                                <a:stretch>
                                  <a:fillRect/>
                                </a:stretch>
                              </pic:blipFill>
                              <pic:spPr bwMode="auto">
                                <a:xfrm>
                                  <a:off x="0" y="0"/>
                                  <a:ext cx="6638290" cy="2561979"/>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1281430</wp:posOffset>
              </wp:positionH>
              <wp:positionV relativeFrom="page">
                <wp:posOffset>3495675</wp:posOffset>
              </wp:positionV>
              <wp:extent cx="5495925" cy="628015"/>
              <wp:effectExtent l="0" t="0" r="0" b="0"/>
              <wp:wrapNone/>
              <wp:docPr id="3" name="Tekstvak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5925" cy="628015"/>
                      </a:xfrm>
                      <a:prstGeom prst="rect">
                        <a:avLst/>
                      </a:prstGeom>
                      <a:noFill/>
                    </wps:spPr>
                    <wps:txbx>
                      <w:txbxContent>
                        <w:p w:rsidR="00AE77FD" w14:textId="77777777"/>
                      </w:txbxContent>
                    </wps:txbx>
                    <wps:bodyPr vert="horz" wrap="square" lIns="0" tIns="0" rIns="0" bIns="0" anchor="t" anchorCtr="0"/>
                  </wps:wsp>
                </a:graphicData>
              </a:graphic>
            </wp:anchor>
          </w:drawing>
        </mc:Choice>
        <mc:Fallback>
          <w:pict>
            <v:shape id="Tekstvak 3" o:spid="_x0000_s2051" type="#_x0000_t202" style="width:432.75pt;height:49.45pt;margin-top:275.25pt;margin-left:100.9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AE77FD" w14:paraId="70557422"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1287780</wp:posOffset>
              </wp:positionH>
              <wp:positionV relativeFrom="page">
                <wp:posOffset>3195955</wp:posOffset>
              </wp:positionV>
              <wp:extent cx="5495925" cy="2774950"/>
              <wp:effectExtent l="0" t="0" r="0" b="0"/>
              <wp:wrapNone/>
              <wp:docPr id="4" name="Tekstvak 4"/>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5925" cy="2774950"/>
                      </a:xfrm>
                      <a:prstGeom prst="rect">
                        <a:avLst/>
                      </a:prstGeom>
                      <a:noFill/>
                    </wps:spPr>
                    <wps:txbx>
                      <w:txbxContent>
                        <w:p w:rsidR="004D2E01" w:rsidP="004D2E01" w14:textId="08A7C484">
                          <w:bookmarkStart w:id="1" w:name="_Hlk134788207"/>
                          <w:r>
                            <w:t xml:space="preserve">Besluit van </w:t>
                          </w:r>
                        </w:p>
                        <w:p w:rsidR="004D2E01" w:rsidP="004D2E01" w14:textId="1C8FE6F7">
                          <w:r>
                            <w:t>h</w:t>
                          </w:r>
                          <w:r>
                            <w:t xml:space="preserve">oudende </w:t>
                          </w:r>
                          <w:r w:rsidR="00350DDB">
                            <w:t xml:space="preserve">wijziging van het Besluit bouwwerken leefomgeving </w:t>
                          </w:r>
                          <w:r w:rsidR="00804E5C">
                            <w:t xml:space="preserve">en het Aanwijzingsbesluit Wet kenbaarheid publiekrechtelijke beperkingen onroerende zaken </w:t>
                          </w:r>
                          <w:r w:rsidR="00350DDB">
                            <w:t xml:space="preserve">in verband met het regelen </w:t>
                          </w:r>
                          <w:r w:rsidR="001B3545">
                            <w:t>van</w:t>
                          </w:r>
                          <w:r w:rsidR="00350DDB">
                            <w:t xml:space="preserve"> een </w:t>
                          </w:r>
                          <w:r w:rsidR="00936C30">
                            <w:t>maatwerkvoorschrift</w:t>
                          </w:r>
                          <w:r w:rsidR="00350DDB">
                            <w:t xml:space="preserve"> ingebruikname</w:t>
                          </w:r>
                          <w:bookmarkEnd w:id="1"/>
                          <w:r w:rsidR="00BB4B31">
                            <w:t xml:space="preserve"> en het herstel van enkele wetstechnische gebreken</w:t>
                          </w:r>
                          <w:r>
                            <w:t>;</w:t>
                          </w:r>
                        </w:p>
                        <w:p w:rsidR="004D2E01" w:rsidP="004D2E01" w14:textId="77777777"/>
                        <w:p w:rsidR="004D2E01" w:rsidP="004D2E01" w14:textId="432B1B0C">
                          <w:r>
                            <w:t>Op de voordracht van Onze Minister v</w:t>
                          </w:r>
                          <w:r w:rsidR="00350DDB">
                            <w:t xml:space="preserve">an </w:t>
                          </w:r>
                          <w:r w:rsidR="00BF67FF">
                            <w:t xml:space="preserve">Volkshuisvesting </w:t>
                          </w:r>
                          <w:r w:rsidR="00350DDB">
                            <w:t xml:space="preserve">en </w:t>
                          </w:r>
                          <w:r w:rsidR="00BF67FF">
                            <w:t>Ruimtelijke Ordening</w:t>
                          </w:r>
                          <w:r>
                            <w:t xml:space="preserve"> van </w:t>
                          </w:r>
                          <w:r w:rsidR="00350DDB">
                            <w:t>..</w:t>
                          </w:r>
                          <w:r w:rsidR="00BE45D3">
                            <w:t xml:space="preserve"> 202</w:t>
                          </w:r>
                          <w:r w:rsidR="00350DDB">
                            <w:t>4</w:t>
                          </w:r>
                          <w:r>
                            <w:t xml:space="preserve">, nr. </w:t>
                          </w:r>
                          <w:r w:rsidRPr="00BE45D3" w:rsidR="00BE45D3">
                            <w:t>202</w:t>
                          </w:r>
                          <w:r w:rsidR="00350DDB">
                            <w:t>4</w:t>
                          </w:r>
                          <w:r w:rsidRPr="00BE45D3" w:rsidR="00BE45D3">
                            <w:t>-0000</w:t>
                          </w:r>
                          <w:r w:rsidR="00350DDB">
                            <w:t>..</w:t>
                          </w:r>
                          <w:r>
                            <w:t xml:space="preserve">, Directie Constitutionele Zaken en Wetgeving; </w:t>
                          </w:r>
                        </w:p>
                        <w:p w:rsidR="004D2E01" w:rsidP="004D2E01" w14:textId="77777777"/>
                        <w:p w:rsidR="004D2E01" w:rsidP="004D2E01" w14:textId="25473E24">
                          <w:r w:rsidRPr="00546FC4">
                            <w:t>Gelet op de artikelen 4.3, eerste lid, aanhef en onder a, 5.1, tweede lid, en 2.24, eerste lid</w:t>
                          </w:r>
                          <w:r w:rsidR="00B13D56">
                            <w:t>,</w:t>
                          </w:r>
                          <w:r w:rsidRPr="00546FC4">
                            <w:t xml:space="preserve"> van de Omgevingswet, artikel 2, eerste lid, van de Wet kenbaarheid publiekrechtelijke beperkingen onroerende zaken en artikel 7ab, eerste lid, van de Woningwet;</w:t>
                          </w:r>
                        </w:p>
                        <w:p w:rsidR="00546FC4" w:rsidP="004D2E01" w14:textId="77777777"/>
                        <w:p w:rsidR="004D2E01" w:rsidP="004D2E01" w14:textId="2418CC93">
                          <w:r>
                            <w:t xml:space="preserve">De Afdeling advisering van de Raad van State gehoord (advies van </w:t>
                          </w:r>
                          <w:r w:rsidR="00350DDB">
                            <w:t>..2024</w:t>
                          </w:r>
                          <w:r>
                            <w:t xml:space="preserve">, nr. </w:t>
                          </w:r>
                          <w:r w:rsidRPr="00BE45D3" w:rsidR="00BE45D3">
                            <w:t>W</w:t>
                          </w:r>
                          <w:r>
                            <w:t>);</w:t>
                          </w:r>
                        </w:p>
                        <w:p w:rsidR="004D2E01" w:rsidP="004D2E01" w14:textId="77777777"/>
                        <w:p w:rsidR="004D2E01" w:rsidP="004D2E01" w14:textId="67B9781E">
                          <w:bookmarkStart w:id="2" w:name="_Hlk136432283"/>
                          <w:r>
                            <w:t>Gezien het nader rapport van Onze Minister v</w:t>
                          </w:r>
                          <w:r w:rsidR="00350DDB">
                            <w:t xml:space="preserve">an </w:t>
                          </w:r>
                          <w:r w:rsidR="00BF67FF">
                            <w:t>Volkshuisvesting en Ruimtelijke Ordening</w:t>
                          </w:r>
                          <w:r w:rsidR="00350DDB">
                            <w:t xml:space="preserve"> </w:t>
                          </w:r>
                          <w:r>
                            <w:t xml:space="preserve">van </w:t>
                          </w:r>
                          <w:r w:rsidR="00350DDB">
                            <w:t>..2024</w:t>
                          </w:r>
                          <w:r>
                            <w:t xml:space="preserve">, nr. </w:t>
                          </w:r>
                          <w:r w:rsidR="00990406">
                            <w:t>202</w:t>
                          </w:r>
                          <w:r w:rsidR="00350DDB">
                            <w:t>4</w:t>
                          </w:r>
                          <w:r w:rsidR="00990406">
                            <w:t>-0000</w:t>
                          </w:r>
                          <w:r w:rsidR="00350DDB">
                            <w:t>…</w:t>
                          </w:r>
                          <w:r>
                            <w:t>, Directie Constitutionele Zaken en Wetgeving;</w:t>
                          </w:r>
                        </w:p>
                        <w:p w:rsidR="00077E10" w:rsidP="004D2E01" w14:textId="77777777"/>
                        <w:p w:rsidR="00077E10" w:rsidP="004D2E01" w14:textId="1D8ACCA2">
                          <w:r>
                            <w:t xml:space="preserve">Hebben goedgevonden en verstaan: </w:t>
                          </w:r>
                        </w:p>
                        <w:p w:rsidR="00077E10" w:rsidP="004D2E01" w14:textId="77777777"/>
                        <w:bookmarkEnd w:id="2"/>
                        <w:p w:rsidR="00AE77FD" w:rsidP="00971BCB" w14:textId="77777777"/>
                        <w:p w:rsidR="00AE77FD" w14:textId="77777777"/>
                      </w:txbxContent>
                    </wps:txbx>
                    <wps:bodyPr vert="horz" wrap="square" lIns="0" tIns="0" rIns="0" bIns="0" anchor="t" anchorCtr="0"/>
                  </wps:wsp>
                </a:graphicData>
              </a:graphic>
              <wp14:sizeRelV relativeFrom="margin">
                <wp14:pctHeight>0</wp14:pctHeight>
              </wp14:sizeRelV>
            </wp:anchor>
          </w:drawing>
        </mc:Choice>
        <mc:Fallback>
          <w:pict>
            <v:shape id="Tekstvak 4" o:spid="_x0000_s2052" type="#_x0000_t202" style="width:432.75pt;height:218.5pt;margin-top:251.65pt;margin-left:101.4pt;mso-height-percent:0;mso-height-relative:margin;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4D2E01" w:rsidP="004D2E01" w14:paraId="33B95954" w14:textId="08A7C484">
                    <w:bookmarkStart w:id="1" w:name="_Hlk134788207"/>
                    <w:r>
                      <w:t xml:space="preserve">Besluit van </w:t>
                    </w:r>
                  </w:p>
                  <w:p w:rsidR="004D2E01" w:rsidP="004D2E01" w14:paraId="68A4CC8C" w14:textId="1C8FE6F7">
                    <w:r>
                      <w:t>h</w:t>
                    </w:r>
                    <w:r>
                      <w:t xml:space="preserve">oudende </w:t>
                    </w:r>
                    <w:r w:rsidR="00350DDB">
                      <w:t xml:space="preserve">wijziging van het Besluit bouwwerken leefomgeving </w:t>
                    </w:r>
                    <w:r w:rsidR="00804E5C">
                      <w:t xml:space="preserve">en het Aanwijzingsbesluit Wet kenbaarheid publiekrechtelijke beperkingen onroerende zaken </w:t>
                    </w:r>
                    <w:r w:rsidR="00350DDB">
                      <w:t xml:space="preserve">in verband met het regelen </w:t>
                    </w:r>
                    <w:r w:rsidR="001B3545">
                      <w:t>van</w:t>
                    </w:r>
                    <w:r w:rsidR="00350DDB">
                      <w:t xml:space="preserve"> een </w:t>
                    </w:r>
                    <w:r w:rsidR="00936C30">
                      <w:t>maatwerkvoorschrift</w:t>
                    </w:r>
                    <w:r w:rsidR="00350DDB">
                      <w:t xml:space="preserve"> ingebruikname</w:t>
                    </w:r>
                    <w:bookmarkEnd w:id="1"/>
                    <w:r w:rsidR="00BB4B31">
                      <w:t xml:space="preserve"> en het herstel van enkele wetstechnische gebreken</w:t>
                    </w:r>
                    <w:r>
                      <w:t>;</w:t>
                    </w:r>
                  </w:p>
                  <w:p w:rsidR="004D2E01" w:rsidP="004D2E01" w14:paraId="1547F951" w14:textId="77777777"/>
                  <w:p w:rsidR="004D2E01" w:rsidP="004D2E01" w14:paraId="053465D5" w14:textId="432B1B0C">
                    <w:r>
                      <w:t>Op de voordracht van Onze Minister v</w:t>
                    </w:r>
                    <w:r w:rsidR="00350DDB">
                      <w:t xml:space="preserve">an </w:t>
                    </w:r>
                    <w:r w:rsidR="00BF67FF">
                      <w:t xml:space="preserve">Volkshuisvesting </w:t>
                    </w:r>
                    <w:r w:rsidR="00350DDB">
                      <w:t xml:space="preserve">en </w:t>
                    </w:r>
                    <w:r w:rsidR="00BF67FF">
                      <w:t>Ruimtelijke Ordening</w:t>
                    </w:r>
                    <w:r>
                      <w:t xml:space="preserve"> van </w:t>
                    </w:r>
                    <w:r w:rsidR="00350DDB">
                      <w:t>..</w:t>
                    </w:r>
                    <w:r w:rsidR="00BE45D3">
                      <w:t xml:space="preserve"> 202</w:t>
                    </w:r>
                    <w:r w:rsidR="00350DDB">
                      <w:t>4</w:t>
                    </w:r>
                    <w:r>
                      <w:t xml:space="preserve">, nr. </w:t>
                    </w:r>
                    <w:r w:rsidRPr="00BE45D3" w:rsidR="00BE45D3">
                      <w:t>202</w:t>
                    </w:r>
                    <w:r w:rsidR="00350DDB">
                      <w:t>4</w:t>
                    </w:r>
                    <w:r w:rsidRPr="00BE45D3" w:rsidR="00BE45D3">
                      <w:t>-0000</w:t>
                    </w:r>
                    <w:r w:rsidR="00350DDB">
                      <w:t>..</w:t>
                    </w:r>
                    <w:r>
                      <w:t xml:space="preserve">, Directie Constitutionele Zaken en Wetgeving; </w:t>
                    </w:r>
                  </w:p>
                  <w:p w:rsidR="004D2E01" w:rsidP="004D2E01" w14:paraId="463341D8" w14:textId="77777777"/>
                  <w:p w:rsidR="004D2E01" w:rsidP="004D2E01" w14:paraId="24089545" w14:textId="25473E24">
                    <w:r w:rsidRPr="00546FC4">
                      <w:t>Gelet op de artikelen 4.3, eerste lid, aanhef en onder a, 5.1, tweede lid, en 2.24, eerste lid</w:t>
                    </w:r>
                    <w:r w:rsidR="00B13D56">
                      <w:t>,</w:t>
                    </w:r>
                    <w:r w:rsidRPr="00546FC4">
                      <w:t xml:space="preserve"> van de Omgevingswet, artikel 2, eerste lid, van de Wet kenbaarheid publiekrechtelijke beperkingen onroerende zaken en artikel 7ab, eerste lid, van de Woningwet;</w:t>
                    </w:r>
                  </w:p>
                  <w:p w:rsidR="00546FC4" w:rsidP="004D2E01" w14:paraId="666CD6BA" w14:textId="77777777"/>
                  <w:p w:rsidR="004D2E01" w:rsidP="004D2E01" w14:paraId="78534CF5" w14:textId="2418CC93">
                    <w:r>
                      <w:t xml:space="preserve">De Afdeling advisering van de Raad van State gehoord (advies van </w:t>
                    </w:r>
                    <w:r w:rsidR="00350DDB">
                      <w:t>..2024</w:t>
                    </w:r>
                    <w:r>
                      <w:t xml:space="preserve">, nr. </w:t>
                    </w:r>
                    <w:r w:rsidRPr="00BE45D3" w:rsidR="00BE45D3">
                      <w:t>W</w:t>
                    </w:r>
                    <w:r>
                      <w:t>);</w:t>
                    </w:r>
                  </w:p>
                  <w:p w:rsidR="004D2E01" w:rsidP="004D2E01" w14:paraId="2EBC4B7D" w14:textId="77777777"/>
                  <w:p w:rsidR="004D2E01" w:rsidP="004D2E01" w14:paraId="08A8D740" w14:textId="67B9781E">
                    <w:bookmarkStart w:id="2" w:name="_Hlk136432283"/>
                    <w:r>
                      <w:t>Gezien het nader rapport van Onze Minister v</w:t>
                    </w:r>
                    <w:r w:rsidR="00350DDB">
                      <w:t xml:space="preserve">an </w:t>
                    </w:r>
                    <w:r w:rsidR="00BF67FF">
                      <w:t>Volkshuisvesting en Ruimtelijke Ordening</w:t>
                    </w:r>
                    <w:r w:rsidR="00350DDB">
                      <w:t xml:space="preserve"> </w:t>
                    </w:r>
                    <w:r>
                      <w:t xml:space="preserve">van </w:t>
                    </w:r>
                    <w:r w:rsidR="00350DDB">
                      <w:t>..2024</w:t>
                    </w:r>
                    <w:r>
                      <w:t xml:space="preserve">, nr. </w:t>
                    </w:r>
                    <w:r w:rsidR="00990406">
                      <w:t>202</w:t>
                    </w:r>
                    <w:r w:rsidR="00350DDB">
                      <w:t>4</w:t>
                    </w:r>
                    <w:r w:rsidR="00990406">
                      <w:t>-0000</w:t>
                    </w:r>
                    <w:r w:rsidR="00350DDB">
                      <w:t>…</w:t>
                    </w:r>
                    <w:r>
                      <w:t>, Directie Constitutionele Zaken en Wetgeving;</w:t>
                    </w:r>
                  </w:p>
                  <w:p w:rsidR="00077E10" w:rsidP="004D2E01" w14:paraId="236C5CDC" w14:textId="77777777"/>
                  <w:p w:rsidR="00077E10" w:rsidP="004D2E01" w14:paraId="479B02A8" w14:textId="1D8ACCA2">
                    <w:r>
                      <w:t xml:space="preserve">Hebben goedgevonden en verstaan: </w:t>
                    </w:r>
                  </w:p>
                  <w:p w:rsidR="00077E10" w:rsidP="004D2E01" w14:paraId="25044071" w14:textId="77777777"/>
                  <w:bookmarkEnd w:id="2"/>
                  <w:p w:rsidR="00AE77FD" w:rsidP="00971BCB" w14:paraId="27450924" w14:textId="77777777"/>
                  <w:p w:rsidR="00AE77FD" w14:paraId="1AEE9974" w14:textId="77777777"/>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67D9" w14:paraId="5FAA1829" w14:textId="3D016CFA">
    <w:pPr>
      <w:spacing w:after="8691" w:line="14" w:lineRule="exact"/>
    </w:pPr>
    <w:r>
      <w:rPr>
        <w:noProof/>
      </w:rPr>
      <mc:AlternateContent>
        <mc:Choice Requires="wps">
          <w:drawing>
            <wp:anchor distT="0" distB="0" distL="0" distR="0" simplePos="0" relativeHeight="251666432" behindDoc="0" locked="1" layoutInCell="1" allowOverlap="1">
              <wp:simplePos x="0" y="0"/>
              <wp:positionH relativeFrom="page">
                <wp:posOffset>1281430</wp:posOffset>
              </wp:positionH>
              <wp:positionV relativeFrom="page">
                <wp:posOffset>3495675</wp:posOffset>
              </wp:positionV>
              <wp:extent cx="5495925" cy="628015"/>
              <wp:effectExtent l="0" t="0" r="0" b="0"/>
              <wp:wrapNone/>
              <wp:docPr id="7" name="Tekstvak 7"/>
              <wp:cNvGraphicFramePr/>
              <a:graphic xmlns:a="http://schemas.openxmlformats.org/drawingml/2006/main">
                <a:graphicData uri="http://schemas.microsoft.com/office/word/2010/wordprocessingShape">
                  <wps:wsp xmlns:wps="http://schemas.microsoft.com/office/word/2010/wordprocessingShape">
                    <wps:cNvSpPr txBox="1"/>
                    <wps:spPr>
                      <a:xfrm>
                        <a:off x="0" y="0"/>
                        <a:ext cx="5495925" cy="628015"/>
                      </a:xfrm>
                      <a:prstGeom prst="rect">
                        <a:avLst/>
                      </a:prstGeom>
                      <a:noFill/>
                    </wps:spPr>
                    <wps:txbx>
                      <w:txbxContent>
                        <w:p w:rsidR="008E67D9"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kstvak 7" o:spid="_x0000_s2053" type="#_x0000_t202" style="width:432.75pt;height:49.45pt;margin-top:275.25pt;margin-left:100.9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8E67D9" w14:paraId="634D73B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3EC7D22"/>
    <w:multiLevelType w:val="multilevel"/>
    <w:tmpl w:val="C4578F7E"/>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932E5070"/>
    <w:multiLevelType w:val="multilevel"/>
    <w:tmpl w:val="BF546520"/>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Jc w:val="left"/>
      <w:pPr>
        <w:ind w:left="340" w:hanging="34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962A08EC"/>
    <w:multiLevelType w:val="multilevel"/>
    <w:tmpl w:val="9A1D45AE"/>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AAAD5E40"/>
    <w:multiLevelType w:val="multilevel"/>
    <w:tmpl w:val="094BE411"/>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B22E88B2"/>
    <w:multiLevelType w:val="multilevel"/>
    <w:tmpl w:val="C5C43DB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rfvniv2"/>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abstractNum w:abstractNumId="5">
    <w:nsid w:val="B7A51B79"/>
    <w:multiLevelType w:val="multilevel"/>
    <w:tmpl w:val="F093EB9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BDBD9FE0"/>
    <w:multiLevelType w:val="multilevel"/>
    <w:tmpl w:val="AC251898"/>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C05C4F9C"/>
    <w:multiLevelType w:val="multilevel"/>
    <w:tmpl w:val="DF3C6219"/>
    <w:name w:val="Bijlage_Lid_Artikel"/>
    <w:lvl w:ilvl="0">
      <w:start w:val="1"/>
      <w:numFmt w:val="lowerLetter"/>
      <w:pStyle w:val="WOBBesluitBijlageLidArtikel"/>
      <w:lvlText w:val="%1."/>
      <w:lvlJc w:val="left"/>
      <w:pPr>
        <w:ind w:left="400" w:hanging="40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C7AEC0BF"/>
    <w:multiLevelType w:val="multilevel"/>
    <w:tmpl w:val="EC1843B8"/>
    <w:name w:val="Convenant lettering Artikel"/>
    <w:lvl w:ilvl="0">
      <w:start w:val="1"/>
      <w:numFmt w:val="lowerLetter"/>
      <w:pStyle w:val="ConvenantLidletterstijl"/>
      <w:lvlText w:val="%1."/>
      <w:lvlJc w:val="left"/>
      <w:pPr>
        <w:ind w:left="714" w:hanging="714"/>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C916A8E3"/>
    <w:multiLevelType w:val="multilevel"/>
    <w:tmpl w:val="097415A7"/>
    <w:name w:val="Opsomming hoofdletters"/>
    <w:lvl w:ilvl="0">
      <w:start w:val="1"/>
      <w:numFmt w:val="upperLetter"/>
      <w:pStyle w:val="LogiusOpsommingHoofdletters"/>
      <w:lvlText w:val="%1."/>
      <w:lvlJc w:val="left"/>
      <w:pPr>
        <w:ind w:left="714"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E228E84D"/>
    <w:multiLevelType w:val="multilevel"/>
    <w:tmpl w:val="A1337430"/>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E7C8B193"/>
    <w:multiLevelType w:val="multilevel"/>
    <w:tmpl w:val="18450B76"/>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E8F0C595"/>
    <w:multiLevelType w:val="multilevel"/>
    <w:tmpl w:val="08500ABE"/>
    <w:name w:val="Logius Bullets"/>
    <w:lvl w:ilvl="0">
      <w:start w:val="1"/>
      <w:numFmt w:val="bullet"/>
      <w:pStyle w:val="LogiusBulletsRapport"/>
      <w:lvlText w:val="●"/>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EB2C2B50"/>
    <w:multiLevelType w:val="multilevel"/>
    <w:tmpl w:val="B0E07061"/>
    <w:name w:val="Logius MT Notitie opsomming nummering"/>
    <w:lvl w:ilvl="0">
      <w:start w:val="1"/>
      <w:numFmt w:val="decimal"/>
      <w:pStyle w:val="LogiusMTNotitieopsomming"/>
      <w:lvlText w:val="%1."/>
      <w:lvlJc w:val="left"/>
      <w:pPr>
        <w:ind w:left="680" w:hanging="34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EB5D8615"/>
    <w:multiLevelType w:val="multilevel"/>
    <w:tmpl w:val="FEF10FC6"/>
    <w:name w:val="Wob_Bijlage_Leden_Artikel_11"/>
    <w:lvl w:ilvl="0">
      <w:start w:val="1"/>
      <w:numFmt w:val="decimal"/>
      <w:pStyle w:val="LedenArt11"/>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EE400C16"/>
    <w:multiLevelType w:val="multilevel"/>
    <w:tmpl w:val="A8EA3DD6"/>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EF2829C3"/>
    <w:multiLevelType w:val="multilevel"/>
    <w:tmpl w:val="F39C28CA"/>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0B3359E9"/>
    <w:multiLevelType w:val="hybridMultilevel"/>
    <w:tmpl w:val="1452D4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FC1228D"/>
    <w:multiLevelType w:val="hybridMultilevel"/>
    <w:tmpl w:val="494C808E"/>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abstractNum w:abstractNumId="19">
    <w:nsid w:val="1107769D"/>
    <w:multiLevelType w:val="hybridMultilevel"/>
    <w:tmpl w:val="11983AC2"/>
    <w:lvl w:ilvl="0">
      <w:start w:val="0"/>
      <w:numFmt w:val="bullet"/>
      <w:lvlText w:val="-"/>
      <w:lvlJc w:val="left"/>
      <w:pPr>
        <w:ind w:left="720" w:hanging="360"/>
      </w:pPr>
      <w:rPr>
        <w:rFonts w:ascii="Verdana" w:eastAsia="Times New Roman"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2DA6ADB"/>
    <w:multiLevelType w:val="hybridMultilevel"/>
    <w:tmpl w:val="602A82E2"/>
    <w:lvl w:ilvl="0">
      <w:start w:val="1"/>
      <w:numFmt w:val="decimal"/>
      <w:lvlText w:val="%1)"/>
      <w:lvlJc w:val="left"/>
      <w:pPr>
        <w:ind w:left="1140" w:hanging="360"/>
      </w:pPr>
    </w:lvl>
    <w:lvl w:ilvl="1">
      <w:start w:val="1"/>
      <w:numFmt w:val="decimal"/>
      <w:lvlText w:val="%2)"/>
      <w:lvlJc w:val="left"/>
      <w:pPr>
        <w:ind w:left="1140" w:hanging="360"/>
      </w:pPr>
    </w:lvl>
    <w:lvl w:ilvl="2">
      <w:start w:val="1"/>
      <w:numFmt w:val="decimal"/>
      <w:lvlText w:val="%3)"/>
      <w:lvlJc w:val="left"/>
      <w:pPr>
        <w:ind w:left="1140" w:hanging="360"/>
      </w:pPr>
    </w:lvl>
    <w:lvl w:ilvl="3">
      <w:start w:val="1"/>
      <w:numFmt w:val="decimal"/>
      <w:lvlText w:val="%4)"/>
      <w:lvlJc w:val="left"/>
      <w:pPr>
        <w:ind w:left="1140" w:hanging="360"/>
      </w:pPr>
    </w:lvl>
    <w:lvl w:ilvl="4">
      <w:start w:val="1"/>
      <w:numFmt w:val="decimal"/>
      <w:lvlText w:val="%5)"/>
      <w:lvlJc w:val="left"/>
      <w:pPr>
        <w:ind w:left="1140" w:hanging="360"/>
      </w:pPr>
    </w:lvl>
    <w:lvl w:ilvl="5">
      <w:start w:val="1"/>
      <w:numFmt w:val="decimal"/>
      <w:lvlText w:val="%6)"/>
      <w:lvlJc w:val="left"/>
      <w:pPr>
        <w:ind w:left="1140" w:hanging="360"/>
      </w:pPr>
    </w:lvl>
    <w:lvl w:ilvl="6">
      <w:start w:val="1"/>
      <w:numFmt w:val="decimal"/>
      <w:lvlText w:val="%7)"/>
      <w:lvlJc w:val="left"/>
      <w:pPr>
        <w:ind w:left="1140" w:hanging="360"/>
      </w:pPr>
    </w:lvl>
    <w:lvl w:ilvl="7">
      <w:start w:val="1"/>
      <w:numFmt w:val="decimal"/>
      <w:lvlText w:val="%8)"/>
      <w:lvlJc w:val="left"/>
      <w:pPr>
        <w:ind w:left="1140" w:hanging="360"/>
      </w:pPr>
    </w:lvl>
    <w:lvl w:ilvl="8">
      <w:start w:val="1"/>
      <w:numFmt w:val="decimal"/>
      <w:lvlText w:val="%9)"/>
      <w:lvlJc w:val="left"/>
      <w:pPr>
        <w:ind w:left="1140" w:hanging="360"/>
      </w:pPr>
    </w:lvl>
  </w:abstractNum>
  <w:abstractNum w:abstractNumId="21">
    <w:nsid w:val="132E1293"/>
    <w:multiLevelType w:val="hybridMultilevel"/>
    <w:tmpl w:val="0E2ABC1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1CBC73C5"/>
    <w:multiLevelType w:val="multilevel"/>
    <w:tmpl w:val="2DDAA9CD"/>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22183240"/>
    <w:multiLevelType w:val="hybridMultilevel"/>
    <w:tmpl w:val="54A818E6"/>
    <w:lvl w:ilvl="0">
      <w:start w:val="2"/>
      <w:numFmt w:val="bullet"/>
      <w:lvlText w:val="-"/>
      <w:lvlJc w:val="left"/>
      <w:pPr>
        <w:ind w:left="360" w:hanging="360"/>
      </w:pPr>
      <w:rPr>
        <w:rFonts w:ascii="Verdana" w:hAnsi="Verdana" w:eastAsiaTheme="minorHAns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27D7ACD5"/>
    <w:multiLevelType w:val="multilevel"/>
    <w:tmpl w:val="888206C5"/>
    <w:name w:val="Wob_Bijlage_Leden_Artikel_3"/>
    <w:lvl w:ilvl="0">
      <w:start w:val="1"/>
      <w:numFmt w:val="decimal"/>
      <w:pStyle w:val="LedenArt3"/>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2A3163F0"/>
    <w:multiLevelType w:val="hybridMultilevel"/>
    <w:tmpl w:val="276E3444"/>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1F7169F"/>
    <w:multiLevelType w:val="hybridMultilevel"/>
    <w:tmpl w:val="50AC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440F748"/>
    <w:multiLevelType w:val="multilevel"/>
    <w:tmpl w:val="F7FCC599"/>
    <w:name w:val="RC Streepje"/>
    <w:lvl w:ilvl="0">
      <w:start w:val="1"/>
      <w:numFmt w:val="decimal"/>
      <w:pStyle w:val="RCOpsommingstreepje"/>
      <w:lvlText w:val="-"/>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384FA0BD"/>
    <w:multiLevelType w:val="multilevel"/>
    <w:tmpl w:val="CE426D98"/>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39EDC331"/>
    <w:multiLevelType w:val="multilevel"/>
    <w:tmpl w:val="B1845FC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4235AFBE"/>
    <w:multiLevelType w:val="multilevel"/>
    <w:tmpl w:val="4730CBAC"/>
    <w:name w:val="RC_abc"/>
    <w:lvl w:ilvl="0">
      <w:start w:val="1"/>
      <w:numFmt w:val="lowerLetter"/>
      <w:pStyle w:val="RCabcalinea"/>
      <w:lvlText w:val="%1."/>
      <w:lvlJc w:val="left"/>
      <w:pPr>
        <w:ind w:left="740" w:hanging="3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4389323D"/>
    <w:multiLevelType w:val="hybridMultilevel"/>
    <w:tmpl w:val="F70E8F8A"/>
    <w:lvl w:ilvl="0">
      <w:start w:val="0"/>
      <w:numFmt w:val="bullet"/>
      <w:lvlText w:val="-"/>
      <w:lvlJc w:val="left"/>
      <w:pPr>
        <w:ind w:left="360" w:hanging="360"/>
      </w:pPr>
      <w:rPr>
        <w:rFonts w:ascii="Verdana" w:hAnsi="Verdana"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4C6E116F"/>
    <w:multiLevelType w:val="multilevel"/>
    <w:tmpl w:val="8A6943AC"/>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4DCBA007"/>
    <w:multiLevelType w:val="multilevel"/>
    <w:tmpl w:val="8EF28CB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4F423327"/>
    <w:multiLevelType w:val="multilevel"/>
    <w:tmpl w:val="760E617C"/>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546C6F14"/>
    <w:multiLevelType w:val="multilevel"/>
    <w:tmpl w:val="53C6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E5E9BB"/>
    <w:multiLevelType w:val="multilevel"/>
    <w:tmpl w:val="F56E0B76"/>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61B7769F"/>
    <w:multiLevelType w:val="hybridMultilevel"/>
    <w:tmpl w:val="D7DC9D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54B49F0"/>
    <w:multiLevelType w:val="hybridMultilevel"/>
    <w:tmpl w:val="6A8029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7CD5944"/>
    <w:multiLevelType w:val="multilevel"/>
    <w:tmpl w:val="95E6A505"/>
    <w:name w:val="Convenant lettering inspring"/>
    <w:lvl w:ilvl="0">
      <w:start w:val="1"/>
      <w:numFmt w:val="lowerLetter"/>
      <w:pStyle w:val="Convenantlidletterstijlinspring"/>
      <w:lvlText w:val="%1."/>
      <w:lvlJc w:val="left"/>
      <w:pPr>
        <w:ind w:left="2120" w:hanging="702"/>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747D21D4"/>
    <w:multiLevelType w:val="hybridMultilevel"/>
    <w:tmpl w:val="F6CE0608"/>
    <w:lvl w:ilvl="0">
      <w:start w:val="1"/>
      <w:numFmt w:val="decimal"/>
      <w:lvlText w:val="%1)"/>
      <w:lvlJc w:val="left"/>
      <w:pPr>
        <w:ind w:left="1140" w:hanging="360"/>
      </w:pPr>
    </w:lvl>
    <w:lvl w:ilvl="1">
      <w:start w:val="1"/>
      <w:numFmt w:val="decimal"/>
      <w:lvlText w:val="%2)"/>
      <w:lvlJc w:val="left"/>
      <w:pPr>
        <w:ind w:left="1140" w:hanging="360"/>
      </w:pPr>
    </w:lvl>
    <w:lvl w:ilvl="2">
      <w:start w:val="1"/>
      <w:numFmt w:val="decimal"/>
      <w:lvlText w:val="%3)"/>
      <w:lvlJc w:val="left"/>
      <w:pPr>
        <w:ind w:left="1140" w:hanging="360"/>
      </w:pPr>
    </w:lvl>
    <w:lvl w:ilvl="3">
      <w:start w:val="1"/>
      <w:numFmt w:val="decimal"/>
      <w:lvlText w:val="%4)"/>
      <w:lvlJc w:val="left"/>
      <w:pPr>
        <w:ind w:left="1140" w:hanging="360"/>
      </w:pPr>
    </w:lvl>
    <w:lvl w:ilvl="4">
      <w:start w:val="1"/>
      <w:numFmt w:val="decimal"/>
      <w:lvlText w:val="%5)"/>
      <w:lvlJc w:val="left"/>
      <w:pPr>
        <w:ind w:left="1140" w:hanging="360"/>
      </w:pPr>
    </w:lvl>
    <w:lvl w:ilvl="5">
      <w:start w:val="1"/>
      <w:numFmt w:val="decimal"/>
      <w:lvlText w:val="%6)"/>
      <w:lvlJc w:val="left"/>
      <w:pPr>
        <w:ind w:left="1140" w:hanging="360"/>
      </w:pPr>
    </w:lvl>
    <w:lvl w:ilvl="6">
      <w:start w:val="1"/>
      <w:numFmt w:val="decimal"/>
      <w:lvlText w:val="%7)"/>
      <w:lvlJc w:val="left"/>
      <w:pPr>
        <w:ind w:left="1140" w:hanging="360"/>
      </w:pPr>
    </w:lvl>
    <w:lvl w:ilvl="7">
      <w:start w:val="1"/>
      <w:numFmt w:val="decimal"/>
      <w:lvlText w:val="%8)"/>
      <w:lvlJc w:val="left"/>
      <w:pPr>
        <w:ind w:left="1140" w:hanging="360"/>
      </w:pPr>
    </w:lvl>
    <w:lvl w:ilvl="8">
      <w:start w:val="1"/>
      <w:numFmt w:val="decimal"/>
      <w:lvlText w:val="%9)"/>
      <w:lvlJc w:val="left"/>
      <w:pPr>
        <w:ind w:left="1140" w:hanging="360"/>
      </w:pPr>
    </w:lvl>
  </w:abstractNum>
  <w:abstractNum w:abstractNumId="41">
    <w:nsid w:val="77803B22"/>
    <w:multiLevelType w:val="multilevel"/>
    <w:tmpl w:val="7F4C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A8032C"/>
    <w:multiLevelType w:val="hybridMultilevel"/>
    <w:tmpl w:val="F364D74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AF43A58"/>
    <w:multiLevelType w:val="hybridMultilevel"/>
    <w:tmpl w:val="E4F8939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44">
    <w:nsid w:val="7CDD71C5"/>
    <w:multiLevelType w:val="multilevel"/>
    <w:tmpl w:val="DFCA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5"/>
  </w:num>
  <w:num w:numId="3">
    <w:abstractNumId w:val="2"/>
  </w:num>
  <w:num w:numId="4">
    <w:abstractNumId w:val="7"/>
  </w:num>
  <w:num w:numId="5">
    <w:abstractNumId w:val="6"/>
  </w:num>
  <w:num w:numId="6">
    <w:abstractNumId w:val="8"/>
  </w:num>
  <w:num w:numId="7">
    <w:abstractNumId w:val="39"/>
  </w:num>
  <w:num w:numId="8">
    <w:abstractNumId w:val="0"/>
  </w:num>
  <w:num w:numId="9">
    <w:abstractNumId w:val="5"/>
  </w:num>
  <w:num w:numId="10">
    <w:abstractNumId w:val="12"/>
  </w:num>
  <w:num w:numId="11">
    <w:abstractNumId w:val="1"/>
  </w:num>
  <w:num w:numId="12">
    <w:abstractNumId w:val="13"/>
  </w:num>
  <w:num w:numId="13">
    <w:abstractNumId w:val="11"/>
  </w:num>
  <w:num w:numId="14">
    <w:abstractNumId w:val="29"/>
  </w:num>
  <w:num w:numId="15">
    <w:abstractNumId w:val="3"/>
  </w:num>
  <w:num w:numId="16">
    <w:abstractNumId w:val="9"/>
  </w:num>
  <w:num w:numId="17">
    <w:abstractNumId w:val="36"/>
  </w:num>
  <w:num w:numId="18">
    <w:abstractNumId w:val="27"/>
  </w:num>
  <w:num w:numId="19">
    <w:abstractNumId w:val="30"/>
  </w:num>
  <w:num w:numId="20">
    <w:abstractNumId w:val="4"/>
  </w:num>
  <w:num w:numId="21">
    <w:abstractNumId w:val="10"/>
  </w:num>
  <w:num w:numId="22">
    <w:abstractNumId w:val="16"/>
  </w:num>
  <w:num w:numId="23">
    <w:abstractNumId w:val="28"/>
  </w:num>
  <w:num w:numId="24">
    <w:abstractNumId w:val="32"/>
  </w:num>
  <w:num w:numId="25">
    <w:abstractNumId w:val="14"/>
  </w:num>
  <w:num w:numId="26">
    <w:abstractNumId w:val="24"/>
  </w:num>
  <w:num w:numId="27">
    <w:abstractNumId w:val="22"/>
  </w:num>
  <w:num w:numId="28">
    <w:abstractNumId w:val="33"/>
  </w:num>
  <w:num w:numId="29">
    <w:abstractNumId w:val="31"/>
  </w:num>
  <w:num w:numId="30">
    <w:abstractNumId w:val="42"/>
  </w:num>
  <w:num w:numId="31">
    <w:abstractNumId w:val="35"/>
  </w:num>
  <w:num w:numId="32">
    <w:abstractNumId w:val="44"/>
  </w:num>
  <w:num w:numId="33">
    <w:abstractNumId w:val="25"/>
  </w:num>
  <w:num w:numId="34">
    <w:abstractNumId w:val="40"/>
  </w:num>
  <w:num w:numId="35">
    <w:abstractNumId w:val="20"/>
  </w:num>
  <w:num w:numId="36">
    <w:abstractNumId w:val="43"/>
  </w:num>
  <w:num w:numId="37">
    <w:abstractNumId w:val="1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8"/>
  </w:num>
  <w:num w:numId="41">
    <w:abstractNumId w:val="21"/>
  </w:num>
  <w:num w:numId="42">
    <w:abstractNumId w:val="41"/>
  </w:num>
  <w:num w:numId="43">
    <w:abstractNumId w:val="19"/>
  </w:num>
  <w:num w:numId="44">
    <w:abstractNumId w:val="17"/>
  </w:num>
  <w:num w:numId="45">
    <w:abstractNumId w:val="23"/>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AE"/>
    <w:rsid w:val="00000453"/>
    <w:rsid w:val="000005AB"/>
    <w:rsid w:val="00001229"/>
    <w:rsid w:val="00001234"/>
    <w:rsid w:val="0000186D"/>
    <w:rsid w:val="00001B79"/>
    <w:rsid w:val="000031A7"/>
    <w:rsid w:val="00003B08"/>
    <w:rsid w:val="00003C1D"/>
    <w:rsid w:val="000042BA"/>
    <w:rsid w:val="00004D88"/>
    <w:rsid w:val="00004E18"/>
    <w:rsid w:val="00004F55"/>
    <w:rsid w:val="00007904"/>
    <w:rsid w:val="00010BFB"/>
    <w:rsid w:val="00013EBD"/>
    <w:rsid w:val="00014BC1"/>
    <w:rsid w:val="0001739A"/>
    <w:rsid w:val="00017FA3"/>
    <w:rsid w:val="00021093"/>
    <w:rsid w:val="000217EF"/>
    <w:rsid w:val="000224A0"/>
    <w:rsid w:val="000236B3"/>
    <w:rsid w:val="00023BE7"/>
    <w:rsid w:val="00023DAD"/>
    <w:rsid w:val="00023E68"/>
    <w:rsid w:val="00027F24"/>
    <w:rsid w:val="000314F0"/>
    <w:rsid w:val="00031A94"/>
    <w:rsid w:val="000322B1"/>
    <w:rsid w:val="000333C6"/>
    <w:rsid w:val="00033698"/>
    <w:rsid w:val="00033913"/>
    <w:rsid w:val="00033AA1"/>
    <w:rsid w:val="0003489F"/>
    <w:rsid w:val="00035039"/>
    <w:rsid w:val="00035EF9"/>
    <w:rsid w:val="00037737"/>
    <w:rsid w:val="00040A7F"/>
    <w:rsid w:val="0004449B"/>
    <w:rsid w:val="00047305"/>
    <w:rsid w:val="00047E6A"/>
    <w:rsid w:val="00051BFB"/>
    <w:rsid w:val="00053C36"/>
    <w:rsid w:val="00053C8F"/>
    <w:rsid w:val="00055450"/>
    <w:rsid w:val="00056202"/>
    <w:rsid w:val="00062E56"/>
    <w:rsid w:val="00063448"/>
    <w:rsid w:val="0006393C"/>
    <w:rsid w:val="000666FF"/>
    <w:rsid w:val="00066FAA"/>
    <w:rsid w:val="00067B51"/>
    <w:rsid w:val="000717A8"/>
    <w:rsid w:val="00072973"/>
    <w:rsid w:val="000737DE"/>
    <w:rsid w:val="00073B24"/>
    <w:rsid w:val="0007572D"/>
    <w:rsid w:val="00077BD2"/>
    <w:rsid w:val="00077E10"/>
    <w:rsid w:val="00080807"/>
    <w:rsid w:val="00081A6A"/>
    <w:rsid w:val="000848CE"/>
    <w:rsid w:val="000854CC"/>
    <w:rsid w:val="000857F8"/>
    <w:rsid w:val="00085F6E"/>
    <w:rsid w:val="00086714"/>
    <w:rsid w:val="00087AB8"/>
    <w:rsid w:val="00090540"/>
    <w:rsid w:val="0009397A"/>
    <w:rsid w:val="00094499"/>
    <w:rsid w:val="0009561D"/>
    <w:rsid w:val="00095C27"/>
    <w:rsid w:val="00095F9A"/>
    <w:rsid w:val="000A2BFB"/>
    <w:rsid w:val="000A2D20"/>
    <w:rsid w:val="000A5334"/>
    <w:rsid w:val="000A53D3"/>
    <w:rsid w:val="000A5493"/>
    <w:rsid w:val="000A672C"/>
    <w:rsid w:val="000A6BB0"/>
    <w:rsid w:val="000A78BB"/>
    <w:rsid w:val="000A7954"/>
    <w:rsid w:val="000B0A6B"/>
    <w:rsid w:val="000B12B4"/>
    <w:rsid w:val="000B1341"/>
    <w:rsid w:val="000B2682"/>
    <w:rsid w:val="000B2D21"/>
    <w:rsid w:val="000C1690"/>
    <w:rsid w:val="000C1ADD"/>
    <w:rsid w:val="000C60D2"/>
    <w:rsid w:val="000C73BF"/>
    <w:rsid w:val="000C75E5"/>
    <w:rsid w:val="000C784B"/>
    <w:rsid w:val="000C79D7"/>
    <w:rsid w:val="000C7B4E"/>
    <w:rsid w:val="000D060C"/>
    <w:rsid w:val="000D140C"/>
    <w:rsid w:val="000D1C9B"/>
    <w:rsid w:val="000D37F8"/>
    <w:rsid w:val="000D5226"/>
    <w:rsid w:val="000D56E6"/>
    <w:rsid w:val="000D596F"/>
    <w:rsid w:val="000D5E8D"/>
    <w:rsid w:val="000D6658"/>
    <w:rsid w:val="000E1049"/>
    <w:rsid w:val="000E27D8"/>
    <w:rsid w:val="000E2DA2"/>
    <w:rsid w:val="000E3618"/>
    <w:rsid w:val="000E77DF"/>
    <w:rsid w:val="000E7CD6"/>
    <w:rsid w:val="000E7D29"/>
    <w:rsid w:val="000F0884"/>
    <w:rsid w:val="000F0D7F"/>
    <w:rsid w:val="000F2D09"/>
    <w:rsid w:val="000F57BB"/>
    <w:rsid w:val="000F62BB"/>
    <w:rsid w:val="0010082D"/>
    <w:rsid w:val="00104F21"/>
    <w:rsid w:val="001064EF"/>
    <w:rsid w:val="00106B96"/>
    <w:rsid w:val="00111933"/>
    <w:rsid w:val="00111E11"/>
    <w:rsid w:val="0011235F"/>
    <w:rsid w:val="001128D7"/>
    <w:rsid w:val="001134A2"/>
    <w:rsid w:val="0011402B"/>
    <w:rsid w:val="00115241"/>
    <w:rsid w:val="00116984"/>
    <w:rsid w:val="001169CE"/>
    <w:rsid w:val="00117F33"/>
    <w:rsid w:val="00117F9F"/>
    <w:rsid w:val="00120BB5"/>
    <w:rsid w:val="00130DF2"/>
    <w:rsid w:val="001317AA"/>
    <w:rsid w:val="00133C16"/>
    <w:rsid w:val="00135388"/>
    <w:rsid w:val="0013594C"/>
    <w:rsid w:val="00137D31"/>
    <w:rsid w:val="0014041B"/>
    <w:rsid w:val="00141E1D"/>
    <w:rsid w:val="00142024"/>
    <w:rsid w:val="001424C5"/>
    <w:rsid w:val="00142F24"/>
    <w:rsid w:val="00142FF2"/>
    <w:rsid w:val="001440AD"/>
    <w:rsid w:val="00144F8E"/>
    <w:rsid w:val="00146952"/>
    <w:rsid w:val="00146B29"/>
    <w:rsid w:val="00146EF4"/>
    <w:rsid w:val="001505C1"/>
    <w:rsid w:val="001509B0"/>
    <w:rsid w:val="001516C6"/>
    <w:rsid w:val="0015180D"/>
    <w:rsid w:val="0015296D"/>
    <w:rsid w:val="001532EB"/>
    <w:rsid w:val="0015371C"/>
    <w:rsid w:val="0015407E"/>
    <w:rsid w:val="0015756E"/>
    <w:rsid w:val="00160A33"/>
    <w:rsid w:val="00161908"/>
    <w:rsid w:val="00161D71"/>
    <w:rsid w:val="00165681"/>
    <w:rsid w:val="00165B98"/>
    <w:rsid w:val="00166934"/>
    <w:rsid w:val="00166A34"/>
    <w:rsid w:val="00166E18"/>
    <w:rsid w:val="00167629"/>
    <w:rsid w:val="00167E75"/>
    <w:rsid w:val="0017004B"/>
    <w:rsid w:val="0017173B"/>
    <w:rsid w:val="001727E4"/>
    <w:rsid w:val="00172D9A"/>
    <w:rsid w:val="001734EA"/>
    <w:rsid w:val="0017610E"/>
    <w:rsid w:val="001765E6"/>
    <w:rsid w:val="00176AB0"/>
    <w:rsid w:val="00177525"/>
    <w:rsid w:val="00182D0F"/>
    <w:rsid w:val="00184433"/>
    <w:rsid w:val="00185B0A"/>
    <w:rsid w:val="001941D1"/>
    <w:rsid w:val="00195EA1"/>
    <w:rsid w:val="00196572"/>
    <w:rsid w:val="00196684"/>
    <w:rsid w:val="001A0ADB"/>
    <w:rsid w:val="001A0E24"/>
    <w:rsid w:val="001A1FA8"/>
    <w:rsid w:val="001A226A"/>
    <w:rsid w:val="001A2ADF"/>
    <w:rsid w:val="001A5261"/>
    <w:rsid w:val="001A70C4"/>
    <w:rsid w:val="001B0D0B"/>
    <w:rsid w:val="001B0F76"/>
    <w:rsid w:val="001B268D"/>
    <w:rsid w:val="001B2923"/>
    <w:rsid w:val="001B2A35"/>
    <w:rsid w:val="001B3545"/>
    <w:rsid w:val="001B5441"/>
    <w:rsid w:val="001B6DF1"/>
    <w:rsid w:val="001B702F"/>
    <w:rsid w:val="001C0B34"/>
    <w:rsid w:val="001C13E5"/>
    <w:rsid w:val="001C1A6C"/>
    <w:rsid w:val="001C2AE7"/>
    <w:rsid w:val="001C2F35"/>
    <w:rsid w:val="001C3010"/>
    <w:rsid w:val="001C39D9"/>
    <w:rsid w:val="001C6250"/>
    <w:rsid w:val="001C67C6"/>
    <w:rsid w:val="001C7AB5"/>
    <w:rsid w:val="001D1EF4"/>
    <w:rsid w:val="001D3A02"/>
    <w:rsid w:val="001D480E"/>
    <w:rsid w:val="001D4C39"/>
    <w:rsid w:val="001D5F68"/>
    <w:rsid w:val="001E087F"/>
    <w:rsid w:val="001E155B"/>
    <w:rsid w:val="001E23C7"/>
    <w:rsid w:val="001E2B39"/>
    <w:rsid w:val="001E3A3C"/>
    <w:rsid w:val="001E44C5"/>
    <w:rsid w:val="001E6607"/>
    <w:rsid w:val="001F0280"/>
    <w:rsid w:val="001F067F"/>
    <w:rsid w:val="001F16BC"/>
    <w:rsid w:val="001F39FC"/>
    <w:rsid w:val="001F3C49"/>
    <w:rsid w:val="001F65BF"/>
    <w:rsid w:val="001F65E6"/>
    <w:rsid w:val="001F6631"/>
    <w:rsid w:val="001F6862"/>
    <w:rsid w:val="001F7A0A"/>
    <w:rsid w:val="00204F1D"/>
    <w:rsid w:val="00205EA5"/>
    <w:rsid w:val="00207B81"/>
    <w:rsid w:val="00211A93"/>
    <w:rsid w:val="00212292"/>
    <w:rsid w:val="0021311B"/>
    <w:rsid w:val="002153FF"/>
    <w:rsid w:val="00215494"/>
    <w:rsid w:val="00215B7F"/>
    <w:rsid w:val="00215C0C"/>
    <w:rsid w:val="00215E20"/>
    <w:rsid w:val="002163C4"/>
    <w:rsid w:val="0021798F"/>
    <w:rsid w:val="002227BE"/>
    <w:rsid w:val="002245F1"/>
    <w:rsid w:val="00224EB4"/>
    <w:rsid w:val="00224F44"/>
    <w:rsid w:val="00225059"/>
    <w:rsid w:val="0022585E"/>
    <w:rsid w:val="002258B1"/>
    <w:rsid w:val="0022660C"/>
    <w:rsid w:val="0022777D"/>
    <w:rsid w:val="00230B67"/>
    <w:rsid w:val="00234511"/>
    <w:rsid w:val="00235296"/>
    <w:rsid w:val="00236B9D"/>
    <w:rsid w:val="002407E2"/>
    <w:rsid w:val="00240A74"/>
    <w:rsid w:val="002419BA"/>
    <w:rsid w:val="00241D6E"/>
    <w:rsid w:val="002440C6"/>
    <w:rsid w:val="00244FB2"/>
    <w:rsid w:val="00245099"/>
    <w:rsid w:val="00245ED2"/>
    <w:rsid w:val="00246006"/>
    <w:rsid w:val="00246840"/>
    <w:rsid w:val="002475AE"/>
    <w:rsid w:val="00247C2D"/>
    <w:rsid w:val="00251846"/>
    <w:rsid w:val="00251AD3"/>
    <w:rsid w:val="00252492"/>
    <w:rsid w:val="002530E0"/>
    <w:rsid w:val="0025485E"/>
    <w:rsid w:val="002549BC"/>
    <w:rsid w:val="0025515C"/>
    <w:rsid w:val="00256628"/>
    <w:rsid w:val="002571BE"/>
    <w:rsid w:val="00257C5D"/>
    <w:rsid w:val="002612AC"/>
    <w:rsid w:val="00261CD3"/>
    <w:rsid w:val="0026252E"/>
    <w:rsid w:val="00262AE0"/>
    <w:rsid w:val="002653D6"/>
    <w:rsid w:val="00265BD5"/>
    <w:rsid w:val="002675F2"/>
    <w:rsid w:val="002676BB"/>
    <w:rsid w:val="002700E8"/>
    <w:rsid w:val="0027185E"/>
    <w:rsid w:val="00271AEE"/>
    <w:rsid w:val="00272440"/>
    <w:rsid w:val="00272CA6"/>
    <w:rsid w:val="0027443D"/>
    <w:rsid w:val="00274631"/>
    <w:rsid w:val="00274D83"/>
    <w:rsid w:val="00275B18"/>
    <w:rsid w:val="002760E1"/>
    <w:rsid w:val="00276BBA"/>
    <w:rsid w:val="00280356"/>
    <w:rsid w:val="00283411"/>
    <w:rsid w:val="00283508"/>
    <w:rsid w:val="00284438"/>
    <w:rsid w:val="00284B62"/>
    <w:rsid w:val="00285E73"/>
    <w:rsid w:val="00286087"/>
    <w:rsid w:val="002870AF"/>
    <w:rsid w:val="002911CC"/>
    <w:rsid w:val="00292BC8"/>
    <w:rsid w:val="002940C1"/>
    <w:rsid w:val="00294F1C"/>
    <w:rsid w:val="00295386"/>
    <w:rsid w:val="002960F6"/>
    <w:rsid w:val="002A02C7"/>
    <w:rsid w:val="002A13F7"/>
    <w:rsid w:val="002A1CD1"/>
    <w:rsid w:val="002A40FE"/>
    <w:rsid w:val="002A5D48"/>
    <w:rsid w:val="002A6709"/>
    <w:rsid w:val="002B7722"/>
    <w:rsid w:val="002B7D3F"/>
    <w:rsid w:val="002C0A90"/>
    <w:rsid w:val="002C264C"/>
    <w:rsid w:val="002C3FF1"/>
    <w:rsid w:val="002D2F3D"/>
    <w:rsid w:val="002D3054"/>
    <w:rsid w:val="002D560E"/>
    <w:rsid w:val="002D70F2"/>
    <w:rsid w:val="002D783E"/>
    <w:rsid w:val="002E139B"/>
    <w:rsid w:val="002E3E21"/>
    <w:rsid w:val="002E3F71"/>
    <w:rsid w:val="002E699C"/>
    <w:rsid w:val="002E7FB0"/>
    <w:rsid w:val="002F040B"/>
    <w:rsid w:val="002F0E00"/>
    <w:rsid w:val="002F1454"/>
    <w:rsid w:val="002F1681"/>
    <w:rsid w:val="002F1A80"/>
    <w:rsid w:val="002F31B3"/>
    <w:rsid w:val="002F4F94"/>
    <w:rsid w:val="00305109"/>
    <w:rsid w:val="00305A09"/>
    <w:rsid w:val="003066A5"/>
    <w:rsid w:val="003118A5"/>
    <w:rsid w:val="00312E43"/>
    <w:rsid w:val="00313A3F"/>
    <w:rsid w:val="0031412B"/>
    <w:rsid w:val="00314D46"/>
    <w:rsid w:val="003165E3"/>
    <w:rsid w:val="0031691A"/>
    <w:rsid w:val="00316D42"/>
    <w:rsid w:val="003213C4"/>
    <w:rsid w:val="00321D97"/>
    <w:rsid w:val="00324789"/>
    <w:rsid w:val="00325E72"/>
    <w:rsid w:val="00327D17"/>
    <w:rsid w:val="003322BE"/>
    <w:rsid w:val="003351FC"/>
    <w:rsid w:val="0033587B"/>
    <w:rsid w:val="003362D0"/>
    <w:rsid w:val="003366AF"/>
    <w:rsid w:val="00336C1D"/>
    <w:rsid w:val="00336D73"/>
    <w:rsid w:val="0034026F"/>
    <w:rsid w:val="00343261"/>
    <w:rsid w:val="00343997"/>
    <w:rsid w:val="00346E6A"/>
    <w:rsid w:val="00346EAC"/>
    <w:rsid w:val="00350DDB"/>
    <w:rsid w:val="003510F6"/>
    <w:rsid w:val="003528C3"/>
    <w:rsid w:val="00356204"/>
    <w:rsid w:val="00356415"/>
    <w:rsid w:val="00356A2F"/>
    <w:rsid w:val="003606F9"/>
    <w:rsid w:val="00360D28"/>
    <w:rsid w:val="00360ECB"/>
    <w:rsid w:val="00362441"/>
    <w:rsid w:val="00362E24"/>
    <w:rsid w:val="00363818"/>
    <w:rsid w:val="00364C8B"/>
    <w:rsid w:val="00365A0F"/>
    <w:rsid w:val="00367193"/>
    <w:rsid w:val="003671AA"/>
    <w:rsid w:val="003718AC"/>
    <w:rsid w:val="003730A8"/>
    <w:rsid w:val="00373277"/>
    <w:rsid w:val="003734F5"/>
    <w:rsid w:val="00373993"/>
    <w:rsid w:val="0037411A"/>
    <w:rsid w:val="00375635"/>
    <w:rsid w:val="00376EEE"/>
    <w:rsid w:val="003776A5"/>
    <w:rsid w:val="003804D9"/>
    <w:rsid w:val="00381C4A"/>
    <w:rsid w:val="0038225B"/>
    <w:rsid w:val="003822B9"/>
    <w:rsid w:val="003825F1"/>
    <w:rsid w:val="00383E84"/>
    <w:rsid w:val="00384FC3"/>
    <w:rsid w:val="0039249B"/>
    <w:rsid w:val="00393577"/>
    <w:rsid w:val="00395419"/>
    <w:rsid w:val="003954ED"/>
    <w:rsid w:val="003956DF"/>
    <w:rsid w:val="00396F9A"/>
    <w:rsid w:val="003A000F"/>
    <w:rsid w:val="003A1F24"/>
    <w:rsid w:val="003A3605"/>
    <w:rsid w:val="003A48F3"/>
    <w:rsid w:val="003A49AC"/>
    <w:rsid w:val="003A6BA1"/>
    <w:rsid w:val="003B0093"/>
    <w:rsid w:val="003B2E65"/>
    <w:rsid w:val="003B3BDA"/>
    <w:rsid w:val="003B42A5"/>
    <w:rsid w:val="003B4A5C"/>
    <w:rsid w:val="003B4F6F"/>
    <w:rsid w:val="003C07B3"/>
    <w:rsid w:val="003C273B"/>
    <w:rsid w:val="003C370A"/>
    <w:rsid w:val="003C6CDC"/>
    <w:rsid w:val="003C75D9"/>
    <w:rsid w:val="003D1F8F"/>
    <w:rsid w:val="003D208F"/>
    <w:rsid w:val="003D21AF"/>
    <w:rsid w:val="003D4CE3"/>
    <w:rsid w:val="003D58A0"/>
    <w:rsid w:val="003D6E0B"/>
    <w:rsid w:val="003D7FC0"/>
    <w:rsid w:val="003E1855"/>
    <w:rsid w:val="003E3038"/>
    <w:rsid w:val="003E4F23"/>
    <w:rsid w:val="003E6E1B"/>
    <w:rsid w:val="003F1326"/>
    <w:rsid w:val="003F1D79"/>
    <w:rsid w:val="003F249E"/>
    <w:rsid w:val="003F35F6"/>
    <w:rsid w:val="003F58B4"/>
    <w:rsid w:val="003F6BC1"/>
    <w:rsid w:val="0040147E"/>
    <w:rsid w:val="00401C6B"/>
    <w:rsid w:val="00402899"/>
    <w:rsid w:val="00402C7A"/>
    <w:rsid w:val="004037CF"/>
    <w:rsid w:val="00404527"/>
    <w:rsid w:val="004113B7"/>
    <w:rsid w:val="00413DA0"/>
    <w:rsid w:val="0041454E"/>
    <w:rsid w:val="00414D83"/>
    <w:rsid w:val="00417BBA"/>
    <w:rsid w:val="00421177"/>
    <w:rsid w:val="00423891"/>
    <w:rsid w:val="004238CB"/>
    <w:rsid w:val="00423E2B"/>
    <w:rsid w:val="00424C95"/>
    <w:rsid w:val="00424D58"/>
    <w:rsid w:val="00427586"/>
    <w:rsid w:val="004346A6"/>
    <w:rsid w:val="00434968"/>
    <w:rsid w:val="00434DA3"/>
    <w:rsid w:val="00435F27"/>
    <w:rsid w:val="00442010"/>
    <w:rsid w:val="00442147"/>
    <w:rsid w:val="00442FCC"/>
    <w:rsid w:val="004441AE"/>
    <w:rsid w:val="00444A25"/>
    <w:rsid w:val="004460B8"/>
    <w:rsid w:val="00447E68"/>
    <w:rsid w:val="00451170"/>
    <w:rsid w:val="00452540"/>
    <w:rsid w:val="00452C3E"/>
    <w:rsid w:val="00452FB4"/>
    <w:rsid w:val="004563B8"/>
    <w:rsid w:val="0045667E"/>
    <w:rsid w:val="00464D1E"/>
    <w:rsid w:val="0046521B"/>
    <w:rsid w:val="00470A5B"/>
    <w:rsid w:val="00472C72"/>
    <w:rsid w:val="00473823"/>
    <w:rsid w:val="00475A0E"/>
    <w:rsid w:val="00480FD6"/>
    <w:rsid w:val="00482849"/>
    <w:rsid w:val="00482896"/>
    <w:rsid w:val="00483723"/>
    <w:rsid w:val="00483A72"/>
    <w:rsid w:val="0048663D"/>
    <w:rsid w:val="00487901"/>
    <w:rsid w:val="00490ABE"/>
    <w:rsid w:val="00490C0D"/>
    <w:rsid w:val="00492081"/>
    <w:rsid w:val="004924D2"/>
    <w:rsid w:val="00496F8E"/>
    <w:rsid w:val="00497F9C"/>
    <w:rsid w:val="004A13A5"/>
    <w:rsid w:val="004A327A"/>
    <w:rsid w:val="004A384F"/>
    <w:rsid w:val="004A3854"/>
    <w:rsid w:val="004A3C48"/>
    <w:rsid w:val="004A67AB"/>
    <w:rsid w:val="004B03EB"/>
    <w:rsid w:val="004B065B"/>
    <w:rsid w:val="004B1367"/>
    <w:rsid w:val="004B1C0F"/>
    <w:rsid w:val="004B74E3"/>
    <w:rsid w:val="004B75AD"/>
    <w:rsid w:val="004B7DEA"/>
    <w:rsid w:val="004C0D44"/>
    <w:rsid w:val="004C1470"/>
    <w:rsid w:val="004C382F"/>
    <w:rsid w:val="004C4326"/>
    <w:rsid w:val="004C4D58"/>
    <w:rsid w:val="004C4FA4"/>
    <w:rsid w:val="004D0E17"/>
    <w:rsid w:val="004D1098"/>
    <w:rsid w:val="004D2E01"/>
    <w:rsid w:val="004D3EB4"/>
    <w:rsid w:val="004D3FBA"/>
    <w:rsid w:val="004D506E"/>
    <w:rsid w:val="004D5310"/>
    <w:rsid w:val="004D5D8A"/>
    <w:rsid w:val="004D5F86"/>
    <w:rsid w:val="004D7276"/>
    <w:rsid w:val="004E17D4"/>
    <w:rsid w:val="004E2786"/>
    <w:rsid w:val="004E388E"/>
    <w:rsid w:val="004E4B77"/>
    <w:rsid w:val="004E4C24"/>
    <w:rsid w:val="004E5A9B"/>
    <w:rsid w:val="004E63A2"/>
    <w:rsid w:val="004E71EC"/>
    <w:rsid w:val="004F077C"/>
    <w:rsid w:val="004F0F43"/>
    <w:rsid w:val="004F1E05"/>
    <w:rsid w:val="004F31C6"/>
    <w:rsid w:val="00501CFF"/>
    <w:rsid w:val="00501F73"/>
    <w:rsid w:val="0050326A"/>
    <w:rsid w:val="0050381D"/>
    <w:rsid w:val="00504DB0"/>
    <w:rsid w:val="00505CB5"/>
    <w:rsid w:val="00505EB9"/>
    <w:rsid w:val="00506258"/>
    <w:rsid w:val="005114F6"/>
    <w:rsid w:val="00511B4D"/>
    <w:rsid w:val="00512307"/>
    <w:rsid w:val="00513D84"/>
    <w:rsid w:val="00514C49"/>
    <w:rsid w:val="005177D6"/>
    <w:rsid w:val="00521239"/>
    <w:rsid w:val="00523ABC"/>
    <w:rsid w:val="00523F77"/>
    <w:rsid w:val="00524D32"/>
    <w:rsid w:val="00525F35"/>
    <w:rsid w:val="00526F12"/>
    <w:rsid w:val="00531098"/>
    <w:rsid w:val="005328D4"/>
    <w:rsid w:val="00533708"/>
    <w:rsid w:val="00533F8A"/>
    <w:rsid w:val="00534701"/>
    <w:rsid w:val="00535373"/>
    <w:rsid w:val="00540E8D"/>
    <w:rsid w:val="00543484"/>
    <w:rsid w:val="005451B5"/>
    <w:rsid w:val="00545D51"/>
    <w:rsid w:val="00546FC4"/>
    <w:rsid w:val="0055015D"/>
    <w:rsid w:val="005505A3"/>
    <w:rsid w:val="00551452"/>
    <w:rsid w:val="005538A4"/>
    <w:rsid w:val="00553A12"/>
    <w:rsid w:val="00554D77"/>
    <w:rsid w:val="00554DC3"/>
    <w:rsid w:val="0055658D"/>
    <w:rsid w:val="00556984"/>
    <w:rsid w:val="0055707A"/>
    <w:rsid w:val="00557DB2"/>
    <w:rsid w:val="0056050C"/>
    <w:rsid w:val="00560D92"/>
    <w:rsid w:val="00560EEA"/>
    <w:rsid w:val="005615AF"/>
    <w:rsid w:val="00561AC4"/>
    <w:rsid w:val="00561E56"/>
    <w:rsid w:val="005626AC"/>
    <w:rsid w:val="00562BD7"/>
    <w:rsid w:val="005638E2"/>
    <w:rsid w:val="0056445A"/>
    <w:rsid w:val="00567003"/>
    <w:rsid w:val="0056792F"/>
    <w:rsid w:val="00570DCB"/>
    <w:rsid w:val="0057187B"/>
    <w:rsid w:val="0057211D"/>
    <w:rsid w:val="005723C8"/>
    <w:rsid w:val="00572DAD"/>
    <w:rsid w:val="00573710"/>
    <w:rsid w:val="00573DE0"/>
    <w:rsid w:val="00575089"/>
    <w:rsid w:val="005774FB"/>
    <w:rsid w:val="00582E73"/>
    <w:rsid w:val="00583BC1"/>
    <w:rsid w:val="00583CFE"/>
    <w:rsid w:val="00587AD4"/>
    <w:rsid w:val="00590B3C"/>
    <w:rsid w:val="00590C04"/>
    <w:rsid w:val="00590E2D"/>
    <w:rsid w:val="00591916"/>
    <w:rsid w:val="00592A4F"/>
    <w:rsid w:val="00595DF7"/>
    <w:rsid w:val="005961F0"/>
    <w:rsid w:val="00596CF2"/>
    <w:rsid w:val="00597B86"/>
    <w:rsid w:val="005A243B"/>
    <w:rsid w:val="005A2E6D"/>
    <w:rsid w:val="005A3DAC"/>
    <w:rsid w:val="005A3F35"/>
    <w:rsid w:val="005A706F"/>
    <w:rsid w:val="005A7CB7"/>
    <w:rsid w:val="005B06DC"/>
    <w:rsid w:val="005B1DE6"/>
    <w:rsid w:val="005B3044"/>
    <w:rsid w:val="005B44C3"/>
    <w:rsid w:val="005B5D98"/>
    <w:rsid w:val="005B5F13"/>
    <w:rsid w:val="005C2FCF"/>
    <w:rsid w:val="005D1579"/>
    <w:rsid w:val="005D319E"/>
    <w:rsid w:val="005D4798"/>
    <w:rsid w:val="005D4A54"/>
    <w:rsid w:val="005E2705"/>
    <w:rsid w:val="005E3122"/>
    <w:rsid w:val="005E3804"/>
    <w:rsid w:val="005E38A4"/>
    <w:rsid w:val="005E3992"/>
    <w:rsid w:val="005E4167"/>
    <w:rsid w:val="005E5E07"/>
    <w:rsid w:val="005F0ABA"/>
    <w:rsid w:val="005F613A"/>
    <w:rsid w:val="00600F3E"/>
    <w:rsid w:val="00602194"/>
    <w:rsid w:val="00602692"/>
    <w:rsid w:val="00604482"/>
    <w:rsid w:val="00604D57"/>
    <w:rsid w:val="0060731F"/>
    <w:rsid w:val="00607BEE"/>
    <w:rsid w:val="00607ECF"/>
    <w:rsid w:val="0061010B"/>
    <w:rsid w:val="00610EA0"/>
    <w:rsid w:val="00611814"/>
    <w:rsid w:val="00614D43"/>
    <w:rsid w:val="006150E2"/>
    <w:rsid w:val="006158F3"/>
    <w:rsid w:val="00617426"/>
    <w:rsid w:val="00622E56"/>
    <w:rsid w:val="0062583D"/>
    <w:rsid w:val="0062616C"/>
    <w:rsid w:val="00627C40"/>
    <w:rsid w:val="006303F0"/>
    <w:rsid w:val="006325A1"/>
    <w:rsid w:val="00632BBD"/>
    <w:rsid w:val="00632D5F"/>
    <w:rsid w:val="00634428"/>
    <w:rsid w:val="00635C0C"/>
    <w:rsid w:val="0063724B"/>
    <w:rsid w:val="006378E4"/>
    <w:rsid w:val="00642DCD"/>
    <w:rsid w:val="00644080"/>
    <w:rsid w:val="006452A9"/>
    <w:rsid w:val="00645652"/>
    <w:rsid w:val="00647814"/>
    <w:rsid w:val="00647B49"/>
    <w:rsid w:val="006511B2"/>
    <w:rsid w:val="006514D5"/>
    <w:rsid w:val="00652B5F"/>
    <w:rsid w:val="00652E0D"/>
    <w:rsid w:val="00655D33"/>
    <w:rsid w:val="00662918"/>
    <w:rsid w:val="00665962"/>
    <w:rsid w:val="006660D3"/>
    <w:rsid w:val="00666518"/>
    <w:rsid w:val="006666D0"/>
    <w:rsid w:val="006672BE"/>
    <w:rsid w:val="00670AB3"/>
    <w:rsid w:val="00671EB7"/>
    <w:rsid w:val="006724D2"/>
    <w:rsid w:val="006755A2"/>
    <w:rsid w:val="006762E5"/>
    <w:rsid w:val="00677C25"/>
    <w:rsid w:val="00680ACD"/>
    <w:rsid w:val="00685F9D"/>
    <w:rsid w:val="0069136D"/>
    <w:rsid w:val="00691408"/>
    <w:rsid w:val="00691BF1"/>
    <w:rsid w:val="00692702"/>
    <w:rsid w:val="00693645"/>
    <w:rsid w:val="00694E2E"/>
    <w:rsid w:val="00696973"/>
    <w:rsid w:val="006A0279"/>
    <w:rsid w:val="006A0561"/>
    <w:rsid w:val="006A23D3"/>
    <w:rsid w:val="006A517C"/>
    <w:rsid w:val="006A5A10"/>
    <w:rsid w:val="006A6B49"/>
    <w:rsid w:val="006A6DB7"/>
    <w:rsid w:val="006A70DA"/>
    <w:rsid w:val="006A7559"/>
    <w:rsid w:val="006B0743"/>
    <w:rsid w:val="006B2305"/>
    <w:rsid w:val="006B5085"/>
    <w:rsid w:val="006B57B5"/>
    <w:rsid w:val="006B7770"/>
    <w:rsid w:val="006C02C5"/>
    <w:rsid w:val="006C08BF"/>
    <w:rsid w:val="006C19A5"/>
    <w:rsid w:val="006C1D7A"/>
    <w:rsid w:val="006C24AE"/>
    <w:rsid w:val="006C680E"/>
    <w:rsid w:val="006D029C"/>
    <w:rsid w:val="006D05F5"/>
    <w:rsid w:val="006D087E"/>
    <w:rsid w:val="006D1C0A"/>
    <w:rsid w:val="006D47D5"/>
    <w:rsid w:val="006D4E38"/>
    <w:rsid w:val="006D6AEA"/>
    <w:rsid w:val="006D7516"/>
    <w:rsid w:val="006E0130"/>
    <w:rsid w:val="006E05CB"/>
    <w:rsid w:val="006E1061"/>
    <w:rsid w:val="006E12C3"/>
    <w:rsid w:val="006E2A9A"/>
    <w:rsid w:val="006E2B37"/>
    <w:rsid w:val="006E4725"/>
    <w:rsid w:val="006E7531"/>
    <w:rsid w:val="006E7B1F"/>
    <w:rsid w:val="006F08B1"/>
    <w:rsid w:val="006F110C"/>
    <w:rsid w:val="006F5B47"/>
    <w:rsid w:val="006F7FBA"/>
    <w:rsid w:val="00701127"/>
    <w:rsid w:val="00701630"/>
    <w:rsid w:val="007031AC"/>
    <w:rsid w:val="00703867"/>
    <w:rsid w:val="00704DB3"/>
    <w:rsid w:val="00704DCE"/>
    <w:rsid w:val="00705527"/>
    <w:rsid w:val="007055A2"/>
    <w:rsid w:val="00705DDB"/>
    <w:rsid w:val="00706A6B"/>
    <w:rsid w:val="0071138E"/>
    <w:rsid w:val="00711D78"/>
    <w:rsid w:val="00714858"/>
    <w:rsid w:val="00716A7F"/>
    <w:rsid w:val="00720BA7"/>
    <w:rsid w:val="00722DCC"/>
    <w:rsid w:val="00723D7F"/>
    <w:rsid w:val="00723FE6"/>
    <w:rsid w:val="00724D5F"/>
    <w:rsid w:val="00726C04"/>
    <w:rsid w:val="00726DAF"/>
    <w:rsid w:val="007301A8"/>
    <w:rsid w:val="00732042"/>
    <w:rsid w:val="00732B32"/>
    <w:rsid w:val="00733CEE"/>
    <w:rsid w:val="007344BC"/>
    <w:rsid w:val="00734A6B"/>
    <w:rsid w:val="0073582B"/>
    <w:rsid w:val="00735833"/>
    <w:rsid w:val="00737576"/>
    <w:rsid w:val="00740A1C"/>
    <w:rsid w:val="00741237"/>
    <w:rsid w:val="00742A5A"/>
    <w:rsid w:val="007438D6"/>
    <w:rsid w:val="0074458D"/>
    <w:rsid w:val="007447DC"/>
    <w:rsid w:val="0074499E"/>
    <w:rsid w:val="00744E74"/>
    <w:rsid w:val="007511AC"/>
    <w:rsid w:val="00751492"/>
    <w:rsid w:val="007534B9"/>
    <w:rsid w:val="00753B3F"/>
    <w:rsid w:val="00755AA4"/>
    <w:rsid w:val="00756F69"/>
    <w:rsid w:val="00761A65"/>
    <w:rsid w:val="00762819"/>
    <w:rsid w:val="00762D23"/>
    <w:rsid w:val="00762F95"/>
    <w:rsid w:val="007676FE"/>
    <w:rsid w:val="007715DE"/>
    <w:rsid w:val="00773639"/>
    <w:rsid w:val="00774286"/>
    <w:rsid w:val="00774511"/>
    <w:rsid w:val="00776224"/>
    <w:rsid w:val="007774E0"/>
    <w:rsid w:val="00782995"/>
    <w:rsid w:val="0078302E"/>
    <w:rsid w:val="007842ED"/>
    <w:rsid w:val="00784401"/>
    <w:rsid w:val="0078492C"/>
    <w:rsid w:val="00790B6A"/>
    <w:rsid w:val="007926BF"/>
    <w:rsid w:val="00793B7C"/>
    <w:rsid w:val="00793C0F"/>
    <w:rsid w:val="00795F3F"/>
    <w:rsid w:val="00797831"/>
    <w:rsid w:val="007A0358"/>
    <w:rsid w:val="007A0E63"/>
    <w:rsid w:val="007A172E"/>
    <w:rsid w:val="007A27B7"/>
    <w:rsid w:val="007A299C"/>
    <w:rsid w:val="007A3C8F"/>
    <w:rsid w:val="007A47F0"/>
    <w:rsid w:val="007A64AA"/>
    <w:rsid w:val="007A655B"/>
    <w:rsid w:val="007A70E8"/>
    <w:rsid w:val="007B0549"/>
    <w:rsid w:val="007B0A8A"/>
    <w:rsid w:val="007B396F"/>
    <w:rsid w:val="007B4426"/>
    <w:rsid w:val="007B53B2"/>
    <w:rsid w:val="007B5B79"/>
    <w:rsid w:val="007B5F45"/>
    <w:rsid w:val="007B63D6"/>
    <w:rsid w:val="007C093F"/>
    <w:rsid w:val="007C289A"/>
    <w:rsid w:val="007C6862"/>
    <w:rsid w:val="007C6C6F"/>
    <w:rsid w:val="007D005F"/>
    <w:rsid w:val="007D0C68"/>
    <w:rsid w:val="007D20B7"/>
    <w:rsid w:val="007D337A"/>
    <w:rsid w:val="007D3B25"/>
    <w:rsid w:val="007D4F67"/>
    <w:rsid w:val="007D7E82"/>
    <w:rsid w:val="007E12A9"/>
    <w:rsid w:val="007E1E6C"/>
    <w:rsid w:val="007E28A1"/>
    <w:rsid w:val="007E28FD"/>
    <w:rsid w:val="007E2F71"/>
    <w:rsid w:val="007E4645"/>
    <w:rsid w:val="007E7B4E"/>
    <w:rsid w:val="007E7DA5"/>
    <w:rsid w:val="007F02E8"/>
    <w:rsid w:val="007F0E5C"/>
    <w:rsid w:val="007F46A4"/>
    <w:rsid w:val="007F57B6"/>
    <w:rsid w:val="007F61B4"/>
    <w:rsid w:val="007F7321"/>
    <w:rsid w:val="00800E44"/>
    <w:rsid w:val="00800E68"/>
    <w:rsid w:val="00801227"/>
    <w:rsid w:val="00803A3E"/>
    <w:rsid w:val="00804E5C"/>
    <w:rsid w:val="00805AAF"/>
    <w:rsid w:val="00807AEF"/>
    <w:rsid w:val="00810D7B"/>
    <w:rsid w:val="008120DC"/>
    <w:rsid w:val="00812EA4"/>
    <w:rsid w:val="0081410C"/>
    <w:rsid w:val="00814B3E"/>
    <w:rsid w:val="00815694"/>
    <w:rsid w:val="00815AAE"/>
    <w:rsid w:val="008201C0"/>
    <w:rsid w:val="00820DCB"/>
    <w:rsid w:val="008236DE"/>
    <w:rsid w:val="00823B88"/>
    <w:rsid w:val="00824605"/>
    <w:rsid w:val="0082571E"/>
    <w:rsid w:val="0082621D"/>
    <w:rsid w:val="008262FA"/>
    <w:rsid w:val="00826670"/>
    <w:rsid w:val="00826CB2"/>
    <w:rsid w:val="00827136"/>
    <w:rsid w:val="00832A45"/>
    <w:rsid w:val="00833388"/>
    <w:rsid w:val="008350F4"/>
    <w:rsid w:val="008425C7"/>
    <w:rsid w:val="008429A3"/>
    <w:rsid w:val="00844C09"/>
    <w:rsid w:val="008452DB"/>
    <w:rsid w:val="00850300"/>
    <w:rsid w:val="0085216C"/>
    <w:rsid w:val="008528B5"/>
    <w:rsid w:val="0085569B"/>
    <w:rsid w:val="008563A4"/>
    <w:rsid w:val="00856868"/>
    <w:rsid w:val="00857C3A"/>
    <w:rsid w:val="00860116"/>
    <w:rsid w:val="00861A57"/>
    <w:rsid w:val="00862ECC"/>
    <w:rsid w:val="008650CB"/>
    <w:rsid w:val="00865863"/>
    <w:rsid w:val="00871B39"/>
    <w:rsid w:val="008723D2"/>
    <w:rsid w:val="00872C79"/>
    <w:rsid w:val="00874870"/>
    <w:rsid w:val="008778DD"/>
    <w:rsid w:val="00880EE9"/>
    <w:rsid w:val="008820E7"/>
    <w:rsid w:val="00882A26"/>
    <w:rsid w:val="008840C3"/>
    <w:rsid w:val="008870F2"/>
    <w:rsid w:val="008913A7"/>
    <w:rsid w:val="00891B71"/>
    <w:rsid w:val="00891D2F"/>
    <w:rsid w:val="00892FDD"/>
    <w:rsid w:val="00894E53"/>
    <w:rsid w:val="008972AE"/>
    <w:rsid w:val="008A0707"/>
    <w:rsid w:val="008A0987"/>
    <w:rsid w:val="008A3CE7"/>
    <w:rsid w:val="008A6560"/>
    <w:rsid w:val="008B11CC"/>
    <w:rsid w:val="008B3F10"/>
    <w:rsid w:val="008C018E"/>
    <w:rsid w:val="008C01BE"/>
    <w:rsid w:val="008C0462"/>
    <w:rsid w:val="008C071C"/>
    <w:rsid w:val="008C0F5D"/>
    <w:rsid w:val="008C19CA"/>
    <w:rsid w:val="008C1AAA"/>
    <w:rsid w:val="008C2677"/>
    <w:rsid w:val="008C2ECC"/>
    <w:rsid w:val="008C4895"/>
    <w:rsid w:val="008C4B43"/>
    <w:rsid w:val="008C5B48"/>
    <w:rsid w:val="008C6676"/>
    <w:rsid w:val="008D17DF"/>
    <w:rsid w:val="008D311D"/>
    <w:rsid w:val="008D3939"/>
    <w:rsid w:val="008D4136"/>
    <w:rsid w:val="008E105C"/>
    <w:rsid w:val="008E18FD"/>
    <w:rsid w:val="008E4386"/>
    <w:rsid w:val="008E5533"/>
    <w:rsid w:val="008E5ACA"/>
    <w:rsid w:val="008E60D0"/>
    <w:rsid w:val="008E67D9"/>
    <w:rsid w:val="008E6D52"/>
    <w:rsid w:val="008E6DDE"/>
    <w:rsid w:val="008F1B9D"/>
    <w:rsid w:val="008F28A9"/>
    <w:rsid w:val="008F30C9"/>
    <w:rsid w:val="008F425F"/>
    <w:rsid w:val="008F4498"/>
    <w:rsid w:val="008F67FB"/>
    <w:rsid w:val="00902623"/>
    <w:rsid w:val="00902646"/>
    <w:rsid w:val="00904060"/>
    <w:rsid w:val="0090462C"/>
    <w:rsid w:val="009055BD"/>
    <w:rsid w:val="00905D44"/>
    <w:rsid w:val="00905ECC"/>
    <w:rsid w:val="00906986"/>
    <w:rsid w:val="009100B8"/>
    <w:rsid w:val="0091157C"/>
    <w:rsid w:val="0091205F"/>
    <w:rsid w:val="009128E8"/>
    <w:rsid w:val="00912B6C"/>
    <w:rsid w:val="00920702"/>
    <w:rsid w:val="00921CCF"/>
    <w:rsid w:val="009234FF"/>
    <w:rsid w:val="00926EC2"/>
    <w:rsid w:val="009275E0"/>
    <w:rsid w:val="00927EEF"/>
    <w:rsid w:val="009306C7"/>
    <w:rsid w:val="009324D0"/>
    <w:rsid w:val="00932859"/>
    <w:rsid w:val="00932C35"/>
    <w:rsid w:val="0093309D"/>
    <w:rsid w:val="00934CBA"/>
    <w:rsid w:val="00935333"/>
    <w:rsid w:val="009360E4"/>
    <w:rsid w:val="00936C30"/>
    <w:rsid w:val="00940571"/>
    <w:rsid w:val="009460E0"/>
    <w:rsid w:val="00947BF3"/>
    <w:rsid w:val="009519C9"/>
    <w:rsid w:val="00952F8D"/>
    <w:rsid w:val="009549BB"/>
    <w:rsid w:val="00955204"/>
    <w:rsid w:val="00957C9A"/>
    <w:rsid w:val="00961EC7"/>
    <w:rsid w:val="00963A59"/>
    <w:rsid w:val="00971BCB"/>
    <w:rsid w:val="00972499"/>
    <w:rsid w:val="00974699"/>
    <w:rsid w:val="0097482E"/>
    <w:rsid w:val="00976405"/>
    <w:rsid w:val="0098551B"/>
    <w:rsid w:val="00985B18"/>
    <w:rsid w:val="009863AE"/>
    <w:rsid w:val="00990406"/>
    <w:rsid w:val="00990537"/>
    <w:rsid w:val="00991730"/>
    <w:rsid w:val="0099301E"/>
    <w:rsid w:val="00995BE1"/>
    <w:rsid w:val="00996116"/>
    <w:rsid w:val="00996F53"/>
    <w:rsid w:val="00997750"/>
    <w:rsid w:val="009A01FB"/>
    <w:rsid w:val="009A0EB1"/>
    <w:rsid w:val="009A36C3"/>
    <w:rsid w:val="009A36C4"/>
    <w:rsid w:val="009A379E"/>
    <w:rsid w:val="009A4FDC"/>
    <w:rsid w:val="009A58CE"/>
    <w:rsid w:val="009A656D"/>
    <w:rsid w:val="009B3649"/>
    <w:rsid w:val="009C34F5"/>
    <w:rsid w:val="009C3752"/>
    <w:rsid w:val="009C4957"/>
    <w:rsid w:val="009C4E03"/>
    <w:rsid w:val="009C68F9"/>
    <w:rsid w:val="009C6BBF"/>
    <w:rsid w:val="009C6D00"/>
    <w:rsid w:val="009D1190"/>
    <w:rsid w:val="009D119E"/>
    <w:rsid w:val="009D179C"/>
    <w:rsid w:val="009D1C81"/>
    <w:rsid w:val="009D1F62"/>
    <w:rsid w:val="009D3737"/>
    <w:rsid w:val="009D42AB"/>
    <w:rsid w:val="009D5636"/>
    <w:rsid w:val="009E13CC"/>
    <w:rsid w:val="009E34BB"/>
    <w:rsid w:val="009E3741"/>
    <w:rsid w:val="009E59B2"/>
    <w:rsid w:val="009E6240"/>
    <w:rsid w:val="009E69ED"/>
    <w:rsid w:val="009E7254"/>
    <w:rsid w:val="009F09B3"/>
    <w:rsid w:val="009F1A12"/>
    <w:rsid w:val="009F2DBA"/>
    <w:rsid w:val="009F3B37"/>
    <w:rsid w:val="009F4E71"/>
    <w:rsid w:val="009F4F46"/>
    <w:rsid w:val="009F54C3"/>
    <w:rsid w:val="009F6852"/>
    <w:rsid w:val="009F71D2"/>
    <w:rsid w:val="009F78D1"/>
    <w:rsid w:val="00A00F69"/>
    <w:rsid w:val="00A03500"/>
    <w:rsid w:val="00A04C2F"/>
    <w:rsid w:val="00A05BDF"/>
    <w:rsid w:val="00A069D8"/>
    <w:rsid w:val="00A0743E"/>
    <w:rsid w:val="00A10200"/>
    <w:rsid w:val="00A12E44"/>
    <w:rsid w:val="00A20474"/>
    <w:rsid w:val="00A21924"/>
    <w:rsid w:val="00A22AFD"/>
    <w:rsid w:val="00A2354F"/>
    <w:rsid w:val="00A2532B"/>
    <w:rsid w:val="00A2789F"/>
    <w:rsid w:val="00A31575"/>
    <w:rsid w:val="00A31D20"/>
    <w:rsid w:val="00A32A95"/>
    <w:rsid w:val="00A3309A"/>
    <w:rsid w:val="00A36F50"/>
    <w:rsid w:val="00A37900"/>
    <w:rsid w:val="00A403DC"/>
    <w:rsid w:val="00A403F0"/>
    <w:rsid w:val="00A4080D"/>
    <w:rsid w:val="00A4127F"/>
    <w:rsid w:val="00A41C03"/>
    <w:rsid w:val="00A42900"/>
    <w:rsid w:val="00A42F16"/>
    <w:rsid w:val="00A50268"/>
    <w:rsid w:val="00A51083"/>
    <w:rsid w:val="00A512EE"/>
    <w:rsid w:val="00A526E9"/>
    <w:rsid w:val="00A5380B"/>
    <w:rsid w:val="00A567EE"/>
    <w:rsid w:val="00A576AC"/>
    <w:rsid w:val="00A6084B"/>
    <w:rsid w:val="00A63BBB"/>
    <w:rsid w:val="00A646F4"/>
    <w:rsid w:val="00A65967"/>
    <w:rsid w:val="00A65997"/>
    <w:rsid w:val="00A66431"/>
    <w:rsid w:val="00A717F2"/>
    <w:rsid w:val="00A71BAF"/>
    <w:rsid w:val="00A73F96"/>
    <w:rsid w:val="00A73FCC"/>
    <w:rsid w:val="00A743D1"/>
    <w:rsid w:val="00A74534"/>
    <w:rsid w:val="00A7494B"/>
    <w:rsid w:val="00A75980"/>
    <w:rsid w:val="00A76404"/>
    <w:rsid w:val="00A76CFE"/>
    <w:rsid w:val="00A804DF"/>
    <w:rsid w:val="00A80D86"/>
    <w:rsid w:val="00A82091"/>
    <w:rsid w:val="00A8338D"/>
    <w:rsid w:val="00A83491"/>
    <w:rsid w:val="00A842B2"/>
    <w:rsid w:val="00A85CF4"/>
    <w:rsid w:val="00A87DF6"/>
    <w:rsid w:val="00A90C7E"/>
    <w:rsid w:val="00A91A2D"/>
    <w:rsid w:val="00A91E44"/>
    <w:rsid w:val="00A925C2"/>
    <w:rsid w:val="00A92BB8"/>
    <w:rsid w:val="00A94C8A"/>
    <w:rsid w:val="00A95622"/>
    <w:rsid w:val="00A96776"/>
    <w:rsid w:val="00A975E5"/>
    <w:rsid w:val="00AA12EC"/>
    <w:rsid w:val="00AA22AA"/>
    <w:rsid w:val="00AA2BD5"/>
    <w:rsid w:val="00AA3550"/>
    <w:rsid w:val="00AA5254"/>
    <w:rsid w:val="00AA5459"/>
    <w:rsid w:val="00AB16E4"/>
    <w:rsid w:val="00AB1CC8"/>
    <w:rsid w:val="00AB21BF"/>
    <w:rsid w:val="00AB25F7"/>
    <w:rsid w:val="00AB2737"/>
    <w:rsid w:val="00AB2E4A"/>
    <w:rsid w:val="00AB30A4"/>
    <w:rsid w:val="00AB4CBC"/>
    <w:rsid w:val="00AB5250"/>
    <w:rsid w:val="00AB596F"/>
    <w:rsid w:val="00AB5AB4"/>
    <w:rsid w:val="00AB6699"/>
    <w:rsid w:val="00AB755C"/>
    <w:rsid w:val="00AC0817"/>
    <w:rsid w:val="00AC1C38"/>
    <w:rsid w:val="00AC1D77"/>
    <w:rsid w:val="00AC2EEF"/>
    <w:rsid w:val="00AC48F8"/>
    <w:rsid w:val="00AC4F61"/>
    <w:rsid w:val="00AC6B88"/>
    <w:rsid w:val="00AC6F31"/>
    <w:rsid w:val="00AC7280"/>
    <w:rsid w:val="00AD1045"/>
    <w:rsid w:val="00AD1A0F"/>
    <w:rsid w:val="00AD4291"/>
    <w:rsid w:val="00AD4DBE"/>
    <w:rsid w:val="00AD585D"/>
    <w:rsid w:val="00AD5C79"/>
    <w:rsid w:val="00AD617B"/>
    <w:rsid w:val="00AD7566"/>
    <w:rsid w:val="00AD7FAD"/>
    <w:rsid w:val="00AE3C4C"/>
    <w:rsid w:val="00AE5756"/>
    <w:rsid w:val="00AE57EB"/>
    <w:rsid w:val="00AE5A24"/>
    <w:rsid w:val="00AE5C9A"/>
    <w:rsid w:val="00AE6103"/>
    <w:rsid w:val="00AE6704"/>
    <w:rsid w:val="00AE77FD"/>
    <w:rsid w:val="00AE796C"/>
    <w:rsid w:val="00AF37B2"/>
    <w:rsid w:val="00AF42F1"/>
    <w:rsid w:val="00AF45B4"/>
    <w:rsid w:val="00AF4961"/>
    <w:rsid w:val="00AF56CC"/>
    <w:rsid w:val="00AF6A03"/>
    <w:rsid w:val="00AF7F61"/>
    <w:rsid w:val="00B00D85"/>
    <w:rsid w:val="00B01337"/>
    <w:rsid w:val="00B01682"/>
    <w:rsid w:val="00B01D8D"/>
    <w:rsid w:val="00B0259E"/>
    <w:rsid w:val="00B029F5"/>
    <w:rsid w:val="00B02D32"/>
    <w:rsid w:val="00B04BFB"/>
    <w:rsid w:val="00B04E93"/>
    <w:rsid w:val="00B05295"/>
    <w:rsid w:val="00B06527"/>
    <w:rsid w:val="00B0657A"/>
    <w:rsid w:val="00B06EEF"/>
    <w:rsid w:val="00B07661"/>
    <w:rsid w:val="00B1038F"/>
    <w:rsid w:val="00B121C6"/>
    <w:rsid w:val="00B12619"/>
    <w:rsid w:val="00B1287D"/>
    <w:rsid w:val="00B13CF5"/>
    <w:rsid w:val="00B13D56"/>
    <w:rsid w:val="00B16046"/>
    <w:rsid w:val="00B16D05"/>
    <w:rsid w:val="00B2003D"/>
    <w:rsid w:val="00B20BB2"/>
    <w:rsid w:val="00B21580"/>
    <w:rsid w:val="00B21FE4"/>
    <w:rsid w:val="00B26B65"/>
    <w:rsid w:val="00B302A7"/>
    <w:rsid w:val="00B343D0"/>
    <w:rsid w:val="00B34CE8"/>
    <w:rsid w:val="00B362F3"/>
    <w:rsid w:val="00B40BE9"/>
    <w:rsid w:val="00B4143D"/>
    <w:rsid w:val="00B41800"/>
    <w:rsid w:val="00B42AC5"/>
    <w:rsid w:val="00B43B3E"/>
    <w:rsid w:val="00B462C8"/>
    <w:rsid w:val="00B50222"/>
    <w:rsid w:val="00B52EEF"/>
    <w:rsid w:val="00B53645"/>
    <w:rsid w:val="00B53A95"/>
    <w:rsid w:val="00B549D1"/>
    <w:rsid w:val="00B5690F"/>
    <w:rsid w:val="00B56E16"/>
    <w:rsid w:val="00B60524"/>
    <w:rsid w:val="00B63D48"/>
    <w:rsid w:val="00B667F7"/>
    <w:rsid w:val="00B675DE"/>
    <w:rsid w:val="00B76D2F"/>
    <w:rsid w:val="00B775EB"/>
    <w:rsid w:val="00B77723"/>
    <w:rsid w:val="00B813E4"/>
    <w:rsid w:val="00B819F0"/>
    <w:rsid w:val="00B81B9D"/>
    <w:rsid w:val="00B82C74"/>
    <w:rsid w:val="00B82E63"/>
    <w:rsid w:val="00B8365D"/>
    <w:rsid w:val="00B87F36"/>
    <w:rsid w:val="00B92737"/>
    <w:rsid w:val="00B9289F"/>
    <w:rsid w:val="00B9335A"/>
    <w:rsid w:val="00B93BB5"/>
    <w:rsid w:val="00B93DF3"/>
    <w:rsid w:val="00B9588A"/>
    <w:rsid w:val="00BA22EB"/>
    <w:rsid w:val="00BB0263"/>
    <w:rsid w:val="00BB1B3F"/>
    <w:rsid w:val="00BB1EB1"/>
    <w:rsid w:val="00BB2BFA"/>
    <w:rsid w:val="00BB35B2"/>
    <w:rsid w:val="00BB4B31"/>
    <w:rsid w:val="00BC0C8D"/>
    <w:rsid w:val="00BC0F4F"/>
    <w:rsid w:val="00BC10C8"/>
    <w:rsid w:val="00BC119E"/>
    <w:rsid w:val="00BC1E68"/>
    <w:rsid w:val="00BC562C"/>
    <w:rsid w:val="00BC6632"/>
    <w:rsid w:val="00BC70B0"/>
    <w:rsid w:val="00BC795D"/>
    <w:rsid w:val="00BC7DD2"/>
    <w:rsid w:val="00BD1517"/>
    <w:rsid w:val="00BD1654"/>
    <w:rsid w:val="00BD22D8"/>
    <w:rsid w:val="00BD2DDB"/>
    <w:rsid w:val="00BD2EE9"/>
    <w:rsid w:val="00BD2FF5"/>
    <w:rsid w:val="00BD30A0"/>
    <w:rsid w:val="00BD7B1F"/>
    <w:rsid w:val="00BE09EE"/>
    <w:rsid w:val="00BE1292"/>
    <w:rsid w:val="00BE15B1"/>
    <w:rsid w:val="00BE45D3"/>
    <w:rsid w:val="00BE4791"/>
    <w:rsid w:val="00BE6354"/>
    <w:rsid w:val="00BE6D8D"/>
    <w:rsid w:val="00BF09E3"/>
    <w:rsid w:val="00BF195C"/>
    <w:rsid w:val="00BF1DC3"/>
    <w:rsid w:val="00BF39F6"/>
    <w:rsid w:val="00BF42ED"/>
    <w:rsid w:val="00BF4781"/>
    <w:rsid w:val="00BF4804"/>
    <w:rsid w:val="00BF5058"/>
    <w:rsid w:val="00BF67FF"/>
    <w:rsid w:val="00C01234"/>
    <w:rsid w:val="00C02461"/>
    <w:rsid w:val="00C025BE"/>
    <w:rsid w:val="00C037D5"/>
    <w:rsid w:val="00C03A83"/>
    <w:rsid w:val="00C05757"/>
    <w:rsid w:val="00C06FE3"/>
    <w:rsid w:val="00C1307F"/>
    <w:rsid w:val="00C1393D"/>
    <w:rsid w:val="00C159FB"/>
    <w:rsid w:val="00C17686"/>
    <w:rsid w:val="00C17EC4"/>
    <w:rsid w:val="00C2115D"/>
    <w:rsid w:val="00C232D3"/>
    <w:rsid w:val="00C26A36"/>
    <w:rsid w:val="00C314FE"/>
    <w:rsid w:val="00C3255C"/>
    <w:rsid w:val="00C3282D"/>
    <w:rsid w:val="00C3330F"/>
    <w:rsid w:val="00C333DF"/>
    <w:rsid w:val="00C33C7A"/>
    <w:rsid w:val="00C33F70"/>
    <w:rsid w:val="00C34DE2"/>
    <w:rsid w:val="00C3759A"/>
    <w:rsid w:val="00C413C3"/>
    <w:rsid w:val="00C439E2"/>
    <w:rsid w:val="00C44E06"/>
    <w:rsid w:val="00C450B9"/>
    <w:rsid w:val="00C5059B"/>
    <w:rsid w:val="00C52ED0"/>
    <w:rsid w:val="00C547DB"/>
    <w:rsid w:val="00C573FD"/>
    <w:rsid w:val="00C60166"/>
    <w:rsid w:val="00C65879"/>
    <w:rsid w:val="00C65B76"/>
    <w:rsid w:val="00C6603B"/>
    <w:rsid w:val="00C66AA4"/>
    <w:rsid w:val="00C7021E"/>
    <w:rsid w:val="00C7114D"/>
    <w:rsid w:val="00C712B5"/>
    <w:rsid w:val="00C71424"/>
    <w:rsid w:val="00C71D59"/>
    <w:rsid w:val="00C73296"/>
    <w:rsid w:val="00C74990"/>
    <w:rsid w:val="00C82FDD"/>
    <w:rsid w:val="00C83D54"/>
    <w:rsid w:val="00C84F55"/>
    <w:rsid w:val="00C86ABC"/>
    <w:rsid w:val="00C86DF8"/>
    <w:rsid w:val="00C878E3"/>
    <w:rsid w:val="00C923B8"/>
    <w:rsid w:val="00C931DA"/>
    <w:rsid w:val="00C951BC"/>
    <w:rsid w:val="00C96092"/>
    <w:rsid w:val="00C96DB0"/>
    <w:rsid w:val="00C97579"/>
    <w:rsid w:val="00C978C6"/>
    <w:rsid w:val="00CA053C"/>
    <w:rsid w:val="00CA0F21"/>
    <w:rsid w:val="00CA26DC"/>
    <w:rsid w:val="00CA4265"/>
    <w:rsid w:val="00CA556B"/>
    <w:rsid w:val="00CB0980"/>
    <w:rsid w:val="00CB6208"/>
    <w:rsid w:val="00CB6CA5"/>
    <w:rsid w:val="00CB7425"/>
    <w:rsid w:val="00CB772C"/>
    <w:rsid w:val="00CB774C"/>
    <w:rsid w:val="00CC0EF6"/>
    <w:rsid w:val="00CC1BE2"/>
    <w:rsid w:val="00CC44DE"/>
    <w:rsid w:val="00CC4EC1"/>
    <w:rsid w:val="00CC5F0D"/>
    <w:rsid w:val="00CC6986"/>
    <w:rsid w:val="00CC6B9E"/>
    <w:rsid w:val="00CC7318"/>
    <w:rsid w:val="00CD0026"/>
    <w:rsid w:val="00CD263D"/>
    <w:rsid w:val="00CD2803"/>
    <w:rsid w:val="00CD33C4"/>
    <w:rsid w:val="00CD55BC"/>
    <w:rsid w:val="00CD6117"/>
    <w:rsid w:val="00CD6559"/>
    <w:rsid w:val="00CE0968"/>
    <w:rsid w:val="00CE0D60"/>
    <w:rsid w:val="00CE2BC5"/>
    <w:rsid w:val="00CE37FB"/>
    <w:rsid w:val="00CE39A9"/>
    <w:rsid w:val="00CE4523"/>
    <w:rsid w:val="00CE5161"/>
    <w:rsid w:val="00CE635A"/>
    <w:rsid w:val="00CE79C8"/>
    <w:rsid w:val="00CF03E0"/>
    <w:rsid w:val="00CF0E6B"/>
    <w:rsid w:val="00CF15EC"/>
    <w:rsid w:val="00CF19E7"/>
    <w:rsid w:val="00CF2ADC"/>
    <w:rsid w:val="00CF3715"/>
    <w:rsid w:val="00CF3C6E"/>
    <w:rsid w:val="00CF4734"/>
    <w:rsid w:val="00CF4A8B"/>
    <w:rsid w:val="00D068FD"/>
    <w:rsid w:val="00D06C4F"/>
    <w:rsid w:val="00D07D30"/>
    <w:rsid w:val="00D104D0"/>
    <w:rsid w:val="00D10CB6"/>
    <w:rsid w:val="00D10EE5"/>
    <w:rsid w:val="00D1306B"/>
    <w:rsid w:val="00D139C0"/>
    <w:rsid w:val="00D13D5E"/>
    <w:rsid w:val="00D20172"/>
    <w:rsid w:val="00D20895"/>
    <w:rsid w:val="00D26738"/>
    <w:rsid w:val="00D31036"/>
    <w:rsid w:val="00D312BC"/>
    <w:rsid w:val="00D348A6"/>
    <w:rsid w:val="00D35FF7"/>
    <w:rsid w:val="00D37571"/>
    <w:rsid w:val="00D411B7"/>
    <w:rsid w:val="00D4265A"/>
    <w:rsid w:val="00D451BB"/>
    <w:rsid w:val="00D501C6"/>
    <w:rsid w:val="00D530FD"/>
    <w:rsid w:val="00D54160"/>
    <w:rsid w:val="00D54713"/>
    <w:rsid w:val="00D55B82"/>
    <w:rsid w:val="00D56CCD"/>
    <w:rsid w:val="00D618C3"/>
    <w:rsid w:val="00D61EF4"/>
    <w:rsid w:val="00D67C1E"/>
    <w:rsid w:val="00D70199"/>
    <w:rsid w:val="00D71204"/>
    <w:rsid w:val="00D71C70"/>
    <w:rsid w:val="00D74D62"/>
    <w:rsid w:val="00D76519"/>
    <w:rsid w:val="00D807A0"/>
    <w:rsid w:val="00D81A69"/>
    <w:rsid w:val="00D83606"/>
    <w:rsid w:val="00D8669A"/>
    <w:rsid w:val="00D870A7"/>
    <w:rsid w:val="00D87166"/>
    <w:rsid w:val="00D9004A"/>
    <w:rsid w:val="00D9101D"/>
    <w:rsid w:val="00D91148"/>
    <w:rsid w:val="00D92975"/>
    <w:rsid w:val="00D9414A"/>
    <w:rsid w:val="00D94258"/>
    <w:rsid w:val="00D943D4"/>
    <w:rsid w:val="00D94622"/>
    <w:rsid w:val="00D94C44"/>
    <w:rsid w:val="00D954C8"/>
    <w:rsid w:val="00D95E34"/>
    <w:rsid w:val="00D974A5"/>
    <w:rsid w:val="00DA1970"/>
    <w:rsid w:val="00DA452D"/>
    <w:rsid w:val="00DA7C0B"/>
    <w:rsid w:val="00DB0AFA"/>
    <w:rsid w:val="00DB0E8B"/>
    <w:rsid w:val="00DB12A1"/>
    <w:rsid w:val="00DB28FB"/>
    <w:rsid w:val="00DB2EF4"/>
    <w:rsid w:val="00DB3570"/>
    <w:rsid w:val="00DB65D3"/>
    <w:rsid w:val="00DC0330"/>
    <w:rsid w:val="00DC15F9"/>
    <w:rsid w:val="00DC16A8"/>
    <w:rsid w:val="00DC32AC"/>
    <w:rsid w:val="00DC4DEF"/>
    <w:rsid w:val="00DC60C7"/>
    <w:rsid w:val="00DC68FC"/>
    <w:rsid w:val="00DD030B"/>
    <w:rsid w:val="00DD3515"/>
    <w:rsid w:val="00DD67CA"/>
    <w:rsid w:val="00DD6EDE"/>
    <w:rsid w:val="00DE0559"/>
    <w:rsid w:val="00DE225A"/>
    <w:rsid w:val="00DE50DA"/>
    <w:rsid w:val="00DE5C43"/>
    <w:rsid w:val="00DE7A4C"/>
    <w:rsid w:val="00DE7F23"/>
    <w:rsid w:val="00DE7F89"/>
    <w:rsid w:val="00DF0127"/>
    <w:rsid w:val="00DF1752"/>
    <w:rsid w:val="00DF38AD"/>
    <w:rsid w:val="00DF44AE"/>
    <w:rsid w:val="00DF4667"/>
    <w:rsid w:val="00DF4E3C"/>
    <w:rsid w:val="00DF6FCF"/>
    <w:rsid w:val="00E00933"/>
    <w:rsid w:val="00E009B6"/>
    <w:rsid w:val="00E015AA"/>
    <w:rsid w:val="00E03504"/>
    <w:rsid w:val="00E03D37"/>
    <w:rsid w:val="00E065B4"/>
    <w:rsid w:val="00E0754C"/>
    <w:rsid w:val="00E076D4"/>
    <w:rsid w:val="00E125E6"/>
    <w:rsid w:val="00E12D2B"/>
    <w:rsid w:val="00E13A13"/>
    <w:rsid w:val="00E2274B"/>
    <w:rsid w:val="00E23A33"/>
    <w:rsid w:val="00E25BCE"/>
    <w:rsid w:val="00E25D15"/>
    <w:rsid w:val="00E26356"/>
    <w:rsid w:val="00E33086"/>
    <w:rsid w:val="00E34A30"/>
    <w:rsid w:val="00E35424"/>
    <w:rsid w:val="00E359F6"/>
    <w:rsid w:val="00E367D6"/>
    <w:rsid w:val="00E36966"/>
    <w:rsid w:val="00E42640"/>
    <w:rsid w:val="00E4272A"/>
    <w:rsid w:val="00E44796"/>
    <w:rsid w:val="00E44A3C"/>
    <w:rsid w:val="00E51367"/>
    <w:rsid w:val="00E5157B"/>
    <w:rsid w:val="00E519B9"/>
    <w:rsid w:val="00E54374"/>
    <w:rsid w:val="00E5733F"/>
    <w:rsid w:val="00E574BE"/>
    <w:rsid w:val="00E620B7"/>
    <w:rsid w:val="00E640D0"/>
    <w:rsid w:val="00E649B5"/>
    <w:rsid w:val="00E6776A"/>
    <w:rsid w:val="00E67F57"/>
    <w:rsid w:val="00E70609"/>
    <w:rsid w:val="00E70871"/>
    <w:rsid w:val="00E74B89"/>
    <w:rsid w:val="00E75B92"/>
    <w:rsid w:val="00E7633D"/>
    <w:rsid w:val="00E77688"/>
    <w:rsid w:val="00E77FCD"/>
    <w:rsid w:val="00E81F47"/>
    <w:rsid w:val="00E82238"/>
    <w:rsid w:val="00E82ADA"/>
    <w:rsid w:val="00E83CE9"/>
    <w:rsid w:val="00E857C7"/>
    <w:rsid w:val="00E85CC0"/>
    <w:rsid w:val="00E869B5"/>
    <w:rsid w:val="00E86A54"/>
    <w:rsid w:val="00E87362"/>
    <w:rsid w:val="00E875B8"/>
    <w:rsid w:val="00E908F5"/>
    <w:rsid w:val="00E92D72"/>
    <w:rsid w:val="00E96438"/>
    <w:rsid w:val="00E97FE9"/>
    <w:rsid w:val="00EA05EA"/>
    <w:rsid w:val="00EA1084"/>
    <w:rsid w:val="00EA1501"/>
    <w:rsid w:val="00EA3D04"/>
    <w:rsid w:val="00EA5068"/>
    <w:rsid w:val="00EA60A3"/>
    <w:rsid w:val="00EA62BA"/>
    <w:rsid w:val="00EA76A9"/>
    <w:rsid w:val="00EB00E5"/>
    <w:rsid w:val="00EB2066"/>
    <w:rsid w:val="00EB49C6"/>
    <w:rsid w:val="00EB68A0"/>
    <w:rsid w:val="00EB7503"/>
    <w:rsid w:val="00EC0755"/>
    <w:rsid w:val="00EC1FAA"/>
    <w:rsid w:val="00EC3432"/>
    <w:rsid w:val="00EC3ACC"/>
    <w:rsid w:val="00EC3FB5"/>
    <w:rsid w:val="00EC4160"/>
    <w:rsid w:val="00EC53F6"/>
    <w:rsid w:val="00EC6A92"/>
    <w:rsid w:val="00EC7FB1"/>
    <w:rsid w:val="00ED3BD7"/>
    <w:rsid w:val="00ED5284"/>
    <w:rsid w:val="00ED6C4F"/>
    <w:rsid w:val="00EE07C4"/>
    <w:rsid w:val="00EE0CFD"/>
    <w:rsid w:val="00EE1D15"/>
    <w:rsid w:val="00EE5A91"/>
    <w:rsid w:val="00EE5C2F"/>
    <w:rsid w:val="00EE65E5"/>
    <w:rsid w:val="00EE70FC"/>
    <w:rsid w:val="00EE726F"/>
    <w:rsid w:val="00EF0AE9"/>
    <w:rsid w:val="00EF1501"/>
    <w:rsid w:val="00EF1BDF"/>
    <w:rsid w:val="00EF2F38"/>
    <w:rsid w:val="00EF62A9"/>
    <w:rsid w:val="00F03B82"/>
    <w:rsid w:val="00F04E31"/>
    <w:rsid w:val="00F06E38"/>
    <w:rsid w:val="00F11ADF"/>
    <w:rsid w:val="00F125FB"/>
    <w:rsid w:val="00F12937"/>
    <w:rsid w:val="00F142AB"/>
    <w:rsid w:val="00F171A8"/>
    <w:rsid w:val="00F22F74"/>
    <w:rsid w:val="00F23EEC"/>
    <w:rsid w:val="00F24815"/>
    <w:rsid w:val="00F25B19"/>
    <w:rsid w:val="00F270F8"/>
    <w:rsid w:val="00F27900"/>
    <w:rsid w:val="00F27AC9"/>
    <w:rsid w:val="00F31932"/>
    <w:rsid w:val="00F33B9E"/>
    <w:rsid w:val="00F34485"/>
    <w:rsid w:val="00F36B4E"/>
    <w:rsid w:val="00F411A7"/>
    <w:rsid w:val="00F449BA"/>
    <w:rsid w:val="00F44BF8"/>
    <w:rsid w:val="00F47CBE"/>
    <w:rsid w:val="00F47FAF"/>
    <w:rsid w:val="00F50625"/>
    <w:rsid w:val="00F52233"/>
    <w:rsid w:val="00F54292"/>
    <w:rsid w:val="00F548DD"/>
    <w:rsid w:val="00F55FF5"/>
    <w:rsid w:val="00F609BC"/>
    <w:rsid w:val="00F65110"/>
    <w:rsid w:val="00F65E01"/>
    <w:rsid w:val="00F70F7A"/>
    <w:rsid w:val="00F72578"/>
    <w:rsid w:val="00F72E8E"/>
    <w:rsid w:val="00F72EE2"/>
    <w:rsid w:val="00F747E7"/>
    <w:rsid w:val="00F74940"/>
    <w:rsid w:val="00F7624D"/>
    <w:rsid w:val="00F8176E"/>
    <w:rsid w:val="00F83945"/>
    <w:rsid w:val="00F83A26"/>
    <w:rsid w:val="00F90037"/>
    <w:rsid w:val="00F90106"/>
    <w:rsid w:val="00F90F9E"/>
    <w:rsid w:val="00F925AC"/>
    <w:rsid w:val="00F94C80"/>
    <w:rsid w:val="00F96A30"/>
    <w:rsid w:val="00F97BDC"/>
    <w:rsid w:val="00F97E01"/>
    <w:rsid w:val="00FA148B"/>
    <w:rsid w:val="00FA1749"/>
    <w:rsid w:val="00FA19CC"/>
    <w:rsid w:val="00FA3F12"/>
    <w:rsid w:val="00FA416F"/>
    <w:rsid w:val="00FA53BC"/>
    <w:rsid w:val="00FA5E6C"/>
    <w:rsid w:val="00FA70FF"/>
    <w:rsid w:val="00FA7761"/>
    <w:rsid w:val="00FB1D6E"/>
    <w:rsid w:val="00FB4025"/>
    <w:rsid w:val="00FB4FEC"/>
    <w:rsid w:val="00FB5F44"/>
    <w:rsid w:val="00FB6075"/>
    <w:rsid w:val="00FC0635"/>
    <w:rsid w:val="00FC08E7"/>
    <w:rsid w:val="00FC123B"/>
    <w:rsid w:val="00FC12CB"/>
    <w:rsid w:val="00FC50C7"/>
    <w:rsid w:val="00FC5B58"/>
    <w:rsid w:val="00FC62D8"/>
    <w:rsid w:val="00FD10A6"/>
    <w:rsid w:val="00FD3229"/>
    <w:rsid w:val="00FD3F8C"/>
    <w:rsid w:val="00FD4197"/>
    <w:rsid w:val="00FE11BA"/>
    <w:rsid w:val="00FE1411"/>
    <w:rsid w:val="00FE359A"/>
    <w:rsid w:val="00FE4E5D"/>
    <w:rsid w:val="00FE50C7"/>
    <w:rsid w:val="00FE53F0"/>
    <w:rsid w:val="00FE5585"/>
    <w:rsid w:val="00FE76C7"/>
    <w:rsid w:val="00FF0C80"/>
    <w:rsid w:val="00FF0D8C"/>
    <w:rsid w:val="00FF12E9"/>
    <w:rsid w:val="00FF2F35"/>
    <w:rsid w:val="00FF388D"/>
    <w:rsid w:val="00FF3985"/>
    <w:rsid w:val="00FF73F6"/>
    <w:rsid w:val="00FF7B56"/>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EA10025"/>
  <w15:docId w15:val="{64896E84-8A1E-47C0-8051-45BF7A3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line="240" w:lineRule="exact"/>
    </w:pPr>
    <w:rPr>
      <w:rFonts w:ascii="Verdana" w:hAnsi="Verdana"/>
      <w:color w:val="000000"/>
      <w:sz w:val="18"/>
      <w:szCs w:val="18"/>
    </w:rPr>
  </w:style>
  <w:style w:type="paragraph" w:styleId="Heading1">
    <w:name w:val="heading 1"/>
    <w:basedOn w:val="Normal"/>
    <w:next w:val="Normal"/>
    <w:link w:val="Kop1Char"/>
    <w:uiPriority w:val="9"/>
    <w:qFormat/>
    <w:rsid w:val="00753B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Kop2Char"/>
    <w:uiPriority w:val="9"/>
    <w:unhideWhenUsed/>
    <w:qFormat/>
    <w:rsid w:val="003118A5"/>
    <w:pPr>
      <w:keepNext/>
      <w:keepLines/>
      <w:autoSpaceDN/>
      <w:spacing w:before="40" w:line="259" w:lineRule="auto"/>
      <w:textAlignment w:val="auto"/>
      <w:outlineLvl w:val="1"/>
    </w:pPr>
    <w:rPr>
      <w:rFonts w:asciiTheme="majorHAnsi" w:eastAsiaTheme="majorEastAsia" w:hAnsiTheme="majorHAnsi" w:cstheme="majorBidi"/>
      <w:color w:val="2E74B5" w:themeColor="accent1" w:themeShade="BF"/>
      <w:kern w:val="2"/>
      <w:sz w:val="26"/>
      <w:szCs w:val="26"/>
      <w:lang w:eastAsia="en-US"/>
      <w14:ligatures w14:val="standardContextual"/>
    </w:rPr>
  </w:style>
  <w:style w:type="paragraph" w:styleId="Heading3">
    <w:name w:val="heading 3"/>
    <w:basedOn w:val="Normal"/>
    <w:next w:val="Normal"/>
    <w:link w:val="Kop3Char"/>
    <w:uiPriority w:val="9"/>
    <w:unhideWhenUsed/>
    <w:qFormat/>
    <w:rsid w:val="00B07661"/>
    <w:pPr>
      <w:keepNext/>
      <w:keepLines/>
      <w:autoSpaceDN/>
      <w:spacing w:before="120" w:line="252" w:lineRule="auto"/>
      <w:jc w:val="both"/>
      <w:textAlignment w:val="auto"/>
      <w:outlineLvl w:val="2"/>
    </w:pPr>
    <w:rPr>
      <w:rFonts w:asciiTheme="majorHAnsi" w:eastAsiaTheme="majorEastAsia" w:hAnsiTheme="majorHAnsi" w:cstheme="majorBidi"/>
      <w:color w:val="auto"/>
      <w:spacing w:val="4"/>
      <w:sz w:val="24"/>
      <w:szCs w:val="24"/>
      <w:lang w:val="en-US" w:eastAsia="en-US"/>
    </w:rPr>
  </w:style>
  <w:style w:type="paragraph" w:styleId="Heading4">
    <w:name w:val="heading 4"/>
    <w:basedOn w:val="Normal"/>
    <w:next w:val="Normal"/>
    <w:link w:val="Kop4Char"/>
    <w:uiPriority w:val="9"/>
    <w:semiHidden/>
    <w:unhideWhenUsed/>
    <w:qFormat/>
    <w:rsid w:val="00AD585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rtikel">
    <w:name w:val="Artikel"/>
    <w:basedOn w:val="Normal"/>
    <w:next w:val="Normal"/>
  </w:style>
  <w:style w:type="paragraph" w:customStyle="1" w:styleId="Artikelniveau2">
    <w:name w:val="Artikel niveau 2"/>
    <w:basedOn w:val="Normal"/>
    <w:next w:val="Normal"/>
  </w:style>
  <w:style w:type="paragraph" w:customStyle="1" w:styleId="ArtikelenAutorisatiebesluit">
    <w:name w:val="Artikelen Autorisatiebesluit"/>
    <w:basedOn w:val="Normal"/>
    <w:pPr>
      <w:tabs>
        <w:tab w:val="left" w:pos="10091"/>
      </w:tabs>
    </w:pPr>
  </w:style>
  <w:style w:type="paragraph" w:customStyle="1" w:styleId="Begrotingsbehandeling">
    <w:name w:val="Begrotingsbehandeling"/>
    <w:basedOn w:val="Normal"/>
    <w:next w:val="Normal"/>
    <w:pPr>
      <w:spacing w:line="440" w:lineRule="exact"/>
    </w:pPr>
    <w:rPr>
      <w:sz w:val="44"/>
      <w:szCs w:val="44"/>
    </w:rPr>
  </w:style>
  <w:style w:type="paragraph" w:customStyle="1" w:styleId="Bezoekadres">
    <w:name w:val="Bezoekadres"/>
    <w:next w:val="Normal"/>
    <w:pPr>
      <w:spacing w:line="180" w:lineRule="exact"/>
    </w:pPr>
    <w:rPr>
      <w:rFonts w:ascii="Verdana" w:hAnsi="Verdana"/>
      <w:b/>
      <w:color w:val="000000"/>
      <w:sz w:val="13"/>
      <w:szCs w:val="13"/>
    </w:rPr>
  </w:style>
  <w:style w:type="paragraph" w:customStyle="1" w:styleId="BijlageKop">
    <w:name w:val="Bijlage_Kop"/>
    <w:basedOn w:val="Normal"/>
    <w:next w:val="Normal"/>
    <w:pPr>
      <w:spacing w:before="180" w:after="180"/>
    </w:pPr>
  </w:style>
  <w:style w:type="paragraph" w:customStyle="1" w:styleId="BijlageLidArtikel">
    <w:name w:val="Bijlage_Lid_Artikel"/>
    <w:basedOn w:val="Normal"/>
    <w:next w:val="Normal"/>
    <w:pPr>
      <w:ind w:left="400"/>
    </w:pPr>
  </w:style>
  <w:style w:type="paragraph" w:customStyle="1" w:styleId="BijlageLidArtikelGenummerd">
    <w:name w:val="Bijlage_Lid_Artikel_Genummerd"/>
    <w:basedOn w:val="Normal"/>
    <w:next w:val="Normal"/>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Normal"/>
    <w:next w:val="Normal"/>
    <w:pPr>
      <w:spacing w:after="700" w:line="300" w:lineRule="exact"/>
    </w:pPr>
    <w:rPr>
      <w:sz w:val="24"/>
      <w:szCs w:val="24"/>
    </w:rPr>
  </w:style>
  <w:style w:type="paragraph" w:customStyle="1" w:styleId="ConvenantArtikel">
    <w:name w:val="Convenant Artikel"/>
    <w:basedOn w:val="Normal"/>
    <w:next w:val="Normal"/>
    <w:pPr>
      <w:numPr>
        <w:numId w:val="8"/>
      </w:numPr>
      <w:spacing w:before="200" w:after="200"/>
    </w:pPr>
    <w:rPr>
      <w:b/>
      <w:sz w:val="20"/>
      <w:szCs w:val="20"/>
    </w:rPr>
  </w:style>
  <w:style w:type="paragraph" w:customStyle="1" w:styleId="ConvenantletteringArtikel">
    <w:name w:val="Convenant lettering Artikel"/>
    <w:basedOn w:val="Normal"/>
    <w:next w:val="Normal"/>
  </w:style>
  <w:style w:type="paragraph" w:customStyle="1" w:styleId="Convenantletteringinspring">
    <w:name w:val="Convenant lettering inspring"/>
    <w:basedOn w:val="Normal"/>
    <w:next w:val="Normal"/>
    <w:rPr>
      <w:sz w:val="20"/>
      <w:szCs w:val="20"/>
    </w:rPr>
  </w:style>
  <w:style w:type="paragraph" w:customStyle="1" w:styleId="ConvenantLid">
    <w:name w:val="Convenant Lid"/>
    <w:basedOn w:val="Normal"/>
    <w:next w:val="Normal"/>
    <w:pPr>
      <w:numPr>
        <w:ilvl w:val="1"/>
        <w:numId w:val="8"/>
      </w:numPr>
    </w:pPr>
    <w:rPr>
      <w:sz w:val="20"/>
      <w:szCs w:val="20"/>
    </w:rPr>
  </w:style>
  <w:style w:type="paragraph" w:customStyle="1" w:styleId="Convenantlidletterstijlinspring">
    <w:name w:val="Convenant lid (letterstijl inspring)"/>
    <w:basedOn w:val="Normal"/>
    <w:next w:val="Normal"/>
    <w:pPr>
      <w:numPr>
        <w:numId w:val="7"/>
      </w:numPr>
    </w:pPr>
    <w:rPr>
      <w:sz w:val="20"/>
      <w:szCs w:val="20"/>
    </w:rPr>
  </w:style>
  <w:style w:type="paragraph" w:customStyle="1" w:styleId="ConvenantLidletterstijl">
    <w:name w:val="Convenant Lid (letterstijl)"/>
    <w:basedOn w:val="Normal"/>
    <w:next w:val="Normal"/>
    <w:pPr>
      <w:numPr>
        <w:numId w:val="6"/>
      </w:numPr>
    </w:pPr>
    <w:rPr>
      <w:sz w:val="20"/>
      <w:szCs w:val="20"/>
    </w:rPr>
  </w:style>
  <w:style w:type="paragraph" w:customStyle="1" w:styleId="ConvenantnummeringArtikel">
    <w:name w:val="Convenant nummering Artikel"/>
    <w:basedOn w:val="Normal"/>
    <w:next w:val="Normal"/>
  </w:style>
  <w:style w:type="paragraph" w:customStyle="1" w:styleId="Convenantstandaard">
    <w:name w:val="Convenant standaard"/>
    <w:basedOn w:val="Normal"/>
    <w:next w:val="Normal"/>
    <w:rPr>
      <w:sz w:val="20"/>
      <w:szCs w:val="20"/>
    </w:rPr>
  </w:style>
  <w:style w:type="paragraph" w:customStyle="1" w:styleId="ConvenantTitel">
    <w:name w:val="Convenant Titel"/>
    <w:next w:val="Normal"/>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Normal"/>
    <w:next w:val="Normal"/>
    <w:pPr>
      <w:spacing w:after="700" w:line="300" w:lineRule="exact"/>
    </w:pPr>
    <w:rPr>
      <w:sz w:val="24"/>
      <w:szCs w:val="24"/>
    </w:rPr>
  </w:style>
  <w:style w:type="paragraph" w:customStyle="1" w:styleId="Embargo">
    <w:name w:val="Embargo"/>
    <w:next w:val="Normal"/>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rPr>
      <w:sz w:val="15"/>
      <w:szCs w:val="15"/>
    </w:rPr>
  </w:style>
  <w:style w:type="paragraph" w:customStyle="1" w:styleId="FMHDechargeverklaringKop">
    <w:name w:val="FMH_Dechargeverklaring_Kop"/>
    <w:basedOn w:val="Normal"/>
    <w:next w:val="Normal"/>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pPr>
      <w:spacing w:line="240" w:lineRule="exact"/>
    </w:pPr>
    <w:rPr>
      <w:rFonts w:ascii="Arial Narrow" w:hAnsi="Arial Narrow"/>
      <w:color w:val="000000"/>
      <w:sz w:val="15"/>
      <w:szCs w:val="15"/>
    </w:rPr>
  </w:style>
  <w:style w:type="paragraph" w:customStyle="1" w:styleId="FmhKopjeprojectgegevens">
    <w:name w:val="Fmh_Kopje_(project)gegevens"/>
    <w:next w:val="Normal"/>
    <w:pPr>
      <w:spacing w:line="240" w:lineRule="exact"/>
    </w:pPr>
    <w:rPr>
      <w:rFonts w:ascii="Verdana" w:hAnsi="Verdana"/>
      <w:b/>
      <w:color w:val="000000"/>
      <w:sz w:val="15"/>
      <w:szCs w:val="15"/>
    </w:rPr>
  </w:style>
  <w:style w:type="paragraph" w:customStyle="1" w:styleId="FmhKopjekapitalen">
    <w:name w:val="Fmh_Kopje_kapitalen"/>
    <w:next w:val="Normal"/>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pPr>
      <w:tabs>
        <w:tab w:val="left" w:pos="2437"/>
      </w:tabs>
    </w:pPr>
  </w:style>
  <w:style w:type="paragraph" w:customStyle="1" w:styleId="FmhProcesVerbaalOndertekening">
    <w:name w:val="Fmh_Proces_Verbaal_Ondertekening"/>
    <w:basedOn w:val="Normal"/>
    <w:next w:val="Normal"/>
    <w:pPr>
      <w:tabs>
        <w:tab w:val="left" w:pos="2834"/>
      </w:tabs>
    </w:pPr>
  </w:style>
  <w:style w:type="paragraph" w:customStyle="1" w:styleId="FmhProcesVerbaalProjectgegevens">
    <w:name w:val="Fmh_Proces_Verbaal_Projectgegevens"/>
    <w:next w:val="Normal"/>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Normal"/>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Normal"/>
    <w:next w:val="Normal"/>
    <w:pPr>
      <w:numPr>
        <w:numId w:val="15"/>
      </w:numPr>
      <w:spacing w:after="700" w:line="300" w:lineRule="exact"/>
    </w:pPr>
    <w:rPr>
      <w:sz w:val="24"/>
      <w:szCs w:val="24"/>
    </w:rPr>
  </w:style>
  <w:style w:type="paragraph" w:customStyle="1" w:styleId="Hoofdstukzondernummering">
    <w:name w:val="Hoofdstuk zonder nummering"/>
    <w:basedOn w:val="Normal"/>
    <w:next w:val="Normal"/>
    <w:pPr>
      <w:spacing w:after="700" w:line="300" w:lineRule="exact"/>
    </w:pPr>
    <w:rPr>
      <w:sz w:val="24"/>
      <w:szCs w:val="24"/>
    </w:rPr>
  </w:style>
  <w:style w:type="paragraph" w:styleId="TOC1">
    <w:name w:val="toc 1"/>
    <w:basedOn w:val="Normal"/>
    <w:next w:val="Normal"/>
    <w:pPr>
      <w:spacing w:before="240" w:after="120"/>
    </w:pPr>
    <w:rPr>
      <w:b/>
      <w:sz w:val="20"/>
      <w:szCs w:val="20"/>
    </w:rPr>
  </w:style>
  <w:style w:type="paragraph" w:styleId="TOC2">
    <w:name w:val="toc 2"/>
    <w:basedOn w:val="TOC1"/>
    <w:next w:val="Normal"/>
    <w:pPr>
      <w:spacing w:before="120" w:after="0"/>
      <w:ind w:left="180"/>
    </w:pPr>
    <w:rPr>
      <w:b w:val="0"/>
      <w:i/>
    </w:rPr>
  </w:style>
  <w:style w:type="paragraph" w:styleId="TOC3">
    <w:name w:val="toc 3"/>
    <w:basedOn w:val="TOC2"/>
    <w:next w:val="Normal"/>
    <w:pPr>
      <w:spacing w:before="0"/>
      <w:ind w:left="360"/>
    </w:pPr>
    <w:rPr>
      <w:i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Normal"/>
    <w:pPr>
      <w:spacing w:line="220" w:lineRule="exact"/>
    </w:pPr>
    <w:rPr>
      <w:rFonts w:ascii="Arial" w:hAnsi="Arial"/>
      <w:color w:val="000000"/>
      <w:sz w:val="16"/>
      <w:szCs w:val="16"/>
    </w:rPr>
  </w:style>
  <w:style w:type="paragraph" w:customStyle="1" w:styleId="Kiesraadafzendgegevensbold">
    <w:name w:val="Kiesraad_afzendgegevens_bold"/>
    <w:next w:val="Normal"/>
    <w:pPr>
      <w:spacing w:line="220" w:lineRule="exact"/>
    </w:pPr>
    <w:rPr>
      <w:rFonts w:ascii="Arial" w:hAnsi="Arial"/>
      <w:b/>
      <w:color w:val="000000"/>
      <w:sz w:val="16"/>
      <w:szCs w:val="16"/>
    </w:rPr>
  </w:style>
  <w:style w:type="paragraph" w:customStyle="1" w:styleId="Kiesraadfax">
    <w:name w:val="Kiesraad_fax"/>
    <w:basedOn w:val="Normal"/>
    <w:next w:val="Normal"/>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Normal"/>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Normal"/>
    <w:pPr>
      <w:spacing w:line="220" w:lineRule="exact"/>
    </w:pPr>
    <w:rPr>
      <w:rFonts w:ascii="Arial" w:hAnsi="Arial"/>
      <w:color w:val="000000"/>
      <w:sz w:val="16"/>
      <w:szCs w:val="16"/>
    </w:rPr>
  </w:style>
  <w:style w:type="paragraph" w:customStyle="1" w:styleId="KopDocumentgegevens">
    <w:name w:val="Kop Documentgegevens"/>
    <w:next w:val="Normal"/>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pPr>
      <w:tabs>
        <w:tab w:val="left" w:pos="2267"/>
      </w:tabs>
    </w:pPr>
  </w:style>
  <w:style w:type="paragraph" w:customStyle="1" w:styleId="KopNotitiegegevens">
    <w:name w:val="Kop Notitie gegevens"/>
    <w:basedOn w:val="KopDocumentgegevens"/>
    <w:next w:val="Normal"/>
    <w:pPr>
      <w:spacing w:before="80" w:after="160"/>
    </w:pPr>
  </w:style>
  <w:style w:type="paragraph" w:customStyle="1" w:styleId="KopBesluitRVIGAutorisatiebesluitExperian">
    <w:name w:val="Kop_Besluit_RVIG_Autorisatiebesluit_Experian"/>
    <w:basedOn w:val="Normal"/>
    <w:next w:val="Normal"/>
    <w:rPr>
      <w:b/>
      <w:sz w:val="22"/>
      <w:szCs w:val="22"/>
    </w:rPr>
  </w:style>
  <w:style w:type="paragraph" w:customStyle="1" w:styleId="KopContractuitbreiding">
    <w:name w:val="Kop_Contractuitbreiding"/>
    <w:basedOn w:val="Normal"/>
    <w:next w:val="Normal"/>
    <w:pPr>
      <w:spacing w:line="480" w:lineRule="exact"/>
    </w:pPr>
    <w:rPr>
      <w:sz w:val="48"/>
      <w:szCs w:val="48"/>
    </w:rPr>
  </w:style>
  <w:style w:type="paragraph" w:customStyle="1" w:styleId="KopProcesVerbaalvanOplevering">
    <w:name w:val="Kop_Proces_Verbaal_van_Oplevering"/>
    <w:basedOn w:val="Normal"/>
    <w:next w:val="Normal"/>
    <w:pPr>
      <w:spacing w:after="720"/>
    </w:pPr>
    <w:rPr>
      <w:b/>
    </w:rPr>
  </w:style>
  <w:style w:type="paragraph" w:customStyle="1" w:styleId="Kopjeafzendgegevens">
    <w:name w:val="Kopje afzendgegevens"/>
    <w:basedOn w:val="Afzendgegevens"/>
    <w:next w:val="Normal"/>
    <w:rPr>
      <w:b/>
    </w:rPr>
  </w:style>
  <w:style w:type="paragraph" w:customStyle="1" w:styleId="Kopjegegevensdocument">
    <w:name w:val="Kopje gegevens document"/>
    <w:basedOn w:val="Gegevensdocument"/>
    <w:next w:val="Normal"/>
    <w:rPr>
      <w:sz w:val="13"/>
      <w:szCs w:val="13"/>
    </w:rPr>
  </w:style>
  <w:style w:type="paragraph" w:customStyle="1" w:styleId="KopjeNota">
    <w:name w:val="Kopje Nota"/>
    <w:next w:val="Normal"/>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Pr>
      <w:b/>
    </w:rPr>
  </w:style>
  <w:style w:type="paragraph" w:customStyle="1" w:styleId="LedenArt1">
    <w:name w:val="Leden_Art_1"/>
    <w:basedOn w:val="Normal"/>
    <w:next w:val="Normal"/>
    <w:pPr>
      <w:numPr>
        <w:numId w:val="23"/>
      </w:numPr>
    </w:pPr>
  </w:style>
  <w:style w:type="paragraph" w:customStyle="1" w:styleId="LedenArt1niv2">
    <w:name w:val="Leden_Art_1_niv2"/>
    <w:basedOn w:val="Normal"/>
    <w:next w:val="Normal"/>
    <w:pPr>
      <w:numPr>
        <w:ilvl w:val="1"/>
        <w:numId w:val="23"/>
      </w:numPr>
    </w:pPr>
  </w:style>
  <w:style w:type="paragraph" w:customStyle="1" w:styleId="LedenArt10">
    <w:name w:val="Leden_Art_10"/>
    <w:basedOn w:val="Normal"/>
    <w:next w:val="Normal"/>
    <w:pPr>
      <w:numPr>
        <w:numId w:val="24"/>
      </w:numPr>
    </w:pPr>
  </w:style>
  <w:style w:type="paragraph" w:customStyle="1" w:styleId="LedenArt10niv2">
    <w:name w:val="Leden_Art_10_niv2"/>
    <w:basedOn w:val="Normal"/>
    <w:next w:val="Normal"/>
    <w:pPr>
      <w:numPr>
        <w:ilvl w:val="1"/>
        <w:numId w:val="24"/>
      </w:numPr>
    </w:pPr>
  </w:style>
  <w:style w:type="paragraph" w:customStyle="1" w:styleId="LedenArt11">
    <w:name w:val="Leden_Art_11"/>
    <w:basedOn w:val="Normal"/>
    <w:next w:val="Normal"/>
    <w:pPr>
      <w:numPr>
        <w:numId w:val="25"/>
      </w:numPr>
    </w:pPr>
  </w:style>
  <w:style w:type="paragraph" w:customStyle="1" w:styleId="LedenArt3">
    <w:name w:val="Leden_Art_3"/>
    <w:basedOn w:val="Normal"/>
    <w:next w:val="Normal"/>
    <w:pPr>
      <w:numPr>
        <w:numId w:val="26"/>
      </w:numPr>
    </w:pPr>
  </w:style>
  <w:style w:type="paragraph" w:customStyle="1" w:styleId="LedenArt6">
    <w:name w:val="Leden_Art_6"/>
    <w:basedOn w:val="Normal"/>
    <w:next w:val="Normal"/>
    <w:pPr>
      <w:numPr>
        <w:numId w:val="27"/>
      </w:numPr>
    </w:pPr>
  </w:style>
  <w:style w:type="paragraph" w:customStyle="1" w:styleId="LedenArt6niv2">
    <w:name w:val="Leden_Art_6_niv2"/>
    <w:basedOn w:val="Normal"/>
    <w:next w:val="Normal"/>
    <w:pPr>
      <w:numPr>
        <w:ilvl w:val="1"/>
        <w:numId w:val="27"/>
      </w:numPr>
    </w:pPr>
  </w:style>
  <w:style w:type="paragraph" w:customStyle="1" w:styleId="LedenArt7">
    <w:name w:val="Leden_Art_7"/>
    <w:basedOn w:val="Normal"/>
    <w:next w:val="Normal"/>
    <w:pPr>
      <w:numPr>
        <w:numId w:val="28"/>
      </w:numPr>
    </w:pPr>
  </w:style>
  <w:style w:type="paragraph" w:customStyle="1" w:styleId="LedenArt7niv2">
    <w:name w:val="Leden_Art_7_niv2"/>
    <w:basedOn w:val="Normal"/>
    <w:next w:val="Normal"/>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style>
  <w:style w:type="paragraph" w:customStyle="1" w:styleId="LogiusBullets">
    <w:name w:val="Logius Bullets"/>
    <w:basedOn w:val="Normal"/>
    <w:next w:val="Normal"/>
  </w:style>
  <w:style w:type="paragraph" w:customStyle="1" w:styleId="LogiusBulletsRapport">
    <w:name w:val="Logius Bullets Rapport"/>
    <w:basedOn w:val="Normal"/>
    <w:next w:val="Normal"/>
    <w:pPr>
      <w:numPr>
        <w:numId w:val="10"/>
      </w:numPr>
    </w:pPr>
  </w:style>
  <w:style w:type="paragraph" w:customStyle="1" w:styleId="LogiusMTNotitiebullet">
    <w:name w:val="Logius MT Notitie bullet"/>
    <w:basedOn w:val="Normal"/>
    <w:next w:val="Normal"/>
    <w:pPr>
      <w:numPr>
        <w:numId w:val="11"/>
      </w:numPr>
    </w:pPr>
  </w:style>
  <w:style w:type="paragraph" w:customStyle="1" w:styleId="LogiusMTNotitieopsomming">
    <w:name w:val="Logius MT Notitie opsomming"/>
    <w:basedOn w:val="Normal"/>
    <w:next w:val="Normal"/>
    <w:pPr>
      <w:numPr>
        <w:numId w:val="12"/>
      </w:numPr>
    </w:pPr>
    <w:rPr>
      <w:b/>
    </w:rPr>
  </w:style>
  <w:style w:type="paragraph" w:customStyle="1" w:styleId="LogiusMTNotitieopsommingbullet">
    <w:name w:val="Logius MT Notitie opsomming bullet"/>
    <w:basedOn w:val="Normal"/>
    <w:next w:val="Normal"/>
  </w:style>
  <w:style w:type="paragraph" w:customStyle="1" w:styleId="LogiusMTNotitieopsommingniv2">
    <w:name w:val="Logius MT Notitie opsomming niv 2"/>
    <w:basedOn w:val="Normal"/>
    <w:next w:val="Normal"/>
    <w:pPr>
      <w:numPr>
        <w:ilvl w:val="1"/>
        <w:numId w:val="11"/>
      </w:numPr>
    </w:pPr>
  </w:style>
  <w:style w:type="paragraph" w:customStyle="1" w:styleId="LogiusMTNotitieopsommingnummering">
    <w:name w:val="Logius MT Notitie opsomming nummering"/>
    <w:basedOn w:val="Normal"/>
    <w:next w:val="Normal"/>
  </w:style>
  <w:style w:type="paragraph" w:customStyle="1" w:styleId="LogiusNummeringExtra">
    <w:name w:val="Logius Nummering Extra"/>
    <w:basedOn w:val="Normal"/>
    <w:next w:val="Normal"/>
    <w:pPr>
      <w:numPr>
        <w:numId w:val="13"/>
      </w:numPr>
    </w:pPr>
  </w:style>
  <w:style w:type="paragraph" w:customStyle="1" w:styleId="LogiusNummeringExtraLijst">
    <w:name w:val="Logius Nummering Extra Lijst"/>
    <w:basedOn w:val="Normal"/>
    <w:next w:val="Normal"/>
  </w:style>
  <w:style w:type="paragraph" w:customStyle="1" w:styleId="LogiusonderschriftOpdrOvereenkomst">
    <w:name w:val="Logius onderschrift Opdr.Overeenkomst"/>
    <w:basedOn w:val="Normal"/>
    <w:next w:val="Normal"/>
    <w:pPr>
      <w:spacing w:line="200" w:lineRule="exact"/>
      <w:ind w:left="1831"/>
    </w:pPr>
    <w:rPr>
      <w:i/>
      <w:sz w:val="16"/>
      <w:szCs w:val="16"/>
    </w:rPr>
  </w:style>
  <w:style w:type="paragraph" w:customStyle="1" w:styleId="LogiusOpsomming1a">
    <w:name w:val="Logius Opsomming 1a"/>
    <w:basedOn w:val="Normal"/>
    <w:next w:val="Normal"/>
  </w:style>
  <w:style w:type="paragraph" w:customStyle="1" w:styleId="LogiusOpsomming1aniv1">
    <w:name w:val="Logius Opsomming 1a niv1"/>
    <w:basedOn w:val="Normal"/>
    <w:next w:val="Normal"/>
    <w:pPr>
      <w:numPr>
        <w:numId w:val="14"/>
      </w:numPr>
    </w:pPr>
  </w:style>
  <w:style w:type="paragraph" w:customStyle="1" w:styleId="LogiusOpsomming1aniv2">
    <w:name w:val="Logius Opsomming 1a niv2"/>
    <w:basedOn w:val="Normal"/>
    <w:next w:val="Normal"/>
    <w:pPr>
      <w:numPr>
        <w:ilvl w:val="1"/>
        <w:numId w:val="14"/>
      </w:numPr>
    </w:pPr>
  </w:style>
  <w:style w:type="paragraph" w:customStyle="1" w:styleId="LogiusOpsommingHoofdletters">
    <w:name w:val="Logius Opsomming Hoofdletters"/>
    <w:basedOn w:val="Normal"/>
    <w:next w:val="Normal"/>
    <w:pPr>
      <w:numPr>
        <w:numId w:val="16"/>
      </w:numPr>
    </w:pPr>
  </w:style>
  <w:style w:type="paragraph" w:customStyle="1" w:styleId="LogiusRapportsoorten">
    <w:name w:val="Logius Rapportsoorten"/>
    <w:basedOn w:val="Normal"/>
    <w:next w:val="Normal"/>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pPr>
      <w:numPr>
        <w:numId w:val="9"/>
      </w:numPr>
    </w:pPr>
  </w:style>
  <w:style w:type="paragraph" w:customStyle="1" w:styleId="Logiustekstmetopsommingniveau2">
    <w:name w:val="Logius tekst met opsomming niveau 2"/>
    <w:basedOn w:val="Normal"/>
    <w:next w:val="Normal"/>
    <w:pPr>
      <w:numPr>
        <w:ilvl w:val="1"/>
        <w:numId w:val="9"/>
      </w:numPr>
    </w:pPr>
  </w:style>
  <w:style w:type="paragraph" w:customStyle="1" w:styleId="Logiusverdana12">
    <w:name w:val="Logius verdana 12"/>
    <w:basedOn w:val="Normal"/>
    <w:next w:val="Normal"/>
    <w:pPr>
      <w:spacing w:line="320" w:lineRule="exact"/>
    </w:pPr>
    <w:rPr>
      <w:sz w:val="24"/>
      <w:szCs w:val="24"/>
    </w:rPr>
  </w:style>
  <w:style w:type="paragraph" w:customStyle="1" w:styleId="Logiusverdana12bold">
    <w:name w:val="Logius verdana 12 bold"/>
    <w:basedOn w:val="Normal"/>
    <w:next w:val="Normal"/>
    <w:pPr>
      <w:spacing w:line="320" w:lineRule="exact"/>
    </w:pPr>
    <w:rPr>
      <w:b/>
      <w:sz w:val="24"/>
      <w:szCs w:val="24"/>
    </w:rPr>
  </w:style>
  <w:style w:type="paragraph" w:customStyle="1" w:styleId="LogiusVerdana12Italic">
    <w:name w:val="Logius Verdana 12 Italic"/>
    <w:basedOn w:val="Normal"/>
    <w:next w:val="Normal"/>
    <w:rPr>
      <w:i/>
      <w:sz w:val="24"/>
      <w:szCs w:val="24"/>
    </w:rPr>
  </w:style>
  <w:style w:type="paragraph" w:customStyle="1" w:styleId="Logiusbasisnummering">
    <w:name w:val="Logius_basis_nummering"/>
    <w:basedOn w:val="Normal"/>
    <w:next w:val="Normal"/>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Normal"/>
    <w:rPr>
      <w:i/>
    </w:rPr>
  </w:style>
  <w:style w:type="paragraph" w:customStyle="1" w:styleId="Opsomminghoofdletters">
    <w:name w:val="Opsomming hoofdletters"/>
    <w:basedOn w:val="Normal"/>
    <w:next w:val="Normal"/>
  </w:style>
  <w:style w:type="paragraph" w:customStyle="1" w:styleId="Paginaeinde">
    <w:name w:val="Paginaeinde"/>
    <w:basedOn w:val="Normal"/>
    <w:next w:val="Normal"/>
    <w:pPr>
      <w:pageBreakBefore/>
    </w:pPr>
    <w:rPr>
      <w:sz w:val="2"/>
      <w:szCs w:val="2"/>
    </w:rPr>
  </w:style>
  <w:style w:type="paragraph" w:customStyle="1" w:styleId="Paragraaf">
    <w:name w:val="Paragraaf"/>
    <w:basedOn w:val="Normal"/>
    <w:next w:val="Normal"/>
    <w:pPr>
      <w:numPr>
        <w:ilvl w:val="1"/>
        <w:numId w:val="15"/>
      </w:numPr>
    </w:pPr>
    <w:rPr>
      <w:b/>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
    <w:name w:val="Rapport"/>
    <w:basedOn w:val="Normal"/>
    <w:next w:val="Normal"/>
  </w:style>
  <w:style w:type="paragraph" w:customStyle="1" w:styleId="RapportNiveau1">
    <w:name w:val="Rapport_Niveau_1"/>
    <w:basedOn w:val="Normal"/>
    <w:next w:val="Normal"/>
    <w:pPr>
      <w:numPr>
        <w:numId w:val="17"/>
      </w:numPr>
      <w:spacing w:after="700" w:line="300" w:lineRule="exact"/>
    </w:pPr>
    <w:rPr>
      <w:sz w:val="24"/>
      <w:szCs w:val="24"/>
    </w:rPr>
  </w:style>
  <w:style w:type="paragraph" w:customStyle="1" w:styleId="RapportNiveau2">
    <w:name w:val="Rapport_Niveau_2"/>
    <w:basedOn w:val="Normal"/>
    <w:next w:val="Normal"/>
    <w:pPr>
      <w:numPr>
        <w:ilvl w:val="1"/>
        <w:numId w:val="17"/>
      </w:numPr>
    </w:pPr>
    <w:rPr>
      <w:b/>
    </w:rPr>
  </w:style>
  <w:style w:type="paragraph" w:customStyle="1" w:styleId="RapportNiveau3">
    <w:name w:val="Rapport_Niveau_3"/>
    <w:basedOn w:val="Normal"/>
    <w:next w:val="Normal"/>
    <w:pPr>
      <w:numPr>
        <w:ilvl w:val="2"/>
        <w:numId w:val="17"/>
      </w:numPr>
    </w:pPr>
    <w:rPr>
      <w:i/>
    </w:rPr>
  </w:style>
  <w:style w:type="paragraph" w:customStyle="1" w:styleId="RapportNiveau4">
    <w:name w:val="Rapport_Niveau_4"/>
    <w:basedOn w:val="Normal"/>
    <w:next w:val="Normal"/>
    <w:pPr>
      <w:numPr>
        <w:ilvl w:val="3"/>
        <w:numId w:val="17"/>
      </w:numPr>
    </w:pPr>
  </w:style>
  <w:style w:type="paragraph" w:customStyle="1" w:styleId="RapportNiveau5">
    <w:name w:val="Rapport_Niveau_5"/>
    <w:basedOn w:val="Normal"/>
    <w:next w:val="Normal"/>
    <w:pPr>
      <w:numPr>
        <w:ilvl w:val="4"/>
        <w:numId w:val="17"/>
      </w:numPr>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COpsommingstreepje">
    <w:name w:val="RC Opsomming streepje"/>
    <w:basedOn w:val="Normal"/>
    <w:next w:val="Normal"/>
    <w:pPr>
      <w:numPr>
        <w:numId w:val="18"/>
      </w:numPr>
    </w:pPr>
  </w:style>
  <w:style w:type="paragraph" w:customStyle="1" w:styleId="RCStreepje">
    <w:name w:val="RC Streepje"/>
    <w:basedOn w:val="Normal"/>
    <w:next w:val="Normal"/>
  </w:style>
  <w:style w:type="paragraph" w:customStyle="1" w:styleId="RCabc">
    <w:name w:val="RC_abc"/>
    <w:basedOn w:val="Normal"/>
    <w:next w:val="Normal"/>
  </w:style>
  <w:style w:type="paragraph" w:customStyle="1" w:styleId="RCabcalinea">
    <w:name w:val="RC_abc alinea"/>
    <w:basedOn w:val="Normal"/>
    <w:next w:val="Normal"/>
    <w:pPr>
      <w:numPr>
        <w:numId w:val="19"/>
      </w:numPr>
    </w:p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Normal"/>
    <w:next w:val="Normal"/>
    <w:pPr>
      <w:spacing w:before="180" w:line="300" w:lineRule="exact"/>
      <w:ind w:left="740" w:hanging="320"/>
    </w:pPr>
    <w:rPr>
      <w:b/>
    </w:rPr>
  </w:style>
  <w:style w:type="paragraph" w:customStyle="1" w:styleId="Rob-RfvRaadsnotadocumentnaam">
    <w:name w:val="Rob-Rfv Raadsnota documentnaam"/>
    <w:next w:val="Normal"/>
    <w:pPr>
      <w:spacing w:line="440" w:lineRule="exact"/>
    </w:pPr>
    <w:rPr>
      <w:rFonts w:ascii="Verdana" w:hAnsi="Verdana"/>
      <w:color w:val="FF0000"/>
      <w:sz w:val="44"/>
      <w:szCs w:val="44"/>
    </w:rPr>
  </w:style>
  <w:style w:type="paragraph" w:customStyle="1" w:styleId="RobRfvStandaardTAB">
    <w:name w:val="Rob/Rfv Standaard TAB"/>
    <w:basedOn w:val="Normal"/>
    <w:next w:val="Normal"/>
    <w:pPr>
      <w:tabs>
        <w:tab w:val="left" w:pos="1133"/>
      </w:tabs>
    </w:pPr>
  </w:style>
  <w:style w:type="paragraph" w:customStyle="1" w:styleId="Robrfvabc">
    <w:name w:val="Robrfv_abc"/>
    <w:basedOn w:val="Normal"/>
    <w:next w:val="Normal"/>
    <w:pPr>
      <w:numPr>
        <w:ilvl w:val="5"/>
        <w:numId w:val="20"/>
      </w:numPr>
      <w:spacing w:before="180" w:line="300" w:lineRule="exact"/>
    </w:pPr>
  </w:style>
  <w:style w:type="paragraph" w:customStyle="1" w:styleId="Robrfvniv1b11">
    <w:name w:val="Robrfvniv1_b11"/>
    <w:basedOn w:val="Normal"/>
    <w:next w:val="Normal"/>
    <w:pPr>
      <w:numPr>
        <w:numId w:val="20"/>
      </w:numPr>
      <w:spacing w:before="360" w:line="300" w:lineRule="exact"/>
    </w:pPr>
    <w:rPr>
      <w:b/>
      <w:sz w:val="22"/>
      <w:szCs w:val="22"/>
    </w:rPr>
  </w:style>
  <w:style w:type="paragraph" w:customStyle="1" w:styleId="Robrfvniv2">
    <w:name w:val="Robrfvniv2"/>
    <w:basedOn w:val="Normal"/>
    <w:next w:val="Normal"/>
    <w:pPr>
      <w:numPr>
        <w:ilvl w:val="1"/>
        <w:numId w:val="20"/>
      </w:numPr>
      <w:spacing w:before="180" w:line="300" w:lineRule="exact"/>
    </w:pPr>
    <w:rPr>
      <w:b/>
    </w:rPr>
  </w:style>
  <w:style w:type="paragraph" w:customStyle="1" w:styleId="Robrfvniv3standaard">
    <w:name w:val="Robrfvniv3_standaard"/>
    <w:basedOn w:val="Normal"/>
    <w:next w:val="Normal"/>
    <w:pPr>
      <w:numPr>
        <w:ilvl w:val="3"/>
        <w:numId w:val="20"/>
      </w:numPr>
    </w:pPr>
  </w:style>
  <w:style w:type="paragraph" w:customStyle="1" w:styleId="Robrfvniv5">
    <w:name w:val="Robrfvniv5"/>
    <w:basedOn w:val="Normal"/>
    <w:next w:val="Normal"/>
    <w:pPr>
      <w:numPr>
        <w:ilvl w:val="4"/>
        <w:numId w:val="20"/>
      </w:numPr>
    </w:pPr>
  </w:style>
  <w:style w:type="paragraph" w:customStyle="1" w:styleId="Robrfvopsommingslijst">
    <w:name w:val="Robrfvopsommingslijst"/>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Normal"/>
    <w:next w:val="Normal"/>
  </w:style>
  <w:style w:type="paragraph" w:customStyle="1" w:styleId="RVIGLetteropsomming">
    <w:name w:val="RVIG Letteropsomming"/>
    <w:basedOn w:val="Normal"/>
    <w:next w:val="Normal"/>
  </w:style>
  <w:style w:type="paragraph" w:customStyle="1" w:styleId="RvIGOpsomming">
    <w:name w:val="RvIG Opsomming"/>
    <w:basedOn w:val="Normal"/>
    <w:next w:val="Normal"/>
    <w:pPr>
      <w:ind w:left="1260"/>
    </w:pPr>
  </w:style>
  <w:style w:type="paragraph" w:customStyle="1" w:styleId="RVIGOpsommingGebruikersgegevens">
    <w:name w:val="RVIG Opsomming Gebruikersgegevens"/>
    <w:basedOn w:val="Normal"/>
    <w:next w:val="Normal"/>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pPr>
      <w:numPr>
        <w:numId w:val="21"/>
      </w:numPr>
      <w:spacing w:after="240"/>
    </w:pPr>
  </w:style>
  <w:style w:type="paragraph" w:customStyle="1" w:styleId="RVIGTekstbesluitmetletters">
    <w:name w:val="RVIG Tekst besluit met letters"/>
    <w:basedOn w:val="Normal"/>
    <w:next w:val="Normal"/>
    <w:pPr>
      <w:numPr>
        <w:numId w:val="22"/>
      </w:numPr>
      <w:spacing w:after="240"/>
    </w:pPr>
  </w:style>
  <w:style w:type="paragraph" w:customStyle="1" w:styleId="Slotzin">
    <w:name w:val="Slotzin"/>
    <w:basedOn w:val="Normal"/>
    <w:next w:val="Normal"/>
  </w:style>
  <w:style w:type="paragraph" w:customStyle="1" w:styleId="SSCICTslotzin">
    <w:name w:val="SSC_ICT_slotzin"/>
    <w:basedOn w:val="Normal"/>
    <w:next w:val="Normal"/>
    <w:pPr>
      <w:spacing w:before="240"/>
    </w:pPr>
  </w:style>
  <w:style w:type="paragraph" w:customStyle="1" w:styleId="SSC-ICTAanhef">
    <w:name w:val="SSC-ICT Aanhef"/>
    <w:basedOn w:val="Normal"/>
    <w:next w:val="Normal"/>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Normal"/>
    <w:next w:val="Normal"/>
    <w:pPr>
      <w:spacing w:before="40" w:after="40"/>
      <w:ind w:left="40"/>
    </w:p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Grijsgemarkeerd">
    <w:name w:val="Standaard Grijs gemarkeerd"/>
    <w:basedOn w:val="Normal"/>
    <w:next w:val="Normal"/>
    <w:pPr>
      <w:shd w:val="clear" w:color="auto" w:fill="B2B2B2"/>
    </w:pPr>
  </w:style>
  <w:style w:type="paragraph" w:customStyle="1" w:styleId="StandaardHvK">
    <w:name w:val="Standaard HvK"/>
    <w:next w:val="Normal"/>
    <w:pPr>
      <w:spacing w:line="300" w:lineRule="exact"/>
    </w:pPr>
    <w:rPr>
      <w:rFonts w:ascii="Helvetica" w:hAnsi="Helvetica"/>
      <w:color w:val="000000"/>
    </w:rPr>
  </w:style>
  <w:style w:type="paragraph" w:customStyle="1" w:styleId="StandaardKleinKapitaal">
    <w:name w:val="Standaard Klein Kapitaal"/>
    <w:basedOn w:val="Normal"/>
    <w:next w:val="Normal"/>
    <w:rPr>
      <w:smallCaps/>
    </w:rPr>
  </w:style>
  <w:style w:type="paragraph" w:customStyle="1" w:styleId="Standaardrechts">
    <w:name w:val="Standaard rechts"/>
    <w:basedOn w:val="Normal"/>
    <w:next w:val="Normal"/>
    <w:pPr>
      <w:jc w:val="right"/>
    </w:pPr>
  </w:style>
  <w:style w:type="paragraph" w:customStyle="1" w:styleId="Standaardtabeltekst">
    <w:name w:val="Standaard tabel tekst"/>
    <w:basedOn w:val="Normal"/>
    <w:next w:val="Normal"/>
    <w:pPr>
      <w:spacing w:line="220" w:lineRule="exact"/>
    </w:p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rdana16Projectcontract">
    <w:name w:val="Standaard Verdana 16 Projectcontract"/>
    <w:basedOn w:val="Normal"/>
    <w:next w:val="Normal"/>
    <w:pPr>
      <w:spacing w:after="900" w:line="380" w:lineRule="exact"/>
    </w:pPr>
    <w:rPr>
      <w:sz w:val="32"/>
      <w:szCs w:val="32"/>
    </w:rPr>
  </w:style>
  <w:style w:type="paragraph" w:customStyle="1" w:styleId="StandaardVerdana8">
    <w:name w:val="Standaard Verdana 8"/>
    <w:basedOn w:val="Normal"/>
    <w:next w:val="Normal"/>
    <w:rPr>
      <w:sz w:val="16"/>
      <w:szCs w:val="16"/>
    </w:rPr>
  </w:style>
  <w:style w:type="paragraph" w:customStyle="1" w:styleId="StandaardVet">
    <w:name w:val="Standaard Vet"/>
    <w:basedOn w:val="Normal"/>
    <w:next w:val="Normal"/>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Normal"/>
    <w:next w:val="Normal"/>
    <w:pPr>
      <w:numPr>
        <w:ilvl w:val="2"/>
        <w:numId w:val="15"/>
      </w:numPr>
    </w:pPr>
    <w:rPr>
      <w:i/>
    </w:rPr>
  </w:style>
  <w:style w:type="paragraph" w:customStyle="1" w:styleId="Subparagraaf2">
    <w:name w:val="Subparagraaf 2"/>
    <w:basedOn w:val="Normal"/>
    <w:next w:val="Normal"/>
    <w:pPr>
      <w:numPr>
        <w:ilvl w:val="3"/>
        <w:numId w:val="15"/>
      </w:numPr>
    </w:pPr>
  </w:style>
  <w:style w:type="paragraph" w:customStyle="1" w:styleId="Subtitelpersbericht">
    <w:name w:val="Subtitel persbericht"/>
    <w:basedOn w:val="Titelpersbericht"/>
    <w:next w:val="Normal"/>
    <w:rPr>
      <w:b w:val="0"/>
    </w:rPr>
  </w:style>
  <w:style w:type="paragraph" w:customStyle="1" w:styleId="SubtitelRapport">
    <w:name w:val="Subtitel Rapport"/>
    <w:next w:val="Normal"/>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pPr>
      <w:spacing w:line="240" w:lineRule="exact"/>
    </w:pPr>
    <w:rPr>
      <w:rFonts w:ascii="Verdana" w:hAnsi="Verdana"/>
      <w:b/>
      <w:color w:val="000000"/>
      <w:sz w:val="16"/>
      <w:szCs w:val="16"/>
    </w:rPr>
  </w:style>
  <w:style w:type="paragraph" w:customStyle="1" w:styleId="Titelpersbericht">
    <w:name w:val="Titel persbericht"/>
    <w:next w:val="Normal"/>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VetStandaard">
    <w:name w:val="Vet (Standaard)"/>
    <w:basedOn w:val="Normal"/>
    <w:next w:val="Normal"/>
    <w:rPr>
      <w:b/>
    </w:rPr>
  </w:style>
  <w:style w:type="paragraph" w:customStyle="1" w:styleId="Voetnoot">
    <w:name w:val="Voetnoot"/>
    <w:basedOn w:val="Normal"/>
    <w:rPr>
      <w:sz w:val="16"/>
      <w:szCs w:val="16"/>
    </w:rPr>
  </w:style>
  <w:style w:type="paragraph" w:customStyle="1" w:styleId="VoetnootVorderingsbrief">
    <w:name w:val="Voetnoot Vorderingsbrief"/>
    <w:basedOn w:val="Normal"/>
    <w:pPr>
      <w:spacing w:line="200" w:lineRule="exact"/>
    </w:pPr>
    <w:rPr>
      <w:sz w:val="14"/>
      <w:szCs w:val="14"/>
    </w:rPr>
  </w:style>
  <w:style w:type="paragraph" w:customStyle="1" w:styleId="VTWmeldingrood">
    <w:name w:val="VTW melding rood"/>
    <w:basedOn w:val="Normal"/>
    <w:next w:val="Normal"/>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pPr>
      <w:shd w:val="clear" w:color="auto" w:fill="EEEEEE"/>
    </w:pPr>
  </w:style>
  <w:style w:type="paragraph" w:customStyle="1" w:styleId="VTWVerdana">
    <w:name w:val="VTW Verdana"/>
    <w:basedOn w:val="Normal"/>
    <w:next w:val="Normal"/>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pPr>
      <w:spacing w:line="280" w:lineRule="exact"/>
    </w:pPr>
    <w:rPr>
      <w:b/>
      <w:sz w:val="24"/>
      <w:szCs w:val="24"/>
    </w:rPr>
  </w:style>
  <w:style w:type="paragraph" w:customStyle="1" w:styleId="VTWOndertitel">
    <w:name w:val="VTW_Ondertitel"/>
    <w:basedOn w:val="Normal"/>
    <w:next w:val="Normal"/>
    <w:rPr>
      <w:sz w:val="20"/>
      <w:szCs w:val="20"/>
    </w:rPr>
  </w:style>
  <w:style w:type="paragraph" w:customStyle="1" w:styleId="WitregelNota8pt">
    <w:name w:val="Witregel Nota 8pt"/>
    <w:next w:val="Normal"/>
    <w:pPr>
      <w:spacing w:line="160" w:lineRule="exact"/>
    </w:pPr>
    <w:rPr>
      <w:rFonts w:ascii="Verdana" w:hAnsi="Verdana"/>
      <w:color w:val="000000"/>
      <w:sz w:val="16"/>
      <w:szCs w:val="16"/>
    </w:rPr>
  </w:style>
  <w:style w:type="paragraph" w:customStyle="1" w:styleId="WitregelNota9pt">
    <w:name w:val="Witregel Nota 9pt"/>
    <w:next w:val="Normal"/>
    <w:pPr>
      <w:spacing w:line="180" w:lineRule="exact"/>
    </w:pPr>
    <w:rPr>
      <w:rFonts w:ascii="Verdana" w:hAnsi="Verdana"/>
      <w:color w:val="000000"/>
      <w:sz w:val="18"/>
      <w:szCs w:val="18"/>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Normal"/>
    <w:next w:val="Normal"/>
    <w:pPr>
      <w:pageBreakBefore/>
      <w:numPr>
        <w:numId w:val="3"/>
      </w:numPr>
      <w:spacing w:before="180"/>
    </w:pPr>
    <w:rPr>
      <w:b/>
    </w:rPr>
  </w:style>
  <w:style w:type="paragraph" w:customStyle="1" w:styleId="WOBBesluitBijlageLidArtikel">
    <w:name w:val="WOB Besluit Bijlage Lid Artikel"/>
    <w:basedOn w:val="Normal"/>
    <w:next w:val="Normal"/>
    <w:pPr>
      <w:numPr>
        <w:numId w:val="4"/>
      </w:numPr>
      <w:ind w:firstLine="0"/>
    </w:pPr>
  </w:style>
  <w:style w:type="paragraph" w:customStyle="1" w:styleId="WOBBesluitKop">
    <w:name w:val="WOB Besluit Kop"/>
    <w:basedOn w:val="Normal"/>
    <w:next w:val="Normal"/>
    <w:pPr>
      <w:spacing w:before="180"/>
    </w:pPr>
    <w:rPr>
      <w:b/>
    </w:rPr>
  </w:style>
  <w:style w:type="paragraph" w:customStyle="1" w:styleId="WOBBesluitLidgenummerd">
    <w:name w:val="WOB Besluit Lid genummerd"/>
    <w:basedOn w:val="Normal"/>
    <w:next w:val="Normal"/>
    <w:pPr>
      <w:numPr>
        <w:numId w:val="5"/>
      </w:numPr>
    </w:pPr>
  </w:style>
  <w:style w:type="paragraph" w:customStyle="1" w:styleId="WOBBesluitStandaard">
    <w:name w:val="WOB Besluit Standaard"/>
    <w:basedOn w:val="Normal"/>
    <w:next w:val="Normal"/>
    <w:pPr>
      <w:spacing w:after="180"/>
    </w:pPr>
  </w:style>
  <w:style w:type="paragraph" w:customStyle="1" w:styleId="WOBBesluitSubkop">
    <w:name w:val="WOB Besluit Subkop"/>
    <w:basedOn w:val="Normal"/>
    <w:next w:val="Normal"/>
    <w:pPr>
      <w:spacing w:before="180" w:after="180"/>
    </w:pPr>
    <w:rPr>
      <w:i/>
    </w:rPr>
  </w:style>
  <w:style w:type="paragraph" w:customStyle="1" w:styleId="WobBijlageLedenArtikel1">
    <w:name w:val="Wob_Bijlage_Leden_Artikel_1"/>
    <w:basedOn w:val="Normal"/>
    <w:next w:val="Normal"/>
  </w:style>
  <w:style w:type="paragraph" w:customStyle="1" w:styleId="WobBijlageLedenArtikel10">
    <w:name w:val="Wob_Bijlage_Leden_Artikel_10"/>
    <w:basedOn w:val="Normal"/>
    <w:next w:val="Normal"/>
  </w:style>
  <w:style w:type="paragraph" w:customStyle="1" w:styleId="WobBijlageLedenArtikel11">
    <w:name w:val="Wob_Bijlage_Leden_Artikel_11"/>
    <w:basedOn w:val="Normal"/>
    <w:next w:val="Normal"/>
  </w:style>
  <w:style w:type="paragraph" w:customStyle="1" w:styleId="WobBijlageLedenArtikel3">
    <w:name w:val="Wob_Bijlage_Leden_Artikel_3"/>
    <w:basedOn w:val="Normal"/>
    <w:next w:val="Normal"/>
  </w:style>
  <w:style w:type="paragraph" w:customStyle="1" w:styleId="WobBijlageLedenArtikel6">
    <w:name w:val="Wob_Bijlage_Leden_Artikel_6"/>
    <w:basedOn w:val="Normal"/>
    <w:next w:val="Normal"/>
  </w:style>
  <w:style w:type="paragraph" w:customStyle="1" w:styleId="WobBijlageLedenArtikel7">
    <w:name w:val="Wob_Bijlage_Leden_Artikel_7"/>
    <w:basedOn w:val="Normal"/>
    <w:next w:val="Normal"/>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pPr>
      <w:spacing w:line="240" w:lineRule="exact"/>
    </w:pPr>
    <w:rPr>
      <w:rFonts w:ascii="Verdana" w:hAnsi="Verdana"/>
      <w:i/>
      <w:color w:val="000000"/>
      <w:sz w:val="18"/>
      <w:szCs w:val="18"/>
    </w:rPr>
  </w:style>
  <w:style w:type="paragraph" w:customStyle="1" w:styleId="Workaroundgroetregel">
    <w:name w:val="Workaround groetregel"/>
    <w:next w:val="Normal"/>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pPr>
      <w:spacing w:after="720" w:line="240" w:lineRule="exact"/>
    </w:pPr>
    <w:rPr>
      <w:rFonts w:ascii="Verdana" w:hAnsi="Verdana"/>
      <w:color w:val="000000"/>
      <w:sz w:val="18"/>
      <w:szCs w:val="18"/>
    </w:rPr>
  </w:style>
  <w:style w:type="paragraph" w:customStyle="1" w:styleId="Workaroundnaamondertekenaar">
    <w:name w:val="Workaround naam ondertekenaar"/>
    <w:next w:val="Normal"/>
    <w:pPr>
      <w:spacing w:line="240" w:lineRule="exact"/>
    </w:pPr>
    <w:rPr>
      <w:rFonts w:ascii="Verdana" w:hAnsi="Verdana"/>
      <w:color w:val="000000"/>
      <w:sz w:val="18"/>
      <w:szCs w:val="18"/>
    </w:rPr>
  </w:style>
  <w:style w:type="paragraph" w:styleId="Header">
    <w:name w:val="header"/>
    <w:basedOn w:val="Normal"/>
    <w:link w:val="KoptekstChar"/>
    <w:uiPriority w:val="99"/>
    <w:unhideWhenUsed/>
    <w:rsid w:val="00492081"/>
    <w:pPr>
      <w:tabs>
        <w:tab w:val="center" w:pos="4513"/>
        <w:tab w:val="right" w:pos="9026"/>
      </w:tabs>
      <w:spacing w:line="240" w:lineRule="auto"/>
    </w:pPr>
  </w:style>
  <w:style w:type="character" w:customStyle="1" w:styleId="KoptekstChar">
    <w:name w:val="Koptekst Char"/>
    <w:basedOn w:val="DefaultParagraphFont"/>
    <w:link w:val="Header"/>
    <w:uiPriority w:val="99"/>
    <w:rsid w:val="00492081"/>
    <w:rPr>
      <w:rFonts w:ascii="Verdana" w:hAnsi="Verdana"/>
      <w:color w:val="000000"/>
      <w:sz w:val="18"/>
      <w:szCs w:val="18"/>
    </w:rPr>
  </w:style>
  <w:style w:type="paragraph" w:styleId="Footer">
    <w:name w:val="footer"/>
    <w:basedOn w:val="Normal"/>
    <w:link w:val="VoettekstChar"/>
    <w:uiPriority w:val="99"/>
    <w:unhideWhenUsed/>
    <w:rsid w:val="00492081"/>
    <w:pPr>
      <w:tabs>
        <w:tab w:val="center" w:pos="4513"/>
        <w:tab w:val="right" w:pos="9026"/>
      </w:tabs>
      <w:spacing w:line="240" w:lineRule="auto"/>
    </w:pPr>
  </w:style>
  <w:style w:type="character" w:customStyle="1" w:styleId="VoettekstChar">
    <w:name w:val="Voettekst Char"/>
    <w:basedOn w:val="DefaultParagraphFont"/>
    <w:link w:val="Footer"/>
    <w:uiPriority w:val="99"/>
    <w:rsid w:val="00492081"/>
    <w:rPr>
      <w:rFonts w:ascii="Verdana" w:hAnsi="Verdana"/>
      <w:color w:val="000000"/>
      <w:sz w:val="18"/>
      <w:szCs w:val="18"/>
    </w:rPr>
  </w:style>
  <w:style w:type="paragraph" w:styleId="NoSpacing">
    <w:name w:val="No Spacing"/>
    <w:basedOn w:val="Normal"/>
    <w:uiPriority w:val="1"/>
    <w:qFormat/>
    <w:rsid w:val="00492081"/>
    <w:pPr>
      <w:spacing w:after="120" w:line="240" w:lineRule="atLeast"/>
    </w:pPr>
  </w:style>
  <w:style w:type="character" w:styleId="CommentReference">
    <w:name w:val="annotation reference"/>
    <w:basedOn w:val="DefaultParagraphFont"/>
    <w:uiPriority w:val="99"/>
    <w:semiHidden/>
    <w:unhideWhenUsed/>
    <w:rsid w:val="002C0A90"/>
    <w:rPr>
      <w:sz w:val="16"/>
      <w:szCs w:val="16"/>
    </w:rPr>
  </w:style>
  <w:style w:type="paragraph" w:styleId="CommentText">
    <w:name w:val="annotation text"/>
    <w:basedOn w:val="Normal"/>
    <w:link w:val="TekstopmerkingChar"/>
    <w:uiPriority w:val="99"/>
    <w:unhideWhenUsed/>
    <w:rsid w:val="002C0A90"/>
    <w:pPr>
      <w:spacing w:line="240" w:lineRule="auto"/>
    </w:pPr>
    <w:rPr>
      <w:sz w:val="20"/>
      <w:szCs w:val="20"/>
    </w:rPr>
  </w:style>
  <w:style w:type="character" w:customStyle="1" w:styleId="TekstopmerkingChar">
    <w:name w:val="Tekst opmerking Char"/>
    <w:basedOn w:val="DefaultParagraphFont"/>
    <w:link w:val="CommentText"/>
    <w:uiPriority w:val="99"/>
    <w:rsid w:val="002C0A9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C0A90"/>
    <w:rPr>
      <w:b/>
      <w:bCs/>
    </w:rPr>
  </w:style>
  <w:style w:type="character" w:customStyle="1" w:styleId="OnderwerpvanopmerkingChar">
    <w:name w:val="Onderwerp van opmerking Char"/>
    <w:basedOn w:val="TekstopmerkingChar"/>
    <w:link w:val="CommentSubject"/>
    <w:uiPriority w:val="99"/>
    <w:semiHidden/>
    <w:rsid w:val="002C0A90"/>
    <w:rPr>
      <w:rFonts w:ascii="Verdana" w:hAnsi="Verdana"/>
      <w:b/>
      <w:bCs/>
      <w:color w:val="000000"/>
    </w:rPr>
  </w:style>
  <w:style w:type="paragraph" w:styleId="BalloonText">
    <w:name w:val="Balloon Text"/>
    <w:basedOn w:val="Normal"/>
    <w:link w:val="BallontekstChar"/>
    <w:uiPriority w:val="99"/>
    <w:semiHidden/>
    <w:unhideWhenUsed/>
    <w:rsid w:val="002C0A90"/>
    <w:pPr>
      <w:spacing w:line="240" w:lineRule="auto"/>
    </w:pPr>
    <w:rPr>
      <w:rFonts w:ascii="Segoe UI" w:hAnsi="Segoe UI" w:cs="Segoe UI"/>
    </w:rPr>
  </w:style>
  <w:style w:type="character" w:customStyle="1" w:styleId="BallontekstChar">
    <w:name w:val="Ballontekst Char"/>
    <w:basedOn w:val="DefaultParagraphFont"/>
    <w:link w:val="BalloonText"/>
    <w:uiPriority w:val="99"/>
    <w:semiHidden/>
    <w:rsid w:val="002C0A90"/>
    <w:rPr>
      <w:rFonts w:ascii="Segoe UI" w:hAnsi="Segoe UI" w:cs="Segoe UI"/>
      <w:color w:val="000000"/>
      <w:sz w:val="18"/>
      <w:szCs w:val="18"/>
    </w:rPr>
  </w:style>
  <w:style w:type="character" w:customStyle="1" w:styleId="Kop3Char">
    <w:name w:val="Kop 3 Char"/>
    <w:basedOn w:val="DefaultParagraphFont"/>
    <w:link w:val="Heading3"/>
    <w:uiPriority w:val="9"/>
    <w:rsid w:val="00B07661"/>
    <w:rPr>
      <w:rFonts w:asciiTheme="majorHAnsi" w:eastAsiaTheme="majorEastAsia" w:hAnsiTheme="majorHAnsi" w:cstheme="majorBidi"/>
      <w:spacing w:val="4"/>
      <w:sz w:val="24"/>
      <w:szCs w:val="24"/>
      <w:lang w:val="en-US" w:eastAsia="en-US"/>
    </w:rPr>
  </w:style>
  <w:style w:type="paragraph" w:styleId="FootnoteText">
    <w:name w:val="footnote text"/>
    <w:basedOn w:val="Normal"/>
    <w:link w:val="VoetnoottekstChar"/>
    <w:uiPriority w:val="99"/>
    <w:unhideWhenUsed/>
    <w:rsid w:val="00111933"/>
    <w:pPr>
      <w:autoSpaceDN/>
      <w:spacing w:line="240" w:lineRule="auto"/>
      <w:jc w:val="both"/>
      <w:textAlignment w:val="auto"/>
    </w:pPr>
    <w:rPr>
      <w:rFonts w:asciiTheme="minorHAnsi" w:eastAsiaTheme="minorEastAsia" w:hAnsiTheme="minorHAnsi" w:cstheme="minorBidi"/>
      <w:color w:val="auto"/>
      <w:sz w:val="20"/>
      <w:szCs w:val="20"/>
      <w:lang w:val="en-US" w:eastAsia="en-US"/>
    </w:rPr>
  </w:style>
  <w:style w:type="character" w:customStyle="1" w:styleId="VoetnoottekstChar">
    <w:name w:val="Voetnoottekst Char"/>
    <w:basedOn w:val="DefaultParagraphFont"/>
    <w:link w:val="FootnoteText"/>
    <w:uiPriority w:val="99"/>
    <w:rsid w:val="00111933"/>
    <w:rPr>
      <w:rFonts w:asciiTheme="minorHAnsi" w:eastAsiaTheme="minorEastAsia" w:hAnsiTheme="minorHAnsi" w:cstheme="minorBidi"/>
      <w:lang w:val="en-US" w:eastAsia="en-US"/>
    </w:rPr>
  </w:style>
  <w:style w:type="character" w:styleId="FootnoteReference">
    <w:name w:val="footnote reference"/>
    <w:aliases w:val="(Footnote Reference),BVI fnr,Char2,Exposant 3 Point,Footnote,Footnote Reference Superscript,Footnote call,Footnote reference number,Footnote symbol,Footnotes refss,Kop 4 Char1,SUPERS,Times 10 Point,Voetnootverwijzing,note TESI,number"/>
    <w:basedOn w:val="DefaultParagraphFont"/>
    <w:uiPriority w:val="99"/>
    <w:unhideWhenUsed/>
    <w:qFormat/>
    <w:rsid w:val="00111933"/>
    <w:rPr>
      <w:vertAlign w:val="superscript"/>
    </w:rPr>
  </w:style>
  <w:style w:type="paragraph" w:styleId="Revision">
    <w:name w:val="Revision"/>
    <w:hidden/>
    <w:uiPriority w:val="99"/>
    <w:semiHidden/>
    <w:rsid w:val="00DD3515"/>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F33B9E"/>
    <w:rPr>
      <w:color w:val="0563C1" w:themeColor="hyperlink"/>
      <w:u w:val="single"/>
    </w:rPr>
  </w:style>
  <w:style w:type="character" w:customStyle="1" w:styleId="atomhl">
    <w:name w:val="atomhl"/>
    <w:basedOn w:val="DefaultParagraphFont"/>
    <w:rsid w:val="0046521B"/>
  </w:style>
  <w:style w:type="paragraph" w:styleId="ListParagraph">
    <w:name w:val="List Paragraph"/>
    <w:basedOn w:val="Normal"/>
    <w:uiPriority w:val="34"/>
    <w:qFormat/>
    <w:rsid w:val="009A4FDC"/>
    <w:pPr>
      <w:autoSpaceDN/>
      <w:spacing w:line="240" w:lineRule="auto"/>
      <w:ind w:left="720"/>
      <w:contextualSpacing/>
      <w:textAlignment w:val="auto"/>
    </w:pPr>
    <w:rPr>
      <w:rFonts w:ascii="Times New Roman" w:hAnsi="Times New Roman" w:eastAsiaTheme="minorHAnsi" w:cs="Times New Roman"/>
      <w:color w:val="auto"/>
      <w:sz w:val="24"/>
      <w:szCs w:val="24"/>
    </w:rPr>
  </w:style>
  <w:style w:type="character" w:customStyle="1" w:styleId="shift">
    <w:name w:val="shift"/>
    <w:basedOn w:val="DefaultParagraphFont"/>
    <w:rsid w:val="00701630"/>
  </w:style>
  <w:style w:type="character" w:styleId="Strong">
    <w:name w:val="Strong"/>
    <w:basedOn w:val="DefaultParagraphFont"/>
    <w:uiPriority w:val="22"/>
    <w:qFormat/>
    <w:rsid w:val="0056445A"/>
    <w:rPr>
      <w:b/>
      <w:bCs/>
    </w:rPr>
  </w:style>
  <w:style w:type="character" w:customStyle="1" w:styleId="markedcontent">
    <w:name w:val="markedcontent"/>
    <w:basedOn w:val="DefaultParagraphFont"/>
    <w:rsid w:val="004D2E01"/>
  </w:style>
  <w:style w:type="paragraph" w:styleId="NormalWeb">
    <w:name w:val="Normal (Web)"/>
    <w:basedOn w:val="Normal"/>
    <w:uiPriority w:val="99"/>
    <w:semiHidden/>
    <w:unhideWhenUsed/>
    <w:rsid w:val="00EA60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0F2D09"/>
    <w:rPr>
      <w:color w:val="605E5C"/>
      <w:shd w:val="clear" w:color="auto" w:fill="E1DFDD"/>
    </w:rPr>
  </w:style>
  <w:style w:type="table" w:styleId="PlainTable4">
    <w:name w:val="Plain Table 4"/>
    <w:basedOn w:val="TableNormal"/>
    <w:uiPriority w:val="44"/>
    <w:rsid w:val="00740A1C"/>
    <w:pPr>
      <w:autoSpaceDN/>
      <w:textAlignment w:val="auto"/>
    </w:pPr>
    <w:rPr>
      <w:rFonts w:ascii="Verdana" w:hAnsi="Verdana" w:eastAsiaTheme="minorHAnsi" w:cstheme="minorBidi"/>
      <w:sz w:val="18"/>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1Char">
    <w:name w:val="Kop 1 Char"/>
    <w:basedOn w:val="DefaultParagraphFont"/>
    <w:link w:val="Heading1"/>
    <w:uiPriority w:val="9"/>
    <w:rsid w:val="00753B3F"/>
    <w:rPr>
      <w:rFonts w:asciiTheme="majorHAnsi" w:eastAsiaTheme="majorEastAsia" w:hAnsiTheme="majorHAnsi" w:cstheme="majorBidi"/>
      <w:color w:val="2E74B5" w:themeColor="accent1" w:themeShade="BF"/>
      <w:sz w:val="32"/>
      <w:szCs w:val="32"/>
    </w:rPr>
  </w:style>
  <w:style w:type="character" w:customStyle="1" w:styleId="Kop4Char">
    <w:name w:val="Kop 4 Char"/>
    <w:basedOn w:val="DefaultParagraphFont"/>
    <w:link w:val="Heading4"/>
    <w:uiPriority w:val="9"/>
    <w:semiHidden/>
    <w:rsid w:val="00AD585D"/>
    <w:rPr>
      <w:rFonts w:asciiTheme="majorHAnsi" w:eastAsiaTheme="majorEastAsia" w:hAnsiTheme="majorHAnsi" w:cstheme="majorBidi"/>
      <w:i/>
      <w:iCs/>
      <w:color w:val="2E74B5" w:themeColor="accent1" w:themeShade="BF"/>
      <w:sz w:val="18"/>
      <w:szCs w:val="18"/>
    </w:rPr>
  </w:style>
  <w:style w:type="character" w:customStyle="1" w:styleId="Kop2Char">
    <w:name w:val="Kop 2 Char"/>
    <w:basedOn w:val="DefaultParagraphFont"/>
    <w:link w:val="Heading2"/>
    <w:uiPriority w:val="9"/>
    <w:rsid w:val="003118A5"/>
    <w:rPr>
      <w:rFonts w:asciiTheme="majorHAnsi" w:eastAsiaTheme="majorEastAsia" w:hAnsiTheme="majorHAnsi" w:cstheme="majorBidi"/>
      <w:color w:val="2E74B5" w:themeColor="accent1" w:themeShade="BF"/>
      <w:kern w:val="2"/>
      <w:sz w:val="26"/>
      <w:szCs w:val="26"/>
      <w:lang w:eastAsia="en-US"/>
      <w14:ligatures w14:val="standardContextual"/>
    </w:rPr>
  </w:style>
  <w:style w:type="paragraph" w:styleId="Title">
    <w:name w:val="Title"/>
    <w:basedOn w:val="Normal"/>
    <w:next w:val="Normal"/>
    <w:link w:val="TitelChar"/>
    <w:uiPriority w:val="10"/>
    <w:qFormat/>
    <w:rsid w:val="003118A5"/>
    <w:pPr>
      <w:autoSpaceDN/>
      <w:spacing w:line="240" w:lineRule="auto"/>
      <w:contextualSpacing/>
      <w:textAlignment w:val="auto"/>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elChar">
    <w:name w:val="Titel Char"/>
    <w:basedOn w:val="DefaultParagraphFont"/>
    <w:link w:val="Title"/>
    <w:uiPriority w:val="10"/>
    <w:rsid w:val="003118A5"/>
    <w:rPr>
      <w:rFonts w:asciiTheme="majorHAnsi" w:eastAsiaTheme="majorEastAsia" w:hAnsiTheme="majorHAnsi" w:cstheme="majorBidi"/>
      <w:spacing w:val="-10"/>
      <w:kern w:val="28"/>
      <w:sz w:val="56"/>
      <w:szCs w:val="56"/>
      <w:lang w:eastAsia="en-US"/>
      <w14:ligatures w14:val="standardContextual"/>
    </w:rPr>
  </w:style>
  <w:style w:type="character" w:styleId="Emphasis">
    <w:name w:val="Emphasis"/>
    <w:basedOn w:val="DefaultParagraphFont"/>
    <w:uiPriority w:val="20"/>
    <w:qFormat/>
    <w:rsid w:val="003118A5"/>
    <w:rPr>
      <w:i/>
      <w:iCs/>
    </w:rPr>
  </w:style>
  <w:style w:type="character" w:styleId="FollowedHyperlink">
    <w:name w:val="FollowedHyperlink"/>
    <w:basedOn w:val="DefaultParagraphFont"/>
    <w:uiPriority w:val="99"/>
    <w:semiHidden/>
    <w:unhideWhenUsed/>
    <w:rsid w:val="003118A5"/>
    <w:rPr>
      <w:color w:val="954F72"/>
      <w:u w:val="single"/>
    </w:rPr>
  </w:style>
  <w:style w:type="paragraph" w:customStyle="1" w:styleId="msonormal">
    <w:name w:val="msonormal"/>
    <w:basedOn w:val="Normal"/>
    <w:rsid w:val="003118A5"/>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font5">
    <w:name w:val="font5"/>
    <w:basedOn w:val="Normal"/>
    <w:rsid w:val="003118A5"/>
    <w:pPr>
      <w:autoSpaceDN/>
      <w:spacing w:before="100" w:beforeAutospacing="1" w:after="100" w:afterAutospacing="1" w:line="240" w:lineRule="auto"/>
      <w:textAlignment w:val="auto"/>
    </w:pPr>
    <w:rPr>
      <w:rFonts w:eastAsia="Times New Roman" w:cs="Times New Roman"/>
      <w:sz w:val="16"/>
      <w:szCs w:val="16"/>
    </w:rPr>
  </w:style>
  <w:style w:type="paragraph" w:customStyle="1" w:styleId="font6">
    <w:name w:val="font6"/>
    <w:basedOn w:val="Normal"/>
    <w:rsid w:val="003118A5"/>
    <w:pPr>
      <w:autoSpaceDN/>
      <w:spacing w:before="100" w:beforeAutospacing="1" w:after="100" w:afterAutospacing="1" w:line="240" w:lineRule="auto"/>
      <w:textAlignment w:val="auto"/>
    </w:pPr>
    <w:rPr>
      <w:rFonts w:eastAsia="Times New Roman" w:cs="Times New Roman"/>
      <w:sz w:val="16"/>
      <w:szCs w:val="16"/>
    </w:rPr>
  </w:style>
  <w:style w:type="paragraph" w:customStyle="1" w:styleId="xl65">
    <w:name w:val="xl65"/>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textAlignment w:val="center"/>
    </w:pPr>
    <w:rPr>
      <w:rFonts w:eastAsia="Times New Roman" w:cs="Times New Roman"/>
      <w:b/>
      <w:bCs/>
      <w:color w:val="auto"/>
      <w:sz w:val="16"/>
      <w:szCs w:val="16"/>
    </w:rPr>
  </w:style>
  <w:style w:type="paragraph" w:customStyle="1" w:styleId="xl66">
    <w:name w:val="xl66"/>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textAlignment w:val="center"/>
    </w:pPr>
    <w:rPr>
      <w:rFonts w:eastAsia="Times New Roman" w:cs="Times New Roman"/>
      <w:b/>
      <w:bCs/>
      <w:color w:val="auto"/>
      <w:sz w:val="16"/>
      <w:szCs w:val="16"/>
    </w:rPr>
  </w:style>
  <w:style w:type="paragraph" w:customStyle="1" w:styleId="xl67">
    <w:name w:val="xl67"/>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textAlignment w:val="center"/>
    </w:pPr>
    <w:rPr>
      <w:rFonts w:eastAsia="Times New Roman" w:cs="Times New Roman"/>
      <w:b/>
      <w:bCs/>
      <w:color w:val="auto"/>
      <w:sz w:val="16"/>
      <w:szCs w:val="16"/>
    </w:rPr>
  </w:style>
  <w:style w:type="paragraph" w:customStyle="1" w:styleId="xl68">
    <w:name w:val="xl68"/>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jc w:val="center"/>
      <w:textAlignment w:val="center"/>
    </w:pPr>
    <w:rPr>
      <w:rFonts w:eastAsia="Times New Roman" w:cs="Times New Roman"/>
      <w:b/>
      <w:bCs/>
      <w:color w:val="auto"/>
      <w:sz w:val="16"/>
      <w:szCs w:val="16"/>
    </w:rPr>
  </w:style>
  <w:style w:type="paragraph" w:customStyle="1" w:styleId="xl69">
    <w:name w:val="xl69"/>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textAlignment w:val="center"/>
    </w:pPr>
    <w:rPr>
      <w:rFonts w:eastAsia="Times New Roman" w:cs="Times New Roman"/>
      <w:color w:val="auto"/>
      <w:sz w:val="16"/>
      <w:szCs w:val="16"/>
    </w:rPr>
  </w:style>
  <w:style w:type="paragraph" w:customStyle="1" w:styleId="xl70">
    <w:name w:val="xl70"/>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jc w:val="center"/>
      <w:textAlignment w:val="center"/>
    </w:pPr>
    <w:rPr>
      <w:rFonts w:eastAsia="Times New Roman" w:cs="Times New Roman"/>
      <w:color w:val="auto"/>
      <w:sz w:val="16"/>
      <w:szCs w:val="16"/>
    </w:rPr>
  </w:style>
  <w:style w:type="paragraph" w:customStyle="1" w:styleId="xl71">
    <w:name w:val="xl71"/>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textAlignment w:val="center"/>
    </w:pPr>
    <w:rPr>
      <w:rFonts w:eastAsia="Times New Roman" w:cs="Times New Roman"/>
      <w:color w:val="auto"/>
      <w:sz w:val="16"/>
      <w:szCs w:val="16"/>
    </w:rPr>
  </w:style>
  <w:style w:type="paragraph" w:customStyle="1" w:styleId="xl72">
    <w:name w:val="xl72"/>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textAlignment w:val="auto"/>
    </w:pPr>
    <w:rPr>
      <w:rFonts w:eastAsia="Times New Roman" w:cs="Times New Roman"/>
      <w:b/>
      <w:bCs/>
      <w:color w:val="auto"/>
      <w:sz w:val="16"/>
      <w:szCs w:val="16"/>
    </w:rPr>
  </w:style>
  <w:style w:type="paragraph" w:customStyle="1" w:styleId="xl73">
    <w:name w:val="xl73"/>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textAlignment w:val="auto"/>
    </w:pPr>
    <w:rPr>
      <w:rFonts w:eastAsia="Times New Roman" w:cs="Times New Roman"/>
      <w:b/>
      <w:bCs/>
      <w:color w:val="auto"/>
      <w:sz w:val="16"/>
      <w:szCs w:val="16"/>
    </w:rPr>
  </w:style>
  <w:style w:type="paragraph" w:customStyle="1" w:styleId="xl74">
    <w:name w:val="xl74"/>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jc w:val="center"/>
      <w:textAlignment w:val="center"/>
    </w:pPr>
    <w:rPr>
      <w:rFonts w:eastAsia="Times New Roman" w:cs="Times New Roman"/>
      <w:color w:val="auto"/>
      <w:sz w:val="16"/>
      <w:szCs w:val="16"/>
    </w:rPr>
  </w:style>
  <w:style w:type="paragraph" w:customStyle="1" w:styleId="xl75">
    <w:name w:val="xl75"/>
    <w:basedOn w:val="Normal"/>
    <w:rsid w:val="003118A5"/>
    <w:pPr>
      <w:pBdr>
        <w:top w:val="single" w:sz="4" w:space="0" w:color="auto"/>
        <w:left w:val="single" w:sz="4" w:space="0" w:color="auto"/>
        <w:bottom w:val="single" w:sz="4" w:space="0" w:color="auto"/>
        <w:right w:val="single" w:sz="4" w:space="0" w:color="auto"/>
      </w:pBdr>
      <w:autoSpaceDN/>
      <w:spacing w:before="100" w:beforeAutospacing="1" w:after="100" w:afterAutospacing="1" w:line="240" w:lineRule="auto"/>
      <w:jc w:val="right"/>
      <w:textAlignment w:val="center"/>
    </w:pPr>
    <w:rPr>
      <w:rFonts w:eastAsia="Times New Roman" w:cs="Times New Roman"/>
      <w:b/>
      <w:bCs/>
      <w:color w:val="auto"/>
      <w:sz w:val="16"/>
      <w:szCs w:val="16"/>
    </w:rPr>
  </w:style>
  <w:style w:type="paragraph" w:customStyle="1" w:styleId="xl76">
    <w:name w:val="xl76"/>
    <w:basedOn w:val="Normal"/>
    <w:rsid w:val="003118A5"/>
    <w:pPr>
      <w:pBdr>
        <w:left w:val="single" w:sz="4" w:space="0" w:color="auto"/>
        <w:bottom w:val="single" w:sz="4" w:space="0" w:color="auto"/>
        <w:right w:val="single" w:sz="4" w:space="0" w:color="auto"/>
      </w:pBdr>
      <w:autoSpaceDN/>
      <w:spacing w:before="100" w:beforeAutospacing="1" w:after="100" w:afterAutospacing="1" w:line="240" w:lineRule="auto"/>
      <w:textAlignment w:val="auto"/>
    </w:pPr>
    <w:rPr>
      <w:rFonts w:eastAsia="Times New Roman" w:cs="Times New Roman"/>
      <w:b/>
      <w:bCs/>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2.xml" Id="rId10" /><Relationship Type="http://schemas.openxmlformats.org/officeDocument/2006/relationships/footer" Target="footer1.xml" Id="rId11" /><Relationship Type="http://schemas.openxmlformats.org/officeDocument/2006/relationships/footer" Target="footer2.xml" Id="rId12" /><Relationship Type="http://schemas.openxmlformats.org/officeDocument/2006/relationships/header" Target="header3.xml" Id="rId13" /><Relationship Type="http://schemas.openxmlformats.org/officeDocument/2006/relationships/footer" Target="footer3.xml" Id="rId14" /><Relationship Type="http://schemas.openxmlformats.org/officeDocument/2006/relationships/header" Target="header4.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inview.nl/document/id2051200406302003072861ab2004320dosre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6567</ap:Words>
  <ap:Characters>36122</ap:Characters>
  <ap:DocSecurity>0</ap:DocSecurity>
  <ap:Lines>301</ap:Lines>
  <ap:Paragraphs>85</ap:Paragraphs>
  <ap:ScaleCrop>false</ap:ScaleCrop>
  <ap:HeadingPairs>
    <vt:vector baseType="variant" size="2">
      <vt:variant>
        <vt:lpstr>Titel</vt:lpstr>
      </vt:variant>
      <vt:variant>
        <vt:i4>1</vt:i4>
      </vt:variant>
    </vt:vector>
  </ap:HeadingPairs>
  <ap:LinksUpToDate>false</ap:LinksUpToDate>
  <ap:CharactersWithSpaces>42604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2024-07-09T10:08:00.0000000Z</lastPrinted>
  <dcterms:created xsi:type="dcterms:W3CDTF">2025-03-27T10:50:00.0000000Z</dcterms:created>
  <dcterms:modified xsi:type="dcterms:W3CDTF">2025-04-14T12:24:00.0000000Z</dcterms:modified>
  <dc:creator/>
  <lastModifiedBy/>
  <dc:description>------------------------</dc:description>
  <dc:subject/>
  <keywords/>
  <version/>
  <category/>
</coreProperties>
</file>