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2D" w:rsidP="00AE4A2D" w:rsidRDefault="00AE4A2D" w14:paraId="0B35B55D" w14:textId="258F9EF3">
      <w:pPr>
        <w:pStyle w:val="Pa1"/>
        <w:rPr>
          <w:rFonts w:cs="RijksoverheidSansHeading"/>
          <w:color w:val="000000"/>
          <w:sz w:val="44"/>
          <w:szCs w:val="44"/>
        </w:rPr>
      </w:pPr>
      <w:bookmarkStart w:name="_GoBack" w:id="0"/>
      <w:bookmarkEnd w:id="0"/>
      <w:r w:rsidRPr="00AF1E71">
        <w:rPr>
          <w:rFonts w:cs="RijksoverheidSansHeading"/>
          <w:color w:val="000000"/>
          <w:sz w:val="44"/>
          <w:szCs w:val="44"/>
        </w:rPr>
        <w:t>Mariene Strategie voor het Nederlandse deel van de Noordzee 2022-2027 (deel 3)</w:t>
      </w:r>
    </w:p>
    <w:p w:rsidRPr="00AF1E71" w:rsidR="00AE4A2D" w:rsidP="00AF1E71" w:rsidRDefault="00AE4A2D" w14:paraId="2EFB4CDB" w14:textId="77777777">
      <w:pPr>
        <w:pStyle w:val="Default"/>
      </w:pPr>
    </w:p>
    <w:p w:rsidR="00AE4A2D" w:rsidP="00AE4A2D" w:rsidRDefault="00AE4A2D" w14:paraId="35430501" w14:textId="77777777">
      <w:pPr>
        <w:pStyle w:val="Pa0"/>
        <w:rPr>
          <w:rFonts w:cs="RijksoverheidSansHeading"/>
          <w:color w:val="000000"/>
          <w:sz w:val="36"/>
          <w:szCs w:val="36"/>
        </w:rPr>
      </w:pPr>
      <w:r>
        <w:rPr>
          <w:rFonts w:cs="RijksoverheidSansHeading"/>
          <w:color w:val="000000"/>
          <w:sz w:val="36"/>
          <w:szCs w:val="36"/>
        </w:rPr>
        <w:t xml:space="preserve">KRM-programma van maatregelen </w:t>
      </w:r>
    </w:p>
    <w:p w:rsidR="001F57BD" w:rsidP="009103B9" w:rsidRDefault="00AE4A2D" w14:paraId="60ECD70D" w14:textId="7F15B49C">
      <w:pPr>
        <w:rPr>
          <w:lang w:val="nl-NL"/>
        </w:rPr>
      </w:pPr>
      <w:r w:rsidRPr="00AF1E71">
        <w:rPr>
          <w:rFonts w:ascii="RijksoverheidSansHeading" w:hAnsi="RijksoverheidSansHeading" w:cs="RijksoverheidSansHeading"/>
          <w:color w:val="000000"/>
          <w:sz w:val="36"/>
          <w:szCs w:val="36"/>
          <w:lang w:val="nl-NL"/>
        </w:rPr>
        <w:t xml:space="preserve">Bijlage </w:t>
      </w:r>
      <w:r w:rsidR="0019196A">
        <w:rPr>
          <w:rFonts w:ascii="RijksoverheidSansHeading" w:hAnsi="RijksoverheidSansHeading" w:cs="RijksoverheidSansHeading"/>
          <w:color w:val="000000"/>
          <w:sz w:val="36"/>
          <w:szCs w:val="36"/>
          <w:lang w:val="nl-NL"/>
        </w:rPr>
        <w:t>1</w:t>
      </w:r>
      <w:r w:rsidRPr="00AF1E71">
        <w:rPr>
          <w:rFonts w:ascii="RijksoverheidSansHeading" w:hAnsi="RijksoverheidSansHeading" w:cs="RijksoverheidSansHeading"/>
          <w:color w:val="000000"/>
          <w:sz w:val="36"/>
          <w:szCs w:val="36"/>
          <w:lang w:val="nl-NL"/>
        </w:rPr>
        <w:t xml:space="preserve"> bij het </w:t>
      </w:r>
      <w:r w:rsidR="00733DD8">
        <w:rPr>
          <w:rFonts w:ascii="RijksoverheidSansHeading" w:hAnsi="RijksoverheidSansHeading" w:cs="RijksoverheidSansHeading"/>
          <w:color w:val="000000"/>
          <w:sz w:val="36"/>
          <w:szCs w:val="36"/>
          <w:lang w:val="nl-NL"/>
        </w:rPr>
        <w:t xml:space="preserve">Programma </w:t>
      </w:r>
      <w:r w:rsidR="00A9405C">
        <w:rPr>
          <w:rFonts w:ascii="RijksoverheidSansHeading" w:hAnsi="RijksoverheidSansHeading" w:cs="RijksoverheidSansHeading"/>
          <w:color w:val="000000"/>
          <w:sz w:val="36"/>
          <w:szCs w:val="36"/>
          <w:lang w:val="nl-NL"/>
        </w:rPr>
        <w:t xml:space="preserve">Noordzee </w:t>
      </w:r>
      <w:r w:rsidRPr="00AF1E71">
        <w:rPr>
          <w:rFonts w:ascii="RijksoverheidSansHeading" w:hAnsi="RijksoverheidSansHeading" w:cs="RijksoverheidSansHeading"/>
          <w:color w:val="000000"/>
          <w:sz w:val="36"/>
          <w:szCs w:val="36"/>
          <w:lang w:val="nl-NL"/>
        </w:rPr>
        <w:t>20</w:t>
      </w:r>
      <w:r w:rsidR="00733DD8">
        <w:rPr>
          <w:rFonts w:ascii="RijksoverheidSansHeading" w:hAnsi="RijksoverheidSansHeading" w:cs="RijksoverheidSansHeading"/>
          <w:color w:val="000000"/>
          <w:sz w:val="36"/>
          <w:szCs w:val="36"/>
          <w:lang w:val="nl-NL"/>
        </w:rPr>
        <w:t>22</w:t>
      </w:r>
      <w:r w:rsidRPr="00AF1E71">
        <w:rPr>
          <w:rFonts w:ascii="RijksoverheidSansHeading" w:hAnsi="RijksoverheidSansHeading" w:cs="RijksoverheidSansHeading"/>
          <w:color w:val="000000"/>
          <w:sz w:val="36"/>
          <w:szCs w:val="36"/>
          <w:lang w:val="nl-NL"/>
        </w:rPr>
        <w:t>-20</w:t>
      </w:r>
      <w:r w:rsidR="00733DD8">
        <w:rPr>
          <w:rFonts w:ascii="RijksoverheidSansHeading" w:hAnsi="RijksoverheidSansHeading" w:cs="RijksoverheidSansHeading"/>
          <w:color w:val="000000"/>
          <w:sz w:val="36"/>
          <w:szCs w:val="36"/>
          <w:lang w:val="nl-NL"/>
        </w:rPr>
        <w:t>27</w:t>
      </w:r>
    </w:p>
    <w:p w:rsidRPr="005964FF" w:rsidR="009103B9" w:rsidP="005964FF" w:rsidRDefault="009103B9" w14:paraId="412A4A0C" w14:textId="77777777">
      <w:pPr>
        <w:rPr>
          <w:lang w:val="nl-NL"/>
        </w:rPr>
      </w:pPr>
      <w:r w:rsidRPr="005964FF">
        <w:rPr>
          <w:lang w:val="nl-NL"/>
        </w:rPr>
        <w:br w:type="page"/>
      </w:r>
    </w:p>
    <w:bookmarkStart w:name="_Toc58959863" w:displacedByCustomXml="next" w:id="1"/>
    <w:bookmarkStart w:name="_Toc58583180" w:displacedByCustomXml="next" w:id="2"/>
    <w:bookmarkStart w:name="_Toc58402322" w:displacedByCustomXml="next" w:id="3"/>
    <w:bookmarkStart w:name="_Toc58407512" w:displacedByCustomXml="next" w:id="4"/>
    <w:bookmarkStart w:name="_Toc59455616" w:displacedByCustomXml="next" w:id="5"/>
    <w:sdt>
      <w:sdtPr>
        <w:rPr>
          <w:rFonts w:ascii="Verdana" w:hAnsi="Verdana" w:eastAsiaTheme="minorHAnsi" w:cstheme="minorBidi"/>
          <w:color w:val="auto"/>
          <w:sz w:val="18"/>
          <w:szCs w:val="22"/>
        </w:rPr>
        <w:id w:val="1475564536"/>
        <w:docPartObj>
          <w:docPartGallery w:val="Table of Contents"/>
          <w:docPartUnique/>
        </w:docPartObj>
      </w:sdtPr>
      <w:sdtEndPr>
        <w:rPr>
          <w:b/>
          <w:bCs/>
        </w:rPr>
      </w:sdtEndPr>
      <w:sdtContent>
        <w:p w:rsidRPr="0077504C" w:rsidR="00831E2E" w:rsidP="00483337" w:rsidRDefault="00831E2E" w14:paraId="1428890D" w14:textId="77777777">
          <w:pPr>
            <w:pStyle w:val="Heading1"/>
            <w:ind w:left="360" w:hanging="360"/>
            <w:rPr>
              <w:lang w:val="nl-NL"/>
            </w:rPr>
          </w:pPr>
          <w:r w:rsidRPr="0077504C">
            <w:rPr>
              <w:lang w:val="nl-NL"/>
            </w:rPr>
            <w:t>Inhoud</w:t>
          </w:r>
          <w:bookmarkEnd w:id="5"/>
          <w:bookmarkEnd w:id="4"/>
          <w:bookmarkEnd w:id="3"/>
          <w:bookmarkEnd w:id="2"/>
          <w:bookmarkEnd w:id="1"/>
        </w:p>
        <w:p w:rsidR="000F24F6" w:rsidRDefault="00831E2E" w14:paraId="65CC4B3A" w14:textId="77777777">
          <w:pPr>
            <w:pStyle w:val="TOC1"/>
            <w:rPr>
              <w:rFonts w:asciiTheme="minorHAnsi" w:hAnsiTheme="minorHAnsi" w:eastAsiaTheme="minorEastAsia"/>
              <w:noProof/>
              <w:sz w:val="22"/>
              <w:lang w:val="nl-NL" w:eastAsia="nl-NL"/>
            </w:rPr>
          </w:pPr>
          <w:r>
            <w:fldChar w:fldCharType="begin"/>
          </w:r>
          <w:r w:rsidRPr="0077504C">
            <w:rPr>
              <w:lang w:val="nl-NL"/>
            </w:rPr>
            <w:instrText xml:space="preserve"> TOC \o "1-3" \h \z \u </w:instrText>
          </w:r>
          <w:r>
            <w:fldChar w:fldCharType="separate"/>
          </w:r>
        </w:p>
        <w:p w:rsidR="000F24F6" w:rsidRDefault="007A1CC4" w14:paraId="32952629" w14:textId="0C84C9E3">
          <w:pPr>
            <w:pStyle w:val="TOC1"/>
            <w:rPr>
              <w:rFonts w:asciiTheme="minorHAnsi" w:hAnsiTheme="minorHAnsi" w:eastAsiaTheme="minorEastAsia"/>
              <w:noProof/>
              <w:sz w:val="22"/>
              <w:lang w:val="nl-NL" w:eastAsia="nl-NL"/>
            </w:rPr>
          </w:pPr>
          <w:hyperlink w:history="1" w:anchor="_Toc59455617">
            <w:r w:rsidRPr="00602E26" w:rsidR="000F24F6">
              <w:rPr>
                <w:rStyle w:val="Hyperlink"/>
                <w:noProof/>
              </w:rPr>
              <w:t>Samenvatting</w:t>
            </w:r>
            <w:r w:rsidR="000F24F6">
              <w:rPr>
                <w:noProof/>
                <w:webHidden/>
              </w:rPr>
              <w:tab/>
            </w:r>
            <w:r w:rsidR="000F24F6">
              <w:rPr>
                <w:noProof/>
                <w:webHidden/>
              </w:rPr>
              <w:fldChar w:fldCharType="begin"/>
            </w:r>
            <w:r w:rsidR="000F24F6">
              <w:rPr>
                <w:noProof/>
                <w:webHidden/>
              </w:rPr>
              <w:instrText xml:space="preserve"> PAGEREF _Toc59455617 \h </w:instrText>
            </w:r>
            <w:r w:rsidR="000F24F6">
              <w:rPr>
                <w:noProof/>
                <w:webHidden/>
              </w:rPr>
            </w:r>
            <w:r w:rsidR="000F24F6">
              <w:rPr>
                <w:noProof/>
                <w:webHidden/>
              </w:rPr>
              <w:fldChar w:fldCharType="separate"/>
            </w:r>
            <w:r w:rsidR="00F10D05">
              <w:rPr>
                <w:noProof/>
                <w:webHidden/>
              </w:rPr>
              <w:t>3</w:t>
            </w:r>
            <w:r w:rsidR="000F24F6">
              <w:rPr>
                <w:noProof/>
                <w:webHidden/>
              </w:rPr>
              <w:fldChar w:fldCharType="end"/>
            </w:r>
          </w:hyperlink>
        </w:p>
        <w:p w:rsidR="000F24F6" w:rsidRDefault="007A1CC4" w14:paraId="6574E183" w14:textId="5BF3AB18">
          <w:pPr>
            <w:pStyle w:val="TOC1"/>
            <w:rPr>
              <w:rFonts w:asciiTheme="minorHAnsi" w:hAnsiTheme="minorHAnsi" w:eastAsiaTheme="minorEastAsia"/>
              <w:noProof/>
              <w:sz w:val="22"/>
              <w:lang w:val="nl-NL" w:eastAsia="nl-NL"/>
            </w:rPr>
          </w:pPr>
          <w:hyperlink w:history="1" w:anchor="_Toc59455618">
            <w:r w:rsidRPr="00602E26" w:rsidR="000F24F6">
              <w:rPr>
                <w:rStyle w:val="Hyperlink"/>
                <w:noProof/>
              </w:rPr>
              <w:t>1.</w:t>
            </w:r>
            <w:r w:rsidR="000F24F6">
              <w:rPr>
                <w:rFonts w:asciiTheme="minorHAnsi" w:hAnsiTheme="minorHAnsi" w:eastAsiaTheme="minorEastAsia"/>
                <w:noProof/>
                <w:sz w:val="22"/>
                <w:lang w:val="nl-NL" w:eastAsia="nl-NL"/>
              </w:rPr>
              <w:tab/>
            </w:r>
            <w:r w:rsidRPr="00602E26" w:rsidR="000F24F6">
              <w:rPr>
                <w:rStyle w:val="Hyperlink"/>
                <w:noProof/>
              </w:rPr>
              <w:t>Aanleiding en doel</w:t>
            </w:r>
            <w:r w:rsidR="000F24F6">
              <w:rPr>
                <w:noProof/>
                <w:webHidden/>
              </w:rPr>
              <w:tab/>
            </w:r>
            <w:r w:rsidR="000F24F6">
              <w:rPr>
                <w:noProof/>
                <w:webHidden/>
              </w:rPr>
              <w:fldChar w:fldCharType="begin"/>
            </w:r>
            <w:r w:rsidR="000F24F6">
              <w:rPr>
                <w:noProof/>
                <w:webHidden/>
              </w:rPr>
              <w:instrText xml:space="preserve"> PAGEREF _Toc59455618 \h </w:instrText>
            </w:r>
            <w:r w:rsidR="000F24F6">
              <w:rPr>
                <w:noProof/>
                <w:webHidden/>
              </w:rPr>
            </w:r>
            <w:r w:rsidR="000F24F6">
              <w:rPr>
                <w:noProof/>
                <w:webHidden/>
              </w:rPr>
              <w:fldChar w:fldCharType="separate"/>
            </w:r>
            <w:r w:rsidR="00F10D05">
              <w:rPr>
                <w:noProof/>
                <w:webHidden/>
              </w:rPr>
              <w:t>9</w:t>
            </w:r>
            <w:r w:rsidR="000F24F6">
              <w:rPr>
                <w:noProof/>
                <w:webHidden/>
              </w:rPr>
              <w:fldChar w:fldCharType="end"/>
            </w:r>
          </w:hyperlink>
        </w:p>
        <w:p w:rsidR="000F24F6" w:rsidRDefault="007A1CC4" w14:paraId="230C4EFB" w14:textId="0D6CCE90">
          <w:pPr>
            <w:pStyle w:val="TOC1"/>
            <w:rPr>
              <w:rFonts w:asciiTheme="minorHAnsi" w:hAnsiTheme="minorHAnsi" w:eastAsiaTheme="minorEastAsia"/>
              <w:noProof/>
              <w:sz w:val="22"/>
              <w:lang w:val="nl-NL" w:eastAsia="nl-NL"/>
            </w:rPr>
          </w:pPr>
          <w:hyperlink w:history="1" w:anchor="_Toc59455619">
            <w:r w:rsidRPr="00602E26" w:rsidR="000F24F6">
              <w:rPr>
                <w:rStyle w:val="Hyperlink"/>
                <w:noProof/>
              </w:rPr>
              <w:t>1.1.</w:t>
            </w:r>
            <w:r w:rsidR="000F24F6">
              <w:rPr>
                <w:rFonts w:asciiTheme="minorHAnsi" w:hAnsiTheme="minorHAnsi" w:eastAsiaTheme="minorEastAsia"/>
                <w:noProof/>
                <w:sz w:val="22"/>
                <w:lang w:val="nl-NL" w:eastAsia="nl-NL"/>
              </w:rPr>
              <w:tab/>
            </w:r>
            <w:r w:rsidRPr="00602E26" w:rsidR="000F24F6">
              <w:rPr>
                <w:rStyle w:val="Hyperlink"/>
                <w:noProof/>
              </w:rPr>
              <w:t>Kaderrichtlijn Mariene Strategie</w:t>
            </w:r>
            <w:r w:rsidR="000F24F6">
              <w:rPr>
                <w:noProof/>
                <w:webHidden/>
              </w:rPr>
              <w:tab/>
            </w:r>
            <w:r w:rsidR="000F24F6">
              <w:rPr>
                <w:noProof/>
                <w:webHidden/>
              </w:rPr>
              <w:fldChar w:fldCharType="begin"/>
            </w:r>
            <w:r w:rsidR="000F24F6">
              <w:rPr>
                <w:noProof/>
                <w:webHidden/>
              </w:rPr>
              <w:instrText xml:space="preserve"> PAGEREF _Toc59455619 \h </w:instrText>
            </w:r>
            <w:r w:rsidR="000F24F6">
              <w:rPr>
                <w:noProof/>
                <w:webHidden/>
              </w:rPr>
            </w:r>
            <w:r w:rsidR="000F24F6">
              <w:rPr>
                <w:noProof/>
                <w:webHidden/>
              </w:rPr>
              <w:fldChar w:fldCharType="separate"/>
            </w:r>
            <w:r w:rsidR="00F10D05">
              <w:rPr>
                <w:noProof/>
                <w:webHidden/>
              </w:rPr>
              <w:t>9</w:t>
            </w:r>
            <w:r w:rsidR="000F24F6">
              <w:rPr>
                <w:noProof/>
                <w:webHidden/>
              </w:rPr>
              <w:fldChar w:fldCharType="end"/>
            </w:r>
          </w:hyperlink>
        </w:p>
        <w:p w:rsidR="000F24F6" w:rsidRDefault="007A1CC4" w14:paraId="35672ADE" w14:textId="211F185B">
          <w:pPr>
            <w:pStyle w:val="TOC1"/>
            <w:rPr>
              <w:rFonts w:asciiTheme="minorHAnsi" w:hAnsiTheme="minorHAnsi" w:eastAsiaTheme="minorEastAsia"/>
              <w:noProof/>
              <w:sz w:val="22"/>
              <w:lang w:val="nl-NL" w:eastAsia="nl-NL"/>
            </w:rPr>
          </w:pPr>
          <w:hyperlink w:history="1" w:anchor="_Toc59455620">
            <w:r w:rsidRPr="00602E26" w:rsidR="000F24F6">
              <w:rPr>
                <w:rStyle w:val="Hyperlink"/>
                <w:noProof/>
              </w:rPr>
              <w:t>1.2.</w:t>
            </w:r>
            <w:r w:rsidR="000F24F6">
              <w:rPr>
                <w:rFonts w:asciiTheme="minorHAnsi" w:hAnsiTheme="minorHAnsi" w:eastAsiaTheme="minorEastAsia"/>
                <w:noProof/>
                <w:sz w:val="22"/>
                <w:lang w:val="nl-NL" w:eastAsia="nl-NL"/>
              </w:rPr>
              <w:tab/>
            </w:r>
            <w:r w:rsidRPr="00602E26" w:rsidR="000F24F6">
              <w:rPr>
                <w:rStyle w:val="Hyperlink"/>
                <w:noProof/>
              </w:rPr>
              <w:t>Doel en context</w:t>
            </w:r>
            <w:r w:rsidR="000F24F6">
              <w:rPr>
                <w:noProof/>
                <w:webHidden/>
              </w:rPr>
              <w:tab/>
            </w:r>
            <w:r w:rsidR="000F24F6">
              <w:rPr>
                <w:noProof/>
                <w:webHidden/>
              </w:rPr>
              <w:fldChar w:fldCharType="begin"/>
            </w:r>
            <w:r w:rsidR="000F24F6">
              <w:rPr>
                <w:noProof/>
                <w:webHidden/>
              </w:rPr>
              <w:instrText xml:space="preserve"> PAGEREF _Toc59455620 \h </w:instrText>
            </w:r>
            <w:r w:rsidR="000F24F6">
              <w:rPr>
                <w:noProof/>
                <w:webHidden/>
              </w:rPr>
            </w:r>
            <w:r w:rsidR="000F24F6">
              <w:rPr>
                <w:noProof/>
                <w:webHidden/>
              </w:rPr>
              <w:fldChar w:fldCharType="separate"/>
            </w:r>
            <w:r w:rsidR="00F10D05">
              <w:rPr>
                <w:noProof/>
                <w:webHidden/>
              </w:rPr>
              <w:t>9</w:t>
            </w:r>
            <w:r w:rsidR="000F24F6">
              <w:rPr>
                <w:noProof/>
                <w:webHidden/>
              </w:rPr>
              <w:fldChar w:fldCharType="end"/>
            </w:r>
          </w:hyperlink>
        </w:p>
        <w:p w:rsidR="000F24F6" w:rsidRDefault="007A1CC4" w14:paraId="2B28E89C" w14:textId="3AA6CECC">
          <w:pPr>
            <w:pStyle w:val="TOC1"/>
            <w:rPr>
              <w:rFonts w:asciiTheme="minorHAnsi" w:hAnsiTheme="minorHAnsi" w:eastAsiaTheme="minorEastAsia"/>
              <w:noProof/>
              <w:sz w:val="22"/>
              <w:lang w:val="nl-NL" w:eastAsia="nl-NL"/>
            </w:rPr>
          </w:pPr>
          <w:hyperlink w:history="1" w:anchor="_Toc59455621">
            <w:r w:rsidRPr="00602E26" w:rsidR="000F24F6">
              <w:rPr>
                <w:rStyle w:val="Hyperlink"/>
                <w:noProof/>
              </w:rPr>
              <w:t>1.3.</w:t>
            </w:r>
            <w:r w:rsidR="000F24F6">
              <w:rPr>
                <w:rFonts w:asciiTheme="minorHAnsi" w:hAnsiTheme="minorHAnsi" w:eastAsiaTheme="minorEastAsia"/>
                <w:noProof/>
                <w:sz w:val="22"/>
                <w:lang w:val="nl-NL" w:eastAsia="nl-NL"/>
              </w:rPr>
              <w:tab/>
            </w:r>
            <w:r w:rsidRPr="00602E26" w:rsidR="000F24F6">
              <w:rPr>
                <w:rStyle w:val="Hyperlink"/>
                <w:noProof/>
              </w:rPr>
              <w:t>Procesbeschrijving</w:t>
            </w:r>
            <w:r w:rsidR="000F24F6">
              <w:rPr>
                <w:noProof/>
                <w:webHidden/>
              </w:rPr>
              <w:tab/>
            </w:r>
            <w:r w:rsidR="000F24F6">
              <w:rPr>
                <w:noProof/>
                <w:webHidden/>
              </w:rPr>
              <w:fldChar w:fldCharType="begin"/>
            </w:r>
            <w:r w:rsidR="000F24F6">
              <w:rPr>
                <w:noProof/>
                <w:webHidden/>
              </w:rPr>
              <w:instrText xml:space="preserve"> PAGEREF _Toc59455621 \h </w:instrText>
            </w:r>
            <w:r w:rsidR="000F24F6">
              <w:rPr>
                <w:noProof/>
                <w:webHidden/>
              </w:rPr>
            </w:r>
            <w:r w:rsidR="000F24F6">
              <w:rPr>
                <w:noProof/>
                <w:webHidden/>
              </w:rPr>
              <w:fldChar w:fldCharType="separate"/>
            </w:r>
            <w:r w:rsidR="00F10D05">
              <w:rPr>
                <w:noProof/>
                <w:webHidden/>
              </w:rPr>
              <w:t>11</w:t>
            </w:r>
            <w:r w:rsidR="000F24F6">
              <w:rPr>
                <w:noProof/>
                <w:webHidden/>
              </w:rPr>
              <w:fldChar w:fldCharType="end"/>
            </w:r>
          </w:hyperlink>
        </w:p>
        <w:p w:rsidR="000F24F6" w:rsidRDefault="007A1CC4" w14:paraId="6E85D5D2" w14:textId="4DBF1D4A">
          <w:pPr>
            <w:pStyle w:val="TOC1"/>
            <w:rPr>
              <w:rFonts w:asciiTheme="minorHAnsi" w:hAnsiTheme="minorHAnsi" w:eastAsiaTheme="minorEastAsia"/>
              <w:noProof/>
              <w:sz w:val="22"/>
              <w:lang w:val="nl-NL" w:eastAsia="nl-NL"/>
            </w:rPr>
          </w:pPr>
          <w:hyperlink w:history="1" w:anchor="_Toc59455622">
            <w:r w:rsidRPr="00602E26" w:rsidR="000F24F6">
              <w:rPr>
                <w:rStyle w:val="Hyperlink"/>
                <w:noProof/>
                <w:lang w:val="nl-NL"/>
              </w:rPr>
              <w:t>1.4.</w:t>
            </w:r>
            <w:r w:rsidR="000F24F6">
              <w:rPr>
                <w:rFonts w:asciiTheme="minorHAnsi" w:hAnsiTheme="minorHAnsi" w:eastAsiaTheme="minorEastAsia"/>
                <w:noProof/>
                <w:sz w:val="22"/>
                <w:lang w:val="nl-NL" w:eastAsia="nl-NL"/>
              </w:rPr>
              <w:tab/>
            </w:r>
            <w:r w:rsidRPr="00602E26" w:rsidR="000F24F6">
              <w:rPr>
                <w:rStyle w:val="Hyperlink"/>
                <w:noProof/>
                <w:lang w:val="nl-NL"/>
              </w:rPr>
              <w:t>Leeswijzer</w:t>
            </w:r>
            <w:r w:rsidR="000F24F6">
              <w:rPr>
                <w:noProof/>
                <w:webHidden/>
              </w:rPr>
              <w:tab/>
            </w:r>
            <w:r w:rsidR="000F24F6">
              <w:rPr>
                <w:noProof/>
                <w:webHidden/>
              </w:rPr>
              <w:fldChar w:fldCharType="begin"/>
            </w:r>
            <w:r w:rsidR="000F24F6">
              <w:rPr>
                <w:noProof/>
                <w:webHidden/>
              </w:rPr>
              <w:instrText xml:space="preserve"> PAGEREF _Toc59455622 \h </w:instrText>
            </w:r>
            <w:r w:rsidR="000F24F6">
              <w:rPr>
                <w:noProof/>
                <w:webHidden/>
              </w:rPr>
            </w:r>
            <w:r w:rsidR="000F24F6">
              <w:rPr>
                <w:noProof/>
                <w:webHidden/>
              </w:rPr>
              <w:fldChar w:fldCharType="separate"/>
            </w:r>
            <w:r w:rsidR="00F10D05">
              <w:rPr>
                <w:noProof/>
                <w:webHidden/>
              </w:rPr>
              <w:t>12</w:t>
            </w:r>
            <w:r w:rsidR="000F24F6">
              <w:rPr>
                <w:noProof/>
                <w:webHidden/>
              </w:rPr>
              <w:fldChar w:fldCharType="end"/>
            </w:r>
          </w:hyperlink>
        </w:p>
        <w:p w:rsidR="000F24F6" w:rsidRDefault="007A1CC4" w14:paraId="4C8FA00A" w14:textId="47F1545E">
          <w:pPr>
            <w:pStyle w:val="TOC1"/>
            <w:rPr>
              <w:rFonts w:asciiTheme="minorHAnsi" w:hAnsiTheme="minorHAnsi" w:eastAsiaTheme="minorEastAsia"/>
              <w:noProof/>
              <w:sz w:val="22"/>
              <w:lang w:val="nl-NL" w:eastAsia="nl-NL"/>
            </w:rPr>
          </w:pPr>
          <w:hyperlink w:history="1" w:anchor="_Toc59455623">
            <w:r w:rsidRPr="00602E26" w:rsidR="000F24F6">
              <w:rPr>
                <w:rStyle w:val="Hyperlink"/>
                <w:noProof/>
              </w:rPr>
              <w:t>2.</w:t>
            </w:r>
            <w:r w:rsidR="000F24F6">
              <w:rPr>
                <w:rFonts w:asciiTheme="minorHAnsi" w:hAnsiTheme="minorHAnsi" w:eastAsiaTheme="minorEastAsia"/>
                <w:noProof/>
                <w:sz w:val="22"/>
                <w:lang w:val="nl-NL" w:eastAsia="nl-NL"/>
              </w:rPr>
              <w:tab/>
            </w:r>
            <w:r w:rsidRPr="00602E26" w:rsidR="000F24F6">
              <w:rPr>
                <w:rStyle w:val="Hyperlink"/>
                <w:noProof/>
              </w:rPr>
              <w:t>Sociaaleconomisch belang van de Noordzee</w:t>
            </w:r>
            <w:r w:rsidR="000F24F6">
              <w:rPr>
                <w:noProof/>
                <w:webHidden/>
              </w:rPr>
              <w:tab/>
            </w:r>
            <w:r w:rsidR="000F24F6">
              <w:rPr>
                <w:noProof/>
                <w:webHidden/>
              </w:rPr>
              <w:fldChar w:fldCharType="begin"/>
            </w:r>
            <w:r w:rsidR="000F24F6">
              <w:rPr>
                <w:noProof/>
                <w:webHidden/>
              </w:rPr>
              <w:instrText xml:space="preserve"> PAGEREF _Toc59455623 \h </w:instrText>
            </w:r>
            <w:r w:rsidR="000F24F6">
              <w:rPr>
                <w:noProof/>
                <w:webHidden/>
              </w:rPr>
            </w:r>
            <w:r w:rsidR="000F24F6">
              <w:rPr>
                <w:noProof/>
                <w:webHidden/>
              </w:rPr>
              <w:fldChar w:fldCharType="separate"/>
            </w:r>
            <w:r w:rsidR="00F10D05">
              <w:rPr>
                <w:noProof/>
                <w:webHidden/>
              </w:rPr>
              <w:t>13</w:t>
            </w:r>
            <w:r w:rsidR="000F24F6">
              <w:rPr>
                <w:noProof/>
                <w:webHidden/>
              </w:rPr>
              <w:fldChar w:fldCharType="end"/>
            </w:r>
          </w:hyperlink>
        </w:p>
        <w:p w:rsidR="000F24F6" w:rsidRDefault="007A1CC4" w14:paraId="4CEA0E17" w14:textId="496A0642">
          <w:pPr>
            <w:pStyle w:val="TOC1"/>
            <w:rPr>
              <w:rFonts w:asciiTheme="minorHAnsi" w:hAnsiTheme="minorHAnsi" w:eastAsiaTheme="minorEastAsia"/>
              <w:noProof/>
              <w:sz w:val="22"/>
              <w:lang w:val="nl-NL" w:eastAsia="nl-NL"/>
            </w:rPr>
          </w:pPr>
          <w:hyperlink w:history="1" w:anchor="_Toc59455624">
            <w:r w:rsidRPr="00602E26" w:rsidR="000F24F6">
              <w:rPr>
                <w:rStyle w:val="Hyperlink"/>
                <w:noProof/>
              </w:rPr>
              <w:t>3.</w:t>
            </w:r>
            <w:r w:rsidR="000F24F6">
              <w:rPr>
                <w:rFonts w:asciiTheme="minorHAnsi" w:hAnsiTheme="minorHAnsi" w:eastAsiaTheme="minorEastAsia"/>
                <w:noProof/>
                <w:sz w:val="22"/>
                <w:lang w:val="nl-NL" w:eastAsia="nl-NL"/>
              </w:rPr>
              <w:tab/>
            </w:r>
            <w:r w:rsidRPr="00602E26" w:rsidR="000F24F6">
              <w:rPr>
                <w:rStyle w:val="Hyperlink"/>
                <w:noProof/>
              </w:rPr>
              <w:t>Beleidsopgave en maatregelen</w:t>
            </w:r>
            <w:r w:rsidR="000F24F6">
              <w:rPr>
                <w:noProof/>
                <w:webHidden/>
              </w:rPr>
              <w:tab/>
            </w:r>
            <w:r w:rsidR="000F24F6">
              <w:rPr>
                <w:noProof/>
                <w:webHidden/>
              </w:rPr>
              <w:fldChar w:fldCharType="begin"/>
            </w:r>
            <w:r w:rsidR="000F24F6">
              <w:rPr>
                <w:noProof/>
                <w:webHidden/>
              </w:rPr>
              <w:instrText xml:space="preserve"> PAGEREF _Toc59455624 \h </w:instrText>
            </w:r>
            <w:r w:rsidR="000F24F6">
              <w:rPr>
                <w:noProof/>
                <w:webHidden/>
              </w:rPr>
            </w:r>
            <w:r w:rsidR="000F24F6">
              <w:rPr>
                <w:noProof/>
                <w:webHidden/>
              </w:rPr>
              <w:fldChar w:fldCharType="separate"/>
            </w:r>
            <w:r w:rsidR="00F10D05">
              <w:rPr>
                <w:noProof/>
                <w:webHidden/>
              </w:rPr>
              <w:t>21</w:t>
            </w:r>
            <w:r w:rsidR="000F24F6">
              <w:rPr>
                <w:noProof/>
                <w:webHidden/>
              </w:rPr>
              <w:fldChar w:fldCharType="end"/>
            </w:r>
          </w:hyperlink>
        </w:p>
        <w:p w:rsidR="000F24F6" w:rsidRDefault="007A1CC4" w14:paraId="55714661" w14:textId="39D2C3F3">
          <w:pPr>
            <w:pStyle w:val="TOC1"/>
            <w:rPr>
              <w:rFonts w:asciiTheme="minorHAnsi" w:hAnsiTheme="minorHAnsi" w:eastAsiaTheme="minorEastAsia"/>
              <w:noProof/>
              <w:sz w:val="22"/>
              <w:lang w:val="nl-NL" w:eastAsia="nl-NL"/>
            </w:rPr>
          </w:pPr>
          <w:hyperlink w:history="1" w:anchor="_Toc59455625">
            <w:r w:rsidRPr="00602E26" w:rsidR="000F24F6">
              <w:rPr>
                <w:rStyle w:val="Hyperlink"/>
                <w:noProof/>
              </w:rPr>
              <w:t>3.1.</w:t>
            </w:r>
            <w:r w:rsidR="000F24F6">
              <w:rPr>
                <w:rFonts w:asciiTheme="minorHAnsi" w:hAnsiTheme="minorHAnsi" w:eastAsiaTheme="minorEastAsia"/>
                <w:noProof/>
                <w:sz w:val="22"/>
                <w:lang w:val="nl-NL" w:eastAsia="nl-NL"/>
              </w:rPr>
              <w:tab/>
            </w:r>
            <w:r w:rsidRPr="00602E26" w:rsidR="000F24F6">
              <w:rPr>
                <w:rStyle w:val="Hyperlink"/>
                <w:noProof/>
              </w:rPr>
              <w:t>Inleiding op dit hoofdstuk</w:t>
            </w:r>
            <w:r w:rsidR="000F24F6">
              <w:rPr>
                <w:noProof/>
                <w:webHidden/>
              </w:rPr>
              <w:tab/>
            </w:r>
            <w:r w:rsidR="000F24F6">
              <w:rPr>
                <w:noProof/>
                <w:webHidden/>
              </w:rPr>
              <w:fldChar w:fldCharType="begin"/>
            </w:r>
            <w:r w:rsidR="000F24F6">
              <w:rPr>
                <w:noProof/>
                <w:webHidden/>
              </w:rPr>
              <w:instrText xml:space="preserve"> PAGEREF _Toc59455625 \h </w:instrText>
            </w:r>
            <w:r w:rsidR="000F24F6">
              <w:rPr>
                <w:noProof/>
                <w:webHidden/>
              </w:rPr>
            </w:r>
            <w:r w:rsidR="000F24F6">
              <w:rPr>
                <w:noProof/>
                <w:webHidden/>
              </w:rPr>
              <w:fldChar w:fldCharType="separate"/>
            </w:r>
            <w:r w:rsidR="00F10D05">
              <w:rPr>
                <w:noProof/>
                <w:webHidden/>
              </w:rPr>
              <w:t>21</w:t>
            </w:r>
            <w:r w:rsidR="000F24F6">
              <w:rPr>
                <w:noProof/>
                <w:webHidden/>
              </w:rPr>
              <w:fldChar w:fldCharType="end"/>
            </w:r>
          </w:hyperlink>
        </w:p>
        <w:p w:rsidR="000F24F6" w:rsidRDefault="007A1CC4" w14:paraId="264F3520" w14:textId="46CC5EBD">
          <w:pPr>
            <w:pStyle w:val="TOC1"/>
            <w:rPr>
              <w:rFonts w:asciiTheme="minorHAnsi" w:hAnsiTheme="minorHAnsi" w:eastAsiaTheme="minorEastAsia"/>
              <w:noProof/>
              <w:sz w:val="22"/>
              <w:lang w:val="nl-NL" w:eastAsia="nl-NL"/>
            </w:rPr>
          </w:pPr>
          <w:hyperlink w:history="1" w:anchor="_Toc59455626">
            <w:r w:rsidRPr="00602E26" w:rsidR="000F24F6">
              <w:rPr>
                <w:rStyle w:val="Hyperlink"/>
                <w:noProof/>
              </w:rPr>
              <w:t>3.2.</w:t>
            </w:r>
            <w:r w:rsidR="000F24F6">
              <w:rPr>
                <w:rFonts w:asciiTheme="minorHAnsi" w:hAnsiTheme="minorHAnsi" w:eastAsiaTheme="minorEastAsia"/>
                <w:noProof/>
                <w:sz w:val="22"/>
                <w:lang w:val="nl-NL" w:eastAsia="nl-NL"/>
              </w:rPr>
              <w:tab/>
            </w:r>
            <w:r w:rsidRPr="00602E26" w:rsidR="000F24F6">
              <w:rPr>
                <w:rStyle w:val="Hyperlink"/>
                <w:noProof/>
              </w:rPr>
              <w:t>Biodiversiteit (D1)</w:t>
            </w:r>
            <w:r w:rsidR="000F24F6">
              <w:rPr>
                <w:noProof/>
                <w:webHidden/>
              </w:rPr>
              <w:tab/>
            </w:r>
            <w:r w:rsidR="000F24F6">
              <w:rPr>
                <w:noProof/>
                <w:webHidden/>
              </w:rPr>
              <w:fldChar w:fldCharType="begin"/>
            </w:r>
            <w:r w:rsidR="000F24F6">
              <w:rPr>
                <w:noProof/>
                <w:webHidden/>
              </w:rPr>
              <w:instrText xml:space="preserve"> PAGEREF _Toc59455626 \h </w:instrText>
            </w:r>
            <w:r w:rsidR="000F24F6">
              <w:rPr>
                <w:noProof/>
                <w:webHidden/>
              </w:rPr>
            </w:r>
            <w:r w:rsidR="000F24F6">
              <w:rPr>
                <w:noProof/>
                <w:webHidden/>
              </w:rPr>
              <w:fldChar w:fldCharType="separate"/>
            </w:r>
            <w:r w:rsidR="00F10D05">
              <w:rPr>
                <w:noProof/>
                <w:webHidden/>
              </w:rPr>
              <w:t>21</w:t>
            </w:r>
            <w:r w:rsidR="000F24F6">
              <w:rPr>
                <w:noProof/>
                <w:webHidden/>
              </w:rPr>
              <w:fldChar w:fldCharType="end"/>
            </w:r>
          </w:hyperlink>
        </w:p>
        <w:p w:rsidR="000F24F6" w:rsidRDefault="007A1CC4" w14:paraId="4668BEB2" w14:textId="2EC3B252">
          <w:pPr>
            <w:pStyle w:val="TOC1"/>
            <w:rPr>
              <w:rFonts w:asciiTheme="minorHAnsi" w:hAnsiTheme="minorHAnsi" w:eastAsiaTheme="minorEastAsia"/>
              <w:noProof/>
              <w:sz w:val="22"/>
              <w:lang w:val="nl-NL" w:eastAsia="nl-NL"/>
            </w:rPr>
          </w:pPr>
          <w:hyperlink w:history="1" w:anchor="_Toc59455627">
            <w:r w:rsidRPr="00602E26" w:rsidR="000F24F6">
              <w:rPr>
                <w:rStyle w:val="Hyperlink"/>
                <w:noProof/>
              </w:rPr>
              <w:t>3.3.</w:t>
            </w:r>
            <w:r w:rsidR="000F24F6">
              <w:rPr>
                <w:rFonts w:asciiTheme="minorHAnsi" w:hAnsiTheme="minorHAnsi" w:eastAsiaTheme="minorEastAsia"/>
                <w:noProof/>
                <w:sz w:val="22"/>
                <w:lang w:val="nl-NL" w:eastAsia="nl-NL"/>
              </w:rPr>
              <w:tab/>
            </w:r>
            <w:r w:rsidRPr="00602E26" w:rsidR="000F24F6">
              <w:rPr>
                <w:rStyle w:val="Hyperlink"/>
                <w:noProof/>
              </w:rPr>
              <w:t>Niet-inheemse soorten (D2)</w:t>
            </w:r>
            <w:r w:rsidR="000F24F6">
              <w:rPr>
                <w:noProof/>
                <w:webHidden/>
              </w:rPr>
              <w:tab/>
            </w:r>
            <w:r w:rsidR="000F24F6">
              <w:rPr>
                <w:noProof/>
                <w:webHidden/>
              </w:rPr>
              <w:fldChar w:fldCharType="begin"/>
            </w:r>
            <w:r w:rsidR="000F24F6">
              <w:rPr>
                <w:noProof/>
                <w:webHidden/>
              </w:rPr>
              <w:instrText xml:space="preserve"> PAGEREF _Toc59455627 \h </w:instrText>
            </w:r>
            <w:r w:rsidR="000F24F6">
              <w:rPr>
                <w:noProof/>
                <w:webHidden/>
              </w:rPr>
            </w:r>
            <w:r w:rsidR="000F24F6">
              <w:rPr>
                <w:noProof/>
                <w:webHidden/>
              </w:rPr>
              <w:fldChar w:fldCharType="separate"/>
            </w:r>
            <w:r w:rsidR="00F10D05">
              <w:rPr>
                <w:noProof/>
                <w:webHidden/>
              </w:rPr>
              <w:t>29</w:t>
            </w:r>
            <w:r w:rsidR="000F24F6">
              <w:rPr>
                <w:noProof/>
                <w:webHidden/>
              </w:rPr>
              <w:fldChar w:fldCharType="end"/>
            </w:r>
          </w:hyperlink>
        </w:p>
        <w:p w:rsidR="000F24F6" w:rsidRDefault="007A1CC4" w14:paraId="7F79315A" w14:textId="2D221B54">
          <w:pPr>
            <w:pStyle w:val="TOC1"/>
            <w:rPr>
              <w:rFonts w:asciiTheme="minorHAnsi" w:hAnsiTheme="minorHAnsi" w:eastAsiaTheme="minorEastAsia"/>
              <w:noProof/>
              <w:sz w:val="22"/>
              <w:lang w:val="nl-NL" w:eastAsia="nl-NL"/>
            </w:rPr>
          </w:pPr>
          <w:hyperlink w:history="1" w:anchor="_Toc59455628">
            <w:r w:rsidRPr="00602E26" w:rsidR="000F24F6">
              <w:rPr>
                <w:rStyle w:val="Hyperlink"/>
                <w:noProof/>
                <w:lang w:val="nl-NL"/>
              </w:rPr>
              <w:t>3.4.</w:t>
            </w:r>
            <w:r w:rsidR="000F24F6">
              <w:rPr>
                <w:rFonts w:asciiTheme="minorHAnsi" w:hAnsiTheme="minorHAnsi" w:eastAsiaTheme="minorEastAsia"/>
                <w:noProof/>
                <w:sz w:val="22"/>
                <w:lang w:val="nl-NL" w:eastAsia="nl-NL"/>
              </w:rPr>
              <w:tab/>
            </w:r>
            <w:r w:rsidRPr="00602E26" w:rsidR="000F24F6">
              <w:rPr>
                <w:rStyle w:val="Hyperlink"/>
                <w:noProof/>
                <w:lang w:val="nl-NL"/>
              </w:rPr>
              <w:t>Commercieel geëxploiteerde soorten vis, schaal- en schelpdieren (D3)</w:t>
            </w:r>
            <w:r w:rsidR="000F24F6">
              <w:rPr>
                <w:noProof/>
                <w:webHidden/>
              </w:rPr>
              <w:tab/>
            </w:r>
            <w:r w:rsidR="000F24F6">
              <w:rPr>
                <w:noProof/>
                <w:webHidden/>
              </w:rPr>
              <w:fldChar w:fldCharType="begin"/>
            </w:r>
            <w:r w:rsidR="000F24F6">
              <w:rPr>
                <w:noProof/>
                <w:webHidden/>
              </w:rPr>
              <w:instrText xml:space="preserve"> PAGEREF _Toc59455628 \h </w:instrText>
            </w:r>
            <w:r w:rsidR="000F24F6">
              <w:rPr>
                <w:noProof/>
                <w:webHidden/>
              </w:rPr>
            </w:r>
            <w:r w:rsidR="000F24F6">
              <w:rPr>
                <w:noProof/>
                <w:webHidden/>
              </w:rPr>
              <w:fldChar w:fldCharType="separate"/>
            </w:r>
            <w:r w:rsidR="00F10D05">
              <w:rPr>
                <w:noProof/>
                <w:webHidden/>
              </w:rPr>
              <w:t>30</w:t>
            </w:r>
            <w:r w:rsidR="000F24F6">
              <w:rPr>
                <w:noProof/>
                <w:webHidden/>
              </w:rPr>
              <w:fldChar w:fldCharType="end"/>
            </w:r>
          </w:hyperlink>
        </w:p>
        <w:p w:rsidR="000F24F6" w:rsidRDefault="007A1CC4" w14:paraId="438D62C7" w14:textId="7952DE65">
          <w:pPr>
            <w:pStyle w:val="TOC1"/>
            <w:rPr>
              <w:rFonts w:asciiTheme="minorHAnsi" w:hAnsiTheme="minorHAnsi" w:eastAsiaTheme="minorEastAsia"/>
              <w:noProof/>
              <w:sz w:val="22"/>
              <w:lang w:val="nl-NL" w:eastAsia="nl-NL"/>
            </w:rPr>
          </w:pPr>
          <w:hyperlink w:history="1" w:anchor="_Toc59455629">
            <w:r w:rsidRPr="00602E26" w:rsidR="000F24F6">
              <w:rPr>
                <w:rStyle w:val="Hyperlink"/>
                <w:noProof/>
                <w:lang w:val="nl-NL"/>
              </w:rPr>
              <w:t>3.5.</w:t>
            </w:r>
            <w:r w:rsidR="000F24F6">
              <w:rPr>
                <w:rFonts w:asciiTheme="minorHAnsi" w:hAnsiTheme="minorHAnsi" w:eastAsiaTheme="minorEastAsia"/>
                <w:noProof/>
                <w:sz w:val="22"/>
                <w:lang w:val="nl-NL" w:eastAsia="nl-NL"/>
              </w:rPr>
              <w:tab/>
            </w:r>
            <w:r w:rsidRPr="00602E26" w:rsidR="000F24F6">
              <w:rPr>
                <w:rStyle w:val="Hyperlink"/>
                <w:noProof/>
                <w:lang w:val="nl-NL"/>
              </w:rPr>
              <w:t>Voedselwebben (D4)</w:t>
            </w:r>
            <w:r w:rsidR="000F24F6">
              <w:rPr>
                <w:noProof/>
                <w:webHidden/>
              </w:rPr>
              <w:tab/>
            </w:r>
            <w:r w:rsidR="000F24F6">
              <w:rPr>
                <w:noProof/>
                <w:webHidden/>
              </w:rPr>
              <w:fldChar w:fldCharType="begin"/>
            </w:r>
            <w:r w:rsidR="000F24F6">
              <w:rPr>
                <w:noProof/>
                <w:webHidden/>
              </w:rPr>
              <w:instrText xml:space="preserve"> PAGEREF _Toc59455629 \h </w:instrText>
            </w:r>
            <w:r w:rsidR="000F24F6">
              <w:rPr>
                <w:noProof/>
                <w:webHidden/>
              </w:rPr>
            </w:r>
            <w:r w:rsidR="000F24F6">
              <w:rPr>
                <w:noProof/>
                <w:webHidden/>
              </w:rPr>
              <w:fldChar w:fldCharType="separate"/>
            </w:r>
            <w:r w:rsidR="00F10D05">
              <w:rPr>
                <w:noProof/>
                <w:webHidden/>
              </w:rPr>
              <w:t>32</w:t>
            </w:r>
            <w:r w:rsidR="000F24F6">
              <w:rPr>
                <w:noProof/>
                <w:webHidden/>
              </w:rPr>
              <w:fldChar w:fldCharType="end"/>
            </w:r>
          </w:hyperlink>
        </w:p>
        <w:p w:rsidR="000F24F6" w:rsidRDefault="007A1CC4" w14:paraId="10387A4E" w14:textId="3407E3E7">
          <w:pPr>
            <w:pStyle w:val="TOC1"/>
            <w:rPr>
              <w:rFonts w:asciiTheme="minorHAnsi" w:hAnsiTheme="minorHAnsi" w:eastAsiaTheme="minorEastAsia"/>
              <w:noProof/>
              <w:sz w:val="22"/>
              <w:lang w:val="nl-NL" w:eastAsia="nl-NL"/>
            </w:rPr>
          </w:pPr>
          <w:hyperlink w:history="1" w:anchor="_Toc59455630">
            <w:r w:rsidRPr="00602E26" w:rsidR="000F24F6">
              <w:rPr>
                <w:rStyle w:val="Hyperlink"/>
                <w:noProof/>
                <w:lang w:val="nl-NL"/>
              </w:rPr>
              <w:t>3.6.</w:t>
            </w:r>
            <w:r w:rsidR="000F24F6">
              <w:rPr>
                <w:rFonts w:asciiTheme="minorHAnsi" w:hAnsiTheme="minorHAnsi" w:eastAsiaTheme="minorEastAsia"/>
                <w:noProof/>
                <w:sz w:val="22"/>
                <w:lang w:val="nl-NL" w:eastAsia="nl-NL"/>
              </w:rPr>
              <w:tab/>
            </w:r>
            <w:r w:rsidRPr="00602E26" w:rsidR="000F24F6">
              <w:rPr>
                <w:rStyle w:val="Hyperlink"/>
                <w:noProof/>
                <w:lang w:val="nl-NL"/>
              </w:rPr>
              <w:t>Eutrofiëring (D5)</w:t>
            </w:r>
            <w:r w:rsidR="000F24F6">
              <w:rPr>
                <w:noProof/>
                <w:webHidden/>
              </w:rPr>
              <w:tab/>
            </w:r>
            <w:r w:rsidR="000F24F6">
              <w:rPr>
                <w:noProof/>
                <w:webHidden/>
              </w:rPr>
              <w:fldChar w:fldCharType="begin"/>
            </w:r>
            <w:r w:rsidR="000F24F6">
              <w:rPr>
                <w:noProof/>
                <w:webHidden/>
              </w:rPr>
              <w:instrText xml:space="preserve"> PAGEREF _Toc59455630 \h </w:instrText>
            </w:r>
            <w:r w:rsidR="000F24F6">
              <w:rPr>
                <w:noProof/>
                <w:webHidden/>
              </w:rPr>
            </w:r>
            <w:r w:rsidR="000F24F6">
              <w:rPr>
                <w:noProof/>
                <w:webHidden/>
              </w:rPr>
              <w:fldChar w:fldCharType="separate"/>
            </w:r>
            <w:r w:rsidR="00F10D05">
              <w:rPr>
                <w:noProof/>
                <w:webHidden/>
              </w:rPr>
              <w:t>33</w:t>
            </w:r>
            <w:r w:rsidR="000F24F6">
              <w:rPr>
                <w:noProof/>
                <w:webHidden/>
              </w:rPr>
              <w:fldChar w:fldCharType="end"/>
            </w:r>
          </w:hyperlink>
        </w:p>
        <w:p w:rsidR="000F24F6" w:rsidRDefault="007A1CC4" w14:paraId="42B1DFAD" w14:textId="0DA9FEE1">
          <w:pPr>
            <w:pStyle w:val="TOC1"/>
            <w:rPr>
              <w:rFonts w:asciiTheme="minorHAnsi" w:hAnsiTheme="minorHAnsi" w:eastAsiaTheme="minorEastAsia"/>
              <w:noProof/>
              <w:sz w:val="22"/>
              <w:lang w:val="nl-NL" w:eastAsia="nl-NL"/>
            </w:rPr>
          </w:pPr>
          <w:hyperlink w:history="1" w:anchor="_Toc59455631">
            <w:r w:rsidRPr="00602E26" w:rsidR="000F24F6">
              <w:rPr>
                <w:rStyle w:val="Hyperlink"/>
                <w:noProof/>
                <w:lang w:val="nl-NL"/>
              </w:rPr>
              <w:t>3.7.</w:t>
            </w:r>
            <w:r w:rsidR="000F24F6">
              <w:rPr>
                <w:rFonts w:asciiTheme="minorHAnsi" w:hAnsiTheme="minorHAnsi" w:eastAsiaTheme="minorEastAsia"/>
                <w:noProof/>
                <w:sz w:val="22"/>
                <w:lang w:val="nl-NL" w:eastAsia="nl-NL"/>
              </w:rPr>
              <w:tab/>
            </w:r>
            <w:r w:rsidRPr="00602E26" w:rsidR="000F24F6">
              <w:rPr>
                <w:rStyle w:val="Hyperlink"/>
                <w:noProof/>
                <w:lang w:val="nl-NL"/>
              </w:rPr>
              <w:t>Integriteit zeebodem/ benthische habitats (D6)</w:t>
            </w:r>
            <w:r w:rsidR="000F24F6">
              <w:rPr>
                <w:noProof/>
                <w:webHidden/>
              </w:rPr>
              <w:tab/>
            </w:r>
            <w:r w:rsidR="000F24F6">
              <w:rPr>
                <w:noProof/>
                <w:webHidden/>
              </w:rPr>
              <w:fldChar w:fldCharType="begin"/>
            </w:r>
            <w:r w:rsidR="000F24F6">
              <w:rPr>
                <w:noProof/>
                <w:webHidden/>
              </w:rPr>
              <w:instrText xml:space="preserve"> PAGEREF _Toc59455631 \h </w:instrText>
            </w:r>
            <w:r w:rsidR="000F24F6">
              <w:rPr>
                <w:noProof/>
                <w:webHidden/>
              </w:rPr>
            </w:r>
            <w:r w:rsidR="000F24F6">
              <w:rPr>
                <w:noProof/>
                <w:webHidden/>
              </w:rPr>
              <w:fldChar w:fldCharType="separate"/>
            </w:r>
            <w:r w:rsidR="00F10D05">
              <w:rPr>
                <w:noProof/>
                <w:webHidden/>
              </w:rPr>
              <w:t>36</w:t>
            </w:r>
            <w:r w:rsidR="000F24F6">
              <w:rPr>
                <w:noProof/>
                <w:webHidden/>
              </w:rPr>
              <w:fldChar w:fldCharType="end"/>
            </w:r>
          </w:hyperlink>
        </w:p>
        <w:p w:rsidR="000F24F6" w:rsidRDefault="007A1CC4" w14:paraId="1CD6A922" w14:textId="1EAC7BCE">
          <w:pPr>
            <w:pStyle w:val="TOC1"/>
            <w:rPr>
              <w:rFonts w:asciiTheme="minorHAnsi" w:hAnsiTheme="minorHAnsi" w:eastAsiaTheme="minorEastAsia"/>
              <w:noProof/>
              <w:sz w:val="22"/>
              <w:lang w:val="nl-NL" w:eastAsia="nl-NL"/>
            </w:rPr>
          </w:pPr>
          <w:hyperlink w:history="1" w:anchor="_Toc59455632">
            <w:r w:rsidRPr="00602E26" w:rsidR="000F24F6">
              <w:rPr>
                <w:rStyle w:val="Hyperlink"/>
                <w:noProof/>
                <w:lang w:val="nl-NL"/>
              </w:rPr>
              <w:t>3.8.</w:t>
            </w:r>
            <w:r w:rsidR="000F24F6">
              <w:rPr>
                <w:rFonts w:asciiTheme="minorHAnsi" w:hAnsiTheme="minorHAnsi" w:eastAsiaTheme="minorEastAsia"/>
                <w:noProof/>
                <w:sz w:val="22"/>
                <w:lang w:val="nl-NL" w:eastAsia="nl-NL"/>
              </w:rPr>
              <w:tab/>
            </w:r>
            <w:r w:rsidRPr="00602E26" w:rsidR="000F24F6">
              <w:rPr>
                <w:rStyle w:val="Hyperlink"/>
                <w:noProof/>
                <w:lang w:val="nl-NL"/>
              </w:rPr>
              <w:t>Hydrografische eigenschappen (D7)</w:t>
            </w:r>
            <w:r w:rsidR="000F24F6">
              <w:rPr>
                <w:noProof/>
                <w:webHidden/>
              </w:rPr>
              <w:tab/>
            </w:r>
            <w:r w:rsidR="000F24F6">
              <w:rPr>
                <w:noProof/>
                <w:webHidden/>
              </w:rPr>
              <w:fldChar w:fldCharType="begin"/>
            </w:r>
            <w:r w:rsidR="000F24F6">
              <w:rPr>
                <w:noProof/>
                <w:webHidden/>
              </w:rPr>
              <w:instrText xml:space="preserve"> PAGEREF _Toc59455632 \h </w:instrText>
            </w:r>
            <w:r w:rsidR="000F24F6">
              <w:rPr>
                <w:noProof/>
                <w:webHidden/>
              </w:rPr>
            </w:r>
            <w:r w:rsidR="000F24F6">
              <w:rPr>
                <w:noProof/>
                <w:webHidden/>
              </w:rPr>
              <w:fldChar w:fldCharType="separate"/>
            </w:r>
            <w:r w:rsidR="00F10D05">
              <w:rPr>
                <w:noProof/>
                <w:webHidden/>
              </w:rPr>
              <w:t>40</w:t>
            </w:r>
            <w:r w:rsidR="000F24F6">
              <w:rPr>
                <w:noProof/>
                <w:webHidden/>
              </w:rPr>
              <w:fldChar w:fldCharType="end"/>
            </w:r>
          </w:hyperlink>
        </w:p>
        <w:p w:rsidR="000F24F6" w:rsidRDefault="007A1CC4" w14:paraId="2F3F0040" w14:textId="26DF3D2E">
          <w:pPr>
            <w:pStyle w:val="TOC1"/>
            <w:rPr>
              <w:rFonts w:asciiTheme="minorHAnsi" w:hAnsiTheme="minorHAnsi" w:eastAsiaTheme="minorEastAsia"/>
              <w:noProof/>
              <w:sz w:val="22"/>
              <w:lang w:val="nl-NL" w:eastAsia="nl-NL"/>
            </w:rPr>
          </w:pPr>
          <w:hyperlink w:history="1" w:anchor="_Toc59455633">
            <w:r w:rsidRPr="00602E26" w:rsidR="000F24F6">
              <w:rPr>
                <w:rStyle w:val="Hyperlink"/>
                <w:noProof/>
                <w:lang w:val="nl-NL"/>
              </w:rPr>
              <w:t>3.9.</w:t>
            </w:r>
            <w:r w:rsidR="000F24F6">
              <w:rPr>
                <w:rFonts w:asciiTheme="minorHAnsi" w:hAnsiTheme="minorHAnsi" w:eastAsiaTheme="minorEastAsia"/>
                <w:noProof/>
                <w:sz w:val="22"/>
                <w:lang w:val="nl-NL" w:eastAsia="nl-NL"/>
              </w:rPr>
              <w:tab/>
            </w:r>
            <w:r w:rsidRPr="00602E26" w:rsidR="000F24F6">
              <w:rPr>
                <w:rStyle w:val="Hyperlink"/>
                <w:noProof/>
                <w:lang w:val="nl-NL"/>
              </w:rPr>
              <w:t>Vervuilende stoffen (D8)</w:t>
            </w:r>
            <w:r w:rsidR="000F24F6">
              <w:rPr>
                <w:noProof/>
                <w:webHidden/>
              </w:rPr>
              <w:tab/>
            </w:r>
            <w:r w:rsidR="000F24F6">
              <w:rPr>
                <w:noProof/>
                <w:webHidden/>
              </w:rPr>
              <w:fldChar w:fldCharType="begin"/>
            </w:r>
            <w:r w:rsidR="000F24F6">
              <w:rPr>
                <w:noProof/>
                <w:webHidden/>
              </w:rPr>
              <w:instrText xml:space="preserve"> PAGEREF _Toc59455633 \h </w:instrText>
            </w:r>
            <w:r w:rsidR="000F24F6">
              <w:rPr>
                <w:noProof/>
                <w:webHidden/>
              </w:rPr>
            </w:r>
            <w:r w:rsidR="000F24F6">
              <w:rPr>
                <w:noProof/>
                <w:webHidden/>
              </w:rPr>
              <w:fldChar w:fldCharType="separate"/>
            </w:r>
            <w:r w:rsidR="00F10D05">
              <w:rPr>
                <w:noProof/>
                <w:webHidden/>
              </w:rPr>
              <w:t>41</w:t>
            </w:r>
            <w:r w:rsidR="000F24F6">
              <w:rPr>
                <w:noProof/>
                <w:webHidden/>
              </w:rPr>
              <w:fldChar w:fldCharType="end"/>
            </w:r>
          </w:hyperlink>
        </w:p>
        <w:p w:rsidR="000F24F6" w:rsidRDefault="007A1CC4" w14:paraId="5CA56160" w14:textId="33E3CB29">
          <w:pPr>
            <w:pStyle w:val="TOC1"/>
            <w:rPr>
              <w:rFonts w:asciiTheme="minorHAnsi" w:hAnsiTheme="minorHAnsi" w:eastAsiaTheme="minorEastAsia"/>
              <w:noProof/>
              <w:sz w:val="22"/>
              <w:lang w:val="nl-NL" w:eastAsia="nl-NL"/>
            </w:rPr>
          </w:pPr>
          <w:hyperlink w:history="1" w:anchor="_Toc59455634">
            <w:r w:rsidRPr="00602E26" w:rsidR="000F24F6">
              <w:rPr>
                <w:rStyle w:val="Hyperlink"/>
                <w:noProof/>
                <w:lang w:val="nl-NL"/>
              </w:rPr>
              <w:t>3.10.</w:t>
            </w:r>
            <w:r w:rsidR="000F24F6">
              <w:rPr>
                <w:rFonts w:asciiTheme="minorHAnsi" w:hAnsiTheme="minorHAnsi" w:eastAsiaTheme="minorEastAsia"/>
                <w:noProof/>
                <w:sz w:val="22"/>
                <w:lang w:val="nl-NL" w:eastAsia="nl-NL"/>
              </w:rPr>
              <w:tab/>
            </w:r>
            <w:r w:rsidRPr="00602E26" w:rsidR="000F24F6">
              <w:rPr>
                <w:rStyle w:val="Hyperlink"/>
                <w:noProof/>
                <w:lang w:val="nl-NL"/>
              </w:rPr>
              <w:t>Vervuilende stoffen in vis en andere visserijproducten (D9)</w:t>
            </w:r>
            <w:r w:rsidR="000F24F6">
              <w:rPr>
                <w:noProof/>
                <w:webHidden/>
              </w:rPr>
              <w:tab/>
            </w:r>
            <w:r w:rsidR="000F24F6">
              <w:rPr>
                <w:noProof/>
                <w:webHidden/>
              </w:rPr>
              <w:fldChar w:fldCharType="begin"/>
            </w:r>
            <w:r w:rsidR="000F24F6">
              <w:rPr>
                <w:noProof/>
                <w:webHidden/>
              </w:rPr>
              <w:instrText xml:space="preserve"> PAGEREF _Toc59455634 \h </w:instrText>
            </w:r>
            <w:r w:rsidR="000F24F6">
              <w:rPr>
                <w:noProof/>
                <w:webHidden/>
              </w:rPr>
            </w:r>
            <w:r w:rsidR="000F24F6">
              <w:rPr>
                <w:noProof/>
                <w:webHidden/>
              </w:rPr>
              <w:fldChar w:fldCharType="separate"/>
            </w:r>
            <w:r w:rsidR="00F10D05">
              <w:rPr>
                <w:noProof/>
                <w:webHidden/>
              </w:rPr>
              <w:t>43</w:t>
            </w:r>
            <w:r w:rsidR="000F24F6">
              <w:rPr>
                <w:noProof/>
                <w:webHidden/>
              </w:rPr>
              <w:fldChar w:fldCharType="end"/>
            </w:r>
          </w:hyperlink>
        </w:p>
        <w:p w:rsidR="000F24F6" w:rsidRDefault="007A1CC4" w14:paraId="4BCFB2B1" w14:textId="201B4263">
          <w:pPr>
            <w:pStyle w:val="TOC1"/>
            <w:rPr>
              <w:rFonts w:asciiTheme="minorHAnsi" w:hAnsiTheme="minorHAnsi" w:eastAsiaTheme="minorEastAsia"/>
              <w:noProof/>
              <w:sz w:val="22"/>
              <w:lang w:val="nl-NL" w:eastAsia="nl-NL"/>
            </w:rPr>
          </w:pPr>
          <w:hyperlink w:history="1" w:anchor="_Toc59455635">
            <w:r w:rsidRPr="00602E26" w:rsidR="000F24F6">
              <w:rPr>
                <w:rStyle w:val="Hyperlink"/>
                <w:noProof/>
                <w:lang w:val="nl-NL"/>
              </w:rPr>
              <w:t>3.11.</w:t>
            </w:r>
            <w:r w:rsidR="000F24F6">
              <w:rPr>
                <w:rFonts w:asciiTheme="minorHAnsi" w:hAnsiTheme="minorHAnsi" w:eastAsiaTheme="minorEastAsia"/>
                <w:noProof/>
                <w:sz w:val="22"/>
                <w:lang w:val="nl-NL" w:eastAsia="nl-NL"/>
              </w:rPr>
              <w:tab/>
            </w:r>
            <w:r w:rsidRPr="00602E26" w:rsidR="000F24F6">
              <w:rPr>
                <w:rStyle w:val="Hyperlink"/>
                <w:noProof/>
                <w:lang w:val="nl-NL"/>
              </w:rPr>
              <w:t>Zwerfvuil (D10)</w:t>
            </w:r>
            <w:r w:rsidR="000F24F6">
              <w:rPr>
                <w:noProof/>
                <w:webHidden/>
              </w:rPr>
              <w:tab/>
            </w:r>
            <w:r w:rsidR="000F24F6">
              <w:rPr>
                <w:noProof/>
                <w:webHidden/>
              </w:rPr>
              <w:fldChar w:fldCharType="begin"/>
            </w:r>
            <w:r w:rsidR="000F24F6">
              <w:rPr>
                <w:noProof/>
                <w:webHidden/>
              </w:rPr>
              <w:instrText xml:space="preserve"> PAGEREF _Toc59455635 \h </w:instrText>
            </w:r>
            <w:r w:rsidR="000F24F6">
              <w:rPr>
                <w:noProof/>
                <w:webHidden/>
              </w:rPr>
            </w:r>
            <w:r w:rsidR="000F24F6">
              <w:rPr>
                <w:noProof/>
                <w:webHidden/>
              </w:rPr>
              <w:fldChar w:fldCharType="separate"/>
            </w:r>
            <w:r w:rsidR="00F10D05">
              <w:rPr>
                <w:noProof/>
                <w:webHidden/>
              </w:rPr>
              <w:t>44</w:t>
            </w:r>
            <w:r w:rsidR="000F24F6">
              <w:rPr>
                <w:noProof/>
                <w:webHidden/>
              </w:rPr>
              <w:fldChar w:fldCharType="end"/>
            </w:r>
          </w:hyperlink>
        </w:p>
        <w:p w:rsidR="000F24F6" w:rsidRDefault="007A1CC4" w14:paraId="4BE0CC07" w14:textId="21F6654A">
          <w:pPr>
            <w:pStyle w:val="TOC1"/>
            <w:rPr>
              <w:rFonts w:asciiTheme="minorHAnsi" w:hAnsiTheme="minorHAnsi" w:eastAsiaTheme="minorEastAsia"/>
              <w:noProof/>
              <w:sz w:val="22"/>
              <w:lang w:val="nl-NL" w:eastAsia="nl-NL"/>
            </w:rPr>
          </w:pPr>
          <w:hyperlink w:history="1" w:anchor="_Toc59455636">
            <w:r w:rsidRPr="00602E26" w:rsidR="000F24F6">
              <w:rPr>
                <w:rStyle w:val="Hyperlink"/>
                <w:noProof/>
                <w:lang w:val="nl-NL"/>
              </w:rPr>
              <w:t>3.12.</w:t>
            </w:r>
            <w:r w:rsidR="000F24F6">
              <w:rPr>
                <w:rFonts w:asciiTheme="minorHAnsi" w:hAnsiTheme="minorHAnsi" w:eastAsiaTheme="minorEastAsia"/>
                <w:noProof/>
                <w:sz w:val="22"/>
                <w:lang w:val="nl-NL" w:eastAsia="nl-NL"/>
              </w:rPr>
              <w:tab/>
            </w:r>
            <w:r w:rsidRPr="00602E26" w:rsidR="000F24F6">
              <w:rPr>
                <w:rStyle w:val="Hyperlink"/>
                <w:noProof/>
                <w:lang w:val="nl-NL"/>
              </w:rPr>
              <w:t>Toevoer van energie, waaronder onderwatergeluid (D11)</w:t>
            </w:r>
            <w:r w:rsidR="000F24F6">
              <w:rPr>
                <w:noProof/>
                <w:webHidden/>
              </w:rPr>
              <w:tab/>
            </w:r>
            <w:r w:rsidR="000F24F6">
              <w:rPr>
                <w:noProof/>
                <w:webHidden/>
              </w:rPr>
              <w:fldChar w:fldCharType="begin"/>
            </w:r>
            <w:r w:rsidR="000F24F6">
              <w:rPr>
                <w:noProof/>
                <w:webHidden/>
              </w:rPr>
              <w:instrText xml:space="preserve"> PAGEREF _Toc59455636 \h </w:instrText>
            </w:r>
            <w:r w:rsidR="000F24F6">
              <w:rPr>
                <w:noProof/>
                <w:webHidden/>
              </w:rPr>
            </w:r>
            <w:r w:rsidR="000F24F6">
              <w:rPr>
                <w:noProof/>
                <w:webHidden/>
              </w:rPr>
              <w:fldChar w:fldCharType="separate"/>
            </w:r>
            <w:r w:rsidR="00F10D05">
              <w:rPr>
                <w:noProof/>
                <w:webHidden/>
              </w:rPr>
              <w:t>62</w:t>
            </w:r>
            <w:r w:rsidR="000F24F6">
              <w:rPr>
                <w:noProof/>
                <w:webHidden/>
              </w:rPr>
              <w:fldChar w:fldCharType="end"/>
            </w:r>
          </w:hyperlink>
        </w:p>
        <w:p w:rsidR="000F24F6" w:rsidRDefault="007A1CC4" w14:paraId="18AE2A2F" w14:textId="694B43E2">
          <w:pPr>
            <w:pStyle w:val="TOC1"/>
            <w:rPr>
              <w:rFonts w:asciiTheme="minorHAnsi" w:hAnsiTheme="minorHAnsi" w:eastAsiaTheme="minorEastAsia"/>
              <w:noProof/>
              <w:sz w:val="22"/>
              <w:lang w:val="nl-NL" w:eastAsia="nl-NL"/>
            </w:rPr>
          </w:pPr>
          <w:hyperlink w:history="1" w:anchor="_Toc59455637">
            <w:r w:rsidRPr="00602E26" w:rsidR="000F24F6">
              <w:rPr>
                <w:rStyle w:val="Hyperlink"/>
                <w:noProof/>
                <w:lang w:val="nl-NL"/>
              </w:rPr>
              <w:t>3.13.</w:t>
            </w:r>
            <w:r w:rsidR="000F24F6">
              <w:rPr>
                <w:rFonts w:asciiTheme="minorHAnsi" w:hAnsiTheme="minorHAnsi" w:eastAsiaTheme="minorEastAsia"/>
                <w:noProof/>
                <w:sz w:val="22"/>
                <w:lang w:val="nl-NL" w:eastAsia="nl-NL"/>
              </w:rPr>
              <w:tab/>
            </w:r>
            <w:r w:rsidRPr="00602E26" w:rsidR="000F24F6">
              <w:rPr>
                <w:rStyle w:val="Hyperlink"/>
                <w:noProof/>
                <w:lang w:val="nl-NL"/>
              </w:rPr>
              <w:t>Uitkomsten PlanMER Nationaal Water Programma</w:t>
            </w:r>
            <w:r w:rsidR="000F24F6">
              <w:rPr>
                <w:noProof/>
                <w:webHidden/>
              </w:rPr>
              <w:tab/>
            </w:r>
            <w:r w:rsidR="000F24F6">
              <w:rPr>
                <w:noProof/>
                <w:webHidden/>
              </w:rPr>
              <w:fldChar w:fldCharType="begin"/>
            </w:r>
            <w:r w:rsidR="000F24F6">
              <w:rPr>
                <w:noProof/>
                <w:webHidden/>
              </w:rPr>
              <w:instrText xml:space="preserve"> PAGEREF _Toc59455637 \h </w:instrText>
            </w:r>
            <w:r w:rsidR="000F24F6">
              <w:rPr>
                <w:noProof/>
                <w:webHidden/>
              </w:rPr>
            </w:r>
            <w:r w:rsidR="000F24F6">
              <w:rPr>
                <w:noProof/>
                <w:webHidden/>
              </w:rPr>
              <w:fldChar w:fldCharType="separate"/>
            </w:r>
            <w:r w:rsidR="00F10D05">
              <w:rPr>
                <w:noProof/>
                <w:webHidden/>
              </w:rPr>
              <w:t>64</w:t>
            </w:r>
            <w:r w:rsidR="000F24F6">
              <w:rPr>
                <w:noProof/>
                <w:webHidden/>
              </w:rPr>
              <w:fldChar w:fldCharType="end"/>
            </w:r>
          </w:hyperlink>
        </w:p>
        <w:p w:rsidR="000F24F6" w:rsidRDefault="007A1CC4" w14:paraId="425ED5C4" w14:textId="28AA8E22">
          <w:pPr>
            <w:pStyle w:val="TOC1"/>
            <w:rPr>
              <w:rFonts w:asciiTheme="minorHAnsi" w:hAnsiTheme="minorHAnsi" w:eastAsiaTheme="minorEastAsia"/>
              <w:noProof/>
              <w:sz w:val="22"/>
              <w:lang w:val="nl-NL" w:eastAsia="nl-NL"/>
            </w:rPr>
          </w:pPr>
          <w:hyperlink w:history="1" w:anchor="_Toc59455638">
            <w:r w:rsidRPr="00602E26" w:rsidR="000F24F6">
              <w:rPr>
                <w:rStyle w:val="Hyperlink"/>
                <w:noProof/>
              </w:rPr>
              <w:t>4.</w:t>
            </w:r>
            <w:r w:rsidR="000F24F6">
              <w:rPr>
                <w:rFonts w:asciiTheme="minorHAnsi" w:hAnsiTheme="minorHAnsi" w:eastAsiaTheme="minorEastAsia"/>
                <w:noProof/>
                <w:sz w:val="22"/>
                <w:lang w:val="nl-NL" w:eastAsia="nl-NL"/>
              </w:rPr>
              <w:tab/>
            </w:r>
            <w:r w:rsidRPr="00602E26" w:rsidR="000F24F6">
              <w:rPr>
                <w:rStyle w:val="Hyperlink"/>
                <w:noProof/>
              </w:rPr>
              <w:t>Kennisleemten</w:t>
            </w:r>
            <w:r w:rsidR="000F24F6">
              <w:rPr>
                <w:noProof/>
                <w:webHidden/>
              </w:rPr>
              <w:tab/>
            </w:r>
            <w:r w:rsidR="000F24F6">
              <w:rPr>
                <w:noProof/>
                <w:webHidden/>
              </w:rPr>
              <w:fldChar w:fldCharType="begin"/>
            </w:r>
            <w:r w:rsidR="000F24F6">
              <w:rPr>
                <w:noProof/>
                <w:webHidden/>
              </w:rPr>
              <w:instrText xml:space="preserve"> PAGEREF _Toc59455638 \h </w:instrText>
            </w:r>
            <w:r w:rsidR="000F24F6">
              <w:rPr>
                <w:noProof/>
                <w:webHidden/>
              </w:rPr>
            </w:r>
            <w:r w:rsidR="000F24F6">
              <w:rPr>
                <w:noProof/>
                <w:webHidden/>
              </w:rPr>
              <w:fldChar w:fldCharType="separate"/>
            </w:r>
            <w:r w:rsidR="00F10D05">
              <w:rPr>
                <w:noProof/>
                <w:webHidden/>
              </w:rPr>
              <w:t>66</w:t>
            </w:r>
            <w:r w:rsidR="000F24F6">
              <w:rPr>
                <w:noProof/>
                <w:webHidden/>
              </w:rPr>
              <w:fldChar w:fldCharType="end"/>
            </w:r>
          </w:hyperlink>
        </w:p>
        <w:p w:rsidR="000F24F6" w:rsidRDefault="007A1CC4" w14:paraId="6135B974" w14:textId="60D244AF">
          <w:pPr>
            <w:pStyle w:val="TOC1"/>
            <w:rPr>
              <w:rFonts w:asciiTheme="minorHAnsi" w:hAnsiTheme="minorHAnsi" w:eastAsiaTheme="minorEastAsia"/>
              <w:noProof/>
              <w:sz w:val="22"/>
              <w:lang w:val="nl-NL" w:eastAsia="nl-NL"/>
            </w:rPr>
          </w:pPr>
          <w:hyperlink w:history="1" w:anchor="_Toc59455639">
            <w:r w:rsidRPr="00602E26" w:rsidR="000F24F6">
              <w:rPr>
                <w:rStyle w:val="Hyperlink"/>
                <w:noProof/>
                <w:lang w:val="nl-NL"/>
              </w:rPr>
              <w:t>5.</w:t>
            </w:r>
            <w:r w:rsidR="000F24F6">
              <w:rPr>
                <w:rFonts w:asciiTheme="minorHAnsi" w:hAnsiTheme="minorHAnsi" w:eastAsiaTheme="minorEastAsia"/>
                <w:noProof/>
                <w:sz w:val="22"/>
                <w:lang w:val="nl-NL" w:eastAsia="nl-NL"/>
              </w:rPr>
              <w:tab/>
            </w:r>
            <w:r w:rsidRPr="00602E26" w:rsidR="000F24F6">
              <w:rPr>
                <w:rStyle w:val="Hyperlink"/>
                <w:noProof/>
                <w:lang w:val="nl-NL"/>
              </w:rPr>
              <w:t>Financiële consequenties</w:t>
            </w:r>
            <w:r w:rsidR="000F24F6">
              <w:rPr>
                <w:noProof/>
                <w:webHidden/>
              </w:rPr>
              <w:tab/>
            </w:r>
            <w:r w:rsidR="000F24F6">
              <w:rPr>
                <w:noProof/>
                <w:webHidden/>
              </w:rPr>
              <w:fldChar w:fldCharType="begin"/>
            </w:r>
            <w:r w:rsidR="000F24F6">
              <w:rPr>
                <w:noProof/>
                <w:webHidden/>
              </w:rPr>
              <w:instrText xml:space="preserve"> PAGEREF _Toc59455639 \h </w:instrText>
            </w:r>
            <w:r w:rsidR="000F24F6">
              <w:rPr>
                <w:noProof/>
                <w:webHidden/>
              </w:rPr>
            </w:r>
            <w:r w:rsidR="000F24F6">
              <w:rPr>
                <w:noProof/>
                <w:webHidden/>
              </w:rPr>
              <w:fldChar w:fldCharType="separate"/>
            </w:r>
            <w:r w:rsidR="00F10D05">
              <w:rPr>
                <w:noProof/>
                <w:webHidden/>
              </w:rPr>
              <w:t>69</w:t>
            </w:r>
            <w:r w:rsidR="000F24F6">
              <w:rPr>
                <w:noProof/>
                <w:webHidden/>
              </w:rPr>
              <w:fldChar w:fldCharType="end"/>
            </w:r>
          </w:hyperlink>
        </w:p>
        <w:p w:rsidR="000F24F6" w:rsidRDefault="007A1CC4" w14:paraId="090D1233" w14:textId="45741C43">
          <w:pPr>
            <w:pStyle w:val="TOC1"/>
            <w:rPr>
              <w:rFonts w:asciiTheme="minorHAnsi" w:hAnsiTheme="minorHAnsi" w:eastAsiaTheme="minorEastAsia"/>
              <w:noProof/>
              <w:sz w:val="22"/>
              <w:lang w:val="nl-NL" w:eastAsia="nl-NL"/>
            </w:rPr>
          </w:pPr>
          <w:hyperlink w:history="1" w:anchor="_Toc59455640">
            <w:r w:rsidRPr="00602E26" w:rsidR="000F24F6">
              <w:rPr>
                <w:rStyle w:val="Hyperlink"/>
                <w:noProof/>
                <w:lang w:val="nl-NL"/>
              </w:rPr>
              <w:t>Bronnen</w:t>
            </w:r>
            <w:r w:rsidR="000F24F6">
              <w:rPr>
                <w:noProof/>
                <w:webHidden/>
              </w:rPr>
              <w:tab/>
            </w:r>
            <w:r w:rsidR="000F24F6">
              <w:rPr>
                <w:noProof/>
                <w:webHidden/>
              </w:rPr>
              <w:fldChar w:fldCharType="begin"/>
            </w:r>
            <w:r w:rsidR="000F24F6">
              <w:rPr>
                <w:noProof/>
                <w:webHidden/>
              </w:rPr>
              <w:instrText xml:space="preserve"> PAGEREF _Toc59455640 \h </w:instrText>
            </w:r>
            <w:r w:rsidR="000F24F6">
              <w:rPr>
                <w:noProof/>
                <w:webHidden/>
              </w:rPr>
            </w:r>
            <w:r w:rsidR="000F24F6">
              <w:rPr>
                <w:noProof/>
                <w:webHidden/>
              </w:rPr>
              <w:fldChar w:fldCharType="separate"/>
            </w:r>
            <w:r w:rsidR="00F10D05">
              <w:rPr>
                <w:noProof/>
                <w:webHidden/>
              </w:rPr>
              <w:t>70</w:t>
            </w:r>
            <w:r w:rsidR="000F24F6">
              <w:rPr>
                <w:noProof/>
                <w:webHidden/>
              </w:rPr>
              <w:fldChar w:fldCharType="end"/>
            </w:r>
          </w:hyperlink>
        </w:p>
        <w:p w:rsidR="000F24F6" w:rsidRDefault="007A1CC4" w14:paraId="2835256D" w14:textId="7CFB876A">
          <w:pPr>
            <w:pStyle w:val="TOC1"/>
            <w:rPr>
              <w:rFonts w:asciiTheme="minorHAnsi" w:hAnsiTheme="minorHAnsi" w:eastAsiaTheme="minorEastAsia"/>
              <w:noProof/>
              <w:sz w:val="22"/>
              <w:lang w:val="nl-NL" w:eastAsia="nl-NL"/>
            </w:rPr>
          </w:pPr>
          <w:hyperlink w:history="1" w:anchor="_Toc59455641">
            <w:r w:rsidRPr="00602E26" w:rsidR="000F24F6">
              <w:rPr>
                <w:rStyle w:val="Hyperlink"/>
                <w:noProof/>
                <w:lang w:val="nl-NL"/>
              </w:rPr>
              <w:t>Afkortingen</w:t>
            </w:r>
            <w:r w:rsidR="000F24F6">
              <w:rPr>
                <w:noProof/>
                <w:webHidden/>
              </w:rPr>
              <w:tab/>
            </w:r>
            <w:r w:rsidR="000F24F6">
              <w:rPr>
                <w:noProof/>
                <w:webHidden/>
              </w:rPr>
              <w:fldChar w:fldCharType="begin"/>
            </w:r>
            <w:r w:rsidR="000F24F6">
              <w:rPr>
                <w:noProof/>
                <w:webHidden/>
              </w:rPr>
              <w:instrText xml:space="preserve"> PAGEREF _Toc59455641 \h </w:instrText>
            </w:r>
            <w:r w:rsidR="000F24F6">
              <w:rPr>
                <w:noProof/>
                <w:webHidden/>
              </w:rPr>
            </w:r>
            <w:r w:rsidR="000F24F6">
              <w:rPr>
                <w:noProof/>
                <w:webHidden/>
              </w:rPr>
              <w:fldChar w:fldCharType="separate"/>
            </w:r>
            <w:r w:rsidR="00F10D05">
              <w:rPr>
                <w:noProof/>
                <w:webHidden/>
              </w:rPr>
              <w:t>73</w:t>
            </w:r>
            <w:r w:rsidR="000F24F6">
              <w:rPr>
                <w:noProof/>
                <w:webHidden/>
              </w:rPr>
              <w:fldChar w:fldCharType="end"/>
            </w:r>
          </w:hyperlink>
        </w:p>
        <w:p w:rsidR="000F24F6" w:rsidRDefault="007A1CC4" w14:paraId="769A277C" w14:textId="4A79FAF3">
          <w:pPr>
            <w:pStyle w:val="TOC1"/>
            <w:rPr>
              <w:rFonts w:asciiTheme="minorHAnsi" w:hAnsiTheme="minorHAnsi" w:eastAsiaTheme="minorEastAsia"/>
              <w:noProof/>
              <w:sz w:val="22"/>
              <w:lang w:val="nl-NL" w:eastAsia="nl-NL"/>
            </w:rPr>
          </w:pPr>
          <w:hyperlink w:history="1" w:anchor="_Toc59455642">
            <w:r w:rsidRPr="00602E26" w:rsidR="000F24F6">
              <w:rPr>
                <w:rStyle w:val="Hyperlink"/>
                <w:noProof/>
                <w:lang w:val="nl-NL"/>
              </w:rPr>
              <w:t>Bijlage 1: Overzicht internationale regelgeving en implementatie maatregelen in Nederlandse regelgeving</w:t>
            </w:r>
            <w:r w:rsidR="000F24F6">
              <w:rPr>
                <w:noProof/>
                <w:webHidden/>
              </w:rPr>
              <w:tab/>
            </w:r>
            <w:r w:rsidR="000F24F6">
              <w:rPr>
                <w:noProof/>
                <w:webHidden/>
              </w:rPr>
              <w:fldChar w:fldCharType="begin"/>
            </w:r>
            <w:r w:rsidR="000F24F6">
              <w:rPr>
                <w:noProof/>
                <w:webHidden/>
              </w:rPr>
              <w:instrText xml:space="preserve"> PAGEREF _Toc59455642 \h </w:instrText>
            </w:r>
            <w:r w:rsidR="000F24F6">
              <w:rPr>
                <w:noProof/>
                <w:webHidden/>
              </w:rPr>
            </w:r>
            <w:r w:rsidR="000F24F6">
              <w:rPr>
                <w:noProof/>
                <w:webHidden/>
              </w:rPr>
              <w:fldChar w:fldCharType="separate"/>
            </w:r>
            <w:r w:rsidR="00F10D05">
              <w:rPr>
                <w:noProof/>
                <w:webHidden/>
              </w:rPr>
              <w:t>75</w:t>
            </w:r>
            <w:r w:rsidR="000F24F6">
              <w:rPr>
                <w:noProof/>
                <w:webHidden/>
              </w:rPr>
              <w:fldChar w:fldCharType="end"/>
            </w:r>
          </w:hyperlink>
        </w:p>
        <w:p w:rsidR="00831E2E" w:rsidRDefault="00831E2E" w14:paraId="37F22397" w14:textId="77777777">
          <w:r>
            <w:rPr>
              <w:b/>
              <w:bCs/>
            </w:rPr>
            <w:fldChar w:fldCharType="end"/>
          </w:r>
        </w:p>
      </w:sdtContent>
    </w:sdt>
    <w:p w:rsidR="009103B9" w:rsidRDefault="009103B9" w14:paraId="2FBEF8BC" w14:textId="77777777">
      <w:pPr>
        <w:rPr>
          <w:rFonts w:asciiTheme="majorHAnsi" w:hAnsiTheme="majorHAnsi" w:eastAsiaTheme="majorEastAsia" w:cstheme="majorBidi"/>
          <w:spacing w:val="-10"/>
          <w:kern w:val="28"/>
          <w:sz w:val="56"/>
          <w:szCs w:val="56"/>
          <w:lang w:val="nl-NL"/>
        </w:rPr>
      </w:pPr>
      <w:r>
        <w:rPr>
          <w:lang w:val="nl-NL"/>
        </w:rPr>
        <w:br w:type="page"/>
      </w:r>
    </w:p>
    <w:p w:rsidR="009103B9" w:rsidP="00E31DEA" w:rsidRDefault="009103B9" w14:paraId="39930B4B" w14:textId="77777777">
      <w:pPr>
        <w:pStyle w:val="Stijl1"/>
        <w:numPr>
          <w:ilvl w:val="0"/>
          <w:numId w:val="0"/>
        </w:numPr>
        <w:ind w:left="360" w:hanging="360"/>
        <w:rPr>
          <w:lang w:val="nl-NL"/>
        </w:rPr>
      </w:pPr>
      <w:bookmarkStart w:name="_Toc59455617" w:id="6"/>
      <w:r w:rsidRPr="00E31DEA">
        <w:rPr>
          <w:lang w:val="nl-NL"/>
        </w:rPr>
        <w:t>Samenvatting</w:t>
      </w:r>
      <w:bookmarkEnd w:id="6"/>
    </w:p>
    <w:p w:rsidR="001C119F" w:rsidP="00E31DEA" w:rsidRDefault="001C119F" w14:paraId="45D07A8C" w14:textId="77777777">
      <w:pPr>
        <w:rPr>
          <w:lang w:val="nl-NL"/>
        </w:rPr>
      </w:pPr>
    </w:p>
    <w:p w:rsidR="00636CDE" w:rsidP="00636CDE" w:rsidRDefault="00636CDE" w14:paraId="2294DF3C" w14:textId="2F0E6566">
      <w:pPr>
        <w:rPr>
          <w:lang w:val="nl-NL"/>
        </w:rPr>
      </w:pPr>
      <w:r>
        <w:rPr>
          <w:lang w:val="nl-NL"/>
        </w:rPr>
        <w:t>D</w:t>
      </w:r>
      <w:r w:rsidRPr="001D5B87">
        <w:rPr>
          <w:lang w:val="nl-NL"/>
        </w:rPr>
        <w:t xml:space="preserve">e Europese Kaderrichtlijn Mariene Strategie (KRM) is voor het Nederlandse deel van de Noordzee </w:t>
      </w:r>
      <w:r>
        <w:rPr>
          <w:lang w:val="nl-NL"/>
        </w:rPr>
        <w:t xml:space="preserve">uitgewerkt in de </w:t>
      </w:r>
      <w:r w:rsidRPr="001D5B87">
        <w:rPr>
          <w:lang w:val="nl-NL"/>
        </w:rPr>
        <w:t>Mariene Strategie</w:t>
      </w:r>
      <w:r>
        <w:rPr>
          <w:lang w:val="nl-NL"/>
        </w:rPr>
        <w:t xml:space="preserve">. </w:t>
      </w:r>
      <w:r w:rsidR="00F8003D">
        <w:rPr>
          <w:lang w:val="nl-NL"/>
        </w:rPr>
        <w:t>Het doel van de Mariene Strategie is</w:t>
      </w:r>
      <w:r w:rsidRPr="00F8003D" w:rsidR="00F8003D">
        <w:rPr>
          <w:lang w:val="nl-NL"/>
        </w:rPr>
        <w:t xml:space="preserve"> het beschermen en herstellen van de </w:t>
      </w:r>
      <w:r w:rsidR="00F8003D">
        <w:rPr>
          <w:lang w:val="nl-NL"/>
        </w:rPr>
        <w:t>Noordzee</w:t>
      </w:r>
      <w:r w:rsidRPr="00F8003D" w:rsidR="00F8003D">
        <w:rPr>
          <w:lang w:val="nl-NL"/>
        </w:rPr>
        <w:t xml:space="preserve"> en </w:t>
      </w:r>
      <w:r w:rsidR="00F8003D">
        <w:rPr>
          <w:lang w:val="nl-NL"/>
        </w:rPr>
        <w:t xml:space="preserve">het bevorderen van een </w:t>
      </w:r>
      <w:r w:rsidRPr="00F8003D" w:rsidR="00F8003D">
        <w:rPr>
          <w:lang w:val="nl-NL"/>
        </w:rPr>
        <w:t xml:space="preserve">duurzaam gebruik. </w:t>
      </w:r>
      <w:r w:rsidRPr="005B0EFB">
        <w:rPr>
          <w:lang w:val="nl-NL"/>
        </w:rPr>
        <w:t>De Mariene Strategie deel 3 omvat het</w:t>
      </w:r>
      <w:r>
        <w:rPr>
          <w:lang w:val="nl-NL"/>
        </w:rPr>
        <w:t xml:space="preserve"> </w:t>
      </w:r>
      <w:r w:rsidRPr="005B0EFB">
        <w:rPr>
          <w:lang w:val="nl-NL"/>
        </w:rPr>
        <w:t xml:space="preserve">programma van maatregelen </w:t>
      </w:r>
      <w:r w:rsidR="00F8003D">
        <w:rPr>
          <w:lang w:val="nl-NL"/>
        </w:rPr>
        <w:t>dat bijdraagt aan dit doel</w:t>
      </w:r>
      <w:r w:rsidRPr="005B0EFB">
        <w:rPr>
          <w:lang w:val="nl-NL"/>
        </w:rPr>
        <w:t>.</w:t>
      </w:r>
      <w:r>
        <w:rPr>
          <w:lang w:val="nl-NL"/>
        </w:rPr>
        <w:t xml:space="preserve"> Het </w:t>
      </w:r>
      <w:r w:rsidRPr="005D26D8">
        <w:rPr>
          <w:lang w:val="nl-NL"/>
        </w:rPr>
        <w:t>beschrijft de maatregelen die nodig zijn om de goede</w:t>
      </w:r>
      <w:r>
        <w:rPr>
          <w:lang w:val="nl-NL"/>
        </w:rPr>
        <w:t xml:space="preserve"> </w:t>
      </w:r>
      <w:r w:rsidRPr="005D26D8">
        <w:rPr>
          <w:lang w:val="nl-NL"/>
        </w:rPr>
        <w:t>milieutoestand en de milieudoelen te kunnen bereiken</w:t>
      </w:r>
      <w:r>
        <w:rPr>
          <w:lang w:val="nl-NL"/>
        </w:rPr>
        <w:t xml:space="preserve"> en te behouden</w:t>
      </w:r>
      <w:r w:rsidRPr="005D26D8">
        <w:rPr>
          <w:lang w:val="nl-NL"/>
        </w:rPr>
        <w:t xml:space="preserve">. </w:t>
      </w:r>
      <w:r>
        <w:rPr>
          <w:lang w:val="nl-NL"/>
        </w:rPr>
        <w:t>Dit programma van maatregelen is</w:t>
      </w:r>
      <w:r w:rsidRPr="001D5B87">
        <w:rPr>
          <w:lang w:val="nl-NL"/>
        </w:rPr>
        <w:t xml:space="preserve"> een integrale herziening van de eerste versie die in 201</w:t>
      </w:r>
      <w:r>
        <w:rPr>
          <w:lang w:val="nl-NL"/>
        </w:rPr>
        <w:t>5</w:t>
      </w:r>
      <w:r w:rsidRPr="001D5B87">
        <w:rPr>
          <w:lang w:val="nl-NL"/>
        </w:rPr>
        <w:t xml:space="preserve"> is vastgesteld</w:t>
      </w:r>
      <w:r>
        <w:rPr>
          <w:lang w:val="nl-NL"/>
        </w:rPr>
        <w:t xml:space="preserve"> en </w:t>
      </w:r>
      <w:r w:rsidRPr="001D5B87">
        <w:rPr>
          <w:lang w:val="nl-NL"/>
        </w:rPr>
        <w:t>vormt het sluitstuk van de tweede implementatiecyclus van de KRM</w:t>
      </w:r>
      <w:r>
        <w:rPr>
          <w:lang w:val="nl-NL"/>
        </w:rPr>
        <w:t>. Het programma is opgenomen in het Programma Noordzee 2022-2027, dat als bijlage deel uitmaakt van het Nationaal Waterprogramma 2022-2027</w:t>
      </w:r>
      <w:r w:rsidR="00F52DF4">
        <w:rPr>
          <w:lang w:val="nl-NL"/>
        </w:rPr>
        <w:t xml:space="preserve">, en </w:t>
      </w:r>
      <w:r w:rsidRPr="00F52DF4" w:rsidR="00F52DF4">
        <w:rPr>
          <w:lang w:val="nl-NL"/>
        </w:rPr>
        <w:t>beschrijft de maatregelen die in de planperiode 2022-2027 van het Programma Noordzee worden geïmplementeerd</w:t>
      </w:r>
      <w:r>
        <w:rPr>
          <w:lang w:val="nl-NL"/>
        </w:rPr>
        <w:t>.</w:t>
      </w:r>
    </w:p>
    <w:p w:rsidR="00636CDE" w:rsidP="00636CDE" w:rsidRDefault="00636CDE" w14:paraId="1D0B97B9" w14:textId="0ABFDE81">
      <w:pPr>
        <w:rPr>
          <w:lang w:val="nl-NL"/>
        </w:rPr>
      </w:pPr>
      <w:r>
        <w:rPr>
          <w:lang w:val="nl-NL"/>
        </w:rPr>
        <w:t>D</w:t>
      </w:r>
      <w:r w:rsidRPr="005D26D8">
        <w:rPr>
          <w:lang w:val="nl-NL"/>
        </w:rPr>
        <w:t xml:space="preserve">e KRM </w:t>
      </w:r>
      <w:r>
        <w:rPr>
          <w:lang w:val="nl-NL"/>
        </w:rPr>
        <w:t xml:space="preserve">is </w:t>
      </w:r>
      <w:r w:rsidRPr="005D26D8">
        <w:rPr>
          <w:lang w:val="nl-NL"/>
        </w:rPr>
        <w:t>een ordenende en taakstellende richtlijn die meerdere en uiteenlopende beleidsvelden integreert in de sfeer van het milieubeleid, het ecosysteembeleid</w:t>
      </w:r>
      <w:r>
        <w:rPr>
          <w:lang w:val="nl-NL"/>
        </w:rPr>
        <w:t xml:space="preserve"> </w:t>
      </w:r>
      <w:r w:rsidRPr="005D26D8">
        <w:rPr>
          <w:lang w:val="nl-NL"/>
        </w:rPr>
        <w:t>en alle beleid gericht op duurzaam gebruik. De integrerende werking van de KRM komt</w:t>
      </w:r>
      <w:r>
        <w:rPr>
          <w:lang w:val="nl-NL"/>
        </w:rPr>
        <w:t xml:space="preserve"> </w:t>
      </w:r>
      <w:r w:rsidRPr="005D26D8">
        <w:rPr>
          <w:lang w:val="nl-NL"/>
        </w:rPr>
        <w:t>tot uiting in het brede spectrum van de elf descriptoren aan de hand waarvan de goede</w:t>
      </w:r>
      <w:r>
        <w:rPr>
          <w:lang w:val="nl-NL"/>
        </w:rPr>
        <w:t xml:space="preserve"> </w:t>
      </w:r>
      <w:r w:rsidRPr="005D26D8">
        <w:rPr>
          <w:lang w:val="nl-NL"/>
        </w:rPr>
        <w:t>milieutoestand wordt bepaald en de werkelijke milieutoestand kan worden beoordeeld.</w:t>
      </w:r>
      <w:r>
        <w:rPr>
          <w:lang w:val="nl-NL"/>
        </w:rPr>
        <w:t xml:space="preserve"> </w:t>
      </w:r>
      <w:r w:rsidRPr="005D26D8">
        <w:rPr>
          <w:lang w:val="nl-NL"/>
        </w:rPr>
        <w:t xml:space="preserve">Ze hebben betrekking op de thema’s biodiversiteit, </w:t>
      </w:r>
      <w:r>
        <w:rPr>
          <w:lang w:val="nl-NL"/>
        </w:rPr>
        <w:t>niet-inheemse soorten</w:t>
      </w:r>
      <w:r w:rsidRPr="005D26D8">
        <w:rPr>
          <w:lang w:val="nl-NL"/>
        </w:rPr>
        <w:t>, (commerciële) visbestanden,</w:t>
      </w:r>
      <w:r>
        <w:rPr>
          <w:lang w:val="nl-NL"/>
        </w:rPr>
        <w:t xml:space="preserve"> </w:t>
      </w:r>
      <w:r w:rsidRPr="005D26D8">
        <w:rPr>
          <w:lang w:val="nl-NL"/>
        </w:rPr>
        <w:t>voedselwebben, zeebodemintegriteit, hydrografi</w:t>
      </w:r>
      <w:r>
        <w:rPr>
          <w:lang w:val="nl-NL"/>
        </w:rPr>
        <w:t>sche eigenschappen</w:t>
      </w:r>
      <w:r w:rsidRPr="005D26D8">
        <w:rPr>
          <w:lang w:val="nl-NL"/>
        </w:rPr>
        <w:t>, vervuilende stoffen en eutrofiëring,</w:t>
      </w:r>
      <w:r>
        <w:rPr>
          <w:lang w:val="nl-NL"/>
        </w:rPr>
        <w:t xml:space="preserve"> </w:t>
      </w:r>
      <w:r w:rsidRPr="005D26D8">
        <w:rPr>
          <w:lang w:val="nl-NL"/>
        </w:rPr>
        <w:t xml:space="preserve">zwerfvuil, en </w:t>
      </w:r>
      <w:r w:rsidRPr="0003243F" w:rsidR="0003243F">
        <w:rPr>
          <w:lang w:val="nl-NL"/>
        </w:rPr>
        <w:t xml:space="preserve">toevoer van energie </w:t>
      </w:r>
      <w:r w:rsidR="00982F0D">
        <w:rPr>
          <w:lang w:val="nl-NL"/>
        </w:rPr>
        <w:t xml:space="preserve">waaronder </w:t>
      </w:r>
      <w:r w:rsidRPr="005D26D8">
        <w:rPr>
          <w:lang w:val="nl-NL"/>
        </w:rPr>
        <w:t>onderwatergeluid.</w:t>
      </w:r>
    </w:p>
    <w:p w:rsidRPr="00E31DEA" w:rsidR="00636CDE" w:rsidP="00636CDE" w:rsidRDefault="00636CDE" w14:paraId="53C03FA3" w14:textId="77777777">
      <w:pPr>
        <w:pStyle w:val="Heading1"/>
        <w:rPr>
          <w:rFonts w:ascii="Verdana" w:hAnsi="Verdana"/>
          <w:sz w:val="20"/>
          <w:szCs w:val="24"/>
          <w:lang w:val="nl-NL"/>
        </w:rPr>
      </w:pPr>
      <w:r w:rsidRPr="00E31DEA">
        <w:rPr>
          <w:rFonts w:ascii="Verdana" w:hAnsi="Verdana"/>
          <w:sz w:val="20"/>
          <w:szCs w:val="24"/>
          <w:lang w:val="nl-NL"/>
        </w:rPr>
        <w:t>Uitgangspunten voor dit programma van maatregelen</w:t>
      </w:r>
    </w:p>
    <w:p w:rsidRPr="005B0EFB" w:rsidR="00636CDE" w:rsidP="00636CDE" w:rsidRDefault="00636CDE" w14:paraId="7B172CCA" w14:textId="77777777">
      <w:pPr>
        <w:rPr>
          <w:lang w:val="nl-NL"/>
        </w:rPr>
      </w:pPr>
      <w:r w:rsidRPr="005B0EFB">
        <w:rPr>
          <w:lang w:val="nl-NL"/>
        </w:rPr>
        <w:t>Aan de basis van de mariene strategie voor de Noordzee ligt een toekomstbeeld</w:t>
      </w:r>
      <w:r>
        <w:rPr>
          <w:lang w:val="nl-NL"/>
        </w:rPr>
        <w:t>,</w:t>
      </w:r>
      <w:r w:rsidRPr="005B0EFB">
        <w:rPr>
          <w:lang w:val="nl-NL"/>
        </w:rPr>
        <w:t xml:space="preserve"> een Noordzee die in de toekomst schoon, gezond en productief is, met een ecosysteem dat optimaal en veerkrachtig functioneert, terwijl het gebruik van de zee duurzaam is</w:t>
      </w:r>
      <w:r>
        <w:rPr>
          <w:lang w:val="nl-NL"/>
        </w:rPr>
        <w:t xml:space="preserve"> bij toenemend gebruik</w:t>
      </w:r>
      <w:r w:rsidRPr="005B0EFB">
        <w:rPr>
          <w:lang w:val="nl-NL"/>
        </w:rPr>
        <w:t xml:space="preserve">. Zo’n Noordzee biedt draagkracht en ontwikkelingsperspectieven voor zowel natuur en milieu als voor economische sectoren. </w:t>
      </w:r>
      <w:r>
        <w:rPr>
          <w:lang w:val="nl-NL"/>
        </w:rPr>
        <w:t>Uitgangspunt voor dit programma van maatregelen zijn:</w:t>
      </w:r>
    </w:p>
    <w:p w:rsidR="00636CDE" w:rsidP="00636CDE" w:rsidRDefault="00636CDE" w14:paraId="033EDF25" w14:textId="77777777">
      <w:pPr>
        <w:pStyle w:val="Heading4"/>
        <w:rPr>
          <w:lang w:val="nl-NL"/>
        </w:rPr>
      </w:pPr>
      <w:r>
        <w:rPr>
          <w:lang w:val="nl-NL"/>
        </w:rPr>
        <w:t>1. Actualisatie van de Mariene Strategie deel 1 (2018)</w:t>
      </w:r>
    </w:p>
    <w:p w:rsidR="00636CDE" w:rsidP="00636CDE" w:rsidRDefault="00636CDE" w14:paraId="1452493B" w14:textId="77777777">
      <w:pPr>
        <w:rPr>
          <w:lang w:val="nl-NL"/>
        </w:rPr>
      </w:pPr>
      <w:r w:rsidRPr="00B41FE8">
        <w:rPr>
          <w:lang w:val="nl-NL"/>
        </w:rPr>
        <w:t xml:space="preserve">De opgaven </w:t>
      </w:r>
      <w:r>
        <w:rPr>
          <w:lang w:val="nl-NL"/>
        </w:rPr>
        <w:t xml:space="preserve">zoals opgenomen in de actualisatie van de Mariene Strategie deel 1 (2018) </w:t>
      </w:r>
      <w:r w:rsidRPr="00B41FE8">
        <w:rPr>
          <w:lang w:val="nl-NL"/>
        </w:rPr>
        <w:t xml:space="preserve">zijn bepalend voor de noodzaak om aanvullende maatregelen </w:t>
      </w:r>
      <w:r>
        <w:rPr>
          <w:lang w:val="nl-NL"/>
        </w:rPr>
        <w:t>op te nemen in dit programma van maatregelen</w:t>
      </w:r>
      <w:r w:rsidRPr="00B41FE8">
        <w:rPr>
          <w:lang w:val="nl-NL"/>
        </w:rPr>
        <w:t>. Per descriptor is bepaald of de bestaande maatregelen (</w:t>
      </w:r>
      <w:r>
        <w:rPr>
          <w:lang w:val="nl-NL"/>
        </w:rPr>
        <w:t>Mariene Strategie deel 3 (</w:t>
      </w:r>
      <w:r w:rsidRPr="00B41FE8">
        <w:rPr>
          <w:lang w:val="nl-NL"/>
        </w:rPr>
        <w:t>2015</w:t>
      </w:r>
      <w:r>
        <w:rPr>
          <w:lang w:val="nl-NL"/>
        </w:rPr>
        <w:t>)</w:t>
      </w:r>
      <w:r w:rsidRPr="00B41FE8">
        <w:rPr>
          <w:lang w:val="nl-NL"/>
        </w:rPr>
        <w:t>) gecontinueerd moeten worden en of extra inzet nodig is om de milieudoelen te behalen.</w:t>
      </w:r>
    </w:p>
    <w:p w:rsidR="00636CDE" w:rsidP="00636CDE" w:rsidRDefault="00636CDE" w14:paraId="254E1B27" w14:textId="77777777">
      <w:pPr>
        <w:pStyle w:val="Heading4"/>
        <w:rPr>
          <w:lang w:val="nl-NL"/>
        </w:rPr>
      </w:pPr>
      <w:r>
        <w:rPr>
          <w:lang w:val="nl-NL"/>
        </w:rPr>
        <w:t>2. Voortbouwen op bestaande richtlijnen en afspraken</w:t>
      </w:r>
    </w:p>
    <w:p w:rsidRPr="00062596" w:rsidR="00636CDE" w:rsidP="00636CDE" w:rsidRDefault="00636CDE" w14:paraId="144D5F31" w14:textId="77777777">
      <w:pPr>
        <w:rPr>
          <w:lang w:val="nl-NL"/>
        </w:rPr>
      </w:pPr>
      <w:r>
        <w:rPr>
          <w:lang w:val="nl-NL"/>
        </w:rPr>
        <w:t>H</w:t>
      </w:r>
      <w:r w:rsidRPr="00062596">
        <w:rPr>
          <w:lang w:val="nl-NL"/>
        </w:rPr>
        <w:t>et programma van maatregelen bouwt voort op al bestaande maatregelen vanuit onder andere het Gemeenschappelijk Visserijbeleid (GVB), de Kaderrichtlijn Water (KRW), de Nitraatrichtlijn, de Richtlijn behandeling stedelijk afvalwater, de Zwemwaterrichtlijn, en de Richtlijn inzake milieukwaliteitsnormen voor prioritair gevaarlijke stoffen, en ook van internationale overeenkomsten in OSPAR- of IMO-verband.</w:t>
      </w:r>
    </w:p>
    <w:p w:rsidR="00636CDE" w:rsidP="00636CDE" w:rsidRDefault="00636CDE" w14:paraId="13054CAB" w14:textId="7DC7A32C">
      <w:pPr>
        <w:rPr>
          <w:lang w:val="nl-NL"/>
        </w:rPr>
      </w:pPr>
      <w:r w:rsidRPr="00062596">
        <w:rPr>
          <w:lang w:val="nl-NL"/>
        </w:rPr>
        <w:t>Verder is het programma van maatregelen afgestemd op de internationale biodiversiteitafspraken die volgen uit het Biodiversiteitsverdrag (Convention on biological diversity, CBD)</w:t>
      </w:r>
      <w:r w:rsidR="003B18AB">
        <w:rPr>
          <w:lang w:val="nl-NL"/>
        </w:rPr>
        <w:t>, EU Biodiversiteitsstrategie,</w:t>
      </w:r>
      <w:r w:rsidRPr="00062596">
        <w:rPr>
          <w:lang w:val="nl-NL"/>
        </w:rPr>
        <w:t xml:space="preserve"> de Europese Vogelrichtlijn en Habitatrichtlijn</w:t>
      </w:r>
      <w:r w:rsidR="003B18AB">
        <w:rPr>
          <w:lang w:val="nl-NL"/>
        </w:rPr>
        <w:t xml:space="preserve"> en Routekaart van de Green Deal</w:t>
      </w:r>
      <w:r w:rsidRPr="00062596">
        <w:rPr>
          <w:lang w:val="nl-NL"/>
        </w:rPr>
        <w:t>. Dit betreft de doelen van het gemeenschappelijk Europese en internationale beleid om verlies aan biodiversiteit tot s</w:t>
      </w:r>
      <w:r>
        <w:rPr>
          <w:lang w:val="nl-NL"/>
        </w:rPr>
        <w:t>tilstand</w:t>
      </w:r>
      <w:r w:rsidRPr="00062596">
        <w:rPr>
          <w:lang w:val="nl-NL"/>
        </w:rPr>
        <w:t xml:space="preserve"> </w:t>
      </w:r>
      <w:r>
        <w:rPr>
          <w:lang w:val="nl-NL"/>
        </w:rPr>
        <w:t xml:space="preserve">te </w:t>
      </w:r>
      <w:r w:rsidRPr="00062596">
        <w:rPr>
          <w:lang w:val="nl-NL"/>
        </w:rPr>
        <w:t xml:space="preserve">brengen en Natura 2000-beleid te versterken. </w:t>
      </w:r>
      <w:r w:rsidR="003B18AB">
        <w:rPr>
          <w:lang w:val="nl-NL"/>
        </w:rPr>
        <w:t xml:space="preserve">Afspraken rondom gebiedsbescherming en natuurherstel uit de EU Biodiversiteitsstrategie worden in Europees kader nog nader uitgewerkt. </w:t>
      </w:r>
      <w:r w:rsidRPr="00062596">
        <w:rPr>
          <w:lang w:val="nl-NL"/>
        </w:rPr>
        <w:t>Voor het aspect biodiversiteit steunt het programma van maatregelen ook op internationale afspraken, zoals voor de bescherming van kleine walvisachtigen (Agreement on the Conservation of Small Cetaceans of the Baltic and North Seas, ASCOBANS)</w:t>
      </w:r>
      <w:r>
        <w:rPr>
          <w:lang w:val="nl-NL"/>
        </w:rPr>
        <w:t xml:space="preserve"> en OSPAR</w:t>
      </w:r>
      <w:r w:rsidRPr="00062596">
        <w:rPr>
          <w:lang w:val="nl-NL"/>
        </w:rPr>
        <w:t>.</w:t>
      </w:r>
    </w:p>
    <w:p w:rsidR="00636CDE" w:rsidP="00636CDE" w:rsidRDefault="00636CDE" w14:paraId="21F53DDE" w14:textId="77777777">
      <w:pPr>
        <w:rPr>
          <w:lang w:val="nl-NL"/>
        </w:rPr>
      </w:pPr>
      <w:r>
        <w:rPr>
          <w:lang w:val="nl-NL"/>
        </w:rPr>
        <w:t>Het programma van maatregelen heeft verschillende raakvlakken met het Noordzeeakkoord. Afspraken binnen het Noordzeeakkoord over bijvoorbeeld gebiedsbescherming en soortenbescherming werken door in dit programma.</w:t>
      </w:r>
    </w:p>
    <w:p w:rsidR="00636CDE" w:rsidP="00636CDE" w:rsidRDefault="00636CDE" w14:paraId="5C741DDE" w14:textId="77777777">
      <w:pPr>
        <w:pStyle w:val="Heading4"/>
        <w:rPr>
          <w:lang w:val="nl-NL"/>
        </w:rPr>
      </w:pPr>
      <w:r>
        <w:rPr>
          <w:lang w:val="nl-NL"/>
        </w:rPr>
        <w:t>3. Rekening houden met de gevolgen van klimaatverandering en oceaanverzuring</w:t>
      </w:r>
    </w:p>
    <w:p w:rsidR="00636CDE" w:rsidP="00636CDE" w:rsidRDefault="00636CDE" w14:paraId="07349D02" w14:textId="77777777">
      <w:pPr>
        <w:rPr>
          <w:lang w:val="nl-NL"/>
        </w:rPr>
      </w:pPr>
      <w:r>
        <w:rPr>
          <w:lang w:val="nl-NL"/>
        </w:rPr>
        <w:t xml:space="preserve">Dit programma van maatregelen houdt rekening met </w:t>
      </w:r>
      <w:r w:rsidRPr="00B41FE8">
        <w:rPr>
          <w:lang w:val="nl-NL"/>
        </w:rPr>
        <w:t>een versnelde klimaatverandering, aangejaagd door de toename van de concentratie van broeikasgassen in de atmosfeer, zoals CO</w:t>
      </w:r>
      <w:r w:rsidRPr="005964E6">
        <w:rPr>
          <w:vertAlign w:val="subscript"/>
          <w:lang w:val="nl-NL"/>
        </w:rPr>
        <w:t>2</w:t>
      </w:r>
      <w:r w:rsidRPr="00B41FE8">
        <w:rPr>
          <w:lang w:val="nl-NL"/>
        </w:rPr>
        <w:t>. Deze veranderingen in het fysieke milieu kunnen via verschillende wegen van invloed zijn op het ecosysteem van de Noordzee. De drie belangrijkste effecten zijn:</w:t>
      </w:r>
      <w:r>
        <w:rPr>
          <w:lang w:val="nl-NL"/>
        </w:rPr>
        <w:t xml:space="preserve"> </w:t>
      </w:r>
      <w:r w:rsidRPr="00B41FE8">
        <w:rPr>
          <w:lang w:val="nl-NL"/>
        </w:rPr>
        <w:t>toename van de zeewatertemperatuur</w:t>
      </w:r>
      <w:r>
        <w:rPr>
          <w:lang w:val="nl-NL"/>
        </w:rPr>
        <w:t xml:space="preserve">, </w:t>
      </w:r>
      <w:r w:rsidRPr="00B41FE8">
        <w:rPr>
          <w:lang w:val="nl-NL"/>
        </w:rPr>
        <w:t>stijging van de zeespiegel en</w:t>
      </w:r>
      <w:r>
        <w:rPr>
          <w:lang w:val="nl-NL"/>
        </w:rPr>
        <w:t xml:space="preserve"> </w:t>
      </w:r>
      <w:r w:rsidRPr="00B41FE8">
        <w:rPr>
          <w:lang w:val="nl-NL"/>
        </w:rPr>
        <w:t>verhoging van de CO</w:t>
      </w:r>
      <w:r w:rsidRPr="005964E6">
        <w:rPr>
          <w:vertAlign w:val="subscript"/>
          <w:lang w:val="nl-NL"/>
        </w:rPr>
        <w:t>2</w:t>
      </w:r>
      <w:r w:rsidRPr="00B41FE8">
        <w:rPr>
          <w:lang w:val="nl-NL"/>
        </w:rPr>
        <w:t>-opname door het zeewater (verzuring).</w:t>
      </w:r>
    </w:p>
    <w:p w:rsidRPr="00E31DEA" w:rsidR="00636CDE" w:rsidP="00636CDE" w:rsidRDefault="00636CDE" w14:paraId="478E9728" w14:textId="77777777">
      <w:pPr>
        <w:pStyle w:val="Heading1"/>
        <w:rPr>
          <w:rFonts w:ascii="Verdana" w:hAnsi="Verdana"/>
          <w:sz w:val="20"/>
          <w:szCs w:val="24"/>
          <w:lang w:val="nl-NL"/>
        </w:rPr>
      </w:pPr>
      <w:r w:rsidRPr="00E31DEA">
        <w:rPr>
          <w:rFonts w:ascii="Verdana" w:hAnsi="Verdana"/>
          <w:sz w:val="20"/>
          <w:szCs w:val="24"/>
          <w:lang w:val="nl-NL"/>
        </w:rPr>
        <w:t>Internationale samenwerking</w:t>
      </w:r>
    </w:p>
    <w:p w:rsidRPr="00DA321D" w:rsidR="00636CDE" w:rsidP="00636CDE" w:rsidRDefault="00636CDE" w14:paraId="2BE1E985" w14:textId="77777777">
      <w:pPr>
        <w:rPr>
          <w:lang w:val="nl-NL"/>
        </w:rPr>
      </w:pPr>
      <w:r w:rsidRPr="00DA321D">
        <w:rPr>
          <w:lang w:val="nl-NL"/>
        </w:rPr>
        <w:t xml:space="preserve">Het kabinet zet in op het verder uitbouwen van de internationale afstemming en samenwerking. Immers, de kwaliteit van het ecosysteem en het zeemilieu in de delen van de Noordzee die onder verschillende nationaliteiten vallen, staan niet los van elkaar. </w:t>
      </w:r>
      <w:r>
        <w:rPr>
          <w:lang w:val="nl-NL"/>
        </w:rPr>
        <w:t xml:space="preserve">Het gebruik van de Noordzee is ook in hoge mate grensoverschrijdend. Beleid en regelgeving is sterk internationaal ingebed. </w:t>
      </w:r>
      <w:r w:rsidRPr="00DA321D">
        <w:rPr>
          <w:lang w:val="nl-NL"/>
        </w:rPr>
        <w:t xml:space="preserve">De KRM verplicht daarom de lidstaten tot een regionale aanpak. Ook in OSPAR-verband krijgen de internationale samenwerking en gecoördineerde aanpak van de mariene strategie meer gewicht. De internationale afstemming en samenwerking tussen de landen binnen OSPAR op </w:t>
      </w:r>
      <w:r>
        <w:rPr>
          <w:lang w:val="nl-NL"/>
        </w:rPr>
        <w:t xml:space="preserve">het </w:t>
      </w:r>
      <w:r w:rsidRPr="00DA321D">
        <w:rPr>
          <w:lang w:val="nl-NL"/>
        </w:rPr>
        <w:t xml:space="preserve">gebied van maatregelen voor de verschillende KRM-descriptoren tot nu toe, is begin 2016 vastgelegd in het ’OSPAR Joint Documentation on Coordination of Measures (MSFD)’. </w:t>
      </w:r>
    </w:p>
    <w:p w:rsidRPr="00E31DEA" w:rsidR="00636CDE" w:rsidP="00636CDE" w:rsidRDefault="00636CDE" w14:paraId="288ABFF4" w14:textId="77777777">
      <w:pPr>
        <w:pStyle w:val="Heading1"/>
        <w:rPr>
          <w:rFonts w:ascii="Verdana" w:hAnsi="Verdana"/>
          <w:sz w:val="20"/>
          <w:szCs w:val="24"/>
          <w:lang w:val="nl-NL"/>
        </w:rPr>
      </w:pPr>
      <w:r w:rsidRPr="00E31DEA">
        <w:rPr>
          <w:rFonts w:ascii="Verdana" w:hAnsi="Verdana"/>
          <w:sz w:val="20"/>
          <w:szCs w:val="24"/>
          <w:lang w:val="nl-NL"/>
        </w:rPr>
        <w:t>Continueren bestaande maatregelen</w:t>
      </w:r>
    </w:p>
    <w:p w:rsidR="00636CDE" w:rsidP="00636CDE" w:rsidRDefault="00636CDE" w14:paraId="097BA2F1" w14:textId="77777777">
      <w:pPr>
        <w:rPr>
          <w:lang w:val="nl-NL"/>
        </w:rPr>
      </w:pPr>
      <w:r>
        <w:rPr>
          <w:lang w:val="nl-NL"/>
        </w:rPr>
        <w:t xml:space="preserve">In het voorgaande programma van maatregelen (2015) zijn maatregelen opgenomen die vanuit ander beleidskaders zijn vastgesteld. Dit zijn </w:t>
      </w:r>
      <w:r w:rsidRPr="00BF49F8">
        <w:rPr>
          <w:lang w:val="nl-NL"/>
        </w:rPr>
        <w:t>maatregelen die</w:t>
      </w:r>
      <w:r>
        <w:rPr>
          <w:lang w:val="nl-NL"/>
        </w:rPr>
        <w:t xml:space="preserve"> </w:t>
      </w:r>
      <w:r w:rsidRPr="00BF49F8">
        <w:rPr>
          <w:lang w:val="nl-NL"/>
        </w:rPr>
        <w:t xml:space="preserve">al eerder tot stand zijn gekomen onder EU-regelgeving of onder andere internationale </w:t>
      </w:r>
      <w:r>
        <w:rPr>
          <w:lang w:val="nl-NL"/>
        </w:rPr>
        <w:t>o</w:t>
      </w:r>
      <w:r w:rsidRPr="00BF49F8">
        <w:rPr>
          <w:lang w:val="nl-NL"/>
        </w:rPr>
        <w:t>vereenkomsten, zoals in het verband van OSPAR, IMO of de internationale rivierencommissies.</w:t>
      </w:r>
      <w:r>
        <w:rPr>
          <w:lang w:val="nl-NL"/>
        </w:rPr>
        <w:t xml:space="preserve"> Daarnaast zijn aanvullende maatregelen vastgesteld die van belang zijn voor het realiseren en behouden van een goede milieutoestand. Al deze maatregelen worden in dit programma van maatregelen gecontinueerd en vormen de basis waarop verder gebouwd wordt.</w:t>
      </w:r>
    </w:p>
    <w:p w:rsidRPr="00E31DEA" w:rsidR="00636CDE" w:rsidP="00636CDE" w:rsidRDefault="00636CDE" w14:paraId="7DBF9D3A" w14:textId="77777777">
      <w:pPr>
        <w:pStyle w:val="Heading1"/>
        <w:rPr>
          <w:rFonts w:ascii="Verdana" w:hAnsi="Verdana"/>
          <w:sz w:val="20"/>
          <w:szCs w:val="24"/>
          <w:lang w:val="nl-NL"/>
        </w:rPr>
      </w:pPr>
      <w:r w:rsidRPr="00E31DEA">
        <w:rPr>
          <w:rFonts w:ascii="Verdana" w:hAnsi="Verdana"/>
          <w:sz w:val="20"/>
          <w:szCs w:val="24"/>
          <w:lang w:val="nl-NL"/>
        </w:rPr>
        <w:t>Beleidsopgave</w:t>
      </w:r>
    </w:p>
    <w:p w:rsidRPr="004F7A93" w:rsidR="00636CDE" w:rsidP="00636CDE" w:rsidRDefault="00636CDE" w14:paraId="53A31429" w14:textId="356441A3">
      <w:pPr>
        <w:rPr>
          <w:lang w:val="nl-NL"/>
        </w:rPr>
      </w:pPr>
      <w:r>
        <w:rPr>
          <w:lang w:val="nl-NL"/>
        </w:rPr>
        <w:t>Ondanks de uitvoering van de maatregelen uit het voorgaande programma van maatregelen (2015), concludeert de Mariene Strategie deel 1 (2018) dat er nog een opgave is voor d</w:t>
      </w:r>
      <w:r w:rsidRPr="0025433F">
        <w:rPr>
          <w:lang w:val="nl-NL"/>
        </w:rPr>
        <w:t>e descriptoren biodiversiteit, zeebodemintegriteit, zwerfvuil en onderwatergeluid</w:t>
      </w:r>
      <w:r>
        <w:rPr>
          <w:lang w:val="nl-NL"/>
        </w:rPr>
        <w:t>. A</w:t>
      </w:r>
      <w:r w:rsidRPr="0025433F">
        <w:rPr>
          <w:lang w:val="nl-NL"/>
        </w:rPr>
        <w:t xml:space="preserve">anvullende maatregen </w:t>
      </w:r>
      <w:r>
        <w:rPr>
          <w:lang w:val="nl-NL"/>
        </w:rPr>
        <w:t xml:space="preserve">zijn </w:t>
      </w:r>
      <w:r w:rsidRPr="0025433F">
        <w:rPr>
          <w:lang w:val="nl-NL"/>
        </w:rPr>
        <w:t xml:space="preserve">nodig </w:t>
      </w:r>
      <w:r>
        <w:rPr>
          <w:lang w:val="nl-NL"/>
        </w:rPr>
        <w:t>om de goede milieutoestand te behalen</w:t>
      </w:r>
      <w:r w:rsidRPr="0025433F">
        <w:rPr>
          <w:lang w:val="nl-NL"/>
        </w:rPr>
        <w:t xml:space="preserve">. Voor de descriptoren </w:t>
      </w:r>
      <w:r>
        <w:rPr>
          <w:lang w:val="nl-NL"/>
        </w:rPr>
        <w:t xml:space="preserve">niet-inheemse soorten, hydrografische eigenschappen en vervuilende stoffen in vis </w:t>
      </w:r>
      <w:r w:rsidRPr="0025433F">
        <w:rPr>
          <w:lang w:val="nl-NL"/>
        </w:rPr>
        <w:t>geldt dat de goede milieutoestand al is gerealiseerd</w:t>
      </w:r>
      <w:r>
        <w:rPr>
          <w:lang w:val="nl-NL"/>
        </w:rPr>
        <w:t xml:space="preserve">. Voor de descriptor </w:t>
      </w:r>
      <w:r w:rsidRPr="0025433F">
        <w:rPr>
          <w:lang w:val="nl-NL"/>
        </w:rPr>
        <w:t>commerciële vis, schaal- en schelpdieren</w:t>
      </w:r>
      <w:r>
        <w:rPr>
          <w:lang w:val="nl-NL"/>
        </w:rPr>
        <w:t xml:space="preserve"> voldoet h</w:t>
      </w:r>
      <w:r w:rsidRPr="0025433F">
        <w:rPr>
          <w:lang w:val="nl-NL"/>
        </w:rPr>
        <w:t>et bestaande beleid om in de komende jaren de goede milieutoestand te realiseren</w:t>
      </w:r>
      <w:r>
        <w:rPr>
          <w:lang w:val="nl-NL"/>
        </w:rPr>
        <w:t>. De uitvoering van bestaand beleid</w:t>
      </w:r>
      <w:r w:rsidRPr="00B30C48">
        <w:rPr>
          <w:lang w:val="nl-NL"/>
        </w:rPr>
        <w:t xml:space="preserve"> geeft de maximale inzet die </w:t>
      </w:r>
      <w:r>
        <w:rPr>
          <w:lang w:val="nl-NL"/>
        </w:rPr>
        <w:t xml:space="preserve">vanuit Nederland </w:t>
      </w:r>
      <w:r w:rsidRPr="00B30C48">
        <w:rPr>
          <w:lang w:val="nl-NL"/>
        </w:rPr>
        <w:t xml:space="preserve">mogelijk is om, gezamenlijk met andere landen, voor de descriptor eutrofiering </w:t>
      </w:r>
      <w:r>
        <w:rPr>
          <w:lang w:val="nl-NL"/>
        </w:rPr>
        <w:t xml:space="preserve">en vervuilende stoffen </w:t>
      </w:r>
      <w:r w:rsidRPr="00B30C48">
        <w:rPr>
          <w:lang w:val="nl-NL"/>
        </w:rPr>
        <w:t>de goede milieutoestand te bereiken, zowel met betrekking tot maatregelen op land (</w:t>
      </w:r>
      <w:r>
        <w:rPr>
          <w:lang w:val="nl-NL"/>
        </w:rPr>
        <w:t xml:space="preserve">zoals </w:t>
      </w:r>
      <w:r w:rsidRPr="00B30C48">
        <w:rPr>
          <w:lang w:val="nl-NL"/>
        </w:rPr>
        <w:t xml:space="preserve">uitvoering KRW) als op zee. Er worden </w:t>
      </w:r>
      <w:r>
        <w:rPr>
          <w:lang w:val="nl-NL"/>
        </w:rPr>
        <w:t xml:space="preserve">daarom </w:t>
      </w:r>
      <w:r w:rsidRPr="00B30C48">
        <w:rPr>
          <w:lang w:val="nl-NL"/>
        </w:rPr>
        <w:t>geen (aanvullende) technische maatregelen getroffen die aanwezigheid van eutrofi</w:t>
      </w:r>
      <w:r w:rsidR="00FC5BD0">
        <w:rPr>
          <w:lang w:val="nl-NL"/>
        </w:rPr>
        <w:t>ë</w:t>
      </w:r>
      <w:r w:rsidRPr="00B30C48">
        <w:rPr>
          <w:lang w:val="nl-NL"/>
        </w:rPr>
        <w:t>rende</w:t>
      </w:r>
      <w:r>
        <w:rPr>
          <w:lang w:val="nl-NL"/>
        </w:rPr>
        <w:t xml:space="preserve"> en vervuilende</w:t>
      </w:r>
      <w:r w:rsidRPr="00B30C48">
        <w:rPr>
          <w:lang w:val="nl-NL"/>
        </w:rPr>
        <w:t xml:space="preserve"> stoffen in het Nederlandse deel van de Noordzee teniet kunnen doen</w:t>
      </w:r>
      <w:r>
        <w:rPr>
          <w:lang w:val="nl-NL"/>
        </w:rPr>
        <w:t xml:space="preserve">. De descriptor voedselwebben geldt als een resultante van de andere descriptoren met als consequentie dat alle maatregelen en opgaven beschreven onder die descriptoren ook in het teken staan van het bereiken van de goede milieutoestand voor voedselwebben. </w:t>
      </w:r>
    </w:p>
    <w:p w:rsidRPr="00E31DEA" w:rsidR="00636CDE" w:rsidP="00636CDE" w:rsidRDefault="00636CDE" w14:paraId="4883D5AF" w14:textId="77777777">
      <w:pPr>
        <w:pStyle w:val="Heading1"/>
        <w:rPr>
          <w:rFonts w:ascii="Verdana" w:hAnsi="Verdana"/>
          <w:sz w:val="20"/>
          <w:szCs w:val="24"/>
          <w:lang w:val="nl-NL"/>
        </w:rPr>
      </w:pPr>
      <w:r w:rsidRPr="00E31DEA">
        <w:rPr>
          <w:rFonts w:ascii="Verdana" w:hAnsi="Verdana"/>
          <w:sz w:val="20"/>
          <w:szCs w:val="24"/>
          <w:lang w:val="nl-NL"/>
        </w:rPr>
        <w:t>Aanvullende maatregelen</w:t>
      </w:r>
    </w:p>
    <w:p w:rsidR="00636CDE" w:rsidP="00636CDE" w:rsidRDefault="00636CDE" w14:paraId="1224A3B9" w14:textId="5C1C095E">
      <w:pPr>
        <w:rPr>
          <w:lang w:val="nl-NL"/>
        </w:rPr>
      </w:pPr>
      <w:r>
        <w:rPr>
          <w:lang w:val="nl-NL"/>
        </w:rPr>
        <w:t xml:space="preserve">Om de goede milieutoestand te behalen voor descriptoren biodiversiteit, zeebodemintegriteit, zwerfvuil en </w:t>
      </w:r>
      <w:r w:rsidR="00FC5BD0">
        <w:rPr>
          <w:lang w:val="nl-NL"/>
        </w:rPr>
        <w:t xml:space="preserve">toevoer van energie, waaronder </w:t>
      </w:r>
      <w:r>
        <w:rPr>
          <w:lang w:val="nl-NL"/>
        </w:rPr>
        <w:t>onderwatergeluid</w:t>
      </w:r>
      <w:r w:rsidR="00321B66">
        <w:rPr>
          <w:lang w:val="nl-NL"/>
        </w:rPr>
        <w:t>,</w:t>
      </w:r>
      <w:r>
        <w:rPr>
          <w:lang w:val="nl-NL"/>
        </w:rPr>
        <w:t xml:space="preserve"> zijn naast de al bestaande maatregelen aanvullende maatregelen nodig</w:t>
      </w:r>
      <w:r w:rsidRPr="00AB1DFB">
        <w:rPr>
          <w:lang w:val="nl-NL"/>
        </w:rPr>
        <w:t>.</w:t>
      </w:r>
      <w:r>
        <w:rPr>
          <w:lang w:val="nl-NL"/>
        </w:rPr>
        <w:t xml:space="preserve"> </w:t>
      </w:r>
      <w:r w:rsidRPr="00AB1DFB">
        <w:rPr>
          <w:lang w:val="nl-NL"/>
        </w:rPr>
        <w:t>Hieronder volgt een beknopt overzicht</w:t>
      </w:r>
      <w:r>
        <w:rPr>
          <w:lang w:val="nl-NL"/>
        </w:rPr>
        <w:t xml:space="preserve"> van deze aanvullende maatregelen</w:t>
      </w:r>
      <w:r w:rsidRPr="00AB1DFB">
        <w:rPr>
          <w:lang w:val="nl-NL"/>
        </w:rPr>
        <w:t>.</w:t>
      </w:r>
    </w:p>
    <w:p w:rsidR="00636CDE" w:rsidP="00636CDE" w:rsidRDefault="00636CDE" w14:paraId="060404C1" w14:textId="77777777">
      <w:pPr>
        <w:pStyle w:val="Heading4"/>
        <w:rPr>
          <w:lang w:val="nl-NL"/>
        </w:rPr>
      </w:pPr>
      <w:r>
        <w:rPr>
          <w:lang w:val="nl-NL"/>
        </w:rPr>
        <w:t>Biodiversiteit en integriteit zeebodem</w:t>
      </w:r>
    </w:p>
    <w:p w:rsidRPr="00E91D37" w:rsidR="00636CDE" w:rsidP="00636CDE" w:rsidRDefault="00636CDE" w14:paraId="044775AD" w14:textId="77777777">
      <w:pPr>
        <w:pStyle w:val="NoSpacing"/>
        <w:rPr>
          <w:i/>
          <w:lang w:val="nl-NL"/>
        </w:rPr>
      </w:pPr>
      <w:r w:rsidRPr="00E91D37">
        <w:rPr>
          <w:i/>
          <w:lang w:val="nl-NL"/>
        </w:rPr>
        <w:t>Gebiedsbescherming</w:t>
      </w:r>
    </w:p>
    <w:p w:rsidR="00636CDE" w:rsidP="00636CDE" w:rsidRDefault="00636CDE" w14:paraId="755A975A" w14:textId="77777777">
      <w:pPr>
        <w:rPr>
          <w:lang w:val="nl-NL"/>
        </w:rPr>
      </w:pPr>
      <w:r w:rsidRPr="00C62B25">
        <w:rPr>
          <w:lang w:val="nl-NL"/>
        </w:rPr>
        <w:t>De ontwikkeling van een ecologisch netwerk van beschermde gebieden is een van de belangrijkste instrumenten om het ecosysteem in de Noordzee in stand te houden en te herstellen. In het Nederlandse deel van de Noordzee wordt een samenhangend en representatief netwerk van beschermde mariene gebieden gerealiseerd, waarbij de diversiteit van de samenstellende ecosystemen adequaat is gedekt.</w:t>
      </w:r>
      <w:r>
        <w:rPr>
          <w:lang w:val="nl-NL"/>
        </w:rPr>
        <w:t xml:space="preserve"> </w:t>
      </w:r>
      <w:r w:rsidRPr="00C62B25">
        <w:rPr>
          <w:lang w:val="nl-NL"/>
        </w:rPr>
        <w:t>In het Noordzeeakkoord zijn onder meer de volgende afspraken over gebiedsmaatregelen gemaakt:</w:t>
      </w:r>
    </w:p>
    <w:p w:rsidR="00636CDE" w:rsidP="00636CDE" w:rsidRDefault="00636CDE" w14:paraId="4847BD05" w14:textId="77777777">
      <w:pPr>
        <w:pStyle w:val="ListParagraph"/>
        <w:numPr>
          <w:ilvl w:val="0"/>
          <w:numId w:val="24"/>
        </w:numPr>
        <w:rPr>
          <w:lang w:val="nl-NL"/>
        </w:rPr>
      </w:pPr>
      <w:r w:rsidRPr="0099036B">
        <w:rPr>
          <w:lang w:val="nl-NL"/>
        </w:rPr>
        <w:t>De bestaande afspraken over aanwijzing en bescherming van natuurgebieden op zee worden uitgevoerd en gehandhaafd.</w:t>
      </w:r>
    </w:p>
    <w:p w:rsidRPr="00C62B25" w:rsidR="00636CDE" w:rsidP="00636CDE" w:rsidRDefault="00636CDE" w14:paraId="4D1E210B" w14:textId="77777777">
      <w:pPr>
        <w:pStyle w:val="ListParagraph"/>
        <w:numPr>
          <w:ilvl w:val="0"/>
          <w:numId w:val="24"/>
        </w:numPr>
        <w:rPr>
          <w:lang w:val="nl-NL"/>
        </w:rPr>
      </w:pPr>
      <w:r w:rsidRPr="00C62B25">
        <w:rPr>
          <w:szCs w:val="18"/>
          <w:lang w:val="nl-NL"/>
        </w:rPr>
        <w:t xml:space="preserve">In 2023 is in de Nederlandse Noordzee 13,7 procent van de ecologisch waardevolle gebieden volledig gevrijwaard van bodemberoering door visserij. Dit percentage loopt op naar 15 procent in 2030. Binnen dit areaal zal een gebied ter grootte van 2,8 procent van de Noordzee worden gesloten voor alle vormen van visserij. </w:t>
      </w:r>
    </w:p>
    <w:p w:rsidRPr="00B82EBD" w:rsidR="00636CDE" w:rsidP="00636CDE" w:rsidRDefault="00636CDE" w14:paraId="70365064" w14:textId="353926C1">
      <w:pPr>
        <w:pStyle w:val="ListParagraph"/>
        <w:numPr>
          <w:ilvl w:val="0"/>
          <w:numId w:val="24"/>
        </w:numPr>
        <w:rPr>
          <w:lang w:val="nl-NL"/>
        </w:rPr>
      </w:pPr>
      <w:r>
        <w:rPr>
          <w:szCs w:val="18"/>
          <w:lang w:val="nl-NL"/>
        </w:rPr>
        <w:t xml:space="preserve">Uitbreiding van het </w:t>
      </w:r>
      <w:r w:rsidR="00814CC0">
        <w:rPr>
          <w:szCs w:val="18"/>
          <w:lang w:val="nl-NL"/>
        </w:rPr>
        <w:t xml:space="preserve">voor bodemberoerende visserij gesloten </w:t>
      </w:r>
      <w:r>
        <w:rPr>
          <w:szCs w:val="18"/>
          <w:lang w:val="nl-NL"/>
        </w:rPr>
        <w:t xml:space="preserve">gebied op </w:t>
      </w:r>
      <w:r w:rsidRPr="00025F9D">
        <w:rPr>
          <w:szCs w:val="18"/>
          <w:highlight w:val="green"/>
          <w:lang w:val="nl-NL"/>
        </w:rPr>
        <w:t>de</w:t>
      </w:r>
      <w:r w:rsidRPr="00025F9D" w:rsidR="006D4863">
        <w:rPr>
          <w:szCs w:val="18"/>
          <w:highlight w:val="green"/>
          <w:lang w:val="nl-NL"/>
        </w:rPr>
        <w:t xml:space="preserve"> Zuidelijke</w:t>
      </w:r>
      <w:r w:rsidRPr="00025F9D">
        <w:rPr>
          <w:szCs w:val="18"/>
          <w:highlight w:val="green"/>
          <w:lang w:val="nl-NL"/>
        </w:rPr>
        <w:t xml:space="preserve"> </w:t>
      </w:r>
      <w:r>
        <w:rPr>
          <w:szCs w:val="18"/>
          <w:lang w:val="nl-NL"/>
        </w:rPr>
        <w:t>Doggersbank</w:t>
      </w:r>
      <w:r w:rsidRPr="0057150A">
        <w:rPr>
          <w:szCs w:val="18"/>
          <w:lang w:val="nl-NL"/>
        </w:rPr>
        <w:t xml:space="preserve"> </w:t>
      </w:r>
      <w:r w:rsidRPr="00793FEA">
        <w:rPr>
          <w:szCs w:val="18"/>
          <w:lang w:val="nl-NL"/>
        </w:rPr>
        <w:t xml:space="preserve">met </w:t>
      </w:r>
      <w:r w:rsidRPr="00025F9D" w:rsidR="005D16E2">
        <w:rPr>
          <w:szCs w:val="18"/>
          <w:highlight w:val="green"/>
          <w:lang w:val="nl-NL"/>
        </w:rPr>
        <w:t xml:space="preserve">ca. </w:t>
      </w:r>
      <w:r w:rsidRPr="00025F9D">
        <w:rPr>
          <w:szCs w:val="18"/>
          <w:highlight w:val="green"/>
          <w:lang w:val="nl-NL"/>
        </w:rPr>
        <w:t>5</w:t>
      </w:r>
      <w:r w:rsidRPr="00025F9D" w:rsidR="00365495">
        <w:rPr>
          <w:szCs w:val="18"/>
          <w:highlight w:val="green"/>
          <w:lang w:val="nl-NL"/>
        </w:rPr>
        <w:t>30</w:t>
      </w:r>
      <w:r w:rsidRPr="00793FEA">
        <w:rPr>
          <w:szCs w:val="18"/>
          <w:lang w:val="nl-NL"/>
        </w:rPr>
        <w:t xml:space="preserve"> km</w:t>
      </w:r>
      <w:r w:rsidRPr="00AF1E71">
        <w:rPr>
          <w:szCs w:val="18"/>
          <w:vertAlign w:val="superscript"/>
          <w:lang w:val="nl-NL"/>
        </w:rPr>
        <w:t>2</w:t>
      </w:r>
      <w:r w:rsidRPr="00793FEA">
        <w:rPr>
          <w:szCs w:val="18"/>
          <w:lang w:val="nl-NL"/>
        </w:rPr>
        <w:t xml:space="preserve">. </w:t>
      </w:r>
      <w:r>
        <w:rPr>
          <w:szCs w:val="18"/>
          <w:lang w:val="nl-NL"/>
        </w:rPr>
        <w:t xml:space="preserve">Verbod op flyshoot in de managementzones van de Doggersbank. Vergroting van </w:t>
      </w:r>
      <w:r w:rsidRPr="000759E4">
        <w:rPr>
          <w:szCs w:val="18"/>
          <w:lang w:val="nl-NL"/>
        </w:rPr>
        <w:t>de managementzones op de Klaverbank</w:t>
      </w:r>
      <w:r>
        <w:rPr>
          <w:szCs w:val="18"/>
          <w:lang w:val="nl-NL"/>
        </w:rPr>
        <w:t xml:space="preserve">, waardoor </w:t>
      </w:r>
      <w:r w:rsidRPr="000759E4">
        <w:rPr>
          <w:szCs w:val="18"/>
          <w:lang w:val="nl-NL"/>
        </w:rPr>
        <w:t xml:space="preserve">een aanvullend gedeelte van </w:t>
      </w:r>
      <w:r w:rsidRPr="00025F9D" w:rsidR="005D16E2">
        <w:rPr>
          <w:szCs w:val="18"/>
          <w:highlight w:val="green"/>
          <w:lang w:val="nl-NL"/>
        </w:rPr>
        <w:t>ca.</w:t>
      </w:r>
      <w:r w:rsidR="005D16E2">
        <w:rPr>
          <w:szCs w:val="18"/>
          <w:lang w:val="nl-NL"/>
        </w:rPr>
        <w:t xml:space="preserve"> </w:t>
      </w:r>
      <w:r w:rsidRPr="000759E4">
        <w:rPr>
          <w:szCs w:val="18"/>
          <w:lang w:val="nl-NL"/>
        </w:rPr>
        <w:t>552 km</w:t>
      </w:r>
      <w:r w:rsidRPr="009B0B95">
        <w:rPr>
          <w:szCs w:val="18"/>
          <w:vertAlign w:val="superscript"/>
          <w:lang w:val="nl-NL"/>
        </w:rPr>
        <w:t>2</w:t>
      </w:r>
      <w:r w:rsidRPr="000759E4">
        <w:rPr>
          <w:szCs w:val="18"/>
          <w:lang w:val="nl-NL"/>
        </w:rPr>
        <w:t xml:space="preserve"> </w:t>
      </w:r>
      <w:r>
        <w:rPr>
          <w:szCs w:val="18"/>
          <w:lang w:val="nl-NL"/>
        </w:rPr>
        <w:t>gesloten</w:t>
      </w:r>
      <w:r w:rsidRPr="000759E4">
        <w:rPr>
          <w:szCs w:val="18"/>
          <w:lang w:val="nl-NL"/>
        </w:rPr>
        <w:t xml:space="preserve"> </w:t>
      </w:r>
      <w:r>
        <w:rPr>
          <w:szCs w:val="18"/>
          <w:lang w:val="nl-NL"/>
        </w:rPr>
        <w:t xml:space="preserve">zal zijn </w:t>
      </w:r>
      <w:r w:rsidRPr="000759E4">
        <w:rPr>
          <w:szCs w:val="18"/>
          <w:lang w:val="nl-NL"/>
        </w:rPr>
        <w:t xml:space="preserve">voor </w:t>
      </w:r>
      <w:r>
        <w:rPr>
          <w:szCs w:val="18"/>
          <w:lang w:val="nl-NL"/>
        </w:rPr>
        <w:t xml:space="preserve">alle vormen van </w:t>
      </w:r>
      <w:r w:rsidRPr="000759E4">
        <w:rPr>
          <w:szCs w:val="18"/>
          <w:lang w:val="nl-NL"/>
        </w:rPr>
        <w:t xml:space="preserve">bodemberoerende visserij. </w:t>
      </w:r>
    </w:p>
    <w:p w:rsidRPr="00E504F2" w:rsidR="00636CDE" w:rsidP="00636CDE" w:rsidRDefault="00636CDE" w14:paraId="043F280F" w14:textId="57342DF6">
      <w:pPr>
        <w:pStyle w:val="ListParagraph"/>
        <w:numPr>
          <w:ilvl w:val="0"/>
          <w:numId w:val="24"/>
        </w:numPr>
        <w:rPr>
          <w:lang w:val="nl-NL"/>
        </w:rPr>
      </w:pPr>
      <w:r>
        <w:rPr>
          <w:szCs w:val="18"/>
          <w:lang w:val="nl-NL"/>
        </w:rPr>
        <w:t>D</w:t>
      </w:r>
      <w:r w:rsidRPr="00793FEA">
        <w:rPr>
          <w:szCs w:val="18"/>
          <w:lang w:val="nl-NL"/>
        </w:rPr>
        <w:t>e KRM</w:t>
      </w:r>
      <w:r>
        <w:rPr>
          <w:szCs w:val="18"/>
          <w:lang w:val="nl-NL"/>
        </w:rPr>
        <w:t>-</w:t>
      </w:r>
      <w:r w:rsidRPr="00793FEA">
        <w:rPr>
          <w:szCs w:val="18"/>
          <w:lang w:val="nl-NL"/>
        </w:rPr>
        <w:t xml:space="preserve">gebieden </w:t>
      </w:r>
      <w:r w:rsidRPr="007F1D75">
        <w:rPr>
          <w:szCs w:val="18"/>
          <w:lang w:val="nl-NL"/>
        </w:rPr>
        <w:t xml:space="preserve">Centrale Oestergronden </w:t>
      </w:r>
      <w:r>
        <w:rPr>
          <w:szCs w:val="18"/>
          <w:lang w:val="nl-NL"/>
        </w:rPr>
        <w:t xml:space="preserve">en </w:t>
      </w:r>
      <w:r w:rsidRPr="00793FEA">
        <w:rPr>
          <w:szCs w:val="18"/>
          <w:lang w:val="nl-NL"/>
        </w:rPr>
        <w:t xml:space="preserve">Friese Front </w:t>
      </w:r>
      <w:r>
        <w:rPr>
          <w:szCs w:val="18"/>
          <w:lang w:val="nl-NL"/>
        </w:rPr>
        <w:t xml:space="preserve">worden </w:t>
      </w:r>
      <w:r w:rsidRPr="00793FEA">
        <w:rPr>
          <w:szCs w:val="18"/>
          <w:lang w:val="nl-NL"/>
        </w:rPr>
        <w:t xml:space="preserve">vergroot </w:t>
      </w:r>
      <w:r>
        <w:rPr>
          <w:szCs w:val="18"/>
          <w:lang w:val="nl-NL"/>
        </w:rPr>
        <w:t xml:space="preserve">met respectievelijk </w:t>
      </w:r>
      <w:r w:rsidRPr="00025F9D" w:rsidR="005D16E2">
        <w:rPr>
          <w:szCs w:val="18"/>
          <w:highlight w:val="green"/>
          <w:lang w:val="nl-NL"/>
        </w:rPr>
        <w:t>ca.</w:t>
      </w:r>
      <w:r w:rsidR="005D16E2">
        <w:rPr>
          <w:szCs w:val="18"/>
          <w:lang w:val="nl-NL"/>
        </w:rPr>
        <w:t xml:space="preserve"> </w:t>
      </w:r>
      <w:r w:rsidRPr="000759E4">
        <w:rPr>
          <w:szCs w:val="18"/>
          <w:lang w:val="nl-NL"/>
        </w:rPr>
        <w:t>1062 km</w:t>
      </w:r>
      <w:r w:rsidRPr="00AF1E71">
        <w:rPr>
          <w:szCs w:val="18"/>
          <w:vertAlign w:val="superscript"/>
          <w:lang w:val="nl-NL"/>
        </w:rPr>
        <w:t>2</w:t>
      </w:r>
      <w:r w:rsidRPr="000759E4">
        <w:rPr>
          <w:szCs w:val="18"/>
          <w:lang w:val="nl-NL"/>
        </w:rPr>
        <w:t xml:space="preserve"> </w:t>
      </w:r>
      <w:r>
        <w:rPr>
          <w:szCs w:val="18"/>
          <w:lang w:val="nl-NL"/>
        </w:rPr>
        <w:t>en</w:t>
      </w:r>
      <w:r w:rsidRPr="000759E4">
        <w:rPr>
          <w:szCs w:val="18"/>
          <w:lang w:val="nl-NL"/>
        </w:rPr>
        <w:t xml:space="preserve"> </w:t>
      </w:r>
      <w:r w:rsidRPr="00025F9D" w:rsidR="00AA134D">
        <w:rPr>
          <w:szCs w:val="18"/>
          <w:highlight w:val="green"/>
          <w:lang w:val="nl-NL"/>
        </w:rPr>
        <w:t>ca.</w:t>
      </w:r>
      <w:r w:rsidRPr="000759E4">
        <w:rPr>
          <w:szCs w:val="18"/>
          <w:lang w:val="nl-NL"/>
        </w:rPr>
        <w:t>1014 km</w:t>
      </w:r>
      <w:r w:rsidRPr="00AF1E71">
        <w:rPr>
          <w:szCs w:val="18"/>
          <w:vertAlign w:val="superscript"/>
          <w:lang w:val="nl-NL"/>
        </w:rPr>
        <w:t>2</w:t>
      </w:r>
      <w:r w:rsidRPr="00025F9D" w:rsidR="00365495">
        <w:rPr>
          <w:szCs w:val="18"/>
          <w:highlight w:val="green"/>
          <w:lang w:val="nl-NL"/>
        </w:rPr>
        <w:t>, waardoor de totale oppervlakten neerkomen op respectievelijk ca. 2063 km</w:t>
      </w:r>
      <w:r w:rsidRPr="00025F9D" w:rsidR="00365495">
        <w:rPr>
          <w:szCs w:val="18"/>
          <w:highlight w:val="green"/>
          <w:vertAlign w:val="superscript"/>
          <w:lang w:val="nl-NL"/>
        </w:rPr>
        <w:t>2</w:t>
      </w:r>
      <w:r w:rsidRPr="00025F9D" w:rsidR="00365495">
        <w:rPr>
          <w:szCs w:val="18"/>
          <w:highlight w:val="green"/>
          <w:lang w:val="nl-NL"/>
        </w:rPr>
        <w:t xml:space="preserve"> en</w:t>
      </w:r>
      <w:r w:rsidRPr="00025F9D" w:rsidR="00AA134D">
        <w:rPr>
          <w:szCs w:val="18"/>
          <w:highlight w:val="green"/>
          <w:lang w:val="nl-NL"/>
        </w:rPr>
        <w:t xml:space="preserve"> ca.</w:t>
      </w:r>
      <w:r w:rsidRPr="00025F9D" w:rsidR="00365495">
        <w:rPr>
          <w:szCs w:val="18"/>
          <w:highlight w:val="green"/>
          <w:lang w:val="nl-NL"/>
        </w:rPr>
        <w:t xml:space="preserve"> 2016 km</w:t>
      </w:r>
      <w:r w:rsidRPr="00025F9D" w:rsidR="00365495">
        <w:rPr>
          <w:szCs w:val="18"/>
          <w:highlight w:val="green"/>
          <w:vertAlign w:val="superscript"/>
          <w:lang w:val="nl-NL"/>
        </w:rPr>
        <w:t>2</w:t>
      </w:r>
      <w:r w:rsidRPr="00025F9D">
        <w:rPr>
          <w:szCs w:val="18"/>
          <w:highlight w:val="green"/>
          <w:lang w:val="nl-NL"/>
        </w:rPr>
        <w:t>.</w:t>
      </w:r>
      <w:r>
        <w:rPr>
          <w:szCs w:val="18"/>
          <w:lang w:val="nl-NL"/>
        </w:rPr>
        <w:t xml:space="preserve"> </w:t>
      </w:r>
      <w:r w:rsidR="00814CC0">
        <w:rPr>
          <w:szCs w:val="18"/>
          <w:lang w:val="nl-NL"/>
        </w:rPr>
        <w:t>H</w:t>
      </w:r>
      <w:r>
        <w:rPr>
          <w:szCs w:val="18"/>
          <w:lang w:val="nl-NL"/>
        </w:rPr>
        <w:t xml:space="preserve">et </w:t>
      </w:r>
      <w:r w:rsidRPr="000759E4">
        <w:rPr>
          <w:szCs w:val="18"/>
          <w:lang w:val="nl-NL"/>
        </w:rPr>
        <w:t xml:space="preserve">deel </w:t>
      </w:r>
      <w:r>
        <w:rPr>
          <w:szCs w:val="18"/>
          <w:lang w:val="nl-NL"/>
        </w:rPr>
        <w:t xml:space="preserve">dat overlapt met het VR-gebied Friese Front, </w:t>
      </w:r>
      <w:r w:rsidR="00814CC0">
        <w:rPr>
          <w:szCs w:val="18"/>
          <w:lang w:val="nl-NL"/>
        </w:rPr>
        <w:t>wordt gevrijwaard van</w:t>
      </w:r>
      <w:r w:rsidRPr="000759E4">
        <w:rPr>
          <w:szCs w:val="18"/>
          <w:lang w:val="nl-NL"/>
        </w:rPr>
        <w:t xml:space="preserve"> alle vormen van visserij</w:t>
      </w:r>
      <w:r>
        <w:rPr>
          <w:szCs w:val="18"/>
          <w:lang w:val="nl-NL"/>
        </w:rPr>
        <w:t xml:space="preserve">. Dit deel wordt vergroot tot </w:t>
      </w:r>
      <w:r w:rsidRPr="00025F9D" w:rsidR="005D16E2">
        <w:rPr>
          <w:szCs w:val="18"/>
          <w:highlight w:val="green"/>
          <w:lang w:val="nl-NL"/>
        </w:rPr>
        <w:t>ca.</w:t>
      </w:r>
      <w:r w:rsidR="005D16E2">
        <w:rPr>
          <w:szCs w:val="18"/>
          <w:lang w:val="nl-NL"/>
        </w:rPr>
        <w:t xml:space="preserve"> </w:t>
      </w:r>
      <w:r w:rsidRPr="000759E4">
        <w:rPr>
          <w:szCs w:val="18"/>
          <w:lang w:val="nl-NL"/>
        </w:rPr>
        <w:t>1649 km</w:t>
      </w:r>
      <w:r w:rsidRPr="00AF1E71">
        <w:rPr>
          <w:szCs w:val="18"/>
          <w:vertAlign w:val="superscript"/>
          <w:lang w:val="nl-NL"/>
        </w:rPr>
        <w:t>2</w:t>
      </w:r>
      <w:r w:rsidRPr="000759E4">
        <w:rPr>
          <w:szCs w:val="18"/>
          <w:lang w:val="nl-NL"/>
        </w:rPr>
        <w:t>.</w:t>
      </w:r>
      <w:r>
        <w:rPr>
          <w:szCs w:val="18"/>
          <w:lang w:val="nl-NL"/>
        </w:rPr>
        <w:t xml:space="preserve"> </w:t>
      </w:r>
    </w:p>
    <w:p w:rsidRPr="00025F9D" w:rsidR="00636CDE" w:rsidP="00636CDE" w:rsidRDefault="00636CDE" w14:paraId="19FF3CC8" w14:textId="49B52B15">
      <w:pPr>
        <w:pStyle w:val="ListParagraph"/>
        <w:numPr>
          <w:ilvl w:val="0"/>
          <w:numId w:val="24"/>
        </w:numPr>
        <w:rPr>
          <w:highlight w:val="green"/>
          <w:lang w:val="nl-NL"/>
        </w:rPr>
      </w:pPr>
      <w:r>
        <w:rPr>
          <w:szCs w:val="18"/>
          <w:lang w:val="nl-NL"/>
        </w:rPr>
        <w:t>Het</w:t>
      </w:r>
      <w:r w:rsidRPr="000759E4">
        <w:rPr>
          <w:szCs w:val="18"/>
          <w:lang w:val="nl-NL"/>
        </w:rPr>
        <w:t xml:space="preserve"> nieuw</w:t>
      </w:r>
      <w:r>
        <w:rPr>
          <w:szCs w:val="18"/>
          <w:lang w:val="nl-NL"/>
        </w:rPr>
        <w:t>e</w:t>
      </w:r>
      <w:r w:rsidRPr="000759E4">
        <w:rPr>
          <w:szCs w:val="18"/>
          <w:lang w:val="nl-NL"/>
        </w:rPr>
        <w:t xml:space="preserve"> </w:t>
      </w:r>
      <w:r>
        <w:rPr>
          <w:szCs w:val="18"/>
          <w:lang w:val="nl-NL"/>
        </w:rPr>
        <w:t>bodembeschermings</w:t>
      </w:r>
      <w:r w:rsidRPr="000759E4">
        <w:rPr>
          <w:szCs w:val="18"/>
          <w:lang w:val="nl-NL"/>
        </w:rPr>
        <w:t xml:space="preserve">gebied </w:t>
      </w:r>
      <w:r w:rsidRPr="007F1D75">
        <w:rPr>
          <w:szCs w:val="18"/>
          <w:lang w:val="nl-NL"/>
        </w:rPr>
        <w:t xml:space="preserve">Borkumse Stenen </w:t>
      </w:r>
      <w:r>
        <w:rPr>
          <w:szCs w:val="18"/>
          <w:lang w:val="nl-NL"/>
        </w:rPr>
        <w:t xml:space="preserve">heeft een oppervlakte van </w:t>
      </w:r>
      <w:r w:rsidRPr="00025F9D" w:rsidR="005D16E2">
        <w:rPr>
          <w:szCs w:val="18"/>
          <w:highlight w:val="green"/>
          <w:lang w:val="nl-NL"/>
        </w:rPr>
        <w:t xml:space="preserve">ca. </w:t>
      </w:r>
      <w:r w:rsidRPr="00025F9D">
        <w:rPr>
          <w:szCs w:val="18"/>
          <w:highlight w:val="green"/>
          <w:lang w:val="nl-NL"/>
        </w:rPr>
        <w:t>6</w:t>
      </w:r>
      <w:r w:rsidRPr="00025F9D" w:rsidR="00AF7B20">
        <w:rPr>
          <w:szCs w:val="18"/>
          <w:highlight w:val="green"/>
          <w:lang w:val="nl-NL"/>
        </w:rPr>
        <w:t>8</w:t>
      </w:r>
      <w:r w:rsidRPr="00025F9D" w:rsidR="007D48BE">
        <w:rPr>
          <w:szCs w:val="18"/>
          <w:highlight w:val="green"/>
          <w:lang w:val="nl-NL"/>
        </w:rPr>
        <w:t>2</w:t>
      </w:r>
      <w:r w:rsidRPr="00025F9D">
        <w:rPr>
          <w:szCs w:val="18"/>
          <w:highlight w:val="green"/>
          <w:lang w:val="nl-NL"/>
        </w:rPr>
        <w:t xml:space="preserve"> km</w:t>
      </w:r>
      <w:r w:rsidRPr="00025F9D">
        <w:rPr>
          <w:szCs w:val="18"/>
          <w:highlight w:val="green"/>
          <w:vertAlign w:val="superscript"/>
          <w:lang w:val="nl-NL"/>
        </w:rPr>
        <w:t>2</w:t>
      </w:r>
      <w:r w:rsidRPr="00025F9D">
        <w:rPr>
          <w:szCs w:val="18"/>
          <w:highlight w:val="green"/>
          <w:lang w:val="nl-NL"/>
        </w:rPr>
        <w:t xml:space="preserve">. </w:t>
      </w:r>
    </w:p>
    <w:p w:rsidRPr="005B382F" w:rsidR="005B382F" w:rsidP="005B382F" w:rsidRDefault="008806F0" w14:paraId="65B9FAA0" w14:textId="6E501B75">
      <w:pPr>
        <w:pStyle w:val="ListParagraph"/>
        <w:numPr>
          <w:ilvl w:val="0"/>
          <w:numId w:val="24"/>
        </w:numPr>
        <w:rPr>
          <w:lang w:val="nl-NL"/>
        </w:rPr>
      </w:pPr>
      <w:r>
        <w:rPr>
          <w:color w:val="000000"/>
          <w:szCs w:val="18"/>
          <w:lang w:val="nl-NL"/>
        </w:rPr>
        <w:t>A</w:t>
      </w:r>
      <w:r w:rsidRPr="00A34A46">
        <w:rPr>
          <w:color w:val="000000"/>
          <w:szCs w:val="18"/>
          <w:lang w:val="nl-NL"/>
        </w:rPr>
        <w:t xml:space="preserve">anwijzen van </w:t>
      </w:r>
      <w:r w:rsidRPr="009709FC">
        <w:rPr>
          <w:color w:val="000000"/>
          <w:szCs w:val="18"/>
          <w:lang w:val="nl-NL"/>
        </w:rPr>
        <w:t>een</w:t>
      </w:r>
      <w:r w:rsidRPr="00A34A46">
        <w:rPr>
          <w:color w:val="000000"/>
          <w:szCs w:val="18"/>
          <w:lang w:val="nl-NL"/>
        </w:rPr>
        <w:t xml:space="preserve"> gebied</w:t>
      </w:r>
      <w:r>
        <w:rPr>
          <w:color w:val="000000"/>
          <w:szCs w:val="18"/>
          <w:lang w:val="nl-NL"/>
        </w:rPr>
        <w:t xml:space="preserve"> voor oesterherstel</w:t>
      </w:r>
      <w:r w:rsidR="009709FC">
        <w:rPr>
          <w:color w:val="000000"/>
          <w:szCs w:val="18"/>
          <w:lang w:val="nl-NL"/>
        </w:rPr>
        <w:t xml:space="preserve"> </w:t>
      </w:r>
      <w:r w:rsidRPr="00A34A46">
        <w:rPr>
          <w:color w:val="000000"/>
          <w:szCs w:val="18"/>
          <w:lang w:val="nl-NL"/>
        </w:rPr>
        <w:t xml:space="preserve">ter grootte van </w:t>
      </w:r>
      <w:r w:rsidRPr="00025F9D" w:rsidR="005D16E2">
        <w:rPr>
          <w:color w:val="000000"/>
          <w:szCs w:val="18"/>
          <w:highlight w:val="green"/>
          <w:lang w:val="nl-NL"/>
        </w:rPr>
        <w:t>ca.</w:t>
      </w:r>
      <w:r w:rsidR="005D16E2">
        <w:rPr>
          <w:color w:val="000000"/>
          <w:szCs w:val="18"/>
          <w:lang w:val="nl-NL"/>
        </w:rPr>
        <w:t xml:space="preserve"> </w:t>
      </w:r>
      <w:r w:rsidRPr="00A34A46">
        <w:rPr>
          <w:color w:val="000000"/>
          <w:szCs w:val="18"/>
          <w:lang w:val="nl-NL"/>
        </w:rPr>
        <w:t>100</w:t>
      </w:r>
      <w:r>
        <w:rPr>
          <w:color w:val="000000"/>
          <w:szCs w:val="18"/>
          <w:lang w:val="nl-NL"/>
        </w:rPr>
        <w:t xml:space="preserve"> </w:t>
      </w:r>
      <w:r w:rsidRPr="00A34A46">
        <w:rPr>
          <w:color w:val="000000"/>
          <w:szCs w:val="18"/>
          <w:lang w:val="nl-NL"/>
        </w:rPr>
        <w:t>km</w:t>
      </w:r>
      <w:r w:rsidRPr="00F4696F">
        <w:rPr>
          <w:color w:val="000000"/>
          <w:szCs w:val="18"/>
          <w:vertAlign w:val="superscript"/>
          <w:lang w:val="nl-NL"/>
        </w:rPr>
        <w:t>2</w:t>
      </w:r>
      <w:r w:rsidRPr="00A34A46">
        <w:rPr>
          <w:color w:val="000000"/>
          <w:szCs w:val="18"/>
          <w:lang w:val="nl-NL"/>
        </w:rPr>
        <w:t xml:space="preserve"> binnen de no fishery zone op het Friese Front</w:t>
      </w:r>
      <w:r>
        <w:rPr>
          <w:color w:val="000000"/>
          <w:szCs w:val="18"/>
          <w:lang w:val="nl-NL"/>
        </w:rPr>
        <w:t>.</w:t>
      </w:r>
      <w:r w:rsidR="00B15FB8">
        <w:rPr>
          <w:rStyle w:val="FootnoteReference"/>
          <w:color w:val="000000"/>
          <w:szCs w:val="18"/>
          <w:lang w:val="nl-NL"/>
        </w:rPr>
        <w:footnoteReference w:id="2"/>
      </w:r>
    </w:p>
    <w:p w:rsidRPr="00E91D37" w:rsidR="00636CDE" w:rsidP="00636CDE" w:rsidRDefault="00636CDE" w14:paraId="0D320571" w14:textId="77777777">
      <w:pPr>
        <w:pStyle w:val="ListParagraph"/>
        <w:numPr>
          <w:ilvl w:val="0"/>
          <w:numId w:val="24"/>
        </w:numPr>
        <w:rPr>
          <w:iCs/>
          <w:szCs w:val="18"/>
          <w:lang w:val="nl-NL"/>
        </w:rPr>
      </w:pPr>
      <w:r w:rsidRPr="00E91D37">
        <w:rPr>
          <w:iCs/>
          <w:szCs w:val="18"/>
          <w:lang w:val="nl-NL"/>
        </w:rPr>
        <w:t>Aanvullende gebiedsmaatregelen voor vogels uit het N</w:t>
      </w:r>
      <w:r>
        <w:rPr>
          <w:iCs/>
          <w:szCs w:val="18"/>
          <w:lang w:val="nl-NL"/>
        </w:rPr>
        <w:t>oordzeeakkoord</w:t>
      </w:r>
      <w:r w:rsidRPr="00E91D37">
        <w:rPr>
          <w:iCs/>
          <w:szCs w:val="18"/>
          <w:lang w:val="nl-NL"/>
        </w:rPr>
        <w:t xml:space="preserve"> zijn:</w:t>
      </w:r>
    </w:p>
    <w:p w:rsidR="00636CDE" w:rsidP="00636CDE" w:rsidRDefault="00636CDE" w14:paraId="348EC11F" w14:textId="474406BD">
      <w:pPr>
        <w:pStyle w:val="ListParagraph"/>
        <w:numPr>
          <w:ilvl w:val="1"/>
          <w:numId w:val="24"/>
        </w:numPr>
        <w:rPr>
          <w:iCs/>
          <w:szCs w:val="18"/>
          <w:lang w:val="nl-NL"/>
        </w:rPr>
      </w:pPr>
      <w:r w:rsidRPr="00E91D37">
        <w:rPr>
          <w:iCs/>
          <w:szCs w:val="18"/>
          <w:lang w:val="nl-NL"/>
        </w:rPr>
        <w:t xml:space="preserve">De Bruine Bank </w:t>
      </w:r>
      <w:r w:rsidR="00F859D2">
        <w:rPr>
          <w:iCs/>
          <w:szCs w:val="18"/>
          <w:lang w:val="nl-NL"/>
        </w:rPr>
        <w:t>is in 2021</w:t>
      </w:r>
      <w:r w:rsidRPr="00E91D37" w:rsidR="00F859D2">
        <w:rPr>
          <w:iCs/>
          <w:szCs w:val="18"/>
          <w:lang w:val="nl-NL"/>
        </w:rPr>
        <w:t xml:space="preserve"> </w:t>
      </w:r>
      <w:r w:rsidRPr="00E91D37">
        <w:rPr>
          <w:iCs/>
          <w:szCs w:val="18"/>
          <w:lang w:val="nl-NL"/>
        </w:rPr>
        <w:t>aangewezen als Natura 2000-gebied onder de Vogelrichtlijn.</w:t>
      </w:r>
    </w:p>
    <w:p w:rsidRPr="00E91D37" w:rsidR="00636CDE" w:rsidP="00636CDE" w:rsidRDefault="00636CDE" w14:paraId="3693B23B" w14:textId="77777777">
      <w:pPr>
        <w:pStyle w:val="ListParagraph"/>
        <w:numPr>
          <w:ilvl w:val="1"/>
          <w:numId w:val="24"/>
        </w:numPr>
        <w:rPr>
          <w:iCs/>
          <w:szCs w:val="18"/>
          <w:lang w:val="nl-NL"/>
        </w:rPr>
      </w:pPr>
      <w:r w:rsidRPr="00E91D37">
        <w:rPr>
          <w:iCs/>
          <w:szCs w:val="18"/>
          <w:lang w:val="nl-NL"/>
        </w:rPr>
        <w:t>Voor 2025 wordt onafhankelijk onderzoek uitgevoerd om vast te stellen of de Hollandse Kust, Vlakte van de Raan, Borkumse Stenen, Klaverbank, Doggersbank en Centrale Oestergronden voldoen aan de selectiecriteria voor aanwijzing als Vogelrichtlijngebied. Gebieden die aan deze selectiecriteria voldoen, worden vervolgens zo spoedig mogelijk aangewezen.</w:t>
      </w:r>
    </w:p>
    <w:p w:rsidRPr="00494A9A" w:rsidR="00636CDE" w:rsidP="00636CDE" w:rsidRDefault="00636CDE" w14:paraId="1CD0A74E" w14:textId="06AE2213">
      <w:pPr>
        <w:rPr>
          <w:lang w:val="nl-NL"/>
        </w:rPr>
      </w:pPr>
      <w:r>
        <w:rPr>
          <w:lang w:val="nl-NL"/>
        </w:rPr>
        <w:t>Aanvullend op de afspraken uit het Noordzeeakkoord word</w:t>
      </w:r>
      <w:r w:rsidR="00696B0D">
        <w:rPr>
          <w:lang w:val="nl-NL"/>
        </w:rPr>
        <w:t>t de gebiedsbescherming in het Natura2000 gebied ‘Noordzeekustzone’</w:t>
      </w:r>
      <w:r w:rsidR="00377210">
        <w:rPr>
          <w:lang w:val="nl-NL"/>
        </w:rPr>
        <w:t xml:space="preserve"> gewijzigd.</w:t>
      </w:r>
      <w:r w:rsidR="00696B0D">
        <w:rPr>
          <w:lang w:val="nl-NL"/>
        </w:rPr>
        <w:t xml:space="preserve"> </w:t>
      </w:r>
      <w:r w:rsidR="00B31B7E">
        <w:rPr>
          <w:lang w:val="nl-NL"/>
        </w:rPr>
        <w:t>De</w:t>
      </w:r>
      <w:r w:rsidR="00377210">
        <w:rPr>
          <w:lang w:val="nl-NL"/>
        </w:rPr>
        <w:t xml:space="preserve"> gebieden waar al </w:t>
      </w:r>
      <w:r w:rsidR="00B31B7E">
        <w:rPr>
          <w:lang w:val="nl-NL"/>
        </w:rPr>
        <w:t xml:space="preserve">een </w:t>
      </w:r>
      <w:r w:rsidR="00377210">
        <w:rPr>
          <w:lang w:val="nl-NL"/>
        </w:rPr>
        <w:t xml:space="preserve">bestaand </w:t>
      </w:r>
      <w:r w:rsidRPr="00494A9A">
        <w:rPr>
          <w:lang w:val="nl-NL"/>
        </w:rPr>
        <w:t>verbod op bodemberoerende visserij geldt en de gebieden waarop een algeheel verbod op visserij van toepassing is, worden gewijzigd</w:t>
      </w:r>
      <w:r w:rsidR="00B31B7E">
        <w:rPr>
          <w:lang w:val="nl-NL"/>
        </w:rPr>
        <w:t>, conform de afspraken in de Stuurgroep VIBEG</w:t>
      </w:r>
      <w:r w:rsidRPr="00494A9A">
        <w:rPr>
          <w:lang w:val="nl-NL"/>
        </w:rPr>
        <w:t xml:space="preserve">. </w:t>
      </w:r>
      <w:r w:rsidRPr="00F25438" w:rsidR="00F837E6">
        <w:rPr>
          <w:highlight w:val="red"/>
          <w:lang w:val="nl-NL"/>
        </w:rPr>
        <w:t>De instandhoudingsmaatregelen in deze gebieden worden doorgevoerd via de artikel 11-procedure uit het Gemeenschappelijk Visserijbeleid.</w:t>
      </w:r>
    </w:p>
    <w:p w:rsidRPr="00E91D37" w:rsidR="00636CDE" w:rsidP="00636CDE" w:rsidRDefault="00636CDE" w14:paraId="135702CC" w14:textId="77777777">
      <w:pPr>
        <w:pStyle w:val="NoSpacing"/>
        <w:rPr>
          <w:i/>
          <w:lang w:val="nl-NL"/>
        </w:rPr>
      </w:pPr>
      <w:r w:rsidRPr="00E91D37">
        <w:rPr>
          <w:i/>
          <w:lang w:val="nl-NL"/>
        </w:rPr>
        <w:t>Soortenbescherming</w:t>
      </w:r>
    </w:p>
    <w:p w:rsidRPr="00E91D37" w:rsidR="00636CDE" w:rsidP="00636CDE" w:rsidRDefault="00636CDE" w14:paraId="0FA0CBD5" w14:textId="77777777">
      <w:pPr>
        <w:pStyle w:val="ListParagraph"/>
        <w:numPr>
          <w:ilvl w:val="0"/>
          <w:numId w:val="88"/>
        </w:numPr>
        <w:rPr>
          <w:rFonts w:cs="Verdana"/>
          <w:color w:val="000000"/>
          <w:szCs w:val="18"/>
          <w:lang w:val="nl-NL"/>
        </w:rPr>
      </w:pPr>
      <w:r w:rsidRPr="00E91D37">
        <w:rPr>
          <w:rFonts w:cs="Verdana"/>
          <w:color w:val="000000"/>
          <w:szCs w:val="18"/>
          <w:lang w:val="nl-NL"/>
        </w:rPr>
        <w:t>Behalve gebiedsbescherming is meer generieke soortenbescherming van belang voor langlevende en kwetsbare soorten, zoals zeevogels, zeezoogdieren en bepaalde haaien- en roggensoorten. De volgende afspraken in het N</w:t>
      </w:r>
      <w:r>
        <w:rPr>
          <w:rFonts w:cs="Verdana"/>
          <w:color w:val="000000"/>
          <w:szCs w:val="18"/>
          <w:lang w:val="nl-NL"/>
        </w:rPr>
        <w:t>oordzeeakkoord</w:t>
      </w:r>
      <w:r w:rsidRPr="00E91D37">
        <w:rPr>
          <w:rFonts w:cs="Verdana"/>
          <w:color w:val="000000"/>
          <w:szCs w:val="18"/>
          <w:lang w:val="nl-NL"/>
        </w:rPr>
        <w:t xml:space="preserve"> zijn gericht op intensivering van meer generieke soortenbescherming:</w:t>
      </w:r>
    </w:p>
    <w:p w:rsidRPr="00E91D37" w:rsidR="00636CDE" w:rsidP="00636CDE" w:rsidRDefault="00636CDE" w14:paraId="03BA55E4" w14:textId="77777777">
      <w:pPr>
        <w:pStyle w:val="ListParagraph"/>
        <w:numPr>
          <w:ilvl w:val="1"/>
          <w:numId w:val="24"/>
        </w:numPr>
        <w:rPr>
          <w:iCs/>
          <w:szCs w:val="18"/>
          <w:lang w:val="nl-NL"/>
        </w:rPr>
      </w:pPr>
      <w:r w:rsidRPr="00E91D37">
        <w:rPr>
          <w:iCs/>
          <w:szCs w:val="18"/>
          <w:lang w:val="nl-NL"/>
        </w:rPr>
        <w:t xml:space="preserve">Bestaande actie- en soortenbeschermingsplannen worden uitgevoerd. De voortgang van de implementatie van de plannen wordt tweejaarlijks geëvalueerd. </w:t>
      </w:r>
    </w:p>
    <w:p w:rsidR="00636CDE" w:rsidP="00636CDE" w:rsidRDefault="00636CDE" w14:paraId="295D26F9" w14:textId="77777777">
      <w:pPr>
        <w:pStyle w:val="ListParagraph"/>
        <w:numPr>
          <w:ilvl w:val="1"/>
          <w:numId w:val="24"/>
        </w:numPr>
        <w:rPr>
          <w:iCs/>
          <w:szCs w:val="18"/>
          <w:lang w:val="nl-NL"/>
        </w:rPr>
      </w:pPr>
      <w:r w:rsidRPr="00E91D37">
        <w:rPr>
          <w:iCs/>
          <w:szCs w:val="18"/>
          <w:lang w:val="nl-NL"/>
        </w:rPr>
        <w:t xml:space="preserve">Voor kwetsbare soorten, waaronder vogels, zeezoogdieren, vissen en bodemdieren die worden geïdentificeerd op basis van internationale richtlijnen en het Kader Ecologie en Cumulatie (KEC), worden soortenbeschermingsplannen ontwikkeld en uitgevoerd. Deze plannen zullen drukfactoren en generieke beschermingsmaatregelen beschrijven. De implementatie van de plannen wordt tweejaarlijks geëvalueerd. </w:t>
      </w:r>
    </w:p>
    <w:p w:rsidR="00636CDE" w:rsidP="00636CDE" w:rsidRDefault="00636CDE" w14:paraId="2BB8F1B7" w14:textId="77777777">
      <w:pPr>
        <w:pStyle w:val="ListParagraph"/>
        <w:numPr>
          <w:ilvl w:val="0"/>
          <w:numId w:val="24"/>
        </w:numPr>
        <w:rPr>
          <w:iCs/>
          <w:szCs w:val="18"/>
          <w:lang w:val="nl-NL"/>
        </w:rPr>
      </w:pPr>
      <w:r>
        <w:rPr>
          <w:iCs/>
          <w:szCs w:val="18"/>
          <w:lang w:val="nl-NL"/>
        </w:rPr>
        <w:t xml:space="preserve">Zeezoogdieren: </w:t>
      </w:r>
      <w:r w:rsidRPr="00E91D37">
        <w:rPr>
          <w:iCs/>
          <w:szCs w:val="18"/>
          <w:lang w:val="nl-NL"/>
        </w:rPr>
        <w:t>In 2020 is het Bruinvisbeschermingsplan geactualiseerd. Dit plan heeft als doel bij te dragen aan de gunstige staat van instandhouding van de bruinvis. Acties opgenomen in dit plan worden in deze planperiode uitgevoerd.</w:t>
      </w:r>
      <w:r>
        <w:rPr>
          <w:iCs/>
          <w:szCs w:val="18"/>
          <w:lang w:val="nl-NL"/>
        </w:rPr>
        <w:t xml:space="preserve"> </w:t>
      </w:r>
      <w:r w:rsidRPr="00E91D37">
        <w:rPr>
          <w:iCs/>
          <w:szCs w:val="18"/>
          <w:lang w:val="nl-NL"/>
        </w:rPr>
        <w:t>Voor zeehonden wordt, in het kader van het Zeehondenakkoord (2020), gewerkt aan verbeterde strandingenregistratie.</w:t>
      </w:r>
    </w:p>
    <w:p w:rsidR="00636CDE" w:rsidP="00636CDE" w:rsidRDefault="00636CDE" w14:paraId="487635FC" w14:textId="21C93352">
      <w:pPr>
        <w:pStyle w:val="ListParagraph"/>
        <w:numPr>
          <w:ilvl w:val="0"/>
          <w:numId w:val="24"/>
        </w:numPr>
        <w:rPr>
          <w:iCs/>
          <w:szCs w:val="18"/>
          <w:lang w:val="nl-NL"/>
        </w:rPr>
      </w:pPr>
      <w:r w:rsidRPr="00E91D37">
        <w:rPr>
          <w:iCs/>
          <w:szCs w:val="18"/>
          <w:lang w:val="nl-NL"/>
        </w:rPr>
        <w:t>Vissen en inktvissen</w:t>
      </w:r>
      <w:r>
        <w:rPr>
          <w:iCs/>
          <w:szCs w:val="18"/>
          <w:lang w:val="nl-NL"/>
        </w:rPr>
        <w:t xml:space="preserve">: </w:t>
      </w:r>
      <w:r w:rsidRPr="00E91D37">
        <w:rPr>
          <w:iCs/>
          <w:szCs w:val="18"/>
          <w:lang w:val="nl-NL"/>
        </w:rPr>
        <w:t>Het KRM-h</w:t>
      </w:r>
      <w:r>
        <w:rPr>
          <w:iCs/>
          <w:szCs w:val="18"/>
          <w:lang w:val="nl-NL"/>
        </w:rPr>
        <w:t xml:space="preserve">aaienactieplan </w:t>
      </w:r>
      <w:r w:rsidR="0003243F">
        <w:rPr>
          <w:iCs/>
          <w:szCs w:val="18"/>
          <w:lang w:val="nl-NL"/>
        </w:rPr>
        <w:t>is</w:t>
      </w:r>
      <w:r w:rsidRPr="00E91D37" w:rsidR="0003243F">
        <w:rPr>
          <w:iCs/>
          <w:szCs w:val="18"/>
          <w:lang w:val="nl-NL"/>
        </w:rPr>
        <w:t xml:space="preserve"> </w:t>
      </w:r>
      <w:r w:rsidRPr="00E91D37">
        <w:rPr>
          <w:iCs/>
          <w:szCs w:val="18"/>
          <w:lang w:val="nl-NL"/>
        </w:rPr>
        <w:t>in 2021 geëvalueerd</w:t>
      </w:r>
      <w:r>
        <w:rPr>
          <w:iCs/>
          <w:szCs w:val="18"/>
          <w:lang w:val="nl-NL"/>
        </w:rPr>
        <w:t xml:space="preserve"> en krijgt een ver</w:t>
      </w:r>
      <w:r w:rsidRPr="00E91D37">
        <w:rPr>
          <w:iCs/>
          <w:szCs w:val="18"/>
          <w:lang w:val="nl-NL"/>
        </w:rPr>
        <w:t>volg voor een nieuwe periode van zes jaar.</w:t>
      </w:r>
    </w:p>
    <w:p w:rsidR="00716068" w:rsidP="00636CDE" w:rsidRDefault="00716068" w14:paraId="042CA501" w14:textId="3FC2CEE3">
      <w:pPr>
        <w:pStyle w:val="ListParagraph"/>
        <w:numPr>
          <w:ilvl w:val="0"/>
          <w:numId w:val="24"/>
        </w:numPr>
        <w:rPr>
          <w:iCs/>
          <w:szCs w:val="18"/>
          <w:lang w:val="nl-NL"/>
        </w:rPr>
      </w:pPr>
      <w:r w:rsidRPr="00CC7C16">
        <w:rPr>
          <w:lang w:val="nl-NL" w:eastAsia="nl-NL"/>
        </w:rPr>
        <w:t xml:space="preserve">Er </w:t>
      </w:r>
      <w:r>
        <w:rPr>
          <w:lang w:val="nl-NL" w:eastAsia="nl-NL"/>
        </w:rPr>
        <w:t xml:space="preserve">wordt </w:t>
      </w:r>
      <w:r w:rsidRPr="00CC7C16">
        <w:rPr>
          <w:lang w:val="nl-NL" w:eastAsia="nl-NL"/>
        </w:rPr>
        <w:t>vanaf 2020 onafhankelijk wetenschappelijk onderzoek uitgevoerd naar de aanwezigheid en verspreiding van zandkokerwormriffen. Als dat onderzoek tot toepasbare conclusies leidt, kunnen relevante locaties beschermd worden via ruimtelijke beschermingsmaatregelen onder de Habitatrichtlijn of de Kaderrichtlijn Mariene Strategie.</w:t>
      </w:r>
    </w:p>
    <w:p w:rsidRPr="00036487" w:rsidR="00636CDE" w:rsidP="00636CDE" w:rsidRDefault="00636CDE" w14:paraId="0CF99B29" w14:textId="77777777">
      <w:pPr>
        <w:pStyle w:val="NoSpacing"/>
        <w:rPr>
          <w:i/>
          <w:lang w:val="nl-NL"/>
        </w:rPr>
      </w:pPr>
      <w:r w:rsidRPr="00036487">
        <w:rPr>
          <w:i/>
          <w:lang w:val="nl-NL"/>
        </w:rPr>
        <w:t>Integrale natuurversterking</w:t>
      </w:r>
    </w:p>
    <w:p w:rsidRPr="00FF2F23" w:rsidR="00F97FC2" w:rsidP="00FF2F23" w:rsidRDefault="00BD6202" w14:paraId="68E5A282" w14:textId="300A57D8">
      <w:pPr>
        <w:rPr>
          <w:lang w:val="nl-NL"/>
        </w:rPr>
      </w:pPr>
      <w:r w:rsidRPr="00C6220E">
        <w:rPr>
          <w:lang w:val="nl-NL"/>
        </w:rPr>
        <w:t>Bij het ontwikkelen van activiteiten op zee kunnen – in aanvulling op de wettelijk verplichte mitigatiemaatregelen – zo vroeg mogelijk in de ontwerpfase en planprocessen voorschriften, maatregelen en acties worden benoemd, die bijdragen aan de versterking en het herstel van het ecosysteem. Zo hebben bijvoorbeeld windparken de potentie om bij te dragen aan natuurversterking. Vanwege het ontbreken van concrete natuurversterkingsmaatregelen, zal onderzocht worden welke aanvullende maatregelen een bijdrage kunnen leveren aan natuurherstel aanvullend op gebiedsbescherming.</w:t>
      </w:r>
    </w:p>
    <w:p w:rsidR="00636CDE" w:rsidP="00636CDE" w:rsidRDefault="00636CDE" w14:paraId="77888DFA" w14:textId="77777777">
      <w:pPr>
        <w:pStyle w:val="Heading4"/>
        <w:rPr>
          <w:lang w:val="nl-NL"/>
        </w:rPr>
      </w:pPr>
      <w:r>
        <w:rPr>
          <w:lang w:val="nl-NL"/>
        </w:rPr>
        <w:t>Zwerfvuil</w:t>
      </w:r>
    </w:p>
    <w:p w:rsidR="00636CDE" w:rsidP="00636CDE" w:rsidRDefault="00636CDE" w14:paraId="1AF1A10F" w14:textId="77777777">
      <w:pPr>
        <w:rPr>
          <w:lang w:val="nl-NL"/>
        </w:rPr>
      </w:pPr>
      <w:r>
        <w:rPr>
          <w:lang w:val="nl-NL"/>
        </w:rPr>
        <w:t xml:space="preserve">De aanpak van zwerfvuil is </w:t>
      </w:r>
      <w:r w:rsidRPr="00BA62B5">
        <w:rPr>
          <w:lang w:val="nl-NL"/>
        </w:rPr>
        <w:t>zes clusters onderverdeeld: educatie en bewustwording, stranden, stroomgebieden</w:t>
      </w:r>
      <w:r>
        <w:rPr>
          <w:lang w:val="nl-NL"/>
        </w:rPr>
        <w:t xml:space="preserve"> van rivieren</w:t>
      </w:r>
      <w:r w:rsidRPr="00BA62B5">
        <w:rPr>
          <w:lang w:val="nl-NL"/>
        </w:rPr>
        <w:t>, scheepvaart, visserij, en kunststofproducten.</w:t>
      </w:r>
      <w:r>
        <w:rPr>
          <w:lang w:val="nl-NL"/>
        </w:rPr>
        <w:t xml:space="preserve"> </w:t>
      </w:r>
      <w:r w:rsidRPr="00036487">
        <w:rPr>
          <w:lang w:val="nl-NL"/>
        </w:rPr>
        <w:t xml:space="preserve">Het programma van maatregelen presenteert een set </w:t>
      </w:r>
      <w:r>
        <w:rPr>
          <w:lang w:val="nl-NL"/>
        </w:rPr>
        <w:t xml:space="preserve">van aanvullende </w:t>
      </w:r>
      <w:r w:rsidRPr="00036487">
        <w:rPr>
          <w:lang w:val="nl-NL"/>
        </w:rPr>
        <w:t xml:space="preserve">maatregelen </w:t>
      </w:r>
      <w:r>
        <w:rPr>
          <w:lang w:val="nl-NL"/>
        </w:rPr>
        <w:t>binnen deze clusters.</w:t>
      </w:r>
    </w:p>
    <w:p w:rsidRPr="00036487" w:rsidR="00636CDE" w:rsidP="00636CDE" w:rsidRDefault="00636CDE" w14:paraId="49A014B5" w14:textId="77777777">
      <w:pPr>
        <w:pStyle w:val="NoSpacing"/>
        <w:rPr>
          <w:i/>
          <w:lang w:val="nl-NL"/>
        </w:rPr>
      </w:pPr>
      <w:r w:rsidRPr="00036487">
        <w:rPr>
          <w:i/>
          <w:lang w:val="nl-NL"/>
        </w:rPr>
        <w:t>Stranden</w:t>
      </w:r>
    </w:p>
    <w:p w:rsidR="00636CDE" w:rsidP="00636CDE" w:rsidRDefault="00636CDE" w14:paraId="29DA74D3" w14:textId="77777777">
      <w:pPr>
        <w:pStyle w:val="ListParagraph"/>
        <w:numPr>
          <w:ilvl w:val="0"/>
          <w:numId w:val="86"/>
        </w:numPr>
        <w:rPr>
          <w:lang w:val="nl-NL"/>
        </w:rPr>
      </w:pPr>
      <w:r>
        <w:rPr>
          <w:lang w:val="nl-NL"/>
        </w:rPr>
        <w:t xml:space="preserve">Programma Schone Stranden vervangt de </w:t>
      </w:r>
      <w:r w:rsidRPr="00BA62B5">
        <w:rPr>
          <w:i/>
          <w:iCs/>
          <w:lang w:val="nl-NL"/>
        </w:rPr>
        <w:t>Green Deal</w:t>
      </w:r>
      <w:r w:rsidRPr="00BA62B5">
        <w:rPr>
          <w:lang w:val="nl-NL"/>
        </w:rPr>
        <w:t xml:space="preserve"> Schone stranden. Dit programma richt zich op kennisuitwisseling, ondersteuning van samenwerkingsprojecten en verbetering van de lokale samenwerking tussen gemeenten en ondernemers.</w:t>
      </w:r>
    </w:p>
    <w:p w:rsidRPr="00C91364" w:rsidR="00636CDE" w:rsidP="00636CDE" w:rsidRDefault="00636CDE" w14:paraId="6F6CAE28" w14:textId="77777777">
      <w:pPr>
        <w:pStyle w:val="ListParagraph"/>
        <w:numPr>
          <w:ilvl w:val="0"/>
          <w:numId w:val="86"/>
        </w:numPr>
        <w:spacing w:line="240" w:lineRule="exact"/>
        <w:rPr>
          <w:lang w:val="nl-NL"/>
        </w:rPr>
      </w:pPr>
      <w:r w:rsidRPr="00AF1E71">
        <w:rPr>
          <w:iCs/>
          <w:lang w:val="nl-NL"/>
        </w:rPr>
        <w:t>Website</w:t>
      </w:r>
      <w:r>
        <w:rPr>
          <w:i/>
          <w:lang w:val="nl-NL"/>
        </w:rPr>
        <w:t xml:space="preserve"> </w:t>
      </w:r>
      <w:r w:rsidRPr="00AF1E71">
        <w:rPr>
          <w:iCs/>
          <w:lang w:val="nl-NL"/>
        </w:rPr>
        <w:t>en</w:t>
      </w:r>
      <w:r w:rsidRPr="00BE225C">
        <w:rPr>
          <w:i/>
          <w:lang w:val="nl-NL"/>
        </w:rPr>
        <w:t xml:space="preserve"> </w:t>
      </w:r>
      <w:r w:rsidRPr="00AF1E71">
        <w:rPr>
          <w:iCs/>
          <w:lang w:val="nl-NL"/>
        </w:rPr>
        <w:t>nieuwsbrief</w:t>
      </w:r>
      <w:r w:rsidRPr="005B5F0C">
        <w:rPr>
          <w:iCs/>
          <w:lang w:val="nl-NL"/>
        </w:rPr>
        <w:t xml:space="preserve"> </w:t>
      </w:r>
      <w:r w:rsidRPr="00C91364">
        <w:rPr>
          <w:lang w:val="nl-NL"/>
        </w:rPr>
        <w:t xml:space="preserve">vanuit KIMO </w:t>
      </w:r>
      <w:r>
        <w:rPr>
          <w:lang w:val="nl-NL"/>
        </w:rPr>
        <w:t>voor kennisoverdracht en</w:t>
      </w:r>
      <w:r w:rsidRPr="00C91364">
        <w:rPr>
          <w:lang w:val="nl-NL"/>
        </w:rPr>
        <w:t xml:space="preserve"> het informeren </w:t>
      </w:r>
      <w:r>
        <w:rPr>
          <w:lang w:val="nl-NL"/>
        </w:rPr>
        <w:t>van</w:t>
      </w:r>
      <w:r w:rsidRPr="00C91364">
        <w:rPr>
          <w:lang w:val="nl-NL"/>
        </w:rPr>
        <w:t xml:space="preserve"> </w:t>
      </w:r>
      <w:r>
        <w:rPr>
          <w:lang w:val="nl-NL"/>
        </w:rPr>
        <w:t>strandstakeholders</w:t>
      </w:r>
      <w:r w:rsidRPr="00C91364">
        <w:rPr>
          <w:lang w:val="nl-NL"/>
        </w:rPr>
        <w:t xml:space="preserve">. </w:t>
      </w:r>
    </w:p>
    <w:p w:rsidRPr="00C91364" w:rsidR="00636CDE" w:rsidP="00636CDE" w:rsidRDefault="00636CDE" w14:paraId="11798D2D" w14:textId="77777777">
      <w:pPr>
        <w:pStyle w:val="ListParagraph"/>
        <w:numPr>
          <w:ilvl w:val="0"/>
          <w:numId w:val="86"/>
        </w:numPr>
        <w:spacing w:line="240" w:lineRule="exact"/>
        <w:rPr>
          <w:lang w:val="nl-NL"/>
        </w:rPr>
      </w:pPr>
      <w:r w:rsidRPr="00AF1E71">
        <w:rPr>
          <w:iCs/>
          <w:lang w:val="nl-NL"/>
        </w:rPr>
        <w:t>Activiteitenmonitoring bij strandstakeholders</w:t>
      </w:r>
      <w:r w:rsidRPr="005B5F0C">
        <w:rPr>
          <w:iCs/>
          <w:lang w:val="nl-NL"/>
        </w:rPr>
        <w:t>.</w:t>
      </w:r>
      <w:r w:rsidRPr="00C91364">
        <w:rPr>
          <w:lang w:val="nl-NL"/>
        </w:rPr>
        <w:t xml:space="preserve"> De informatie wordt voor alle partijen toegankelijk gemaakt zodat kennisuitwisseling, afstemming en samenwerking makkelijker word</w:t>
      </w:r>
      <w:r>
        <w:rPr>
          <w:lang w:val="nl-NL"/>
        </w:rPr>
        <w:t>en</w:t>
      </w:r>
      <w:r w:rsidRPr="00C91364">
        <w:rPr>
          <w:lang w:val="nl-NL"/>
        </w:rPr>
        <w:t>.</w:t>
      </w:r>
    </w:p>
    <w:p w:rsidR="00636CDE" w:rsidP="00636CDE" w:rsidRDefault="00636CDE" w14:paraId="7AD03E9B" w14:textId="77777777">
      <w:pPr>
        <w:pStyle w:val="ListParagraph"/>
        <w:numPr>
          <w:ilvl w:val="0"/>
          <w:numId w:val="86"/>
        </w:numPr>
        <w:spacing w:line="240" w:lineRule="exact"/>
        <w:rPr>
          <w:lang w:val="nl-NL"/>
        </w:rPr>
      </w:pPr>
      <w:r w:rsidRPr="00AF1E71">
        <w:rPr>
          <w:iCs/>
          <w:lang w:val="nl-NL"/>
        </w:rPr>
        <w:t>Bijdrage</w:t>
      </w:r>
      <w:r>
        <w:rPr>
          <w:iCs/>
          <w:lang w:val="nl-NL"/>
        </w:rPr>
        <w:t>n</w:t>
      </w:r>
      <w:r w:rsidRPr="00AF1E71">
        <w:rPr>
          <w:iCs/>
          <w:lang w:val="nl-NL"/>
        </w:rPr>
        <w:t xml:space="preserve"> aan landelijke bijeenkomsten</w:t>
      </w:r>
      <w:r w:rsidRPr="00C91364">
        <w:rPr>
          <w:lang w:val="nl-NL"/>
        </w:rPr>
        <w:t xml:space="preserve"> over het strand ten behoeve van kennisuitwisseling en netwerkversterking.</w:t>
      </w:r>
    </w:p>
    <w:p w:rsidRPr="00036487" w:rsidR="00636CDE" w:rsidP="00636CDE" w:rsidRDefault="00636CDE" w14:paraId="3553CFEF" w14:textId="77777777">
      <w:pPr>
        <w:pStyle w:val="NoSpacing"/>
        <w:rPr>
          <w:i/>
          <w:lang w:val="nl-NL"/>
        </w:rPr>
      </w:pPr>
      <w:r w:rsidRPr="00036487">
        <w:rPr>
          <w:i/>
          <w:lang w:val="nl-NL"/>
        </w:rPr>
        <w:t>Stroomgebieden</w:t>
      </w:r>
      <w:r>
        <w:rPr>
          <w:i/>
          <w:lang w:val="nl-NL"/>
        </w:rPr>
        <w:t xml:space="preserve"> rivieren</w:t>
      </w:r>
    </w:p>
    <w:p w:rsidRPr="00045E89" w:rsidR="00636CDE" w:rsidP="00636CDE" w:rsidRDefault="00636CDE" w14:paraId="6082523E" w14:textId="77777777">
      <w:pPr>
        <w:pStyle w:val="ListParagraph"/>
        <w:numPr>
          <w:ilvl w:val="0"/>
          <w:numId w:val="86"/>
        </w:numPr>
        <w:spacing w:line="240" w:lineRule="exact"/>
        <w:rPr>
          <w:iCs/>
          <w:lang w:val="nl-NL"/>
        </w:rPr>
      </w:pPr>
      <w:r w:rsidRPr="00045E89">
        <w:rPr>
          <w:iCs/>
          <w:lang w:val="nl-NL"/>
        </w:rPr>
        <w:t>Continuering en uitbreiding van de samenwerkingsverbanden binnen (deel)stroomgebieden</w:t>
      </w:r>
      <w:r>
        <w:rPr>
          <w:iCs/>
          <w:lang w:val="nl-NL"/>
        </w:rPr>
        <w:t xml:space="preserve"> </w:t>
      </w:r>
      <w:r w:rsidRPr="00045E89">
        <w:rPr>
          <w:iCs/>
          <w:lang w:val="nl-NL"/>
        </w:rPr>
        <w:t>met als doel een structurele en brede aanpak van zwerfvuil (‘schoonmaken’ en ‘schoonhouden’) met ambitie en waar mogelijk concrete doelen per samenwerkingsverband.</w:t>
      </w:r>
    </w:p>
    <w:p w:rsidRPr="00045E89" w:rsidR="00636CDE" w:rsidP="00636CDE" w:rsidRDefault="00636CDE" w14:paraId="1EB9827C" w14:textId="77777777">
      <w:pPr>
        <w:pStyle w:val="ListParagraph"/>
        <w:numPr>
          <w:ilvl w:val="0"/>
          <w:numId w:val="86"/>
        </w:numPr>
        <w:spacing w:line="240" w:lineRule="exact"/>
        <w:rPr>
          <w:iCs/>
          <w:lang w:val="nl-NL"/>
        </w:rPr>
      </w:pPr>
      <w:r>
        <w:rPr>
          <w:iCs/>
          <w:lang w:val="nl-NL"/>
        </w:rPr>
        <w:t>V</w:t>
      </w:r>
      <w:r w:rsidRPr="00045E89">
        <w:rPr>
          <w:iCs/>
          <w:lang w:val="nl-NL"/>
        </w:rPr>
        <w:t xml:space="preserve">erankeren van de </w:t>
      </w:r>
      <w:r>
        <w:rPr>
          <w:iCs/>
          <w:lang w:val="nl-NL"/>
        </w:rPr>
        <w:t xml:space="preserve">Zwerfafvalophaalregeling </w:t>
      </w:r>
      <w:r w:rsidRPr="00045E89">
        <w:rPr>
          <w:iCs/>
          <w:lang w:val="nl-NL"/>
        </w:rPr>
        <w:t xml:space="preserve">in het </w:t>
      </w:r>
      <w:r w:rsidRPr="00045E89">
        <w:rPr>
          <w:lang w:val="nl-NL"/>
        </w:rPr>
        <w:t>regulier beheer en onderhoud van hoofdwatersystemen door Rijkswaterstaat.</w:t>
      </w:r>
    </w:p>
    <w:p w:rsidRPr="00045E89" w:rsidR="00636CDE" w:rsidP="00636CDE" w:rsidRDefault="00636CDE" w14:paraId="78DA8A41" w14:textId="77777777">
      <w:pPr>
        <w:pStyle w:val="ListParagraph"/>
        <w:numPr>
          <w:ilvl w:val="0"/>
          <w:numId w:val="86"/>
        </w:numPr>
        <w:spacing w:line="240" w:lineRule="exact"/>
        <w:rPr>
          <w:iCs/>
          <w:lang w:val="nl-NL"/>
        </w:rPr>
      </w:pPr>
      <w:r w:rsidRPr="00045E89">
        <w:rPr>
          <w:lang w:val="nl-NL"/>
        </w:rPr>
        <w:t>Agendering zwerfvuilproblematiek en borging van een brede aanpak zwerfvuil</w:t>
      </w:r>
      <w:r>
        <w:rPr>
          <w:lang w:val="nl-NL"/>
        </w:rPr>
        <w:t>.</w:t>
      </w:r>
      <w:r w:rsidRPr="00045E89">
        <w:rPr>
          <w:lang w:val="nl-NL"/>
        </w:rPr>
        <w:t xml:space="preserve"> </w:t>
      </w:r>
      <w:r w:rsidRPr="00045E89">
        <w:rPr>
          <w:szCs w:val="18"/>
          <w:lang w:val="nl-NL"/>
        </w:rPr>
        <w:t xml:space="preserve">Deze maatregel is gericht op het vergroten van bewustwording van de zwerfvuilproblematiek bij terrein- en waterbeheerders langs rivieren met als doel meer (bestuurlijk) draagvlak voor het treffen van structurele maatregelen in beheergebieden. Ter ondersteuning van deze maatregel wordt onderzocht wat </w:t>
      </w:r>
      <w:r w:rsidRPr="00045E89">
        <w:rPr>
          <w:lang w:val="nl-NL"/>
        </w:rPr>
        <w:t>de verantwoordelijkheden van nationale en lokale overheden zijn en hoe deze verantwoordelijkheden en de aanpak van zwerfvuil zich verhouden tot de Europese regelgeving.</w:t>
      </w:r>
    </w:p>
    <w:p w:rsidRPr="00036487" w:rsidR="00636CDE" w:rsidP="00636CDE" w:rsidRDefault="00636CDE" w14:paraId="644F0F6D" w14:textId="77777777">
      <w:pPr>
        <w:pStyle w:val="NoSpacing"/>
        <w:rPr>
          <w:i/>
          <w:lang w:val="nl-NL"/>
        </w:rPr>
      </w:pPr>
      <w:r w:rsidRPr="00036487">
        <w:rPr>
          <w:i/>
          <w:lang w:val="nl-NL"/>
        </w:rPr>
        <w:t>Scheepvaart</w:t>
      </w:r>
    </w:p>
    <w:p w:rsidRPr="00045E89" w:rsidR="00636CDE" w:rsidP="00636CDE" w:rsidRDefault="00C6220E" w14:paraId="673B230C" w14:textId="6BBF7B04">
      <w:pPr>
        <w:pStyle w:val="ListParagraph"/>
        <w:numPr>
          <w:ilvl w:val="0"/>
          <w:numId w:val="86"/>
        </w:numPr>
        <w:spacing w:line="240" w:lineRule="exact"/>
        <w:rPr>
          <w:iCs/>
          <w:lang w:val="nl-NL"/>
        </w:rPr>
      </w:pPr>
      <w:r w:rsidRPr="00C6220E">
        <w:rPr>
          <w:szCs w:val="18"/>
          <w:lang w:val="nl-NL"/>
        </w:rPr>
        <w:t>Implementatie afgifteplicht van persistent stollende ladingrestanten</w:t>
      </w:r>
      <w:r>
        <w:rPr>
          <w:iCs/>
          <w:lang w:val="nl-NL"/>
        </w:rPr>
        <w:t>.</w:t>
      </w:r>
      <w:r w:rsidRPr="00C6220E">
        <w:rPr>
          <w:iCs/>
          <w:lang w:val="nl-NL"/>
        </w:rPr>
        <w:t xml:space="preserve"> </w:t>
      </w:r>
      <w:r w:rsidRPr="00045E89" w:rsidR="00636CDE">
        <w:rPr>
          <w:iCs/>
          <w:lang w:val="nl-NL"/>
        </w:rPr>
        <w:t>Alle schepen die hun lading lossen in een Europese haven binnen het afgebakende zeegebied,</w:t>
      </w:r>
      <w:r w:rsidR="00636CDE">
        <w:rPr>
          <w:iCs/>
          <w:lang w:val="nl-NL"/>
        </w:rPr>
        <w:t xml:space="preserve"> </w:t>
      </w:r>
      <w:r w:rsidRPr="00045E89" w:rsidR="00636CDE">
        <w:rPr>
          <w:iCs/>
          <w:lang w:val="nl-NL"/>
        </w:rPr>
        <w:t xml:space="preserve">aangegeven in </w:t>
      </w:r>
      <w:bookmarkStart w:name="_Hlk92808960" w:id="7"/>
      <w:r w:rsidRPr="00045E89" w:rsidR="00636CDE">
        <w:rPr>
          <w:iCs/>
          <w:lang w:val="nl-NL"/>
        </w:rPr>
        <w:t>MARPOL Annex II, Regulation 13</w:t>
      </w:r>
      <w:bookmarkEnd w:id="7"/>
      <w:r w:rsidRPr="00045E89" w:rsidR="00636CDE">
        <w:rPr>
          <w:iCs/>
          <w:lang w:val="nl-NL"/>
        </w:rPr>
        <w:t xml:space="preserve">, geven vanaf 1 januari 2021 waswater met persistente stollende ladingrestanten, zoals paraffine waxen, af aan de wal. </w:t>
      </w:r>
    </w:p>
    <w:p w:rsidRPr="00C6220E" w:rsidR="00DD04C4" w:rsidP="00C6220E" w:rsidRDefault="00C6220E" w14:paraId="5C81E98E" w14:textId="13C60458">
      <w:pPr>
        <w:pStyle w:val="ListParagraph"/>
        <w:numPr>
          <w:ilvl w:val="0"/>
          <w:numId w:val="86"/>
        </w:numPr>
        <w:spacing w:line="240" w:lineRule="exact"/>
        <w:rPr>
          <w:iCs/>
          <w:lang w:val="nl-NL"/>
        </w:rPr>
      </w:pPr>
      <w:bookmarkStart w:name="_Hlk92808981" w:id="8"/>
      <w:r w:rsidRPr="00C6220E">
        <w:rPr>
          <w:szCs w:val="18"/>
          <w:lang w:val="nl-NL"/>
        </w:rPr>
        <w:t>In aanvulling op de MARPOL wetgeving heeft Nederland aanvullende maatregelen genomen voor het wassen van de geloste tanks. Hierover hebben de betrokken bedrijven vrijwillige afspraken gemaakt. De verbeterde voorwasprocedure zal bij de Internationale Maritieme Organisatie onder de aandacht worden gebracht.</w:t>
      </w:r>
      <w:bookmarkEnd w:id="8"/>
      <w:r w:rsidRPr="00C6220E">
        <w:rPr>
          <w:szCs w:val="18"/>
          <w:lang w:val="nl-NL"/>
        </w:rPr>
        <w:t xml:space="preserve"> </w:t>
      </w:r>
    </w:p>
    <w:p w:rsidRPr="00036487" w:rsidR="00636CDE" w:rsidP="00636CDE" w:rsidRDefault="00636CDE" w14:paraId="3FCC75CB" w14:textId="77777777">
      <w:pPr>
        <w:pStyle w:val="NoSpacing"/>
        <w:rPr>
          <w:i/>
          <w:lang w:val="nl-NL"/>
        </w:rPr>
      </w:pPr>
      <w:r w:rsidRPr="00036487">
        <w:rPr>
          <w:i/>
          <w:lang w:val="nl-NL"/>
        </w:rPr>
        <w:t>Visserij</w:t>
      </w:r>
    </w:p>
    <w:p w:rsidRPr="00045E89" w:rsidR="00636CDE" w:rsidP="00636CDE" w:rsidRDefault="00636CDE" w14:paraId="1E4D698F" w14:textId="77777777">
      <w:pPr>
        <w:pStyle w:val="ListParagraph"/>
        <w:numPr>
          <w:ilvl w:val="0"/>
          <w:numId w:val="86"/>
        </w:numPr>
        <w:spacing w:line="240" w:lineRule="exact"/>
        <w:rPr>
          <w:iCs/>
          <w:lang w:val="nl-NL"/>
        </w:rPr>
      </w:pPr>
      <w:r w:rsidRPr="00045E89">
        <w:rPr>
          <w:iCs/>
          <w:lang w:val="nl-NL"/>
        </w:rPr>
        <w:t>Programma Visserij voor een Schone Zee</w:t>
      </w:r>
      <w:r>
        <w:rPr>
          <w:iCs/>
          <w:lang w:val="nl-NL"/>
        </w:rPr>
        <w:t xml:space="preserve"> is het</w:t>
      </w:r>
      <w:r w:rsidRPr="00045E89">
        <w:rPr>
          <w:iCs/>
          <w:lang w:val="nl-NL"/>
        </w:rPr>
        <w:t xml:space="preserve"> vervolg op de Green Deal Visserij voor een Schone Zee. </w:t>
      </w:r>
      <w:r>
        <w:rPr>
          <w:iCs/>
          <w:lang w:val="nl-NL"/>
        </w:rPr>
        <w:t xml:space="preserve">Binnen dit programma is de </w:t>
      </w:r>
      <w:r w:rsidRPr="00036487">
        <w:rPr>
          <w:iCs/>
          <w:lang w:val="nl-NL"/>
        </w:rPr>
        <w:t xml:space="preserve">ketenaanpak het uitgangspunt. De </w:t>
      </w:r>
      <w:r>
        <w:rPr>
          <w:iCs/>
          <w:lang w:val="nl-NL"/>
        </w:rPr>
        <w:t xml:space="preserve">Single Use Plastic </w:t>
      </w:r>
      <w:r w:rsidRPr="00036487">
        <w:rPr>
          <w:iCs/>
          <w:lang w:val="nl-NL"/>
        </w:rPr>
        <w:t>richtlijn, waarin de producenten een rol krijgen in de inzameling, recycling en bewustwording rondom vistuig, zal een belangrijk thema zijn voor afstemming tussen de deelnemende partijen.</w:t>
      </w:r>
    </w:p>
    <w:p w:rsidRPr="00036487" w:rsidR="00636CDE" w:rsidP="00636CDE" w:rsidRDefault="00636CDE" w14:paraId="27B1005E" w14:textId="77777777">
      <w:pPr>
        <w:pStyle w:val="ListParagraph"/>
        <w:numPr>
          <w:ilvl w:val="0"/>
          <w:numId w:val="86"/>
        </w:numPr>
        <w:spacing w:line="240" w:lineRule="exact"/>
        <w:rPr>
          <w:iCs/>
          <w:lang w:val="nl-NL"/>
        </w:rPr>
      </w:pPr>
      <w:r w:rsidRPr="00036487">
        <w:rPr>
          <w:iCs/>
          <w:lang w:val="nl-NL"/>
        </w:rPr>
        <w:t>Fishing for litter programma: De herziene Richtlijn Havenontvangstvoorzieningen vraagt om een regeling voor passief opgevist afval (Fishing for Litter-afval). Ontvangstfaciliteiten worden in de havens verplicht gesteld. Tijdens de implementatie van de Richtlijn Havenontvangstvoorzieningen</w:t>
      </w:r>
      <w:r w:rsidRPr="00036487" w:rsidDel="007E14F8">
        <w:rPr>
          <w:iCs/>
          <w:lang w:val="nl-NL"/>
        </w:rPr>
        <w:t xml:space="preserve"> </w:t>
      </w:r>
      <w:r w:rsidRPr="00036487">
        <w:rPr>
          <w:iCs/>
          <w:lang w:val="nl-NL"/>
        </w:rPr>
        <w:t xml:space="preserve">wordt met de betrokken Fishing for litter partners bekeken hoe het programma het beste vorm kan krijgen binnen de nieuwe richtlijn. </w:t>
      </w:r>
    </w:p>
    <w:p w:rsidRPr="00036487" w:rsidR="00636CDE" w:rsidP="00636CDE" w:rsidRDefault="00636CDE" w14:paraId="0B78829E" w14:textId="77777777">
      <w:pPr>
        <w:pStyle w:val="ListParagraph"/>
        <w:numPr>
          <w:ilvl w:val="0"/>
          <w:numId w:val="86"/>
        </w:numPr>
        <w:spacing w:line="240" w:lineRule="exact"/>
        <w:rPr>
          <w:iCs/>
          <w:lang w:val="nl-NL"/>
        </w:rPr>
      </w:pPr>
      <w:r w:rsidRPr="00036487">
        <w:rPr>
          <w:iCs/>
          <w:lang w:val="nl-NL"/>
        </w:rPr>
        <w:t>Uitfasering van pluis</w:t>
      </w:r>
      <w:r>
        <w:rPr>
          <w:iCs/>
          <w:lang w:val="nl-NL"/>
        </w:rPr>
        <w:t xml:space="preserve"> ter bescherming van gesleepte visnetten</w:t>
      </w:r>
      <w:r w:rsidRPr="00036487">
        <w:rPr>
          <w:iCs/>
          <w:lang w:val="nl-NL"/>
        </w:rPr>
        <w:t>, met stimulerende maatregelen</w:t>
      </w:r>
      <w:r>
        <w:rPr>
          <w:iCs/>
          <w:lang w:val="nl-NL"/>
        </w:rPr>
        <w:t>.</w:t>
      </w:r>
      <w:r w:rsidRPr="00036487">
        <w:rPr>
          <w:iCs/>
          <w:lang w:val="nl-NL"/>
        </w:rPr>
        <w:t xml:space="preserve"> Het streven is om de inzet van alternatieve oplossingen te stimuleren en het gebruik van conventioneel pluis geleidelijk uit te faseren tot het jaar 2027 door middel van:</w:t>
      </w:r>
    </w:p>
    <w:p w:rsidRPr="008071FF" w:rsidR="00636CDE" w:rsidP="00636CDE" w:rsidRDefault="00636CDE" w14:paraId="2DF90BBF" w14:textId="77777777">
      <w:pPr>
        <w:pStyle w:val="ListParagraph"/>
        <w:numPr>
          <w:ilvl w:val="1"/>
          <w:numId w:val="87"/>
        </w:numPr>
        <w:rPr>
          <w:b/>
          <w:lang w:val="nl-NL"/>
        </w:rPr>
      </w:pPr>
      <w:r>
        <w:rPr>
          <w:lang w:val="nl-NL"/>
        </w:rPr>
        <w:t>E</w:t>
      </w:r>
      <w:r w:rsidRPr="008071FF">
        <w:rPr>
          <w:lang w:val="nl-NL"/>
        </w:rPr>
        <w:t>en financiële (fiscale) stimulans om milieuvriendelijke alternatieven van pluis financieel aantrekkelijker en bedrijfseconomisch haalbaar te maken.</w:t>
      </w:r>
    </w:p>
    <w:p w:rsidRPr="008071FF" w:rsidR="00636CDE" w:rsidP="00636CDE" w:rsidRDefault="00636CDE" w14:paraId="13088EC0" w14:textId="77777777">
      <w:pPr>
        <w:pStyle w:val="ListParagraph"/>
        <w:numPr>
          <w:ilvl w:val="1"/>
          <w:numId w:val="87"/>
        </w:numPr>
        <w:rPr>
          <w:b/>
          <w:lang w:val="nl-NL"/>
        </w:rPr>
      </w:pPr>
      <w:r w:rsidRPr="008071FF">
        <w:rPr>
          <w:lang w:val="nl-NL"/>
        </w:rPr>
        <w:t>Faciliteren/organiseren van activiteiten</w:t>
      </w:r>
      <w:r w:rsidRPr="008071FF">
        <w:rPr>
          <w:i/>
          <w:lang w:val="nl-NL"/>
        </w:rPr>
        <w:t xml:space="preserve"> </w:t>
      </w:r>
      <w:r w:rsidRPr="008071FF">
        <w:rPr>
          <w:lang w:val="nl-NL"/>
        </w:rPr>
        <w:t xml:space="preserve">om milieuvriendelijke alternatieven te promoten en bekendheid en bewustwording te vergroten. </w:t>
      </w:r>
    </w:p>
    <w:p w:rsidR="00D80004" w:rsidP="00636CDE" w:rsidRDefault="00D80004" w14:paraId="4AE8E082" w14:textId="0F37C044">
      <w:pPr>
        <w:pStyle w:val="ListParagraph"/>
        <w:numPr>
          <w:ilvl w:val="0"/>
          <w:numId w:val="86"/>
        </w:numPr>
        <w:spacing w:line="240" w:lineRule="exact"/>
        <w:rPr>
          <w:iCs/>
          <w:lang w:val="nl-NL"/>
        </w:rPr>
      </w:pPr>
      <w:bookmarkStart w:name="_Hlk92808005" w:id="9"/>
      <w:r>
        <w:rPr>
          <w:iCs/>
          <w:lang w:val="nl-NL"/>
        </w:rPr>
        <w:t>Standaardisatie voor circulair design en ketenaanpak van vistuig</w:t>
      </w:r>
      <w:r w:rsidR="008C428E">
        <w:rPr>
          <w:iCs/>
          <w:lang w:val="nl-NL"/>
        </w:rPr>
        <w:t>: H</w:t>
      </w:r>
      <w:r w:rsidRPr="00D80004">
        <w:rPr>
          <w:iCs/>
          <w:lang w:val="nl-NL"/>
        </w:rPr>
        <w:t xml:space="preserve">et opstellen van (vrijwillige) standaards voor technische vereisten aan ontwerp, materiaalgebruik en circulariteit van het vistuig. Maar ook </w:t>
      </w:r>
      <w:r w:rsidR="008C428E">
        <w:rPr>
          <w:iCs/>
          <w:lang w:val="nl-NL"/>
        </w:rPr>
        <w:t>voor</w:t>
      </w:r>
      <w:r w:rsidRPr="00D80004">
        <w:rPr>
          <w:iCs/>
          <w:lang w:val="nl-NL"/>
        </w:rPr>
        <w:t xml:space="preserve"> inzameling, monitoring, traceerbaarheid, reparatie en recycling van vistuig.</w:t>
      </w:r>
    </w:p>
    <w:bookmarkEnd w:id="9"/>
    <w:p w:rsidRPr="00036487" w:rsidR="00636CDE" w:rsidP="00636CDE" w:rsidRDefault="00636CDE" w14:paraId="1013212C" w14:textId="6AD00F53">
      <w:pPr>
        <w:pStyle w:val="ListParagraph"/>
        <w:numPr>
          <w:ilvl w:val="0"/>
          <w:numId w:val="86"/>
        </w:numPr>
        <w:spacing w:line="240" w:lineRule="exact"/>
        <w:rPr>
          <w:iCs/>
          <w:lang w:val="nl-NL"/>
        </w:rPr>
      </w:pPr>
      <w:r w:rsidRPr="00036487">
        <w:rPr>
          <w:iCs/>
          <w:lang w:val="nl-NL"/>
        </w:rPr>
        <w:t>Inzet vermindering lood in sportvisserij op zee</w:t>
      </w:r>
      <w:r>
        <w:rPr>
          <w:iCs/>
          <w:lang w:val="nl-NL"/>
        </w:rPr>
        <w:t xml:space="preserve"> door middel van een i</w:t>
      </w:r>
      <w:r w:rsidRPr="008071FF">
        <w:rPr>
          <w:iCs/>
          <w:lang w:val="nl-NL"/>
        </w:rPr>
        <w:t>nventaris</w:t>
      </w:r>
      <w:r>
        <w:rPr>
          <w:iCs/>
          <w:lang w:val="nl-NL"/>
        </w:rPr>
        <w:t>atie</w:t>
      </w:r>
      <w:r w:rsidRPr="008071FF">
        <w:rPr>
          <w:iCs/>
          <w:lang w:val="nl-NL"/>
        </w:rPr>
        <w:t xml:space="preserve"> van beschikbare alternatieven voor</w:t>
      </w:r>
      <w:r w:rsidRPr="00036487">
        <w:rPr>
          <w:iCs/>
          <w:lang w:val="nl-NL"/>
        </w:rPr>
        <w:t xml:space="preserve"> lood per type zee-sportvisserij en gerichter communiceren met de zee-sportvissers </w:t>
      </w:r>
      <w:r w:rsidRPr="008071FF">
        <w:rPr>
          <w:iCs/>
          <w:lang w:val="nl-NL"/>
        </w:rPr>
        <w:t>om meer bewustwording</w:t>
      </w:r>
      <w:r w:rsidRPr="00036487">
        <w:rPr>
          <w:iCs/>
          <w:lang w:val="nl-NL"/>
        </w:rPr>
        <w:t xml:space="preserve"> te creëren over de impact van lood en over de mogelijke alternatieven. </w:t>
      </w:r>
    </w:p>
    <w:p w:rsidRPr="00036487" w:rsidR="00636CDE" w:rsidP="00636CDE" w:rsidRDefault="00636CDE" w14:paraId="0B4EDE5F" w14:textId="77777777">
      <w:pPr>
        <w:pStyle w:val="NoSpacing"/>
        <w:rPr>
          <w:i/>
          <w:lang w:val="nl-NL"/>
        </w:rPr>
      </w:pPr>
      <w:r w:rsidRPr="00036487">
        <w:rPr>
          <w:i/>
          <w:lang w:val="nl-NL"/>
        </w:rPr>
        <w:t>Kunststofproducten / Landbronnen van zwerfvuil op zee</w:t>
      </w:r>
    </w:p>
    <w:p w:rsidRPr="00036487" w:rsidR="00636CDE" w:rsidP="00636CDE" w:rsidRDefault="00636CDE" w14:paraId="071B59C0" w14:textId="77777777">
      <w:pPr>
        <w:pStyle w:val="ListParagraph"/>
        <w:numPr>
          <w:ilvl w:val="0"/>
          <w:numId w:val="86"/>
        </w:numPr>
        <w:spacing w:line="240" w:lineRule="exact"/>
        <w:rPr>
          <w:iCs/>
          <w:lang w:val="nl-NL"/>
        </w:rPr>
      </w:pPr>
      <w:r w:rsidRPr="00036487">
        <w:rPr>
          <w:iCs/>
          <w:lang w:val="nl-NL"/>
        </w:rPr>
        <w:t>Het kabinet blijft gemeenten wijzen op de beleidsmogelijkheid die ze hebben om het oplaten van ballonnen terug te dringen. Dit wordt meegenomen in de ondersteuning van gemeenten op het gebied van zwerfvuil door Rijkswaterstaat. Aanvullend worden door de invoering van de SUP-richtlijn ook producenten van ballonnen op hun verantwoordelijkheid aangesproken.</w:t>
      </w:r>
    </w:p>
    <w:p w:rsidRPr="00036487" w:rsidR="00636CDE" w:rsidP="00636CDE" w:rsidRDefault="00636CDE" w14:paraId="5E768B8B" w14:textId="77777777">
      <w:pPr>
        <w:pStyle w:val="ListParagraph"/>
        <w:numPr>
          <w:ilvl w:val="0"/>
          <w:numId w:val="86"/>
        </w:numPr>
        <w:spacing w:line="240" w:lineRule="exact"/>
        <w:rPr>
          <w:iCs/>
          <w:lang w:val="nl-NL"/>
        </w:rPr>
      </w:pPr>
      <w:r w:rsidRPr="00036487">
        <w:rPr>
          <w:iCs/>
          <w:lang w:val="nl-NL"/>
        </w:rPr>
        <w:t xml:space="preserve">Het kabinet </w:t>
      </w:r>
      <w:r>
        <w:rPr>
          <w:iCs/>
          <w:lang w:val="nl-NL"/>
        </w:rPr>
        <w:t>voert</w:t>
      </w:r>
      <w:r w:rsidRPr="00036487">
        <w:rPr>
          <w:iCs/>
          <w:lang w:val="nl-NL"/>
        </w:rPr>
        <w:t xml:space="preserve"> de OSPAR-aanbeveling </w:t>
      </w:r>
      <w:r>
        <w:rPr>
          <w:iCs/>
          <w:lang w:val="nl-NL"/>
        </w:rPr>
        <w:t xml:space="preserve">uit </w:t>
      </w:r>
      <w:r w:rsidRPr="00036487">
        <w:rPr>
          <w:iCs/>
          <w:lang w:val="nl-NL"/>
        </w:rPr>
        <w:t xml:space="preserve">(naar verwachting in 2021 aangenomen) om de aanwezigheid van plastic pellets in het milieu tegen te gaan. De verantwoordelijkheid voor de aanpak van pre-productiepellets ligt primair bij de industrie, die hiervoor Operation Clean Sweep in het leven heeft geroepen. </w:t>
      </w:r>
    </w:p>
    <w:p w:rsidR="00636CDE" w:rsidP="00636CDE" w:rsidRDefault="00636CDE" w14:paraId="6B618BA2" w14:textId="77777777">
      <w:pPr>
        <w:pStyle w:val="Heading4"/>
        <w:rPr>
          <w:lang w:val="nl-NL"/>
        </w:rPr>
      </w:pPr>
      <w:r>
        <w:rPr>
          <w:lang w:val="nl-NL"/>
        </w:rPr>
        <w:t>Onderwatergeluid</w:t>
      </w:r>
    </w:p>
    <w:p w:rsidR="00636CDE" w:rsidP="00636CDE" w:rsidRDefault="00636CDE" w14:paraId="3FA37690" w14:textId="77777777">
      <w:pPr>
        <w:rPr>
          <w:lang w:val="nl-NL"/>
        </w:rPr>
      </w:pPr>
      <w:r w:rsidRPr="00370D2A">
        <w:rPr>
          <w:lang w:val="nl-NL"/>
        </w:rPr>
        <w:t xml:space="preserve">De inzet </w:t>
      </w:r>
      <w:r>
        <w:rPr>
          <w:lang w:val="nl-NL"/>
        </w:rPr>
        <w:t xml:space="preserve">van onderstaande maatregelen </w:t>
      </w:r>
      <w:r w:rsidRPr="00370D2A">
        <w:rPr>
          <w:lang w:val="nl-NL"/>
        </w:rPr>
        <w:t xml:space="preserve">is </w:t>
      </w:r>
      <w:r>
        <w:rPr>
          <w:lang w:val="nl-NL"/>
        </w:rPr>
        <w:t xml:space="preserve">om </w:t>
      </w:r>
      <w:r w:rsidRPr="00370D2A">
        <w:rPr>
          <w:lang w:val="nl-NL"/>
        </w:rPr>
        <w:t>de schadelijke effecten van door menselijk handelen teweeggebrachte geluiden onder water te voorkomen.</w:t>
      </w:r>
      <w:r>
        <w:rPr>
          <w:lang w:val="nl-NL"/>
        </w:rPr>
        <w:t xml:space="preserve"> </w:t>
      </w:r>
    </w:p>
    <w:p w:rsidRPr="00F46730" w:rsidR="00636CDE" w:rsidP="00636CDE" w:rsidRDefault="00636CDE" w14:paraId="73DD9A35" w14:textId="77777777">
      <w:pPr>
        <w:pStyle w:val="ListParagraph"/>
        <w:numPr>
          <w:ilvl w:val="0"/>
          <w:numId w:val="86"/>
        </w:numPr>
        <w:spacing w:line="240" w:lineRule="exact"/>
        <w:rPr>
          <w:iCs/>
          <w:lang w:val="nl-NL"/>
        </w:rPr>
      </w:pPr>
      <w:r w:rsidRPr="00F46730">
        <w:rPr>
          <w:iCs/>
          <w:lang w:val="nl-NL"/>
        </w:rPr>
        <w:t>In samenwerking met de industrie zal worden gewerkt aan een beoordelingskader voor seismisch onderzoek in analogie met het KEC. Dit is in lijn met de afspraken in het Noordzeeakkoord en het Bruinvisbeschermingsplan. Een geluidsbudget, dat de tijd reguleert waarin impulsgeluid wordt toegestaan, kan een voorwaarde zijn. De industrie zal worden gestimuleerd om impulsgeluid te verminderen.</w:t>
      </w:r>
    </w:p>
    <w:p w:rsidRPr="00F46730" w:rsidR="00636CDE" w:rsidP="009A25A2" w:rsidRDefault="009A25A2" w14:paraId="37EDCB53" w14:textId="6514B087">
      <w:pPr>
        <w:pStyle w:val="ListParagraph"/>
        <w:numPr>
          <w:ilvl w:val="0"/>
          <w:numId w:val="86"/>
        </w:numPr>
        <w:spacing w:line="240" w:lineRule="exact"/>
        <w:rPr>
          <w:iCs/>
          <w:lang w:val="nl-NL"/>
        </w:rPr>
      </w:pPr>
      <w:r w:rsidRPr="009A25A2">
        <w:rPr>
          <w:iCs/>
          <w:lang w:val="nl-NL"/>
        </w:rPr>
        <w:t>M</w:t>
      </w:r>
      <w:r w:rsidR="00FC5BD0">
        <w:rPr>
          <w:iCs/>
          <w:lang w:val="nl-NL"/>
        </w:rPr>
        <w:t>ede dankzij steun van Nederland loopt m</w:t>
      </w:r>
      <w:r w:rsidRPr="009A25A2">
        <w:rPr>
          <w:iCs/>
          <w:lang w:val="nl-NL"/>
        </w:rPr>
        <w:t xml:space="preserve">omenteel een procedure om de IMO richtlijnen </w:t>
      </w:r>
      <w:r w:rsidR="00FC5BD0">
        <w:rPr>
          <w:iCs/>
          <w:lang w:val="nl-NL"/>
        </w:rPr>
        <w:t xml:space="preserve">voor reductie van onderwatergeluid van de commerciële scheepvaart </w:t>
      </w:r>
      <w:r w:rsidRPr="009A25A2">
        <w:rPr>
          <w:iCs/>
          <w:lang w:val="nl-NL"/>
        </w:rPr>
        <w:t xml:space="preserve">te herzien. </w:t>
      </w:r>
      <w:r w:rsidR="00FC5BD0">
        <w:rPr>
          <w:iCs/>
          <w:lang w:val="nl-NL"/>
        </w:rPr>
        <w:t xml:space="preserve">Nederland zet zich hier in voor actievere naleving van deze richtlijnen. </w:t>
      </w:r>
    </w:p>
    <w:p w:rsidRPr="00E31DEA" w:rsidR="00636CDE" w:rsidP="00636CDE" w:rsidRDefault="00636CDE" w14:paraId="282793A1" w14:textId="77777777">
      <w:pPr>
        <w:pStyle w:val="Heading1"/>
        <w:rPr>
          <w:rFonts w:ascii="Verdana" w:hAnsi="Verdana"/>
          <w:sz w:val="20"/>
          <w:szCs w:val="24"/>
          <w:lang w:val="nl-NL"/>
        </w:rPr>
      </w:pPr>
      <w:r w:rsidRPr="00E31DEA">
        <w:rPr>
          <w:rFonts w:ascii="Verdana" w:hAnsi="Verdana"/>
          <w:sz w:val="20"/>
          <w:szCs w:val="24"/>
          <w:lang w:val="nl-NL"/>
        </w:rPr>
        <w:t>Kennisvragen en programmering</w:t>
      </w:r>
    </w:p>
    <w:p w:rsidR="00636CDE" w:rsidP="00636CDE" w:rsidRDefault="00636CDE" w14:paraId="7F2D98FA" w14:textId="77777777">
      <w:pPr>
        <w:rPr>
          <w:lang w:val="nl-NL"/>
        </w:rPr>
      </w:pPr>
      <w:r>
        <w:rPr>
          <w:lang w:val="nl-NL"/>
        </w:rPr>
        <w:t xml:space="preserve">Voor elke </w:t>
      </w:r>
      <w:r w:rsidRPr="00E82F17">
        <w:rPr>
          <w:lang w:val="nl-NL"/>
        </w:rPr>
        <w:t>descriptor</w:t>
      </w:r>
      <w:r>
        <w:rPr>
          <w:lang w:val="nl-NL"/>
        </w:rPr>
        <w:t xml:space="preserve"> geldt dat er nog diverse</w:t>
      </w:r>
      <w:r w:rsidRPr="00E82F17">
        <w:rPr>
          <w:lang w:val="nl-NL"/>
        </w:rPr>
        <w:t xml:space="preserve"> kennisvragen</w:t>
      </w:r>
      <w:r>
        <w:rPr>
          <w:lang w:val="nl-NL"/>
        </w:rPr>
        <w:t xml:space="preserve"> zijn</w:t>
      </w:r>
      <w:r w:rsidRPr="00E82F17">
        <w:rPr>
          <w:lang w:val="nl-NL"/>
        </w:rPr>
        <w:t xml:space="preserve">. Een deel van de kennisvragen is gerelateerd aan het ontbreken van een beoordelingsmethode, indicatoren en/of drempelwaarden. Deze kennis is nodig om doelen te kunnen stellen en de voortgang te monitoren. Daarnaast ontbreekt ook kennis om gericht(er) maatregelen te treffen. Zo is het bij diverse descriptoren niet mogelijk om een bepaalde trend te verklaren of gevolgen van toekomstige ontwikkelingen of cumulatieve effecten in te schatten. </w:t>
      </w:r>
    </w:p>
    <w:p w:rsidR="00636CDE" w:rsidP="00636CDE" w:rsidRDefault="00636CDE" w14:paraId="5DC2B139" w14:textId="4185DFF7">
      <w:pPr>
        <w:rPr>
          <w:lang w:val="nl-NL"/>
        </w:rPr>
      </w:pPr>
      <w:r>
        <w:rPr>
          <w:lang w:val="nl-NL"/>
        </w:rPr>
        <w:t>Dit programma van maatregelen benoemt de kennisvragen</w:t>
      </w:r>
      <w:r w:rsidR="0003243F">
        <w:rPr>
          <w:lang w:val="nl-NL"/>
        </w:rPr>
        <w:t xml:space="preserve"> die in de periode 2022-2027 worden onderzocht</w:t>
      </w:r>
      <w:r w:rsidRPr="00E82F17">
        <w:rPr>
          <w:lang w:val="nl-NL"/>
        </w:rPr>
        <w:t>.</w:t>
      </w:r>
      <w:r>
        <w:rPr>
          <w:lang w:val="nl-NL"/>
        </w:rPr>
        <w:t xml:space="preserve"> </w:t>
      </w:r>
      <w:r w:rsidR="0003243F">
        <w:rPr>
          <w:lang w:val="nl-NL"/>
        </w:rPr>
        <w:t xml:space="preserve">Deze vragen zijn geselecteerd vanwege de noodzaak om kennis tijdig beschikbaar te hebben. </w:t>
      </w:r>
      <w:r w:rsidRPr="00406B9F">
        <w:rPr>
          <w:lang w:val="nl-NL"/>
        </w:rPr>
        <w:t xml:space="preserve">IJkpunten daarvoor zijn de Quality Status Report in 2023 van OSPAR en de actualisatie van de nationale beoordeling van de milieutoestand van het Nederlandse deel van de Noordzee in 2024. </w:t>
      </w:r>
      <w:r>
        <w:rPr>
          <w:lang w:val="nl-NL"/>
        </w:rPr>
        <w:t>Ook de beschikbaarheid en looptijd van financiering van bijvoorbeeld W</w:t>
      </w:r>
      <w:r w:rsidR="009008D9">
        <w:rPr>
          <w:lang w:val="nl-NL"/>
        </w:rPr>
        <w:t>ozep</w:t>
      </w:r>
      <w:r w:rsidR="005F5515">
        <w:rPr>
          <w:lang w:val="nl-NL"/>
        </w:rPr>
        <w:t xml:space="preserve"> (Wind op Zee Ecologisch Programma</w:t>
      </w:r>
      <w:r w:rsidR="008E0732">
        <w:rPr>
          <w:lang w:val="nl-NL"/>
        </w:rPr>
        <w:t>)</w:t>
      </w:r>
      <w:r>
        <w:rPr>
          <w:lang w:val="nl-NL"/>
        </w:rPr>
        <w:t>, EMVAF</w:t>
      </w:r>
      <w:r w:rsidR="005F5515">
        <w:rPr>
          <w:lang w:val="nl-NL"/>
        </w:rPr>
        <w:t xml:space="preserve"> (</w:t>
      </w:r>
      <w:r w:rsidRPr="005F5515" w:rsidR="005F5515">
        <w:rPr>
          <w:lang w:val="nl-NL"/>
        </w:rPr>
        <w:t>Europees Maritiem, Visserij- en Aquacultuur</w:t>
      </w:r>
      <w:r w:rsidR="005F5515">
        <w:rPr>
          <w:lang w:val="nl-NL"/>
        </w:rPr>
        <w:t xml:space="preserve"> F</w:t>
      </w:r>
      <w:r w:rsidRPr="005F5515" w:rsidR="005F5515">
        <w:rPr>
          <w:lang w:val="nl-NL"/>
        </w:rPr>
        <w:t>onds</w:t>
      </w:r>
      <w:r w:rsidR="005F5515">
        <w:rPr>
          <w:lang w:val="nl-NL"/>
        </w:rPr>
        <w:t>)</w:t>
      </w:r>
      <w:r w:rsidR="008E0732">
        <w:rPr>
          <w:lang w:val="nl-NL"/>
        </w:rPr>
        <w:t xml:space="preserve"> en</w:t>
      </w:r>
      <w:r>
        <w:rPr>
          <w:lang w:val="nl-NL"/>
        </w:rPr>
        <w:t xml:space="preserve"> MONS </w:t>
      </w:r>
      <w:r w:rsidR="005F5515">
        <w:rPr>
          <w:lang w:val="nl-NL"/>
        </w:rPr>
        <w:t>programma (</w:t>
      </w:r>
      <w:r w:rsidRPr="005F5515" w:rsidR="005F5515">
        <w:rPr>
          <w:lang w:val="nl-NL"/>
        </w:rPr>
        <w:t>Monitoring Onderzoek Natuurversterking en Soortenbescherming</w:t>
      </w:r>
      <w:r w:rsidR="005F5515">
        <w:rPr>
          <w:lang w:val="nl-NL"/>
        </w:rPr>
        <w:t xml:space="preserve">) </w:t>
      </w:r>
      <w:r>
        <w:rPr>
          <w:lang w:val="nl-NL"/>
        </w:rPr>
        <w:t>is bepalend</w:t>
      </w:r>
      <w:r w:rsidR="0003243F">
        <w:rPr>
          <w:lang w:val="nl-NL"/>
        </w:rPr>
        <w:t xml:space="preserve"> geweest voor de selectie van kennisvragen</w:t>
      </w:r>
      <w:r>
        <w:rPr>
          <w:lang w:val="nl-NL"/>
        </w:rPr>
        <w:t>.</w:t>
      </w:r>
    </w:p>
    <w:p w:rsidRPr="00E31DEA" w:rsidR="00636CDE" w:rsidP="00636CDE" w:rsidRDefault="00636CDE" w14:paraId="3549673E" w14:textId="77777777">
      <w:pPr>
        <w:pStyle w:val="Heading1"/>
        <w:rPr>
          <w:rFonts w:ascii="Verdana" w:hAnsi="Verdana"/>
          <w:sz w:val="20"/>
          <w:szCs w:val="24"/>
          <w:lang w:val="nl-NL"/>
        </w:rPr>
      </w:pPr>
      <w:r w:rsidRPr="00E31DEA">
        <w:rPr>
          <w:rFonts w:ascii="Verdana" w:hAnsi="Verdana"/>
          <w:sz w:val="20"/>
          <w:szCs w:val="24"/>
          <w:lang w:val="nl-NL"/>
        </w:rPr>
        <w:t>Financiering aanvullende maatregelen en onderzoek</w:t>
      </w:r>
    </w:p>
    <w:p w:rsidR="00636CDE" w:rsidP="00636CDE" w:rsidRDefault="00636CDE" w14:paraId="46A97900" w14:textId="355B5E3E">
      <w:pPr>
        <w:rPr>
          <w:lang w:val="nl-NL"/>
        </w:rPr>
      </w:pPr>
      <w:r w:rsidRPr="00B83F86">
        <w:rPr>
          <w:lang w:val="nl-NL"/>
        </w:rPr>
        <w:t xml:space="preserve">De aanvullende maatregelen onder </w:t>
      </w:r>
      <w:r>
        <w:rPr>
          <w:lang w:val="nl-NL"/>
        </w:rPr>
        <w:t>de thema</w:t>
      </w:r>
      <w:r w:rsidR="005F5515">
        <w:rPr>
          <w:lang w:val="nl-NL"/>
        </w:rPr>
        <w:t>’</w:t>
      </w:r>
      <w:r>
        <w:rPr>
          <w:lang w:val="nl-NL"/>
        </w:rPr>
        <w:t xml:space="preserve">s </w:t>
      </w:r>
      <w:r w:rsidRPr="00B83F86">
        <w:rPr>
          <w:lang w:val="nl-NL"/>
        </w:rPr>
        <w:t>biodiversiteit en zeebodemintegriteit komen voort uit het Noordzeeakkoord. Het Noordzeeakkoord leidt tot een aantal intensiveringen van (beleids</w:t>
      </w:r>
      <w:r w:rsidR="00B6055A">
        <w:rPr>
          <w:lang w:val="nl-NL"/>
        </w:rPr>
        <w:t>-</w:t>
      </w:r>
      <w:r w:rsidRPr="00B83F86">
        <w:rPr>
          <w:lang w:val="nl-NL"/>
        </w:rPr>
        <w:t>)maatregelen en aanvullende opgaven voor gebiedsbescherming</w:t>
      </w:r>
      <w:r>
        <w:rPr>
          <w:lang w:val="nl-NL"/>
        </w:rPr>
        <w:t xml:space="preserve">, </w:t>
      </w:r>
      <w:r w:rsidRPr="00B83F86">
        <w:rPr>
          <w:lang w:val="nl-NL"/>
        </w:rPr>
        <w:t xml:space="preserve">monitoring en onderzoek. Voor </w:t>
      </w:r>
      <w:r>
        <w:rPr>
          <w:lang w:val="nl-NL"/>
        </w:rPr>
        <w:t>deze</w:t>
      </w:r>
      <w:r w:rsidRPr="00B83F86">
        <w:rPr>
          <w:lang w:val="nl-NL"/>
        </w:rPr>
        <w:t xml:space="preserve"> intensiveringen </w:t>
      </w:r>
      <w:r>
        <w:rPr>
          <w:lang w:val="nl-NL"/>
        </w:rPr>
        <w:t>zal</w:t>
      </w:r>
      <w:r w:rsidRPr="00B83F86">
        <w:rPr>
          <w:lang w:val="nl-NL"/>
        </w:rPr>
        <w:t xml:space="preserve"> een beroep op het ‘Transitiefonds’ worden gedaan indien bestaande of beschikbare geldstromen tekort schieten. In het Noordzeeoverleg is afgesproken dat </w:t>
      </w:r>
      <w:r>
        <w:rPr>
          <w:lang w:val="nl-NL"/>
        </w:rPr>
        <w:t xml:space="preserve">in 2023 wordt nagegaan of met de beschikbaar gestelde gelden de doeleinden van het Noordzeeakkoord worden gehaald. Mocht dan blijken dat verdere versterking van het ‘Transitiefonds’ noodzakelijk is, dan voeren partijen in het Noordzeeoverleg daarover open en reëel overleg. </w:t>
      </w:r>
    </w:p>
    <w:p w:rsidRPr="00B83F86" w:rsidR="00636CDE" w:rsidP="00636CDE" w:rsidRDefault="00636CDE" w14:paraId="1A243F3D" w14:textId="5D0E56DE">
      <w:pPr>
        <w:rPr>
          <w:lang w:val="nl-NL"/>
        </w:rPr>
      </w:pPr>
      <w:r>
        <w:rPr>
          <w:lang w:val="nl-NL"/>
        </w:rPr>
        <w:t>Naast bestaande budgetten en het ‘Transitiefonds’ zijn specifiek voor KRM maatregelen en onderzoek EMVAF middelen beschikbaar</w:t>
      </w:r>
      <w:r w:rsidRPr="001866F0">
        <w:rPr>
          <w:lang w:val="nl-NL"/>
        </w:rPr>
        <w:t xml:space="preserve"> </w:t>
      </w:r>
      <w:r>
        <w:rPr>
          <w:lang w:val="nl-NL"/>
        </w:rPr>
        <w:t>dat Nederland en de Europese Commissie in gedeeld beheer hebben.</w:t>
      </w:r>
    </w:p>
    <w:p w:rsidR="00636CDE" w:rsidP="00636CDE" w:rsidRDefault="00636CDE" w14:paraId="1A9C15BE" w14:textId="6777F13B">
      <w:pPr>
        <w:rPr>
          <w:lang w:val="nl-NL"/>
        </w:rPr>
      </w:pPr>
      <w:r w:rsidRPr="00B83F86">
        <w:rPr>
          <w:lang w:val="nl-NL"/>
        </w:rPr>
        <w:t xml:space="preserve">Voor </w:t>
      </w:r>
      <w:r>
        <w:rPr>
          <w:lang w:val="nl-NL"/>
        </w:rPr>
        <w:t>de aanvullende maatregelen onder de thema</w:t>
      </w:r>
      <w:r w:rsidR="005F5515">
        <w:rPr>
          <w:lang w:val="nl-NL"/>
        </w:rPr>
        <w:t>’</w:t>
      </w:r>
      <w:r>
        <w:rPr>
          <w:lang w:val="nl-NL"/>
        </w:rPr>
        <w:t>s z</w:t>
      </w:r>
      <w:r w:rsidRPr="00B83F86">
        <w:rPr>
          <w:lang w:val="nl-NL"/>
        </w:rPr>
        <w:t>werfvuil</w:t>
      </w:r>
      <w:r>
        <w:rPr>
          <w:lang w:val="nl-NL"/>
        </w:rPr>
        <w:t xml:space="preserve"> en onderwatergeluid </w:t>
      </w:r>
      <w:r w:rsidRPr="00F31274">
        <w:rPr>
          <w:lang w:val="nl-NL"/>
        </w:rPr>
        <w:t>is dekking</w:t>
      </w:r>
      <w:r>
        <w:rPr>
          <w:lang w:val="nl-NL"/>
        </w:rPr>
        <w:t xml:space="preserve"> </w:t>
      </w:r>
      <w:r w:rsidRPr="00F31274">
        <w:rPr>
          <w:lang w:val="nl-NL"/>
        </w:rPr>
        <w:t>op de begroting van het ministerie van Infrastructuur en Waterstaa</w:t>
      </w:r>
      <w:r>
        <w:rPr>
          <w:lang w:val="nl-NL"/>
        </w:rPr>
        <w:t>t. Voor zwerfvuil wordt cofinanciering aangewend vanuit EMVAF middelen.</w:t>
      </w:r>
    </w:p>
    <w:p w:rsidR="009103B9" w:rsidRDefault="002303D4" w14:paraId="6B1263B1" w14:textId="65BAC914">
      <w:pPr>
        <w:rPr>
          <w:lang w:val="nl-NL"/>
        </w:rPr>
      </w:pPr>
      <w:r>
        <w:rPr>
          <w:lang w:val="nl-NL"/>
        </w:rPr>
        <w:t xml:space="preserve">Financiering van de </w:t>
      </w:r>
      <w:r w:rsidR="0056381D">
        <w:rPr>
          <w:lang w:val="nl-NL"/>
        </w:rPr>
        <w:t xml:space="preserve">KRM kennisvragen in de planperiode 2022-2027 </w:t>
      </w:r>
      <w:r>
        <w:rPr>
          <w:lang w:val="nl-NL"/>
        </w:rPr>
        <w:t>komt</w:t>
      </w:r>
      <w:r w:rsidR="0056381D">
        <w:rPr>
          <w:lang w:val="nl-NL"/>
        </w:rPr>
        <w:t xml:space="preserve"> uit de begroting van het ministerie van Infrastructuur en Waterstaat</w:t>
      </w:r>
      <w:r>
        <w:rPr>
          <w:lang w:val="nl-NL"/>
        </w:rPr>
        <w:t>,</w:t>
      </w:r>
      <w:r w:rsidR="0056381D">
        <w:rPr>
          <w:lang w:val="nl-NL"/>
        </w:rPr>
        <w:t xml:space="preserve"> het ministerie van Landbouw, Natuur en Voedselkwaliteit, </w:t>
      </w:r>
      <w:r w:rsidR="008E0732">
        <w:rPr>
          <w:lang w:val="nl-NL"/>
        </w:rPr>
        <w:t xml:space="preserve">EMVAF middelen en </w:t>
      </w:r>
      <w:r w:rsidR="0056381D">
        <w:rPr>
          <w:lang w:val="nl-NL"/>
        </w:rPr>
        <w:t xml:space="preserve">het programma MONS. </w:t>
      </w:r>
      <w:r w:rsidR="009103B9">
        <w:rPr>
          <w:lang w:val="nl-NL"/>
        </w:rPr>
        <w:br w:type="page"/>
      </w:r>
    </w:p>
    <w:p w:rsidRPr="00B96268" w:rsidR="009103B9" w:rsidP="00B96268" w:rsidRDefault="009103B9" w14:paraId="3AA760F7" w14:textId="77777777">
      <w:pPr>
        <w:pStyle w:val="Stijl1"/>
      </w:pPr>
      <w:bookmarkStart w:name="_Toc59455618" w:id="10"/>
      <w:r w:rsidRPr="00B96268">
        <w:t>Aanleiding en doel</w:t>
      </w:r>
      <w:bookmarkEnd w:id="10"/>
    </w:p>
    <w:p w:rsidRPr="005C0692" w:rsidR="002B6DA3" w:rsidP="00746E9B" w:rsidRDefault="002B6DA3" w14:paraId="4B802287" w14:textId="77777777">
      <w:pPr>
        <w:pStyle w:val="Stijl1"/>
        <w:numPr>
          <w:ilvl w:val="1"/>
          <w:numId w:val="16"/>
        </w:numPr>
      </w:pPr>
      <w:bookmarkStart w:name="_Toc59455619" w:id="11"/>
      <w:r w:rsidRPr="005C0692">
        <w:t>Kaderrichtlijn Mariene Strategie</w:t>
      </w:r>
      <w:bookmarkEnd w:id="11"/>
    </w:p>
    <w:p w:rsidR="001D5B87" w:rsidP="005C0692" w:rsidRDefault="00D07BB5" w14:paraId="58DB0EDC" w14:textId="49C0DF27">
      <w:pPr>
        <w:rPr>
          <w:lang w:val="nl-NL"/>
        </w:rPr>
      </w:pPr>
      <w:r>
        <w:rPr>
          <w:lang w:val="nl-NL"/>
        </w:rPr>
        <w:t>D</w:t>
      </w:r>
      <w:r w:rsidRPr="001D5B87" w:rsidR="001D5B87">
        <w:rPr>
          <w:lang w:val="nl-NL"/>
        </w:rPr>
        <w:t xml:space="preserve">e Europese Kaderrichtlijn Mariene Strategie (KRM) is voor het Nederlandse deel van de Noordzee </w:t>
      </w:r>
      <w:r>
        <w:rPr>
          <w:lang w:val="nl-NL"/>
        </w:rPr>
        <w:t xml:space="preserve">uitgewerkt in de </w:t>
      </w:r>
      <w:r w:rsidRPr="001D5B87">
        <w:rPr>
          <w:lang w:val="nl-NL"/>
        </w:rPr>
        <w:t>Mariene Strategie</w:t>
      </w:r>
      <w:r>
        <w:rPr>
          <w:lang w:val="nl-NL"/>
        </w:rPr>
        <w:t>. Dit p</w:t>
      </w:r>
      <w:r w:rsidRPr="001D5B87">
        <w:rPr>
          <w:lang w:val="nl-NL"/>
        </w:rPr>
        <w:t xml:space="preserve">rogramma van </w:t>
      </w:r>
      <w:r>
        <w:rPr>
          <w:lang w:val="nl-NL"/>
        </w:rPr>
        <w:t>m</w:t>
      </w:r>
      <w:r w:rsidRPr="001D5B87">
        <w:rPr>
          <w:lang w:val="nl-NL"/>
        </w:rPr>
        <w:t>aatregelen</w:t>
      </w:r>
      <w:r w:rsidR="00F52DF4">
        <w:rPr>
          <w:lang w:val="nl-NL"/>
        </w:rPr>
        <w:t xml:space="preserve">, dat wordt geïmplementeerd in </w:t>
      </w:r>
      <w:r w:rsidRPr="001D5B87" w:rsidR="00DD5393">
        <w:rPr>
          <w:lang w:val="nl-NL"/>
        </w:rPr>
        <w:t>de periode 20</w:t>
      </w:r>
      <w:r w:rsidR="00DD5393">
        <w:rPr>
          <w:lang w:val="nl-NL"/>
        </w:rPr>
        <w:t>22</w:t>
      </w:r>
      <w:r w:rsidRPr="001D5B87" w:rsidR="00DD5393">
        <w:rPr>
          <w:lang w:val="nl-NL"/>
        </w:rPr>
        <w:t>-202</w:t>
      </w:r>
      <w:r w:rsidR="00DD5393">
        <w:rPr>
          <w:lang w:val="nl-NL"/>
        </w:rPr>
        <w:t xml:space="preserve">7 is daarvan </w:t>
      </w:r>
      <w:r w:rsidR="00F774BF">
        <w:rPr>
          <w:lang w:val="nl-NL"/>
        </w:rPr>
        <w:t>een onderdeel</w:t>
      </w:r>
      <w:r w:rsidR="00DD5393">
        <w:rPr>
          <w:lang w:val="nl-NL"/>
        </w:rPr>
        <w:t xml:space="preserve">. </w:t>
      </w:r>
      <w:r w:rsidR="0072595D">
        <w:rPr>
          <w:lang w:val="nl-NL"/>
        </w:rPr>
        <w:t>Het</w:t>
      </w:r>
      <w:r w:rsidRPr="001D5B87" w:rsidR="001D5B87">
        <w:rPr>
          <w:lang w:val="nl-NL"/>
        </w:rPr>
        <w:t xml:space="preserve"> </w:t>
      </w:r>
      <w:r w:rsidRPr="001D5B87" w:rsidR="00DD5393">
        <w:rPr>
          <w:lang w:val="nl-NL"/>
        </w:rPr>
        <w:t>is een integrale herziening van de eerste versie die in 201</w:t>
      </w:r>
      <w:r w:rsidR="00DD5393">
        <w:rPr>
          <w:lang w:val="nl-NL"/>
        </w:rPr>
        <w:t>5</w:t>
      </w:r>
      <w:r w:rsidRPr="001D5B87" w:rsidR="00DD5393">
        <w:rPr>
          <w:lang w:val="nl-NL"/>
        </w:rPr>
        <w:t xml:space="preserve"> is vastgesteld</w:t>
      </w:r>
      <w:r w:rsidR="00013E66">
        <w:rPr>
          <w:lang w:val="nl-NL"/>
        </w:rPr>
        <w:t xml:space="preserve"> met een looptijd van 2012-2020</w:t>
      </w:r>
      <w:r w:rsidRPr="001D5B87" w:rsidR="00DD5393">
        <w:rPr>
          <w:lang w:val="nl-NL"/>
        </w:rPr>
        <w:t xml:space="preserve"> </w:t>
      </w:r>
      <w:r w:rsidR="00DD5393">
        <w:rPr>
          <w:lang w:val="nl-NL"/>
        </w:rPr>
        <w:t xml:space="preserve">en </w:t>
      </w:r>
      <w:r w:rsidRPr="001D5B87" w:rsidR="001D5B87">
        <w:rPr>
          <w:lang w:val="nl-NL"/>
        </w:rPr>
        <w:t>vormt het sluitstuk van de tweede implementatiecyclus van de KRM</w:t>
      </w:r>
      <w:r w:rsidR="00DD5393">
        <w:rPr>
          <w:lang w:val="nl-NL"/>
        </w:rPr>
        <w:t>.</w:t>
      </w:r>
      <w:r w:rsidR="00013E66">
        <w:rPr>
          <w:lang w:val="nl-NL"/>
        </w:rPr>
        <w:t xml:space="preserve"> Vanwege de relatie met het Programma Noordzee 2022-2027, begint de looptijd van deze actualisatie eveneens in 2022.</w:t>
      </w:r>
    </w:p>
    <w:p w:rsidRPr="005C0692" w:rsidR="00E57522" w:rsidP="005C0692" w:rsidRDefault="00E57522" w14:paraId="3BA493DE" w14:textId="15B59D13">
      <w:pPr>
        <w:rPr>
          <w:lang w:val="nl-NL"/>
        </w:rPr>
      </w:pPr>
      <w:r w:rsidRPr="005C0692">
        <w:rPr>
          <w:lang w:val="nl-NL"/>
        </w:rPr>
        <w:t xml:space="preserve">De KRM verplicht de lidstaten een strategie op te stellen voor het bereiken van een </w:t>
      </w:r>
      <w:r w:rsidRPr="001D5B87">
        <w:rPr>
          <w:lang w:val="nl-NL"/>
        </w:rPr>
        <w:t xml:space="preserve">goede milieutoestand </w:t>
      </w:r>
      <w:r w:rsidR="001D5B87">
        <w:rPr>
          <w:lang w:val="nl-NL"/>
        </w:rPr>
        <w:t>(GMT)</w:t>
      </w:r>
      <w:r w:rsidR="00357B25">
        <w:rPr>
          <w:lang w:val="nl-NL"/>
        </w:rPr>
        <w:t xml:space="preserve"> in </w:t>
      </w:r>
      <w:r w:rsidRPr="005C0692" w:rsidR="00357B25">
        <w:rPr>
          <w:lang w:val="nl-NL"/>
        </w:rPr>
        <w:t>hun mariene wateren</w:t>
      </w:r>
      <w:r w:rsidR="00357B25">
        <w:rPr>
          <w:lang w:val="nl-NL"/>
        </w:rPr>
        <w:t>,</w:t>
      </w:r>
      <w:r w:rsidRPr="005C0692">
        <w:rPr>
          <w:lang w:val="nl-NL"/>
        </w:rPr>
        <w:t xml:space="preserve"> en de nodige maatregelen te nemen om die goede toestand ook werkelijk te bereiken of te behouden. De richtlijn </w:t>
      </w:r>
      <w:r w:rsidR="00357B25">
        <w:rPr>
          <w:lang w:val="nl-NL"/>
        </w:rPr>
        <w:t xml:space="preserve">handelt over </w:t>
      </w:r>
      <w:r w:rsidRPr="005C0692">
        <w:rPr>
          <w:lang w:val="nl-NL"/>
        </w:rPr>
        <w:t>het integrale milieu- en ecosysteembel</w:t>
      </w:r>
      <w:r w:rsidRPr="005C0692" w:rsidR="00B23E6E">
        <w:rPr>
          <w:lang w:val="nl-NL"/>
        </w:rPr>
        <w:t xml:space="preserve">eid en </w:t>
      </w:r>
      <w:r w:rsidR="00357B25">
        <w:rPr>
          <w:lang w:val="nl-NL"/>
        </w:rPr>
        <w:t xml:space="preserve">over </w:t>
      </w:r>
      <w:r w:rsidRPr="005C0692" w:rsidR="00B23E6E">
        <w:rPr>
          <w:lang w:val="nl-NL"/>
        </w:rPr>
        <w:t>het duurzaam gebruik</w:t>
      </w:r>
      <w:r w:rsidR="00357B25">
        <w:rPr>
          <w:lang w:val="nl-NL"/>
        </w:rPr>
        <w:t xml:space="preserve"> van de zee</w:t>
      </w:r>
      <w:r w:rsidRPr="005C0692" w:rsidR="00B23E6E">
        <w:rPr>
          <w:lang w:val="nl-NL"/>
        </w:rPr>
        <w:t xml:space="preserve">. </w:t>
      </w:r>
      <w:r w:rsidR="00357B25">
        <w:rPr>
          <w:lang w:val="nl-NL"/>
        </w:rPr>
        <w:t xml:space="preserve">Meer specifiek </w:t>
      </w:r>
      <w:r w:rsidR="00F774BF">
        <w:rPr>
          <w:lang w:val="nl-NL"/>
        </w:rPr>
        <w:t xml:space="preserve">gaat het om </w:t>
      </w:r>
      <w:r w:rsidRPr="005C0692">
        <w:rPr>
          <w:lang w:val="nl-NL"/>
        </w:rPr>
        <w:t>de thema</w:t>
      </w:r>
      <w:r w:rsidR="005F5515">
        <w:rPr>
          <w:lang w:val="nl-NL"/>
        </w:rPr>
        <w:t>’</w:t>
      </w:r>
      <w:r w:rsidRPr="005C0692">
        <w:rPr>
          <w:lang w:val="nl-NL"/>
        </w:rPr>
        <w:t xml:space="preserve">s biodiversiteit, exoten, </w:t>
      </w:r>
      <w:r w:rsidR="00DC22CF">
        <w:rPr>
          <w:lang w:val="nl-NL"/>
        </w:rPr>
        <w:t>c</w:t>
      </w:r>
      <w:r w:rsidRPr="00DC22CF" w:rsidR="00DC22CF">
        <w:rPr>
          <w:lang w:val="nl-NL"/>
        </w:rPr>
        <w:t>ommercieel geëxploiteerde soorten vis, schaal- en schelpdieren</w:t>
      </w:r>
      <w:r w:rsidR="0072595D">
        <w:rPr>
          <w:lang w:val="nl-NL"/>
        </w:rPr>
        <w:t xml:space="preserve">, </w:t>
      </w:r>
      <w:r w:rsidRPr="005C0692">
        <w:rPr>
          <w:lang w:val="nl-NL"/>
        </w:rPr>
        <w:t>habitat, hydrografie, vervuilende stoffen en eutrofiëring, zwerfvuil en energietoevoer (o</w:t>
      </w:r>
      <w:r w:rsidR="0072595D">
        <w:rPr>
          <w:lang w:val="nl-NL"/>
        </w:rPr>
        <w:t>nder andere</w:t>
      </w:r>
      <w:r w:rsidRPr="005C0692">
        <w:rPr>
          <w:lang w:val="nl-NL"/>
        </w:rPr>
        <w:t xml:space="preserve"> onderwatergeluid). Uitgangspunten zijn de ecosysteembenadering en het voorzorgbeginsel.</w:t>
      </w:r>
      <w:r w:rsidRPr="005C0692" w:rsidR="00B23E6E">
        <w:rPr>
          <w:lang w:val="nl-NL"/>
        </w:rPr>
        <w:t xml:space="preserve"> De invloed van menselijke activiteiten op het mariene ecosysteem mag het bereiken of behouden van de GMT niet verhinderen.</w:t>
      </w:r>
    </w:p>
    <w:p w:rsidRPr="005C0692" w:rsidR="00264C4E" w:rsidP="005C0692" w:rsidRDefault="00B23E6E" w14:paraId="756611C8" w14:textId="77777777">
      <w:pPr>
        <w:rPr>
          <w:lang w:val="nl-NL"/>
        </w:rPr>
      </w:pPr>
      <w:r w:rsidRPr="005C0692">
        <w:rPr>
          <w:lang w:val="nl-NL"/>
        </w:rPr>
        <w:t>De Mariene Strategie bestaat uit drie delen, die elk</w:t>
      </w:r>
      <w:r w:rsidR="00F774BF">
        <w:rPr>
          <w:lang w:val="nl-NL"/>
        </w:rPr>
        <w:t xml:space="preserve"> om de z</w:t>
      </w:r>
      <w:r w:rsidRPr="005C0692">
        <w:rPr>
          <w:lang w:val="nl-NL"/>
        </w:rPr>
        <w:t>es jaar worden geactualiseerd</w:t>
      </w:r>
      <w:r w:rsidR="00F51B34">
        <w:rPr>
          <w:lang w:val="nl-NL"/>
        </w:rPr>
        <w:t>.</w:t>
      </w:r>
    </w:p>
    <w:p w:rsidRPr="00B6541F" w:rsidR="00E57522" w:rsidP="00B6541F" w:rsidRDefault="00E57522" w14:paraId="4EEB581F" w14:textId="77777777">
      <w:pPr>
        <w:pStyle w:val="Heading4"/>
        <w:rPr>
          <w:lang w:val="nl-NL"/>
        </w:rPr>
      </w:pPr>
      <w:r w:rsidRPr="00B6541F">
        <w:rPr>
          <w:lang w:val="nl-NL"/>
        </w:rPr>
        <w:t xml:space="preserve">Mariene Strategie deel 1 </w:t>
      </w:r>
    </w:p>
    <w:p w:rsidRPr="005C0692" w:rsidR="00740268" w:rsidP="005C0692" w:rsidRDefault="00740268" w14:paraId="397CEA89" w14:textId="77777777">
      <w:pPr>
        <w:rPr>
          <w:lang w:val="nl-NL"/>
        </w:rPr>
      </w:pPr>
      <w:r w:rsidRPr="005C0692">
        <w:rPr>
          <w:lang w:val="nl-NL"/>
        </w:rPr>
        <w:t xml:space="preserve">De Mariene Strategie deel 1 </w:t>
      </w:r>
      <w:r w:rsidR="00F774BF">
        <w:rPr>
          <w:lang w:val="nl-NL"/>
        </w:rPr>
        <w:t>omvat</w:t>
      </w:r>
      <w:r w:rsidRPr="005C0692">
        <w:rPr>
          <w:lang w:val="nl-NL"/>
        </w:rPr>
        <w:t xml:space="preserve"> de initiële beoordeling van het mariene milieu (art. 8), </w:t>
      </w:r>
      <w:r w:rsidR="0072595D">
        <w:rPr>
          <w:lang w:val="nl-NL"/>
        </w:rPr>
        <w:t xml:space="preserve">de </w:t>
      </w:r>
      <w:r w:rsidRPr="005C0692">
        <w:rPr>
          <w:lang w:val="nl-NL"/>
        </w:rPr>
        <w:t>omschrijving van de GMT (art. 9) en de milieudoelen en daarmee samenhangende indicatoren (art. 10</w:t>
      </w:r>
      <w:r w:rsidR="00734AB0">
        <w:rPr>
          <w:lang w:val="nl-NL"/>
        </w:rPr>
        <w:t>)</w:t>
      </w:r>
      <w:r w:rsidRPr="00734AB0" w:rsidR="00734AB0">
        <w:rPr>
          <w:lang w:val="nl-NL"/>
        </w:rPr>
        <w:t xml:space="preserve"> </w:t>
      </w:r>
      <w:r w:rsidRPr="005C0692" w:rsidR="00734AB0">
        <w:rPr>
          <w:lang w:val="nl-NL"/>
        </w:rPr>
        <w:t>waar</w:t>
      </w:r>
      <w:r w:rsidR="0072595D">
        <w:rPr>
          <w:lang w:val="nl-NL"/>
        </w:rPr>
        <w:t>uit</w:t>
      </w:r>
      <w:r w:rsidRPr="005C0692" w:rsidR="00734AB0">
        <w:rPr>
          <w:lang w:val="nl-NL"/>
        </w:rPr>
        <w:t xml:space="preserve"> is af te </w:t>
      </w:r>
      <w:r w:rsidR="00734AB0">
        <w:rPr>
          <w:lang w:val="nl-NL"/>
        </w:rPr>
        <w:t>leiden</w:t>
      </w:r>
      <w:r w:rsidRPr="005C0692" w:rsidR="00734AB0">
        <w:rPr>
          <w:lang w:val="nl-NL"/>
        </w:rPr>
        <w:t xml:space="preserve"> in welke mate de actuele toestand van de goede toestand verschilt.</w:t>
      </w:r>
      <w:r w:rsidRPr="005C0692">
        <w:rPr>
          <w:lang w:val="nl-NL"/>
        </w:rPr>
        <w:t xml:space="preserve"> Hiermee stelt de Mariene Strategie </w:t>
      </w:r>
      <w:r w:rsidRPr="0072595D" w:rsidR="0072595D">
        <w:rPr>
          <w:lang w:val="nl-NL"/>
        </w:rPr>
        <w:t xml:space="preserve">voor het Nederlandse deel van de Noordzee </w:t>
      </w:r>
      <w:r w:rsidRPr="005C0692" w:rsidR="00F774BF">
        <w:rPr>
          <w:lang w:val="nl-NL"/>
        </w:rPr>
        <w:t xml:space="preserve">de kaders </w:t>
      </w:r>
      <w:r w:rsidRPr="005C0692">
        <w:rPr>
          <w:lang w:val="nl-NL"/>
        </w:rPr>
        <w:t xml:space="preserve">voor duurzaam gebruik binnen de randvoorwaarden van het ecosysteem, rekening houdend met internationale en Europese regelgeving. </w:t>
      </w:r>
      <w:r w:rsidRPr="005C0692" w:rsidR="001D5B87">
        <w:rPr>
          <w:lang w:val="nl-NL"/>
        </w:rPr>
        <w:t>Het kabinet heef</w:t>
      </w:r>
      <w:r w:rsidR="001D5B87">
        <w:rPr>
          <w:lang w:val="nl-NL"/>
        </w:rPr>
        <w:t>t</w:t>
      </w:r>
      <w:r w:rsidRPr="005C0692" w:rsidR="001D5B87">
        <w:rPr>
          <w:lang w:val="nl-NL"/>
        </w:rPr>
        <w:t xml:space="preserve"> </w:t>
      </w:r>
      <w:r w:rsidR="001D5B87">
        <w:rPr>
          <w:lang w:val="nl-NL"/>
        </w:rPr>
        <w:t xml:space="preserve">de geactualiseerde versie van de Mariene Strategie </w:t>
      </w:r>
      <w:r w:rsidR="000E4075">
        <w:rPr>
          <w:lang w:val="nl-NL"/>
        </w:rPr>
        <w:t>d</w:t>
      </w:r>
      <w:r w:rsidR="001D5B87">
        <w:rPr>
          <w:lang w:val="nl-NL"/>
        </w:rPr>
        <w:t xml:space="preserve">eel 1 </w:t>
      </w:r>
      <w:r w:rsidRPr="005C0692" w:rsidR="001D5B87">
        <w:rPr>
          <w:lang w:val="nl-NL"/>
        </w:rPr>
        <w:t>in 2018 vastgesteld</w:t>
      </w:r>
      <w:r w:rsidR="00734AB0">
        <w:rPr>
          <w:lang w:val="nl-NL"/>
        </w:rPr>
        <w:t xml:space="preserve"> en gerapporteerd aan de Europese Commissie</w:t>
      </w:r>
      <w:r w:rsidRPr="005C0692" w:rsidR="001D5B87">
        <w:rPr>
          <w:lang w:val="nl-NL"/>
        </w:rPr>
        <w:t>.</w:t>
      </w:r>
    </w:p>
    <w:p w:rsidRPr="00B6541F" w:rsidR="00E57522" w:rsidP="00B6541F" w:rsidRDefault="00E57522" w14:paraId="6E7882F4" w14:textId="77777777">
      <w:pPr>
        <w:pStyle w:val="Heading4"/>
        <w:rPr>
          <w:lang w:val="nl-NL"/>
        </w:rPr>
      </w:pPr>
      <w:r w:rsidRPr="00B6541F">
        <w:rPr>
          <w:lang w:val="nl-NL"/>
        </w:rPr>
        <w:t>Mar</w:t>
      </w:r>
      <w:r w:rsidRPr="00B6541F" w:rsidR="00740268">
        <w:rPr>
          <w:lang w:val="nl-NL"/>
        </w:rPr>
        <w:t xml:space="preserve">iene Strategie deel 2 </w:t>
      </w:r>
    </w:p>
    <w:p w:rsidRPr="005C0692" w:rsidR="00740268" w:rsidP="005C0692" w:rsidRDefault="00E57522" w14:paraId="3BB436DD" w14:textId="77777777">
      <w:pPr>
        <w:rPr>
          <w:lang w:val="nl-NL"/>
        </w:rPr>
      </w:pPr>
      <w:r w:rsidRPr="005C0692">
        <w:rPr>
          <w:lang w:val="nl-NL"/>
        </w:rPr>
        <w:t>Deel 2 van de Mariene Strategie</w:t>
      </w:r>
      <w:r w:rsidR="00F774BF">
        <w:rPr>
          <w:lang w:val="nl-NL"/>
        </w:rPr>
        <w:t xml:space="preserve"> is het </w:t>
      </w:r>
      <w:r w:rsidRPr="005C0692">
        <w:rPr>
          <w:lang w:val="nl-NL"/>
        </w:rPr>
        <w:t>KRM-monitoringprogramma</w:t>
      </w:r>
      <w:r w:rsidRPr="005C0692" w:rsidR="00740268">
        <w:rPr>
          <w:lang w:val="nl-NL"/>
        </w:rPr>
        <w:t xml:space="preserve"> (art. 11)</w:t>
      </w:r>
      <w:r w:rsidR="00F774BF">
        <w:rPr>
          <w:lang w:val="nl-NL"/>
        </w:rPr>
        <w:t xml:space="preserve">. Dit </w:t>
      </w:r>
      <w:r w:rsidRPr="005C0692">
        <w:rPr>
          <w:lang w:val="nl-NL"/>
        </w:rPr>
        <w:t xml:space="preserve">beschrijft de wijze waarop Nederland voldoet aan de verplichting om in het eigen deel van de Noordzee de milieutoestand te monitoren en hoe daarbij ook de monitoringopgave voor de implementatie van de Vogel- en Habitatrichtlijn wordt meegenomen. Het vertrekpunt is de bestaande monitoringpraktijk die voortvloeit uit nationale en internationale verplichtingen (zoals KRW, VHR/Natura 2000, GVB, IMO, OSPAR). Het monitoringprogramma wordt jaarlijks geactualiseerd aan de hand van de laatste ontwikkelingen en van nieuwe inzichten </w:t>
      </w:r>
      <w:r w:rsidR="0072595D">
        <w:rPr>
          <w:lang w:val="nl-NL"/>
        </w:rPr>
        <w:t>die volgen</w:t>
      </w:r>
      <w:r w:rsidR="00734AB0">
        <w:rPr>
          <w:lang w:val="nl-NL"/>
        </w:rPr>
        <w:t xml:space="preserve"> uit het Noordzeeakkoord </w:t>
      </w:r>
      <w:r w:rsidRPr="005C0692">
        <w:rPr>
          <w:lang w:val="nl-NL"/>
        </w:rPr>
        <w:t>en internationale afstemming in het kader van OSPAR</w:t>
      </w:r>
      <w:r w:rsidRPr="005C0692">
        <w:rPr>
          <w:sz w:val="12"/>
          <w:szCs w:val="12"/>
          <w:lang w:val="nl-NL"/>
        </w:rPr>
        <w:t xml:space="preserve"> </w:t>
      </w:r>
      <w:r w:rsidRPr="005C0692">
        <w:rPr>
          <w:lang w:val="nl-NL"/>
        </w:rPr>
        <w:t xml:space="preserve">en de Internationale Raad voor het Onderzoek van de Zee (ICES). </w:t>
      </w:r>
      <w:r w:rsidRPr="005C0692" w:rsidR="00740268">
        <w:rPr>
          <w:lang w:val="nl-NL"/>
        </w:rPr>
        <w:t>Het kabinet heef</w:t>
      </w:r>
      <w:r w:rsidR="00F774BF">
        <w:rPr>
          <w:lang w:val="nl-NL"/>
        </w:rPr>
        <w:t>t</w:t>
      </w:r>
      <w:r w:rsidRPr="005C0692" w:rsidR="00740268">
        <w:rPr>
          <w:lang w:val="nl-NL"/>
        </w:rPr>
        <w:t xml:space="preserve"> het geactualiseerde document in </w:t>
      </w:r>
      <w:r w:rsidR="001D5B87">
        <w:rPr>
          <w:lang w:val="nl-NL"/>
        </w:rPr>
        <w:t xml:space="preserve">september </w:t>
      </w:r>
      <w:r w:rsidRPr="001D5B87" w:rsidR="00740268">
        <w:rPr>
          <w:lang w:val="nl-NL"/>
        </w:rPr>
        <w:t>2020</w:t>
      </w:r>
      <w:r w:rsidRPr="005C0692" w:rsidR="00740268">
        <w:rPr>
          <w:lang w:val="nl-NL"/>
        </w:rPr>
        <w:t xml:space="preserve"> vastgesteld. </w:t>
      </w:r>
      <w:r w:rsidR="002334C8">
        <w:rPr>
          <w:lang w:val="nl-NL"/>
        </w:rPr>
        <w:t xml:space="preserve">In november 2020 is gerapporteerd </w:t>
      </w:r>
      <w:r w:rsidR="00734AB0">
        <w:rPr>
          <w:lang w:val="nl-NL"/>
        </w:rPr>
        <w:t>aan de Europese Commissie.</w:t>
      </w:r>
    </w:p>
    <w:p w:rsidRPr="00B6541F" w:rsidR="00E57522" w:rsidP="00B6541F" w:rsidRDefault="00E57522" w14:paraId="5244A2CD" w14:textId="77777777">
      <w:pPr>
        <w:pStyle w:val="Heading4"/>
        <w:rPr>
          <w:lang w:val="nl-NL"/>
        </w:rPr>
      </w:pPr>
      <w:r w:rsidRPr="00B6541F">
        <w:rPr>
          <w:lang w:val="nl-NL"/>
        </w:rPr>
        <w:t xml:space="preserve">Mariene Strategie deel 3 </w:t>
      </w:r>
    </w:p>
    <w:p w:rsidR="00E57522" w:rsidP="005C0692" w:rsidRDefault="00E57522" w14:paraId="35958441" w14:textId="686139A9">
      <w:pPr>
        <w:rPr>
          <w:lang w:val="nl-NL"/>
        </w:rPr>
      </w:pPr>
      <w:r w:rsidRPr="005C0692">
        <w:rPr>
          <w:lang w:val="nl-NL"/>
        </w:rPr>
        <w:t xml:space="preserve">Het voorliggende deel 3 van de Mariene Strategie </w:t>
      </w:r>
      <w:r w:rsidRPr="005C0692" w:rsidR="00B23E6E">
        <w:rPr>
          <w:lang w:val="nl-NL"/>
        </w:rPr>
        <w:t>betreft de actualisatie van de versie uit 2015</w:t>
      </w:r>
      <w:r w:rsidR="00013E66">
        <w:rPr>
          <w:lang w:val="nl-NL"/>
        </w:rPr>
        <w:t xml:space="preserve"> met een looptijd van 2012 tot 2020</w:t>
      </w:r>
      <w:r w:rsidR="0072595D">
        <w:rPr>
          <w:lang w:val="nl-NL"/>
        </w:rPr>
        <w:t xml:space="preserve">. Deel 3 </w:t>
      </w:r>
      <w:r w:rsidRPr="005C0692">
        <w:rPr>
          <w:lang w:val="nl-NL"/>
        </w:rPr>
        <w:t xml:space="preserve">geeft invulling aan </w:t>
      </w:r>
      <w:r w:rsidRPr="00DC22CF">
        <w:rPr>
          <w:lang w:val="nl-NL"/>
        </w:rPr>
        <w:t>artikel</w:t>
      </w:r>
      <w:r w:rsidRPr="00DC22CF" w:rsidR="00B23E6E">
        <w:rPr>
          <w:lang w:val="nl-NL"/>
        </w:rPr>
        <w:t xml:space="preserve"> 13</w:t>
      </w:r>
      <w:r w:rsidRPr="005C0692">
        <w:rPr>
          <w:lang w:val="nl-NL"/>
        </w:rPr>
        <w:t xml:space="preserve"> van de </w:t>
      </w:r>
      <w:r w:rsidRPr="005C0692" w:rsidR="00B23E6E">
        <w:rPr>
          <w:lang w:val="nl-NL"/>
        </w:rPr>
        <w:t xml:space="preserve">KRM, dat lidstaten verplicht </w:t>
      </w:r>
      <w:r w:rsidRPr="005C0692">
        <w:rPr>
          <w:lang w:val="nl-NL"/>
        </w:rPr>
        <w:t>een programma van ma</w:t>
      </w:r>
      <w:r w:rsidRPr="005C0692" w:rsidR="00B23E6E">
        <w:rPr>
          <w:lang w:val="nl-NL"/>
        </w:rPr>
        <w:t>atregelen op te stellen</w:t>
      </w:r>
      <w:r w:rsidR="001D5B87">
        <w:rPr>
          <w:lang w:val="nl-NL"/>
        </w:rPr>
        <w:t xml:space="preserve"> waarmee de GMT kan worden bereikt en behouden</w:t>
      </w:r>
      <w:r w:rsidRPr="005C0692" w:rsidR="00B23E6E">
        <w:rPr>
          <w:lang w:val="nl-NL"/>
        </w:rPr>
        <w:t>. De Ma</w:t>
      </w:r>
      <w:r w:rsidRPr="005C0692">
        <w:rPr>
          <w:lang w:val="nl-NL"/>
        </w:rPr>
        <w:t>riene Strategie deel 3 beschrijft onder meer het ontwikkelingsproces van het programma van maatregelen en de hiervoor uitgevoerde analyses. Het document geeft toelichting op de inhoud en</w:t>
      </w:r>
      <w:r w:rsidR="007F6DF8">
        <w:rPr>
          <w:lang w:val="nl-NL"/>
        </w:rPr>
        <w:t>, waar mogelijk,</w:t>
      </w:r>
      <w:r w:rsidRPr="005C0692">
        <w:rPr>
          <w:lang w:val="nl-NL"/>
        </w:rPr>
        <w:t xml:space="preserve"> de verwachte effectiviteit van de maatregelen. De Mariene Strategie deel 3 is </w:t>
      </w:r>
      <w:r w:rsidRPr="005C0692" w:rsidR="009867EF">
        <w:rPr>
          <w:lang w:val="nl-NL"/>
        </w:rPr>
        <w:t xml:space="preserve">een bijlage van het Programma Noordzee 2022-2027 </w:t>
      </w:r>
      <w:r w:rsidR="001D5B87">
        <w:rPr>
          <w:lang w:val="nl-NL"/>
        </w:rPr>
        <w:t>d</w:t>
      </w:r>
      <w:r w:rsidRPr="005C0692" w:rsidR="009867EF">
        <w:rPr>
          <w:lang w:val="nl-NL"/>
        </w:rPr>
        <w:t xml:space="preserve">at </w:t>
      </w:r>
      <w:r w:rsidR="00233460">
        <w:rPr>
          <w:lang w:val="nl-NL"/>
        </w:rPr>
        <w:t xml:space="preserve">als </w:t>
      </w:r>
      <w:r w:rsidRPr="005C0692" w:rsidR="009867EF">
        <w:rPr>
          <w:lang w:val="nl-NL"/>
        </w:rPr>
        <w:t>o</w:t>
      </w:r>
      <w:r w:rsidRPr="005C0692">
        <w:rPr>
          <w:lang w:val="nl-NL"/>
        </w:rPr>
        <w:t xml:space="preserve">nderdeel </w:t>
      </w:r>
      <w:r w:rsidRPr="005C0692" w:rsidR="009867EF">
        <w:rPr>
          <w:lang w:val="nl-NL"/>
        </w:rPr>
        <w:t>van</w:t>
      </w:r>
      <w:r w:rsidRPr="005C0692">
        <w:rPr>
          <w:lang w:val="nl-NL"/>
        </w:rPr>
        <w:t xml:space="preserve"> het Nationaal Water</w:t>
      </w:r>
      <w:r w:rsidR="0028477F">
        <w:rPr>
          <w:lang w:val="nl-NL"/>
        </w:rPr>
        <w:t xml:space="preserve"> P</w:t>
      </w:r>
      <w:r w:rsidRPr="005C0692" w:rsidR="009867EF">
        <w:rPr>
          <w:lang w:val="nl-NL"/>
        </w:rPr>
        <w:t>rogramma</w:t>
      </w:r>
      <w:r w:rsidR="00B37B2A">
        <w:rPr>
          <w:lang w:val="nl-NL"/>
        </w:rPr>
        <w:t xml:space="preserve"> (NWP)</w:t>
      </w:r>
      <w:r w:rsidR="00233460">
        <w:rPr>
          <w:lang w:val="nl-NL"/>
        </w:rPr>
        <w:t xml:space="preserve"> </w:t>
      </w:r>
      <w:r w:rsidRPr="001D5B87" w:rsidR="001D5B87">
        <w:rPr>
          <w:lang w:val="nl-NL"/>
        </w:rPr>
        <w:t>eind 2021 word</w:t>
      </w:r>
      <w:r w:rsidR="00233460">
        <w:rPr>
          <w:lang w:val="nl-NL"/>
        </w:rPr>
        <w:t>t</w:t>
      </w:r>
      <w:r w:rsidRPr="001D5B87" w:rsidR="001D5B87">
        <w:rPr>
          <w:lang w:val="nl-NL"/>
        </w:rPr>
        <w:t xml:space="preserve"> vastgesteld.</w:t>
      </w:r>
    </w:p>
    <w:p w:rsidRPr="005C0692" w:rsidR="007A0CC6" w:rsidP="005C0692" w:rsidRDefault="007A0CC6" w14:paraId="74EDF257" w14:textId="7AF5F62C">
      <w:pPr>
        <w:rPr>
          <w:lang w:val="nl-NL"/>
        </w:rPr>
      </w:pPr>
      <w:r w:rsidRPr="007A0CC6">
        <w:rPr>
          <w:rFonts w:cs="Calibri"/>
          <w:lang w:val="nl-NL"/>
        </w:rPr>
        <w:t>De KRM zal in 2023 worden herzien, dit kan gedurende de planperiode leiden tot bijstellen of aanvullen van (de implementatie</w:t>
      </w:r>
      <w:r>
        <w:rPr>
          <w:rFonts w:cs="Calibri"/>
          <w:lang w:val="nl-NL"/>
        </w:rPr>
        <w:t xml:space="preserve"> van</w:t>
      </w:r>
      <w:r w:rsidRPr="007A0CC6">
        <w:rPr>
          <w:rFonts w:cs="Calibri"/>
          <w:lang w:val="nl-NL"/>
        </w:rPr>
        <w:t xml:space="preserve">) het beleid van </w:t>
      </w:r>
      <w:r>
        <w:rPr>
          <w:rFonts w:cs="Calibri"/>
          <w:lang w:val="nl-NL"/>
        </w:rPr>
        <w:t xml:space="preserve">het </w:t>
      </w:r>
      <w:r w:rsidRPr="007A0CC6">
        <w:rPr>
          <w:rFonts w:cs="Calibri"/>
          <w:lang w:val="nl-NL"/>
        </w:rPr>
        <w:t>Programma Noordzee en de implementatie van de KRM als onderdeel daarvan.</w:t>
      </w:r>
    </w:p>
    <w:p w:rsidRPr="005C0692" w:rsidR="00D8394F" w:rsidP="00746E9B" w:rsidRDefault="00D8394F" w14:paraId="6BE89B39" w14:textId="77777777">
      <w:pPr>
        <w:pStyle w:val="Stijl1"/>
        <w:numPr>
          <w:ilvl w:val="1"/>
          <w:numId w:val="16"/>
        </w:numPr>
      </w:pPr>
      <w:bookmarkStart w:name="_Toc59455620" w:id="12"/>
      <w:r w:rsidRPr="005C0692">
        <w:t>Doel en context</w:t>
      </w:r>
      <w:bookmarkEnd w:id="12"/>
    </w:p>
    <w:p w:rsidR="00431D71" w:rsidP="005C0692" w:rsidRDefault="00431D71" w14:paraId="4FD45609" w14:textId="77777777">
      <w:pPr>
        <w:rPr>
          <w:lang w:val="nl-NL"/>
        </w:rPr>
      </w:pPr>
      <w:r w:rsidRPr="00431D71">
        <w:rPr>
          <w:lang w:val="nl-NL"/>
        </w:rPr>
        <w:t>Het Nederlands Noord</w:t>
      </w:r>
      <w:r>
        <w:rPr>
          <w:lang w:val="nl-NL"/>
        </w:rPr>
        <w:t>zeebeleid, zoals verwoord in het Programma Noordzee 2022-2027</w:t>
      </w:r>
      <w:r w:rsidR="001D5B87">
        <w:rPr>
          <w:lang w:val="nl-NL"/>
        </w:rPr>
        <w:t>,</w:t>
      </w:r>
      <w:r>
        <w:rPr>
          <w:lang w:val="nl-NL"/>
        </w:rPr>
        <w:t xml:space="preserve"> </w:t>
      </w:r>
      <w:r w:rsidRPr="00431D71">
        <w:rPr>
          <w:lang w:val="nl-NL"/>
        </w:rPr>
        <w:t xml:space="preserve">omvat alle doelen en ambities voor </w:t>
      </w:r>
      <w:r w:rsidR="00734AB0">
        <w:rPr>
          <w:lang w:val="nl-NL"/>
        </w:rPr>
        <w:t xml:space="preserve">geïntegreerd maritiem beleid voor </w:t>
      </w:r>
      <w:r w:rsidRPr="00431D71">
        <w:rPr>
          <w:lang w:val="nl-NL"/>
        </w:rPr>
        <w:t xml:space="preserve">het Nederlandse deel van de Noordzee. Hierbinnen integreert de Mariene Strategie de randvoorwaarden en ambities </w:t>
      </w:r>
      <w:r w:rsidR="00233460">
        <w:rPr>
          <w:lang w:val="nl-NL"/>
        </w:rPr>
        <w:t>van</w:t>
      </w:r>
      <w:r w:rsidRPr="00431D71">
        <w:rPr>
          <w:lang w:val="nl-NL"/>
        </w:rPr>
        <w:t>uit de verschillende beleidsterreinen op het gebied van natuur, milieu en duurzame economische ontwikkelingen</w:t>
      </w:r>
      <w:r w:rsidR="00233460">
        <w:rPr>
          <w:lang w:val="nl-NL"/>
        </w:rPr>
        <w:t xml:space="preserve">, en vult deze aan als dit nodig is om de </w:t>
      </w:r>
      <w:r w:rsidR="009E6EFC">
        <w:rPr>
          <w:lang w:val="nl-NL"/>
        </w:rPr>
        <w:t xml:space="preserve">goede milieutoestand te bereiken en </w:t>
      </w:r>
      <w:r w:rsidR="00F51B34">
        <w:rPr>
          <w:lang w:val="nl-NL"/>
        </w:rPr>
        <w:t xml:space="preserve">te </w:t>
      </w:r>
      <w:r w:rsidR="009E6EFC">
        <w:rPr>
          <w:lang w:val="nl-NL"/>
        </w:rPr>
        <w:t>behouden</w:t>
      </w:r>
      <w:r w:rsidR="00233460">
        <w:rPr>
          <w:lang w:val="nl-NL"/>
        </w:rPr>
        <w:t>.</w:t>
      </w:r>
      <w:r w:rsidRPr="00431D71">
        <w:rPr>
          <w:lang w:val="nl-NL"/>
        </w:rPr>
        <w:t xml:space="preserve"> Deze structuur sluit aan bij de Europese beleidscontext waarin de KRM de milieupijler vormt van het geïntegreerde maritieme beleid (</w:t>
      </w:r>
      <w:r w:rsidRPr="00AF1E71">
        <w:rPr>
          <w:i/>
          <w:iCs/>
          <w:lang w:val="nl-NL"/>
        </w:rPr>
        <w:t>integrated maritime policy</w:t>
      </w:r>
      <w:r w:rsidRPr="00431D71">
        <w:rPr>
          <w:lang w:val="nl-NL"/>
        </w:rPr>
        <w:t>, IMP).</w:t>
      </w:r>
    </w:p>
    <w:p w:rsidR="00A30304" w:rsidP="005C0692" w:rsidRDefault="00A30304" w14:paraId="656CEC54" w14:textId="77777777">
      <w:pPr>
        <w:rPr>
          <w:lang w:val="nl-NL"/>
        </w:rPr>
      </w:pPr>
      <w:r w:rsidRPr="00A30304">
        <w:rPr>
          <w:lang w:val="nl-NL"/>
        </w:rPr>
        <w:t>De integratie binnen de Mariene Strategie heeft onder meer betrekking op beleid dat op grond van internationale kaders op nationaal niveau wordt uitgevoerd, zoals het natuurbeleid (Vogel- en Habitatrichtlijn, het beleid voor soorten en het beleid met betrekking tot exoten), het waterkwaliteitsbeleid, milieuaspecten van het scheepvaartbeleid, verduurzaming van de visserij</w:t>
      </w:r>
      <w:r>
        <w:rPr>
          <w:lang w:val="nl-NL"/>
        </w:rPr>
        <w:t xml:space="preserve"> </w:t>
      </w:r>
      <w:r w:rsidRPr="00A30304">
        <w:rPr>
          <w:lang w:val="nl-NL"/>
        </w:rPr>
        <w:t>en de gebiedsbeschermende maatregelen die hie</w:t>
      </w:r>
      <w:r w:rsidR="001D5B87">
        <w:rPr>
          <w:lang w:val="nl-NL"/>
        </w:rPr>
        <w:t>rmee samenhangen</w:t>
      </w:r>
      <w:r w:rsidRPr="00A30304">
        <w:rPr>
          <w:lang w:val="nl-NL"/>
        </w:rPr>
        <w:t>.</w:t>
      </w:r>
    </w:p>
    <w:p w:rsidR="008A19B9" w:rsidP="008A19B9" w:rsidRDefault="009E6EFC" w14:paraId="01AC269B" w14:textId="0B749ABA">
      <w:pPr>
        <w:rPr>
          <w:lang w:val="nl-NL"/>
        </w:rPr>
      </w:pPr>
      <w:r>
        <w:rPr>
          <w:lang w:val="nl-NL"/>
        </w:rPr>
        <w:t>H</w:t>
      </w:r>
      <w:r w:rsidR="008A19B9">
        <w:rPr>
          <w:lang w:val="nl-NL"/>
        </w:rPr>
        <w:t>et Programma Noordzee 2022-2027 omschr</w:t>
      </w:r>
      <w:r>
        <w:rPr>
          <w:lang w:val="nl-NL"/>
        </w:rPr>
        <w:t>ijft als overkoepelend doel: e</w:t>
      </w:r>
      <w:r w:rsidR="008A19B9">
        <w:rPr>
          <w:lang w:val="nl-NL"/>
        </w:rPr>
        <w:t>en</w:t>
      </w:r>
      <w:r w:rsidRPr="00431D71" w:rsidR="008A19B9">
        <w:rPr>
          <w:lang w:val="nl-NL"/>
        </w:rPr>
        <w:t xml:space="preserve"> Noordzee </w:t>
      </w:r>
      <w:r w:rsidR="008A19B9">
        <w:rPr>
          <w:lang w:val="nl-NL"/>
        </w:rPr>
        <w:t xml:space="preserve">die </w:t>
      </w:r>
      <w:r w:rsidRPr="00431D71" w:rsidR="008A19B9">
        <w:rPr>
          <w:lang w:val="nl-NL"/>
        </w:rPr>
        <w:t>in de toekomst schoon, gezond en productief is, met een ecosysteem dat optimaal en veerkrachtig functioneert, terwijl het gebruik van de zee duurzaam is. Zo</w:t>
      </w:r>
      <w:r w:rsidR="005F5515">
        <w:rPr>
          <w:lang w:val="nl-NL"/>
        </w:rPr>
        <w:t>’</w:t>
      </w:r>
      <w:r w:rsidRPr="00431D71" w:rsidR="008A19B9">
        <w:rPr>
          <w:lang w:val="nl-NL"/>
        </w:rPr>
        <w:t>n Noordzee biedt draagkracht en ontwikkelingsperspectieven voor zowel natuur en milieu als voor economische sectoren.</w:t>
      </w:r>
      <w:r w:rsidR="008A19B9">
        <w:rPr>
          <w:lang w:val="nl-NL"/>
        </w:rPr>
        <w:t xml:space="preserve"> Het programma van maatregelen draagt bij aan dit doel. </w:t>
      </w:r>
    </w:p>
    <w:p w:rsidR="00A30304" w:rsidP="005C0692" w:rsidRDefault="00A30304" w14:paraId="20406F19" w14:textId="77777777">
      <w:pPr>
        <w:pStyle w:val="Heading4"/>
        <w:rPr>
          <w:lang w:val="nl-NL"/>
        </w:rPr>
      </w:pPr>
      <w:r>
        <w:rPr>
          <w:lang w:val="nl-NL"/>
        </w:rPr>
        <w:t>Internationale</w:t>
      </w:r>
      <w:r w:rsidR="00013E66">
        <w:rPr>
          <w:lang w:val="nl-NL"/>
        </w:rPr>
        <w:t xml:space="preserve"> en Europese</w:t>
      </w:r>
      <w:r>
        <w:rPr>
          <w:lang w:val="nl-NL"/>
        </w:rPr>
        <w:t xml:space="preserve"> context</w:t>
      </w:r>
    </w:p>
    <w:p w:rsidR="00254D3E" w:rsidP="004218BD" w:rsidRDefault="00254D3E" w14:paraId="1A7D2A3D" w14:textId="073DC1AC">
      <w:pPr>
        <w:rPr>
          <w:lang w:val="nl-NL"/>
        </w:rPr>
      </w:pPr>
      <w:r>
        <w:rPr>
          <w:lang w:val="nl-NL"/>
        </w:rPr>
        <w:t>Inhoudelijk bouwt h</w:t>
      </w:r>
      <w:r w:rsidRPr="00A30304" w:rsidR="00A30304">
        <w:rPr>
          <w:lang w:val="nl-NL"/>
        </w:rPr>
        <w:t xml:space="preserve">et programma van maatregelen </w:t>
      </w:r>
      <w:r w:rsidR="00F84BCB">
        <w:rPr>
          <w:lang w:val="nl-NL"/>
        </w:rPr>
        <w:t xml:space="preserve">voort op al bestaande </w:t>
      </w:r>
      <w:r w:rsidRPr="00A30304" w:rsidR="00A30304">
        <w:rPr>
          <w:lang w:val="nl-NL"/>
        </w:rPr>
        <w:t xml:space="preserve">maatregelen </w:t>
      </w:r>
      <w:r w:rsidR="00F84BCB">
        <w:rPr>
          <w:lang w:val="nl-NL"/>
        </w:rPr>
        <w:t xml:space="preserve">vanuit </w:t>
      </w:r>
      <w:r w:rsidR="00B37B2A">
        <w:rPr>
          <w:lang w:val="nl-NL"/>
        </w:rPr>
        <w:t>onder andere</w:t>
      </w:r>
      <w:r w:rsidRPr="00A30304" w:rsidR="00A30304">
        <w:rPr>
          <w:lang w:val="nl-NL"/>
        </w:rPr>
        <w:t xml:space="preserve"> het Gemeenschappelijk Visserijbeleid</w:t>
      </w:r>
      <w:r w:rsidR="00A30304">
        <w:rPr>
          <w:lang w:val="nl-NL"/>
        </w:rPr>
        <w:t xml:space="preserve"> (GVB)</w:t>
      </w:r>
      <w:r w:rsidRPr="00A30304" w:rsidR="00A30304">
        <w:rPr>
          <w:lang w:val="nl-NL"/>
        </w:rPr>
        <w:t>, de Kaderrichtlijn Water (KRW), de Nitraatrichtlijn, de Richtlijn behandeling stedelijk afvalwater, de Zwemwaterrichtlijn</w:t>
      </w:r>
      <w:r>
        <w:rPr>
          <w:lang w:val="nl-NL"/>
        </w:rPr>
        <w:t>,</w:t>
      </w:r>
      <w:r w:rsidRPr="00A30304" w:rsidR="00A30304">
        <w:rPr>
          <w:lang w:val="nl-NL"/>
        </w:rPr>
        <w:t xml:space="preserve"> en de Richtlijn inzake milieukwaliteitsnormen voor prioritair gevaarlijke stoffen, en ook van internationale overeenkomsten in OSPAR- of IMO-verband.</w:t>
      </w:r>
    </w:p>
    <w:p w:rsidR="00A30304" w:rsidP="004218BD" w:rsidRDefault="00A30304" w14:paraId="79F10C68" w14:textId="673BA98A">
      <w:pPr>
        <w:rPr>
          <w:lang w:val="nl-NL"/>
        </w:rPr>
      </w:pPr>
      <w:r w:rsidRPr="00A30304">
        <w:rPr>
          <w:lang w:val="nl-NL"/>
        </w:rPr>
        <w:t>Verder is het programma van maatregelen afgestemd op de internationale biodiversiteitafspraken die volgen uit het Biodiversiteitsverdrag (</w:t>
      </w:r>
      <w:r w:rsidRPr="00AF1E71">
        <w:rPr>
          <w:i/>
          <w:iCs/>
          <w:lang w:val="nl-NL"/>
        </w:rPr>
        <w:t>Convention on biological diversity</w:t>
      </w:r>
      <w:r w:rsidRPr="00A30304">
        <w:rPr>
          <w:lang w:val="nl-NL"/>
        </w:rPr>
        <w:t>, CBD)</w:t>
      </w:r>
      <w:r w:rsidR="00F567C1">
        <w:rPr>
          <w:lang w:val="nl-NL"/>
        </w:rPr>
        <w:t>, EU Biodiversiteit</w:t>
      </w:r>
      <w:r w:rsidR="007A6D01">
        <w:rPr>
          <w:lang w:val="nl-NL"/>
        </w:rPr>
        <w:t>s</w:t>
      </w:r>
      <w:r w:rsidR="00F567C1">
        <w:rPr>
          <w:lang w:val="nl-NL"/>
        </w:rPr>
        <w:t>strategie</w:t>
      </w:r>
      <w:r w:rsidR="00A45A83">
        <w:rPr>
          <w:lang w:val="nl-NL"/>
        </w:rPr>
        <w:t>,</w:t>
      </w:r>
      <w:r w:rsidRPr="00A30304">
        <w:rPr>
          <w:lang w:val="nl-NL"/>
        </w:rPr>
        <w:t xml:space="preserve"> de Europese Vogelrichtlijn</w:t>
      </w:r>
      <w:r w:rsidR="00DC22CF">
        <w:rPr>
          <w:lang w:val="nl-NL"/>
        </w:rPr>
        <w:t xml:space="preserve"> en</w:t>
      </w:r>
      <w:r w:rsidRPr="00A30304">
        <w:rPr>
          <w:lang w:val="nl-NL"/>
        </w:rPr>
        <w:t xml:space="preserve"> Habitatrichtlijn</w:t>
      </w:r>
      <w:r w:rsidR="00A45A83">
        <w:rPr>
          <w:lang w:val="nl-NL"/>
        </w:rPr>
        <w:t xml:space="preserve"> en Routekaart van de Gr</w:t>
      </w:r>
      <w:r w:rsidR="00C6790D">
        <w:rPr>
          <w:lang w:val="nl-NL"/>
        </w:rPr>
        <w:t>e</w:t>
      </w:r>
      <w:r w:rsidR="00A45A83">
        <w:rPr>
          <w:lang w:val="nl-NL"/>
        </w:rPr>
        <w:t>en Deal</w:t>
      </w:r>
      <w:r w:rsidRPr="00A30304">
        <w:rPr>
          <w:lang w:val="nl-NL"/>
        </w:rPr>
        <w:t xml:space="preserve">. Dit betreft de doelen van het gemeenschappelijk Europese en </w:t>
      </w:r>
      <w:r w:rsidRPr="006B039D">
        <w:rPr>
          <w:lang w:val="nl-NL"/>
        </w:rPr>
        <w:t xml:space="preserve">internationale beleid om verlies aan biodiversiteit tot staan </w:t>
      </w:r>
      <w:r w:rsidR="000A00F5">
        <w:rPr>
          <w:lang w:val="nl-NL"/>
        </w:rPr>
        <w:t xml:space="preserve">te </w:t>
      </w:r>
      <w:r w:rsidRPr="006B039D">
        <w:rPr>
          <w:lang w:val="nl-NL"/>
        </w:rPr>
        <w:t>brengen en Natura 2000-beleid te</w:t>
      </w:r>
      <w:r w:rsidRPr="00A30304">
        <w:rPr>
          <w:lang w:val="nl-NL"/>
        </w:rPr>
        <w:t xml:space="preserve"> versterken. </w:t>
      </w:r>
      <w:r w:rsidR="007A6D01">
        <w:rPr>
          <w:lang w:val="nl-NL"/>
        </w:rPr>
        <w:t xml:space="preserve">Afspraken rondom gebiedsbescherming en natuurherstel uit de EU Biodiversiteitsstrategie worden in Europees kader nog nader uitgewerkt. </w:t>
      </w:r>
      <w:r w:rsidR="00F84BCB">
        <w:rPr>
          <w:lang w:val="nl-NL"/>
        </w:rPr>
        <w:t xml:space="preserve">Voor het aspect biodiversiteit </w:t>
      </w:r>
      <w:r w:rsidRPr="00A30304">
        <w:rPr>
          <w:lang w:val="nl-NL"/>
        </w:rPr>
        <w:t xml:space="preserve">steunt het programma van maatregelen </w:t>
      </w:r>
      <w:r w:rsidR="00F84BCB">
        <w:rPr>
          <w:lang w:val="nl-NL"/>
        </w:rPr>
        <w:t xml:space="preserve">ook op </w:t>
      </w:r>
      <w:r w:rsidRPr="00A30304">
        <w:rPr>
          <w:lang w:val="nl-NL"/>
        </w:rPr>
        <w:t>internationale afspraken, zoals voor de bescherming van kleine walvisachtigen (</w:t>
      </w:r>
      <w:r w:rsidRPr="00AF1E71">
        <w:rPr>
          <w:i/>
          <w:iCs/>
          <w:lang w:val="nl-NL"/>
        </w:rPr>
        <w:t>Agreement on the Conservation of Small Cetaceans of the Baltic and North Seas</w:t>
      </w:r>
      <w:r w:rsidRPr="00A30304">
        <w:rPr>
          <w:lang w:val="nl-NL"/>
        </w:rPr>
        <w:t>, ASCOBANS).</w:t>
      </w:r>
    </w:p>
    <w:p w:rsidR="00A30304" w:rsidP="004218BD" w:rsidRDefault="00AD685A" w14:paraId="1E4C7546" w14:textId="73579560">
      <w:pPr>
        <w:rPr>
          <w:lang w:val="nl-NL"/>
        </w:rPr>
      </w:pPr>
      <w:r>
        <w:rPr>
          <w:lang w:val="nl-NL"/>
        </w:rPr>
        <w:t>Tot slot leveren ook d</w:t>
      </w:r>
      <w:r w:rsidR="00A30304">
        <w:rPr>
          <w:lang w:val="nl-NL"/>
        </w:rPr>
        <w:t>e programma</w:t>
      </w:r>
      <w:r w:rsidR="005F5515">
        <w:rPr>
          <w:lang w:val="nl-NL"/>
        </w:rPr>
        <w:t>’</w:t>
      </w:r>
      <w:r w:rsidR="00A30304">
        <w:rPr>
          <w:lang w:val="nl-NL"/>
        </w:rPr>
        <w:t xml:space="preserve">s van maatregelen </w:t>
      </w:r>
      <w:r w:rsidR="00F84BCB">
        <w:rPr>
          <w:lang w:val="nl-NL"/>
        </w:rPr>
        <w:t xml:space="preserve">die onder de </w:t>
      </w:r>
      <w:r w:rsidR="00A30304">
        <w:rPr>
          <w:lang w:val="nl-NL"/>
        </w:rPr>
        <w:t xml:space="preserve">Kaderrichtlijn Water tot stand zijn gekomen door samenwerking in </w:t>
      </w:r>
      <w:r w:rsidRPr="00A30304" w:rsidR="00A30304">
        <w:rPr>
          <w:lang w:val="nl-NL"/>
        </w:rPr>
        <w:t>de vier internationale stroomgebi</w:t>
      </w:r>
      <w:r w:rsidR="00485FAA">
        <w:rPr>
          <w:lang w:val="nl-NL"/>
        </w:rPr>
        <w:t>eden Rijn, Maas, Schelde en Eems,</w:t>
      </w:r>
      <w:r w:rsidR="00F84BCB">
        <w:rPr>
          <w:lang w:val="nl-NL"/>
        </w:rPr>
        <w:t xml:space="preserve"> </w:t>
      </w:r>
      <w:r w:rsidR="00485FAA">
        <w:rPr>
          <w:lang w:val="nl-NL"/>
        </w:rPr>
        <w:t>een bijdrage aan het programma van maatregelen</w:t>
      </w:r>
      <w:r w:rsidR="00F84BCB">
        <w:rPr>
          <w:lang w:val="nl-NL"/>
        </w:rPr>
        <w:t xml:space="preserve"> van de Mariene Strategie</w:t>
      </w:r>
      <w:r w:rsidR="00485FAA">
        <w:rPr>
          <w:lang w:val="nl-NL"/>
        </w:rPr>
        <w:t xml:space="preserve">. </w:t>
      </w:r>
      <w:r w:rsidRPr="00A30304" w:rsidR="00A30304">
        <w:rPr>
          <w:lang w:val="nl-NL"/>
        </w:rPr>
        <w:t>D</w:t>
      </w:r>
      <w:r w:rsidR="00485FAA">
        <w:rPr>
          <w:lang w:val="nl-NL"/>
        </w:rPr>
        <w:t>it</w:t>
      </w:r>
      <w:r w:rsidRPr="00A30304" w:rsidR="00A30304">
        <w:rPr>
          <w:lang w:val="nl-NL"/>
        </w:rPr>
        <w:t xml:space="preserve"> geldt onder meer voor het realiseren van de KRM-doelstellingen voor eutrofiëring, vervuilende stoffen, trekvissen, </w:t>
      </w:r>
      <w:r w:rsidR="00614110">
        <w:rPr>
          <w:lang w:val="nl-NL"/>
        </w:rPr>
        <w:t xml:space="preserve">zwerfvuil </w:t>
      </w:r>
      <w:r w:rsidRPr="00A30304" w:rsidR="00A30304">
        <w:rPr>
          <w:lang w:val="nl-NL"/>
        </w:rPr>
        <w:t>en</w:t>
      </w:r>
      <w:r w:rsidR="00485FAA">
        <w:rPr>
          <w:lang w:val="nl-NL"/>
        </w:rPr>
        <w:t xml:space="preserve"> </w:t>
      </w:r>
      <w:r w:rsidRPr="00A30304" w:rsidR="00A30304">
        <w:rPr>
          <w:lang w:val="nl-NL"/>
        </w:rPr>
        <w:t>voor het realiseren van een goede milieutoestand in de kustwateren.</w:t>
      </w:r>
    </w:p>
    <w:p w:rsidRPr="002334C8" w:rsidR="002334C8" w:rsidP="002334C8" w:rsidRDefault="002334C8" w14:paraId="6C39AF9B" w14:textId="77777777">
      <w:pPr>
        <w:pStyle w:val="Heading4"/>
        <w:rPr>
          <w:lang w:val="nl-NL"/>
        </w:rPr>
      </w:pPr>
      <w:r w:rsidRPr="002334C8">
        <w:rPr>
          <w:lang w:val="nl-NL"/>
        </w:rPr>
        <w:t>Klimaatverandering en oceaanverzuring</w:t>
      </w:r>
    </w:p>
    <w:p w:rsidRPr="002334C8" w:rsidR="002334C8" w:rsidP="002334C8" w:rsidRDefault="002334C8" w14:paraId="13D6474F" w14:textId="77777777">
      <w:pPr>
        <w:rPr>
          <w:lang w:val="nl-NL"/>
        </w:rPr>
      </w:pPr>
      <w:r w:rsidRPr="002334C8">
        <w:rPr>
          <w:lang w:val="nl-NL"/>
        </w:rPr>
        <w:t>Bij het opstellen van dit programma van maatregelen is aandacht besteed aan de gevolgen van klimaatverandering. De laatste decennia is sprake van een versnelde klimaatverandering, aangejaagd door de toename van de concentratie van broeikasgassen in de atmosfeer, zoals CO</w:t>
      </w:r>
      <w:r w:rsidRPr="002334C8">
        <w:rPr>
          <w:vertAlign w:val="subscript"/>
          <w:lang w:val="nl-NL"/>
        </w:rPr>
        <w:t>2</w:t>
      </w:r>
      <w:r w:rsidRPr="002334C8">
        <w:rPr>
          <w:lang w:val="nl-NL"/>
        </w:rPr>
        <w:t>. Deze veranderingen in het fysieke milieu kunnen via verschillende wegen van invloed zijn op het ecosysteem van de Noordzee. De drie belangrijkste effecten zijn:</w:t>
      </w:r>
    </w:p>
    <w:p w:rsidRPr="002334C8" w:rsidR="002334C8" w:rsidP="002334C8" w:rsidRDefault="002334C8" w14:paraId="6B298929" w14:textId="77777777">
      <w:pPr>
        <w:pStyle w:val="ListParagraph"/>
        <w:numPr>
          <w:ilvl w:val="0"/>
          <w:numId w:val="52"/>
        </w:numPr>
        <w:rPr>
          <w:lang w:val="nl-NL"/>
        </w:rPr>
      </w:pPr>
      <w:r w:rsidRPr="002334C8">
        <w:rPr>
          <w:lang w:val="nl-NL"/>
        </w:rPr>
        <w:t>toename van de zeewatertemperatuur</w:t>
      </w:r>
    </w:p>
    <w:p w:rsidRPr="002334C8" w:rsidR="002334C8" w:rsidP="002334C8" w:rsidRDefault="002334C8" w14:paraId="3E78E930" w14:textId="77777777">
      <w:pPr>
        <w:pStyle w:val="ListParagraph"/>
        <w:numPr>
          <w:ilvl w:val="0"/>
          <w:numId w:val="52"/>
        </w:numPr>
        <w:rPr>
          <w:lang w:val="nl-NL"/>
        </w:rPr>
      </w:pPr>
      <w:r w:rsidRPr="002334C8">
        <w:rPr>
          <w:lang w:val="nl-NL"/>
        </w:rPr>
        <w:t>stijging van de zeespiegel en</w:t>
      </w:r>
    </w:p>
    <w:p w:rsidRPr="002334C8" w:rsidR="002334C8" w:rsidP="002334C8" w:rsidRDefault="002334C8" w14:paraId="2FC93798" w14:textId="77777777">
      <w:pPr>
        <w:pStyle w:val="ListParagraph"/>
        <w:numPr>
          <w:ilvl w:val="0"/>
          <w:numId w:val="52"/>
        </w:numPr>
        <w:rPr>
          <w:lang w:val="nl-NL"/>
        </w:rPr>
      </w:pPr>
      <w:r w:rsidRPr="002334C8">
        <w:rPr>
          <w:lang w:val="nl-NL"/>
        </w:rPr>
        <w:t>verhoging van de CO</w:t>
      </w:r>
      <w:r w:rsidRPr="002334C8">
        <w:rPr>
          <w:vertAlign w:val="subscript"/>
          <w:lang w:val="nl-NL"/>
        </w:rPr>
        <w:t>2</w:t>
      </w:r>
      <w:r w:rsidRPr="002334C8">
        <w:rPr>
          <w:lang w:val="nl-NL"/>
        </w:rPr>
        <w:t>-opname door het zeewater (verzuring).</w:t>
      </w:r>
    </w:p>
    <w:p w:rsidRPr="008A19B9" w:rsidR="002334C8" w:rsidP="002334C8" w:rsidRDefault="002334C8" w14:paraId="1D9BF2F7" w14:textId="27EA3363">
      <w:pPr>
        <w:rPr>
          <w:lang w:val="nl-NL"/>
        </w:rPr>
      </w:pPr>
      <w:r w:rsidRPr="002334C8">
        <w:rPr>
          <w:lang w:val="nl-NL"/>
        </w:rPr>
        <w:t xml:space="preserve">Door stijging van de zeewatertemperatuur zal de samenstelling van levensgemeenschappen wijzigen, met mogelijke gevolgen voor de visserij en voor andere ecosysteemdiensten van de Noordzee. Directe effecten van de zeespiegelstijging zijn vooral te verwachten in de ondiepste zones langs de kust. Platen die nu nog droogvallen, kunnen op termijn bij laag water korter of helemaal niet meer droogvallen. Als gevolg kunnen nest-, foerageer- en rustmogelijkheden voor wadvogels en essentiële rust-, verhaar- en zoogmogelijkheden voor zeehonden verminderen. De verzuring van zeewater kan het vormen van een kalkskelet door weekdieren bemoeilijken en kan leiden tot het oplossen van bestaande kalkstructuren. Zeker in gevoelige fases van het leven (bijvoorbeeld de larvale fase) kunnen bepaalde soorten weekdieren erg kwetsbaar zijn en uiteindelijk verdwijnen. Er is daarnaast nog veel onbekend over de invloed van klimaatverandering op het mariene milieu, de ecosystemen en de ecosysteemdiensten. Nederland draagt in OSPAR-verband bij aan een effectieve monitoring en beoordeling van de trends in oceaanverzuring en de impact ervan op het ecosysteem. Daarnaast krijgt klimaatverandering aandacht in de beoordelingen die OSPAR doet van de toestand van de diverse (biotische en abiotische) componenten van het mariene milieu. </w:t>
      </w:r>
      <w:r w:rsidR="00202EB1">
        <w:rPr>
          <w:lang w:val="nl-NL"/>
        </w:rPr>
        <w:t>In het programma MONS (Monitoring Onderzoek Natuurversterking en Soorten</w:t>
      </w:r>
      <w:r w:rsidR="00CA2282">
        <w:rPr>
          <w:lang w:val="nl-NL"/>
        </w:rPr>
        <w:t>bescherming</w:t>
      </w:r>
      <w:r w:rsidR="00202EB1">
        <w:rPr>
          <w:lang w:val="nl-NL"/>
        </w:rPr>
        <w:t>)</w:t>
      </w:r>
      <w:r w:rsidR="007F6DF8">
        <w:rPr>
          <w:lang w:val="nl-NL"/>
        </w:rPr>
        <w:t xml:space="preserve"> </w:t>
      </w:r>
      <w:r w:rsidRPr="002334C8">
        <w:rPr>
          <w:lang w:val="nl-NL"/>
        </w:rPr>
        <w:t>worden de gevolgen van klimaatverandering</w:t>
      </w:r>
      <w:r w:rsidR="007F6DF8">
        <w:rPr>
          <w:lang w:val="nl-NL"/>
        </w:rPr>
        <w:t xml:space="preserve"> (</w:t>
      </w:r>
      <w:r w:rsidRPr="002334C8">
        <w:rPr>
          <w:lang w:val="nl-NL"/>
        </w:rPr>
        <w:t>temperatuurstijging)</w:t>
      </w:r>
      <w:r w:rsidR="007F6DF8">
        <w:rPr>
          <w:lang w:val="nl-NL"/>
        </w:rPr>
        <w:t xml:space="preserve"> en </w:t>
      </w:r>
      <w:r w:rsidRPr="002334C8" w:rsidR="007F6DF8">
        <w:rPr>
          <w:lang w:val="nl-NL"/>
        </w:rPr>
        <w:t xml:space="preserve">verzuring </w:t>
      </w:r>
      <w:r w:rsidR="00202EB1">
        <w:rPr>
          <w:lang w:val="nl-NL"/>
        </w:rPr>
        <w:t>onderzocht.</w:t>
      </w:r>
      <w:r>
        <w:rPr>
          <w:lang w:val="nl-NL"/>
        </w:rPr>
        <w:t xml:space="preserve"> </w:t>
      </w:r>
    </w:p>
    <w:p w:rsidRPr="005C0692" w:rsidR="002B6DA3" w:rsidP="00746E9B" w:rsidRDefault="002B6DA3" w14:paraId="42E27348" w14:textId="77777777">
      <w:pPr>
        <w:pStyle w:val="Stijl1"/>
        <w:numPr>
          <w:ilvl w:val="1"/>
          <w:numId w:val="16"/>
        </w:numPr>
      </w:pPr>
      <w:bookmarkStart w:name="_Toc59455621" w:id="13"/>
      <w:r w:rsidRPr="005C0692">
        <w:t>Procesbeschrijving</w:t>
      </w:r>
      <w:bookmarkEnd w:id="13"/>
    </w:p>
    <w:p w:rsidRPr="00AA7217" w:rsidR="00AA7217" w:rsidP="005C0692" w:rsidRDefault="00AA7217" w14:paraId="0D2C3C4E" w14:textId="77777777">
      <w:pPr>
        <w:pStyle w:val="Heading4"/>
        <w:rPr>
          <w:lang w:val="nl-NL"/>
        </w:rPr>
      </w:pPr>
      <w:r w:rsidRPr="00AA7217">
        <w:rPr>
          <w:lang w:val="nl-NL"/>
        </w:rPr>
        <w:t>Totstandkoming van programma van maatregelen</w:t>
      </w:r>
    </w:p>
    <w:p w:rsidR="00FC7894" w:rsidP="005C0692" w:rsidRDefault="00FC7894" w14:paraId="6154B943" w14:textId="705F66D4">
      <w:pPr>
        <w:rPr>
          <w:lang w:val="nl-NL"/>
        </w:rPr>
      </w:pPr>
      <w:r>
        <w:rPr>
          <w:lang w:val="nl-NL"/>
        </w:rPr>
        <w:t xml:space="preserve">Uitgangspunt voor het programma van maatregelen is </w:t>
      </w:r>
      <w:r w:rsidR="008015AF">
        <w:rPr>
          <w:lang w:val="nl-NL"/>
        </w:rPr>
        <w:t xml:space="preserve">de </w:t>
      </w:r>
      <w:r>
        <w:rPr>
          <w:lang w:val="nl-NL"/>
        </w:rPr>
        <w:t>beleidsopgave</w:t>
      </w:r>
      <w:r w:rsidR="002334C8">
        <w:rPr>
          <w:lang w:val="nl-NL"/>
        </w:rPr>
        <w:t xml:space="preserve"> zoals opgenomen in de actualisatie van de Mariene Strategie deel 1 (2018)</w:t>
      </w:r>
      <w:r w:rsidR="00DD4F15">
        <w:rPr>
          <w:lang w:val="nl-NL"/>
        </w:rPr>
        <w:t xml:space="preserve"> [11]</w:t>
      </w:r>
      <w:r w:rsidR="004E625E">
        <w:rPr>
          <w:lang w:val="nl-NL"/>
        </w:rPr>
        <w:t>.</w:t>
      </w:r>
      <w:r>
        <w:rPr>
          <w:lang w:val="nl-NL"/>
        </w:rPr>
        <w:t xml:space="preserve"> De opgaven zijn bepalend voor de noodzaak om aanvullende maatregelen te nemen. Per descriptor is bepaald of de bestaande maatregelen (opgenomen in het programma van maatregelen van 2015) gecontinueerd moeten worden en of extra inzet nodig is om de milieudoelen te behalen. </w:t>
      </w:r>
      <w:r w:rsidR="00DD5940">
        <w:rPr>
          <w:lang w:val="nl-NL"/>
        </w:rPr>
        <w:t xml:space="preserve">Extra inzet blijkt </w:t>
      </w:r>
      <w:r w:rsidR="00EB5199">
        <w:rPr>
          <w:lang w:val="nl-NL"/>
        </w:rPr>
        <w:t>nodig voor de doelen ‘bescherming van de zeebodem’, ‘terugdringen van zwerfvuil’ en ‘verminderen van onderwatergeluid’.</w:t>
      </w:r>
    </w:p>
    <w:p w:rsidR="003D2356" w:rsidP="005C0692" w:rsidRDefault="00DD5940" w14:paraId="40F6D142" w14:textId="77777777">
      <w:pPr>
        <w:rPr>
          <w:lang w:val="nl-NL"/>
        </w:rPr>
      </w:pPr>
      <w:r>
        <w:rPr>
          <w:lang w:val="nl-NL"/>
        </w:rPr>
        <w:t>H</w:t>
      </w:r>
      <w:r w:rsidR="00F92FA0">
        <w:rPr>
          <w:lang w:val="nl-NL"/>
        </w:rPr>
        <w:t xml:space="preserve">et programma van maatregelen </w:t>
      </w:r>
      <w:r>
        <w:rPr>
          <w:lang w:val="nl-NL"/>
        </w:rPr>
        <w:t xml:space="preserve">heeft </w:t>
      </w:r>
      <w:r w:rsidR="00F92FA0">
        <w:rPr>
          <w:lang w:val="nl-NL"/>
        </w:rPr>
        <w:t xml:space="preserve">verschillende raakvlakken </w:t>
      </w:r>
      <w:r>
        <w:rPr>
          <w:lang w:val="nl-NL"/>
        </w:rPr>
        <w:t>m</w:t>
      </w:r>
      <w:r w:rsidR="00F92FA0">
        <w:rPr>
          <w:lang w:val="nl-NL"/>
        </w:rPr>
        <w:t>et het Noordzeeakkoord. Afspraken binnen het Noordzeeakkoord over gebiedsbescherming en soortenbescherming werken door in dit programma</w:t>
      </w:r>
      <w:r w:rsidR="000E4075">
        <w:rPr>
          <w:lang w:val="nl-NL"/>
        </w:rPr>
        <w:t>.</w:t>
      </w:r>
    </w:p>
    <w:p w:rsidR="00AA7217" w:rsidP="005C0692" w:rsidRDefault="000E4075" w14:paraId="43912303" w14:textId="5F346181">
      <w:pPr>
        <w:rPr>
          <w:lang w:val="nl-NL"/>
        </w:rPr>
      </w:pPr>
      <w:r>
        <w:rPr>
          <w:lang w:val="nl-NL"/>
        </w:rPr>
        <w:t>He</w:t>
      </w:r>
      <w:r w:rsidRPr="009F39F4" w:rsidR="009F39F4">
        <w:rPr>
          <w:lang w:val="nl-NL"/>
        </w:rPr>
        <w:t xml:space="preserve">t programma van maatregelen </w:t>
      </w:r>
      <w:r w:rsidR="000178A1">
        <w:rPr>
          <w:lang w:val="nl-NL"/>
        </w:rPr>
        <w:t xml:space="preserve">van de Mariene Strategie </w:t>
      </w:r>
      <w:r w:rsidR="009F39F4">
        <w:rPr>
          <w:lang w:val="nl-NL"/>
        </w:rPr>
        <w:t xml:space="preserve">maakt deel uit van </w:t>
      </w:r>
      <w:r w:rsidR="00AA7217">
        <w:rPr>
          <w:lang w:val="nl-NL"/>
        </w:rPr>
        <w:t xml:space="preserve">het maatregelenpakket </w:t>
      </w:r>
      <w:r w:rsidR="009F39F4">
        <w:rPr>
          <w:lang w:val="nl-NL"/>
        </w:rPr>
        <w:t>va</w:t>
      </w:r>
      <w:r w:rsidR="00AA7217">
        <w:rPr>
          <w:lang w:val="nl-NL"/>
        </w:rPr>
        <w:t>n het Programma Noordzee 2022-2027</w:t>
      </w:r>
      <w:r w:rsidR="009F39F4">
        <w:rPr>
          <w:lang w:val="nl-NL"/>
        </w:rPr>
        <w:t>. Voor dit pakket</w:t>
      </w:r>
      <w:r w:rsidRPr="00AA7217" w:rsidR="00AA7217">
        <w:rPr>
          <w:lang w:val="nl-NL"/>
        </w:rPr>
        <w:t xml:space="preserve"> zijn</w:t>
      </w:r>
      <w:r w:rsidR="00AA7217">
        <w:rPr>
          <w:lang w:val="nl-NL"/>
        </w:rPr>
        <w:t xml:space="preserve"> </w:t>
      </w:r>
      <w:r w:rsidRPr="00AA7217" w:rsidR="00AA7217">
        <w:rPr>
          <w:lang w:val="nl-NL"/>
        </w:rPr>
        <w:t xml:space="preserve">een milieueffectrapportage, een voortoets op grond van de </w:t>
      </w:r>
      <w:r w:rsidR="00A9405C">
        <w:rPr>
          <w:lang w:val="nl-NL"/>
        </w:rPr>
        <w:t>Wet natuurbescherming</w:t>
      </w:r>
      <w:r w:rsidRPr="00AA7217" w:rsidR="00AA7217">
        <w:rPr>
          <w:lang w:val="nl-NL"/>
        </w:rPr>
        <w:t xml:space="preserve"> en een passende beoordeling opgesteld. Voor nieuwe KRM-maatregelen </w:t>
      </w:r>
      <w:r w:rsidR="00AA7217">
        <w:rPr>
          <w:lang w:val="nl-NL"/>
        </w:rPr>
        <w:t xml:space="preserve">is </w:t>
      </w:r>
      <w:r w:rsidR="000178A1">
        <w:rPr>
          <w:lang w:val="nl-NL"/>
        </w:rPr>
        <w:t xml:space="preserve">– </w:t>
      </w:r>
      <w:r w:rsidR="00F92FA0">
        <w:rPr>
          <w:lang w:val="nl-NL"/>
        </w:rPr>
        <w:t>waar mogelijk</w:t>
      </w:r>
      <w:r w:rsidR="006B039D">
        <w:rPr>
          <w:lang w:val="nl-NL"/>
        </w:rPr>
        <w:t xml:space="preserve"> </w:t>
      </w:r>
      <w:r w:rsidR="000178A1">
        <w:rPr>
          <w:lang w:val="nl-NL"/>
        </w:rPr>
        <w:t xml:space="preserve">– </w:t>
      </w:r>
      <w:r w:rsidR="00AA7217">
        <w:rPr>
          <w:lang w:val="nl-NL"/>
        </w:rPr>
        <w:t>een</w:t>
      </w:r>
      <w:r w:rsidRPr="00AA7217" w:rsidR="00AA7217">
        <w:rPr>
          <w:lang w:val="nl-NL"/>
        </w:rPr>
        <w:t xml:space="preserve"> maatschappelijke kosten-batenanalyse </w:t>
      </w:r>
      <w:r>
        <w:rPr>
          <w:lang w:val="nl-NL"/>
        </w:rPr>
        <w:t>gemaakt</w:t>
      </w:r>
      <w:r w:rsidR="00AA7217">
        <w:rPr>
          <w:lang w:val="nl-NL"/>
        </w:rPr>
        <w:t xml:space="preserve"> om te bepalen </w:t>
      </w:r>
      <w:r w:rsidR="009F39F4">
        <w:rPr>
          <w:lang w:val="nl-NL"/>
        </w:rPr>
        <w:t>hoe</w:t>
      </w:r>
      <w:r w:rsidR="00AA7217">
        <w:rPr>
          <w:lang w:val="nl-NL"/>
        </w:rPr>
        <w:t xml:space="preserve"> deze maatregel</w:t>
      </w:r>
      <w:r w:rsidR="006B039D">
        <w:rPr>
          <w:lang w:val="nl-NL"/>
        </w:rPr>
        <w:t>en</w:t>
      </w:r>
      <w:r w:rsidR="00AA7217">
        <w:rPr>
          <w:lang w:val="nl-NL"/>
        </w:rPr>
        <w:t xml:space="preserve"> het best k</w:t>
      </w:r>
      <w:r w:rsidR="006B039D">
        <w:rPr>
          <w:lang w:val="nl-NL"/>
        </w:rPr>
        <w:t>unnen</w:t>
      </w:r>
      <w:r w:rsidR="00AA7217">
        <w:rPr>
          <w:lang w:val="nl-NL"/>
        </w:rPr>
        <w:t xml:space="preserve"> worden</w:t>
      </w:r>
      <w:r w:rsidRPr="004057E2" w:rsidR="009F39F4">
        <w:rPr>
          <w:lang w:val="nl-NL"/>
        </w:rPr>
        <w:t xml:space="preserve"> </w:t>
      </w:r>
      <w:r w:rsidRPr="009F39F4" w:rsidR="009F39F4">
        <w:rPr>
          <w:lang w:val="nl-NL"/>
        </w:rPr>
        <w:t>vormgegeven</w:t>
      </w:r>
      <w:r w:rsidR="00AA7217">
        <w:rPr>
          <w:lang w:val="nl-NL"/>
        </w:rPr>
        <w:t>.</w:t>
      </w:r>
    </w:p>
    <w:p w:rsidRPr="00AA7217" w:rsidR="00AA7217" w:rsidP="005C0692" w:rsidRDefault="00AA7217" w14:paraId="1DA5966D" w14:textId="77777777">
      <w:pPr>
        <w:pStyle w:val="Heading4"/>
        <w:rPr>
          <w:lang w:val="nl-NL"/>
        </w:rPr>
      </w:pPr>
      <w:r w:rsidRPr="00AA7217">
        <w:rPr>
          <w:lang w:val="nl-NL"/>
        </w:rPr>
        <w:t>Nationale en internationale afstemming</w:t>
      </w:r>
    </w:p>
    <w:p w:rsidR="004663A9" w:rsidP="005C0692" w:rsidRDefault="00EB5199" w14:paraId="4AC50911" w14:textId="45A5D633">
      <w:pPr>
        <w:rPr>
          <w:lang w:val="nl-NL"/>
        </w:rPr>
      </w:pPr>
      <w:r w:rsidRPr="00832C15">
        <w:rPr>
          <w:szCs w:val="18"/>
          <w:lang w:val="nl-NL"/>
        </w:rPr>
        <w:t>De actualisatie</w:t>
      </w:r>
      <w:r>
        <w:rPr>
          <w:szCs w:val="18"/>
          <w:lang w:val="nl-NL"/>
        </w:rPr>
        <w:t xml:space="preserve"> van de Mariene Strategie deel 3</w:t>
      </w:r>
      <w:r w:rsidRPr="00832C15">
        <w:rPr>
          <w:szCs w:val="18"/>
          <w:lang w:val="nl-NL"/>
        </w:rPr>
        <w:t xml:space="preserve"> is op nationaal en internationaal niveau afgestemd. </w:t>
      </w:r>
      <w:r w:rsidR="001E507A">
        <w:rPr>
          <w:lang w:val="nl-NL"/>
        </w:rPr>
        <w:t>In</w:t>
      </w:r>
      <w:r w:rsidRPr="00FC7894" w:rsidR="001E507A">
        <w:rPr>
          <w:lang w:val="nl-NL"/>
        </w:rPr>
        <w:t xml:space="preserve"> </w:t>
      </w:r>
      <w:r w:rsidRPr="00FC7894" w:rsidR="00FC7894">
        <w:rPr>
          <w:lang w:val="nl-NL"/>
        </w:rPr>
        <w:t xml:space="preserve">Nederland </w:t>
      </w:r>
      <w:r w:rsidR="001E507A">
        <w:rPr>
          <w:lang w:val="nl-NL"/>
        </w:rPr>
        <w:t>stemmen</w:t>
      </w:r>
      <w:r w:rsidR="000833C3">
        <w:rPr>
          <w:lang w:val="nl-NL"/>
        </w:rPr>
        <w:t xml:space="preserve"> de betrokken departementen </w:t>
      </w:r>
      <w:r w:rsidR="001E507A">
        <w:rPr>
          <w:lang w:val="nl-NL"/>
        </w:rPr>
        <w:t xml:space="preserve">de KRM-implementatie af </w:t>
      </w:r>
      <w:r w:rsidR="000833C3">
        <w:rPr>
          <w:lang w:val="nl-NL"/>
        </w:rPr>
        <w:t>onder regie van</w:t>
      </w:r>
      <w:r w:rsidRPr="00FC7894" w:rsidR="00FC7894">
        <w:rPr>
          <w:lang w:val="nl-NL"/>
        </w:rPr>
        <w:t xml:space="preserve"> het </w:t>
      </w:r>
      <w:r w:rsidRPr="004218BD" w:rsidR="00FC7894">
        <w:rPr>
          <w:lang w:val="nl-NL"/>
        </w:rPr>
        <w:t xml:space="preserve">Interdepartementaal Directeuren Overleg Noordzee (IDON). Afstemming met maatschappelijke (belanghebbende) organisaties </w:t>
      </w:r>
      <w:r w:rsidRPr="004218BD" w:rsidR="005968C1">
        <w:rPr>
          <w:lang w:val="nl-NL"/>
        </w:rPr>
        <w:t xml:space="preserve">is </w:t>
      </w:r>
      <w:r w:rsidR="000178A1">
        <w:rPr>
          <w:lang w:val="nl-NL"/>
        </w:rPr>
        <w:t>van 20 oktober</w:t>
      </w:r>
      <w:r w:rsidRPr="00DC22CF" w:rsidR="000178A1">
        <w:rPr>
          <w:lang w:val="nl-NL"/>
        </w:rPr>
        <w:t xml:space="preserve"> tot </w:t>
      </w:r>
      <w:r w:rsidR="000178A1">
        <w:rPr>
          <w:lang w:val="nl-NL"/>
        </w:rPr>
        <w:t>10</w:t>
      </w:r>
      <w:r w:rsidRPr="00DC22CF" w:rsidR="000178A1">
        <w:rPr>
          <w:lang w:val="nl-NL"/>
        </w:rPr>
        <w:t xml:space="preserve"> november</w:t>
      </w:r>
      <w:r w:rsidR="000178A1">
        <w:rPr>
          <w:lang w:val="nl-NL"/>
        </w:rPr>
        <w:t xml:space="preserve"> 2020</w:t>
      </w:r>
      <w:r w:rsidR="0028477F">
        <w:rPr>
          <w:lang w:val="nl-NL"/>
        </w:rPr>
        <w:t xml:space="preserve"> </w:t>
      </w:r>
      <w:r w:rsidRPr="0028477F" w:rsidR="0028477F">
        <w:rPr>
          <w:lang w:val="nl-NL"/>
        </w:rPr>
        <w:t>gedaan</w:t>
      </w:r>
      <w:r w:rsidR="000178A1">
        <w:rPr>
          <w:lang w:val="nl-NL"/>
        </w:rPr>
        <w:t xml:space="preserve"> door middel van een schriftelijke consultatie</w:t>
      </w:r>
      <w:r w:rsidRPr="004218BD" w:rsidR="00FC7894">
        <w:rPr>
          <w:lang w:val="nl-NL"/>
        </w:rPr>
        <w:t xml:space="preserve"> in het Overleg</w:t>
      </w:r>
      <w:r w:rsidRPr="004218BD" w:rsidR="005968C1">
        <w:rPr>
          <w:lang w:val="nl-NL"/>
        </w:rPr>
        <w:t>orgaan Fysieke Leefomgeving (OFL</w:t>
      </w:r>
      <w:r w:rsidRPr="004218BD" w:rsidR="00FC7894">
        <w:rPr>
          <w:lang w:val="nl-NL"/>
        </w:rPr>
        <w:t>)</w:t>
      </w:r>
      <w:r w:rsidR="000178A1">
        <w:rPr>
          <w:lang w:val="nl-NL"/>
        </w:rPr>
        <w:t>.</w:t>
      </w:r>
      <w:r w:rsidR="004218BD">
        <w:rPr>
          <w:lang w:val="nl-NL"/>
        </w:rPr>
        <w:t xml:space="preserve"> </w:t>
      </w:r>
      <w:r w:rsidR="001E507A">
        <w:rPr>
          <w:lang w:val="nl-NL"/>
        </w:rPr>
        <w:t>H</w:t>
      </w:r>
      <w:r w:rsidR="005968C1">
        <w:rPr>
          <w:lang w:val="nl-NL"/>
        </w:rPr>
        <w:t xml:space="preserve">et programma van maatregelen </w:t>
      </w:r>
      <w:r w:rsidR="001E507A">
        <w:rPr>
          <w:lang w:val="nl-NL"/>
        </w:rPr>
        <w:t xml:space="preserve">is ook </w:t>
      </w:r>
      <w:r w:rsidR="005968C1">
        <w:rPr>
          <w:lang w:val="nl-NL"/>
        </w:rPr>
        <w:t xml:space="preserve">met stakeholders </w:t>
      </w:r>
      <w:r w:rsidR="00593257">
        <w:rPr>
          <w:lang w:val="nl-NL"/>
        </w:rPr>
        <w:t xml:space="preserve">besproken </w:t>
      </w:r>
      <w:r w:rsidR="005968C1">
        <w:rPr>
          <w:lang w:val="nl-NL"/>
        </w:rPr>
        <w:t>tijdens</w:t>
      </w:r>
      <w:r>
        <w:rPr>
          <w:lang w:val="nl-NL"/>
        </w:rPr>
        <w:t xml:space="preserve"> individuele</w:t>
      </w:r>
      <w:r w:rsidR="005968C1">
        <w:rPr>
          <w:lang w:val="nl-NL"/>
        </w:rPr>
        <w:t xml:space="preserve"> gesprekken en tijdens een stakeholderbijeenkomst</w:t>
      </w:r>
      <w:r w:rsidR="006B039D">
        <w:rPr>
          <w:lang w:val="nl-NL"/>
        </w:rPr>
        <w:t xml:space="preserve"> op </w:t>
      </w:r>
      <w:r w:rsidRPr="00DC22CF" w:rsidR="006B039D">
        <w:rPr>
          <w:lang w:val="nl-NL"/>
        </w:rPr>
        <w:t>15 oktober 2020</w:t>
      </w:r>
      <w:r w:rsidR="005968C1">
        <w:rPr>
          <w:lang w:val="nl-NL"/>
        </w:rPr>
        <w:t>.</w:t>
      </w:r>
      <w:r w:rsidR="00C121DF">
        <w:rPr>
          <w:lang w:val="nl-NL"/>
        </w:rPr>
        <w:t xml:space="preserve"> </w:t>
      </w:r>
      <w:r w:rsidRPr="00C121DF" w:rsidR="00C121DF">
        <w:rPr>
          <w:lang w:val="nl-NL"/>
        </w:rPr>
        <w:t xml:space="preserve">Het ontwerp-Programma Noordzee 2022-2027 inclusief het ontwerp </w:t>
      </w:r>
      <w:r w:rsidR="00C121DF">
        <w:rPr>
          <w:lang w:val="nl-NL"/>
        </w:rPr>
        <w:t>programma van maatregelen</w:t>
      </w:r>
      <w:r w:rsidRPr="00C121DF" w:rsidR="00C121DF">
        <w:rPr>
          <w:lang w:val="nl-NL"/>
        </w:rPr>
        <w:t xml:space="preserve"> en de bijbehorende PlanMER lagen van 22 maart 2021 tot en met 22 september 2021 ter inzage als onderdeel van het </w:t>
      </w:r>
      <w:r w:rsidRPr="00C121DF" w:rsidR="00DC467F">
        <w:rPr>
          <w:lang w:val="nl-NL"/>
        </w:rPr>
        <w:t xml:space="preserve">Nationaal Waterprogramma </w:t>
      </w:r>
      <w:r w:rsidR="00DC467F">
        <w:rPr>
          <w:lang w:val="nl-NL"/>
        </w:rPr>
        <w:t>(</w:t>
      </w:r>
      <w:r w:rsidRPr="00C121DF" w:rsidR="00C121DF">
        <w:rPr>
          <w:lang w:val="nl-NL"/>
        </w:rPr>
        <w:t>NWP</w:t>
      </w:r>
      <w:r w:rsidR="00DC467F">
        <w:rPr>
          <w:lang w:val="nl-NL"/>
        </w:rPr>
        <w:t>)</w:t>
      </w:r>
      <w:r w:rsidRPr="00C121DF" w:rsidR="00C121DF">
        <w:rPr>
          <w:lang w:val="nl-NL"/>
        </w:rPr>
        <w:t>.</w:t>
      </w:r>
      <w:r w:rsidR="00C121DF">
        <w:rPr>
          <w:lang w:val="nl-NL"/>
        </w:rPr>
        <w:t xml:space="preserve"> </w:t>
      </w:r>
      <w:r w:rsidRPr="00C121DF" w:rsidR="00C121DF">
        <w:rPr>
          <w:lang w:val="nl-NL"/>
        </w:rPr>
        <w:t xml:space="preserve">Eenieder heeft daarover zienswijzen </w:t>
      </w:r>
      <w:r w:rsidR="00CA2282">
        <w:rPr>
          <w:lang w:val="nl-NL"/>
        </w:rPr>
        <w:t xml:space="preserve">in </w:t>
      </w:r>
      <w:r w:rsidRPr="00C121DF" w:rsidR="00C121DF">
        <w:rPr>
          <w:lang w:val="nl-NL"/>
        </w:rPr>
        <w:t>kunnen brengen.</w:t>
      </w:r>
      <w:r w:rsidR="00C121DF">
        <w:rPr>
          <w:lang w:val="nl-NL"/>
        </w:rPr>
        <w:t xml:space="preserve"> </w:t>
      </w:r>
      <w:r w:rsidRPr="00C87A42" w:rsidR="00C121DF">
        <w:rPr>
          <w:lang w:val="nl-NL"/>
        </w:rPr>
        <w:t xml:space="preserve">Gedurende deze periode </w:t>
      </w:r>
      <w:r w:rsidR="00A45A83">
        <w:rPr>
          <w:lang w:val="nl-NL"/>
        </w:rPr>
        <w:t>hebben ook de OSPAR verdragspartijen</w:t>
      </w:r>
      <w:r w:rsidR="00A9405C">
        <w:rPr>
          <w:lang w:val="nl-NL"/>
        </w:rPr>
        <w:t xml:space="preserve"> en</w:t>
      </w:r>
      <w:r w:rsidR="00A45A83">
        <w:rPr>
          <w:lang w:val="nl-NL"/>
        </w:rPr>
        <w:t xml:space="preserve"> </w:t>
      </w:r>
      <w:r w:rsidRPr="00A9405C" w:rsidR="00A9405C">
        <w:rPr>
          <w:lang w:val="nl-NL"/>
        </w:rPr>
        <w:t xml:space="preserve">de wettelijk aangewezen organisaties of organisatiestructuren voor de KRM </w:t>
      </w:r>
      <w:r w:rsidR="00A45A83">
        <w:rPr>
          <w:lang w:val="nl-NL"/>
        </w:rPr>
        <w:t>gelegenheid gehad om zienswijze in te dienen.</w:t>
      </w:r>
      <w:r w:rsidRPr="00C87A42" w:rsidR="00C121DF">
        <w:rPr>
          <w:lang w:val="nl-NL"/>
        </w:rPr>
        <w:t xml:space="preserve"> </w:t>
      </w:r>
      <w:r w:rsidR="00C121DF">
        <w:rPr>
          <w:lang w:val="nl-NL"/>
        </w:rPr>
        <w:t xml:space="preserve">Na de </w:t>
      </w:r>
      <w:r w:rsidR="00CA2282">
        <w:rPr>
          <w:lang w:val="nl-NL"/>
        </w:rPr>
        <w:t>terinzagelegging</w:t>
      </w:r>
      <w:r w:rsidR="00C121DF">
        <w:rPr>
          <w:lang w:val="nl-NL"/>
        </w:rPr>
        <w:t xml:space="preserve"> zijn de ingediende zienswijzen beantwoord middels een Nota van Antwoord, en </w:t>
      </w:r>
      <w:r w:rsidR="00CA2282">
        <w:rPr>
          <w:lang w:val="nl-NL"/>
        </w:rPr>
        <w:t>waar nodig</w:t>
      </w:r>
      <w:r w:rsidR="00C121DF">
        <w:rPr>
          <w:lang w:val="nl-NL"/>
        </w:rPr>
        <w:t xml:space="preserve"> verwerkt in de tekst van </w:t>
      </w:r>
      <w:r w:rsidR="00CA2282">
        <w:rPr>
          <w:lang w:val="nl-NL"/>
        </w:rPr>
        <w:t>dit</w:t>
      </w:r>
      <w:r w:rsidR="00C121DF">
        <w:rPr>
          <w:lang w:val="nl-NL"/>
        </w:rPr>
        <w:t xml:space="preserve"> programma van maatregelen.</w:t>
      </w:r>
      <w:r w:rsidR="004663A9">
        <w:rPr>
          <w:lang w:val="nl-NL"/>
        </w:rPr>
        <w:t xml:space="preserve"> </w:t>
      </w:r>
      <w:r w:rsidRPr="00C121DF" w:rsidR="00C121DF">
        <w:rPr>
          <w:lang w:val="nl-NL"/>
        </w:rPr>
        <w:t xml:space="preserve">Het kabinet </w:t>
      </w:r>
      <w:r w:rsidR="00C121DF">
        <w:rPr>
          <w:lang w:val="nl-NL"/>
        </w:rPr>
        <w:t xml:space="preserve">heeft </w:t>
      </w:r>
      <w:r w:rsidRPr="00C121DF" w:rsidR="00C121DF">
        <w:rPr>
          <w:lang w:val="nl-NL"/>
        </w:rPr>
        <w:t>het</w:t>
      </w:r>
      <w:r w:rsidR="00DC467F">
        <w:rPr>
          <w:lang w:val="nl-NL"/>
        </w:rPr>
        <w:t xml:space="preserve"> NWP</w:t>
      </w:r>
      <w:r w:rsidRPr="00C121DF" w:rsidR="00C121DF">
        <w:rPr>
          <w:lang w:val="nl-NL"/>
        </w:rPr>
        <w:t xml:space="preserve"> inclusief het </w:t>
      </w:r>
      <w:r w:rsidR="00C121DF">
        <w:rPr>
          <w:lang w:val="nl-NL"/>
        </w:rPr>
        <w:t>programma van maatregelen</w:t>
      </w:r>
      <w:r w:rsidRPr="00C121DF" w:rsidR="00C121DF">
        <w:rPr>
          <w:lang w:val="nl-NL"/>
        </w:rPr>
        <w:t xml:space="preserve"> in maart 2022 definitief vast</w:t>
      </w:r>
      <w:r w:rsidR="00C121DF">
        <w:rPr>
          <w:lang w:val="nl-NL"/>
        </w:rPr>
        <w:t>gesteld</w:t>
      </w:r>
      <w:r w:rsidRPr="00C121DF" w:rsidR="00C121DF">
        <w:rPr>
          <w:lang w:val="nl-NL"/>
        </w:rPr>
        <w:t>.</w:t>
      </w:r>
      <w:r w:rsidRPr="004663A9" w:rsidR="004663A9">
        <w:rPr>
          <w:lang w:val="nl-NL"/>
        </w:rPr>
        <w:t xml:space="preserve"> </w:t>
      </w:r>
      <w:r w:rsidRPr="00873933" w:rsidR="004663A9">
        <w:rPr>
          <w:lang w:val="nl-NL"/>
        </w:rPr>
        <w:t xml:space="preserve">Na vaststelling </w:t>
      </w:r>
      <w:r w:rsidR="007769C5">
        <w:rPr>
          <w:lang w:val="nl-NL"/>
        </w:rPr>
        <w:t>wordt</w:t>
      </w:r>
      <w:r w:rsidRPr="00873933" w:rsidR="004663A9">
        <w:rPr>
          <w:lang w:val="nl-NL"/>
        </w:rPr>
        <w:t xml:space="preserve"> het programma van maatregelen aan de Europese Commissie gerapporteerd</w:t>
      </w:r>
      <w:r w:rsidRPr="00C87A42" w:rsidDel="00C121DF" w:rsidR="004663A9">
        <w:rPr>
          <w:lang w:val="nl-NL"/>
        </w:rPr>
        <w:t xml:space="preserve"> </w:t>
      </w:r>
      <w:r w:rsidRPr="00C87A42" w:rsidR="00C87A42">
        <w:rPr>
          <w:lang w:val="nl-NL"/>
        </w:rPr>
        <w:t xml:space="preserve">. </w:t>
      </w:r>
    </w:p>
    <w:p w:rsidR="00FC7894" w:rsidP="005C0692" w:rsidRDefault="00C87A42" w14:paraId="0CD251D4" w14:textId="5AB0C899">
      <w:pPr>
        <w:rPr>
          <w:lang w:val="nl-NL"/>
        </w:rPr>
      </w:pPr>
      <w:r w:rsidRPr="00C87A42">
        <w:rPr>
          <w:lang w:val="nl-NL"/>
        </w:rPr>
        <w:t xml:space="preserve">De bewindspersoon van </w:t>
      </w:r>
      <w:r w:rsidR="00103BD0">
        <w:rPr>
          <w:lang w:val="nl-NL"/>
        </w:rPr>
        <w:t xml:space="preserve">het ministerie van </w:t>
      </w:r>
      <w:r w:rsidRPr="00C87A42">
        <w:rPr>
          <w:lang w:val="nl-NL"/>
        </w:rPr>
        <w:t xml:space="preserve">IenW is verantwoordelijk voor de voorbereiding </w:t>
      </w:r>
      <w:r w:rsidRPr="00C87A42" w:rsidR="00103BD0">
        <w:rPr>
          <w:lang w:val="nl-NL"/>
        </w:rPr>
        <w:t xml:space="preserve">en een tijdige en correcte implementatie </w:t>
      </w:r>
      <w:r w:rsidRPr="00C87A42">
        <w:rPr>
          <w:lang w:val="nl-NL"/>
        </w:rPr>
        <w:t>van de Mariene Strategie voor het Nederlandse deel van de Noordzee. Conform de Waterwet deelt de minister van Ien</w:t>
      </w:r>
      <w:r>
        <w:rPr>
          <w:lang w:val="nl-NL"/>
        </w:rPr>
        <w:t>W</w:t>
      </w:r>
      <w:r w:rsidRPr="00C87A42">
        <w:rPr>
          <w:lang w:val="nl-NL"/>
        </w:rPr>
        <w:t xml:space="preserve"> deze verantwoordelijkheid met de minister van Landbouw, Natuur en Voedselkwaliteit (LNV),</w:t>
      </w:r>
      <w:r w:rsidR="00103BD0">
        <w:rPr>
          <w:lang w:val="nl-NL"/>
        </w:rPr>
        <w:t xml:space="preserve"> die </w:t>
      </w:r>
      <w:r w:rsidRPr="00C87A42">
        <w:rPr>
          <w:lang w:val="nl-NL"/>
        </w:rPr>
        <w:t>verantwoordelijk</w:t>
      </w:r>
      <w:r w:rsidR="00103BD0">
        <w:rPr>
          <w:lang w:val="nl-NL"/>
        </w:rPr>
        <w:t xml:space="preserve"> is </w:t>
      </w:r>
      <w:r w:rsidRPr="00C87A42">
        <w:rPr>
          <w:lang w:val="nl-NL"/>
        </w:rPr>
        <w:t>voor de beleidsterreinen biodiversiteit, natuur en visserij.</w:t>
      </w:r>
    </w:p>
    <w:p w:rsidR="00897A4B" w:rsidP="005C0692" w:rsidRDefault="009D26A9" w14:paraId="54BA1219" w14:textId="37017512">
      <w:pPr>
        <w:rPr>
          <w:rFonts w:cs="RijksoverheidSerif"/>
          <w:color w:val="000000"/>
          <w:szCs w:val="18"/>
          <w:lang w:val="nl-NL"/>
        </w:rPr>
      </w:pPr>
      <w:r>
        <w:rPr>
          <w:rFonts w:cs="RijksoverheidSerif"/>
          <w:color w:val="000000"/>
          <w:szCs w:val="18"/>
          <w:lang w:val="nl-NL"/>
        </w:rPr>
        <w:t xml:space="preserve">Internationale afstemming vindt plaats via OSPAR en </w:t>
      </w:r>
      <w:r w:rsidRPr="009D26A9">
        <w:rPr>
          <w:rFonts w:cs="RijksoverheidSerif"/>
          <w:color w:val="000000"/>
          <w:szCs w:val="18"/>
          <w:lang w:val="nl-NL"/>
        </w:rPr>
        <w:t>Marine Strategy Coordination Group</w:t>
      </w:r>
      <w:r>
        <w:rPr>
          <w:rFonts w:cs="RijksoverheidSerif"/>
          <w:color w:val="000000"/>
          <w:szCs w:val="18"/>
          <w:lang w:val="nl-NL"/>
        </w:rPr>
        <w:t xml:space="preserve"> werkgroepen. Beide platforms hebben </w:t>
      </w:r>
      <w:r w:rsidRPr="00897A4B" w:rsidR="00897A4B">
        <w:rPr>
          <w:rFonts w:cs="RijksoverheidSerif"/>
          <w:color w:val="000000"/>
          <w:szCs w:val="18"/>
          <w:lang w:val="nl-NL"/>
        </w:rPr>
        <w:t xml:space="preserve">een belangrijke rol bij de internationale afstemming van de inhoud van </w:t>
      </w:r>
      <w:r>
        <w:rPr>
          <w:rFonts w:cs="RijksoverheidSerif"/>
          <w:color w:val="000000"/>
          <w:szCs w:val="18"/>
          <w:lang w:val="nl-NL"/>
        </w:rPr>
        <w:t xml:space="preserve">de </w:t>
      </w:r>
      <w:r w:rsidR="00E23695">
        <w:rPr>
          <w:rFonts w:cs="RijksoverheidSerif"/>
          <w:color w:val="000000"/>
          <w:szCs w:val="18"/>
          <w:lang w:val="nl-NL"/>
        </w:rPr>
        <w:t>M</w:t>
      </w:r>
      <w:r>
        <w:rPr>
          <w:rFonts w:cs="RijksoverheidSerif"/>
          <w:color w:val="000000"/>
          <w:szCs w:val="18"/>
          <w:lang w:val="nl-NL"/>
        </w:rPr>
        <w:t xml:space="preserve">ariene </w:t>
      </w:r>
      <w:r w:rsidR="00E23695">
        <w:rPr>
          <w:rFonts w:cs="RijksoverheidSerif"/>
          <w:color w:val="000000"/>
          <w:szCs w:val="18"/>
          <w:lang w:val="nl-NL"/>
        </w:rPr>
        <w:t>S</w:t>
      </w:r>
      <w:r>
        <w:rPr>
          <w:rFonts w:cs="RijksoverheidSerif"/>
          <w:color w:val="000000"/>
          <w:szCs w:val="18"/>
          <w:lang w:val="nl-NL"/>
        </w:rPr>
        <w:t>trategie deel 1, 2 en 3 en het realiseren van een regionale aanpak</w:t>
      </w:r>
      <w:r w:rsidRPr="00897A4B" w:rsidR="00897A4B">
        <w:rPr>
          <w:rFonts w:cs="RijksoverheidSerif"/>
          <w:color w:val="000000"/>
          <w:szCs w:val="18"/>
          <w:lang w:val="nl-NL"/>
        </w:rPr>
        <w:t xml:space="preserve">. Nederland werkt sinds begin jaren </w:t>
      </w:r>
      <w:r w:rsidR="00044269">
        <w:rPr>
          <w:rFonts w:cs="RijksoverheidSerif"/>
          <w:color w:val="000000"/>
          <w:szCs w:val="18"/>
          <w:lang w:val="nl-NL"/>
        </w:rPr>
        <w:t>zeventig</w:t>
      </w:r>
      <w:r w:rsidRPr="00897A4B" w:rsidR="00897A4B">
        <w:rPr>
          <w:rFonts w:cs="RijksoverheidSerif"/>
          <w:color w:val="000000"/>
          <w:szCs w:val="18"/>
          <w:lang w:val="nl-NL"/>
        </w:rPr>
        <w:t xml:space="preserve"> </w:t>
      </w:r>
      <w:r w:rsidR="00AA6B46">
        <w:rPr>
          <w:rFonts w:cs="RijksoverheidSerif"/>
          <w:color w:val="000000"/>
          <w:szCs w:val="18"/>
          <w:lang w:val="nl-NL"/>
        </w:rPr>
        <w:t xml:space="preserve">met de Europese Unie en met </w:t>
      </w:r>
      <w:r w:rsidR="004E625E">
        <w:rPr>
          <w:rFonts w:cs="RijksoverheidSerif"/>
          <w:color w:val="000000"/>
          <w:szCs w:val="18"/>
          <w:lang w:val="nl-NL"/>
        </w:rPr>
        <w:t>veertien</w:t>
      </w:r>
      <w:r w:rsidR="00AA6B46">
        <w:rPr>
          <w:rFonts w:cs="RijksoverheidSerif"/>
          <w:color w:val="000000"/>
          <w:szCs w:val="18"/>
          <w:lang w:val="nl-NL"/>
        </w:rPr>
        <w:t xml:space="preserve"> </w:t>
      </w:r>
      <w:r w:rsidRPr="00897A4B" w:rsidR="00897A4B">
        <w:rPr>
          <w:rFonts w:cs="RijksoverheidSerif"/>
          <w:color w:val="000000"/>
          <w:szCs w:val="18"/>
          <w:lang w:val="nl-NL"/>
        </w:rPr>
        <w:t xml:space="preserve">landen </w:t>
      </w:r>
      <w:r w:rsidRPr="00897A4B" w:rsidR="00AA6B46">
        <w:rPr>
          <w:rFonts w:cs="RijksoverheidSerif"/>
          <w:color w:val="000000"/>
          <w:szCs w:val="18"/>
          <w:lang w:val="nl-NL"/>
        </w:rPr>
        <w:t>binnen OSPAR</w:t>
      </w:r>
      <w:r w:rsidR="00AA6B46">
        <w:rPr>
          <w:rFonts w:cs="RijksoverheidSerif"/>
          <w:color w:val="000000"/>
          <w:szCs w:val="18"/>
          <w:lang w:val="nl-NL"/>
        </w:rPr>
        <w:t xml:space="preserve">-verband samen aan </w:t>
      </w:r>
      <w:r w:rsidRPr="00897A4B" w:rsidR="00897A4B">
        <w:rPr>
          <w:rFonts w:cs="RijksoverheidSerif"/>
          <w:color w:val="000000"/>
          <w:szCs w:val="18"/>
          <w:lang w:val="nl-NL"/>
        </w:rPr>
        <w:t>de bescherming van het mariene milieu van het noordoostelijke deel van de Atlantische Oceaan.</w:t>
      </w:r>
      <w:r w:rsidR="00EB5199">
        <w:rPr>
          <w:rFonts w:cs="RijksoverheidSerif"/>
          <w:color w:val="000000"/>
          <w:szCs w:val="18"/>
          <w:lang w:val="nl-NL"/>
        </w:rPr>
        <w:t xml:space="preserve"> </w:t>
      </w:r>
    </w:p>
    <w:p w:rsidR="00B648F2" w:rsidP="001A5DBA" w:rsidRDefault="00B648F2" w14:paraId="63A60897" w14:textId="77777777">
      <w:pPr>
        <w:pBdr>
          <w:top w:val="single" w:color="auto" w:sz="4" w:space="1"/>
          <w:left w:val="single" w:color="auto" w:sz="4" w:space="4"/>
          <w:bottom w:val="single" w:color="auto" w:sz="4" w:space="1"/>
          <w:right w:val="single" w:color="auto" w:sz="4" w:space="4"/>
        </w:pBdr>
        <w:rPr>
          <w:rFonts w:cs="RijksoverheidSerif"/>
          <w:color w:val="000000"/>
          <w:szCs w:val="18"/>
          <w:lang w:val="nl-NL"/>
        </w:rPr>
      </w:pPr>
      <w:r>
        <w:rPr>
          <w:rFonts w:cs="RijksoverheidSerif"/>
          <w:color w:val="000000"/>
          <w:szCs w:val="18"/>
          <w:lang w:val="nl-NL"/>
        </w:rPr>
        <w:t>Tekstbox 1. Internationale samenwerking</w:t>
      </w:r>
    </w:p>
    <w:p w:rsidR="00CF41F0" w:rsidP="001A5DBA" w:rsidRDefault="00B648F2" w14:paraId="5C30DDD6" w14:textId="2E671F6C">
      <w:pPr>
        <w:pBdr>
          <w:top w:val="single" w:color="auto" w:sz="4" w:space="1"/>
          <w:left w:val="single" w:color="auto" w:sz="4" w:space="4"/>
          <w:bottom w:val="single" w:color="auto" w:sz="4" w:space="1"/>
          <w:right w:val="single" w:color="auto" w:sz="4" w:space="4"/>
        </w:pBdr>
        <w:spacing w:line="240" w:lineRule="auto"/>
        <w:rPr>
          <w:szCs w:val="18"/>
          <w:lang w:val="nl-NL"/>
        </w:rPr>
      </w:pPr>
      <w:r w:rsidRPr="00676092">
        <w:rPr>
          <w:szCs w:val="18"/>
          <w:lang w:val="nl-NL"/>
        </w:rPr>
        <w:t xml:space="preserve">Het kabinet zet in op het verder uitbouwen van de internationale afstemming en samenwerking. Immers, de kwaliteit van het ecosysteem en het zeemilieu in de delen van de Noordzee die onder verschillende nationaliteiten vallen, staan niet los van elkaar. De KRM verplicht daarom de lidstaten tot een regionale aanpak. Ook in OSPAR-verband krijgen de internationale samenwerking en gecoördineerde aanpak van de mariene strategie meer gewicht. </w:t>
      </w:r>
      <w:r w:rsidRPr="00676092" w:rsidR="00CF41F0">
        <w:rPr>
          <w:szCs w:val="18"/>
          <w:lang w:val="nl-NL"/>
        </w:rPr>
        <w:t xml:space="preserve">De internationale afstemming en samenwerking tussen de landen binnen OSPAR op gebied van maatregelen voor de verschillende KRM-descriptoren tot nu toe, </w:t>
      </w:r>
      <w:r w:rsidR="00CF41F0">
        <w:rPr>
          <w:szCs w:val="18"/>
          <w:lang w:val="nl-NL"/>
        </w:rPr>
        <w:t xml:space="preserve">is </w:t>
      </w:r>
      <w:r w:rsidRPr="00676092" w:rsidR="00CF41F0">
        <w:rPr>
          <w:szCs w:val="18"/>
          <w:lang w:val="nl-NL"/>
        </w:rPr>
        <w:t xml:space="preserve">begin 2016 vastgelegd in het ’OSPAR Joint Documentation on Coordination of Measures (MSFD)’. </w:t>
      </w:r>
    </w:p>
    <w:p w:rsidRPr="00F4733B" w:rsidR="00F4733B" w:rsidP="00F4733B" w:rsidRDefault="00CF7708" w14:paraId="6123FB48" w14:textId="6700E304">
      <w:pPr>
        <w:pBdr>
          <w:top w:val="single" w:color="auto" w:sz="4" w:space="1"/>
          <w:left w:val="single" w:color="auto" w:sz="4" w:space="4"/>
          <w:bottom w:val="single" w:color="auto" w:sz="4" w:space="1"/>
          <w:right w:val="single" w:color="auto" w:sz="4" w:space="4"/>
        </w:pBdr>
        <w:spacing w:line="240" w:lineRule="auto"/>
        <w:rPr>
          <w:szCs w:val="18"/>
          <w:lang w:val="nl-NL"/>
        </w:rPr>
      </w:pPr>
      <w:r w:rsidRPr="001443C1">
        <w:rPr>
          <w:szCs w:val="18"/>
          <w:lang w:val="nl-NL"/>
        </w:rPr>
        <w:t>In oktober 2030 is d</w:t>
      </w:r>
      <w:r w:rsidRPr="001443C1" w:rsidR="00F4733B">
        <w:rPr>
          <w:szCs w:val="18"/>
          <w:lang w:val="nl-NL"/>
        </w:rPr>
        <w:t xml:space="preserve">e OSPAR North East Atlantic Environment Strategy (NEAES) vastgesteld. </w:t>
      </w:r>
      <w:r w:rsidRPr="00F4733B" w:rsidR="00F4733B">
        <w:rPr>
          <w:szCs w:val="18"/>
          <w:lang w:val="nl-NL"/>
        </w:rPr>
        <w:t>De strategie bevat twaalf strategische doelen die moeten leiden tot een goede milieutoestand in de Noordoost Atlantische Oceaan. Deze doelen hebben betrekking op:</w:t>
      </w:r>
    </w:p>
    <w:p w:rsidRPr="00F4733B" w:rsidR="00F4733B" w:rsidP="00F4733B" w:rsidRDefault="00CF7708" w14:paraId="3C6BD34C" w14:textId="2DF2AA16">
      <w:pPr>
        <w:pBdr>
          <w:top w:val="single" w:color="auto" w:sz="4" w:space="1"/>
          <w:left w:val="single" w:color="auto" w:sz="4" w:space="4"/>
          <w:bottom w:val="single" w:color="auto" w:sz="4" w:space="1"/>
          <w:right w:val="single" w:color="auto" w:sz="4" w:space="4"/>
        </w:pBdr>
        <w:spacing w:line="240" w:lineRule="auto"/>
        <w:rPr>
          <w:szCs w:val="18"/>
          <w:lang w:val="nl-NL"/>
        </w:rPr>
      </w:pPr>
      <w:r>
        <w:rPr>
          <w:szCs w:val="18"/>
          <w:lang w:val="nl-NL"/>
        </w:rPr>
        <w:t xml:space="preserve">- </w:t>
      </w:r>
      <w:r w:rsidRPr="00F4733B" w:rsidR="00F4733B">
        <w:rPr>
          <w:szCs w:val="18"/>
          <w:lang w:val="nl-NL"/>
        </w:rPr>
        <w:t>Een schone zee/oceaan: eutrofiëring, gevaarlijke stoffen, radioactieve stoffen, zwerfvuil inclusief microplastics.</w:t>
      </w:r>
    </w:p>
    <w:p w:rsidRPr="00F4733B" w:rsidR="00F4733B" w:rsidP="00F4733B" w:rsidRDefault="00CF7708" w14:paraId="0F95D1CB" w14:textId="2CDB7B0C">
      <w:pPr>
        <w:pBdr>
          <w:top w:val="single" w:color="auto" w:sz="4" w:space="1"/>
          <w:left w:val="single" w:color="auto" w:sz="4" w:space="4"/>
          <w:bottom w:val="single" w:color="auto" w:sz="4" w:space="1"/>
          <w:right w:val="single" w:color="auto" w:sz="4" w:space="4"/>
        </w:pBdr>
        <w:spacing w:line="240" w:lineRule="auto"/>
        <w:rPr>
          <w:szCs w:val="18"/>
          <w:lang w:val="nl-NL"/>
        </w:rPr>
      </w:pPr>
      <w:r>
        <w:rPr>
          <w:szCs w:val="18"/>
          <w:lang w:val="nl-NL"/>
        </w:rPr>
        <w:t xml:space="preserve">- </w:t>
      </w:r>
      <w:r w:rsidRPr="00F4733B" w:rsidR="00F4733B">
        <w:rPr>
          <w:szCs w:val="18"/>
          <w:lang w:val="nl-NL"/>
        </w:rPr>
        <w:t>Een biologische diverse en gezonde zee: beschermen en behouden biodiversiteit, ecosysteem en ecosysteemdiensten, herstel van aangetaste habitats.</w:t>
      </w:r>
    </w:p>
    <w:p w:rsidRPr="00F4733B" w:rsidR="00F4733B" w:rsidP="00F4733B" w:rsidRDefault="00CF7708" w14:paraId="019E21A8" w14:textId="1E64CE4B">
      <w:pPr>
        <w:pBdr>
          <w:top w:val="single" w:color="auto" w:sz="4" w:space="1"/>
          <w:left w:val="single" w:color="auto" w:sz="4" w:space="4"/>
          <w:bottom w:val="single" w:color="auto" w:sz="4" w:space="1"/>
          <w:right w:val="single" w:color="auto" w:sz="4" w:space="4"/>
        </w:pBdr>
        <w:spacing w:line="240" w:lineRule="auto"/>
        <w:rPr>
          <w:szCs w:val="18"/>
          <w:lang w:val="nl-NL"/>
        </w:rPr>
      </w:pPr>
      <w:r>
        <w:rPr>
          <w:szCs w:val="18"/>
          <w:lang w:val="nl-NL"/>
        </w:rPr>
        <w:t xml:space="preserve">- </w:t>
      </w:r>
      <w:r w:rsidRPr="00F4733B" w:rsidR="00F4733B">
        <w:rPr>
          <w:szCs w:val="18"/>
          <w:lang w:val="nl-NL"/>
        </w:rPr>
        <w:t>Duurzaam gebruik van de zee: cumulatieve effecten van gebruik, onderwater geluid, zeebodemintegriteit.</w:t>
      </w:r>
    </w:p>
    <w:p w:rsidRPr="00F4733B" w:rsidR="00F4733B" w:rsidP="00F4733B" w:rsidRDefault="00CF7708" w14:paraId="2A7DD365" w14:textId="00064739">
      <w:pPr>
        <w:pBdr>
          <w:top w:val="single" w:color="auto" w:sz="4" w:space="1"/>
          <w:left w:val="single" w:color="auto" w:sz="4" w:space="4"/>
          <w:bottom w:val="single" w:color="auto" w:sz="4" w:space="1"/>
          <w:right w:val="single" w:color="auto" w:sz="4" w:space="4"/>
        </w:pBdr>
        <w:spacing w:line="240" w:lineRule="auto"/>
        <w:rPr>
          <w:szCs w:val="18"/>
          <w:lang w:val="nl-NL"/>
        </w:rPr>
      </w:pPr>
      <w:r>
        <w:rPr>
          <w:szCs w:val="18"/>
          <w:lang w:val="nl-NL"/>
        </w:rPr>
        <w:t xml:space="preserve">- </w:t>
      </w:r>
      <w:r w:rsidRPr="00F4733B" w:rsidR="00F4733B">
        <w:rPr>
          <w:szCs w:val="18"/>
          <w:lang w:val="nl-NL"/>
        </w:rPr>
        <w:t>Klimaatverandering en verzuring: bewustwording door te monitoren en analyseren, rekening houden met deze extra druk bij het ontwikkelen van programma's, acties en maatregelen, bijdrage van oceanen aan mitigatie.</w:t>
      </w:r>
    </w:p>
    <w:p w:rsidR="00F4733B" w:rsidP="00F4733B" w:rsidRDefault="00F4733B" w14:paraId="452D3D3D" w14:textId="7980F02C">
      <w:pPr>
        <w:pBdr>
          <w:top w:val="single" w:color="auto" w:sz="4" w:space="1"/>
          <w:left w:val="single" w:color="auto" w:sz="4" w:space="4"/>
          <w:bottom w:val="single" w:color="auto" w:sz="4" w:space="1"/>
          <w:right w:val="single" w:color="auto" w:sz="4" w:space="4"/>
        </w:pBdr>
        <w:spacing w:line="240" w:lineRule="auto"/>
        <w:rPr>
          <w:szCs w:val="18"/>
          <w:lang w:val="nl-NL"/>
        </w:rPr>
      </w:pPr>
      <w:r w:rsidRPr="00F4733B">
        <w:rPr>
          <w:szCs w:val="18"/>
          <w:lang w:val="nl-NL"/>
        </w:rPr>
        <w:t>In de planperiode</w:t>
      </w:r>
      <w:r w:rsidR="00CF7708">
        <w:rPr>
          <w:szCs w:val="18"/>
          <w:lang w:val="nl-NL"/>
        </w:rPr>
        <w:t xml:space="preserve"> 2022-2027</w:t>
      </w:r>
      <w:r w:rsidRPr="00F4733B">
        <w:rPr>
          <w:szCs w:val="18"/>
          <w:lang w:val="nl-NL"/>
        </w:rPr>
        <w:t xml:space="preserve"> wordt de OSPAR-NEAES door de Verdragspartijen geoperationaliseerd en geïmplementeerd. Hierbinnen zal Nederland inbreng leveren vanuit het kader van </w:t>
      </w:r>
      <w:r w:rsidR="00CF7708">
        <w:rPr>
          <w:szCs w:val="18"/>
          <w:lang w:val="nl-NL"/>
        </w:rPr>
        <w:t>het</w:t>
      </w:r>
      <w:r w:rsidRPr="00F4733B">
        <w:rPr>
          <w:szCs w:val="18"/>
          <w:lang w:val="nl-NL"/>
        </w:rPr>
        <w:t xml:space="preserve"> Programma Noordzee, en in bijzonder de opgaven en vereisten in relatie tot de implementatie van de KRM. Besluiten in OSPAR over de uitwerking van de NEAES zullen waar nodig doorwerken in het bijstellen of aanvullen van (de implementatie) het beleid van </w:t>
      </w:r>
      <w:r w:rsidR="00CF7708">
        <w:rPr>
          <w:szCs w:val="18"/>
          <w:lang w:val="nl-NL"/>
        </w:rPr>
        <w:t xml:space="preserve">het </w:t>
      </w:r>
      <w:r w:rsidRPr="00F4733B">
        <w:rPr>
          <w:szCs w:val="18"/>
          <w:lang w:val="nl-NL"/>
        </w:rPr>
        <w:t>Programma Noordzee en de implementatie van de KRM als onderdeel daarvan</w:t>
      </w:r>
      <w:r w:rsidR="00CF7708">
        <w:rPr>
          <w:szCs w:val="18"/>
          <w:lang w:val="nl-NL"/>
        </w:rPr>
        <w:t>.</w:t>
      </w:r>
    </w:p>
    <w:p w:rsidR="00B648F2" w:rsidP="001A5DBA" w:rsidRDefault="00B648F2" w14:paraId="329D73C1" w14:textId="4DF50BA7">
      <w:pPr>
        <w:pBdr>
          <w:top w:val="single" w:color="auto" w:sz="4" w:space="1"/>
          <w:left w:val="single" w:color="auto" w:sz="4" w:space="4"/>
          <w:bottom w:val="single" w:color="auto" w:sz="4" w:space="1"/>
          <w:right w:val="single" w:color="auto" w:sz="4" w:space="4"/>
        </w:pBdr>
        <w:spacing w:line="240" w:lineRule="auto"/>
        <w:rPr>
          <w:szCs w:val="18"/>
          <w:lang w:val="nl-NL"/>
        </w:rPr>
      </w:pPr>
      <w:r w:rsidRPr="00676092">
        <w:rPr>
          <w:szCs w:val="18"/>
          <w:lang w:val="nl-NL"/>
        </w:rPr>
        <w:t xml:space="preserve">Nederland steunt actief initiatieven voor internationale samenwerking binnen OSPAR, de EU en andere relevante internationale kaders. </w:t>
      </w:r>
      <w:r w:rsidR="00CF41F0">
        <w:rPr>
          <w:lang w:val="nl-NL"/>
        </w:rPr>
        <w:t xml:space="preserve">De actieve steun van Nederland aan internationale samenwerking blijkt onder meer uit het trekkerschap van verschillende OSPAR werkgroepen en de verschillende initiatieven die worden genomen om op internationaal niveau kennisuitwisseling en kennisontwikkeling te realiseren, zoals het opstellen van de OSPAR Science Needs Agenda en het internationale onderzoeksproject </w:t>
      </w:r>
      <w:r w:rsidR="0077504C">
        <w:rPr>
          <w:lang w:val="nl-NL"/>
        </w:rPr>
        <w:t>Jomopans</w:t>
      </w:r>
      <w:r w:rsidR="00CF41F0">
        <w:rPr>
          <w:lang w:val="nl-NL"/>
        </w:rPr>
        <w:t xml:space="preserve">. </w:t>
      </w:r>
    </w:p>
    <w:p w:rsidRPr="00884986" w:rsidR="002B6DA3" w:rsidP="00746E9B" w:rsidRDefault="002B6DA3" w14:paraId="51D1F3D5" w14:textId="77777777">
      <w:pPr>
        <w:pStyle w:val="Stijl1"/>
        <w:numPr>
          <w:ilvl w:val="1"/>
          <w:numId w:val="16"/>
        </w:numPr>
        <w:rPr>
          <w:lang w:val="nl-NL"/>
        </w:rPr>
      </w:pPr>
      <w:bookmarkStart w:name="_Toc59455622" w:id="14"/>
      <w:r w:rsidRPr="00884986">
        <w:rPr>
          <w:lang w:val="nl-NL"/>
        </w:rPr>
        <w:t>Leeswijzer</w:t>
      </w:r>
      <w:bookmarkEnd w:id="14"/>
    </w:p>
    <w:p w:rsidR="00AF2DC0" w:rsidP="00AF2DC0" w:rsidRDefault="00803598" w14:paraId="18A2D6CB" w14:textId="77777777">
      <w:pPr>
        <w:rPr>
          <w:lang w:val="nl-NL"/>
        </w:rPr>
      </w:pPr>
      <w:r>
        <w:rPr>
          <w:lang w:val="nl-NL"/>
        </w:rPr>
        <w:t>H</w:t>
      </w:r>
      <w:r w:rsidRPr="006B039D" w:rsidR="006B039D">
        <w:rPr>
          <w:lang w:val="nl-NL"/>
        </w:rPr>
        <w:t xml:space="preserve">oofdstuk 2 </w:t>
      </w:r>
      <w:r>
        <w:rPr>
          <w:lang w:val="nl-NL"/>
        </w:rPr>
        <w:t>gaat in</w:t>
      </w:r>
      <w:r w:rsidRPr="006B039D" w:rsidR="006B039D">
        <w:rPr>
          <w:lang w:val="nl-NL"/>
        </w:rPr>
        <w:t xml:space="preserve"> op het sociaaleconomisch belang van de Noordzee en </w:t>
      </w:r>
      <w:r>
        <w:rPr>
          <w:lang w:val="nl-NL"/>
        </w:rPr>
        <w:t xml:space="preserve">op </w:t>
      </w:r>
      <w:r w:rsidRPr="006B039D" w:rsidR="006B039D">
        <w:rPr>
          <w:lang w:val="nl-NL"/>
        </w:rPr>
        <w:t>verwachte ontwikkelingen op dit gebied</w:t>
      </w:r>
      <w:r>
        <w:rPr>
          <w:lang w:val="nl-NL"/>
        </w:rPr>
        <w:t xml:space="preserve">. Het </w:t>
      </w:r>
      <w:r w:rsidRPr="006B039D" w:rsidR="006B039D">
        <w:rPr>
          <w:lang w:val="nl-NL"/>
        </w:rPr>
        <w:t xml:space="preserve">geeft inzicht in de </w:t>
      </w:r>
      <w:r w:rsidR="003C7C7F">
        <w:rPr>
          <w:lang w:val="nl-NL"/>
        </w:rPr>
        <w:t xml:space="preserve">drukfactoren </w:t>
      </w:r>
      <w:r w:rsidR="00636335">
        <w:rPr>
          <w:lang w:val="nl-NL"/>
        </w:rPr>
        <w:t xml:space="preserve">op het mariene milieu, </w:t>
      </w:r>
      <w:r w:rsidR="003C7C7F">
        <w:rPr>
          <w:lang w:val="nl-NL"/>
        </w:rPr>
        <w:t xml:space="preserve">die samenhangen met de </w:t>
      </w:r>
      <w:r w:rsidRPr="006B039D" w:rsidR="006B039D">
        <w:rPr>
          <w:lang w:val="nl-NL"/>
        </w:rPr>
        <w:t xml:space="preserve">huidige en verwachte ontwikkelingen. Hoofdstuk 3 </w:t>
      </w:r>
      <w:r w:rsidR="005A5EDC">
        <w:rPr>
          <w:lang w:val="nl-NL"/>
        </w:rPr>
        <w:t>beschrijft</w:t>
      </w:r>
      <w:r w:rsidRPr="006B039D" w:rsidR="00636335">
        <w:rPr>
          <w:lang w:val="nl-NL"/>
        </w:rPr>
        <w:t xml:space="preserve"> </w:t>
      </w:r>
      <w:r w:rsidRPr="006B039D" w:rsidR="006B039D">
        <w:rPr>
          <w:lang w:val="nl-NL"/>
        </w:rPr>
        <w:t xml:space="preserve">per descriptor </w:t>
      </w:r>
      <w:r w:rsidR="00636335">
        <w:rPr>
          <w:lang w:val="nl-NL"/>
        </w:rPr>
        <w:t>beknopt</w:t>
      </w:r>
      <w:r w:rsidRPr="006B039D" w:rsidR="00636335">
        <w:rPr>
          <w:lang w:val="nl-NL"/>
        </w:rPr>
        <w:t xml:space="preserve"> </w:t>
      </w:r>
      <w:r w:rsidRPr="006B039D" w:rsidR="006B039D">
        <w:rPr>
          <w:lang w:val="nl-NL"/>
        </w:rPr>
        <w:t xml:space="preserve">de </w:t>
      </w:r>
      <w:r w:rsidR="0086324B">
        <w:rPr>
          <w:lang w:val="nl-NL"/>
        </w:rPr>
        <w:t>goede milieu toestand (</w:t>
      </w:r>
      <w:r w:rsidRPr="006B039D" w:rsidR="006B039D">
        <w:rPr>
          <w:lang w:val="nl-NL"/>
        </w:rPr>
        <w:t>GMT</w:t>
      </w:r>
      <w:r w:rsidR="0086324B">
        <w:rPr>
          <w:lang w:val="nl-NL"/>
        </w:rPr>
        <w:t>) en</w:t>
      </w:r>
      <w:r w:rsidRPr="006B039D" w:rsidR="006B039D">
        <w:rPr>
          <w:lang w:val="nl-NL"/>
        </w:rPr>
        <w:t xml:space="preserve"> </w:t>
      </w:r>
      <w:r w:rsidR="00636335">
        <w:rPr>
          <w:lang w:val="nl-NL"/>
        </w:rPr>
        <w:t xml:space="preserve">daaraan gerelateerde </w:t>
      </w:r>
      <w:r w:rsidRPr="006B039D" w:rsidR="006B039D">
        <w:rPr>
          <w:lang w:val="nl-NL"/>
        </w:rPr>
        <w:t xml:space="preserve">doelen, de huidige maatregelen, de huidige </w:t>
      </w:r>
      <w:r w:rsidR="0086324B">
        <w:rPr>
          <w:lang w:val="nl-NL"/>
        </w:rPr>
        <w:t>milieutoestand</w:t>
      </w:r>
      <w:r w:rsidRPr="006B039D" w:rsidR="006B039D">
        <w:rPr>
          <w:lang w:val="nl-NL"/>
        </w:rPr>
        <w:t>, de eventuele resterende beleidsopgave</w:t>
      </w:r>
      <w:r>
        <w:rPr>
          <w:lang w:val="nl-NL"/>
        </w:rPr>
        <w:t>n</w:t>
      </w:r>
      <w:r w:rsidRPr="006B039D" w:rsidR="006B039D">
        <w:rPr>
          <w:lang w:val="nl-NL"/>
        </w:rPr>
        <w:t xml:space="preserve"> (</w:t>
      </w:r>
      <w:r w:rsidRPr="00AF1E71" w:rsidR="00136261">
        <w:rPr>
          <w:i/>
          <w:iCs/>
          <w:lang w:val="nl-NL"/>
        </w:rPr>
        <w:t>gap analysis</w:t>
      </w:r>
      <w:r w:rsidRPr="006B039D" w:rsidR="006B039D">
        <w:rPr>
          <w:lang w:val="nl-NL"/>
        </w:rPr>
        <w:t>)</w:t>
      </w:r>
      <w:r w:rsidR="00EF7FD8">
        <w:rPr>
          <w:lang w:val="nl-NL"/>
        </w:rPr>
        <w:t xml:space="preserve">, </w:t>
      </w:r>
      <w:r w:rsidRPr="006B039D" w:rsidR="006B039D">
        <w:rPr>
          <w:lang w:val="nl-NL"/>
        </w:rPr>
        <w:t>benodigde aanvullende maatregelen</w:t>
      </w:r>
      <w:r w:rsidR="00C87A42">
        <w:rPr>
          <w:lang w:val="nl-NL"/>
        </w:rPr>
        <w:t>,</w:t>
      </w:r>
      <w:r w:rsidR="00EF7FD8">
        <w:rPr>
          <w:lang w:val="nl-NL"/>
        </w:rPr>
        <w:t xml:space="preserve"> eventuele verkenningen</w:t>
      </w:r>
      <w:r w:rsidR="00C87A42">
        <w:rPr>
          <w:lang w:val="nl-NL"/>
        </w:rPr>
        <w:t xml:space="preserve"> en kennisopgave</w:t>
      </w:r>
      <w:r>
        <w:rPr>
          <w:lang w:val="nl-NL"/>
        </w:rPr>
        <w:t>n</w:t>
      </w:r>
      <w:r w:rsidRPr="006B039D" w:rsidR="006B039D">
        <w:rPr>
          <w:lang w:val="nl-NL"/>
        </w:rPr>
        <w:t xml:space="preserve">. </w:t>
      </w:r>
      <w:r w:rsidRPr="00483337" w:rsidR="006B039D">
        <w:rPr>
          <w:lang w:val="nl-NL"/>
        </w:rPr>
        <w:t xml:space="preserve">Hoofdstuk </w:t>
      </w:r>
      <w:r w:rsidRPr="00483337" w:rsidR="004E625E">
        <w:rPr>
          <w:lang w:val="nl-NL"/>
        </w:rPr>
        <w:t>4</w:t>
      </w:r>
      <w:r w:rsidRPr="00483337" w:rsidR="006B039D">
        <w:rPr>
          <w:lang w:val="nl-NL"/>
        </w:rPr>
        <w:t xml:space="preserve"> </w:t>
      </w:r>
      <w:r w:rsidR="00063504">
        <w:rPr>
          <w:lang w:val="nl-NL"/>
        </w:rPr>
        <w:t>bevat een samenvattend overzicht van de kennisleemten en beschikbare onderzoeksprogramma’s.</w:t>
      </w:r>
      <w:r w:rsidRPr="00483337" w:rsidR="006B039D">
        <w:rPr>
          <w:lang w:val="nl-NL"/>
        </w:rPr>
        <w:t xml:space="preserve"> Hoofdstuk </w:t>
      </w:r>
      <w:r w:rsidRPr="00483337" w:rsidR="00733DD8">
        <w:rPr>
          <w:lang w:val="nl-NL"/>
        </w:rPr>
        <w:t>5</w:t>
      </w:r>
      <w:r w:rsidRPr="00483337">
        <w:rPr>
          <w:lang w:val="nl-NL"/>
        </w:rPr>
        <w:t xml:space="preserve"> ten slotte</w:t>
      </w:r>
      <w:r w:rsidRPr="00483337" w:rsidR="006B039D">
        <w:rPr>
          <w:lang w:val="nl-NL"/>
        </w:rPr>
        <w:t xml:space="preserve"> </w:t>
      </w:r>
      <w:r w:rsidRPr="00483337" w:rsidR="00EF7FD8">
        <w:rPr>
          <w:lang w:val="nl-NL"/>
        </w:rPr>
        <w:t xml:space="preserve">geeft een overzicht van </w:t>
      </w:r>
      <w:r w:rsidRPr="00483337" w:rsidR="00733DD8">
        <w:rPr>
          <w:lang w:val="nl-NL"/>
        </w:rPr>
        <w:t xml:space="preserve">wijze van financiering van de </w:t>
      </w:r>
      <w:r w:rsidR="00063504">
        <w:rPr>
          <w:lang w:val="nl-NL"/>
        </w:rPr>
        <w:t>aanvullende maatregelen</w:t>
      </w:r>
      <w:r w:rsidRPr="00483337" w:rsidR="006B039D">
        <w:rPr>
          <w:lang w:val="nl-NL"/>
        </w:rPr>
        <w:t>.</w:t>
      </w:r>
    </w:p>
    <w:p w:rsidR="00AF2DC0" w:rsidP="00AF2DC0" w:rsidRDefault="00AF2DC0" w14:paraId="22C254AE" w14:textId="77777777">
      <w:pPr>
        <w:rPr>
          <w:lang w:val="nl-NL"/>
        </w:rPr>
        <w:sectPr w:rsidR="00AF2DC0" w:rsidSect="001E6A24">
          <w:headerReference w:type="default" r:id="rId11"/>
          <w:footerReference w:type="even" r:id="rId12"/>
          <w:footerReference w:type="default" r:id="rId13"/>
          <w:footerReference w:type="first" r:id="rId14"/>
          <w:pgSz w:w="11907" w:h="16840" w:code="9"/>
          <w:pgMar w:top="1440" w:right="1440" w:bottom="1440" w:left="1440" w:header="709" w:footer="709" w:gutter="0"/>
          <w:cols w:space="708"/>
          <w:docGrid w:linePitch="360"/>
        </w:sectPr>
      </w:pPr>
    </w:p>
    <w:p w:rsidRPr="00CD5F85" w:rsidR="0070550F" w:rsidP="0070550F" w:rsidRDefault="0070550F" w14:paraId="191CE8D5" w14:textId="77777777">
      <w:pPr>
        <w:pStyle w:val="Stijl1"/>
        <w:rPr>
          <w:lang w:val="nl-NL"/>
        </w:rPr>
      </w:pPr>
      <w:bookmarkStart w:name="_Toc59455623" w:id="15"/>
      <w:r w:rsidRPr="00CD5F85">
        <w:rPr>
          <w:lang w:val="nl-NL"/>
        </w:rPr>
        <w:t>Sociaaleconomisch belang van de Noordzee</w:t>
      </w:r>
      <w:bookmarkEnd w:id="15"/>
    </w:p>
    <w:p w:rsidR="00323192" w:rsidP="00323192" w:rsidRDefault="00323192" w14:paraId="0A0DF24F" w14:textId="77777777">
      <w:pPr>
        <w:rPr>
          <w:lang w:val="nl-NL"/>
        </w:rPr>
      </w:pPr>
    </w:p>
    <w:p w:rsidR="00323192" w:rsidP="00323192" w:rsidRDefault="00323192" w14:paraId="07F4FEFC" w14:textId="77777777">
      <w:pPr>
        <w:rPr>
          <w:lang w:val="nl-NL"/>
        </w:rPr>
      </w:pPr>
      <w:r w:rsidRPr="001D5B87">
        <w:rPr>
          <w:lang w:val="nl-NL"/>
        </w:rPr>
        <w:t xml:space="preserve">De </w:t>
      </w:r>
      <w:r>
        <w:rPr>
          <w:lang w:val="nl-NL"/>
        </w:rPr>
        <w:t xml:space="preserve">ontwikkelingen in de </w:t>
      </w:r>
      <w:r w:rsidRPr="001D5B87">
        <w:rPr>
          <w:lang w:val="nl-NL"/>
        </w:rPr>
        <w:t>belasting van het mariene milieu (in termen van emissies naar water, visserij</w:t>
      </w:r>
      <w:r>
        <w:rPr>
          <w:lang w:val="nl-NL"/>
        </w:rPr>
        <w:t xml:space="preserve"> en andere drukfactoren</w:t>
      </w:r>
      <w:r w:rsidRPr="001D5B87">
        <w:rPr>
          <w:lang w:val="nl-NL"/>
        </w:rPr>
        <w:t xml:space="preserve">) wordt sterk bepaald door </w:t>
      </w:r>
      <w:r>
        <w:rPr>
          <w:lang w:val="nl-NL"/>
        </w:rPr>
        <w:t xml:space="preserve">ontwikkelingen in </w:t>
      </w:r>
      <w:r w:rsidRPr="001D5B87">
        <w:rPr>
          <w:lang w:val="nl-NL"/>
        </w:rPr>
        <w:t>de omvang van de sociaaleconomische bedrijvigheid op en langs de Noordzee.</w:t>
      </w:r>
      <w:r w:rsidR="00FB0043">
        <w:rPr>
          <w:lang w:val="nl-NL"/>
        </w:rPr>
        <w:t xml:space="preserve"> O</w:t>
      </w:r>
      <w:r w:rsidR="00134752">
        <w:rPr>
          <w:lang w:val="nl-NL"/>
        </w:rPr>
        <w:t>mgekeerd zijn verschillende economische activiteiten sterk afhankelijk van een goed functionerend ecosysteem</w:t>
      </w:r>
      <w:r w:rsidR="00FB0043">
        <w:rPr>
          <w:lang w:val="nl-NL"/>
        </w:rPr>
        <w:t>.</w:t>
      </w:r>
      <w:r w:rsidR="00134752">
        <w:rPr>
          <w:lang w:val="nl-NL"/>
        </w:rPr>
        <w:t xml:space="preserve"> </w:t>
      </w:r>
      <w:r>
        <w:rPr>
          <w:lang w:val="nl-NL"/>
        </w:rPr>
        <w:t>Daarom beschrijft d</w:t>
      </w:r>
      <w:r w:rsidRPr="001D5B87">
        <w:rPr>
          <w:lang w:val="nl-NL"/>
        </w:rPr>
        <w:t xml:space="preserve">it hoofdstuk </w:t>
      </w:r>
      <w:r>
        <w:rPr>
          <w:lang w:val="nl-NL"/>
        </w:rPr>
        <w:t>de</w:t>
      </w:r>
      <w:r w:rsidRPr="00EE1804">
        <w:rPr>
          <w:lang w:val="nl-NL"/>
        </w:rPr>
        <w:t xml:space="preserve"> </w:t>
      </w:r>
      <w:r w:rsidRPr="00C53691">
        <w:rPr>
          <w:lang w:val="nl-NL"/>
        </w:rPr>
        <w:t>economische ontwikkeling</w:t>
      </w:r>
      <w:r>
        <w:rPr>
          <w:lang w:val="nl-NL"/>
        </w:rPr>
        <w:t xml:space="preserve"> die sectoren </w:t>
      </w:r>
      <w:r w:rsidRPr="00151E5F">
        <w:rPr>
          <w:rStyle w:val="CommentReference"/>
          <w:sz w:val="18"/>
          <w:szCs w:val="18"/>
          <w:lang w:val="nl-NL"/>
        </w:rPr>
        <w:t>die</w:t>
      </w:r>
      <w:r>
        <w:rPr>
          <w:rStyle w:val="CommentReference"/>
          <w:lang w:val="nl-NL"/>
        </w:rPr>
        <w:t xml:space="preserve"> </w:t>
      </w:r>
      <w:r w:rsidRPr="001D5B87">
        <w:rPr>
          <w:lang w:val="nl-NL"/>
        </w:rPr>
        <w:t xml:space="preserve">sterk </w:t>
      </w:r>
      <w:r>
        <w:rPr>
          <w:lang w:val="nl-NL"/>
        </w:rPr>
        <w:t xml:space="preserve">afhankelijk zijn </w:t>
      </w:r>
      <w:r w:rsidRPr="001D5B87">
        <w:rPr>
          <w:lang w:val="nl-NL"/>
        </w:rPr>
        <w:t>van de Noordzee de afgelopen jaren hebben doorgemaakt</w:t>
      </w:r>
      <w:r>
        <w:rPr>
          <w:lang w:val="nl-NL"/>
        </w:rPr>
        <w:t>,</w:t>
      </w:r>
      <w:r w:rsidRPr="001D5B87">
        <w:rPr>
          <w:lang w:val="nl-NL"/>
        </w:rPr>
        <w:t xml:space="preserve"> en naar verwachting de komende jaren </w:t>
      </w:r>
      <w:r>
        <w:rPr>
          <w:lang w:val="nl-NL"/>
        </w:rPr>
        <w:t xml:space="preserve">nog </w:t>
      </w:r>
      <w:r w:rsidRPr="001D5B87">
        <w:rPr>
          <w:lang w:val="nl-NL"/>
        </w:rPr>
        <w:t xml:space="preserve">zullen doormaken. </w:t>
      </w:r>
      <w:r>
        <w:rPr>
          <w:lang w:val="nl-NL"/>
        </w:rPr>
        <w:t xml:space="preserve">Dit </w:t>
      </w:r>
      <w:r w:rsidRPr="001D5B87">
        <w:rPr>
          <w:lang w:val="nl-NL"/>
        </w:rPr>
        <w:t xml:space="preserve">hoofdstuk </w:t>
      </w:r>
      <w:r>
        <w:rPr>
          <w:lang w:val="nl-NL"/>
        </w:rPr>
        <w:t xml:space="preserve">laat tevens </w:t>
      </w:r>
      <w:r w:rsidRPr="001D5B87">
        <w:rPr>
          <w:lang w:val="nl-NL"/>
        </w:rPr>
        <w:t xml:space="preserve">de betekenis voor de Nederlandse economie </w:t>
      </w:r>
      <w:r>
        <w:rPr>
          <w:lang w:val="nl-NL"/>
        </w:rPr>
        <w:t xml:space="preserve">zien </w:t>
      </w:r>
      <w:r w:rsidRPr="001D5B87">
        <w:rPr>
          <w:lang w:val="nl-NL"/>
        </w:rPr>
        <w:t xml:space="preserve">van </w:t>
      </w:r>
      <w:r>
        <w:rPr>
          <w:lang w:val="nl-NL"/>
        </w:rPr>
        <w:t xml:space="preserve">de </w:t>
      </w:r>
      <w:r w:rsidRPr="001D5B87">
        <w:rPr>
          <w:lang w:val="nl-NL"/>
        </w:rPr>
        <w:t xml:space="preserve">verschillende economische activiteiten op en rond </w:t>
      </w:r>
      <w:r w:rsidR="00B0658A">
        <w:rPr>
          <w:lang w:val="nl-NL"/>
        </w:rPr>
        <w:t>de Nederlandse Exclusieve Economische Zone (EEZ)</w:t>
      </w:r>
      <w:r w:rsidRPr="001D5B87">
        <w:rPr>
          <w:lang w:val="nl-NL"/>
        </w:rPr>
        <w:t xml:space="preserve">. </w:t>
      </w:r>
      <w:r>
        <w:rPr>
          <w:lang w:val="nl-NL"/>
        </w:rPr>
        <w:t>Op zee gaat het om</w:t>
      </w:r>
      <w:r w:rsidRPr="00413EC2">
        <w:rPr>
          <w:lang w:val="nl-NL"/>
        </w:rPr>
        <w:t xml:space="preserve">: </w:t>
      </w:r>
      <w:r>
        <w:rPr>
          <w:lang w:val="nl-NL"/>
        </w:rPr>
        <w:t>o</w:t>
      </w:r>
      <w:r w:rsidRPr="00413EC2">
        <w:rPr>
          <w:lang w:val="nl-NL"/>
        </w:rPr>
        <w:t xml:space="preserve">lie- en gaswinning, </w:t>
      </w:r>
      <w:r>
        <w:rPr>
          <w:lang w:val="nl-NL"/>
        </w:rPr>
        <w:t>v</w:t>
      </w:r>
      <w:r w:rsidRPr="00413EC2">
        <w:rPr>
          <w:lang w:val="nl-NL"/>
        </w:rPr>
        <w:t xml:space="preserve">isserij, </w:t>
      </w:r>
      <w:r>
        <w:rPr>
          <w:lang w:val="nl-NL"/>
        </w:rPr>
        <w:t>z</w:t>
      </w:r>
      <w:r w:rsidRPr="00413EC2">
        <w:rPr>
          <w:lang w:val="nl-NL"/>
        </w:rPr>
        <w:t xml:space="preserve">eescheepvaart, </w:t>
      </w:r>
      <w:r>
        <w:rPr>
          <w:lang w:val="nl-NL"/>
        </w:rPr>
        <w:t>w</w:t>
      </w:r>
      <w:r w:rsidRPr="00413EC2">
        <w:rPr>
          <w:lang w:val="nl-NL"/>
        </w:rPr>
        <w:t xml:space="preserve">inning van zand en grind, en </w:t>
      </w:r>
      <w:r>
        <w:rPr>
          <w:lang w:val="nl-NL"/>
        </w:rPr>
        <w:t>de activiteiten gerelateerd aan o</w:t>
      </w:r>
      <w:r w:rsidRPr="00413EC2">
        <w:rPr>
          <w:lang w:val="nl-NL"/>
        </w:rPr>
        <w:t xml:space="preserve">ffshore windenergie. </w:t>
      </w:r>
      <w:r>
        <w:rPr>
          <w:lang w:val="nl-NL"/>
        </w:rPr>
        <w:t xml:space="preserve">Daarnaast zijn sectoren en daarmee verbonden activiteiten beschreven die op land </w:t>
      </w:r>
      <w:r w:rsidRPr="001D5B87">
        <w:rPr>
          <w:lang w:val="nl-NL"/>
        </w:rPr>
        <w:t>sterk afhankelijk zijn van de zee, waaronder haven</w:t>
      </w:r>
      <w:r>
        <w:rPr>
          <w:lang w:val="nl-NL"/>
        </w:rPr>
        <w:t>bedrijvigheid en recreatie</w:t>
      </w:r>
      <w:r w:rsidRPr="001D5B87">
        <w:rPr>
          <w:lang w:val="nl-NL"/>
        </w:rPr>
        <w:t>.</w:t>
      </w:r>
    </w:p>
    <w:p w:rsidRPr="00323192" w:rsidR="00323192" w:rsidP="00323192" w:rsidRDefault="00323192" w14:paraId="68197549" w14:textId="77777777">
      <w:pPr>
        <w:pStyle w:val="Heading4"/>
        <w:rPr>
          <w:lang w:val="nl-NL"/>
        </w:rPr>
      </w:pPr>
      <w:r w:rsidRPr="00323192">
        <w:rPr>
          <w:lang w:val="nl-NL"/>
        </w:rPr>
        <w:t>Algemeen</w:t>
      </w:r>
    </w:p>
    <w:p w:rsidR="00323192" w:rsidP="00323192" w:rsidRDefault="00323192" w14:paraId="42BAA74C" w14:textId="77777777">
      <w:pPr>
        <w:rPr>
          <w:lang w:val="nl-NL"/>
        </w:rPr>
      </w:pPr>
      <w:r w:rsidRPr="001D5B87">
        <w:rPr>
          <w:lang w:val="nl-NL"/>
        </w:rPr>
        <w:t xml:space="preserve">Het Nederlands deel van de Noordzee is een van de meest intensief gebruikte delen van de Noordzee. </w:t>
      </w:r>
      <w:r>
        <w:rPr>
          <w:lang w:val="nl-NL"/>
        </w:rPr>
        <w:t>Hier</w:t>
      </w:r>
      <w:r w:rsidRPr="001D5B87">
        <w:rPr>
          <w:lang w:val="nl-NL"/>
        </w:rPr>
        <w:t xml:space="preserve"> wordt gevist en gevaren (zowel beroepsmatig als recreatief), olie, gas, zand en grind gewonnen, en de laatste jaren ook steeds meer windenergie</w:t>
      </w:r>
      <w:r>
        <w:rPr>
          <w:lang w:val="nl-NL"/>
        </w:rPr>
        <w:t xml:space="preserve"> geproduceerd</w:t>
      </w:r>
      <w:r w:rsidRPr="001D5B87">
        <w:rPr>
          <w:lang w:val="nl-NL"/>
        </w:rPr>
        <w:t xml:space="preserve">. </w:t>
      </w:r>
      <w:r>
        <w:rPr>
          <w:lang w:val="nl-NL"/>
        </w:rPr>
        <w:t>D</w:t>
      </w:r>
      <w:r w:rsidRPr="001D5B87">
        <w:rPr>
          <w:lang w:val="nl-NL"/>
        </w:rPr>
        <w:t xml:space="preserve">e </w:t>
      </w:r>
      <w:r>
        <w:rPr>
          <w:lang w:val="nl-NL"/>
        </w:rPr>
        <w:t xml:space="preserve">economische waarde van de </w:t>
      </w:r>
      <w:r w:rsidRPr="001D5B87">
        <w:rPr>
          <w:lang w:val="nl-NL"/>
        </w:rPr>
        <w:t xml:space="preserve">Noordzee </w:t>
      </w:r>
      <w:r w:rsidRPr="0077107E">
        <w:rPr>
          <w:lang w:val="nl-NL"/>
        </w:rPr>
        <w:t xml:space="preserve">voor </w:t>
      </w:r>
      <w:r>
        <w:rPr>
          <w:lang w:val="nl-NL"/>
        </w:rPr>
        <w:t xml:space="preserve">de zeegebonden </w:t>
      </w:r>
      <w:r w:rsidRPr="0077107E">
        <w:rPr>
          <w:lang w:val="nl-NL"/>
        </w:rPr>
        <w:t xml:space="preserve">sectoren </w:t>
      </w:r>
      <w:r>
        <w:rPr>
          <w:lang w:val="nl-NL"/>
        </w:rPr>
        <w:t xml:space="preserve">en activiteiten </w:t>
      </w:r>
      <w:r w:rsidRPr="001D5B87">
        <w:rPr>
          <w:lang w:val="nl-NL"/>
        </w:rPr>
        <w:t xml:space="preserve">op land en zee is de </w:t>
      </w:r>
      <w:r w:rsidRPr="00327842">
        <w:rPr>
          <w:lang w:val="nl-NL"/>
        </w:rPr>
        <w:t xml:space="preserve">afgelopen jaren sterk toegenomen (zie </w:t>
      </w:r>
      <w:r w:rsidRPr="00327842" w:rsidR="00FB0043">
        <w:rPr>
          <w:lang w:val="nl-NL"/>
        </w:rPr>
        <w:t>t</w:t>
      </w:r>
      <w:r w:rsidRPr="00327842">
        <w:rPr>
          <w:lang w:val="nl-NL"/>
        </w:rPr>
        <w:t>abel 1). Deze totale waarde zal naar verwachting de</w:t>
      </w:r>
      <w:r w:rsidRPr="001D5B87">
        <w:rPr>
          <w:lang w:val="nl-NL"/>
        </w:rPr>
        <w:t xml:space="preserve"> komende jaren verder toenemen</w:t>
      </w:r>
      <w:r>
        <w:rPr>
          <w:lang w:val="nl-NL"/>
        </w:rPr>
        <w:t xml:space="preserve">; de mate waarin verschilt echter sterk per sector of activiteit. </w:t>
      </w:r>
      <w:r w:rsidRPr="001D5B87">
        <w:rPr>
          <w:lang w:val="nl-NL"/>
        </w:rPr>
        <w:t>Zo is de economische waarde van de relatief grote olie</w:t>
      </w:r>
      <w:r>
        <w:rPr>
          <w:lang w:val="nl-NL"/>
        </w:rPr>
        <w:t>-</w:t>
      </w:r>
      <w:r w:rsidRPr="001D5B87">
        <w:rPr>
          <w:lang w:val="nl-NL"/>
        </w:rPr>
        <w:t xml:space="preserve"> en gassector duidelijk afgenomen, terwijl de waarde van de kleinere sector windenergie op zee </w:t>
      </w:r>
      <w:r>
        <w:rPr>
          <w:lang w:val="nl-NL"/>
        </w:rPr>
        <w:t>een stijgende lijn laat zien.</w:t>
      </w:r>
      <w:r w:rsidRPr="001D5B87">
        <w:rPr>
          <w:lang w:val="nl-NL"/>
        </w:rPr>
        <w:t xml:space="preserve"> De verwachting is dat als gevolg van de energietransitie beide ontwikkelingen </w:t>
      </w:r>
      <w:r>
        <w:rPr>
          <w:lang w:val="nl-NL"/>
        </w:rPr>
        <w:t xml:space="preserve">in </w:t>
      </w:r>
      <w:r w:rsidRPr="001D5B87">
        <w:rPr>
          <w:lang w:val="nl-NL"/>
        </w:rPr>
        <w:t>de komende jaren</w:t>
      </w:r>
      <w:r>
        <w:rPr>
          <w:lang w:val="nl-NL"/>
        </w:rPr>
        <w:t xml:space="preserve"> zich</w:t>
      </w:r>
      <w:r w:rsidRPr="001D5B87">
        <w:rPr>
          <w:lang w:val="nl-NL"/>
        </w:rPr>
        <w:t xml:space="preserve"> zullen </w:t>
      </w:r>
      <w:r>
        <w:rPr>
          <w:lang w:val="nl-NL"/>
        </w:rPr>
        <w:t>voort</w:t>
      </w:r>
      <w:r w:rsidRPr="001D5B87">
        <w:rPr>
          <w:lang w:val="nl-NL"/>
        </w:rPr>
        <w:t>zetten</w:t>
      </w:r>
      <w:r w:rsidR="00327842">
        <w:rPr>
          <w:lang w:val="nl-NL"/>
        </w:rPr>
        <w:t xml:space="preserve"> [1]</w:t>
      </w:r>
      <w:r w:rsidRPr="001D5B87">
        <w:rPr>
          <w:lang w:val="nl-NL"/>
        </w:rPr>
        <w:t xml:space="preserve">. </w:t>
      </w:r>
    </w:p>
    <w:p w:rsidRPr="00323192" w:rsidR="00323192" w:rsidP="00323192" w:rsidRDefault="00323192" w14:paraId="7D81725F" w14:textId="77777777">
      <w:pPr>
        <w:pStyle w:val="Heading4"/>
        <w:rPr>
          <w:lang w:val="nl-NL"/>
        </w:rPr>
      </w:pPr>
      <w:r w:rsidRPr="00323192">
        <w:rPr>
          <w:lang w:val="nl-NL"/>
        </w:rPr>
        <w:t>Zeescheepvaart</w:t>
      </w:r>
    </w:p>
    <w:p w:rsidRPr="006F3E66" w:rsidR="00323192" w:rsidP="00323192" w:rsidRDefault="00323192" w14:paraId="3D824220" w14:textId="77777777">
      <w:pPr>
        <w:rPr>
          <w:lang w:val="nl-NL"/>
        </w:rPr>
      </w:pPr>
      <w:r>
        <w:rPr>
          <w:lang w:val="nl-NL"/>
        </w:rPr>
        <w:t>Het</w:t>
      </w:r>
      <w:r w:rsidRPr="006F3E66">
        <w:rPr>
          <w:lang w:val="nl-NL"/>
        </w:rPr>
        <w:t xml:space="preserve"> </w:t>
      </w:r>
      <w:r>
        <w:rPr>
          <w:lang w:val="nl-NL"/>
        </w:rPr>
        <w:t xml:space="preserve">bijzonder intensieve </w:t>
      </w:r>
      <w:r w:rsidRPr="006F3E66">
        <w:rPr>
          <w:lang w:val="nl-NL"/>
        </w:rPr>
        <w:t>scheepvaartverkeer</w:t>
      </w:r>
      <w:r>
        <w:rPr>
          <w:lang w:val="nl-NL"/>
        </w:rPr>
        <w:t xml:space="preserve"> op de Noordzee</w:t>
      </w:r>
      <w:r w:rsidRPr="006F3E66">
        <w:rPr>
          <w:lang w:val="nl-NL"/>
        </w:rPr>
        <w:t xml:space="preserve"> omvat </w:t>
      </w:r>
      <w:r>
        <w:rPr>
          <w:lang w:val="nl-NL"/>
        </w:rPr>
        <w:t xml:space="preserve">zowel transport van vracht als </w:t>
      </w:r>
      <w:r w:rsidRPr="006F3E66">
        <w:rPr>
          <w:lang w:val="nl-NL"/>
        </w:rPr>
        <w:t xml:space="preserve">vervoer van passagiers. </w:t>
      </w:r>
      <w:r>
        <w:rPr>
          <w:lang w:val="nl-NL"/>
        </w:rPr>
        <w:t xml:space="preserve">Ook </w:t>
      </w:r>
      <w:r w:rsidRPr="006F3E66">
        <w:rPr>
          <w:lang w:val="nl-NL"/>
        </w:rPr>
        <w:t xml:space="preserve">binnenvaartschepen </w:t>
      </w:r>
      <w:r>
        <w:rPr>
          <w:lang w:val="nl-NL"/>
        </w:rPr>
        <w:t xml:space="preserve">maken </w:t>
      </w:r>
      <w:r w:rsidRPr="006F3E66">
        <w:rPr>
          <w:lang w:val="nl-NL"/>
        </w:rPr>
        <w:t xml:space="preserve">soms gebruik van de </w:t>
      </w:r>
      <w:r w:rsidR="00B0658A">
        <w:rPr>
          <w:lang w:val="nl-NL"/>
        </w:rPr>
        <w:t>EEZ</w:t>
      </w:r>
      <w:r w:rsidRPr="006F3E66">
        <w:rPr>
          <w:lang w:val="nl-NL"/>
        </w:rPr>
        <w:t xml:space="preserve">, </w:t>
      </w:r>
      <w:r>
        <w:rPr>
          <w:lang w:val="nl-NL"/>
        </w:rPr>
        <w:t xml:space="preserve">maar </w:t>
      </w:r>
      <w:r w:rsidRPr="006F3E66">
        <w:rPr>
          <w:lang w:val="nl-NL"/>
        </w:rPr>
        <w:t xml:space="preserve">hun aandeel in het totale scheepvaartverkeer op de Noordzee </w:t>
      </w:r>
      <w:r>
        <w:rPr>
          <w:lang w:val="nl-NL"/>
        </w:rPr>
        <w:t xml:space="preserve">is te </w:t>
      </w:r>
      <w:r w:rsidRPr="006F3E66">
        <w:rPr>
          <w:lang w:val="nl-NL"/>
        </w:rPr>
        <w:t>verwaarlo</w:t>
      </w:r>
      <w:r>
        <w:rPr>
          <w:lang w:val="nl-NL"/>
        </w:rPr>
        <w:t>zen</w:t>
      </w:r>
      <w:r w:rsidRPr="006F3E66">
        <w:rPr>
          <w:lang w:val="nl-NL"/>
        </w:rPr>
        <w:t>.</w:t>
      </w:r>
      <w:r>
        <w:rPr>
          <w:lang w:val="nl-NL"/>
        </w:rPr>
        <w:t xml:space="preserve"> V</w:t>
      </w:r>
      <w:r w:rsidRPr="006F3E66">
        <w:rPr>
          <w:lang w:val="nl-NL"/>
        </w:rPr>
        <w:t xml:space="preserve">eel schepen die gebruikmaken van het </w:t>
      </w:r>
      <w:r w:rsidR="00B0658A">
        <w:rPr>
          <w:lang w:val="nl-NL"/>
        </w:rPr>
        <w:t>EEZ</w:t>
      </w:r>
      <w:r w:rsidRPr="006F3E66">
        <w:rPr>
          <w:lang w:val="nl-NL"/>
        </w:rPr>
        <w:t xml:space="preserve"> worden geëxploiteerd</w:t>
      </w:r>
      <w:r>
        <w:rPr>
          <w:lang w:val="nl-NL"/>
        </w:rPr>
        <w:t xml:space="preserve"> </w:t>
      </w:r>
      <w:r w:rsidRPr="006F3E66">
        <w:rPr>
          <w:lang w:val="nl-NL"/>
        </w:rPr>
        <w:t>door buitenlandse rederijen</w:t>
      </w:r>
      <w:r>
        <w:rPr>
          <w:lang w:val="nl-NL"/>
        </w:rPr>
        <w:t xml:space="preserve"> en leveren</w:t>
      </w:r>
      <w:r w:rsidRPr="006F3E66">
        <w:rPr>
          <w:lang w:val="nl-NL"/>
        </w:rPr>
        <w:t xml:space="preserve"> geen bijdrage aan de Nederlandse economie</w:t>
      </w:r>
      <w:r>
        <w:rPr>
          <w:lang w:val="nl-NL"/>
        </w:rPr>
        <w:t xml:space="preserve">. De economische </w:t>
      </w:r>
      <w:r w:rsidRPr="006F3E66">
        <w:rPr>
          <w:lang w:val="nl-NL"/>
        </w:rPr>
        <w:t>waarde van d</w:t>
      </w:r>
      <w:r>
        <w:rPr>
          <w:lang w:val="nl-NL"/>
        </w:rPr>
        <w:t xml:space="preserve">it deel van de scheepvaart op de Noordzee is daarom </w:t>
      </w:r>
      <w:r w:rsidRPr="006F3E66">
        <w:rPr>
          <w:lang w:val="nl-NL"/>
        </w:rPr>
        <w:t>niet meegenomen bij de beschrijving van deze sector.</w:t>
      </w:r>
    </w:p>
    <w:p w:rsidRPr="006F3E66" w:rsidR="003675F2" w:rsidP="00323192" w:rsidRDefault="003675F2" w14:paraId="1ACC3D01" w14:textId="77777777">
      <w:pPr>
        <w:rPr>
          <w:lang w:val="nl-NL"/>
        </w:rPr>
      </w:pPr>
      <w:r>
        <w:rPr>
          <w:lang w:val="nl-NL"/>
        </w:rPr>
        <w:t>Scheepvaart kan leiden tot negatieve effecten op het milieu door ongelukken en verloren ladingen. Om deze effecten te beperken bestaan er specifieke scheepvaartroutes die om bepaalde gebieden heen gaan. Daarnaast leidt het lozen van ballastwater soms tot introductie van niet</w:t>
      </w:r>
      <w:r w:rsidR="00B0658A">
        <w:rPr>
          <w:lang w:val="nl-NL"/>
        </w:rPr>
        <w:t>-</w:t>
      </w:r>
      <w:r>
        <w:rPr>
          <w:lang w:val="nl-NL"/>
        </w:rPr>
        <w:t>inheemse soorten</w:t>
      </w:r>
      <w:r w:rsidR="00D83547">
        <w:rPr>
          <w:lang w:val="nl-NL"/>
        </w:rPr>
        <w:t xml:space="preserve"> (D2)</w:t>
      </w:r>
      <w:r>
        <w:rPr>
          <w:lang w:val="nl-NL"/>
        </w:rPr>
        <w:t>. Om dit tegen te gaan zijn maatregelen getroffen in het kader van het Ballastwaterverdrag. De afgelopen jaren is in toenemende mate aandacht voor de mogelijke effecten van onderwatergeluid</w:t>
      </w:r>
      <w:r w:rsidR="00D55D53">
        <w:rPr>
          <w:lang w:val="nl-NL"/>
        </w:rPr>
        <w:t xml:space="preserve"> dat door schepen wordt veroorzaakt</w:t>
      </w:r>
      <w:r w:rsidR="00D83547">
        <w:rPr>
          <w:lang w:val="nl-NL"/>
        </w:rPr>
        <w:t xml:space="preserve"> (D11)</w:t>
      </w:r>
      <w:r w:rsidR="00327842">
        <w:rPr>
          <w:lang w:val="nl-NL"/>
        </w:rPr>
        <w:t xml:space="preserve"> [2]</w:t>
      </w:r>
      <w:r w:rsidR="00D55D53">
        <w:rPr>
          <w:lang w:val="nl-NL"/>
        </w:rPr>
        <w:t xml:space="preserve">. </w:t>
      </w:r>
    </w:p>
    <w:p w:rsidRPr="003F3C08" w:rsidR="00323192" w:rsidP="00323192" w:rsidRDefault="00323192" w14:paraId="4CB86C97" w14:textId="77777777">
      <w:pPr>
        <w:rPr>
          <w:lang w:val="nl-NL"/>
        </w:rPr>
      </w:pPr>
      <w:r w:rsidRPr="006F3E66">
        <w:rPr>
          <w:lang w:val="nl-NL"/>
        </w:rPr>
        <w:t xml:space="preserve">Tussen 2010 en 2015 is bij de zeescheepvaart een duidelijke toename </w:t>
      </w:r>
      <w:r>
        <w:rPr>
          <w:lang w:val="nl-NL"/>
        </w:rPr>
        <w:t>te zien voor</w:t>
      </w:r>
      <w:r w:rsidRPr="006F3E66">
        <w:rPr>
          <w:lang w:val="nl-NL"/>
        </w:rPr>
        <w:t xml:space="preserve"> alle economische indicatoren</w:t>
      </w:r>
      <w:r>
        <w:rPr>
          <w:lang w:val="nl-NL"/>
        </w:rPr>
        <w:t xml:space="preserve"> </w:t>
      </w:r>
      <w:r w:rsidRPr="00FB0043">
        <w:rPr>
          <w:lang w:val="nl-NL"/>
        </w:rPr>
        <w:t>(zie tabel 1).</w:t>
      </w:r>
      <w:r>
        <w:rPr>
          <w:lang w:val="nl-NL"/>
        </w:rPr>
        <w:t xml:space="preserve"> Die stijging komt overeen </w:t>
      </w:r>
      <w:r w:rsidRPr="006F3E66">
        <w:rPr>
          <w:lang w:val="nl-NL"/>
        </w:rPr>
        <w:t>met de ontwikkeling</w:t>
      </w:r>
      <w:r>
        <w:rPr>
          <w:lang w:val="nl-NL"/>
        </w:rPr>
        <w:t>en</w:t>
      </w:r>
      <w:r w:rsidRPr="006F3E66">
        <w:rPr>
          <w:lang w:val="nl-NL"/>
        </w:rPr>
        <w:t xml:space="preserve"> in de internationale maritieme handel. Tussen 2015 en 2017 </w:t>
      </w:r>
      <w:r>
        <w:rPr>
          <w:lang w:val="nl-NL"/>
        </w:rPr>
        <w:t>dalen de waarden voor de verschillende economische indicatoren, maar over de gehele periode 2010-2017 gemeten is sprake van groei in deze sector.</w:t>
      </w:r>
    </w:p>
    <w:p w:rsidR="00323192" w:rsidP="00323192" w:rsidRDefault="00323192" w14:paraId="7BD7C9F6" w14:textId="77777777">
      <w:pPr>
        <w:rPr>
          <w:lang w:val="nl-NL"/>
        </w:rPr>
      </w:pPr>
      <w:r w:rsidRPr="002455D6">
        <w:rPr>
          <w:lang w:val="nl-NL"/>
        </w:rPr>
        <w:t>De scheepvaartsector en zeehavens zijn van groot economisch belang voor Nederland</w:t>
      </w:r>
      <w:r>
        <w:rPr>
          <w:lang w:val="nl-NL"/>
        </w:rPr>
        <w:t xml:space="preserve">. Dit </w:t>
      </w:r>
      <w:r w:rsidRPr="002455D6">
        <w:rPr>
          <w:lang w:val="nl-NL"/>
        </w:rPr>
        <w:t xml:space="preserve">zal in de toekomst niet anders zijn. </w:t>
      </w:r>
      <w:r>
        <w:rPr>
          <w:lang w:val="nl-NL"/>
        </w:rPr>
        <w:t xml:space="preserve">Naar </w:t>
      </w:r>
      <w:r w:rsidRPr="002455D6">
        <w:rPr>
          <w:lang w:val="nl-NL"/>
        </w:rPr>
        <w:t xml:space="preserve">verwachting </w:t>
      </w:r>
      <w:r>
        <w:rPr>
          <w:lang w:val="nl-NL"/>
        </w:rPr>
        <w:t xml:space="preserve">blijft het </w:t>
      </w:r>
      <w:r w:rsidRPr="002455D6">
        <w:rPr>
          <w:lang w:val="nl-NL"/>
        </w:rPr>
        <w:t xml:space="preserve">transport </w:t>
      </w:r>
      <w:r>
        <w:rPr>
          <w:lang w:val="nl-NL"/>
        </w:rPr>
        <w:t>over</w:t>
      </w:r>
      <w:r w:rsidRPr="002455D6">
        <w:rPr>
          <w:lang w:val="nl-NL"/>
        </w:rPr>
        <w:t xml:space="preserve"> de Noordzee de komende decennia toenemen. Het tempo </w:t>
      </w:r>
      <w:r>
        <w:rPr>
          <w:lang w:val="nl-NL"/>
        </w:rPr>
        <w:t>van de groei</w:t>
      </w:r>
      <w:r w:rsidRPr="002455D6">
        <w:rPr>
          <w:lang w:val="nl-NL"/>
        </w:rPr>
        <w:t xml:space="preserve"> is afhankelijk van de verdere globalisering van de economie. </w:t>
      </w:r>
      <w:r>
        <w:rPr>
          <w:lang w:val="nl-NL"/>
        </w:rPr>
        <w:t xml:space="preserve">De verwachting is dat door de </w:t>
      </w:r>
      <w:r w:rsidRPr="002455D6">
        <w:rPr>
          <w:lang w:val="nl-NL"/>
        </w:rPr>
        <w:t xml:space="preserve">verdergaande schaalvergroting </w:t>
      </w:r>
      <w:r>
        <w:rPr>
          <w:lang w:val="nl-NL"/>
        </w:rPr>
        <w:t>i</w:t>
      </w:r>
      <w:r w:rsidRPr="002455D6">
        <w:rPr>
          <w:lang w:val="nl-NL"/>
        </w:rPr>
        <w:t xml:space="preserve">n de scheepvaartsector het aantal scheepvaartbewegingen minder </w:t>
      </w:r>
      <w:r>
        <w:rPr>
          <w:lang w:val="nl-NL"/>
        </w:rPr>
        <w:t>snel</w:t>
      </w:r>
      <w:r w:rsidRPr="002455D6">
        <w:rPr>
          <w:lang w:val="nl-NL"/>
        </w:rPr>
        <w:t xml:space="preserve"> </w:t>
      </w:r>
      <w:r>
        <w:rPr>
          <w:lang w:val="nl-NL"/>
        </w:rPr>
        <w:t xml:space="preserve">zal </w:t>
      </w:r>
      <w:r w:rsidRPr="002455D6">
        <w:rPr>
          <w:lang w:val="nl-NL"/>
        </w:rPr>
        <w:t xml:space="preserve">toenemen. </w:t>
      </w:r>
      <w:r>
        <w:rPr>
          <w:lang w:val="nl-NL"/>
        </w:rPr>
        <w:t>Ook e</w:t>
      </w:r>
      <w:r w:rsidRPr="002455D6">
        <w:rPr>
          <w:lang w:val="nl-NL"/>
        </w:rPr>
        <w:t xml:space="preserve">en toename van </w:t>
      </w:r>
      <w:r w:rsidRPr="00692D7B">
        <w:rPr>
          <w:i/>
          <w:iCs/>
          <w:lang w:val="nl-NL"/>
        </w:rPr>
        <w:t>short sea shipping</w:t>
      </w:r>
      <w:r w:rsidRPr="002455D6">
        <w:rPr>
          <w:lang w:val="nl-NL"/>
        </w:rPr>
        <w:t xml:space="preserve"> wordt voorzien. </w:t>
      </w:r>
      <w:r>
        <w:rPr>
          <w:lang w:val="nl-NL"/>
        </w:rPr>
        <w:t>Daarnaast</w:t>
      </w:r>
      <w:r w:rsidRPr="002455D6">
        <w:rPr>
          <w:lang w:val="nl-NL"/>
        </w:rPr>
        <w:t xml:space="preserve"> </w:t>
      </w:r>
      <w:r>
        <w:rPr>
          <w:lang w:val="nl-NL"/>
        </w:rPr>
        <w:t xml:space="preserve">wordt er rekening mee gehouden dat mede als gevolg van klimaatverandering </w:t>
      </w:r>
      <w:r w:rsidRPr="002455D6">
        <w:rPr>
          <w:lang w:val="nl-NL"/>
        </w:rPr>
        <w:t>meer scheepvaartbewegingen richting het noorden</w:t>
      </w:r>
      <w:r>
        <w:rPr>
          <w:lang w:val="nl-NL"/>
        </w:rPr>
        <w:t xml:space="preserve"> zullen plaatsvinden</w:t>
      </w:r>
      <w:r w:rsidR="0000502E">
        <w:rPr>
          <w:lang w:val="nl-NL"/>
        </w:rPr>
        <w:t xml:space="preserve"> </w:t>
      </w:r>
      <w:r w:rsidR="00327842">
        <w:rPr>
          <w:lang w:val="nl-NL"/>
        </w:rPr>
        <w:t>[2]</w:t>
      </w:r>
      <w:r w:rsidRPr="002455D6">
        <w:rPr>
          <w:lang w:val="nl-NL"/>
        </w:rPr>
        <w:t xml:space="preserve">. </w:t>
      </w:r>
    </w:p>
    <w:p w:rsidRPr="00323192" w:rsidR="00323192" w:rsidP="00323192" w:rsidRDefault="00323192" w14:paraId="2E626622" w14:textId="77777777">
      <w:pPr>
        <w:pStyle w:val="Heading4"/>
        <w:rPr>
          <w:lang w:val="nl-NL"/>
        </w:rPr>
      </w:pPr>
      <w:r w:rsidRPr="00323192">
        <w:rPr>
          <w:lang w:val="nl-NL"/>
        </w:rPr>
        <w:t>Visserij</w:t>
      </w:r>
    </w:p>
    <w:p w:rsidR="00927352" w:rsidP="00927352" w:rsidRDefault="00323192" w14:paraId="573C1C62" w14:textId="77777777">
      <w:pPr>
        <w:rPr>
          <w:lang w:val="nl-NL"/>
        </w:rPr>
      </w:pPr>
      <w:r w:rsidRPr="00D01AA5">
        <w:rPr>
          <w:lang w:val="nl-NL"/>
        </w:rPr>
        <w:t xml:space="preserve">De visserij is een vitale sector </w:t>
      </w:r>
      <w:r>
        <w:rPr>
          <w:lang w:val="nl-NL"/>
        </w:rPr>
        <w:t>die</w:t>
      </w:r>
      <w:r w:rsidRPr="00D01AA5">
        <w:rPr>
          <w:lang w:val="nl-NL"/>
        </w:rPr>
        <w:t xml:space="preserve"> kenmerkend is voor een </w:t>
      </w:r>
      <w:r>
        <w:rPr>
          <w:lang w:val="nl-NL"/>
        </w:rPr>
        <w:t xml:space="preserve">op </w:t>
      </w:r>
      <w:r w:rsidRPr="00D01AA5">
        <w:rPr>
          <w:lang w:val="nl-NL"/>
        </w:rPr>
        <w:t xml:space="preserve">zee georiënteerd land als Nederland. </w:t>
      </w:r>
      <w:r w:rsidR="00927352">
        <w:rPr>
          <w:lang w:val="nl-NL"/>
        </w:rPr>
        <w:t xml:space="preserve">Naast het directe economische belang van de vissers die actief zijn op het Nederlands deel van de Noordzee, zijn </w:t>
      </w:r>
      <w:r w:rsidR="00F82EF0">
        <w:rPr>
          <w:lang w:val="nl-NL"/>
        </w:rPr>
        <w:t>ook</w:t>
      </w:r>
      <w:r w:rsidR="00927352">
        <w:rPr>
          <w:lang w:val="nl-NL"/>
        </w:rPr>
        <w:t xml:space="preserve"> verschillende activiteiten </w:t>
      </w:r>
      <w:r w:rsidR="00363CD4">
        <w:rPr>
          <w:lang w:val="nl-NL"/>
        </w:rPr>
        <w:t xml:space="preserve">in de haven </w:t>
      </w:r>
      <w:r w:rsidR="00927352">
        <w:rPr>
          <w:lang w:val="nl-NL"/>
        </w:rPr>
        <w:t>direct of indirect afhankelijk van de visserij</w:t>
      </w:r>
      <w:r w:rsidR="00987971">
        <w:rPr>
          <w:lang w:val="nl-NL"/>
        </w:rPr>
        <w:t>.</w:t>
      </w:r>
      <w:r w:rsidR="00927352">
        <w:rPr>
          <w:lang w:val="nl-NL"/>
        </w:rPr>
        <w:t xml:space="preserve"> Visserij activiteiten hebben voor sommige gemeenschappen </w:t>
      </w:r>
      <w:r w:rsidR="00363CD4">
        <w:rPr>
          <w:lang w:val="nl-NL"/>
        </w:rPr>
        <w:t xml:space="preserve">in </w:t>
      </w:r>
      <w:r w:rsidRPr="00A15C6C" w:rsidR="00363CD4">
        <w:rPr>
          <w:lang w:val="nl-NL"/>
        </w:rPr>
        <w:t xml:space="preserve">kwetsbare krimpregio’s, </w:t>
      </w:r>
      <w:r w:rsidR="00927352">
        <w:rPr>
          <w:lang w:val="nl-NL"/>
        </w:rPr>
        <w:t xml:space="preserve">een grote sociaal economische betekenis, </w:t>
      </w:r>
      <w:r w:rsidR="00363CD4">
        <w:rPr>
          <w:lang w:val="nl-NL"/>
        </w:rPr>
        <w:t xml:space="preserve">vanwege de </w:t>
      </w:r>
      <w:r w:rsidRPr="00A15C6C" w:rsidR="00927352">
        <w:rPr>
          <w:lang w:val="nl-NL"/>
        </w:rPr>
        <w:t xml:space="preserve">werkgelegenheid en </w:t>
      </w:r>
      <w:r w:rsidR="00363CD4">
        <w:rPr>
          <w:lang w:val="nl-NL"/>
        </w:rPr>
        <w:t xml:space="preserve">de </w:t>
      </w:r>
      <w:r w:rsidRPr="00A15C6C" w:rsidR="00927352">
        <w:rPr>
          <w:lang w:val="nl-NL"/>
        </w:rPr>
        <w:t xml:space="preserve">regionale identiteit </w:t>
      </w:r>
      <w:r w:rsidR="00363CD4">
        <w:rPr>
          <w:lang w:val="nl-NL"/>
        </w:rPr>
        <w:t xml:space="preserve">die </w:t>
      </w:r>
      <w:r w:rsidRPr="00A15C6C" w:rsidR="00927352">
        <w:rPr>
          <w:lang w:val="nl-NL"/>
        </w:rPr>
        <w:t>verbonde</w:t>
      </w:r>
      <w:r w:rsidR="00363CD4">
        <w:rPr>
          <w:lang w:val="nl-NL"/>
        </w:rPr>
        <w:t>n zijn met de visserij</w:t>
      </w:r>
      <w:r w:rsidRPr="00A15C6C" w:rsidR="00927352">
        <w:rPr>
          <w:lang w:val="nl-NL"/>
        </w:rPr>
        <w:t>.</w:t>
      </w:r>
    </w:p>
    <w:p w:rsidR="00323192" w:rsidP="00323192" w:rsidRDefault="00323192" w14:paraId="4F7DD7CD" w14:textId="4D55AC59">
      <w:pPr>
        <w:rPr>
          <w:lang w:val="nl-NL"/>
        </w:rPr>
      </w:pPr>
      <w:r w:rsidRPr="00D01AA5">
        <w:rPr>
          <w:lang w:val="nl-NL"/>
        </w:rPr>
        <w:t xml:space="preserve">De </w:t>
      </w:r>
      <w:r>
        <w:rPr>
          <w:lang w:val="nl-NL"/>
        </w:rPr>
        <w:t xml:space="preserve">kwaliteit en de omvang van het visbestand in de Noordzee is sterk afhankelijk van de kwaliteit en </w:t>
      </w:r>
      <w:r w:rsidRPr="00D01AA5">
        <w:rPr>
          <w:lang w:val="nl-NL"/>
        </w:rPr>
        <w:t xml:space="preserve">het </w:t>
      </w:r>
      <w:r>
        <w:rPr>
          <w:lang w:val="nl-NL"/>
        </w:rPr>
        <w:t xml:space="preserve">functioneren van het mariene </w:t>
      </w:r>
      <w:r w:rsidRPr="00D01AA5">
        <w:rPr>
          <w:lang w:val="nl-NL"/>
        </w:rPr>
        <w:t xml:space="preserve">ecosysteem. </w:t>
      </w:r>
      <w:r>
        <w:rPr>
          <w:lang w:val="nl-NL"/>
        </w:rPr>
        <w:t>Een goed functionerend ecosysteem is dus ook in het belang van de visserij</w:t>
      </w:r>
      <w:r w:rsidR="00CB0A9E">
        <w:rPr>
          <w:lang w:val="nl-NL"/>
        </w:rPr>
        <w:t>. A</w:t>
      </w:r>
      <w:r w:rsidRPr="003E4C82">
        <w:rPr>
          <w:lang w:val="nl-NL"/>
        </w:rPr>
        <w:t xml:space="preserve">fhankelijk </w:t>
      </w:r>
      <w:r>
        <w:rPr>
          <w:lang w:val="nl-NL"/>
        </w:rPr>
        <w:t xml:space="preserve">van </w:t>
      </w:r>
      <w:r w:rsidRPr="003E4C82">
        <w:rPr>
          <w:lang w:val="nl-NL"/>
        </w:rPr>
        <w:t xml:space="preserve">de </w:t>
      </w:r>
      <w:r>
        <w:rPr>
          <w:lang w:val="nl-NL"/>
        </w:rPr>
        <w:t xml:space="preserve">toegepaste </w:t>
      </w:r>
      <w:r w:rsidRPr="003E4C82">
        <w:rPr>
          <w:lang w:val="nl-NL"/>
        </w:rPr>
        <w:t xml:space="preserve">techniek kan </w:t>
      </w:r>
      <w:r>
        <w:rPr>
          <w:lang w:val="nl-NL"/>
        </w:rPr>
        <w:t xml:space="preserve">visserij ook </w:t>
      </w:r>
      <w:r w:rsidR="00CB0A9E">
        <w:rPr>
          <w:lang w:val="nl-NL"/>
        </w:rPr>
        <w:t>schade</w:t>
      </w:r>
      <w:r w:rsidRPr="003E4C82">
        <w:rPr>
          <w:lang w:val="nl-NL"/>
        </w:rPr>
        <w:t xml:space="preserve"> </w:t>
      </w:r>
      <w:r w:rsidR="00CB0A9E">
        <w:rPr>
          <w:lang w:val="nl-NL"/>
        </w:rPr>
        <w:t>veroorzaken aan</w:t>
      </w:r>
      <w:r w:rsidRPr="003E4C82">
        <w:rPr>
          <w:lang w:val="nl-NL"/>
        </w:rPr>
        <w:t xml:space="preserve"> het ecosysteem. </w:t>
      </w:r>
      <w:r w:rsidR="005319DC">
        <w:rPr>
          <w:lang w:val="nl-NL"/>
        </w:rPr>
        <w:t>V</w:t>
      </w:r>
      <w:r w:rsidR="00E7401B">
        <w:rPr>
          <w:lang w:val="nl-NL"/>
        </w:rPr>
        <w:t xml:space="preserve">isserij </w:t>
      </w:r>
      <w:r w:rsidR="005319DC">
        <w:rPr>
          <w:lang w:val="nl-NL"/>
        </w:rPr>
        <w:t xml:space="preserve">kan </w:t>
      </w:r>
      <w:r w:rsidR="00E7401B">
        <w:rPr>
          <w:lang w:val="nl-NL"/>
        </w:rPr>
        <w:t xml:space="preserve">leiden tot </w:t>
      </w:r>
      <w:r w:rsidR="00B9797E">
        <w:rPr>
          <w:lang w:val="nl-NL"/>
        </w:rPr>
        <w:t>effecten op habitats en soorten onder de Vogel</w:t>
      </w:r>
      <w:r w:rsidR="00B0658A">
        <w:rPr>
          <w:lang w:val="nl-NL"/>
        </w:rPr>
        <w:t>richtlijn</w:t>
      </w:r>
      <w:r w:rsidR="00B9797E">
        <w:rPr>
          <w:lang w:val="nl-NL"/>
        </w:rPr>
        <w:t xml:space="preserve"> en Habitatrichtlijn</w:t>
      </w:r>
      <w:r w:rsidR="00D83547">
        <w:rPr>
          <w:lang w:val="nl-NL"/>
        </w:rPr>
        <w:t xml:space="preserve"> (D1)</w:t>
      </w:r>
      <w:r w:rsidR="00E7401B">
        <w:rPr>
          <w:lang w:val="nl-NL"/>
        </w:rPr>
        <w:t>. Om dit</w:t>
      </w:r>
      <w:r w:rsidR="00B9797E">
        <w:rPr>
          <w:lang w:val="nl-NL"/>
        </w:rPr>
        <w:t xml:space="preserve"> </w:t>
      </w:r>
      <w:r w:rsidR="00CB0096">
        <w:rPr>
          <w:lang w:val="nl-NL"/>
        </w:rPr>
        <w:t>te b</w:t>
      </w:r>
      <w:r w:rsidR="00B9797E">
        <w:rPr>
          <w:lang w:val="nl-NL"/>
        </w:rPr>
        <w:t xml:space="preserve">eperken bestaan in sommige gebieden, zoals in de Natura 2000 gebieden de </w:t>
      </w:r>
      <w:r w:rsidRPr="00B9797E" w:rsidR="00B9797E">
        <w:rPr>
          <w:lang w:val="nl-NL"/>
        </w:rPr>
        <w:t xml:space="preserve">Voordelta, de </w:t>
      </w:r>
      <w:r w:rsidR="00B0658A">
        <w:rPr>
          <w:lang w:val="nl-NL"/>
        </w:rPr>
        <w:t>V</w:t>
      </w:r>
      <w:r w:rsidR="00B9797E">
        <w:rPr>
          <w:lang w:val="nl-NL"/>
        </w:rPr>
        <w:t xml:space="preserve">lakte van de Raan </w:t>
      </w:r>
      <w:r w:rsidRPr="00B9797E" w:rsidR="00B9797E">
        <w:rPr>
          <w:lang w:val="nl-NL"/>
        </w:rPr>
        <w:t>en de Noordzeekustzone</w:t>
      </w:r>
      <w:r w:rsidR="00B9797E">
        <w:rPr>
          <w:lang w:val="nl-NL"/>
        </w:rPr>
        <w:t>,</w:t>
      </w:r>
      <w:r w:rsidRPr="00B9797E" w:rsidR="00B9797E">
        <w:rPr>
          <w:lang w:val="nl-NL"/>
        </w:rPr>
        <w:t xml:space="preserve"> </w:t>
      </w:r>
      <w:r w:rsidR="00B9797E">
        <w:rPr>
          <w:lang w:val="nl-NL"/>
        </w:rPr>
        <w:t xml:space="preserve">beperkingen met betrekking tot bodemberoerende visserij. </w:t>
      </w:r>
      <w:r w:rsidR="00CB0096">
        <w:rPr>
          <w:lang w:val="nl-NL"/>
        </w:rPr>
        <w:t>Daarnaast leidt het brandstofverbruik door de visserijsector tot emissies</w:t>
      </w:r>
      <w:r w:rsidR="0000502E">
        <w:rPr>
          <w:lang w:val="nl-NL"/>
        </w:rPr>
        <w:t xml:space="preserve"> </w:t>
      </w:r>
      <w:r w:rsidR="00327842">
        <w:rPr>
          <w:lang w:val="nl-NL"/>
        </w:rPr>
        <w:t>[1]</w:t>
      </w:r>
      <w:r w:rsidR="00CB0096">
        <w:rPr>
          <w:lang w:val="nl-NL"/>
        </w:rPr>
        <w:t>. D</w:t>
      </w:r>
      <w:r w:rsidRPr="00CB0096" w:rsidR="00CB0096">
        <w:rPr>
          <w:lang w:val="nl-NL"/>
        </w:rPr>
        <w:t>oor innovatie binnen de sector op het gebied van visserijtechniek maar ook op het gebied van scheepsbouw</w:t>
      </w:r>
      <w:r w:rsidR="00CB0096">
        <w:rPr>
          <w:lang w:val="nl-NL"/>
        </w:rPr>
        <w:t xml:space="preserve"> </w:t>
      </w:r>
      <w:r w:rsidR="00A803CA">
        <w:rPr>
          <w:lang w:val="nl-NL"/>
        </w:rPr>
        <w:t>kan schade aan het eco</w:t>
      </w:r>
      <w:r w:rsidR="00B0658A">
        <w:rPr>
          <w:lang w:val="nl-NL"/>
        </w:rPr>
        <w:t>s</w:t>
      </w:r>
      <w:r w:rsidR="00A803CA">
        <w:rPr>
          <w:lang w:val="nl-NL"/>
        </w:rPr>
        <w:t>ysteem beperkt worden</w:t>
      </w:r>
      <w:r w:rsidR="00CB0096">
        <w:rPr>
          <w:lang w:val="nl-NL"/>
        </w:rPr>
        <w:t xml:space="preserve">. </w:t>
      </w:r>
    </w:p>
    <w:p w:rsidR="005267D2" w:rsidP="008D2AC9" w:rsidRDefault="00A146A0" w14:paraId="0D073957" w14:textId="77777777">
      <w:pPr>
        <w:rPr>
          <w:rFonts w:cs="Verdana"/>
          <w:lang w:val="nl-NL"/>
        </w:rPr>
      </w:pPr>
      <w:r w:rsidRPr="00A146A0">
        <w:rPr>
          <w:lang w:val="nl-NL"/>
        </w:rPr>
        <w:t>Waar in de periode 2010 tot</w:t>
      </w:r>
      <w:r w:rsidR="00B0658A">
        <w:rPr>
          <w:lang w:val="nl-NL"/>
        </w:rPr>
        <w:t xml:space="preserve"> en met</w:t>
      </w:r>
      <w:r w:rsidRPr="00A146A0">
        <w:rPr>
          <w:lang w:val="nl-NL"/>
        </w:rPr>
        <w:t xml:space="preserve"> 201</w:t>
      </w:r>
      <w:r w:rsidR="00B0658A">
        <w:rPr>
          <w:lang w:val="nl-NL"/>
        </w:rPr>
        <w:t>6</w:t>
      </w:r>
      <w:r w:rsidRPr="00A146A0">
        <w:rPr>
          <w:lang w:val="nl-NL"/>
        </w:rPr>
        <w:t xml:space="preserve"> </w:t>
      </w:r>
      <w:r>
        <w:rPr>
          <w:lang w:val="nl-NL"/>
        </w:rPr>
        <w:t xml:space="preserve">nog sprake was van </w:t>
      </w:r>
      <w:r w:rsidRPr="00A146A0">
        <w:rPr>
          <w:lang w:val="nl-NL"/>
        </w:rPr>
        <w:t xml:space="preserve">een stijgende lijn in omzet en </w:t>
      </w:r>
      <w:r w:rsidR="00621AD0">
        <w:rPr>
          <w:lang w:val="nl-NL"/>
        </w:rPr>
        <w:t>h</w:t>
      </w:r>
      <w:r w:rsidR="00CB0A9E">
        <w:rPr>
          <w:lang w:val="nl-NL"/>
        </w:rPr>
        <w:t xml:space="preserve">et economisch resultaat van de </w:t>
      </w:r>
      <w:r w:rsidRPr="00A146A0">
        <w:rPr>
          <w:lang w:val="nl-NL"/>
        </w:rPr>
        <w:t>aanvoersector, lopen de opbrengsten en verdiensten vanaf 201</w:t>
      </w:r>
      <w:r w:rsidR="00B0658A">
        <w:rPr>
          <w:lang w:val="nl-NL"/>
        </w:rPr>
        <w:t>7</w:t>
      </w:r>
      <w:r w:rsidRPr="00A146A0">
        <w:rPr>
          <w:lang w:val="nl-NL"/>
        </w:rPr>
        <w:t xml:space="preserve"> terug.</w:t>
      </w:r>
      <w:r w:rsidR="00603556">
        <w:rPr>
          <w:lang w:val="nl-NL"/>
        </w:rPr>
        <w:t xml:space="preserve"> </w:t>
      </w:r>
      <w:r w:rsidRPr="00A146A0">
        <w:rPr>
          <w:lang w:val="nl-NL"/>
        </w:rPr>
        <w:t>De prognose is dat deze daling in omzet en inko</w:t>
      </w:r>
      <w:r>
        <w:rPr>
          <w:lang w:val="nl-NL"/>
        </w:rPr>
        <w:t>msten de komende jaren aanhoudt</w:t>
      </w:r>
      <w:r w:rsidR="00F36165">
        <w:rPr>
          <w:lang w:val="nl-NL"/>
        </w:rPr>
        <w:t xml:space="preserve">. </w:t>
      </w:r>
      <w:r w:rsidRPr="00603556" w:rsidR="00603556">
        <w:rPr>
          <w:rFonts w:cstheme="minorHAnsi"/>
          <w:lang w:val="nl-NL"/>
        </w:rPr>
        <w:t xml:space="preserve">De toekomst van de visserij op de Noordzee kent grote uitdagingen. </w:t>
      </w:r>
      <w:r w:rsidR="00603556">
        <w:rPr>
          <w:lang w:val="nl-NL"/>
        </w:rPr>
        <w:t>De</w:t>
      </w:r>
      <w:r w:rsidRPr="006F3E66" w:rsidR="00323192">
        <w:rPr>
          <w:lang w:val="nl-NL"/>
        </w:rPr>
        <w:t xml:space="preserve"> consequenties van de </w:t>
      </w:r>
      <w:r w:rsidR="00B0658A">
        <w:rPr>
          <w:lang w:val="nl-NL"/>
        </w:rPr>
        <w:t>B</w:t>
      </w:r>
      <w:r w:rsidRPr="006F3E66" w:rsidR="00323192">
        <w:rPr>
          <w:lang w:val="nl-NL"/>
        </w:rPr>
        <w:t xml:space="preserve">rexit </w:t>
      </w:r>
      <w:r w:rsidR="00095718">
        <w:rPr>
          <w:lang w:val="nl-NL"/>
        </w:rPr>
        <w:t xml:space="preserve">blijven onzeker. </w:t>
      </w:r>
      <w:r w:rsidRPr="00F51454" w:rsidR="00095718">
        <w:rPr>
          <w:rFonts w:cstheme="minorHAnsi"/>
          <w:lang w:val="nl-NL"/>
        </w:rPr>
        <w:t xml:space="preserve">Eind 2020 is afgesproken dat </w:t>
      </w:r>
      <w:r w:rsidRPr="00F51454" w:rsidR="00095718">
        <w:rPr>
          <w:bCs/>
          <w:lang w:val="nl-NL"/>
        </w:rPr>
        <w:t>EU-vissersschepen de komende 5,5 jaar (vanaf 2021) toegang blijven houden tot de Britse wateren. Daarna kan het V</w:t>
      </w:r>
      <w:r w:rsidR="00095718">
        <w:rPr>
          <w:bCs/>
          <w:lang w:val="nl-NL"/>
        </w:rPr>
        <w:t>erenigd Koninkrijk</w:t>
      </w:r>
      <w:r w:rsidRPr="00F51454" w:rsidR="00095718">
        <w:rPr>
          <w:bCs/>
          <w:lang w:val="nl-NL"/>
        </w:rPr>
        <w:t xml:space="preserve"> elk jaar een besluit nemen over toegang voor de EU-vissers zoals dit ook voor andere kuststaten zoals Noorwegen het geval is. Daarnaast is afgesproken om de komende vijf jaar gefaseerd 25% van de door de EU momenteel geviste waarde in Britse wateren aan het </w:t>
      </w:r>
      <w:r w:rsidR="00095718">
        <w:rPr>
          <w:bCs/>
          <w:lang w:val="nl-NL"/>
        </w:rPr>
        <w:t>Verenigd Koninkrijk</w:t>
      </w:r>
      <w:r w:rsidRPr="00F51454" w:rsidR="00095718">
        <w:rPr>
          <w:bCs/>
          <w:lang w:val="nl-NL"/>
        </w:rPr>
        <w:t xml:space="preserve"> over te dragen. </w:t>
      </w:r>
      <w:r w:rsidR="00205C42">
        <w:rPr>
          <w:lang w:val="nl-NL"/>
        </w:rPr>
        <w:t>D</w:t>
      </w:r>
      <w:r w:rsidR="00386E7D">
        <w:rPr>
          <w:lang w:val="nl-NL"/>
        </w:rPr>
        <w:t xml:space="preserve">e toegang tot andere gebieden </w:t>
      </w:r>
      <w:r w:rsidR="009E0A1C">
        <w:rPr>
          <w:lang w:val="nl-NL"/>
        </w:rPr>
        <w:t xml:space="preserve">(internationaal en nationaal) </w:t>
      </w:r>
      <w:r w:rsidR="00386E7D">
        <w:rPr>
          <w:lang w:val="nl-NL"/>
        </w:rPr>
        <w:t xml:space="preserve">wordt beperkt door de ruimteclaims van windparken op zee waar geen sleepnetvisserij toegestaan is en het instellen van visserijbeperkende maatregelen in gebieden </w:t>
      </w:r>
      <w:r w:rsidR="00B0658A">
        <w:rPr>
          <w:lang w:val="nl-NL"/>
        </w:rPr>
        <w:t xml:space="preserve">die zijn aangewezen </w:t>
      </w:r>
      <w:r w:rsidR="00386E7D">
        <w:rPr>
          <w:lang w:val="nl-NL"/>
        </w:rPr>
        <w:t xml:space="preserve">onder de </w:t>
      </w:r>
      <w:r w:rsidR="00B0658A">
        <w:rPr>
          <w:lang w:val="nl-NL"/>
        </w:rPr>
        <w:t>Vo</w:t>
      </w:r>
      <w:r w:rsidR="00386E7D">
        <w:rPr>
          <w:lang w:val="nl-NL"/>
        </w:rPr>
        <w:t>gel</w:t>
      </w:r>
      <w:r w:rsidR="00B0658A">
        <w:rPr>
          <w:lang w:val="nl-NL"/>
        </w:rPr>
        <w:t>richtlijn, H</w:t>
      </w:r>
      <w:r w:rsidR="00386E7D">
        <w:rPr>
          <w:lang w:val="nl-NL"/>
        </w:rPr>
        <w:t>abitatrichtlijn en</w:t>
      </w:r>
      <w:r w:rsidR="00B0658A">
        <w:rPr>
          <w:lang w:val="nl-NL"/>
        </w:rPr>
        <w:t xml:space="preserve">/of </w:t>
      </w:r>
      <w:r w:rsidR="00386E7D">
        <w:rPr>
          <w:lang w:val="nl-NL"/>
        </w:rPr>
        <w:t>Kaderrichtlijn Mariene</w:t>
      </w:r>
      <w:r w:rsidR="00733CAA">
        <w:rPr>
          <w:lang w:val="nl-NL"/>
        </w:rPr>
        <w:t xml:space="preserve"> Strategie</w:t>
      </w:r>
      <w:r w:rsidR="00386E7D">
        <w:rPr>
          <w:lang w:val="nl-NL"/>
        </w:rPr>
        <w:t xml:space="preserve">. Het innovatieve pulstuig is niet toegestaan onder de </w:t>
      </w:r>
      <w:r w:rsidRPr="00205C42" w:rsidR="00386E7D">
        <w:rPr>
          <w:lang w:val="nl-NL"/>
        </w:rPr>
        <w:t>Technische Maatregelen Verordening (Verordening (EU) 2019/1241)</w:t>
      </w:r>
      <w:r w:rsidR="00386E7D">
        <w:rPr>
          <w:lang w:val="nl-NL"/>
        </w:rPr>
        <w:t xml:space="preserve"> (pulsverbod) waardoor </w:t>
      </w:r>
      <w:r w:rsidR="009E0A1C">
        <w:rPr>
          <w:lang w:val="nl-NL"/>
        </w:rPr>
        <w:t>visserij</w:t>
      </w:r>
      <w:r w:rsidR="00733CAA">
        <w:rPr>
          <w:lang w:val="nl-NL"/>
        </w:rPr>
        <w:t>,</w:t>
      </w:r>
      <w:r w:rsidR="009E0A1C">
        <w:rPr>
          <w:lang w:val="nl-NL"/>
        </w:rPr>
        <w:t xml:space="preserve"> die de pulskor gebruik</w:t>
      </w:r>
      <w:r w:rsidR="00B0658A">
        <w:rPr>
          <w:lang w:val="nl-NL"/>
        </w:rPr>
        <w:t>te</w:t>
      </w:r>
      <w:r w:rsidR="00733CAA">
        <w:rPr>
          <w:lang w:val="nl-NL"/>
        </w:rPr>
        <w:t>,</w:t>
      </w:r>
      <w:r w:rsidR="00386E7D">
        <w:rPr>
          <w:lang w:val="nl-NL"/>
        </w:rPr>
        <w:t xml:space="preserve"> genoodzaakt </w:t>
      </w:r>
      <w:r w:rsidR="00B0658A">
        <w:rPr>
          <w:lang w:val="nl-NL"/>
        </w:rPr>
        <w:t xml:space="preserve">kan </w:t>
      </w:r>
      <w:r w:rsidR="00386E7D">
        <w:rPr>
          <w:lang w:val="nl-NL"/>
        </w:rPr>
        <w:t xml:space="preserve">zijn terug te schakelen op de boomkor met wekkerkettingen. Klimaatverandering en daarmee de opwarming van het zeewater veroorzaakt migratie van </w:t>
      </w:r>
      <w:r w:rsidR="00323192">
        <w:rPr>
          <w:lang w:val="nl-NL"/>
        </w:rPr>
        <w:t>vissen naar andere gebieden</w:t>
      </w:r>
      <w:r w:rsidR="00386E7D">
        <w:rPr>
          <w:lang w:val="nl-NL"/>
        </w:rPr>
        <w:t xml:space="preserve"> </w:t>
      </w:r>
      <w:r w:rsidR="00327842">
        <w:rPr>
          <w:lang w:val="nl-NL"/>
        </w:rPr>
        <w:t>[2]</w:t>
      </w:r>
      <w:r w:rsidRPr="001F0807" w:rsidR="00323192">
        <w:rPr>
          <w:rFonts w:cs="Verdana"/>
          <w:lang w:val="nl-NL"/>
        </w:rPr>
        <w:t xml:space="preserve">. </w:t>
      </w:r>
    </w:p>
    <w:p w:rsidR="00323192" w:rsidP="00323192" w:rsidRDefault="009E0A1C" w14:paraId="2911D744" w14:textId="23CC8BB1">
      <w:pPr>
        <w:rPr>
          <w:lang w:val="nl-NL"/>
        </w:rPr>
      </w:pPr>
      <w:r>
        <w:rPr>
          <w:lang w:val="nl-NL"/>
        </w:rPr>
        <w:t>Er zijn ook kansen</w:t>
      </w:r>
      <w:r w:rsidR="005267D2">
        <w:rPr>
          <w:lang w:val="nl-NL"/>
        </w:rPr>
        <w:t>. W</w:t>
      </w:r>
      <w:r>
        <w:rPr>
          <w:lang w:val="nl-NL"/>
        </w:rPr>
        <w:t xml:space="preserve">aar windparken en natuurgebieden worden gesloten voor de bodemberoerende visserij ontstaat ruimte voor vormen van visserij die veilig uitvoerbaar zijn in windparken en die geen significant effect hebben op de te beschermen natuurwaarden in natuurgebieden. Er is ook ruimte voor </w:t>
      </w:r>
      <w:r w:rsidR="00A104D2">
        <w:rPr>
          <w:lang w:val="nl-NL"/>
        </w:rPr>
        <w:t>aquacultuur</w:t>
      </w:r>
      <w:r w:rsidRPr="002455D6" w:rsidR="00323192">
        <w:rPr>
          <w:lang w:val="nl-NL"/>
        </w:rPr>
        <w:t xml:space="preserve"> binnen wind</w:t>
      </w:r>
      <w:r w:rsidR="00323192">
        <w:rPr>
          <w:lang w:val="nl-NL"/>
        </w:rPr>
        <w:t>p</w:t>
      </w:r>
      <w:r w:rsidRPr="002455D6" w:rsidR="00323192">
        <w:rPr>
          <w:lang w:val="nl-NL"/>
        </w:rPr>
        <w:t>arken en in natuurgebieden</w:t>
      </w:r>
      <w:r w:rsidR="00323192">
        <w:rPr>
          <w:lang w:val="nl-NL"/>
        </w:rPr>
        <w:t>.</w:t>
      </w:r>
      <w:r w:rsidR="007F6DF8">
        <w:rPr>
          <w:lang w:val="nl-NL"/>
        </w:rPr>
        <w:t xml:space="preserve"> </w:t>
      </w:r>
      <w:r w:rsidRPr="007F6DF8" w:rsidR="007F6DF8">
        <w:rPr>
          <w:lang w:val="nl-NL"/>
        </w:rPr>
        <w:t>Dit betreft aquacultuur activiteiten voor zowel commerciële exploitatie als natuurherstel. Het aanbrengen van substraat in natuurgebieden is een menselijke interventie welke beoog</w:t>
      </w:r>
      <w:r w:rsidR="007F6DF8">
        <w:rPr>
          <w:lang w:val="nl-NL"/>
        </w:rPr>
        <w:t>t</w:t>
      </w:r>
      <w:r w:rsidRPr="007F6DF8" w:rsidR="007F6DF8">
        <w:rPr>
          <w:lang w:val="nl-NL"/>
        </w:rPr>
        <w:t xml:space="preserve"> de productie van bepaalde rijkdommen van de zee te vergroten, bijvoorbeeld oesterherstel.</w:t>
      </w:r>
      <w:r w:rsidR="00323192">
        <w:rPr>
          <w:lang w:val="nl-NL"/>
        </w:rPr>
        <w:t xml:space="preserve"> Deze activiteit, die nu nog een geringe </w:t>
      </w:r>
      <w:r w:rsidRPr="006F3E66" w:rsidR="00323192">
        <w:rPr>
          <w:lang w:val="nl-NL"/>
        </w:rPr>
        <w:t>omvang</w:t>
      </w:r>
      <w:r w:rsidR="00323192">
        <w:rPr>
          <w:lang w:val="nl-NL"/>
        </w:rPr>
        <w:t xml:space="preserve"> heeft, kan de komende jaren uitbreiden, zij het dat dit vooralsnog een nichemarkt is die geen volledig alternatief biedt voor de kottervisserij. Hierover zijn afspraken gemaakt in het Noordzeeakkoord.</w:t>
      </w:r>
    </w:p>
    <w:p w:rsidR="00323192" w:rsidP="00323192" w:rsidRDefault="00F36165" w14:paraId="1E08A0E7" w14:textId="77777777">
      <w:pPr>
        <w:rPr>
          <w:lang w:val="nl-NL"/>
        </w:rPr>
      </w:pPr>
      <w:r w:rsidRPr="00F36165">
        <w:rPr>
          <w:lang w:val="nl-NL"/>
        </w:rPr>
        <w:t xml:space="preserve">De transitie naar een duurzame visserij is een nationaal belang en vraagt om een heroriëntatie en uiteindelijk herstructurering van de vissersvloot. Verduurzaming is één van de voorwaarden om ook op lange termijn een vitale visserijsector te kunnen behouden. In de Kottervisie (Appreciatie bij het advies Burger voor een duurzame kottervisserij op de Noordzee, 19 juni 2020), wordt gericht op een economisch gezonde sector die vist met respect voor natuur en milieu en daarvoor ook maatschappelijk wordt erkend. Innovatie is hierin </w:t>
      </w:r>
      <w:r>
        <w:rPr>
          <w:lang w:val="nl-NL"/>
        </w:rPr>
        <w:t xml:space="preserve">een </w:t>
      </w:r>
      <w:r w:rsidRPr="00F36165">
        <w:rPr>
          <w:lang w:val="nl-NL"/>
        </w:rPr>
        <w:t>belangrijke pijler, bijvoorbeeld de ontwikkeling van een zero-impact kotter om te komen tot een visserij met minder bodemberoering, minder ongewenste bijvangst, minder uitstoot van broeikasgassen en minder afval</w:t>
      </w:r>
      <w:r>
        <w:rPr>
          <w:lang w:val="nl-NL"/>
        </w:rPr>
        <w:t>.</w:t>
      </w:r>
      <w:r w:rsidRPr="00151E5F" w:rsidR="00323192">
        <w:rPr>
          <w:lang w:val="nl-NL"/>
        </w:rPr>
        <w:t xml:space="preserve"> </w:t>
      </w:r>
    </w:p>
    <w:p w:rsidRPr="00323192" w:rsidR="00323192" w:rsidP="00323192" w:rsidRDefault="00323192" w14:paraId="32839E80" w14:textId="77777777">
      <w:pPr>
        <w:pStyle w:val="Heading4"/>
        <w:rPr>
          <w:lang w:val="nl-NL"/>
        </w:rPr>
      </w:pPr>
      <w:r w:rsidRPr="00323192">
        <w:rPr>
          <w:lang w:val="nl-NL"/>
        </w:rPr>
        <w:t>Olie- en gaswinning</w:t>
      </w:r>
    </w:p>
    <w:p w:rsidRPr="006F3E66" w:rsidR="00323192" w:rsidP="00323192" w:rsidRDefault="00323192" w14:paraId="41BF1BD1" w14:textId="77777777">
      <w:pPr>
        <w:rPr>
          <w:lang w:val="nl-NL"/>
        </w:rPr>
      </w:pPr>
      <w:r w:rsidRPr="006F3E66">
        <w:rPr>
          <w:lang w:val="nl-NL"/>
        </w:rPr>
        <w:t xml:space="preserve">Nederland beschikt over aanzienlijke aardgasreserves en enkele kleinere olievoorraden. Deze voorraden zijn sinds hun ontdekking geëxploiteerd om aan de </w:t>
      </w:r>
      <w:r>
        <w:rPr>
          <w:lang w:val="nl-NL"/>
        </w:rPr>
        <w:t xml:space="preserve">binnenlandse </w:t>
      </w:r>
      <w:r w:rsidRPr="006F3E66">
        <w:rPr>
          <w:lang w:val="nl-NL"/>
        </w:rPr>
        <w:t>vraag te voldoen</w:t>
      </w:r>
      <w:r>
        <w:rPr>
          <w:lang w:val="nl-NL"/>
        </w:rPr>
        <w:t>.</w:t>
      </w:r>
      <w:r w:rsidRPr="006F3E66">
        <w:rPr>
          <w:lang w:val="nl-NL"/>
        </w:rPr>
        <w:t xml:space="preserve"> </w:t>
      </w:r>
      <w:r>
        <w:rPr>
          <w:lang w:val="nl-NL"/>
        </w:rPr>
        <w:t>E</w:t>
      </w:r>
      <w:r w:rsidRPr="006F3E66">
        <w:rPr>
          <w:lang w:val="nl-NL"/>
        </w:rPr>
        <w:t>en deel is geëxporteerd. De olie-en gaswinning heeft de afgelopen decennia een belangrijke bijdrage geleverd aan het nationaal inkomen en de economische groei</w:t>
      </w:r>
      <w:r>
        <w:rPr>
          <w:lang w:val="nl-NL"/>
        </w:rPr>
        <w:t xml:space="preserve">. </w:t>
      </w:r>
      <w:r w:rsidRPr="000146C5">
        <w:rPr>
          <w:lang w:val="nl-NL"/>
        </w:rPr>
        <w:t>Op het Nederlandse deel van de Noordzee</w:t>
      </w:r>
      <w:r>
        <w:rPr>
          <w:lang w:val="nl-NL"/>
        </w:rPr>
        <w:t xml:space="preserve"> zijn</w:t>
      </w:r>
      <w:r w:rsidRPr="000146C5">
        <w:rPr>
          <w:lang w:val="nl-NL"/>
        </w:rPr>
        <w:t xml:space="preserve"> ongeveer 160 productielocaties</w:t>
      </w:r>
      <w:r>
        <w:rPr>
          <w:lang w:val="nl-NL"/>
        </w:rPr>
        <w:t xml:space="preserve">. Van het gezamenlijk productievermogen wordt </w:t>
      </w:r>
      <w:r w:rsidRPr="000146C5">
        <w:rPr>
          <w:lang w:val="nl-NL"/>
        </w:rPr>
        <w:t>93</w:t>
      </w:r>
      <w:r>
        <w:rPr>
          <w:lang w:val="nl-NL"/>
        </w:rPr>
        <w:t xml:space="preserve"> procent </w:t>
      </w:r>
      <w:r w:rsidRPr="000146C5">
        <w:rPr>
          <w:lang w:val="nl-NL"/>
        </w:rPr>
        <w:t>ingezet voor de winning van gas en 7</w:t>
      </w:r>
      <w:r>
        <w:rPr>
          <w:lang w:val="nl-NL"/>
        </w:rPr>
        <w:t xml:space="preserve"> procent </w:t>
      </w:r>
      <w:r w:rsidRPr="000146C5">
        <w:rPr>
          <w:lang w:val="nl-NL"/>
        </w:rPr>
        <w:t xml:space="preserve">voor de winning van olie </w:t>
      </w:r>
      <w:r w:rsidR="00327842">
        <w:rPr>
          <w:lang w:val="nl-NL"/>
        </w:rPr>
        <w:t>[3]</w:t>
      </w:r>
      <w:r w:rsidRPr="000146C5">
        <w:rPr>
          <w:lang w:val="nl-NL"/>
        </w:rPr>
        <w:t>.</w:t>
      </w:r>
    </w:p>
    <w:p w:rsidRPr="004131AD" w:rsidR="00D83547" w:rsidP="00D83547" w:rsidRDefault="00D83547" w14:paraId="58283145" w14:textId="29781681">
      <w:pPr>
        <w:rPr>
          <w:lang w:val="nl-NL"/>
        </w:rPr>
      </w:pPr>
      <w:r>
        <w:rPr>
          <w:lang w:val="nl-NL"/>
        </w:rPr>
        <w:t xml:space="preserve">Een mogelijk effect van olie en gaswinning op het milieu is </w:t>
      </w:r>
      <w:r w:rsidRPr="004131AD">
        <w:rPr>
          <w:lang w:val="nl-NL"/>
        </w:rPr>
        <w:t>de uitstoot van verontreinigende stoffen bij de lozing van productiewater door olie- en gasinstallaties</w:t>
      </w:r>
      <w:r>
        <w:rPr>
          <w:lang w:val="nl-NL"/>
        </w:rPr>
        <w:t xml:space="preserve"> (D8). </w:t>
      </w:r>
      <w:r w:rsidRPr="004131AD">
        <w:rPr>
          <w:lang w:val="nl-NL"/>
        </w:rPr>
        <w:t>Dit water bevat meestal olie, zware metal</w:t>
      </w:r>
      <w:r>
        <w:rPr>
          <w:lang w:val="nl-NL"/>
        </w:rPr>
        <w:t xml:space="preserve">en en </w:t>
      </w:r>
      <w:r w:rsidR="004C7D6F">
        <w:rPr>
          <w:lang w:val="nl-NL"/>
        </w:rPr>
        <w:t>p</w:t>
      </w:r>
      <w:r>
        <w:rPr>
          <w:lang w:val="nl-NL"/>
        </w:rPr>
        <w:t xml:space="preserve">olycyclische aromatische </w:t>
      </w:r>
      <w:r w:rsidRPr="004131AD">
        <w:rPr>
          <w:lang w:val="nl-NL"/>
        </w:rPr>
        <w:t>koolwaterstoffen (PAK</w:t>
      </w:r>
      <w:r w:rsidR="005F5515">
        <w:rPr>
          <w:lang w:val="nl-NL"/>
        </w:rPr>
        <w:t>’</w:t>
      </w:r>
      <w:r w:rsidRPr="004131AD">
        <w:rPr>
          <w:lang w:val="nl-NL"/>
        </w:rPr>
        <w:t xml:space="preserve">s). </w:t>
      </w:r>
      <w:r w:rsidR="004C7D6F">
        <w:rPr>
          <w:lang w:val="nl-NL"/>
        </w:rPr>
        <w:t xml:space="preserve">De sector is binnen de Nederlandse </w:t>
      </w:r>
      <w:r w:rsidR="0077504C">
        <w:rPr>
          <w:lang w:val="nl-NL"/>
        </w:rPr>
        <w:t>Exclusieve Economische Zone (</w:t>
      </w:r>
      <w:r w:rsidR="004C7D6F">
        <w:rPr>
          <w:lang w:val="nl-NL"/>
        </w:rPr>
        <w:t>EEZ</w:t>
      </w:r>
      <w:r w:rsidR="0077504C">
        <w:rPr>
          <w:lang w:val="nl-NL"/>
        </w:rPr>
        <w:t>)</w:t>
      </w:r>
      <w:r w:rsidR="004C7D6F">
        <w:rPr>
          <w:lang w:val="nl-NL"/>
        </w:rPr>
        <w:t xml:space="preserve"> verplicht om dit w</w:t>
      </w:r>
      <w:r w:rsidRPr="004131AD">
        <w:rPr>
          <w:lang w:val="nl-NL"/>
        </w:rPr>
        <w:t xml:space="preserve">ater </w:t>
      </w:r>
      <w:r w:rsidR="004C7D6F">
        <w:rPr>
          <w:lang w:val="nl-NL"/>
        </w:rPr>
        <w:t xml:space="preserve">te zuiveren </w:t>
      </w:r>
      <w:r w:rsidRPr="004131AD">
        <w:rPr>
          <w:lang w:val="nl-NL"/>
        </w:rPr>
        <w:t>en test</w:t>
      </w:r>
      <w:r w:rsidR="004C7D6F">
        <w:rPr>
          <w:lang w:val="nl-NL"/>
        </w:rPr>
        <w:t>en</w:t>
      </w:r>
      <w:r w:rsidRPr="004131AD">
        <w:rPr>
          <w:lang w:val="nl-NL"/>
        </w:rPr>
        <w:t xml:space="preserve"> voordat het wordt geloosd</w:t>
      </w:r>
      <w:r w:rsidR="0000502E">
        <w:rPr>
          <w:lang w:val="nl-NL"/>
        </w:rPr>
        <w:t xml:space="preserve"> </w:t>
      </w:r>
      <w:r w:rsidR="00327842">
        <w:rPr>
          <w:lang w:val="nl-NL"/>
        </w:rPr>
        <w:t>[1]</w:t>
      </w:r>
      <w:r w:rsidRPr="004131AD">
        <w:rPr>
          <w:lang w:val="nl-NL"/>
        </w:rPr>
        <w:t>.</w:t>
      </w:r>
      <w:r w:rsidRPr="00EA4600" w:rsidR="00EA4600">
        <w:rPr>
          <w:lang w:val="nl-NL"/>
        </w:rPr>
        <w:t xml:space="preserve"> </w:t>
      </w:r>
      <w:r w:rsidR="00EA4600">
        <w:rPr>
          <w:lang w:val="nl-NL"/>
        </w:rPr>
        <w:t>De afgelopen jaren is in toenemende mate aandacht voor de mogelijke effecten van onderwatergeluid dat door seismisch onderzoek wordt veroorzaakt (D11)</w:t>
      </w:r>
      <w:r w:rsidR="004C7D6F">
        <w:rPr>
          <w:lang w:val="nl-NL"/>
        </w:rPr>
        <w:t>.</w:t>
      </w:r>
    </w:p>
    <w:p w:rsidR="00323192" w:rsidP="00323192" w:rsidRDefault="00323192" w14:paraId="2D81B1B2" w14:textId="77777777">
      <w:pPr>
        <w:rPr>
          <w:lang w:val="nl-NL"/>
        </w:rPr>
      </w:pPr>
      <w:r>
        <w:rPr>
          <w:lang w:val="nl-NL"/>
        </w:rPr>
        <w:t>De productie van olie en gas op de Noordzee is de afgelopen jaren duidelijk afgenomen. Tussen 2010 en 2015 was nog sprake was van een relatief beperkte daling, maar in de twee jaar daarna zette deze sterker door. De toegevoegde waarde is tussen 2010 en 2017 sterker gedaald dan de productiewaarde.</w:t>
      </w:r>
      <w:r w:rsidDel="00A56EC0">
        <w:rPr>
          <w:lang w:val="nl-NL"/>
        </w:rPr>
        <w:t xml:space="preserve"> </w:t>
      </w:r>
      <w:r>
        <w:rPr>
          <w:lang w:val="nl-NL"/>
        </w:rPr>
        <w:t xml:space="preserve">Dit is te zien in Figuur </w:t>
      </w:r>
      <w:r w:rsidRPr="00F36165">
        <w:rPr>
          <w:lang w:val="nl-NL"/>
        </w:rPr>
        <w:t>2.1</w:t>
      </w:r>
      <w:r w:rsidR="00922A03">
        <w:rPr>
          <w:lang w:val="nl-NL"/>
        </w:rPr>
        <w:t xml:space="preserve"> </w:t>
      </w:r>
      <w:r w:rsidR="00327842">
        <w:rPr>
          <w:lang w:val="nl-NL"/>
        </w:rPr>
        <w:t>[4]</w:t>
      </w:r>
      <w:r>
        <w:rPr>
          <w:lang w:val="nl-NL"/>
        </w:rPr>
        <w:t>.</w:t>
      </w:r>
    </w:p>
    <w:p w:rsidR="00323192" w:rsidP="00323192" w:rsidRDefault="00323192" w14:paraId="782313D9" w14:textId="77777777">
      <w:pPr>
        <w:rPr>
          <w:lang w:val="nl-NL"/>
        </w:rPr>
      </w:pPr>
      <w:r>
        <w:rPr>
          <w:noProof/>
          <w:lang w:val="en-GB" w:eastAsia="en-GB"/>
        </w:rPr>
        <w:drawing>
          <wp:inline distT="0" distB="0" distL="0" distR="0" wp14:anchorId="084D957D" wp14:editId="1DDD36F3">
            <wp:extent cx="4052887" cy="2438400"/>
            <wp:effectExtent l="0" t="0" r="508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23192" w:rsidP="00323192" w:rsidRDefault="00323192" w14:paraId="349F0C60" w14:textId="77777777">
      <w:pPr>
        <w:rPr>
          <w:lang w:val="nl-NL"/>
        </w:rPr>
      </w:pPr>
      <w:r w:rsidRPr="00F36165">
        <w:rPr>
          <w:lang w:val="nl-NL"/>
        </w:rPr>
        <w:t>Figuur 2.1: Ontwikkeling in productiewaarde, werkgelegenheid en toegevoegde waarde in de olie-</w:t>
      </w:r>
      <w:r>
        <w:rPr>
          <w:lang w:val="nl-NL"/>
        </w:rPr>
        <w:t xml:space="preserve"> en gaswinning op de Noordzee over de periode 2010-2017 (gebaseerd op CBS, 2020</w:t>
      </w:r>
      <w:r w:rsidR="00327842">
        <w:rPr>
          <w:lang w:val="nl-NL"/>
        </w:rPr>
        <w:t xml:space="preserve"> [4]</w:t>
      </w:r>
      <w:r>
        <w:rPr>
          <w:lang w:val="nl-NL"/>
        </w:rPr>
        <w:t>).</w:t>
      </w:r>
    </w:p>
    <w:p w:rsidR="00323192" w:rsidP="00323192" w:rsidRDefault="00323192" w14:paraId="687EA071" w14:textId="77777777">
      <w:pPr>
        <w:rPr>
          <w:lang w:val="nl-NL"/>
        </w:rPr>
      </w:pPr>
      <w:r>
        <w:rPr>
          <w:lang w:val="nl-NL"/>
        </w:rPr>
        <w:t xml:space="preserve">Naar verwachting zal de hoeveelheid olie en gas die wordt gewonnen op de Noordzee de komende jaren verder afnemen. Het tempo en de achterliggende oorzaak van die ontwikkeling zijn mede afhankelijk van de economische groei en de snelheid van de transitie naar alternatieve vormen van energiewinning. Het Planbureau voor de Leefomgeving </w:t>
      </w:r>
      <w:r w:rsidR="00327842">
        <w:rPr>
          <w:lang w:val="nl-NL"/>
        </w:rPr>
        <w:t>[5]</w:t>
      </w:r>
      <w:r>
        <w:rPr>
          <w:lang w:val="nl-NL"/>
        </w:rPr>
        <w:t xml:space="preserve"> verwacht dat de olie-en gaswinning in 2050 zal zijn afgenomen tot nihil. De nog aanwezige olie- en gasvoorraden zullen – mede onder invloed van toekomstige ontwikkelingen in de fossiele-brandstofprijzen – wel of niet geheel </w:t>
      </w:r>
      <w:r w:rsidRPr="0077107E">
        <w:rPr>
          <w:lang w:val="nl-NL"/>
        </w:rPr>
        <w:t xml:space="preserve">worden </w:t>
      </w:r>
      <w:r>
        <w:rPr>
          <w:lang w:val="nl-NL"/>
        </w:rPr>
        <w:t>benut.</w:t>
      </w:r>
      <w:r w:rsidRPr="00E47A8C">
        <w:rPr>
          <w:lang w:val="nl-NL"/>
        </w:rPr>
        <w:t xml:space="preserve"> </w:t>
      </w:r>
      <w:r>
        <w:rPr>
          <w:lang w:val="nl-NL"/>
        </w:rPr>
        <w:t xml:space="preserve">Het </w:t>
      </w:r>
      <w:r w:rsidRPr="008B1882">
        <w:rPr>
          <w:lang w:val="nl-NL"/>
        </w:rPr>
        <w:t>besluit om gaswinning uit het Groningenveld te beëindigen</w:t>
      </w:r>
      <w:r>
        <w:rPr>
          <w:lang w:val="nl-NL"/>
        </w:rPr>
        <w:t xml:space="preserve"> heeft </w:t>
      </w:r>
      <w:r w:rsidRPr="008B1882">
        <w:rPr>
          <w:lang w:val="nl-NL"/>
        </w:rPr>
        <w:t xml:space="preserve">de discussie over voortzetting van gaswinning uit de kleine velden versus import </w:t>
      </w:r>
      <w:r>
        <w:rPr>
          <w:lang w:val="nl-NL"/>
        </w:rPr>
        <w:t xml:space="preserve">van gas </w:t>
      </w:r>
      <w:r w:rsidRPr="008B1882">
        <w:rPr>
          <w:lang w:val="nl-NL"/>
        </w:rPr>
        <w:t>extra relevant</w:t>
      </w:r>
      <w:r>
        <w:rPr>
          <w:lang w:val="nl-NL"/>
        </w:rPr>
        <w:t xml:space="preserve"> gemaakt</w:t>
      </w:r>
      <w:r w:rsidRPr="008B1882">
        <w:rPr>
          <w:lang w:val="nl-NL"/>
        </w:rPr>
        <w:t xml:space="preserve">. Het kabinet geeft </w:t>
      </w:r>
      <w:r>
        <w:rPr>
          <w:lang w:val="nl-NL"/>
        </w:rPr>
        <w:t xml:space="preserve">hierbij de </w:t>
      </w:r>
      <w:r w:rsidRPr="008B1882">
        <w:rPr>
          <w:lang w:val="nl-NL"/>
        </w:rPr>
        <w:t xml:space="preserve">voorkeur aan gaswinning uit de Nederlandse kleine velden, zowel op land als op zee, boven import van aardgas. </w:t>
      </w:r>
      <w:r>
        <w:rPr>
          <w:lang w:val="nl-NL"/>
        </w:rPr>
        <w:t xml:space="preserve">Het huidige beleid is daarom om </w:t>
      </w:r>
      <w:r w:rsidRPr="00B45D19">
        <w:rPr>
          <w:lang w:val="nl-NL"/>
        </w:rPr>
        <w:t xml:space="preserve">de kleine velden </w:t>
      </w:r>
      <w:r>
        <w:rPr>
          <w:lang w:val="nl-NL"/>
        </w:rPr>
        <w:t xml:space="preserve">op zee nog </w:t>
      </w:r>
      <w:r w:rsidRPr="00B45D19">
        <w:rPr>
          <w:lang w:val="nl-NL"/>
        </w:rPr>
        <w:t xml:space="preserve">zoveel mogelijk </w:t>
      </w:r>
      <w:r>
        <w:rPr>
          <w:lang w:val="nl-NL"/>
        </w:rPr>
        <w:t xml:space="preserve">te </w:t>
      </w:r>
      <w:r w:rsidRPr="00B45D19">
        <w:rPr>
          <w:lang w:val="nl-NL"/>
        </w:rPr>
        <w:t>benutten</w:t>
      </w:r>
      <w:r>
        <w:rPr>
          <w:lang w:val="nl-NL"/>
        </w:rPr>
        <w:t xml:space="preserve">, totdat ze zijn </w:t>
      </w:r>
      <w:r w:rsidRPr="00F36165">
        <w:rPr>
          <w:lang w:val="nl-NL"/>
        </w:rPr>
        <w:t>uitgeput.</w:t>
      </w:r>
    </w:p>
    <w:p w:rsidR="009C04FF" w:rsidP="009C04FF" w:rsidRDefault="000F2EE2" w14:paraId="5F164965" w14:textId="7F0409C8">
      <w:pPr>
        <w:rPr>
          <w:lang w:val="nl-NL"/>
        </w:rPr>
      </w:pPr>
      <w:r w:rsidRPr="000F2EE2">
        <w:rPr>
          <w:i/>
          <w:lang w:val="nl-NL"/>
        </w:rPr>
        <w:t xml:space="preserve">Gebruik lege gasvelden </w:t>
      </w:r>
      <w:r w:rsidR="005F5515">
        <w:rPr>
          <w:i/>
          <w:lang w:val="nl-NL"/>
        </w:rPr>
        <w:t>–</w:t>
      </w:r>
      <w:r w:rsidRPr="000F2EE2">
        <w:rPr>
          <w:i/>
          <w:lang w:val="nl-NL"/>
        </w:rPr>
        <w:t xml:space="preserve"> </w:t>
      </w:r>
      <w:r w:rsidR="008C543D">
        <w:rPr>
          <w:i/>
          <w:lang w:val="nl-NL"/>
        </w:rPr>
        <w:t>C</w:t>
      </w:r>
      <w:r w:rsidRPr="000F2EE2" w:rsidR="004131AD">
        <w:rPr>
          <w:i/>
          <w:lang w:val="nl-NL"/>
        </w:rPr>
        <w:t xml:space="preserve">arbon </w:t>
      </w:r>
      <w:r w:rsidR="008C543D">
        <w:rPr>
          <w:i/>
          <w:lang w:val="nl-NL"/>
        </w:rPr>
        <w:t>C</w:t>
      </w:r>
      <w:r w:rsidRPr="000F2EE2" w:rsidR="004131AD">
        <w:rPr>
          <w:i/>
          <w:lang w:val="nl-NL"/>
        </w:rPr>
        <w:t xml:space="preserve">apture and </w:t>
      </w:r>
      <w:r w:rsidR="008C543D">
        <w:rPr>
          <w:i/>
          <w:lang w:val="nl-NL"/>
        </w:rPr>
        <w:t>S</w:t>
      </w:r>
      <w:r w:rsidRPr="000F2EE2" w:rsidR="004131AD">
        <w:rPr>
          <w:i/>
          <w:lang w:val="nl-NL"/>
        </w:rPr>
        <w:t>torage (</w:t>
      </w:r>
      <w:r w:rsidR="008C543D">
        <w:rPr>
          <w:i/>
          <w:lang w:val="nl-NL"/>
        </w:rPr>
        <w:t>CCS</w:t>
      </w:r>
      <w:r w:rsidRPr="000F2EE2" w:rsidR="004131AD">
        <w:rPr>
          <w:i/>
          <w:lang w:val="nl-NL"/>
        </w:rPr>
        <w:t>)</w:t>
      </w:r>
      <w:r>
        <w:rPr>
          <w:i/>
          <w:lang w:val="nl-NL"/>
        </w:rPr>
        <w:t xml:space="preserve"> en </w:t>
      </w:r>
      <w:r w:rsidR="00EF1372">
        <w:rPr>
          <w:i/>
          <w:lang w:val="nl-NL"/>
        </w:rPr>
        <w:t xml:space="preserve">opslag van </w:t>
      </w:r>
      <w:r>
        <w:rPr>
          <w:i/>
          <w:lang w:val="nl-NL"/>
        </w:rPr>
        <w:t>waterstof</w:t>
      </w:r>
      <w:r>
        <w:rPr>
          <w:i/>
          <w:lang w:val="nl-NL"/>
        </w:rPr>
        <w:br/>
      </w:r>
      <w:r w:rsidRPr="0047262A" w:rsidR="009C04FF">
        <w:rPr>
          <w:lang w:val="nl-NL"/>
        </w:rPr>
        <w:t>In het Klimaatakkoord is afgesproken dat de opslag van CO</w:t>
      </w:r>
      <w:r w:rsidRPr="0047262A" w:rsidR="009C04FF">
        <w:rPr>
          <w:vertAlign w:val="subscript"/>
          <w:lang w:val="nl-NL"/>
        </w:rPr>
        <w:t>2</w:t>
      </w:r>
      <w:r w:rsidRPr="0047262A" w:rsidR="009C04FF">
        <w:rPr>
          <w:lang w:val="nl-NL"/>
        </w:rPr>
        <w:t xml:space="preserve"> alleen in de zeebodem plaatsvindt. Onder de Noordzee is in de komende decennia</w:t>
      </w:r>
      <w:r w:rsidRPr="0047262A" w:rsidDel="00703C7D" w:rsidR="009C04FF">
        <w:rPr>
          <w:lang w:val="nl-NL"/>
        </w:rPr>
        <w:t xml:space="preserve"> </w:t>
      </w:r>
      <w:r w:rsidRPr="0047262A" w:rsidR="009C04FF">
        <w:rPr>
          <w:lang w:val="nl-NL"/>
        </w:rPr>
        <w:t>capaciteit beschikbaar voor de opslag van circa 1600 Mton</w:t>
      </w:r>
      <w:r w:rsidRPr="0005271A" w:rsidR="009C04FF">
        <w:rPr>
          <w:rStyle w:val="FootnoteReference"/>
        </w:rPr>
        <w:footnoteReference w:id="3"/>
      </w:r>
      <w:r w:rsidRPr="0047262A" w:rsidR="009C04FF">
        <w:rPr>
          <w:lang w:val="nl-NL"/>
        </w:rPr>
        <w:t xml:space="preserve"> aan CO</w:t>
      </w:r>
      <w:r w:rsidRPr="0047262A" w:rsidR="009C04FF">
        <w:rPr>
          <w:vertAlign w:val="subscript"/>
          <w:lang w:val="nl-NL"/>
        </w:rPr>
        <w:t>2</w:t>
      </w:r>
      <w:r w:rsidRPr="0047262A" w:rsidR="009C04FF">
        <w:rPr>
          <w:lang w:val="nl-NL"/>
        </w:rPr>
        <w:t>. Die capaciteit is aanwezig in gasvelden die zijn uitgeproduceerd. Naar verwachting zal CO</w:t>
      </w:r>
      <w:r w:rsidRPr="0047262A" w:rsidR="009C04FF">
        <w:rPr>
          <w:vertAlign w:val="subscript"/>
          <w:lang w:val="nl-NL"/>
        </w:rPr>
        <w:t>2</w:t>
      </w:r>
      <w:r w:rsidRPr="0047262A" w:rsidR="009C04FF">
        <w:rPr>
          <w:lang w:val="nl-NL"/>
        </w:rPr>
        <w:t xml:space="preserve"> vanuit de grote industriële clusters per pijpleiding of per schip naar de Noordzee worden gebracht. Tot 2030 gaat het naar schatting om maximaal 7,2 Mton industriële </w:t>
      </w:r>
      <w:r w:rsidRPr="002B51AF" w:rsidR="009C04FF">
        <w:rPr>
          <w:lang w:val="nl-NL"/>
        </w:rPr>
        <w:t>CO</w:t>
      </w:r>
      <w:r w:rsidRPr="002B51AF" w:rsidR="009C04FF">
        <w:rPr>
          <w:vertAlign w:val="subscript"/>
          <w:lang w:val="nl-NL"/>
        </w:rPr>
        <w:t>2</w:t>
      </w:r>
      <w:r w:rsidRPr="002B51AF" w:rsidR="009C04FF">
        <w:rPr>
          <w:lang w:val="nl-NL"/>
        </w:rPr>
        <w:t>, aangevuld met maximaal 3 Mton CO</w:t>
      </w:r>
      <w:r w:rsidRPr="002B51AF" w:rsidR="009C04FF">
        <w:rPr>
          <w:vertAlign w:val="subscript"/>
          <w:lang w:val="nl-NL"/>
        </w:rPr>
        <w:t>2</w:t>
      </w:r>
      <w:r w:rsidRPr="002B51AF" w:rsidR="009C04FF">
        <w:rPr>
          <w:lang w:val="nl-NL"/>
        </w:rPr>
        <w:t xml:space="preserve"> vanuit de elektriciteitssector.</w:t>
      </w:r>
    </w:p>
    <w:p w:rsidRPr="008B1882" w:rsidR="00323192" w:rsidP="00323192" w:rsidRDefault="00323192" w14:paraId="7B1A43EF" w14:textId="77777777">
      <w:pPr>
        <w:rPr>
          <w:lang w:val="nl-NL"/>
        </w:rPr>
      </w:pPr>
      <w:r>
        <w:rPr>
          <w:lang w:val="nl-NL"/>
        </w:rPr>
        <w:t>Naast CO</w:t>
      </w:r>
      <w:r w:rsidRPr="002B51AF">
        <w:rPr>
          <w:vertAlign w:val="subscript"/>
          <w:lang w:val="nl-NL"/>
        </w:rPr>
        <w:t>2</w:t>
      </w:r>
      <w:r w:rsidRPr="008C543D" w:rsidR="008C543D">
        <w:rPr>
          <w:lang w:val="nl-NL"/>
        </w:rPr>
        <w:t>-</w:t>
      </w:r>
      <w:r>
        <w:rPr>
          <w:lang w:val="nl-NL"/>
        </w:rPr>
        <w:t xml:space="preserve">opslag kunnen gasvelden ook worden gebruikt voor de opslag van waterstof. </w:t>
      </w:r>
      <w:r w:rsidRPr="00F172A1">
        <w:rPr>
          <w:lang w:val="nl-NL"/>
        </w:rPr>
        <w:t>Waterstof kan worden gezien als een opslag- en transportmedium, dat in een toekomst van louter hernieuwbare energiebronnen de benodigde flexibiliteit geeft om vraag en aanbod van energie op elkaar te kunnen blijven afstemmen. In het Klimaatakkoord is de ambitie geformuleerd voor opschaling van elektrolyse naar circa 500 MW geïnstalleerd vermogen in 2025 en 3 tot 4 GW geïnstalleerd vermogen in 2030. De Noordzee is</w:t>
      </w:r>
      <w:r w:rsidR="001E3B04">
        <w:rPr>
          <w:lang w:val="nl-NL"/>
        </w:rPr>
        <w:t xml:space="preserve"> </w:t>
      </w:r>
      <w:r w:rsidRPr="00F172A1">
        <w:rPr>
          <w:lang w:val="nl-NL"/>
        </w:rPr>
        <w:t>gezien het wind</w:t>
      </w:r>
      <w:r w:rsidR="008C543D">
        <w:rPr>
          <w:lang w:val="nl-NL"/>
        </w:rPr>
        <w:t>energie</w:t>
      </w:r>
      <w:r w:rsidRPr="00F172A1">
        <w:rPr>
          <w:lang w:val="nl-NL"/>
        </w:rPr>
        <w:t xml:space="preserve">potentieel, de bestaande gasinfrastructuur en de beschikbaarheid van ruimte bij uitstek een gebied om deze ambities waar </w:t>
      </w:r>
      <w:r w:rsidRPr="000F2EE2">
        <w:rPr>
          <w:lang w:val="nl-NL"/>
        </w:rPr>
        <w:t>te maken.</w:t>
      </w:r>
      <w:r w:rsidRPr="00151E5F">
        <w:rPr>
          <w:lang w:val="nl-NL"/>
        </w:rPr>
        <w:t xml:space="preserve"> </w:t>
      </w:r>
    </w:p>
    <w:p w:rsidRPr="00323192" w:rsidR="00323192" w:rsidP="00323192" w:rsidRDefault="00323192" w14:paraId="01C6E3BD" w14:textId="77777777">
      <w:pPr>
        <w:pStyle w:val="Heading4"/>
        <w:rPr>
          <w:lang w:val="nl-NL"/>
        </w:rPr>
      </w:pPr>
      <w:r w:rsidRPr="00323192">
        <w:rPr>
          <w:lang w:val="nl-NL"/>
        </w:rPr>
        <w:t>Offshore windenergie</w:t>
      </w:r>
    </w:p>
    <w:p w:rsidRPr="006F3E66" w:rsidR="00323192" w:rsidP="00323192" w:rsidRDefault="00323192" w14:paraId="257B48C4" w14:textId="77777777">
      <w:pPr>
        <w:rPr>
          <w:lang w:val="nl-NL"/>
        </w:rPr>
      </w:pPr>
      <w:r>
        <w:rPr>
          <w:lang w:val="nl-NL"/>
        </w:rPr>
        <w:t>Sinds</w:t>
      </w:r>
      <w:r w:rsidRPr="006F3E66">
        <w:rPr>
          <w:lang w:val="nl-NL"/>
        </w:rPr>
        <w:t xml:space="preserve"> 2006 wordt het NCP gebruikt voor de opwekking van windenergie</w:t>
      </w:r>
      <w:r>
        <w:rPr>
          <w:lang w:val="nl-NL"/>
        </w:rPr>
        <w:t xml:space="preserve"> en die functie is in de afgelopen </w:t>
      </w:r>
      <w:r w:rsidR="00BA46D5">
        <w:rPr>
          <w:lang w:val="nl-NL"/>
        </w:rPr>
        <w:t>jaren</w:t>
      </w:r>
      <w:r>
        <w:rPr>
          <w:lang w:val="nl-NL"/>
        </w:rPr>
        <w:t xml:space="preserve"> s</w:t>
      </w:r>
      <w:r w:rsidRPr="006F3E66">
        <w:rPr>
          <w:lang w:val="nl-NL"/>
        </w:rPr>
        <w:t>teeds belangrijker geworden</w:t>
      </w:r>
      <w:r>
        <w:rPr>
          <w:lang w:val="nl-NL"/>
        </w:rPr>
        <w:t xml:space="preserve">. </w:t>
      </w:r>
    </w:p>
    <w:p w:rsidR="00E01F55" w:rsidP="00E01F55" w:rsidRDefault="00E01F55" w14:paraId="6DA2FB57" w14:textId="77777777">
      <w:pPr>
        <w:rPr>
          <w:lang w:val="nl-NL"/>
        </w:rPr>
      </w:pPr>
      <w:r>
        <w:rPr>
          <w:lang w:val="nl-NL"/>
        </w:rPr>
        <w:t>Offshore windenergie kan een bijdrage leveren aan een vermindering van CO</w:t>
      </w:r>
      <w:r w:rsidRPr="008C543D">
        <w:rPr>
          <w:vertAlign w:val="subscript"/>
          <w:lang w:val="nl-NL"/>
        </w:rPr>
        <w:t>2</w:t>
      </w:r>
      <w:r w:rsidR="008C543D">
        <w:rPr>
          <w:lang w:val="nl-NL"/>
        </w:rPr>
        <w:t>-</w:t>
      </w:r>
      <w:r>
        <w:rPr>
          <w:lang w:val="nl-NL"/>
        </w:rPr>
        <w:t>emissies</w:t>
      </w:r>
      <w:r w:rsidR="002D313D">
        <w:rPr>
          <w:lang w:val="nl-NL"/>
        </w:rPr>
        <w:t>,</w:t>
      </w:r>
      <w:r>
        <w:rPr>
          <w:lang w:val="nl-NL"/>
        </w:rPr>
        <w:t xml:space="preserve"> maar windmolenparken op zee kunnen ook negatieve effecten hebben op verschillende diersoorten. Zo wordt bij de aanleg van windmolenparken onderwatergeluid geproduceerd (D1</w:t>
      </w:r>
      <w:r w:rsidR="00BA46D5">
        <w:rPr>
          <w:lang w:val="nl-NL"/>
        </w:rPr>
        <w:t>1</w:t>
      </w:r>
      <w:r>
        <w:rPr>
          <w:lang w:val="nl-NL"/>
        </w:rPr>
        <w:t xml:space="preserve">), en tijdens de exploitatiefase kunnen vogels door draaiende wieken worden gedood (D1). Om de effecten van onderwatergeluid tegen te gaan gelden onder meer beperkingen wanneer de funderingen voor windmolens mogen worden aangelegd. Daarnaast wordt er bij de aanwijzing van windgebieden ook expliciet rekening gehouden met de effecten op de verschillende diersoorten.  </w:t>
      </w:r>
    </w:p>
    <w:p w:rsidRPr="006F3E66" w:rsidR="00323192" w:rsidP="00323192" w:rsidRDefault="00323192" w14:paraId="2828B25C" w14:textId="77777777">
      <w:pPr>
        <w:rPr>
          <w:lang w:val="nl-NL"/>
        </w:rPr>
      </w:pPr>
      <w:r>
        <w:rPr>
          <w:lang w:val="nl-NL"/>
        </w:rPr>
        <w:t xml:space="preserve">Deze </w:t>
      </w:r>
      <w:r w:rsidRPr="006F3E66">
        <w:rPr>
          <w:lang w:val="nl-NL"/>
        </w:rPr>
        <w:t>toename van de productie van energie uit offshore windmolenparken</w:t>
      </w:r>
      <w:r>
        <w:rPr>
          <w:lang w:val="nl-NL"/>
        </w:rPr>
        <w:t xml:space="preserve"> heeft geleid tot een sterke toename van productiewaarde en toegevoegde waarde</w:t>
      </w:r>
      <w:r w:rsidRPr="006F3E66">
        <w:rPr>
          <w:lang w:val="nl-NL"/>
        </w:rPr>
        <w:t>. De verandering tussen 201</w:t>
      </w:r>
      <w:r>
        <w:rPr>
          <w:lang w:val="nl-NL"/>
        </w:rPr>
        <w:t>5</w:t>
      </w:r>
      <w:r w:rsidRPr="006F3E66">
        <w:rPr>
          <w:lang w:val="nl-NL"/>
        </w:rPr>
        <w:t xml:space="preserve"> en 201</w:t>
      </w:r>
      <w:r>
        <w:rPr>
          <w:lang w:val="nl-NL"/>
        </w:rPr>
        <w:t>7</w:t>
      </w:r>
      <w:r w:rsidRPr="006F3E66">
        <w:rPr>
          <w:lang w:val="nl-NL"/>
        </w:rPr>
        <w:t xml:space="preserve"> is het meest opmerkelijk</w:t>
      </w:r>
      <w:r>
        <w:rPr>
          <w:lang w:val="nl-NL"/>
        </w:rPr>
        <w:t>:</w:t>
      </w:r>
      <w:r w:rsidRPr="006F3E66">
        <w:rPr>
          <w:lang w:val="nl-NL"/>
        </w:rPr>
        <w:t xml:space="preserve"> de productie en de bruto toegevoegde waarde </w:t>
      </w:r>
      <w:r>
        <w:rPr>
          <w:lang w:val="nl-NL"/>
        </w:rPr>
        <w:t xml:space="preserve">zijn </w:t>
      </w:r>
      <w:r w:rsidRPr="006F3E66">
        <w:rPr>
          <w:lang w:val="nl-NL"/>
        </w:rPr>
        <w:t xml:space="preserve">meer dan verdrievoudigd </w:t>
      </w:r>
      <w:r>
        <w:rPr>
          <w:lang w:val="nl-NL"/>
        </w:rPr>
        <w:t>(zie ook Figuur 2.2)</w:t>
      </w:r>
      <w:r w:rsidRPr="006F3E66">
        <w:rPr>
          <w:lang w:val="nl-NL"/>
        </w:rPr>
        <w:t>.</w:t>
      </w:r>
      <w:r>
        <w:rPr>
          <w:lang w:val="nl-NL"/>
        </w:rPr>
        <w:t xml:space="preserve"> </w:t>
      </w:r>
      <w:r w:rsidRPr="006F3E66">
        <w:rPr>
          <w:lang w:val="nl-NL"/>
        </w:rPr>
        <w:t>Het kapitaalintensieve karakter van de exploitatie en het onderhoud van de turbines verkla</w:t>
      </w:r>
      <w:r>
        <w:rPr>
          <w:lang w:val="nl-NL"/>
        </w:rPr>
        <w:t>art</w:t>
      </w:r>
      <w:r w:rsidRPr="006F3E66">
        <w:rPr>
          <w:lang w:val="nl-NL"/>
        </w:rPr>
        <w:t xml:space="preserve"> waarom deze activiteit niet veel bijdraagt aan de werkgelegenheid</w:t>
      </w:r>
      <w:r w:rsidR="00F936C1">
        <w:rPr>
          <w:lang w:val="nl-NL"/>
        </w:rPr>
        <w:t xml:space="preserve"> [4]</w:t>
      </w:r>
      <w:r w:rsidRPr="006F3E66">
        <w:rPr>
          <w:lang w:val="nl-NL"/>
        </w:rPr>
        <w:t>.</w:t>
      </w:r>
    </w:p>
    <w:p w:rsidR="00323192" w:rsidP="00323192" w:rsidRDefault="00323192" w14:paraId="5C4E8F71" w14:textId="77777777">
      <w:pPr>
        <w:rPr>
          <w:lang w:val="nl-NL"/>
        </w:rPr>
      </w:pPr>
      <w:r w:rsidRPr="00657650">
        <w:rPr>
          <w:noProof/>
          <w:lang w:val="en-GB" w:eastAsia="en-GB"/>
        </w:rPr>
        <w:drawing>
          <wp:inline distT="0" distB="0" distL="0" distR="0" wp14:anchorId="19C147A5" wp14:editId="29841765">
            <wp:extent cx="3862387" cy="2032835"/>
            <wp:effectExtent l="0" t="0" r="5080" b="571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2935" cy="2038387"/>
                    </a:xfrm>
                    <a:prstGeom prst="rect">
                      <a:avLst/>
                    </a:prstGeom>
                    <a:noFill/>
                    <a:ln>
                      <a:noFill/>
                    </a:ln>
                  </pic:spPr>
                </pic:pic>
              </a:graphicData>
            </a:graphic>
          </wp:inline>
        </w:drawing>
      </w:r>
    </w:p>
    <w:p w:rsidRPr="00EC4E32" w:rsidR="00323192" w:rsidP="00323192" w:rsidRDefault="00323192" w14:paraId="5D24AC39" w14:textId="77777777">
      <w:pPr>
        <w:rPr>
          <w:sz w:val="16"/>
          <w:lang w:val="nl-NL"/>
        </w:rPr>
      </w:pPr>
      <w:r w:rsidRPr="00EC4E32">
        <w:rPr>
          <w:sz w:val="16"/>
          <w:lang w:val="nl-NL"/>
        </w:rPr>
        <w:t xml:space="preserve">Figuur 2.2: </w:t>
      </w:r>
      <w:r w:rsidRPr="00EC4E32" w:rsidR="008C543D">
        <w:rPr>
          <w:sz w:val="16"/>
          <w:lang w:val="nl-NL"/>
        </w:rPr>
        <w:t>De productie van windenergie in de EEZ</w:t>
      </w:r>
      <w:r w:rsidRPr="00EC4E32">
        <w:rPr>
          <w:sz w:val="16"/>
          <w:lang w:val="nl-NL"/>
        </w:rPr>
        <w:t xml:space="preserve"> in petajoules in de periode 2006-2017 </w:t>
      </w:r>
      <w:r w:rsidR="00F936C1">
        <w:rPr>
          <w:sz w:val="16"/>
          <w:lang w:val="nl-NL"/>
        </w:rPr>
        <w:t>[4]</w:t>
      </w:r>
    </w:p>
    <w:p w:rsidR="004309A4" w:rsidP="00361524" w:rsidRDefault="00323192" w14:paraId="1A67BBC6" w14:textId="6AC19E88">
      <w:pPr>
        <w:spacing w:line="240" w:lineRule="atLeast"/>
        <w:contextualSpacing/>
        <w:rPr>
          <w:lang w:val="nl-NL"/>
        </w:rPr>
      </w:pPr>
      <w:r w:rsidRPr="00A84164">
        <w:rPr>
          <w:rFonts w:cs="RijksoverheidSerif"/>
          <w:color w:val="000000"/>
          <w:lang w:val="nl-NL"/>
        </w:rPr>
        <w:t xml:space="preserve">In Europees verband is afgesproken dat in 2030 </w:t>
      </w:r>
      <w:r w:rsidRPr="00A84164">
        <w:rPr>
          <w:lang w:val="nl-NL"/>
        </w:rPr>
        <w:t>de CO</w:t>
      </w:r>
      <w:r w:rsidRPr="00A84164">
        <w:rPr>
          <w:vertAlign w:val="subscript"/>
          <w:lang w:val="nl-NL"/>
        </w:rPr>
        <w:t>2</w:t>
      </w:r>
      <w:r w:rsidRPr="00A84164">
        <w:rPr>
          <w:lang w:val="nl-NL"/>
        </w:rPr>
        <w:t xml:space="preserve">-uitstoot met ten minste </w:t>
      </w:r>
      <w:r w:rsidR="00A7081D">
        <w:rPr>
          <w:lang w:val="nl-NL"/>
        </w:rPr>
        <w:t>55</w:t>
      </w:r>
      <w:r w:rsidRPr="00A84164" w:rsidR="00A7081D">
        <w:rPr>
          <w:lang w:val="nl-NL"/>
        </w:rPr>
        <w:t xml:space="preserve"> </w:t>
      </w:r>
      <w:r w:rsidRPr="00A84164">
        <w:rPr>
          <w:lang w:val="nl-NL"/>
        </w:rPr>
        <w:t xml:space="preserve">procent moet zijn </w:t>
      </w:r>
      <w:r>
        <w:rPr>
          <w:lang w:val="nl-NL"/>
        </w:rPr>
        <w:t>verminderd</w:t>
      </w:r>
      <w:r w:rsidRPr="00A84164">
        <w:rPr>
          <w:lang w:val="nl-NL"/>
        </w:rPr>
        <w:t xml:space="preserve"> ten opzichte van de uitstoot in 1990, en dat hernieuwbare energie in de EU </w:t>
      </w:r>
      <w:r>
        <w:rPr>
          <w:lang w:val="nl-NL"/>
        </w:rPr>
        <w:t xml:space="preserve">dan </w:t>
      </w:r>
      <w:r w:rsidRPr="00A84164">
        <w:rPr>
          <w:lang w:val="nl-NL"/>
        </w:rPr>
        <w:t>ten minste 32 procent moet bedragen</w:t>
      </w:r>
      <w:r>
        <w:rPr>
          <w:lang w:val="nl-NL"/>
        </w:rPr>
        <w:t xml:space="preserve"> van de totale energievoorziening</w:t>
      </w:r>
      <w:r w:rsidRPr="00A84164">
        <w:rPr>
          <w:lang w:val="nl-NL"/>
        </w:rPr>
        <w:t>.</w:t>
      </w:r>
      <w:r>
        <w:rPr>
          <w:lang w:val="nl-NL"/>
        </w:rPr>
        <w:t xml:space="preserve"> </w:t>
      </w:r>
    </w:p>
    <w:p w:rsidR="004309A4" w:rsidP="004309A4" w:rsidRDefault="0028227F" w14:paraId="7B337083" w14:textId="77777777">
      <w:pPr>
        <w:spacing w:line="240" w:lineRule="atLeast"/>
        <w:contextualSpacing/>
        <w:rPr>
          <w:lang w:val="nl-NL"/>
        </w:rPr>
      </w:pPr>
      <w:r w:rsidRPr="00C97E00">
        <w:rPr>
          <w:lang w:val="nl-NL"/>
        </w:rPr>
        <w:t>Voor de Nederlandse situatie speelt de bouw van windparken op de Noordzee een grote rol in de verduurzaming van de energiewinning. In het Energieakkoord uit 2014 is afgesproken om in 2023 circa 3,5 GW extra windvermogen op zee te hebben staan. In 2018 heeft het kabinet de routekaart windenergie op zee uitgebreid</w:t>
      </w:r>
      <w:r w:rsidR="00F936C1">
        <w:rPr>
          <w:lang w:val="nl-NL"/>
        </w:rPr>
        <w:t xml:space="preserve"> [6]</w:t>
      </w:r>
      <w:r w:rsidRPr="00C97E00">
        <w:rPr>
          <w:lang w:val="nl-NL"/>
        </w:rPr>
        <w:t xml:space="preserve"> met een deel voor de jaren 2024 tot en met 2030. De windparken tot 2030 worden gebouwd in windenergiebieden die zijn aangewezen in de Beleidsnota Noordzee 2016-2021, onderdeel van het Nationaal Waterplan. Dit zal leiden tot een totale capaciteit van circa 11,5 GW aan windenergie op zee in 2030. </w:t>
      </w:r>
    </w:p>
    <w:p w:rsidR="004309A4" w:rsidP="004309A4" w:rsidRDefault="004309A4" w14:paraId="4867347B" w14:textId="77777777">
      <w:pPr>
        <w:spacing w:line="240" w:lineRule="atLeast"/>
        <w:contextualSpacing/>
        <w:rPr>
          <w:lang w:val="nl-NL"/>
        </w:rPr>
      </w:pPr>
      <w:r w:rsidRPr="00C97E00">
        <w:rPr>
          <w:lang w:val="nl-NL"/>
        </w:rPr>
        <w:t>Eind 2020 werd duidelijk dat de geplande uitrol van de routekaart windenergie op zee 2030 nog onvoldoende is om de in het Klimaatakkoord afgesproken bijdrage van 49 TWh in 2030 te realiseren</w:t>
      </w:r>
      <w:r w:rsidR="00F936C1">
        <w:rPr>
          <w:lang w:val="nl-NL"/>
        </w:rPr>
        <w:t xml:space="preserve"> [7]</w:t>
      </w:r>
      <w:r w:rsidRPr="00C97E00">
        <w:rPr>
          <w:lang w:val="nl-NL"/>
        </w:rPr>
        <w:t>. Daarnaast hebben in het najaar van 2020 zowel de Europese Commissie als het Europese Parlement zich uitgesproken voor een ambitieuzere CO</w:t>
      </w:r>
      <w:r w:rsidRPr="00C97E00">
        <w:rPr>
          <w:vertAlign w:val="subscript"/>
          <w:lang w:val="nl-NL"/>
        </w:rPr>
        <w:t>2</w:t>
      </w:r>
      <w:r w:rsidRPr="00C97E00">
        <w:rPr>
          <w:lang w:val="nl-NL"/>
        </w:rPr>
        <w:t>-reductiedoelstelling in 2030. Dit alles zal naar verwachting leiden tot een Kabinetsbesluit voor het inplannen van de bouw van extra windparken op zee in de periode tot en met 2030.</w:t>
      </w:r>
    </w:p>
    <w:p w:rsidR="00CA2282" w:rsidP="004309A4" w:rsidRDefault="004309A4" w14:paraId="2D74FD25" w14:textId="20EBBD32">
      <w:pPr>
        <w:rPr>
          <w:lang w:val="nl-NL"/>
        </w:rPr>
      </w:pPr>
      <w:r w:rsidRPr="008B1882">
        <w:rPr>
          <w:lang w:val="nl-NL"/>
        </w:rPr>
        <w:t xml:space="preserve">In het Noordzeeakkoord is afgesproken dat ruimte moet worden gevonden voor de installatie van 20 tot 40 GW extra windenergie op zee. </w:t>
      </w:r>
      <w:r w:rsidR="00CA2282">
        <w:rPr>
          <w:lang w:val="nl-NL"/>
        </w:rPr>
        <w:t>In het Programma Noordzee 2022-2027 zijn de eerder aangewezen windenergiegebieden Hollandse Kust noordwest en Hollandse Kust zuidwest definitief afgevallen. I</w:t>
      </w:r>
      <w:r w:rsidR="00F4771A">
        <w:rPr>
          <w:lang w:val="nl-NL"/>
        </w:rPr>
        <w:t>J</w:t>
      </w:r>
      <w:r w:rsidR="00CA2282">
        <w:rPr>
          <w:lang w:val="nl-NL"/>
        </w:rPr>
        <w:t>muiden Ver is herbevestigd en de gebieden 1, 2 en 5 oost zijn aangewezen als windenergiegebieden. Met deze aanwijzing is ruimte gereserveerd voor 16 GW bovenop de eerder afgesproken 11,5 GW, waarvan tot 2030 maximaal 10 GW wordt ingevuld.</w:t>
      </w:r>
    </w:p>
    <w:p w:rsidRPr="00D3500E" w:rsidR="00EB26D4" w:rsidP="00EB26D4" w:rsidRDefault="00CA2282" w14:paraId="25BB4549" w14:textId="28AC398C">
      <w:pPr>
        <w:rPr>
          <w:lang w:val="nl-NL"/>
        </w:rPr>
      </w:pPr>
      <w:r>
        <w:rPr>
          <w:rFonts w:cs="Verdana"/>
          <w:lang w:val="nl-NL"/>
        </w:rPr>
        <w:t>In 2022 start een partiële herziening van het Programma Noordzee om eventueel nog extra ruimte te reserveren voor na 2030.</w:t>
      </w:r>
      <w:bookmarkStart w:name="_Hlk57045202" w:id="16"/>
      <w:r w:rsidR="00EB26D4">
        <w:rPr>
          <w:lang w:val="nl-NL"/>
        </w:rPr>
        <w:t xml:space="preserve">Naast </w:t>
      </w:r>
      <w:r w:rsidR="008C543D">
        <w:rPr>
          <w:lang w:val="nl-NL"/>
        </w:rPr>
        <w:t xml:space="preserve">voor windenergie </w:t>
      </w:r>
      <w:r w:rsidR="00EB26D4">
        <w:rPr>
          <w:lang w:val="nl-NL"/>
        </w:rPr>
        <w:t>op zee</w:t>
      </w:r>
      <w:r w:rsidR="008C543D">
        <w:rPr>
          <w:lang w:val="nl-NL"/>
        </w:rPr>
        <w:t xml:space="preserve"> zijn er ook kansen voor zonne-energie op zee</w:t>
      </w:r>
      <w:r w:rsidRPr="00D3500E" w:rsidR="00EB26D4">
        <w:rPr>
          <w:lang w:val="nl-NL"/>
        </w:rPr>
        <w:t>, maar het is op dit moment nog niet duidelijk of dit op termijn ook daadwerkelijk een aantrekkelijke optie zal zijn. De eerste pilot op de Noordzee vindt sinds het najaar 2019 plaats. Ook in het windpark Hollandse Kust (noord) zal geëxperimenteerd worden met zon</w:t>
      </w:r>
      <w:r w:rsidR="008C543D">
        <w:rPr>
          <w:lang w:val="nl-NL"/>
        </w:rPr>
        <w:t>ne-energie</w:t>
      </w:r>
      <w:r w:rsidRPr="00D3500E" w:rsidR="00EB26D4">
        <w:rPr>
          <w:lang w:val="nl-NL"/>
        </w:rPr>
        <w:t xml:space="preserve"> op zee. Deze ontwikkelingen geven, naast de ambities van de EU voor zon</w:t>
      </w:r>
      <w:r w:rsidR="008C543D">
        <w:rPr>
          <w:lang w:val="nl-NL"/>
        </w:rPr>
        <w:t>ne-energie</w:t>
      </w:r>
      <w:r w:rsidRPr="00D3500E" w:rsidR="00EB26D4">
        <w:rPr>
          <w:lang w:val="nl-NL"/>
        </w:rPr>
        <w:t xml:space="preserve"> op zee en het verzoek van de Tweede Kamer voor een routekaart, aanleiding om gedegen onderzoek te doen naar de kansen en beperkingen van zon op zee</w:t>
      </w:r>
      <w:r w:rsidRPr="000F2EE2" w:rsidR="00EB26D4">
        <w:rPr>
          <w:lang w:val="nl-NL"/>
        </w:rPr>
        <w:t>.</w:t>
      </w:r>
      <w:r w:rsidRPr="00D3500E" w:rsidR="00EB26D4">
        <w:rPr>
          <w:lang w:val="nl-NL"/>
        </w:rPr>
        <w:t xml:space="preserve"> </w:t>
      </w:r>
    </w:p>
    <w:bookmarkEnd w:id="16"/>
    <w:p w:rsidRPr="00323192" w:rsidR="00323192" w:rsidP="00323192" w:rsidRDefault="00323192" w14:paraId="15A6F3FB" w14:textId="77777777">
      <w:pPr>
        <w:pStyle w:val="Heading4"/>
        <w:rPr>
          <w:lang w:val="nl-NL"/>
        </w:rPr>
      </w:pPr>
      <w:r w:rsidRPr="00323192">
        <w:rPr>
          <w:lang w:val="nl-NL"/>
        </w:rPr>
        <w:t>Winning van zand en grind</w:t>
      </w:r>
    </w:p>
    <w:p w:rsidRPr="00A36B2C" w:rsidR="00323192" w:rsidP="00323192" w:rsidRDefault="00323192" w14:paraId="5AC8FDFE" w14:textId="77777777">
      <w:pPr>
        <w:rPr>
          <w:lang w:val="nl-NL"/>
        </w:rPr>
      </w:pPr>
      <w:r>
        <w:rPr>
          <w:lang w:val="nl-NL"/>
        </w:rPr>
        <w:t xml:space="preserve">Nederland wint uit zijn deel van de Noordzee op reguliere basis ruim </w:t>
      </w:r>
      <w:r w:rsidRPr="00A36B2C">
        <w:rPr>
          <w:lang w:val="nl-NL"/>
        </w:rPr>
        <w:t>25 miljoen m</w:t>
      </w:r>
      <w:r w:rsidRPr="00736A3F">
        <w:rPr>
          <w:vertAlign w:val="superscript"/>
          <w:lang w:val="nl-NL"/>
        </w:rPr>
        <w:t>3</w:t>
      </w:r>
      <w:r w:rsidRPr="00A36B2C">
        <w:rPr>
          <w:lang w:val="nl-NL"/>
        </w:rPr>
        <w:t xml:space="preserve"> </w:t>
      </w:r>
      <w:r>
        <w:rPr>
          <w:lang w:val="nl-NL"/>
        </w:rPr>
        <w:t xml:space="preserve">zand </w:t>
      </w:r>
      <w:r w:rsidRPr="00A36B2C">
        <w:rPr>
          <w:lang w:val="nl-NL"/>
        </w:rPr>
        <w:t>per jaar</w:t>
      </w:r>
      <w:r>
        <w:rPr>
          <w:lang w:val="nl-NL"/>
        </w:rPr>
        <w:t xml:space="preserve">. Deels zijn dat ondiepe </w:t>
      </w:r>
      <w:r w:rsidRPr="00A36B2C">
        <w:rPr>
          <w:lang w:val="nl-NL"/>
        </w:rPr>
        <w:t xml:space="preserve">(&lt;2 meter) en </w:t>
      </w:r>
      <w:r>
        <w:rPr>
          <w:lang w:val="nl-NL"/>
        </w:rPr>
        <w:t xml:space="preserve">deels </w:t>
      </w:r>
      <w:r w:rsidRPr="00A36B2C">
        <w:rPr>
          <w:lang w:val="nl-NL"/>
        </w:rPr>
        <w:t>diep</w:t>
      </w:r>
      <w:r>
        <w:rPr>
          <w:lang w:val="nl-NL"/>
        </w:rPr>
        <w:t>e</w:t>
      </w:r>
      <w:r w:rsidRPr="00A36B2C">
        <w:rPr>
          <w:lang w:val="nl-NL"/>
        </w:rPr>
        <w:t xml:space="preserve"> (&gt;2 meter) </w:t>
      </w:r>
      <w:r>
        <w:rPr>
          <w:lang w:val="nl-NL"/>
        </w:rPr>
        <w:t xml:space="preserve">winningen. Ongeveer de helft van het gewonnen zand wordt gebruikt als suppletiezand voor het onderhoud van de kust, en de andere helft als </w:t>
      </w:r>
      <w:r w:rsidRPr="00A36B2C">
        <w:rPr>
          <w:lang w:val="nl-NL"/>
        </w:rPr>
        <w:t>ophoogzand</w:t>
      </w:r>
      <w:r>
        <w:rPr>
          <w:lang w:val="nl-NL"/>
        </w:rPr>
        <w:t xml:space="preserve"> voor de bouw en de infrastructuur en voor het hoogwaterveilig maken </w:t>
      </w:r>
      <w:r w:rsidRPr="000F2EE2">
        <w:rPr>
          <w:lang w:val="nl-NL"/>
        </w:rPr>
        <w:t>van laaggelegen terreinen.</w:t>
      </w:r>
      <w:r>
        <w:rPr>
          <w:lang w:val="nl-NL"/>
        </w:rPr>
        <w:t xml:space="preserve"> </w:t>
      </w:r>
    </w:p>
    <w:p w:rsidRPr="009F18F6" w:rsidR="009F18F6" w:rsidP="009F18F6" w:rsidRDefault="00D55D53" w14:paraId="4A719501" w14:textId="48E8295B">
      <w:pPr>
        <w:rPr>
          <w:lang w:val="nl-NL"/>
        </w:rPr>
      </w:pPr>
      <w:r>
        <w:rPr>
          <w:lang w:val="nl-NL"/>
        </w:rPr>
        <w:t xml:space="preserve">De winning van zand </w:t>
      </w:r>
      <w:r w:rsidR="009F18F6">
        <w:rPr>
          <w:lang w:val="nl-NL"/>
        </w:rPr>
        <w:t xml:space="preserve">kan negatieve effecten hebben op het bodemleven </w:t>
      </w:r>
      <w:r w:rsidR="00A840B5">
        <w:rPr>
          <w:lang w:val="nl-NL"/>
        </w:rPr>
        <w:t xml:space="preserve">(D1) </w:t>
      </w:r>
      <w:r w:rsidR="009F18F6">
        <w:rPr>
          <w:lang w:val="nl-NL"/>
        </w:rPr>
        <w:t xml:space="preserve">en de stabiliteit van het kustfundament. Om deze effecten tegen te gaan </w:t>
      </w:r>
      <w:r>
        <w:rPr>
          <w:lang w:val="nl-NL"/>
        </w:rPr>
        <w:t xml:space="preserve">is </w:t>
      </w:r>
      <w:r w:rsidR="009F18F6">
        <w:rPr>
          <w:lang w:val="nl-NL"/>
        </w:rPr>
        <w:t xml:space="preserve">deze activiteit </w:t>
      </w:r>
      <w:r>
        <w:rPr>
          <w:lang w:val="nl-NL"/>
        </w:rPr>
        <w:t>beperkt tot bepaalde gebieden</w:t>
      </w:r>
      <w:r w:rsidR="002D313D">
        <w:rPr>
          <w:lang w:val="nl-NL"/>
        </w:rPr>
        <w:t>.</w:t>
      </w:r>
      <w:r w:rsidRPr="002D313D" w:rsidR="002D313D">
        <w:rPr>
          <w:lang w:val="nl-NL"/>
        </w:rPr>
        <w:t xml:space="preserve"> </w:t>
      </w:r>
      <w:r w:rsidR="002D313D">
        <w:rPr>
          <w:lang w:val="nl-NL"/>
        </w:rPr>
        <w:t xml:space="preserve">Daarnaast kan zandwinning leiden tot </w:t>
      </w:r>
      <w:r w:rsidRPr="009F18F6" w:rsidR="002D313D">
        <w:rPr>
          <w:lang w:val="nl-NL"/>
        </w:rPr>
        <w:t>vertroebeling</w:t>
      </w:r>
      <w:r w:rsidR="002D313D">
        <w:rPr>
          <w:lang w:val="nl-NL"/>
        </w:rPr>
        <w:t xml:space="preserve">. </w:t>
      </w:r>
      <w:r w:rsidRPr="00A7081D" w:rsidR="00A7081D">
        <w:rPr>
          <w:lang w:val="nl-NL"/>
        </w:rPr>
        <w:t xml:space="preserve">Om dit te beperken </w:t>
      </w:r>
      <w:r w:rsidR="001E5846">
        <w:rPr>
          <w:lang w:val="nl-NL"/>
        </w:rPr>
        <w:t>kunnen</w:t>
      </w:r>
      <w:r w:rsidRPr="00A7081D" w:rsidR="00A7081D">
        <w:rPr>
          <w:lang w:val="nl-NL"/>
        </w:rPr>
        <w:t xml:space="preserve"> bepaalde soorten baggerwerktuigen worden ingezet</w:t>
      </w:r>
      <w:r w:rsidR="00A7081D">
        <w:rPr>
          <w:lang w:val="nl-NL"/>
        </w:rPr>
        <w:t>.</w:t>
      </w:r>
      <w:r w:rsidR="009F18F6">
        <w:rPr>
          <w:lang w:val="nl-NL"/>
        </w:rPr>
        <w:t xml:space="preserve"> </w:t>
      </w:r>
      <w:r>
        <w:rPr>
          <w:lang w:val="nl-NL"/>
        </w:rPr>
        <w:t xml:space="preserve"> </w:t>
      </w:r>
    </w:p>
    <w:p w:rsidRPr="006F3E66" w:rsidR="00323192" w:rsidP="00323192" w:rsidRDefault="00323192" w14:paraId="63D346E3" w14:textId="77777777">
      <w:pPr>
        <w:rPr>
          <w:lang w:val="nl-NL"/>
        </w:rPr>
      </w:pPr>
      <w:r w:rsidRPr="006F3E66">
        <w:rPr>
          <w:lang w:val="nl-NL"/>
        </w:rPr>
        <w:t xml:space="preserve">Economische cijfers over </w:t>
      </w:r>
      <w:r>
        <w:rPr>
          <w:lang w:val="nl-NL"/>
        </w:rPr>
        <w:t xml:space="preserve">zand- en grindwinning op zee </w:t>
      </w:r>
      <w:r w:rsidRPr="006F3E66">
        <w:rPr>
          <w:lang w:val="nl-NL"/>
        </w:rPr>
        <w:t>zijn relatief onzeker doordat ze slechts bij benadering kunnen worden vastgesteld</w:t>
      </w:r>
      <w:r>
        <w:rPr>
          <w:lang w:val="nl-NL"/>
        </w:rPr>
        <w:t>. Dit komt doordat ‘winning van zand en grind‘ geen aparte economische sector is binnen de classificatie van het CBS</w:t>
      </w:r>
      <w:r w:rsidRPr="006F3E66">
        <w:rPr>
          <w:lang w:val="nl-NL"/>
        </w:rPr>
        <w:t xml:space="preserve">. </w:t>
      </w:r>
      <w:r>
        <w:rPr>
          <w:lang w:val="nl-NL"/>
        </w:rPr>
        <w:t>D</w:t>
      </w:r>
      <w:r w:rsidRPr="006F3E66">
        <w:rPr>
          <w:lang w:val="nl-NL"/>
        </w:rPr>
        <w:t xml:space="preserve">e cijfers </w:t>
      </w:r>
      <w:r>
        <w:rPr>
          <w:lang w:val="nl-NL"/>
        </w:rPr>
        <w:t xml:space="preserve">laten </w:t>
      </w:r>
      <w:r w:rsidRPr="006F3E66">
        <w:rPr>
          <w:lang w:val="nl-NL"/>
        </w:rPr>
        <w:t xml:space="preserve">tussen 2010 en 2015 </w:t>
      </w:r>
      <w:r w:rsidRPr="000F2EE2">
        <w:rPr>
          <w:lang w:val="nl-NL"/>
        </w:rPr>
        <w:t>een lichte daling zien van de productie en de toegevoegde waarde</w:t>
      </w:r>
      <w:r w:rsidRPr="000F2EE2" w:rsidDel="009D00C2">
        <w:rPr>
          <w:lang w:val="nl-NL"/>
        </w:rPr>
        <w:t xml:space="preserve"> </w:t>
      </w:r>
      <w:r w:rsidRPr="000F2EE2">
        <w:rPr>
          <w:lang w:val="nl-NL"/>
        </w:rPr>
        <w:t>(zie Tabel 2.1). In 2017 stegen</w:t>
      </w:r>
      <w:r>
        <w:rPr>
          <w:lang w:val="nl-NL"/>
        </w:rPr>
        <w:t xml:space="preserve"> alle genoemde indicatoren echter weer ten opzichte van 2</w:t>
      </w:r>
      <w:r w:rsidRPr="006F3E66">
        <w:rPr>
          <w:lang w:val="nl-NL"/>
        </w:rPr>
        <w:t>015</w:t>
      </w:r>
      <w:r w:rsidR="00922A03">
        <w:rPr>
          <w:lang w:val="nl-NL"/>
        </w:rPr>
        <w:t xml:space="preserve"> </w:t>
      </w:r>
      <w:r w:rsidR="00F44925">
        <w:rPr>
          <w:lang w:val="nl-NL"/>
        </w:rPr>
        <w:t>[4]</w:t>
      </w:r>
      <w:r w:rsidRPr="006F3E66">
        <w:rPr>
          <w:lang w:val="nl-NL"/>
        </w:rPr>
        <w:t xml:space="preserve">. </w:t>
      </w:r>
    </w:p>
    <w:p w:rsidR="00323192" w:rsidP="00323192" w:rsidRDefault="00323192" w14:paraId="03748F22" w14:textId="77777777">
      <w:pPr>
        <w:rPr>
          <w:lang w:val="nl-NL"/>
        </w:rPr>
      </w:pPr>
      <w:r>
        <w:rPr>
          <w:lang w:val="nl-NL"/>
        </w:rPr>
        <w:t xml:space="preserve">De toekomstige vraag naar zeezand hangt </w:t>
      </w:r>
      <w:r w:rsidRPr="002455D6">
        <w:rPr>
          <w:lang w:val="nl-NL"/>
        </w:rPr>
        <w:t xml:space="preserve">onder andere </w:t>
      </w:r>
      <w:r>
        <w:rPr>
          <w:lang w:val="nl-NL"/>
        </w:rPr>
        <w:t xml:space="preserve">af </w:t>
      </w:r>
      <w:r w:rsidRPr="002455D6">
        <w:rPr>
          <w:lang w:val="nl-NL"/>
        </w:rPr>
        <w:t xml:space="preserve">van de </w:t>
      </w:r>
      <w:r>
        <w:rPr>
          <w:lang w:val="nl-NL"/>
        </w:rPr>
        <w:t xml:space="preserve">feitelijke </w:t>
      </w:r>
      <w:r w:rsidRPr="002455D6">
        <w:rPr>
          <w:lang w:val="nl-NL"/>
        </w:rPr>
        <w:t xml:space="preserve">zeespiegelstijging en </w:t>
      </w:r>
      <w:r>
        <w:rPr>
          <w:lang w:val="nl-NL"/>
        </w:rPr>
        <w:t xml:space="preserve">van de </w:t>
      </w:r>
      <w:r w:rsidRPr="002455D6">
        <w:rPr>
          <w:lang w:val="nl-NL"/>
        </w:rPr>
        <w:t>economische groei</w:t>
      </w:r>
      <w:r>
        <w:rPr>
          <w:lang w:val="nl-NL"/>
        </w:rPr>
        <w:t>.</w:t>
      </w:r>
      <w:r w:rsidRPr="002455D6">
        <w:rPr>
          <w:lang w:val="nl-NL"/>
        </w:rPr>
        <w:t xml:space="preserve"> </w:t>
      </w:r>
      <w:r>
        <w:rPr>
          <w:lang w:val="nl-NL"/>
        </w:rPr>
        <w:t xml:space="preserve">Stijgt de zeespiegel tussen nu en 2050 met 15 tot </w:t>
      </w:r>
      <w:r w:rsidRPr="002455D6">
        <w:rPr>
          <w:lang w:val="nl-NL"/>
        </w:rPr>
        <w:t>35 centimeter</w:t>
      </w:r>
      <w:r>
        <w:rPr>
          <w:lang w:val="nl-NL"/>
        </w:rPr>
        <w:t>, dan zal d</w:t>
      </w:r>
      <w:r w:rsidRPr="002455D6">
        <w:rPr>
          <w:lang w:val="nl-NL"/>
        </w:rPr>
        <w:t xml:space="preserve">e benodigde hoeveelheid suppletiezand </w:t>
      </w:r>
      <w:r>
        <w:rPr>
          <w:lang w:val="nl-NL"/>
        </w:rPr>
        <w:t>in die periode toenemen</w:t>
      </w:r>
      <w:r w:rsidRPr="002455D6">
        <w:rPr>
          <w:lang w:val="nl-NL"/>
        </w:rPr>
        <w:t xml:space="preserve"> van </w:t>
      </w:r>
      <w:r>
        <w:rPr>
          <w:lang w:val="nl-NL"/>
        </w:rPr>
        <w:t xml:space="preserve">de huidige </w:t>
      </w:r>
      <w:r w:rsidRPr="002455D6">
        <w:rPr>
          <w:lang w:val="nl-NL"/>
        </w:rPr>
        <w:t>12 miljoen m</w:t>
      </w:r>
      <w:r w:rsidRPr="00736A3F">
        <w:rPr>
          <w:vertAlign w:val="superscript"/>
          <w:lang w:val="nl-NL"/>
        </w:rPr>
        <w:t>3</w:t>
      </w:r>
      <w:r w:rsidRPr="002455D6">
        <w:rPr>
          <w:lang w:val="nl-NL"/>
        </w:rPr>
        <w:t xml:space="preserve"> </w:t>
      </w:r>
      <w:r>
        <w:rPr>
          <w:lang w:val="nl-NL"/>
        </w:rPr>
        <w:t>naar</w:t>
      </w:r>
      <w:r w:rsidRPr="002455D6">
        <w:rPr>
          <w:lang w:val="nl-NL"/>
        </w:rPr>
        <w:t xml:space="preserve"> </w:t>
      </w:r>
      <w:r>
        <w:rPr>
          <w:lang w:val="nl-NL"/>
        </w:rPr>
        <w:t>18 tot 48 miljoen m</w:t>
      </w:r>
      <w:r w:rsidRPr="00736A3F">
        <w:rPr>
          <w:vertAlign w:val="superscript"/>
          <w:lang w:val="nl-NL"/>
        </w:rPr>
        <w:t>3</w:t>
      </w:r>
      <w:r w:rsidRPr="002455D6">
        <w:rPr>
          <w:lang w:val="nl-NL"/>
        </w:rPr>
        <w:t xml:space="preserve">. </w:t>
      </w:r>
      <w:r>
        <w:rPr>
          <w:lang w:val="nl-NL"/>
        </w:rPr>
        <w:t xml:space="preserve">Ook </w:t>
      </w:r>
      <w:r w:rsidRPr="0048722E">
        <w:rPr>
          <w:lang w:val="nl-NL"/>
        </w:rPr>
        <w:t xml:space="preserve">zal de vraag naar suppletiezand sterk toenemen </w:t>
      </w:r>
      <w:r>
        <w:rPr>
          <w:lang w:val="nl-NL"/>
        </w:rPr>
        <w:t>als</w:t>
      </w:r>
      <w:r w:rsidR="005E40C5">
        <w:rPr>
          <w:lang w:val="nl-NL"/>
        </w:rPr>
        <w:t xml:space="preserve"> bijvoorbeeld</w:t>
      </w:r>
      <w:r>
        <w:rPr>
          <w:lang w:val="nl-NL"/>
        </w:rPr>
        <w:t xml:space="preserve"> </w:t>
      </w:r>
      <w:r w:rsidRPr="002455D6">
        <w:rPr>
          <w:lang w:val="nl-NL"/>
        </w:rPr>
        <w:t xml:space="preserve">de Rotterdamse haven </w:t>
      </w:r>
      <w:r>
        <w:rPr>
          <w:lang w:val="nl-NL"/>
        </w:rPr>
        <w:t xml:space="preserve">wordt </w:t>
      </w:r>
      <w:r w:rsidRPr="002455D6">
        <w:rPr>
          <w:lang w:val="nl-NL"/>
        </w:rPr>
        <w:t xml:space="preserve">uitgebreid </w:t>
      </w:r>
      <w:r>
        <w:rPr>
          <w:lang w:val="nl-NL"/>
        </w:rPr>
        <w:t>é</w:t>
      </w:r>
      <w:r w:rsidRPr="002455D6">
        <w:rPr>
          <w:lang w:val="nl-NL"/>
        </w:rPr>
        <w:t>n</w:t>
      </w:r>
      <w:r>
        <w:rPr>
          <w:lang w:val="nl-NL"/>
        </w:rPr>
        <w:t xml:space="preserve"> als</w:t>
      </w:r>
      <w:r w:rsidRPr="002455D6">
        <w:rPr>
          <w:lang w:val="nl-NL"/>
        </w:rPr>
        <w:t xml:space="preserve"> </w:t>
      </w:r>
      <w:r>
        <w:rPr>
          <w:lang w:val="nl-NL"/>
        </w:rPr>
        <w:t xml:space="preserve">voor de duurzame opwekking van elektriciteit en/of waterstof </w:t>
      </w:r>
      <w:r w:rsidRPr="002455D6">
        <w:rPr>
          <w:lang w:val="nl-NL"/>
        </w:rPr>
        <w:t xml:space="preserve">energie-eilanden </w:t>
      </w:r>
      <w:r>
        <w:rPr>
          <w:lang w:val="nl-NL"/>
        </w:rPr>
        <w:t xml:space="preserve">worden </w:t>
      </w:r>
      <w:r w:rsidRPr="002455D6">
        <w:rPr>
          <w:lang w:val="nl-NL"/>
        </w:rPr>
        <w:t>aangelegd</w:t>
      </w:r>
      <w:r>
        <w:rPr>
          <w:lang w:val="nl-NL"/>
        </w:rPr>
        <w:t>.</w:t>
      </w:r>
      <w:r w:rsidRPr="002455D6">
        <w:rPr>
          <w:lang w:val="nl-NL"/>
        </w:rPr>
        <w:t xml:space="preserve"> </w:t>
      </w:r>
      <w:r>
        <w:rPr>
          <w:lang w:val="nl-NL"/>
        </w:rPr>
        <w:t>D</w:t>
      </w:r>
      <w:r w:rsidRPr="0048722E">
        <w:rPr>
          <w:lang w:val="nl-NL"/>
        </w:rPr>
        <w:t xml:space="preserve">e vraag naar ophoogzand </w:t>
      </w:r>
      <w:r>
        <w:rPr>
          <w:lang w:val="nl-NL"/>
        </w:rPr>
        <w:t xml:space="preserve">blijft </w:t>
      </w:r>
      <w:r w:rsidRPr="0048722E">
        <w:rPr>
          <w:lang w:val="nl-NL"/>
        </w:rPr>
        <w:t>waarschijnlijk ongeveer gelijk aan de huidige 13 miljoen m</w:t>
      </w:r>
      <w:r w:rsidRPr="00692D7B">
        <w:rPr>
          <w:vertAlign w:val="superscript"/>
          <w:lang w:val="nl-NL"/>
        </w:rPr>
        <w:t>3</w:t>
      </w:r>
      <w:r w:rsidRPr="0048722E">
        <w:rPr>
          <w:lang w:val="nl-NL"/>
        </w:rPr>
        <w:t xml:space="preserve"> per jaar</w:t>
      </w:r>
      <w:r>
        <w:rPr>
          <w:lang w:val="nl-NL"/>
        </w:rPr>
        <w:t xml:space="preserve">, als de economie beperkt groeit en de bevolking krimpt, maar als de economie en bevolking beide groeien, dan kan de vraag naar ophoogzand </w:t>
      </w:r>
      <w:r w:rsidRPr="002455D6">
        <w:rPr>
          <w:lang w:val="nl-NL"/>
        </w:rPr>
        <w:t>toe</w:t>
      </w:r>
      <w:r>
        <w:rPr>
          <w:lang w:val="nl-NL"/>
        </w:rPr>
        <w:t>nemen</w:t>
      </w:r>
      <w:r w:rsidRPr="002455D6">
        <w:rPr>
          <w:lang w:val="nl-NL"/>
        </w:rPr>
        <w:t xml:space="preserve"> </w:t>
      </w:r>
      <w:r>
        <w:rPr>
          <w:lang w:val="nl-NL"/>
        </w:rPr>
        <w:t>tot</w:t>
      </w:r>
      <w:r w:rsidRPr="002455D6">
        <w:rPr>
          <w:lang w:val="nl-NL"/>
        </w:rPr>
        <w:t xml:space="preserve"> </w:t>
      </w:r>
      <w:r>
        <w:rPr>
          <w:lang w:val="nl-NL"/>
        </w:rPr>
        <w:t xml:space="preserve">ongeveer </w:t>
      </w:r>
      <w:r w:rsidRPr="002455D6">
        <w:rPr>
          <w:lang w:val="nl-NL"/>
        </w:rPr>
        <w:t>18 miljoen m</w:t>
      </w:r>
      <w:r w:rsidRPr="00736A3F">
        <w:rPr>
          <w:vertAlign w:val="superscript"/>
          <w:lang w:val="nl-NL"/>
        </w:rPr>
        <w:t>3</w:t>
      </w:r>
      <w:r w:rsidR="00954499">
        <w:rPr>
          <w:lang w:val="nl-NL"/>
        </w:rPr>
        <w:t xml:space="preserve"> </w:t>
      </w:r>
      <w:r w:rsidR="00F44925">
        <w:rPr>
          <w:lang w:val="nl-NL"/>
        </w:rPr>
        <w:t>[8]</w:t>
      </w:r>
      <w:r w:rsidRPr="002455D6">
        <w:rPr>
          <w:lang w:val="nl-NL"/>
        </w:rPr>
        <w:t>.</w:t>
      </w:r>
    </w:p>
    <w:p w:rsidRPr="00323192" w:rsidR="00323192" w:rsidP="00323192" w:rsidRDefault="00323192" w14:paraId="28C4E602" w14:textId="77777777">
      <w:pPr>
        <w:pStyle w:val="Heading4"/>
        <w:rPr>
          <w:lang w:val="nl-NL"/>
        </w:rPr>
      </w:pPr>
      <w:r w:rsidRPr="00323192">
        <w:rPr>
          <w:lang w:val="nl-NL"/>
        </w:rPr>
        <w:t>Havens</w:t>
      </w:r>
    </w:p>
    <w:p w:rsidRPr="006F3E66" w:rsidR="00323192" w:rsidP="00323192" w:rsidRDefault="00323192" w14:paraId="50ED29D5" w14:textId="77777777">
      <w:pPr>
        <w:rPr>
          <w:lang w:val="nl-NL"/>
        </w:rPr>
      </w:pPr>
      <w:r w:rsidRPr="00DB0C65">
        <w:rPr>
          <w:lang w:val="nl-NL"/>
        </w:rPr>
        <w:t>De haven van Ro</w:t>
      </w:r>
      <w:r>
        <w:rPr>
          <w:lang w:val="nl-NL"/>
        </w:rPr>
        <w:t>tt</w:t>
      </w:r>
      <w:r w:rsidRPr="00DB0C65">
        <w:rPr>
          <w:lang w:val="nl-NL"/>
        </w:rPr>
        <w:t>erdam is de grootste haven van Europa</w:t>
      </w:r>
      <w:r>
        <w:rPr>
          <w:lang w:val="nl-NL"/>
        </w:rPr>
        <w:t xml:space="preserve"> </w:t>
      </w:r>
      <w:r w:rsidRPr="00DB0C65">
        <w:rPr>
          <w:lang w:val="nl-NL"/>
        </w:rPr>
        <w:t xml:space="preserve">voor de </w:t>
      </w:r>
      <w:r>
        <w:rPr>
          <w:lang w:val="nl-NL"/>
        </w:rPr>
        <w:t>overslag</w:t>
      </w:r>
      <w:r w:rsidRPr="00DB0C65">
        <w:rPr>
          <w:lang w:val="nl-NL"/>
        </w:rPr>
        <w:t xml:space="preserve"> van goederen. </w:t>
      </w:r>
      <w:r>
        <w:rPr>
          <w:lang w:val="nl-NL"/>
        </w:rPr>
        <w:t xml:space="preserve">Zoals ook uit figuur 2.3 blijkt, is </w:t>
      </w:r>
      <w:r w:rsidRPr="006F3E66">
        <w:rPr>
          <w:lang w:val="nl-NL"/>
        </w:rPr>
        <w:t xml:space="preserve">de </w:t>
      </w:r>
      <w:r>
        <w:rPr>
          <w:lang w:val="nl-NL"/>
        </w:rPr>
        <w:t>toegevoegde waarde</w:t>
      </w:r>
      <w:r w:rsidRPr="006F3E66">
        <w:rPr>
          <w:lang w:val="nl-NL"/>
        </w:rPr>
        <w:t xml:space="preserve"> van de Rotterdamse haven groter dan die van alle andere Nederlandse zeehavens samen</w:t>
      </w:r>
      <w:r w:rsidR="002D313D">
        <w:rPr>
          <w:lang w:val="nl-NL"/>
        </w:rPr>
        <w:t xml:space="preserve"> </w:t>
      </w:r>
      <w:r w:rsidR="00F44925">
        <w:rPr>
          <w:lang w:val="nl-NL"/>
        </w:rPr>
        <w:t>[4]</w:t>
      </w:r>
      <w:r w:rsidRPr="006F3E66">
        <w:rPr>
          <w:lang w:val="nl-NL"/>
        </w:rPr>
        <w:t xml:space="preserve">. </w:t>
      </w:r>
    </w:p>
    <w:p w:rsidR="00323192" w:rsidP="00323192" w:rsidRDefault="00323192" w14:paraId="513F19D8" w14:textId="77777777">
      <w:pPr>
        <w:rPr>
          <w:lang w:val="nl-NL"/>
        </w:rPr>
      </w:pPr>
      <w:r w:rsidRPr="006F3E66">
        <w:rPr>
          <w:lang w:val="nl-NL"/>
        </w:rPr>
        <w:t xml:space="preserve">In het algemeen </w:t>
      </w:r>
      <w:r>
        <w:rPr>
          <w:lang w:val="nl-NL"/>
        </w:rPr>
        <w:t xml:space="preserve">zijn transport, opslag en communicatie </w:t>
      </w:r>
      <w:r w:rsidRPr="006F3E66">
        <w:rPr>
          <w:lang w:val="nl-NL"/>
        </w:rPr>
        <w:t xml:space="preserve">de </w:t>
      </w:r>
      <w:r>
        <w:rPr>
          <w:lang w:val="nl-NL"/>
        </w:rPr>
        <w:t>belangrijkste activiteiten binnen de zeehaven</w:t>
      </w:r>
      <w:r w:rsidRPr="006F3E66">
        <w:rPr>
          <w:lang w:val="nl-NL"/>
        </w:rPr>
        <w:t>sector</w:t>
      </w:r>
      <w:r>
        <w:rPr>
          <w:lang w:val="nl-NL"/>
        </w:rPr>
        <w:t xml:space="preserve">. Ze genereren </w:t>
      </w:r>
      <w:r w:rsidRPr="006F3E66">
        <w:rPr>
          <w:lang w:val="nl-NL"/>
        </w:rPr>
        <w:t>bijna de helft van de toegevoegde waarde</w:t>
      </w:r>
      <w:r>
        <w:rPr>
          <w:lang w:val="nl-NL"/>
        </w:rPr>
        <w:t xml:space="preserve"> en dragen voor een belangrijk deel bij aan d</w:t>
      </w:r>
      <w:r w:rsidRPr="006F3E66">
        <w:rPr>
          <w:lang w:val="nl-NL"/>
        </w:rPr>
        <w:t xml:space="preserve">e groei van de toegevoegde waarde van de zeehavens in de periode 2010-2017. Ook de sector </w:t>
      </w:r>
      <w:r>
        <w:rPr>
          <w:lang w:val="nl-NL"/>
        </w:rPr>
        <w:t>‘</w:t>
      </w:r>
      <w:r w:rsidR="00016862">
        <w:rPr>
          <w:lang w:val="nl-NL"/>
        </w:rPr>
        <w:t>industrie</w:t>
      </w:r>
      <w:r w:rsidR="002D313D">
        <w:rPr>
          <w:lang w:val="nl-NL"/>
        </w:rPr>
        <w:t>’</w:t>
      </w:r>
      <w:r w:rsidRPr="006F3E66">
        <w:rPr>
          <w:lang w:val="nl-NL"/>
        </w:rPr>
        <w:t xml:space="preserve"> heeft </w:t>
      </w:r>
      <w:r>
        <w:rPr>
          <w:lang w:val="nl-NL"/>
        </w:rPr>
        <w:t xml:space="preserve">met </w:t>
      </w:r>
      <w:r w:rsidRPr="006F3E66">
        <w:rPr>
          <w:lang w:val="nl-NL"/>
        </w:rPr>
        <w:t>bijna 37</w:t>
      </w:r>
      <w:r>
        <w:rPr>
          <w:lang w:val="nl-NL"/>
        </w:rPr>
        <w:t xml:space="preserve"> procent </w:t>
      </w:r>
      <w:r w:rsidRPr="006F3E66">
        <w:rPr>
          <w:lang w:val="nl-NL"/>
        </w:rPr>
        <w:t>een groot aandeel</w:t>
      </w:r>
      <w:r>
        <w:rPr>
          <w:lang w:val="nl-NL"/>
        </w:rPr>
        <w:t>, m</w:t>
      </w:r>
      <w:r w:rsidRPr="006F3E66">
        <w:rPr>
          <w:lang w:val="nl-NL"/>
        </w:rPr>
        <w:t xml:space="preserve">aar deze sector </w:t>
      </w:r>
      <w:r>
        <w:rPr>
          <w:lang w:val="nl-NL"/>
        </w:rPr>
        <w:t>groeit het minst</w:t>
      </w:r>
      <w:r w:rsidRPr="006F3E66">
        <w:rPr>
          <w:lang w:val="nl-NL"/>
        </w:rPr>
        <w:t xml:space="preserve"> (minder dan 8</w:t>
      </w:r>
      <w:r>
        <w:rPr>
          <w:lang w:val="nl-NL"/>
        </w:rPr>
        <w:t xml:space="preserve"> procent</w:t>
      </w:r>
      <w:r w:rsidRPr="006F3E66">
        <w:rPr>
          <w:lang w:val="nl-NL"/>
        </w:rPr>
        <w:t xml:space="preserve">). </w:t>
      </w:r>
      <w:r w:rsidRPr="00016862" w:rsidR="00016862">
        <w:rPr>
          <w:lang w:val="nl-NL"/>
        </w:rPr>
        <w:t xml:space="preserve">Deze sector is in termen van productiewaarde de grootste sector. </w:t>
      </w:r>
      <w:r>
        <w:rPr>
          <w:lang w:val="nl-NL"/>
        </w:rPr>
        <w:t xml:space="preserve">Achter </w:t>
      </w:r>
      <w:r w:rsidRPr="006F3E66">
        <w:rPr>
          <w:lang w:val="nl-NL"/>
        </w:rPr>
        <w:t xml:space="preserve">dit totaalbeeld </w:t>
      </w:r>
      <w:r>
        <w:rPr>
          <w:lang w:val="nl-NL"/>
        </w:rPr>
        <w:t xml:space="preserve">gaan </w:t>
      </w:r>
      <w:r w:rsidRPr="006F3E66">
        <w:rPr>
          <w:lang w:val="nl-NL"/>
        </w:rPr>
        <w:t xml:space="preserve">grote verschillen </w:t>
      </w:r>
      <w:r>
        <w:rPr>
          <w:lang w:val="nl-NL"/>
        </w:rPr>
        <w:t xml:space="preserve">schuil </w:t>
      </w:r>
      <w:r w:rsidRPr="006F3E66">
        <w:rPr>
          <w:lang w:val="nl-NL"/>
        </w:rPr>
        <w:t xml:space="preserve">in de verdeling van de </w:t>
      </w:r>
      <w:r>
        <w:rPr>
          <w:lang w:val="nl-NL"/>
        </w:rPr>
        <w:t>diverse</w:t>
      </w:r>
      <w:r w:rsidRPr="006F3E66">
        <w:rPr>
          <w:lang w:val="nl-NL"/>
        </w:rPr>
        <w:t xml:space="preserve"> sectoren over de afzonderlijke zeehavens</w:t>
      </w:r>
      <w:r>
        <w:rPr>
          <w:lang w:val="nl-NL"/>
        </w:rPr>
        <w:t xml:space="preserve">. Meer details hierover zijn beschikbaar in de rapportage van het CBS </w:t>
      </w:r>
      <w:r w:rsidR="00F44925">
        <w:rPr>
          <w:lang w:val="nl-NL"/>
        </w:rPr>
        <w:t>[4]</w:t>
      </w:r>
      <w:r w:rsidRPr="006F3E66">
        <w:rPr>
          <w:lang w:val="nl-NL"/>
        </w:rPr>
        <w:t xml:space="preserve">. </w:t>
      </w:r>
    </w:p>
    <w:p w:rsidRPr="00DD29EC" w:rsidR="00323192" w:rsidP="00323192" w:rsidRDefault="00323192" w14:paraId="5E6FEBB1" w14:textId="77777777">
      <w:pPr>
        <w:rPr>
          <w:lang w:val="nl-NL"/>
        </w:rPr>
      </w:pPr>
      <w:r>
        <w:rPr>
          <w:lang w:val="nl-NL"/>
        </w:rPr>
        <w:t xml:space="preserve">Als in de komende jaren de economische groei beperkt is, zal de </w:t>
      </w:r>
      <w:r w:rsidRPr="002455D6">
        <w:rPr>
          <w:lang w:val="nl-NL"/>
        </w:rPr>
        <w:t>mondiale betekenis van de Rotterdamse en Amsterdamse haven</w:t>
      </w:r>
      <w:r>
        <w:rPr>
          <w:lang w:val="nl-NL"/>
        </w:rPr>
        <w:t>s</w:t>
      </w:r>
      <w:r w:rsidRPr="002455D6">
        <w:rPr>
          <w:lang w:val="nl-NL"/>
        </w:rPr>
        <w:t xml:space="preserve"> </w:t>
      </w:r>
      <w:r>
        <w:rPr>
          <w:lang w:val="nl-NL"/>
        </w:rPr>
        <w:t>mogelijk afnemen. H</w:t>
      </w:r>
      <w:r w:rsidRPr="002455D6">
        <w:rPr>
          <w:lang w:val="nl-NL"/>
        </w:rPr>
        <w:t>et aantal scheepvaartbewegingen</w:t>
      </w:r>
      <w:r>
        <w:rPr>
          <w:lang w:val="nl-NL"/>
        </w:rPr>
        <w:t xml:space="preserve"> neemt dan immers maar weinig toe</w:t>
      </w:r>
      <w:r w:rsidRPr="002455D6">
        <w:rPr>
          <w:lang w:val="nl-NL"/>
        </w:rPr>
        <w:t xml:space="preserve">. </w:t>
      </w:r>
      <w:r>
        <w:rPr>
          <w:lang w:val="nl-NL"/>
        </w:rPr>
        <w:t xml:space="preserve">Een sterke economische groei daarentegen zal naar verwachting </w:t>
      </w:r>
      <w:r w:rsidRPr="002455D6">
        <w:rPr>
          <w:lang w:val="nl-NL"/>
        </w:rPr>
        <w:t>de mondiale positie</w:t>
      </w:r>
      <w:r>
        <w:rPr>
          <w:lang w:val="nl-NL"/>
        </w:rPr>
        <w:t xml:space="preserve"> van de havens juist ten goede komen. De Nederlandse zeehavens hebben dan </w:t>
      </w:r>
      <w:r w:rsidRPr="002455D6">
        <w:rPr>
          <w:lang w:val="nl-NL"/>
        </w:rPr>
        <w:t xml:space="preserve">onder andere </w:t>
      </w:r>
      <w:r>
        <w:rPr>
          <w:lang w:val="nl-NL"/>
        </w:rPr>
        <w:t xml:space="preserve">profijt van de </w:t>
      </w:r>
      <w:r w:rsidRPr="002455D6">
        <w:rPr>
          <w:lang w:val="nl-NL"/>
        </w:rPr>
        <w:t>grotere diepgang</w:t>
      </w:r>
      <w:r>
        <w:rPr>
          <w:lang w:val="nl-NL"/>
        </w:rPr>
        <w:t xml:space="preserve"> van de vaarwegen</w:t>
      </w:r>
      <w:r w:rsidRPr="002455D6">
        <w:rPr>
          <w:lang w:val="nl-NL"/>
        </w:rPr>
        <w:t xml:space="preserve">, brede </w:t>
      </w:r>
      <w:r>
        <w:rPr>
          <w:lang w:val="nl-NL"/>
        </w:rPr>
        <w:t>haven</w:t>
      </w:r>
      <w:r w:rsidRPr="002455D6">
        <w:rPr>
          <w:lang w:val="nl-NL"/>
        </w:rPr>
        <w:t>bekkens en voortgaande automatisering en robotisering</w:t>
      </w:r>
      <w:r w:rsidR="0000502E">
        <w:rPr>
          <w:lang w:val="nl-NL"/>
        </w:rPr>
        <w:t xml:space="preserve"> </w:t>
      </w:r>
      <w:r w:rsidR="00F44925">
        <w:rPr>
          <w:lang w:val="nl-NL"/>
        </w:rPr>
        <w:t>[2]</w:t>
      </w:r>
      <w:r>
        <w:rPr>
          <w:lang w:val="nl-NL"/>
        </w:rPr>
        <w:t xml:space="preserve">. </w:t>
      </w:r>
    </w:p>
    <w:p w:rsidR="00323192" w:rsidP="00323192" w:rsidRDefault="00323192" w14:paraId="7D7DF5B6" w14:textId="77777777">
      <w:pPr>
        <w:rPr>
          <w:lang w:val="nl-NL"/>
        </w:rPr>
      </w:pPr>
      <w:r>
        <w:rPr>
          <w:lang w:val="nl-NL"/>
        </w:rPr>
        <w:t>A</w:t>
      </w:r>
      <w:r w:rsidRPr="00056C80">
        <w:rPr>
          <w:lang w:val="nl-NL"/>
        </w:rPr>
        <w:t xml:space="preserve">ls de milieuambities de komende jaren </w:t>
      </w:r>
      <w:r>
        <w:rPr>
          <w:lang w:val="nl-NL"/>
        </w:rPr>
        <w:t xml:space="preserve">beduidend hoger worden </w:t>
      </w:r>
      <w:r w:rsidRPr="00056C80">
        <w:rPr>
          <w:lang w:val="nl-NL"/>
        </w:rPr>
        <w:t xml:space="preserve">en de overstap naar een koolstofarme economie echt wordt doorgezet, </w:t>
      </w:r>
      <w:r>
        <w:rPr>
          <w:lang w:val="nl-NL"/>
        </w:rPr>
        <w:t xml:space="preserve">heeft </w:t>
      </w:r>
      <w:r w:rsidRPr="00056C80">
        <w:rPr>
          <w:lang w:val="nl-NL"/>
        </w:rPr>
        <w:t xml:space="preserve">dit grote gevolgen </w:t>
      </w:r>
      <w:r>
        <w:rPr>
          <w:lang w:val="nl-NL"/>
        </w:rPr>
        <w:t>voor</w:t>
      </w:r>
      <w:r w:rsidRPr="00056C80">
        <w:rPr>
          <w:lang w:val="nl-NL"/>
        </w:rPr>
        <w:t xml:space="preserve"> de op- en overslag van fossiele brandstoffen. </w:t>
      </w:r>
      <w:r>
        <w:rPr>
          <w:lang w:val="nl-NL"/>
        </w:rPr>
        <w:t xml:space="preserve">Naar verwachting is </w:t>
      </w:r>
      <w:r w:rsidRPr="00056C80">
        <w:rPr>
          <w:lang w:val="nl-NL"/>
        </w:rPr>
        <w:t xml:space="preserve">een dergelijke overstap niet </w:t>
      </w:r>
      <w:r>
        <w:rPr>
          <w:lang w:val="nl-NL"/>
        </w:rPr>
        <w:t xml:space="preserve">mogelijk </w:t>
      </w:r>
      <w:r w:rsidRPr="00056C80">
        <w:rPr>
          <w:lang w:val="nl-NL"/>
        </w:rPr>
        <w:t>zonder koolstofopslag als tussenstap. Ook hier</w:t>
      </w:r>
      <w:r>
        <w:rPr>
          <w:lang w:val="nl-NL"/>
        </w:rPr>
        <w:t>in</w:t>
      </w:r>
      <w:r w:rsidRPr="00056C80">
        <w:rPr>
          <w:lang w:val="nl-NL"/>
        </w:rPr>
        <w:t xml:space="preserve"> </w:t>
      </w:r>
      <w:r>
        <w:rPr>
          <w:lang w:val="nl-NL"/>
        </w:rPr>
        <w:t>kunnen de</w:t>
      </w:r>
      <w:r w:rsidRPr="00056C80">
        <w:rPr>
          <w:lang w:val="nl-NL"/>
        </w:rPr>
        <w:t xml:space="preserve"> havens een belangrijke rol spelen</w:t>
      </w:r>
      <w:r w:rsidR="0000502E">
        <w:rPr>
          <w:lang w:val="nl-NL"/>
        </w:rPr>
        <w:t xml:space="preserve"> </w:t>
      </w:r>
      <w:r w:rsidR="00F44925">
        <w:rPr>
          <w:lang w:val="nl-NL"/>
        </w:rPr>
        <w:t>[2]</w:t>
      </w:r>
      <w:r w:rsidRPr="00056C80">
        <w:rPr>
          <w:lang w:val="nl-NL"/>
        </w:rPr>
        <w:t>.</w:t>
      </w:r>
      <w:r w:rsidR="00E42717">
        <w:rPr>
          <w:lang w:val="nl-NL"/>
        </w:rPr>
        <w:t xml:space="preserve"> Dit vergt wel de benodigde ruimte. </w:t>
      </w:r>
      <w:r w:rsidR="00960DF3">
        <w:rPr>
          <w:lang w:val="nl-NL"/>
        </w:rPr>
        <w:t xml:space="preserve">Daarnaast geldt dat </w:t>
      </w:r>
      <w:r w:rsidRPr="00E42717" w:rsidR="00960DF3">
        <w:rPr>
          <w:lang w:val="nl-NL"/>
        </w:rPr>
        <w:t xml:space="preserve">vanwege veiligheidseisen </w:t>
      </w:r>
      <w:r w:rsidR="00960DF3">
        <w:rPr>
          <w:lang w:val="nl-NL"/>
        </w:rPr>
        <w:t>g</w:t>
      </w:r>
      <w:r w:rsidRPr="00E42717" w:rsidR="00E42717">
        <w:rPr>
          <w:lang w:val="nl-NL"/>
        </w:rPr>
        <w:t>rootschalige</w:t>
      </w:r>
      <w:r w:rsidR="00960DF3">
        <w:rPr>
          <w:lang w:val="nl-NL"/>
        </w:rPr>
        <w:t xml:space="preserve"> opslag en overslag</w:t>
      </w:r>
      <w:r w:rsidRPr="00E42717" w:rsidR="00E42717">
        <w:rPr>
          <w:lang w:val="nl-NL"/>
        </w:rPr>
        <w:t xml:space="preserve"> van waterstof in de vorm van ammoniak of vloeibare waterstof niet op elke willekeurige </w:t>
      </w:r>
      <w:r w:rsidR="00960DF3">
        <w:rPr>
          <w:lang w:val="nl-NL"/>
        </w:rPr>
        <w:t xml:space="preserve">kan </w:t>
      </w:r>
      <w:r w:rsidRPr="00E42717" w:rsidR="00E42717">
        <w:rPr>
          <w:lang w:val="nl-NL"/>
        </w:rPr>
        <w:t>locatie worden overgeslagen.</w:t>
      </w:r>
      <w:r w:rsidR="00E42717">
        <w:rPr>
          <w:lang w:val="nl-NL"/>
        </w:rPr>
        <w:t xml:space="preserve"> </w:t>
      </w:r>
      <w:r w:rsidRPr="00E42717" w:rsidR="00E42717">
        <w:rPr>
          <w:lang w:val="nl-NL"/>
        </w:rPr>
        <w:t>Buitengaatse overslag vóór de Maasvlakte kan dan een serieuze oplossing zijn</w:t>
      </w:r>
      <w:r w:rsidRPr="00056C80">
        <w:rPr>
          <w:lang w:val="nl-NL"/>
        </w:rPr>
        <w:t>.</w:t>
      </w:r>
    </w:p>
    <w:p w:rsidRPr="00323192" w:rsidR="00323192" w:rsidP="00323192" w:rsidRDefault="00323192" w14:paraId="142830CA" w14:textId="77777777">
      <w:pPr>
        <w:pStyle w:val="Heading4"/>
        <w:rPr>
          <w:lang w:val="nl-NL"/>
        </w:rPr>
      </w:pPr>
      <w:r w:rsidRPr="00323192">
        <w:rPr>
          <w:lang w:val="nl-NL"/>
        </w:rPr>
        <w:t>Overige zee-gerelateerde activiteiten in de kustzone</w:t>
      </w:r>
    </w:p>
    <w:p w:rsidRPr="006F3E66" w:rsidR="00323192" w:rsidP="00323192" w:rsidRDefault="00323192" w14:paraId="4F29A47F" w14:textId="77777777">
      <w:pPr>
        <w:rPr>
          <w:lang w:val="nl-NL" w:eastAsia="nl-NL"/>
        </w:rPr>
      </w:pPr>
      <w:r w:rsidRPr="006F3E66">
        <w:rPr>
          <w:lang w:val="nl-NL" w:eastAsia="nl-NL"/>
        </w:rPr>
        <w:t>Om een indruk te geven van enkele zee-gerelateerde activiteiten in het Noordzeekustzone</w:t>
      </w:r>
      <w:r w:rsidRPr="00151E5F">
        <w:rPr>
          <w:lang w:val="nl-NL"/>
        </w:rPr>
        <w:t xml:space="preserve"> </w:t>
      </w:r>
      <w:r>
        <w:rPr>
          <w:lang w:val="nl-NL"/>
        </w:rPr>
        <w:t>(</w:t>
      </w:r>
      <w:r w:rsidRPr="00860A7F">
        <w:rPr>
          <w:lang w:val="nl-NL" w:eastAsia="nl-NL"/>
        </w:rPr>
        <w:t>tot 1 km vanuit de kust</w:t>
      </w:r>
      <w:r>
        <w:rPr>
          <w:lang w:val="nl-NL" w:eastAsia="nl-NL"/>
        </w:rPr>
        <w:t>),</w:t>
      </w:r>
      <w:r w:rsidRPr="006F3E66">
        <w:rPr>
          <w:lang w:val="nl-NL" w:eastAsia="nl-NL"/>
        </w:rPr>
        <w:t xml:space="preserve"> </w:t>
      </w:r>
      <w:r>
        <w:rPr>
          <w:lang w:val="nl-NL" w:eastAsia="nl-NL"/>
        </w:rPr>
        <w:t xml:space="preserve">volgt </w:t>
      </w:r>
      <w:r w:rsidRPr="006F3E66">
        <w:rPr>
          <w:lang w:val="nl-NL" w:eastAsia="nl-NL"/>
        </w:rPr>
        <w:t xml:space="preserve">hier een economische beschrijving van de sectoren </w:t>
      </w:r>
      <w:r>
        <w:rPr>
          <w:lang w:val="nl-NL" w:eastAsia="nl-NL"/>
        </w:rPr>
        <w:t>‘h</w:t>
      </w:r>
      <w:r w:rsidRPr="006F3E66">
        <w:rPr>
          <w:lang w:val="nl-NL" w:eastAsia="nl-NL"/>
        </w:rPr>
        <w:t>otels en restaurants</w:t>
      </w:r>
      <w:r>
        <w:rPr>
          <w:lang w:val="nl-NL" w:eastAsia="nl-NL"/>
        </w:rPr>
        <w:t>’</w:t>
      </w:r>
      <w:r w:rsidRPr="006F3E66">
        <w:rPr>
          <w:lang w:val="nl-NL" w:eastAsia="nl-NL"/>
        </w:rPr>
        <w:t xml:space="preserve">, </w:t>
      </w:r>
      <w:r>
        <w:rPr>
          <w:lang w:val="nl-NL" w:eastAsia="nl-NL"/>
        </w:rPr>
        <w:t>‘v</w:t>
      </w:r>
      <w:r w:rsidRPr="006F3E66">
        <w:rPr>
          <w:lang w:val="nl-NL" w:eastAsia="nl-NL"/>
        </w:rPr>
        <w:t>isserij</w:t>
      </w:r>
      <w:r w:rsidRPr="00687747">
        <w:rPr>
          <w:lang w:val="nl-NL" w:eastAsia="nl-NL"/>
        </w:rPr>
        <w:t>’</w:t>
      </w:r>
      <w:r w:rsidRPr="006F3E66">
        <w:rPr>
          <w:lang w:val="nl-NL" w:eastAsia="nl-NL"/>
        </w:rPr>
        <w:t xml:space="preserve">, </w:t>
      </w:r>
      <w:r>
        <w:rPr>
          <w:lang w:val="nl-NL" w:eastAsia="nl-NL"/>
        </w:rPr>
        <w:t>‘r</w:t>
      </w:r>
      <w:r w:rsidRPr="006F3E66">
        <w:rPr>
          <w:lang w:val="nl-NL" w:eastAsia="nl-NL"/>
        </w:rPr>
        <w:t>ecreatie, cultuur en sport</w:t>
      </w:r>
      <w:r>
        <w:rPr>
          <w:lang w:val="nl-NL" w:eastAsia="nl-NL"/>
        </w:rPr>
        <w:t>’</w:t>
      </w:r>
      <w:r w:rsidRPr="006F3E66">
        <w:rPr>
          <w:lang w:val="nl-NL" w:eastAsia="nl-NL"/>
        </w:rPr>
        <w:t xml:space="preserve"> en </w:t>
      </w:r>
      <w:r>
        <w:rPr>
          <w:lang w:val="nl-NL" w:eastAsia="nl-NL"/>
        </w:rPr>
        <w:t>‘d</w:t>
      </w:r>
      <w:r w:rsidRPr="006F3E66">
        <w:rPr>
          <w:lang w:val="nl-NL" w:eastAsia="nl-NL"/>
        </w:rPr>
        <w:t>etailhandel</w:t>
      </w:r>
      <w:r>
        <w:rPr>
          <w:lang w:val="nl-NL" w:eastAsia="nl-NL"/>
        </w:rPr>
        <w:t>’.</w:t>
      </w:r>
      <w:r>
        <w:rPr>
          <w:rStyle w:val="FootnoteReference"/>
          <w:rFonts w:eastAsia="Times New Roman" w:cs="Corbel"/>
          <w:lang w:val="nl-NL" w:eastAsia="nl-NL"/>
        </w:rPr>
        <w:footnoteReference w:id="4"/>
      </w:r>
    </w:p>
    <w:p w:rsidRPr="006F3E66" w:rsidR="003D3D0B" w:rsidP="00323192" w:rsidRDefault="003D3D0B" w14:paraId="098B9C7D" w14:textId="77777777">
      <w:pPr>
        <w:rPr>
          <w:lang w:val="nl-NL" w:eastAsia="nl-NL"/>
        </w:rPr>
      </w:pPr>
      <w:r>
        <w:rPr>
          <w:lang w:val="nl-NL" w:eastAsia="nl-NL"/>
        </w:rPr>
        <w:t>Recreatie en toerisme zijn afhankelijk van een goede kwaliteit van het mariene milieu. Omgekeerd kunnen recreatie en toerisme ook negatieve effecten hebben op het mariene milieu, zoals door het veroorzaken achterlaten van afval</w:t>
      </w:r>
      <w:r w:rsidR="00214511">
        <w:rPr>
          <w:lang w:val="nl-NL" w:eastAsia="nl-NL"/>
        </w:rPr>
        <w:t xml:space="preserve"> dat uiteindelijk in zee terecht komt</w:t>
      </w:r>
      <w:r w:rsidR="00A840B5">
        <w:rPr>
          <w:lang w:val="nl-NL" w:eastAsia="nl-NL"/>
        </w:rPr>
        <w:t xml:space="preserve"> (D1</w:t>
      </w:r>
      <w:r w:rsidR="005E40C5">
        <w:rPr>
          <w:lang w:val="nl-NL" w:eastAsia="nl-NL"/>
        </w:rPr>
        <w:t>0)</w:t>
      </w:r>
      <w:r>
        <w:rPr>
          <w:lang w:val="nl-NL" w:eastAsia="nl-NL"/>
        </w:rPr>
        <w:t xml:space="preserve">. Om dit tegen te gaan </w:t>
      </w:r>
      <w:r w:rsidR="00214511">
        <w:rPr>
          <w:lang w:val="nl-NL" w:eastAsia="nl-NL"/>
        </w:rPr>
        <w:t>worden onder meer bewustwordingscampagnes gehouden en wordt door kustgemeenten actief afval verwijderd van de stranden</w:t>
      </w:r>
      <w:r w:rsidR="0000502E">
        <w:rPr>
          <w:lang w:val="nl-NL"/>
        </w:rPr>
        <w:t xml:space="preserve"> </w:t>
      </w:r>
      <w:r w:rsidR="00F44925">
        <w:rPr>
          <w:lang w:val="nl-NL"/>
        </w:rPr>
        <w:t>[1]</w:t>
      </w:r>
      <w:r w:rsidR="00214511">
        <w:rPr>
          <w:lang w:val="nl-NL" w:eastAsia="nl-NL"/>
        </w:rPr>
        <w:t xml:space="preserve">. </w:t>
      </w:r>
    </w:p>
    <w:p w:rsidRPr="006F3E66" w:rsidR="00323192" w:rsidP="00323192" w:rsidRDefault="00323192" w14:paraId="544BD6F9" w14:textId="77777777">
      <w:pPr>
        <w:rPr>
          <w:lang w:val="nl-NL"/>
        </w:rPr>
      </w:pPr>
      <w:r>
        <w:rPr>
          <w:lang w:val="nl-NL"/>
        </w:rPr>
        <w:t>In de periode 2010-2017 is de toegevoegde waarde van ‘h</w:t>
      </w:r>
      <w:r w:rsidRPr="006F3E66">
        <w:rPr>
          <w:lang w:val="nl-NL"/>
        </w:rPr>
        <w:t>otels en restaurants</w:t>
      </w:r>
      <w:r>
        <w:rPr>
          <w:lang w:val="nl-NL"/>
        </w:rPr>
        <w:t>’</w:t>
      </w:r>
      <w:r w:rsidRPr="006F3E66">
        <w:rPr>
          <w:lang w:val="nl-NL"/>
        </w:rPr>
        <w:t xml:space="preserve"> </w:t>
      </w:r>
      <w:r>
        <w:rPr>
          <w:lang w:val="nl-NL"/>
        </w:rPr>
        <w:t>gestegen, terwijl die van de ‘v</w:t>
      </w:r>
      <w:r w:rsidRPr="006F3E66">
        <w:rPr>
          <w:lang w:val="nl-NL"/>
        </w:rPr>
        <w:t>isserij</w:t>
      </w:r>
      <w:r>
        <w:rPr>
          <w:lang w:val="nl-NL"/>
        </w:rPr>
        <w:t>’</w:t>
      </w:r>
      <w:r w:rsidRPr="006F3E66">
        <w:rPr>
          <w:lang w:val="nl-NL"/>
        </w:rPr>
        <w:t xml:space="preserve"> </w:t>
      </w:r>
      <w:r>
        <w:rPr>
          <w:lang w:val="nl-NL"/>
        </w:rPr>
        <w:t>is gedaald.</w:t>
      </w:r>
      <w:r w:rsidRPr="006F3E66">
        <w:rPr>
          <w:lang w:val="nl-NL"/>
        </w:rPr>
        <w:t xml:space="preserve"> </w:t>
      </w:r>
      <w:r>
        <w:rPr>
          <w:lang w:val="nl-NL"/>
        </w:rPr>
        <w:t>De sector</w:t>
      </w:r>
      <w:r w:rsidRPr="006F3E66">
        <w:rPr>
          <w:lang w:val="nl-NL"/>
        </w:rPr>
        <w:t xml:space="preserve"> </w:t>
      </w:r>
      <w:r>
        <w:rPr>
          <w:lang w:val="nl-NL"/>
        </w:rPr>
        <w:t>‘h</w:t>
      </w:r>
      <w:r w:rsidRPr="006F3E66">
        <w:rPr>
          <w:lang w:val="nl-NL"/>
        </w:rPr>
        <w:t>otels en restaurants</w:t>
      </w:r>
      <w:r>
        <w:rPr>
          <w:lang w:val="nl-NL"/>
        </w:rPr>
        <w:t>’</w:t>
      </w:r>
      <w:r w:rsidRPr="006F3E66">
        <w:rPr>
          <w:lang w:val="nl-NL"/>
        </w:rPr>
        <w:t xml:space="preserve"> </w:t>
      </w:r>
      <w:r>
        <w:rPr>
          <w:lang w:val="nl-NL"/>
        </w:rPr>
        <w:t xml:space="preserve">heeft </w:t>
      </w:r>
      <w:r w:rsidRPr="006F3E66">
        <w:rPr>
          <w:lang w:val="nl-NL"/>
        </w:rPr>
        <w:t xml:space="preserve">het grootste aandeel </w:t>
      </w:r>
      <w:r>
        <w:rPr>
          <w:lang w:val="nl-NL"/>
        </w:rPr>
        <w:t xml:space="preserve">in het </w:t>
      </w:r>
      <w:r w:rsidRPr="006F3E66">
        <w:rPr>
          <w:lang w:val="nl-NL"/>
        </w:rPr>
        <w:t xml:space="preserve">kustgebied </w:t>
      </w:r>
      <w:r>
        <w:rPr>
          <w:lang w:val="nl-NL"/>
        </w:rPr>
        <w:t>terwijl ‘v</w:t>
      </w:r>
      <w:r w:rsidRPr="006F3E66">
        <w:rPr>
          <w:lang w:val="nl-NL"/>
        </w:rPr>
        <w:t>isserij</w:t>
      </w:r>
      <w:r>
        <w:rPr>
          <w:lang w:val="nl-NL"/>
        </w:rPr>
        <w:t>’</w:t>
      </w:r>
      <w:r w:rsidRPr="006F3E66">
        <w:rPr>
          <w:lang w:val="nl-NL"/>
        </w:rPr>
        <w:t xml:space="preserve"> </w:t>
      </w:r>
      <w:r>
        <w:rPr>
          <w:lang w:val="nl-NL"/>
        </w:rPr>
        <w:t xml:space="preserve">daar </w:t>
      </w:r>
      <w:r w:rsidRPr="006F3E66">
        <w:rPr>
          <w:lang w:val="nl-NL"/>
        </w:rPr>
        <w:t>slechts een klein aandeel heeft</w:t>
      </w:r>
      <w:r>
        <w:rPr>
          <w:lang w:val="nl-NL"/>
        </w:rPr>
        <w:t xml:space="preserve">. De totale </w:t>
      </w:r>
      <w:r w:rsidRPr="006F3E66">
        <w:rPr>
          <w:lang w:val="nl-NL"/>
        </w:rPr>
        <w:t xml:space="preserve">toegevoegde waarde </w:t>
      </w:r>
      <w:r>
        <w:rPr>
          <w:lang w:val="nl-NL"/>
        </w:rPr>
        <w:t xml:space="preserve">die in de kustzone wordt gegenereerd is dan ook </w:t>
      </w:r>
      <w:r w:rsidRPr="006F3E66">
        <w:rPr>
          <w:lang w:val="nl-NL"/>
        </w:rPr>
        <w:t>gegroei</w:t>
      </w:r>
      <w:r>
        <w:rPr>
          <w:lang w:val="nl-NL"/>
        </w:rPr>
        <w:t>d. Figuur 2.3 laat dat zien</w:t>
      </w:r>
      <w:r w:rsidRPr="006F3E66">
        <w:rPr>
          <w:lang w:val="nl-NL"/>
        </w:rPr>
        <w:t xml:space="preserve">. </w:t>
      </w:r>
      <w:r>
        <w:rPr>
          <w:lang w:val="nl-NL"/>
        </w:rPr>
        <w:t>De a</w:t>
      </w:r>
      <w:r w:rsidRPr="006F3E66">
        <w:rPr>
          <w:lang w:val="nl-NL"/>
        </w:rPr>
        <w:t xml:space="preserve">ndere sectoren vertonen weinig verandering: de sector </w:t>
      </w:r>
      <w:r>
        <w:rPr>
          <w:lang w:val="nl-NL"/>
        </w:rPr>
        <w:t>‘r</w:t>
      </w:r>
      <w:r w:rsidRPr="006F3E66">
        <w:rPr>
          <w:lang w:val="nl-NL"/>
        </w:rPr>
        <w:t>ecreatie, cultuur en sport</w:t>
      </w:r>
      <w:r>
        <w:rPr>
          <w:lang w:val="nl-NL"/>
        </w:rPr>
        <w:t>’</w:t>
      </w:r>
      <w:r w:rsidRPr="006F3E66">
        <w:rPr>
          <w:lang w:val="nl-NL"/>
        </w:rPr>
        <w:t xml:space="preserve"> laat een kleine daling van de bruto toegevoegde waarde zien en de </w:t>
      </w:r>
      <w:r>
        <w:rPr>
          <w:lang w:val="nl-NL"/>
        </w:rPr>
        <w:t>‘d</w:t>
      </w:r>
      <w:r w:rsidRPr="006F3E66">
        <w:rPr>
          <w:lang w:val="nl-NL"/>
        </w:rPr>
        <w:t>etailhandel</w:t>
      </w:r>
      <w:r>
        <w:rPr>
          <w:lang w:val="nl-NL"/>
        </w:rPr>
        <w:t>’</w:t>
      </w:r>
      <w:r w:rsidRPr="006F3E66">
        <w:rPr>
          <w:lang w:val="nl-NL"/>
        </w:rPr>
        <w:t xml:space="preserve"> een kleine stijging</w:t>
      </w:r>
      <w:r w:rsidR="00922A03">
        <w:rPr>
          <w:lang w:val="nl-NL"/>
        </w:rPr>
        <w:t xml:space="preserve"> </w:t>
      </w:r>
      <w:r w:rsidR="00F44925">
        <w:rPr>
          <w:lang w:val="nl-NL"/>
        </w:rPr>
        <w:t>[4]</w:t>
      </w:r>
      <w:r w:rsidRPr="006F3E66">
        <w:rPr>
          <w:lang w:val="nl-NL"/>
        </w:rPr>
        <w:t>.</w:t>
      </w:r>
    </w:p>
    <w:p w:rsidR="00C46DB8" w:rsidP="00323192" w:rsidRDefault="00323192" w14:paraId="6B1EDE76" w14:textId="77777777">
      <w:pPr>
        <w:rPr>
          <w:lang w:val="nl-NL"/>
        </w:rPr>
      </w:pPr>
      <w:r>
        <w:rPr>
          <w:lang w:val="nl-NL"/>
        </w:rPr>
        <w:t xml:space="preserve">Het </w:t>
      </w:r>
      <w:r w:rsidRPr="002455D6">
        <w:rPr>
          <w:lang w:val="nl-NL"/>
        </w:rPr>
        <w:t xml:space="preserve">aantal recreatievaartuigen in Nederland </w:t>
      </w:r>
      <w:r>
        <w:rPr>
          <w:lang w:val="nl-NL"/>
        </w:rPr>
        <w:t>kan significant afnemen</w:t>
      </w:r>
      <w:r w:rsidDel="00860A7F">
        <w:rPr>
          <w:lang w:val="nl-NL"/>
        </w:rPr>
        <w:t xml:space="preserve"> </w:t>
      </w:r>
      <w:r>
        <w:rPr>
          <w:lang w:val="nl-NL"/>
        </w:rPr>
        <w:t xml:space="preserve">als de komende jaren </w:t>
      </w:r>
      <w:r w:rsidRPr="00860A7F">
        <w:rPr>
          <w:lang w:val="nl-NL"/>
        </w:rPr>
        <w:t xml:space="preserve">worden </w:t>
      </w:r>
      <w:r>
        <w:rPr>
          <w:lang w:val="nl-NL"/>
        </w:rPr>
        <w:t xml:space="preserve">gekenmerkt door </w:t>
      </w:r>
      <w:r w:rsidRPr="002455D6">
        <w:rPr>
          <w:lang w:val="nl-NL"/>
        </w:rPr>
        <w:t>lage economische groei, krimp van de bevolking, vergrijzing en verschuiving naar andere vormen van vrijetijdsbesteding en vakantie</w:t>
      </w:r>
      <w:r>
        <w:rPr>
          <w:lang w:val="nl-NL"/>
        </w:rPr>
        <w:t>s</w:t>
      </w:r>
      <w:r w:rsidRPr="002455D6">
        <w:rPr>
          <w:lang w:val="nl-NL"/>
        </w:rPr>
        <w:t xml:space="preserve">. </w:t>
      </w:r>
      <w:r>
        <w:rPr>
          <w:lang w:val="nl-NL"/>
        </w:rPr>
        <w:t xml:space="preserve">Maar een omgekeerde trend kan het geval zijn wanneer de welvaart verder stijgt, </w:t>
      </w:r>
      <w:r w:rsidRPr="002455D6">
        <w:rPr>
          <w:lang w:val="nl-NL"/>
        </w:rPr>
        <w:t xml:space="preserve">de bevolking </w:t>
      </w:r>
      <w:r>
        <w:rPr>
          <w:lang w:val="nl-NL"/>
        </w:rPr>
        <w:t xml:space="preserve">in aantal toeneemt en ook het aantal gepensioneerden </w:t>
      </w:r>
      <w:r w:rsidR="00F44925">
        <w:rPr>
          <w:lang w:val="nl-NL"/>
        </w:rPr>
        <w:t>[2]</w:t>
      </w:r>
      <w:r w:rsidRPr="002455D6">
        <w:rPr>
          <w:lang w:val="nl-NL"/>
        </w:rPr>
        <w:t>.</w:t>
      </w:r>
      <w:r>
        <w:rPr>
          <w:lang w:val="nl-NL"/>
        </w:rPr>
        <w:t xml:space="preserve"> </w:t>
      </w:r>
      <w:r w:rsidR="00006660">
        <w:rPr>
          <w:lang w:val="nl-NL"/>
        </w:rPr>
        <w:t>Mogelijk</w:t>
      </w:r>
      <w:r w:rsidR="00C46DB8">
        <w:rPr>
          <w:lang w:val="nl-NL"/>
        </w:rPr>
        <w:t xml:space="preserve"> dat</w:t>
      </w:r>
      <w:r w:rsidR="00F44E89">
        <w:rPr>
          <w:lang w:val="nl-NL"/>
        </w:rPr>
        <w:t xml:space="preserve"> </w:t>
      </w:r>
      <w:r w:rsidRPr="00F44E89" w:rsidR="00F44E89">
        <w:rPr>
          <w:lang w:val="nl-NL"/>
        </w:rPr>
        <w:t>gelet op de toenemende afmetingen van recreatievaartuigen en daarmee de geschiktheid voor het varen op zee</w:t>
      </w:r>
      <w:r w:rsidR="00C46DB8">
        <w:rPr>
          <w:lang w:val="nl-NL"/>
        </w:rPr>
        <w:t xml:space="preserve">, er </w:t>
      </w:r>
      <w:r w:rsidR="00F44E89">
        <w:rPr>
          <w:lang w:val="nl-NL"/>
        </w:rPr>
        <w:t xml:space="preserve">in de toekomst </w:t>
      </w:r>
      <w:r w:rsidR="00C46DB8">
        <w:rPr>
          <w:lang w:val="nl-NL"/>
        </w:rPr>
        <w:t xml:space="preserve">sprake zal zijn van meer scheepsbewegingen van recreatievaartuigen op zee. </w:t>
      </w:r>
    </w:p>
    <w:p w:rsidRPr="00731EB4" w:rsidR="00323192" w:rsidP="00323192" w:rsidRDefault="00323192" w14:paraId="7F68AD3A" w14:textId="77777777">
      <w:pPr>
        <w:rPr>
          <w:lang w:val="nl-NL"/>
        </w:rPr>
      </w:pPr>
      <w:r>
        <w:rPr>
          <w:lang w:val="nl-NL"/>
        </w:rPr>
        <w:t>N</w:t>
      </w:r>
      <w:r w:rsidRPr="00731EB4">
        <w:rPr>
          <w:lang w:val="nl-NL"/>
        </w:rPr>
        <w:t>u het aantal ouderen</w:t>
      </w:r>
      <w:r>
        <w:rPr>
          <w:lang w:val="nl-NL"/>
        </w:rPr>
        <w:t xml:space="preserve"> </w:t>
      </w:r>
      <w:r w:rsidRPr="00731EB4">
        <w:rPr>
          <w:lang w:val="nl-NL"/>
        </w:rPr>
        <w:t xml:space="preserve">stijgt, </w:t>
      </w:r>
      <w:r>
        <w:rPr>
          <w:lang w:val="nl-NL"/>
        </w:rPr>
        <w:t xml:space="preserve">is ook de trend waarneembaar naar meer </w:t>
      </w:r>
      <w:r w:rsidRPr="00731EB4">
        <w:rPr>
          <w:lang w:val="nl-NL"/>
        </w:rPr>
        <w:t>luxe</w:t>
      </w:r>
      <w:r>
        <w:rPr>
          <w:lang w:val="nl-NL"/>
        </w:rPr>
        <w:t xml:space="preserve"> </w:t>
      </w:r>
      <w:r w:rsidRPr="00731EB4">
        <w:rPr>
          <w:lang w:val="nl-NL"/>
        </w:rPr>
        <w:t>hotels</w:t>
      </w:r>
      <w:r>
        <w:rPr>
          <w:lang w:val="nl-NL"/>
        </w:rPr>
        <w:t xml:space="preserve">, </w:t>
      </w:r>
      <w:r w:rsidRPr="00731EB4">
        <w:rPr>
          <w:lang w:val="nl-NL"/>
        </w:rPr>
        <w:t>rest</w:t>
      </w:r>
      <w:r>
        <w:rPr>
          <w:lang w:val="nl-NL"/>
        </w:rPr>
        <w:t>aurants en wellness</w:t>
      </w:r>
      <w:r w:rsidR="008C543D">
        <w:rPr>
          <w:lang w:val="nl-NL"/>
        </w:rPr>
        <w:t>-</w:t>
      </w:r>
      <w:r>
        <w:rPr>
          <w:lang w:val="nl-NL"/>
        </w:rPr>
        <w:t>centra aan de Nederlandse kust. Vooral in Zeeland zal dat naar verwachting</w:t>
      </w:r>
      <w:r w:rsidRPr="00731EB4">
        <w:rPr>
          <w:lang w:val="nl-NL"/>
        </w:rPr>
        <w:t xml:space="preserve"> </w:t>
      </w:r>
      <w:r>
        <w:rPr>
          <w:lang w:val="nl-NL"/>
        </w:rPr>
        <w:t xml:space="preserve">bijdragen aan de </w:t>
      </w:r>
      <w:r w:rsidRPr="00731EB4">
        <w:rPr>
          <w:lang w:val="nl-NL"/>
        </w:rPr>
        <w:t>economische ontwikkeling.</w:t>
      </w:r>
      <w:r>
        <w:rPr>
          <w:lang w:val="nl-NL"/>
        </w:rPr>
        <w:t xml:space="preserve"> </w:t>
      </w:r>
      <w:r w:rsidRPr="00731EB4">
        <w:rPr>
          <w:lang w:val="nl-NL"/>
        </w:rPr>
        <w:t>Bovendien wordt een toename van duurzaam toerisme en natuurtoerisme</w:t>
      </w:r>
      <w:r>
        <w:rPr>
          <w:lang w:val="nl-NL"/>
        </w:rPr>
        <w:t xml:space="preserve"> verwacht. Burgers zijn zich immers steeds meer bewust van de waarde van een natuurlijke omgeving. </w:t>
      </w:r>
      <w:r w:rsidRPr="00731EB4">
        <w:rPr>
          <w:lang w:val="nl-NL"/>
        </w:rPr>
        <w:t>De Nederlandse kusten bieden de randvoorwaarden voor een dergelijke ontwikkeling. Het is echter onduidelijk in hoeverre dit zal bijdragen aan de Nederlandse economie</w:t>
      </w:r>
      <w:r>
        <w:rPr>
          <w:lang w:val="nl-NL"/>
        </w:rPr>
        <w:t xml:space="preserve"> </w:t>
      </w:r>
      <w:r w:rsidR="00F44925">
        <w:rPr>
          <w:lang w:val="nl-NL"/>
        </w:rPr>
        <w:t>[9]</w:t>
      </w:r>
      <w:r w:rsidRPr="00731EB4">
        <w:rPr>
          <w:lang w:val="nl-NL"/>
        </w:rPr>
        <w:t xml:space="preserve">. </w:t>
      </w:r>
    </w:p>
    <w:p w:rsidR="00323192" w:rsidP="00323192" w:rsidRDefault="00323192" w14:paraId="79A9C28F" w14:textId="77777777">
      <w:pPr>
        <w:rPr>
          <w:lang w:val="nl-NL"/>
        </w:rPr>
      </w:pPr>
      <w:r>
        <w:rPr>
          <w:noProof/>
          <w:lang w:val="en-GB" w:eastAsia="en-GB"/>
        </w:rPr>
        <w:drawing>
          <wp:inline distT="0" distB="0" distL="0" distR="0" wp14:anchorId="6A03878C" wp14:editId="24740098">
            <wp:extent cx="3045856" cy="1827260"/>
            <wp:effectExtent l="0" t="0" r="2540" b="1905"/>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8014" cy="1840553"/>
                    </a:xfrm>
                    <a:prstGeom prst="rect">
                      <a:avLst/>
                    </a:prstGeom>
                    <a:noFill/>
                  </pic:spPr>
                </pic:pic>
              </a:graphicData>
            </a:graphic>
          </wp:inline>
        </w:drawing>
      </w:r>
    </w:p>
    <w:p w:rsidRPr="000D3C9C" w:rsidR="00323192" w:rsidP="00323192" w:rsidRDefault="00323192" w14:paraId="6B212518" w14:textId="77777777">
      <w:pPr>
        <w:rPr>
          <w:lang w:val="nl-NL"/>
        </w:rPr>
      </w:pPr>
      <w:r w:rsidRPr="000D3C9C">
        <w:rPr>
          <w:lang w:val="nl-NL"/>
        </w:rPr>
        <w:t xml:space="preserve">Figuur </w:t>
      </w:r>
      <w:r>
        <w:rPr>
          <w:lang w:val="nl-NL"/>
        </w:rPr>
        <w:t>2.</w:t>
      </w:r>
      <w:r w:rsidRPr="000D3C9C">
        <w:rPr>
          <w:lang w:val="nl-NL"/>
        </w:rPr>
        <w:t xml:space="preserve">3: Ontwikkeling in toegevoegde waarde in de loop van de tijd </w:t>
      </w:r>
      <w:r>
        <w:rPr>
          <w:lang w:val="nl-NL"/>
        </w:rPr>
        <w:t>van</w:t>
      </w:r>
      <w:r w:rsidRPr="000D3C9C">
        <w:rPr>
          <w:lang w:val="nl-NL"/>
        </w:rPr>
        <w:t xml:space="preserve"> de activiteiten op het land</w:t>
      </w:r>
      <w:r>
        <w:rPr>
          <w:lang w:val="nl-NL"/>
        </w:rPr>
        <w:t xml:space="preserve"> </w:t>
      </w:r>
      <w:r w:rsidR="00F44925">
        <w:rPr>
          <w:lang w:val="nl-NL"/>
        </w:rPr>
        <w:t>[4]</w:t>
      </w:r>
    </w:p>
    <w:p w:rsidR="005A6F3D" w:rsidP="00746BC0" w:rsidRDefault="005A6F3D" w14:paraId="2A9F40D4" w14:textId="77777777">
      <w:pPr>
        <w:pStyle w:val="Heading4"/>
        <w:rPr>
          <w:lang w:val="nl-NL"/>
        </w:rPr>
      </w:pPr>
      <w:r>
        <w:rPr>
          <w:lang w:val="nl-NL"/>
        </w:rPr>
        <w:t>Indirect belang van de Noordzee voor de samenleving</w:t>
      </w:r>
      <w:r w:rsidR="00006660">
        <w:rPr>
          <w:lang w:val="nl-NL"/>
        </w:rPr>
        <w:t>: Ecosy</w:t>
      </w:r>
      <w:r>
        <w:rPr>
          <w:lang w:val="nl-NL"/>
        </w:rPr>
        <w:t>steemdiensten</w:t>
      </w:r>
    </w:p>
    <w:p w:rsidRPr="00271BE4" w:rsidR="00EB26D4" w:rsidP="00EB26D4" w:rsidRDefault="00EB26D4" w14:paraId="647DDC74" w14:textId="77777777">
      <w:pPr>
        <w:rPr>
          <w:lang w:val="nl-NL"/>
        </w:rPr>
      </w:pPr>
      <w:r w:rsidRPr="00271BE4">
        <w:rPr>
          <w:lang w:val="nl-NL"/>
        </w:rPr>
        <w:t>De ecosystemen op aarde hebben talloze functie</w:t>
      </w:r>
      <w:r>
        <w:rPr>
          <w:lang w:val="nl-NL"/>
        </w:rPr>
        <w:t xml:space="preserve">s voor de mens, van het voedsel </w:t>
      </w:r>
      <w:r w:rsidRPr="00271BE4">
        <w:rPr>
          <w:lang w:val="nl-NL"/>
        </w:rPr>
        <w:t xml:space="preserve">dat de landbouw produceert tot het zuiveren van </w:t>
      </w:r>
      <w:r>
        <w:rPr>
          <w:lang w:val="nl-NL"/>
        </w:rPr>
        <w:t xml:space="preserve">lucht en water en het reguleren </w:t>
      </w:r>
      <w:r w:rsidRPr="00271BE4">
        <w:rPr>
          <w:lang w:val="nl-NL"/>
        </w:rPr>
        <w:t>van het klimaat. Dergelijke maatschappelijke b</w:t>
      </w:r>
      <w:r>
        <w:rPr>
          <w:lang w:val="nl-NL"/>
        </w:rPr>
        <w:t xml:space="preserve">aten die mensen uit ecosystemen </w:t>
      </w:r>
      <w:r w:rsidRPr="00271BE4">
        <w:rPr>
          <w:lang w:val="nl-NL"/>
        </w:rPr>
        <w:t>halen worden ecosysteemdiensten genoemd</w:t>
      </w:r>
      <w:r w:rsidR="00F44925">
        <w:rPr>
          <w:lang w:val="nl-NL"/>
        </w:rPr>
        <w:t xml:space="preserve"> [10]</w:t>
      </w:r>
      <w:r w:rsidRPr="00271BE4">
        <w:rPr>
          <w:lang w:val="nl-NL"/>
        </w:rPr>
        <w:t>.</w:t>
      </w:r>
    </w:p>
    <w:p w:rsidRPr="00271BE4" w:rsidR="00EB26D4" w:rsidP="00EB26D4" w:rsidRDefault="00EB26D4" w14:paraId="218F51DD" w14:textId="77777777">
      <w:pPr>
        <w:rPr>
          <w:lang w:val="nl-NL"/>
        </w:rPr>
      </w:pPr>
      <w:r w:rsidRPr="00271BE4">
        <w:rPr>
          <w:lang w:val="nl-NL"/>
        </w:rPr>
        <w:t>Het gaat bij ecosysteemdiensten om de volgende diensten:</w:t>
      </w:r>
    </w:p>
    <w:p w:rsidRPr="00EB26D4" w:rsidR="00EB26D4" w:rsidP="00EB26D4" w:rsidRDefault="00EB26D4" w14:paraId="28DEB596" w14:textId="77777777">
      <w:pPr>
        <w:pStyle w:val="ListParagraph"/>
        <w:numPr>
          <w:ilvl w:val="0"/>
          <w:numId w:val="70"/>
        </w:numPr>
        <w:rPr>
          <w:lang w:val="nl-NL"/>
        </w:rPr>
      </w:pPr>
      <w:r w:rsidRPr="00EB26D4">
        <w:rPr>
          <w:lang w:val="nl-NL"/>
        </w:rPr>
        <w:t>Productiediensten: ecosystemen leveren producten, zoals voedsel, water, hout en genetische bronnen.</w:t>
      </w:r>
    </w:p>
    <w:p w:rsidRPr="00EB26D4" w:rsidR="00EB26D4" w:rsidP="00EB26D4" w:rsidRDefault="00EB26D4" w14:paraId="6CFF3159" w14:textId="77777777">
      <w:pPr>
        <w:pStyle w:val="ListParagraph"/>
        <w:numPr>
          <w:ilvl w:val="0"/>
          <w:numId w:val="70"/>
        </w:numPr>
        <w:rPr>
          <w:lang w:val="nl-NL"/>
        </w:rPr>
      </w:pPr>
      <w:r w:rsidRPr="00EB26D4">
        <w:rPr>
          <w:lang w:val="nl-NL"/>
        </w:rPr>
        <w:t>Regulerende diensten: mensen benutten het regulerende vermogen van ecosystemen, bijvoorbeeld bij biologische plaagbestrijding in de landbouw, het vastleggen van koolstof door bomen of bestuiving door insecten.</w:t>
      </w:r>
    </w:p>
    <w:p w:rsidRPr="00EB26D4" w:rsidR="00EB26D4" w:rsidP="00EB26D4" w:rsidRDefault="00EB26D4" w14:paraId="40F3C38F" w14:textId="77777777">
      <w:pPr>
        <w:pStyle w:val="ListParagraph"/>
        <w:numPr>
          <w:ilvl w:val="0"/>
          <w:numId w:val="70"/>
        </w:numPr>
        <w:rPr>
          <w:lang w:val="nl-NL"/>
        </w:rPr>
      </w:pPr>
      <w:r w:rsidRPr="00EB26D4">
        <w:rPr>
          <w:lang w:val="nl-NL"/>
        </w:rPr>
        <w:t>Culturele diensten: ecosystemen leveren niet-materiële diensten, zoals recreatie, gezondheid, historische, ethische en esthetische zaken.</w:t>
      </w:r>
    </w:p>
    <w:p w:rsidRPr="00EB26D4" w:rsidR="00EB26D4" w:rsidP="00EB26D4" w:rsidRDefault="00EB26D4" w14:paraId="5806299B" w14:textId="77777777">
      <w:pPr>
        <w:pStyle w:val="ListParagraph"/>
        <w:numPr>
          <w:ilvl w:val="0"/>
          <w:numId w:val="70"/>
        </w:numPr>
        <w:rPr>
          <w:lang w:val="nl-NL"/>
        </w:rPr>
      </w:pPr>
      <w:r w:rsidRPr="00EB26D4">
        <w:rPr>
          <w:lang w:val="nl-NL"/>
        </w:rPr>
        <w:t>Ondersteunende diensten: diensten die noodzakelijk zijn voor de andere ecosysteemdiensten, zoals bodemvorming, de nutriëntenkringloop en de primaire productie.</w:t>
      </w:r>
    </w:p>
    <w:p w:rsidR="00F13CF6" w:rsidP="00EB26D4" w:rsidRDefault="00EB26D4" w14:paraId="4FDF46C8" w14:textId="77777777">
      <w:pPr>
        <w:rPr>
          <w:lang w:val="nl-NL"/>
        </w:rPr>
      </w:pPr>
      <w:r w:rsidRPr="00271BE4">
        <w:rPr>
          <w:lang w:val="nl-NL"/>
        </w:rPr>
        <w:t>Nederlandse ecosystemen leveren al sinds jaar en dag diensten met een maatschappelijk belang. Het zijn niet alleen ecosystemen i</w:t>
      </w:r>
      <w:r>
        <w:rPr>
          <w:lang w:val="nl-NL"/>
        </w:rPr>
        <w:t xml:space="preserve">n natuurgebieden die dergelijke </w:t>
      </w:r>
      <w:r w:rsidRPr="00271BE4">
        <w:rPr>
          <w:lang w:val="nl-NL"/>
        </w:rPr>
        <w:t>diensten leveren. Ook het agrarisch gebied, rivieren, zee en de stad leveren ecosysteemdiensten.</w:t>
      </w:r>
      <w:r>
        <w:rPr>
          <w:lang w:val="nl-NL"/>
        </w:rPr>
        <w:t xml:space="preserve"> Zo is m</w:t>
      </w:r>
      <w:r w:rsidRPr="005A6F3D">
        <w:rPr>
          <w:lang w:val="nl-NL"/>
        </w:rPr>
        <w:t xml:space="preserve">eer dan de helft van de zuurstof die we inademen afkomstig van mariene organismen, </w:t>
      </w:r>
      <w:r>
        <w:rPr>
          <w:lang w:val="nl-NL"/>
        </w:rPr>
        <w:t xml:space="preserve">wordt </w:t>
      </w:r>
      <w:r w:rsidRPr="005A6F3D">
        <w:rPr>
          <w:lang w:val="nl-NL"/>
        </w:rPr>
        <w:t>een kwart van de jaarlijkse door de mens veroorzaakte CO</w:t>
      </w:r>
      <w:r w:rsidRPr="008C543D">
        <w:rPr>
          <w:vertAlign w:val="subscript"/>
          <w:lang w:val="nl-NL"/>
        </w:rPr>
        <w:t>2</w:t>
      </w:r>
      <w:r w:rsidR="008C543D">
        <w:rPr>
          <w:lang w:val="nl-NL"/>
        </w:rPr>
        <w:t>-</w:t>
      </w:r>
      <w:r w:rsidRPr="005A6F3D">
        <w:rPr>
          <w:lang w:val="nl-NL"/>
        </w:rPr>
        <w:t>uitstoot in de atmosfeer geabsorbeerd door mariene wateren</w:t>
      </w:r>
      <w:r w:rsidR="000F2EE2">
        <w:rPr>
          <w:lang w:val="nl-NL"/>
        </w:rPr>
        <w:t>.</w:t>
      </w:r>
      <w:r w:rsidRPr="005A6F3D">
        <w:rPr>
          <w:lang w:val="nl-NL"/>
        </w:rPr>
        <w:t xml:space="preserve"> Hier</w:t>
      </w:r>
      <w:r>
        <w:rPr>
          <w:lang w:val="nl-NL"/>
        </w:rPr>
        <w:t>bij</w:t>
      </w:r>
      <w:r w:rsidRPr="005A6F3D">
        <w:rPr>
          <w:lang w:val="nl-NL"/>
        </w:rPr>
        <w:t xml:space="preserve"> geldt: hoe hoger de biodiversiteit des te beter de natuur de ec</w:t>
      </w:r>
      <w:r>
        <w:rPr>
          <w:lang w:val="nl-NL"/>
        </w:rPr>
        <w:t>osysteemdiensten kan verzekeren</w:t>
      </w:r>
      <w:r w:rsidRPr="005A6F3D">
        <w:rPr>
          <w:lang w:val="nl-NL"/>
        </w:rPr>
        <w:t>.</w:t>
      </w:r>
      <w:r w:rsidR="00F13CF6">
        <w:rPr>
          <w:lang w:val="nl-NL"/>
        </w:rPr>
        <w:t xml:space="preserve"> </w:t>
      </w:r>
    </w:p>
    <w:p w:rsidR="00EB26D4" w:rsidP="00EB26D4" w:rsidRDefault="00EB26D4" w14:paraId="72A38AA4" w14:textId="77777777">
      <w:pPr>
        <w:rPr>
          <w:lang w:val="nl-NL"/>
        </w:rPr>
      </w:pPr>
      <w:r w:rsidRPr="00FD71A4">
        <w:rPr>
          <w:lang w:val="nl-NL"/>
        </w:rPr>
        <w:t xml:space="preserve">Mariene en kustecosystemen leveren </w:t>
      </w:r>
      <w:r>
        <w:rPr>
          <w:lang w:val="nl-NL"/>
        </w:rPr>
        <w:t xml:space="preserve">dus </w:t>
      </w:r>
      <w:r w:rsidRPr="00FD71A4">
        <w:rPr>
          <w:lang w:val="nl-NL"/>
        </w:rPr>
        <w:t>een scala aan ecosyst</w:t>
      </w:r>
      <w:r>
        <w:rPr>
          <w:lang w:val="nl-NL"/>
        </w:rPr>
        <w:t>eemdiensten</w:t>
      </w:r>
      <w:r w:rsidRPr="00FD71A4">
        <w:rPr>
          <w:lang w:val="nl-NL"/>
        </w:rPr>
        <w:t xml:space="preserve">, van visserij tot koolstofopslag en bescherming tegen overstromingen. </w:t>
      </w:r>
      <w:r>
        <w:rPr>
          <w:lang w:val="nl-NL"/>
        </w:rPr>
        <w:t>Echter, v</w:t>
      </w:r>
      <w:r w:rsidRPr="00FD71A4">
        <w:rPr>
          <w:lang w:val="nl-NL"/>
        </w:rPr>
        <w:t xml:space="preserve">ervuiling, overbevissing, klimaatverandering en habitatvernietiging hebben nadelige gevolgen en kunnen leiden tot aantasting van </w:t>
      </w:r>
      <w:r>
        <w:rPr>
          <w:lang w:val="nl-NL"/>
        </w:rPr>
        <w:t>het vermogen van het mariene ecosysteem</w:t>
      </w:r>
      <w:r w:rsidRPr="00FD71A4">
        <w:rPr>
          <w:lang w:val="nl-NL"/>
        </w:rPr>
        <w:t xml:space="preserve"> </w:t>
      </w:r>
      <w:r>
        <w:rPr>
          <w:lang w:val="nl-NL"/>
        </w:rPr>
        <w:t>om deze diensten te leveren, het natuurlijk kapitaal van de Noordzee</w:t>
      </w:r>
      <w:r w:rsidRPr="00FD71A4">
        <w:rPr>
          <w:lang w:val="nl-NL"/>
        </w:rPr>
        <w:t xml:space="preserve">. </w:t>
      </w:r>
    </w:p>
    <w:p w:rsidRPr="0083463B" w:rsidR="00323192" w:rsidP="00323192" w:rsidRDefault="00323192" w14:paraId="7069DD25" w14:textId="01E67651">
      <w:pPr>
        <w:rPr>
          <w:lang w:val="nl-NL"/>
        </w:rPr>
      </w:pPr>
      <w:r w:rsidRPr="003037CE">
        <w:rPr>
          <w:lang w:val="nl-NL"/>
        </w:rPr>
        <w:t>Tabel</w:t>
      </w:r>
      <w:r>
        <w:rPr>
          <w:lang w:val="nl-NL"/>
        </w:rPr>
        <w:t xml:space="preserve"> 2.1</w:t>
      </w:r>
      <w:r w:rsidRPr="003037CE">
        <w:rPr>
          <w:lang w:val="nl-NL"/>
        </w:rPr>
        <w:t>: Economisch belang van de Noordzee (2010-2017</w:t>
      </w:r>
      <w:r>
        <w:rPr>
          <w:lang w:val="nl-NL"/>
        </w:rPr>
        <w:t>; bron: CBS (2020)</w:t>
      </w:r>
      <w:r w:rsidR="00F44925">
        <w:rPr>
          <w:lang w:val="nl-NL"/>
        </w:rPr>
        <w:t xml:space="preserve"> [4]</w:t>
      </w:r>
      <w:r>
        <w:rPr>
          <w:lang w:val="nl-NL"/>
        </w:rPr>
        <w:t>; 2021 – 2050 berekend op basis van W</w:t>
      </w:r>
      <w:r w:rsidR="005F5515">
        <w:rPr>
          <w:lang w:val="nl-NL"/>
        </w:rPr>
        <w:t>e</w:t>
      </w:r>
      <w:r>
        <w:rPr>
          <w:lang w:val="nl-NL"/>
        </w:rPr>
        <w:t>cR (2019)</w:t>
      </w:r>
      <w:r w:rsidR="00F44925">
        <w:rPr>
          <w:lang w:val="nl-NL"/>
        </w:rPr>
        <w:t xml:space="preserve"> [2]</w:t>
      </w:r>
      <w:r>
        <w:rPr>
          <w:lang w:val="nl-NL"/>
        </w:rPr>
        <w:t>)</w:t>
      </w:r>
      <w:r w:rsidRPr="00C424F0">
        <w:rPr>
          <w:rStyle w:val="FootnoteReference"/>
          <w:rFonts w:eastAsia="Times New Roman" w:cs="Times New Roman"/>
          <w:color w:val="000000"/>
          <w:lang w:val="nl-NL" w:eastAsia="nl-NL"/>
        </w:rPr>
        <w:t xml:space="preserve"> </w:t>
      </w:r>
      <w:r>
        <w:rPr>
          <w:rStyle w:val="FootnoteReference"/>
          <w:rFonts w:eastAsia="Times New Roman" w:cs="Times New Roman"/>
          <w:color w:val="000000"/>
          <w:lang w:val="nl-NL" w:eastAsia="nl-NL"/>
        </w:rPr>
        <w:footnoteReference w:id="5"/>
      </w:r>
    </w:p>
    <w:tbl>
      <w:tblPr>
        <w:tblW w:w="10090" w:type="dxa"/>
        <w:tblCellMar>
          <w:left w:w="70" w:type="dxa"/>
          <w:right w:w="70" w:type="dxa"/>
        </w:tblCellMar>
        <w:tblLook w:val="04A0" w:firstRow="1" w:lastRow="0" w:firstColumn="1" w:lastColumn="0" w:noHBand="0" w:noVBand="1"/>
      </w:tblPr>
      <w:tblGrid>
        <w:gridCol w:w="1298"/>
        <w:gridCol w:w="2047"/>
        <w:gridCol w:w="1080"/>
        <w:gridCol w:w="1080"/>
        <w:gridCol w:w="1080"/>
        <w:gridCol w:w="214"/>
        <w:gridCol w:w="1099"/>
        <w:gridCol w:w="1035"/>
        <w:gridCol w:w="1157"/>
      </w:tblGrid>
      <w:tr w:rsidRPr="00D93B48" w:rsidR="00323192" w:rsidTr="000B720F" w14:paraId="1EB31DBD" w14:textId="77777777">
        <w:trPr>
          <w:trHeight w:val="284" w:hRule="exact"/>
          <w:tblHeader/>
        </w:trPr>
        <w:tc>
          <w:tcPr>
            <w:tcW w:w="1298" w:type="dxa"/>
            <w:tcBorders>
              <w:top w:val="single" w:color="auto" w:sz="4" w:space="0"/>
              <w:left w:val="single" w:color="auto" w:sz="4" w:space="0"/>
              <w:bottom w:val="single" w:color="auto" w:sz="8" w:space="0"/>
              <w:right w:val="single" w:color="auto" w:sz="8" w:space="0"/>
            </w:tcBorders>
            <w:shd w:val="clear" w:color="auto" w:fill="auto"/>
            <w:vAlign w:val="center"/>
            <w:hideMark/>
          </w:tcPr>
          <w:p w:rsidRPr="00D93B48" w:rsidR="00323192" w:rsidP="00965FC5" w:rsidRDefault="00323192" w14:paraId="13FAAA5C" w14:textId="77777777">
            <w:pPr>
              <w:spacing w:line="240" w:lineRule="atLeas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Sector</w:t>
            </w:r>
          </w:p>
        </w:tc>
        <w:tc>
          <w:tcPr>
            <w:tcW w:w="2047" w:type="dxa"/>
            <w:tcBorders>
              <w:top w:val="single" w:color="auto" w:sz="4" w:space="0"/>
              <w:left w:val="nil"/>
              <w:bottom w:val="single" w:color="auto" w:sz="8" w:space="0"/>
              <w:right w:val="single" w:color="auto" w:sz="8" w:space="0"/>
            </w:tcBorders>
            <w:shd w:val="clear" w:color="auto" w:fill="auto"/>
            <w:vAlign w:val="center"/>
            <w:hideMark/>
          </w:tcPr>
          <w:p w:rsidRPr="00D93B48" w:rsidR="00323192" w:rsidP="00965FC5" w:rsidRDefault="00323192" w14:paraId="5C08ABDE" w14:textId="77777777">
            <w:pPr>
              <w:spacing w:line="240" w:lineRule="atLeas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Indicator</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93B48" w:rsidR="00323192" w:rsidP="00965FC5" w:rsidRDefault="00323192" w14:paraId="0716A352" w14:textId="77777777">
            <w:pPr>
              <w:spacing w:line="240" w:lineRule="atLeast"/>
              <w:jc w:val="righ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2010</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93B48" w:rsidR="00323192" w:rsidP="00965FC5" w:rsidRDefault="00323192" w14:paraId="67AB38FB" w14:textId="77777777">
            <w:pPr>
              <w:spacing w:line="240" w:lineRule="atLeast"/>
              <w:jc w:val="righ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2015</w:t>
            </w:r>
          </w:p>
        </w:tc>
        <w:tc>
          <w:tcPr>
            <w:tcW w:w="1080" w:type="dxa"/>
            <w:tcBorders>
              <w:top w:val="single" w:color="auto" w:sz="4" w:space="0"/>
              <w:left w:val="nil"/>
              <w:bottom w:val="single" w:color="auto" w:sz="8" w:space="0"/>
              <w:right w:val="single" w:color="auto" w:sz="4" w:space="0"/>
            </w:tcBorders>
            <w:shd w:val="clear" w:color="auto" w:fill="auto"/>
            <w:vAlign w:val="center"/>
            <w:hideMark/>
          </w:tcPr>
          <w:p w:rsidRPr="00D93B48" w:rsidR="00323192" w:rsidP="00965FC5" w:rsidRDefault="00323192" w14:paraId="035691FB" w14:textId="77777777">
            <w:pPr>
              <w:spacing w:line="240" w:lineRule="atLeast"/>
              <w:jc w:val="righ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2017</w:t>
            </w:r>
          </w:p>
        </w:tc>
        <w:tc>
          <w:tcPr>
            <w:tcW w:w="214" w:type="dxa"/>
            <w:tcBorders>
              <w:top w:val="single" w:color="auto" w:sz="4" w:space="0"/>
              <w:left w:val="single" w:color="auto" w:sz="4" w:space="0"/>
              <w:bottom w:val="single" w:color="auto" w:sz="8" w:space="0"/>
              <w:right w:val="single" w:color="auto" w:sz="4" w:space="0"/>
            </w:tcBorders>
            <w:shd w:val="clear" w:color="auto" w:fill="000000" w:themeFill="text1"/>
          </w:tcPr>
          <w:p w:rsidRPr="00D93B48" w:rsidR="00323192" w:rsidP="00965FC5" w:rsidRDefault="00323192" w14:paraId="0861ACEC" w14:textId="77777777">
            <w:pPr>
              <w:spacing w:line="240" w:lineRule="atLeast"/>
              <w:jc w:val="right"/>
              <w:rPr>
                <w:rFonts w:eastAsia="Times New Roman" w:cs="Times New Roman"/>
                <w:b/>
                <w:color w:val="000000"/>
                <w:sz w:val="16"/>
                <w:szCs w:val="16"/>
                <w:lang w:val="nl-NL" w:eastAsia="nl-NL"/>
              </w:rPr>
            </w:pPr>
          </w:p>
        </w:tc>
        <w:tc>
          <w:tcPr>
            <w:tcW w:w="1099" w:type="dxa"/>
            <w:tcBorders>
              <w:top w:val="single" w:color="auto" w:sz="4" w:space="0"/>
              <w:left w:val="single" w:color="auto" w:sz="4" w:space="0"/>
              <w:bottom w:val="single" w:color="auto" w:sz="8" w:space="0"/>
              <w:right w:val="single" w:color="auto" w:sz="8" w:space="0"/>
            </w:tcBorders>
          </w:tcPr>
          <w:p w:rsidRPr="00D93B48" w:rsidR="00323192" w:rsidP="00965FC5" w:rsidRDefault="00323192" w14:paraId="57BAA081" w14:textId="77777777">
            <w:pPr>
              <w:spacing w:line="240" w:lineRule="atLeast"/>
              <w:jc w:val="righ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2021</w:t>
            </w:r>
          </w:p>
        </w:tc>
        <w:tc>
          <w:tcPr>
            <w:tcW w:w="1035" w:type="dxa"/>
            <w:tcBorders>
              <w:top w:val="single" w:color="auto" w:sz="4" w:space="0"/>
              <w:left w:val="nil"/>
              <w:bottom w:val="single" w:color="auto" w:sz="8" w:space="0"/>
              <w:right w:val="single" w:color="auto" w:sz="8" w:space="0"/>
            </w:tcBorders>
          </w:tcPr>
          <w:p w:rsidRPr="00D93B48" w:rsidR="00323192" w:rsidP="00965FC5" w:rsidRDefault="00323192" w14:paraId="774D86CF" w14:textId="77777777">
            <w:pPr>
              <w:spacing w:line="240" w:lineRule="atLeast"/>
              <w:jc w:val="righ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2030</w:t>
            </w:r>
          </w:p>
        </w:tc>
        <w:tc>
          <w:tcPr>
            <w:tcW w:w="1157" w:type="dxa"/>
            <w:tcBorders>
              <w:top w:val="single" w:color="auto" w:sz="4" w:space="0"/>
              <w:left w:val="nil"/>
              <w:bottom w:val="single" w:color="auto" w:sz="8" w:space="0"/>
              <w:right w:val="single" w:color="auto" w:sz="8" w:space="0"/>
            </w:tcBorders>
          </w:tcPr>
          <w:p w:rsidRPr="00D93B48" w:rsidR="00323192" w:rsidP="00965FC5" w:rsidRDefault="00323192" w14:paraId="7454EA61" w14:textId="77777777">
            <w:pPr>
              <w:spacing w:line="240" w:lineRule="atLeast"/>
              <w:jc w:val="right"/>
              <w:rPr>
                <w:rFonts w:eastAsia="Times New Roman" w:cs="Times New Roman"/>
                <w:b/>
                <w:color w:val="000000"/>
                <w:sz w:val="16"/>
                <w:szCs w:val="16"/>
                <w:lang w:val="nl-NL" w:eastAsia="nl-NL"/>
              </w:rPr>
            </w:pPr>
            <w:r w:rsidRPr="00D93B48">
              <w:rPr>
                <w:rFonts w:eastAsia="Times New Roman" w:cs="Times New Roman"/>
                <w:b/>
                <w:color w:val="000000"/>
                <w:sz w:val="16"/>
                <w:szCs w:val="16"/>
                <w:lang w:val="nl-NL" w:eastAsia="nl-NL"/>
              </w:rPr>
              <w:t>2050</w:t>
            </w:r>
          </w:p>
        </w:tc>
      </w:tr>
      <w:tr w:rsidRPr="00D93B48" w:rsidR="00323192" w:rsidTr="00965FC5" w14:paraId="2A0D2290" w14:textId="77777777">
        <w:trPr>
          <w:trHeight w:val="284" w:hRule="exact"/>
        </w:trPr>
        <w:tc>
          <w:tcPr>
            <w:tcW w:w="1298" w:type="dxa"/>
            <w:tcBorders>
              <w:top w:val="single" w:color="auto" w:sz="4" w:space="0"/>
              <w:left w:val="single" w:color="auto" w:sz="4" w:space="0"/>
              <w:bottom w:val="single" w:color="auto" w:sz="8" w:space="0"/>
              <w:right w:val="single" w:color="auto" w:sz="8" w:space="0"/>
            </w:tcBorders>
            <w:shd w:val="clear" w:color="auto" w:fill="auto"/>
            <w:vAlign w:val="center"/>
          </w:tcPr>
          <w:p w:rsidRPr="00D93B48" w:rsidR="00323192" w:rsidP="00965FC5" w:rsidRDefault="00323192" w14:paraId="4F5E2DD7" w14:textId="77777777">
            <w:pPr>
              <w:spacing w:line="240" w:lineRule="atLeast"/>
              <w:rPr>
                <w:rFonts w:eastAsia="Times New Roman" w:cs="Times New Roman"/>
                <w:b/>
                <w:color w:val="000000"/>
                <w:sz w:val="16"/>
                <w:szCs w:val="16"/>
                <w:lang w:val="nl-NL" w:eastAsia="nl-NL"/>
              </w:rPr>
            </w:pPr>
          </w:p>
        </w:tc>
        <w:tc>
          <w:tcPr>
            <w:tcW w:w="2047" w:type="dxa"/>
            <w:tcBorders>
              <w:top w:val="single" w:color="auto" w:sz="4" w:space="0"/>
              <w:left w:val="nil"/>
              <w:bottom w:val="single" w:color="auto" w:sz="8" w:space="0"/>
              <w:right w:val="single" w:color="auto" w:sz="8" w:space="0"/>
            </w:tcBorders>
            <w:shd w:val="clear" w:color="auto" w:fill="auto"/>
            <w:vAlign w:val="center"/>
          </w:tcPr>
          <w:p w:rsidRPr="00D93B48" w:rsidR="00323192" w:rsidP="00965FC5" w:rsidRDefault="00323192" w14:paraId="63B1E28A" w14:textId="77777777">
            <w:pPr>
              <w:spacing w:line="240" w:lineRule="atLeast"/>
              <w:rPr>
                <w:rFonts w:eastAsia="Times New Roman" w:cs="Times New Roman"/>
                <w:b/>
                <w:color w:val="000000"/>
                <w:sz w:val="16"/>
                <w:szCs w:val="16"/>
                <w:lang w:val="nl-NL" w:eastAsia="nl-NL"/>
              </w:rPr>
            </w:pPr>
          </w:p>
        </w:tc>
        <w:tc>
          <w:tcPr>
            <w:tcW w:w="1080" w:type="dxa"/>
            <w:tcBorders>
              <w:top w:val="single" w:color="auto" w:sz="4" w:space="0"/>
              <w:left w:val="nil"/>
              <w:bottom w:val="single" w:color="auto" w:sz="8" w:space="0"/>
              <w:right w:val="single" w:color="auto" w:sz="8" w:space="0"/>
            </w:tcBorders>
            <w:shd w:val="clear" w:color="auto" w:fill="auto"/>
            <w:vAlign w:val="center"/>
          </w:tcPr>
          <w:p w:rsidRPr="00D93B48" w:rsidR="00323192" w:rsidP="00965FC5" w:rsidRDefault="00323192" w14:paraId="173F8699" w14:textId="77777777">
            <w:pPr>
              <w:spacing w:line="240" w:lineRule="atLeast"/>
              <w:jc w:val="right"/>
              <w:rPr>
                <w:rFonts w:eastAsia="Times New Roman" w:cs="Times New Roman"/>
                <w:b/>
                <w:color w:val="000000"/>
                <w:sz w:val="16"/>
                <w:szCs w:val="16"/>
                <w:lang w:val="nl-NL" w:eastAsia="nl-NL"/>
              </w:rPr>
            </w:pPr>
          </w:p>
        </w:tc>
        <w:tc>
          <w:tcPr>
            <w:tcW w:w="1080" w:type="dxa"/>
            <w:tcBorders>
              <w:top w:val="single" w:color="auto" w:sz="4" w:space="0"/>
              <w:left w:val="nil"/>
              <w:bottom w:val="single" w:color="auto" w:sz="8" w:space="0"/>
              <w:right w:val="single" w:color="auto" w:sz="8" w:space="0"/>
            </w:tcBorders>
            <w:shd w:val="clear" w:color="auto" w:fill="auto"/>
            <w:vAlign w:val="center"/>
          </w:tcPr>
          <w:p w:rsidRPr="00D93B48" w:rsidR="00323192" w:rsidP="00965FC5" w:rsidRDefault="00323192" w14:paraId="00A65DB4" w14:textId="77777777">
            <w:pPr>
              <w:spacing w:line="240" w:lineRule="atLeast"/>
              <w:jc w:val="right"/>
              <w:rPr>
                <w:rFonts w:eastAsia="Times New Roman" w:cs="Times New Roman"/>
                <w:b/>
                <w:color w:val="000000"/>
                <w:sz w:val="16"/>
                <w:szCs w:val="16"/>
                <w:lang w:val="nl-NL" w:eastAsia="nl-NL"/>
              </w:rPr>
            </w:pPr>
          </w:p>
        </w:tc>
        <w:tc>
          <w:tcPr>
            <w:tcW w:w="1080" w:type="dxa"/>
            <w:tcBorders>
              <w:top w:val="single" w:color="auto" w:sz="8" w:space="0"/>
              <w:left w:val="nil"/>
              <w:bottom w:val="single" w:color="auto" w:sz="8" w:space="0"/>
              <w:right w:val="single" w:color="auto" w:sz="4" w:space="0"/>
            </w:tcBorders>
            <w:shd w:val="clear" w:color="auto" w:fill="auto"/>
            <w:vAlign w:val="center"/>
          </w:tcPr>
          <w:p w:rsidRPr="00D93B48" w:rsidR="00323192" w:rsidP="00965FC5" w:rsidRDefault="00323192" w14:paraId="7D9C4E38" w14:textId="77777777">
            <w:pPr>
              <w:spacing w:line="240" w:lineRule="atLeast"/>
              <w:jc w:val="right"/>
              <w:rPr>
                <w:rFonts w:eastAsia="Times New Roman" w:cs="Times New Roman"/>
                <w:b/>
                <w:color w:val="000000"/>
                <w:sz w:val="16"/>
                <w:szCs w:val="16"/>
                <w:lang w:val="nl-NL" w:eastAsia="nl-NL"/>
              </w:rPr>
            </w:pPr>
          </w:p>
        </w:tc>
        <w:tc>
          <w:tcPr>
            <w:tcW w:w="214" w:type="dxa"/>
            <w:tcBorders>
              <w:top w:val="single" w:color="auto" w:sz="4" w:space="0"/>
              <w:left w:val="single" w:color="auto" w:sz="4" w:space="0"/>
              <w:bottom w:val="single" w:color="auto" w:sz="8" w:space="0"/>
              <w:right w:val="single" w:color="auto" w:sz="4" w:space="0"/>
            </w:tcBorders>
            <w:shd w:val="clear" w:color="auto" w:fill="000000" w:themeFill="text1"/>
          </w:tcPr>
          <w:p w:rsidRPr="00D93B48" w:rsidR="00323192" w:rsidP="00965FC5" w:rsidRDefault="00323192" w14:paraId="6D9EB2F2" w14:textId="77777777">
            <w:pPr>
              <w:spacing w:line="240" w:lineRule="atLeast"/>
              <w:jc w:val="center"/>
              <w:rPr>
                <w:rFonts w:eastAsia="Times New Roman" w:cs="Times New Roman"/>
                <w:color w:val="000000"/>
                <w:sz w:val="16"/>
                <w:szCs w:val="16"/>
                <w:lang w:val="nl-NL" w:eastAsia="nl-NL"/>
              </w:rPr>
            </w:pPr>
          </w:p>
        </w:tc>
        <w:tc>
          <w:tcPr>
            <w:tcW w:w="3291" w:type="dxa"/>
            <w:gridSpan w:val="3"/>
            <w:tcBorders>
              <w:top w:val="single" w:color="auto" w:sz="4" w:space="0"/>
              <w:left w:val="single" w:color="auto" w:sz="4" w:space="0"/>
              <w:bottom w:val="single" w:color="auto" w:sz="8" w:space="0"/>
              <w:right w:val="single" w:color="auto" w:sz="8" w:space="0"/>
            </w:tcBorders>
          </w:tcPr>
          <w:p w:rsidRPr="00D93B48" w:rsidR="00323192" w:rsidP="00965FC5" w:rsidRDefault="00323192" w14:paraId="5651A444" w14:textId="77777777">
            <w:pPr>
              <w:spacing w:line="240" w:lineRule="atLeast"/>
              <w:jc w:val="center"/>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t.o.v. 2017</w:t>
            </w:r>
          </w:p>
        </w:tc>
      </w:tr>
      <w:tr w:rsidRPr="00D93B48" w:rsidR="00323192" w:rsidTr="00965FC5" w14:paraId="64175EDA"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D93B48" w:rsidR="00323192" w:rsidP="00965FC5" w:rsidRDefault="00323192" w14:paraId="53DCDB62"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val="nl-NL" w:eastAsia="nl-NL"/>
              </w:rPr>
              <w:t>Scheepvaart</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12FB0FA"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val="nl-NL" w:eastAsia="nl-NL"/>
              </w:rPr>
              <w:t>Werkgel</w:t>
            </w:r>
            <w:r w:rsidRPr="00D93B48">
              <w:rPr>
                <w:rFonts w:eastAsia="Times New Roman" w:cs="Arial"/>
                <w:color w:val="000000"/>
                <w:sz w:val="16"/>
                <w:szCs w:val="16"/>
                <w:lang w:eastAsia="nl-NL"/>
              </w:rPr>
              <w:t>egenheid</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DBBFEF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9,1</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0BDF93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9,5</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10124B6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9,2</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1DC7F3A7"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40DE23E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042BF36C"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7-13</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6CC83E6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20-33</w:t>
            </w:r>
          </w:p>
        </w:tc>
      </w:tr>
      <w:tr w:rsidRPr="00D93B48" w:rsidR="00323192" w:rsidTr="00965FC5" w14:paraId="6DC9CCA4"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097DD172"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BCD1D48"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3954859"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5035</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6215B5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6601</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60834CA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6059</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328BFC1B"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4A75415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3-5</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217549D8"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10-16</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0D118D78"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21-40</w:t>
            </w:r>
          </w:p>
        </w:tc>
      </w:tr>
      <w:tr w:rsidRPr="00D93B48" w:rsidR="00323192" w:rsidTr="00965FC5" w14:paraId="677E6B83"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06350A82"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4BEA2A0D"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13643DF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1281</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81B266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1907</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0554D82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1687</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41140288"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5B4112FC"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0-5</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00CBF9E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10</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0A4FCB4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15-35</w:t>
            </w:r>
          </w:p>
        </w:tc>
      </w:tr>
      <w:tr w:rsidRPr="00D93B48" w:rsidR="00323192" w:rsidTr="00965FC5" w14:paraId="283857E2"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D93B48" w:rsidR="00323192" w:rsidP="00965FC5" w:rsidRDefault="00323192" w14:paraId="6F62E320"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Visserij</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355109C"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1B48557"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0,7</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BC7E7E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0,8</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1EC6AF42"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0,7</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7F3A2C2A"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40F71EB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733CB12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4BF6607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-60</w:t>
            </w:r>
          </w:p>
        </w:tc>
      </w:tr>
      <w:tr w:rsidRPr="00D93B48" w:rsidR="00323192" w:rsidTr="00965FC5" w14:paraId="694EAFAA"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26CD1515"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F2A9E8E"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1B996E87"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142</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9F0D3DC"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153</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6DCFB55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132</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6887CD19"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7677DA3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-7 -13</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193CD27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-20 -27</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032E95D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-60 -73</w:t>
            </w:r>
          </w:p>
        </w:tc>
      </w:tr>
      <w:tr w:rsidRPr="00D93B48" w:rsidR="00323192" w:rsidTr="00965FC5" w14:paraId="64B38A7D"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36311C5E"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C270460"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08D257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78</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ED338C0"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89</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5DE25458"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95</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07F2B155"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5DCB730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-10</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5A0D89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-20 -30</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1B692108"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-60 -80</w:t>
            </w:r>
          </w:p>
        </w:tc>
      </w:tr>
      <w:tr w:rsidRPr="00D93B48" w:rsidR="00323192" w:rsidTr="00965FC5" w14:paraId="4EFE48E2"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D93B48" w:rsidR="00323192" w:rsidP="00965FC5" w:rsidRDefault="00323192" w14:paraId="4286E0AA"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Olie- en gaswinning</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401229FC"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9DC2827"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448FE682"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7E66E98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2,9</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3628C0D5"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0A1897F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-8</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47CD606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-24</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175AAC1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-100</w:t>
            </w:r>
          </w:p>
        </w:tc>
      </w:tr>
      <w:tr w:rsidRPr="00D93B48" w:rsidR="00323192" w:rsidTr="00965FC5" w14:paraId="61492084"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7194DD5C"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738902F"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57EE96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5597</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3C2DDC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5013</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40B1566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3144</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070A6BF3"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3050BB8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-8</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29736A18"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-24</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1A4B710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-100</w:t>
            </w:r>
          </w:p>
        </w:tc>
      </w:tr>
      <w:tr w:rsidRPr="00D93B48" w:rsidR="00323192" w:rsidTr="00965FC5" w14:paraId="1CCD0B14"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4A9C2851"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42044082"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D9D640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4686</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59C40C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3405</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72073B8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2071</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133BDEC0"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72C7EB2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-8</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12E14C9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-24</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0DE5939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-100</w:t>
            </w:r>
          </w:p>
        </w:tc>
      </w:tr>
      <w:tr w:rsidRPr="00D93B48" w:rsidR="00323192" w:rsidTr="00965FC5" w14:paraId="16D3FDED"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D93B48" w:rsidR="00323192" w:rsidP="00965FC5" w:rsidRDefault="00323192" w14:paraId="216EB925"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Windenergie</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B56462A"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7D3901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0,04</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CF81790"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0,06</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26C7CF00"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0,14</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66BAEB18"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054E7667" w14:textId="020A7BEA">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200</w:t>
            </w:r>
            <w:r>
              <w:rPr>
                <w:rFonts w:eastAsia="Times New Roman" w:cs="Times New Roman"/>
                <w:color w:val="000000"/>
                <w:sz w:val="16"/>
                <w:szCs w:val="16"/>
                <w:lang w:val="nl-NL" w:eastAsia="nl-NL"/>
              </w:rPr>
              <w:t xml:space="preserve">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400</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7098804" w14:textId="12312E58">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400</w:t>
            </w:r>
            <w:r w:rsidR="005F5515">
              <w:rPr>
                <w:rFonts w:eastAsia="Times New Roman" w:cs="Times New Roman"/>
                <w:color w:val="000000"/>
                <w:sz w:val="16"/>
                <w:szCs w:val="16"/>
                <w:lang w:val="nl-NL" w:eastAsia="nl-NL"/>
              </w:rPr>
              <w:t>–</w:t>
            </w:r>
            <w:r w:rsidR="00363D26">
              <w:rPr>
                <w:rFonts w:eastAsia="Times New Roman" w:cs="Times New Roman"/>
                <w:color w:val="000000"/>
                <w:sz w:val="16"/>
                <w:szCs w:val="16"/>
                <w:lang w:val="nl-NL" w:eastAsia="nl-NL"/>
              </w:rPr>
              <w:t>1400</w:t>
            </w:r>
            <w:r w:rsidRPr="00D93B48">
              <w:rPr>
                <w:rFonts w:eastAsia="Times New Roman" w:cs="Times New Roman"/>
                <w:color w:val="000000"/>
                <w:sz w:val="16"/>
                <w:szCs w:val="16"/>
                <w:lang w:val="nl-NL" w:eastAsia="nl-NL"/>
              </w:rPr>
              <w:t xml:space="preserve"> 1400</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6B89EA58" w14:textId="4F567B6A">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1100–</w:t>
            </w:r>
            <w:r w:rsidR="00363D26">
              <w:rPr>
                <w:rFonts w:eastAsia="Times New Roman" w:cs="Times New Roman"/>
                <w:color w:val="000000"/>
                <w:sz w:val="16"/>
                <w:szCs w:val="16"/>
                <w:lang w:val="nl-NL" w:eastAsia="nl-NL"/>
              </w:rPr>
              <w:t>5</w:t>
            </w:r>
            <w:r w:rsidRPr="00D93B48">
              <w:rPr>
                <w:rFonts w:eastAsia="Times New Roman" w:cs="Times New Roman"/>
                <w:color w:val="000000"/>
                <w:sz w:val="16"/>
                <w:szCs w:val="16"/>
                <w:lang w:val="nl-NL" w:eastAsia="nl-NL"/>
              </w:rPr>
              <w:t>900</w:t>
            </w:r>
          </w:p>
        </w:tc>
      </w:tr>
      <w:tr w:rsidRPr="00D93B48" w:rsidR="00323192" w:rsidTr="00965FC5" w14:paraId="37A6F488"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5E6F3528"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EAA79CB"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1E2265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90</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1E5755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116</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731EAD20"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356</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5EF88C2E"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06A81AFC" w14:textId="2E8FAE3D">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159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288</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3CCA47AD" w14:textId="591C34AC">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197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884</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2E21E252"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531 – 3063</w:t>
            </w:r>
          </w:p>
        </w:tc>
      </w:tr>
      <w:tr w:rsidRPr="00D93B48" w:rsidR="00323192" w:rsidTr="00965FC5" w14:paraId="56D7E865"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57A1F5CE"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45808ED"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B55678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35</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E9C15F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46</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0462209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149</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0082A028"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4274C5ED" w14:textId="2A1D9482">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106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213</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43FE761" w14:textId="4BD719E4">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31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338</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5288AAFE" w14:textId="1609116E">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-13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350</w:t>
            </w:r>
          </w:p>
        </w:tc>
      </w:tr>
      <w:tr w:rsidRPr="00D93B48" w:rsidR="00323192" w:rsidTr="00965FC5" w14:paraId="6B2B0AC3"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D93B48" w:rsidR="00323192" w:rsidP="00965FC5" w:rsidRDefault="00323192" w14:paraId="4360D5B3"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Zandwinning</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7374B5A"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auto" w:fill="auto"/>
            <w:noWrap/>
            <w:vAlign w:val="center"/>
            <w:hideMark/>
          </w:tcPr>
          <w:p w:rsidRPr="00D93B48" w:rsidR="00323192" w:rsidP="00965FC5" w:rsidRDefault="00323192" w14:paraId="39E7CCD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0,3</w:t>
            </w:r>
          </w:p>
        </w:tc>
        <w:tc>
          <w:tcPr>
            <w:tcW w:w="1080" w:type="dxa"/>
            <w:tcBorders>
              <w:top w:val="nil"/>
              <w:left w:val="nil"/>
              <w:bottom w:val="single" w:color="auto" w:sz="8" w:space="0"/>
              <w:right w:val="single" w:color="auto" w:sz="8" w:space="0"/>
            </w:tcBorders>
            <w:shd w:val="clear" w:color="auto" w:fill="auto"/>
            <w:noWrap/>
            <w:vAlign w:val="center"/>
            <w:hideMark/>
          </w:tcPr>
          <w:p w:rsidRPr="00D93B48" w:rsidR="00323192" w:rsidP="00965FC5" w:rsidRDefault="00323192" w14:paraId="0086AE2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0,3</w:t>
            </w:r>
          </w:p>
        </w:tc>
        <w:tc>
          <w:tcPr>
            <w:tcW w:w="1080" w:type="dxa"/>
            <w:tcBorders>
              <w:top w:val="single" w:color="auto" w:sz="8" w:space="0"/>
              <w:left w:val="nil"/>
              <w:bottom w:val="single" w:color="auto" w:sz="8" w:space="0"/>
              <w:right w:val="single" w:color="auto" w:sz="4" w:space="0"/>
            </w:tcBorders>
            <w:shd w:val="clear" w:color="auto" w:fill="auto"/>
            <w:noWrap/>
            <w:vAlign w:val="center"/>
            <w:hideMark/>
          </w:tcPr>
          <w:p w:rsidRPr="00D93B48" w:rsidR="00323192" w:rsidP="00965FC5" w:rsidRDefault="00323192" w14:paraId="3FDA675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0,4</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063E9732"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7F650011" w14:textId="74EE5504">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0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33</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886D1D3" w14:textId="76407329">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33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67</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7CFB0ECC" w14:textId="218EDDB6">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67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167</w:t>
            </w:r>
          </w:p>
        </w:tc>
      </w:tr>
      <w:tr w:rsidRPr="00D93B48" w:rsidR="00323192" w:rsidTr="00965FC5" w14:paraId="59F66B55"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01BBF58C"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9473381"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noWrap/>
            <w:vAlign w:val="center"/>
            <w:hideMark/>
          </w:tcPr>
          <w:p w:rsidRPr="00D93B48" w:rsidR="00323192" w:rsidP="00965FC5" w:rsidRDefault="00323192" w14:paraId="3DE97FB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145,6</w:t>
            </w:r>
          </w:p>
        </w:tc>
        <w:tc>
          <w:tcPr>
            <w:tcW w:w="1080" w:type="dxa"/>
            <w:tcBorders>
              <w:top w:val="nil"/>
              <w:left w:val="nil"/>
              <w:bottom w:val="single" w:color="auto" w:sz="8" w:space="0"/>
              <w:right w:val="single" w:color="auto" w:sz="8" w:space="0"/>
            </w:tcBorders>
            <w:shd w:val="clear" w:color="auto" w:fill="auto"/>
            <w:noWrap/>
            <w:vAlign w:val="center"/>
            <w:hideMark/>
          </w:tcPr>
          <w:p w:rsidRPr="00D93B48" w:rsidR="00323192" w:rsidP="00965FC5" w:rsidRDefault="00323192" w14:paraId="62A47C8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135,9</w:t>
            </w:r>
          </w:p>
        </w:tc>
        <w:tc>
          <w:tcPr>
            <w:tcW w:w="1080" w:type="dxa"/>
            <w:tcBorders>
              <w:top w:val="single" w:color="auto" w:sz="8" w:space="0"/>
              <w:left w:val="nil"/>
              <w:bottom w:val="single" w:color="auto" w:sz="8" w:space="0"/>
              <w:right w:val="single" w:color="auto" w:sz="4" w:space="0"/>
            </w:tcBorders>
            <w:shd w:val="clear" w:color="auto" w:fill="auto"/>
            <w:noWrap/>
            <w:vAlign w:val="center"/>
            <w:hideMark/>
          </w:tcPr>
          <w:p w:rsidRPr="00D93B48" w:rsidR="00323192" w:rsidP="00965FC5" w:rsidRDefault="00323192" w14:paraId="3E5DD5E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208,3</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1BF1AE86"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40221A23" w14:textId="00DC65AA">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0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16</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BB7EEB8" w14:textId="2234D65E">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11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53</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327D93A5" w14:textId="6010A30C">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32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142</w:t>
            </w:r>
          </w:p>
        </w:tc>
      </w:tr>
      <w:tr w:rsidRPr="00D93B48" w:rsidR="00323192" w:rsidTr="00965FC5" w14:paraId="130EAF55"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0C93C3C4"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5FDA374"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noWrap/>
            <w:vAlign w:val="center"/>
            <w:hideMark/>
          </w:tcPr>
          <w:p w:rsidRPr="00D93B48" w:rsidR="00323192" w:rsidP="00965FC5" w:rsidRDefault="00323192" w14:paraId="64BF6A4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63,8</w:t>
            </w:r>
          </w:p>
        </w:tc>
        <w:tc>
          <w:tcPr>
            <w:tcW w:w="1080" w:type="dxa"/>
            <w:tcBorders>
              <w:top w:val="nil"/>
              <w:left w:val="nil"/>
              <w:bottom w:val="single" w:color="auto" w:sz="8" w:space="0"/>
              <w:right w:val="single" w:color="auto" w:sz="8" w:space="0"/>
            </w:tcBorders>
            <w:shd w:val="clear" w:color="auto" w:fill="auto"/>
            <w:noWrap/>
            <w:vAlign w:val="center"/>
            <w:hideMark/>
          </w:tcPr>
          <w:p w:rsidRPr="00D93B48" w:rsidR="00323192" w:rsidP="00965FC5" w:rsidRDefault="00323192" w14:paraId="370DAB2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48,5</w:t>
            </w:r>
          </w:p>
        </w:tc>
        <w:tc>
          <w:tcPr>
            <w:tcW w:w="1080" w:type="dxa"/>
            <w:tcBorders>
              <w:top w:val="single" w:color="auto" w:sz="8" w:space="0"/>
              <w:left w:val="nil"/>
              <w:bottom w:val="single" w:color="auto" w:sz="8" w:space="0"/>
              <w:right w:val="single" w:color="auto" w:sz="4" w:space="0"/>
            </w:tcBorders>
            <w:shd w:val="clear" w:color="auto" w:fill="auto"/>
            <w:noWrap/>
            <w:vAlign w:val="center"/>
            <w:hideMark/>
          </w:tcPr>
          <w:p w:rsidRPr="00D93B48" w:rsidR="00323192" w:rsidP="00965FC5" w:rsidRDefault="00323192" w14:paraId="3F32081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79,1</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6D16B037"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3000DEA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0</w:t>
            </w: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9377A29" w14:textId="794BF2F6">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0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40</w:t>
            </w: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7895F6FF" w14:textId="71B4C99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 xml:space="preserve">20 </w:t>
            </w:r>
            <w:r w:rsidR="005F5515">
              <w:rPr>
                <w:rFonts w:eastAsia="Times New Roman" w:cs="Times New Roman"/>
                <w:color w:val="000000"/>
                <w:sz w:val="16"/>
                <w:szCs w:val="16"/>
                <w:lang w:val="nl-NL" w:eastAsia="nl-NL"/>
              </w:rPr>
              <w:t>–</w:t>
            </w:r>
            <w:r w:rsidRPr="00D93B48">
              <w:rPr>
                <w:rFonts w:eastAsia="Times New Roman" w:cs="Times New Roman"/>
                <w:color w:val="000000"/>
                <w:sz w:val="16"/>
                <w:szCs w:val="16"/>
                <w:lang w:val="nl-NL" w:eastAsia="nl-NL"/>
              </w:rPr>
              <w:t xml:space="preserve"> 120</w:t>
            </w:r>
          </w:p>
        </w:tc>
      </w:tr>
      <w:tr w:rsidRPr="00D93B48" w:rsidR="00323192" w:rsidTr="00965FC5" w14:paraId="26452ED8"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D93B48" w:rsidR="00323192" w:rsidP="00965FC5" w:rsidRDefault="00323192" w14:paraId="2446252B"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Totaal op zee</w:t>
            </w:r>
          </w:p>
        </w:tc>
        <w:tc>
          <w:tcPr>
            <w:tcW w:w="2047" w:type="dxa"/>
            <w:tcBorders>
              <w:top w:val="nil"/>
              <w:left w:val="nil"/>
              <w:bottom w:val="single" w:color="auto" w:sz="8" w:space="0"/>
              <w:right w:val="single" w:color="auto" w:sz="8" w:space="0"/>
            </w:tcBorders>
            <w:shd w:val="clear" w:color="000000" w:fill="BFBFBF"/>
            <w:vAlign w:val="center"/>
            <w:hideMark/>
          </w:tcPr>
          <w:p w:rsidRPr="00D93B48" w:rsidR="00323192" w:rsidP="00965FC5" w:rsidRDefault="00323192" w14:paraId="310E8F05"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0480DD0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13,14</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005EDF9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14,66</w:t>
            </w:r>
          </w:p>
        </w:tc>
        <w:tc>
          <w:tcPr>
            <w:tcW w:w="1080" w:type="dxa"/>
            <w:tcBorders>
              <w:top w:val="single" w:color="auto" w:sz="8" w:space="0"/>
              <w:left w:val="nil"/>
              <w:bottom w:val="single" w:color="auto" w:sz="8" w:space="0"/>
              <w:right w:val="single" w:color="auto" w:sz="4" w:space="0"/>
            </w:tcBorders>
            <w:shd w:val="clear" w:color="000000" w:fill="BFBFBF"/>
            <w:noWrap/>
            <w:vAlign w:val="center"/>
            <w:hideMark/>
          </w:tcPr>
          <w:p w:rsidRPr="00D93B48" w:rsidR="00323192" w:rsidP="00965FC5" w:rsidRDefault="00323192" w14:paraId="74461ED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13,34</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6737E9CD"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shd w:val="clear" w:color="000000" w:fill="BFBFBF"/>
            <w:vAlign w:val="center"/>
          </w:tcPr>
          <w:p w:rsidRPr="00D93B48" w:rsidR="00323192" w:rsidP="00965FC5" w:rsidRDefault="00323192" w14:paraId="74C2ACF4"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015B7831"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620B0DF6"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6CE015EE"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5F938C1C"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000000" w:fill="BFBFBF"/>
            <w:vAlign w:val="center"/>
            <w:hideMark/>
          </w:tcPr>
          <w:p w:rsidRPr="00D93B48" w:rsidR="00323192" w:rsidP="00965FC5" w:rsidRDefault="00323192" w14:paraId="2E214928"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3FCF38E0"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11009,6</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542B76FC"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12018,9</w:t>
            </w:r>
          </w:p>
        </w:tc>
        <w:tc>
          <w:tcPr>
            <w:tcW w:w="1080" w:type="dxa"/>
            <w:tcBorders>
              <w:top w:val="single" w:color="auto" w:sz="8" w:space="0"/>
              <w:left w:val="nil"/>
              <w:bottom w:val="single" w:color="auto" w:sz="8" w:space="0"/>
              <w:right w:val="single" w:color="auto" w:sz="4" w:space="0"/>
            </w:tcBorders>
            <w:shd w:val="clear" w:color="000000" w:fill="BFBFBF"/>
            <w:noWrap/>
            <w:vAlign w:val="center"/>
            <w:hideMark/>
          </w:tcPr>
          <w:p w:rsidRPr="00D93B48" w:rsidR="00323192" w:rsidP="00965FC5" w:rsidRDefault="00323192" w14:paraId="551BF2D9"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9899,3</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7E5AC24C"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shd w:val="clear" w:color="000000" w:fill="BFBFBF"/>
            <w:vAlign w:val="center"/>
          </w:tcPr>
          <w:p w:rsidRPr="00D93B48" w:rsidR="00323192" w:rsidP="00965FC5" w:rsidRDefault="00323192" w14:paraId="766E892D"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58B0EB01"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403E4008"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6870720A"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40608604"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000000" w:fill="BFBFBF"/>
            <w:vAlign w:val="center"/>
            <w:hideMark/>
          </w:tcPr>
          <w:p w:rsidRPr="00D93B48" w:rsidR="00323192" w:rsidP="00965FC5" w:rsidRDefault="00323192" w14:paraId="66BCD734"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21C253BC"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6143,8</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3F79FBA9"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5495,5</w:t>
            </w:r>
          </w:p>
        </w:tc>
        <w:tc>
          <w:tcPr>
            <w:tcW w:w="1080" w:type="dxa"/>
            <w:tcBorders>
              <w:top w:val="single" w:color="auto" w:sz="8" w:space="0"/>
              <w:left w:val="nil"/>
              <w:bottom w:val="single" w:color="auto" w:sz="8" w:space="0"/>
              <w:right w:val="single" w:color="auto" w:sz="4" w:space="0"/>
            </w:tcBorders>
            <w:shd w:val="clear" w:color="000000" w:fill="BFBFBF"/>
            <w:noWrap/>
            <w:vAlign w:val="center"/>
            <w:hideMark/>
          </w:tcPr>
          <w:p w:rsidRPr="00D93B48" w:rsidR="00323192" w:rsidP="00965FC5" w:rsidRDefault="00323192" w14:paraId="5E9746F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4081,1</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0D63323F"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shd w:val="clear" w:color="000000" w:fill="BFBFBF"/>
            <w:vAlign w:val="center"/>
          </w:tcPr>
          <w:p w:rsidRPr="00D93B48" w:rsidR="00323192" w:rsidP="00965FC5" w:rsidRDefault="00323192" w14:paraId="1277E117"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02DA21A7"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4154A60F"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52C3B727" w14:textId="77777777">
        <w:trPr>
          <w:trHeight w:val="284" w:hRule="exact"/>
        </w:trPr>
        <w:tc>
          <w:tcPr>
            <w:tcW w:w="1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D93B48" w:rsidR="00323192" w:rsidP="00965FC5" w:rsidRDefault="00323192" w14:paraId="563DB88D"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Zeehavens</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62D85E8"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FF0DAD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128</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6B5DFF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127</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35B0462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128</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50AD6686"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54C6567B"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3D8AA02A"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6E5E5DAF"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5725EC1D"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272F0191"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EC6A1F2"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9ACE0C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71137</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459D7DB6"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72971</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337B2338"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76122</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5E727A9B"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762E6A93"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1093F347"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61F1B855"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40D745D1" w14:textId="77777777">
        <w:trPr>
          <w:trHeight w:val="284" w:hRule="exact"/>
        </w:trPr>
        <w:tc>
          <w:tcPr>
            <w:tcW w:w="1298" w:type="dxa"/>
            <w:vMerge/>
            <w:tcBorders>
              <w:top w:val="nil"/>
              <w:left w:val="single" w:color="auto" w:sz="8" w:space="0"/>
              <w:bottom w:val="single" w:color="000000" w:sz="8" w:space="0"/>
              <w:right w:val="single" w:color="auto" w:sz="8" w:space="0"/>
            </w:tcBorders>
            <w:vAlign w:val="center"/>
            <w:hideMark/>
          </w:tcPr>
          <w:p w:rsidRPr="00D93B48" w:rsidR="00323192" w:rsidP="00965FC5" w:rsidRDefault="00323192" w14:paraId="76A82709"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574FF3A2"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18F93A2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14996</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102584F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18065</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65E4A8D3"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19068</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3D894DF6"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0F4C3B49"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4506E15C"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21C79895"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66E2EC95" w14:textId="77777777">
        <w:trPr>
          <w:trHeight w:val="284" w:hRule="exact"/>
        </w:trPr>
        <w:tc>
          <w:tcPr>
            <w:tcW w:w="1298" w:type="dxa"/>
            <w:vMerge w:val="restart"/>
            <w:tcBorders>
              <w:top w:val="nil"/>
              <w:left w:val="single" w:color="auto" w:sz="8" w:space="0"/>
              <w:bottom w:val="nil"/>
              <w:right w:val="single" w:color="auto" w:sz="8" w:space="0"/>
            </w:tcBorders>
            <w:shd w:val="clear" w:color="auto" w:fill="auto"/>
            <w:vAlign w:val="center"/>
            <w:hideMark/>
          </w:tcPr>
          <w:p w:rsidRPr="00D93B48" w:rsidR="00323192" w:rsidP="00965FC5" w:rsidRDefault="00323192" w14:paraId="54C008B6"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Kustzone</w:t>
            </w: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71E88B4D"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4006D22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37</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F4756CF"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39</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16A25D6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42</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39660634"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4E306E54"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691958EB"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1E7B30D2"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046E8C53" w14:textId="77777777">
        <w:trPr>
          <w:trHeight w:val="284" w:hRule="exact"/>
        </w:trPr>
        <w:tc>
          <w:tcPr>
            <w:tcW w:w="1298" w:type="dxa"/>
            <w:vMerge/>
            <w:tcBorders>
              <w:top w:val="nil"/>
              <w:left w:val="single" w:color="auto" w:sz="8" w:space="0"/>
              <w:bottom w:val="nil"/>
              <w:right w:val="single" w:color="auto" w:sz="8" w:space="0"/>
            </w:tcBorders>
            <w:vAlign w:val="center"/>
            <w:hideMark/>
          </w:tcPr>
          <w:p w:rsidRPr="00D93B48" w:rsidR="00323192" w:rsidP="00965FC5" w:rsidRDefault="00323192" w14:paraId="29946BD1"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38E3E903"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A528D5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3210</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691853E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3660</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41417079"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4080</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0199E412"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6D0FF672"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5C24D605"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0BFED871"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0024CC64" w14:textId="77777777">
        <w:trPr>
          <w:trHeight w:val="284" w:hRule="exact"/>
        </w:trPr>
        <w:tc>
          <w:tcPr>
            <w:tcW w:w="1298" w:type="dxa"/>
            <w:vMerge/>
            <w:tcBorders>
              <w:top w:val="nil"/>
              <w:left w:val="single" w:color="auto" w:sz="8" w:space="0"/>
              <w:bottom w:val="nil"/>
              <w:right w:val="single" w:color="auto" w:sz="8" w:space="0"/>
            </w:tcBorders>
            <w:vAlign w:val="center"/>
            <w:hideMark/>
          </w:tcPr>
          <w:p w:rsidRPr="00D93B48" w:rsidR="00323192" w:rsidP="00965FC5" w:rsidRDefault="00323192" w14:paraId="1734C7AB"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1E3EDD0"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20E8695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1695</w:t>
            </w:r>
          </w:p>
        </w:tc>
        <w:tc>
          <w:tcPr>
            <w:tcW w:w="1080" w:type="dxa"/>
            <w:tcBorders>
              <w:top w:val="nil"/>
              <w:left w:val="nil"/>
              <w:bottom w:val="single" w:color="auto" w:sz="8" w:space="0"/>
              <w:right w:val="single" w:color="auto" w:sz="8" w:space="0"/>
            </w:tcBorders>
            <w:shd w:val="clear" w:color="auto" w:fill="auto"/>
            <w:vAlign w:val="center"/>
            <w:hideMark/>
          </w:tcPr>
          <w:p w:rsidRPr="00D93B48" w:rsidR="00323192" w:rsidP="00965FC5" w:rsidRDefault="00323192" w14:paraId="007D603E"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1940</w:t>
            </w:r>
          </w:p>
        </w:tc>
        <w:tc>
          <w:tcPr>
            <w:tcW w:w="1080" w:type="dxa"/>
            <w:tcBorders>
              <w:top w:val="single" w:color="auto" w:sz="8" w:space="0"/>
              <w:left w:val="nil"/>
              <w:bottom w:val="single" w:color="auto" w:sz="8" w:space="0"/>
              <w:right w:val="single" w:color="auto" w:sz="4" w:space="0"/>
            </w:tcBorders>
            <w:shd w:val="clear" w:color="auto" w:fill="auto"/>
            <w:vAlign w:val="center"/>
            <w:hideMark/>
          </w:tcPr>
          <w:p w:rsidRPr="00D93B48" w:rsidR="00323192" w:rsidP="00965FC5" w:rsidRDefault="00323192" w14:paraId="5C1B901D"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2188</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7EEDC4EA"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vAlign w:val="center"/>
          </w:tcPr>
          <w:p w:rsidRPr="00D93B48" w:rsidR="00323192" w:rsidP="00965FC5" w:rsidRDefault="00323192" w14:paraId="0D344BC7"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vAlign w:val="center"/>
          </w:tcPr>
          <w:p w:rsidRPr="00D93B48" w:rsidR="00323192" w:rsidP="00965FC5" w:rsidRDefault="00323192" w14:paraId="4FCB55DE"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vAlign w:val="center"/>
          </w:tcPr>
          <w:p w:rsidRPr="00D93B48" w:rsidR="00323192" w:rsidP="00965FC5" w:rsidRDefault="00323192" w14:paraId="70D13720"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7826F833" w14:textId="77777777">
        <w:trPr>
          <w:trHeight w:val="284" w:hRule="exact"/>
        </w:trPr>
        <w:tc>
          <w:tcPr>
            <w:tcW w:w="1298" w:type="dxa"/>
            <w:vMerge w:val="restart"/>
            <w:tcBorders>
              <w:top w:val="single" w:color="000000" w:sz="8" w:space="0"/>
              <w:left w:val="single" w:color="auto" w:sz="8" w:space="0"/>
              <w:bottom w:val="single" w:color="000000" w:sz="8" w:space="0"/>
              <w:right w:val="single" w:color="auto" w:sz="8" w:space="0"/>
            </w:tcBorders>
            <w:shd w:val="clear" w:color="000000" w:fill="BFBFBF"/>
            <w:vAlign w:val="center"/>
            <w:hideMark/>
          </w:tcPr>
          <w:p w:rsidRPr="00D93B48" w:rsidR="00323192" w:rsidP="00965FC5" w:rsidRDefault="00323192" w14:paraId="41612B3D"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Totaal op land</w:t>
            </w:r>
          </w:p>
        </w:tc>
        <w:tc>
          <w:tcPr>
            <w:tcW w:w="2047" w:type="dxa"/>
            <w:tcBorders>
              <w:top w:val="nil"/>
              <w:left w:val="nil"/>
              <w:bottom w:val="single" w:color="auto" w:sz="8" w:space="0"/>
              <w:right w:val="single" w:color="auto" w:sz="8" w:space="0"/>
            </w:tcBorders>
            <w:shd w:val="clear" w:color="000000" w:fill="BFBFBF"/>
            <w:vAlign w:val="center"/>
            <w:hideMark/>
          </w:tcPr>
          <w:p w:rsidRPr="00D93B48" w:rsidR="00323192" w:rsidP="00965FC5" w:rsidRDefault="00323192" w14:paraId="0FBF751F"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Werkgelegenheid</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1BC30795"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165</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077B711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166</w:t>
            </w:r>
          </w:p>
        </w:tc>
        <w:tc>
          <w:tcPr>
            <w:tcW w:w="1080" w:type="dxa"/>
            <w:tcBorders>
              <w:top w:val="single" w:color="auto" w:sz="8" w:space="0"/>
              <w:left w:val="nil"/>
              <w:bottom w:val="single" w:color="auto" w:sz="8" w:space="0"/>
              <w:right w:val="single" w:color="auto" w:sz="4" w:space="0"/>
            </w:tcBorders>
            <w:shd w:val="clear" w:color="000000" w:fill="BFBFBF"/>
            <w:noWrap/>
            <w:vAlign w:val="center"/>
            <w:hideMark/>
          </w:tcPr>
          <w:p w:rsidRPr="00D93B48" w:rsidR="00323192" w:rsidP="00965FC5" w:rsidRDefault="00323192" w14:paraId="0265E367"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170</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35467643"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shd w:val="clear" w:color="000000" w:fill="BFBFBF"/>
            <w:vAlign w:val="center"/>
          </w:tcPr>
          <w:p w:rsidRPr="00D93B48" w:rsidR="00323192" w:rsidP="00965FC5" w:rsidRDefault="00323192" w14:paraId="7EBFCFD0"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6A6589F2"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2EFB2055"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7A151D03" w14:textId="77777777">
        <w:trPr>
          <w:trHeight w:val="284" w:hRule="exact"/>
        </w:trPr>
        <w:tc>
          <w:tcPr>
            <w:tcW w:w="1298" w:type="dxa"/>
            <w:vMerge/>
            <w:tcBorders>
              <w:top w:val="single" w:color="000000" w:sz="8" w:space="0"/>
              <w:left w:val="single" w:color="auto" w:sz="8" w:space="0"/>
              <w:bottom w:val="single" w:color="000000" w:sz="8" w:space="0"/>
              <w:right w:val="single" w:color="auto" w:sz="8" w:space="0"/>
            </w:tcBorders>
            <w:vAlign w:val="center"/>
            <w:hideMark/>
          </w:tcPr>
          <w:p w:rsidRPr="00D93B48" w:rsidR="00323192" w:rsidP="00965FC5" w:rsidRDefault="00323192" w14:paraId="10420C47"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000000" w:fill="BFBFBF"/>
            <w:vAlign w:val="center"/>
            <w:hideMark/>
          </w:tcPr>
          <w:p w:rsidRPr="00D93B48" w:rsidR="00323192" w:rsidP="00965FC5" w:rsidRDefault="00323192" w14:paraId="0D1511A8"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Productiewaarde</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7218C274"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74347</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5D832C02"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76631</w:t>
            </w:r>
          </w:p>
        </w:tc>
        <w:tc>
          <w:tcPr>
            <w:tcW w:w="1080" w:type="dxa"/>
            <w:tcBorders>
              <w:top w:val="single" w:color="auto" w:sz="8" w:space="0"/>
              <w:left w:val="nil"/>
              <w:bottom w:val="single" w:color="auto" w:sz="8" w:space="0"/>
              <w:right w:val="single" w:color="auto" w:sz="4" w:space="0"/>
            </w:tcBorders>
            <w:shd w:val="clear" w:color="000000" w:fill="BFBFBF"/>
            <w:noWrap/>
            <w:vAlign w:val="center"/>
            <w:hideMark/>
          </w:tcPr>
          <w:p w:rsidRPr="00D93B48" w:rsidR="00323192" w:rsidP="00965FC5" w:rsidRDefault="00323192" w14:paraId="1742DA00"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80202</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3DC43E06"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shd w:val="clear" w:color="000000" w:fill="BFBFBF"/>
            <w:vAlign w:val="center"/>
          </w:tcPr>
          <w:p w:rsidRPr="00D93B48" w:rsidR="00323192" w:rsidP="00965FC5" w:rsidRDefault="00323192" w14:paraId="6CFD6650"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2FE0E636"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4EE4147B" w14:textId="77777777">
            <w:pPr>
              <w:spacing w:line="240" w:lineRule="atLeast"/>
              <w:jc w:val="right"/>
              <w:rPr>
                <w:rFonts w:eastAsia="Times New Roman" w:cs="Times New Roman"/>
                <w:color w:val="000000"/>
                <w:sz w:val="16"/>
                <w:szCs w:val="16"/>
                <w:lang w:val="nl-NL" w:eastAsia="nl-NL"/>
              </w:rPr>
            </w:pPr>
          </w:p>
        </w:tc>
      </w:tr>
      <w:tr w:rsidRPr="00D93B48" w:rsidR="00323192" w:rsidTr="00965FC5" w14:paraId="644AC4C1" w14:textId="77777777">
        <w:trPr>
          <w:trHeight w:val="284" w:hRule="exact"/>
        </w:trPr>
        <w:tc>
          <w:tcPr>
            <w:tcW w:w="1298" w:type="dxa"/>
            <w:vMerge/>
            <w:tcBorders>
              <w:top w:val="single" w:color="000000" w:sz="8" w:space="0"/>
              <w:left w:val="single" w:color="auto" w:sz="8" w:space="0"/>
              <w:bottom w:val="single" w:color="000000" w:sz="8" w:space="0"/>
              <w:right w:val="single" w:color="auto" w:sz="8" w:space="0"/>
            </w:tcBorders>
            <w:vAlign w:val="center"/>
            <w:hideMark/>
          </w:tcPr>
          <w:p w:rsidRPr="00D93B48" w:rsidR="00323192" w:rsidP="00965FC5" w:rsidRDefault="00323192" w14:paraId="50795783" w14:textId="77777777">
            <w:pPr>
              <w:spacing w:line="240" w:lineRule="atLeast"/>
              <w:rPr>
                <w:rFonts w:eastAsia="Times New Roman" w:cs="Times New Roman"/>
                <w:color w:val="000000"/>
                <w:sz w:val="16"/>
                <w:szCs w:val="16"/>
                <w:lang w:val="nl-NL" w:eastAsia="nl-NL"/>
              </w:rPr>
            </w:pPr>
          </w:p>
        </w:tc>
        <w:tc>
          <w:tcPr>
            <w:tcW w:w="2047" w:type="dxa"/>
            <w:tcBorders>
              <w:top w:val="nil"/>
              <w:left w:val="nil"/>
              <w:bottom w:val="single" w:color="auto" w:sz="8" w:space="0"/>
              <w:right w:val="single" w:color="auto" w:sz="8" w:space="0"/>
            </w:tcBorders>
            <w:shd w:val="clear" w:color="000000" w:fill="BFBFBF"/>
            <w:vAlign w:val="center"/>
            <w:hideMark/>
          </w:tcPr>
          <w:p w:rsidRPr="00D93B48" w:rsidR="00323192" w:rsidP="00965FC5" w:rsidRDefault="00323192" w14:paraId="33276543" w14:textId="77777777">
            <w:pPr>
              <w:spacing w:line="240" w:lineRule="atLeast"/>
              <w:rPr>
                <w:rFonts w:eastAsia="Times New Roman" w:cs="Times New Roman"/>
                <w:color w:val="000000"/>
                <w:sz w:val="16"/>
                <w:szCs w:val="16"/>
                <w:lang w:val="nl-NL" w:eastAsia="nl-NL"/>
              </w:rPr>
            </w:pPr>
            <w:r w:rsidRPr="00D93B48">
              <w:rPr>
                <w:rFonts w:eastAsia="Times New Roman" w:cs="Arial"/>
                <w:color w:val="000000"/>
                <w:sz w:val="16"/>
                <w:szCs w:val="16"/>
                <w:lang w:eastAsia="nl-NL"/>
              </w:rPr>
              <w:t>Toegevoegde waarde</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390808EB"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16691</w:t>
            </w:r>
          </w:p>
        </w:tc>
        <w:tc>
          <w:tcPr>
            <w:tcW w:w="1080" w:type="dxa"/>
            <w:tcBorders>
              <w:top w:val="nil"/>
              <w:left w:val="nil"/>
              <w:bottom w:val="single" w:color="auto" w:sz="8" w:space="0"/>
              <w:right w:val="single" w:color="auto" w:sz="8" w:space="0"/>
            </w:tcBorders>
            <w:shd w:val="clear" w:color="000000" w:fill="BFBFBF"/>
            <w:noWrap/>
            <w:vAlign w:val="center"/>
            <w:hideMark/>
          </w:tcPr>
          <w:p w:rsidRPr="00D93B48" w:rsidR="00323192" w:rsidP="00965FC5" w:rsidRDefault="00323192" w14:paraId="21A2CC31"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20005</w:t>
            </w:r>
          </w:p>
        </w:tc>
        <w:tc>
          <w:tcPr>
            <w:tcW w:w="1080" w:type="dxa"/>
            <w:tcBorders>
              <w:top w:val="single" w:color="auto" w:sz="8" w:space="0"/>
              <w:left w:val="nil"/>
              <w:bottom w:val="single" w:color="auto" w:sz="8" w:space="0"/>
              <w:right w:val="single" w:color="auto" w:sz="4" w:space="0"/>
            </w:tcBorders>
            <w:shd w:val="clear" w:color="000000" w:fill="BFBFBF"/>
            <w:noWrap/>
            <w:vAlign w:val="center"/>
            <w:hideMark/>
          </w:tcPr>
          <w:p w:rsidRPr="00D93B48" w:rsidR="00323192" w:rsidP="00965FC5" w:rsidRDefault="00323192" w14:paraId="4FAE24EA" w14:textId="77777777">
            <w:pPr>
              <w:spacing w:line="240" w:lineRule="atLeast"/>
              <w:jc w:val="right"/>
              <w:rPr>
                <w:rFonts w:eastAsia="Times New Roman" w:cs="Times New Roman"/>
                <w:color w:val="000000"/>
                <w:sz w:val="16"/>
                <w:szCs w:val="16"/>
                <w:lang w:val="nl-NL" w:eastAsia="nl-NL"/>
              </w:rPr>
            </w:pPr>
            <w:r w:rsidRPr="00D93B48">
              <w:rPr>
                <w:rFonts w:eastAsia="Times New Roman" w:cs="Times New Roman"/>
                <w:color w:val="000000"/>
                <w:sz w:val="16"/>
                <w:szCs w:val="16"/>
                <w:lang w:val="nl-NL" w:eastAsia="nl-NL"/>
              </w:rPr>
              <w:t>21256</w:t>
            </w:r>
          </w:p>
        </w:tc>
        <w:tc>
          <w:tcPr>
            <w:tcW w:w="214" w:type="dxa"/>
            <w:tcBorders>
              <w:top w:val="single" w:color="auto" w:sz="8" w:space="0"/>
              <w:left w:val="single" w:color="auto" w:sz="4" w:space="0"/>
              <w:bottom w:val="single" w:color="auto" w:sz="8" w:space="0"/>
              <w:right w:val="single" w:color="auto" w:sz="4" w:space="0"/>
            </w:tcBorders>
            <w:shd w:val="clear" w:color="auto" w:fill="000000" w:themeFill="text1"/>
            <w:vAlign w:val="center"/>
          </w:tcPr>
          <w:p w:rsidRPr="00D93B48" w:rsidR="00323192" w:rsidP="00965FC5" w:rsidRDefault="00323192" w14:paraId="52DC1AE6" w14:textId="77777777">
            <w:pPr>
              <w:spacing w:line="240" w:lineRule="atLeast"/>
              <w:jc w:val="right"/>
              <w:rPr>
                <w:rFonts w:eastAsia="Times New Roman" w:cs="Times New Roman"/>
                <w:color w:val="000000"/>
                <w:sz w:val="16"/>
                <w:szCs w:val="16"/>
                <w:lang w:val="nl-NL" w:eastAsia="nl-NL"/>
              </w:rPr>
            </w:pPr>
          </w:p>
        </w:tc>
        <w:tc>
          <w:tcPr>
            <w:tcW w:w="1099" w:type="dxa"/>
            <w:tcBorders>
              <w:top w:val="single" w:color="auto" w:sz="8" w:space="0"/>
              <w:left w:val="single" w:color="auto" w:sz="4" w:space="0"/>
              <w:bottom w:val="single" w:color="auto" w:sz="8" w:space="0"/>
              <w:right w:val="single" w:color="auto" w:sz="8" w:space="0"/>
            </w:tcBorders>
            <w:shd w:val="clear" w:color="000000" w:fill="BFBFBF"/>
            <w:vAlign w:val="center"/>
          </w:tcPr>
          <w:p w:rsidRPr="00D93B48" w:rsidR="00323192" w:rsidP="00965FC5" w:rsidRDefault="00323192" w14:paraId="510021FC" w14:textId="77777777">
            <w:pPr>
              <w:spacing w:line="240" w:lineRule="atLeast"/>
              <w:jc w:val="right"/>
              <w:rPr>
                <w:rFonts w:eastAsia="Times New Roman" w:cs="Times New Roman"/>
                <w:color w:val="000000"/>
                <w:sz w:val="16"/>
                <w:szCs w:val="16"/>
                <w:lang w:val="nl-NL" w:eastAsia="nl-NL"/>
              </w:rPr>
            </w:pPr>
          </w:p>
        </w:tc>
        <w:tc>
          <w:tcPr>
            <w:tcW w:w="1035"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3F8971E3" w14:textId="77777777">
            <w:pPr>
              <w:spacing w:line="240" w:lineRule="atLeast"/>
              <w:jc w:val="right"/>
              <w:rPr>
                <w:rFonts w:eastAsia="Times New Roman" w:cs="Times New Roman"/>
                <w:color w:val="000000"/>
                <w:sz w:val="16"/>
                <w:szCs w:val="16"/>
                <w:lang w:val="nl-NL" w:eastAsia="nl-NL"/>
              </w:rPr>
            </w:pPr>
          </w:p>
        </w:tc>
        <w:tc>
          <w:tcPr>
            <w:tcW w:w="1157" w:type="dxa"/>
            <w:tcBorders>
              <w:top w:val="nil"/>
              <w:left w:val="nil"/>
              <w:bottom w:val="single" w:color="auto" w:sz="8" w:space="0"/>
              <w:right w:val="single" w:color="auto" w:sz="8" w:space="0"/>
            </w:tcBorders>
            <w:shd w:val="clear" w:color="000000" w:fill="BFBFBF"/>
            <w:vAlign w:val="center"/>
          </w:tcPr>
          <w:p w:rsidRPr="00D93B48" w:rsidR="00323192" w:rsidP="00965FC5" w:rsidRDefault="00323192" w14:paraId="332BC6B1" w14:textId="77777777">
            <w:pPr>
              <w:spacing w:line="240" w:lineRule="atLeast"/>
              <w:jc w:val="right"/>
              <w:rPr>
                <w:rFonts w:eastAsia="Times New Roman" w:cs="Times New Roman"/>
                <w:color w:val="000000"/>
                <w:sz w:val="16"/>
                <w:szCs w:val="16"/>
                <w:lang w:val="nl-NL" w:eastAsia="nl-NL"/>
              </w:rPr>
            </w:pPr>
          </w:p>
        </w:tc>
      </w:tr>
    </w:tbl>
    <w:p w:rsidRPr="0000608E" w:rsidR="00903B53" w:rsidP="0070550F" w:rsidRDefault="00903B53" w14:paraId="17B49876" w14:textId="77777777">
      <w:pPr>
        <w:rPr>
          <w:lang w:val="nl-NL"/>
        </w:rPr>
      </w:pPr>
      <w:r w:rsidRPr="0000608E">
        <w:rPr>
          <w:lang w:val="nl-NL"/>
        </w:rPr>
        <w:br w:type="page"/>
      </w:r>
    </w:p>
    <w:p w:rsidR="0070550F" w:rsidP="0070550F" w:rsidRDefault="0070550F" w14:paraId="2C31BA6D" w14:textId="77777777">
      <w:pPr>
        <w:rPr>
          <w:lang w:val="nl-NL"/>
        </w:rPr>
        <w:sectPr w:rsidR="0070550F" w:rsidSect="001E6A24">
          <w:pgSz w:w="11907" w:h="16840" w:code="9"/>
          <w:pgMar w:top="1440" w:right="1440" w:bottom="1440" w:left="1440" w:header="709" w:footer="709" w:gutter="0"/>
          <w:cols w:space="708"/>
          <w:docGrid w:linePitch="360"/>
        </w:sectPr>
      </w:pPr>
    </w:p>
    <w:p w:rsidRPr="00B96268" w:rsidR="0070550F" w:rsidP="0070550F" w:rsidRDefault="0070550F" w14:paraId="7E651875" w14:textId="77777777">
      <w:pPr>
        <w:pStyle w:val="Stijl1"/>
      </w:pPr>
      <w:bookmarkStart w:name="_Toc59455624" w:id="17"/>
      <w:r w:rsidRPr="00B96268">
        <w:t>Beleidsopgave en maatregelen</w:t>
      </w:r>
      <w:bookmarkEnd w:id="17"/>
    </w:p>
    <w:p w:rsidRPr="00B96268" w:rsidR="0070550F" w:rsidP="00746E9B" w:rsidRDefault="0070550F" w14:paraId="784821CA" w14:textId="77777777">
      <w:pPr>
        <w:pStyle w:val="Stijl1"/>
        <w:numPr>
          <w:ilvl w:val="1"/>
          <w:numId w:val="16"/>
        </w:numPr>
      </w:pPr>
      <w:bookmarkStart w:name="_Toc59455625" w:id="18"/>
      <w:r w:rsidRPr="00B96268">
        <w:t>Inleiding op dit hoofdstuk</w:t>
      </w:r>
      <w:bookmarkEnd w:id="18"/>
    </w:p>
    <w:p w:rsidR="0070550F" w:rsidP="0070550F" w:rsidRDefault="001D7116" w14:paraId="2654389E" w14:textId="77777777">
      <w:pPr>
        <w:rPr>
          <w:szCs w:val="18"/>
          <w:lang w:val="nl-NL"/>
        </w:rPr>
      </w:pPr>
      <w:r>
        <w:rPr>
          <w:lang w:val="nl-NL"/>
        </w:rPr>
        <w:t>Ee</w:t>
      </w:r>
      <w:r w:rsidR="00F13CF6">
        <w:rPr>
          <w:lang w:val="nl-NL"/>
        </w:rPr>
        <w:t>n</w:t>
      </w:r>
      <w:r>
        <w:rPr>
          <w:lang w:val="nl-NL"/>
        </w:rPr>
        <w:t xml:space="preserve"> groot deel van het </w:t>
      </w:r>
      <w:r w:rsidRPr="00FF05E3" w:rsidR="0070550F">
        <w:rPr>
          <w:lang w:val="nl-NL"/>
        </w:rPr>
        <w:t xml:space="preserve">programma van maatregelen </w:t>
      </w:r>
      <w:r>
        <w:rPr>
          <w:lang w:val="nl-NL"/>
        </w:rPr>
        <w:t>is</w:t>
      </w:r>
      <w:r w:rsidRPr="00FF05E3" w:rsidR="0070550F">
        <w:rPr>
          <w:lang w:val="nl-NL"/>
        </w:rPr>
        <w:t xml:space="preserve"> </w:t>
      </w:r>
      <w:r w:rsidR="0070550F">
        <w:rPr>
          <w:lang w:val="nl-NL"/>
        </w:rPr>
        <w:t>in de vorige beleidscyclus gerapporteerd en word</w:t>
      </w:r>
      <w:r>
        <w:rPr>
          <w:lang w:val="nl-NL"/>
        </w:rPr>
        <w:t>t</w:t>
      </w:r>
      <w:r w:rsidR="0070550F">
        <w:rPr>
          <w:lang w:val="nl-NL"/>
        </w:rPr>
        <w:t xml:space="preserve"> gecontinueerd. </w:t>
      </w:r>
      <w:r>
        <w:rPr>
          <w:lang w:val="nl-NL"/>
        </w:rPr>
        <w:t>Daarnaast zijn o</w:t>
      </w:r>
      <w:r w:rsidR="0070550F">
        <w:rPr>
          <w:lang w:val="nl-NL"/>
        </w:rPr>
        <w:t>p basis van de nog resterende beleidsopgaven</w:t>
      </w:r>
      <w:r w:rsidR="002832D0">
        <w:rPr>
          <w:lang w:val="nl-NL"/>
        </w:rPr>
        <w:t xml:space="preserve"> </w:t>
      </w:r>
      <w:r w:rsidR="0070550F">
        <w:rPr>
          <w:lang w:val="nl-NL"/>
        </w:rPr>
        <w:t xml:space="preserve">in dit hoofdstuk aanvullende maatregelen opgenomen. </w:t>
      </w:r>
      <w:r w:rsidRPr="003B33F4" w:rsidR="0070550F">
        <w:rPr>
          <w:szCs w:val="18"/>
          <w:lang w:val="nl-NL"/>
        </w:rPr>
        <w:t>De maatregelen zijn ingedeeld per beschrijvend element (descriptor):</w:t>
      </w:r>
    </w:p>
    <w:p w:rsidRPr="008D7652" w:rsidR="0070550F" w:rsidP="00746E9B" w:rsidRDefault="0070550F" w14:paraId="430D6115" w14:textId="77777777">
      <w:pPr>
        <w:pStyle w:val="ListParagraph"/>
        <w:numPr>
          <w:ilvl w:val="0"/>
          <w:numId w:val="17"/>
        </w:numPr>
        <w:rPr>
          <w:lang w:val="nl-NL"/>
        </w:rPr>
      </w:pPr>
      <w:r w:rsidRPr="008D7652">
        <w:rPr>
          <w:lang w:val="nl-NL"/>
        </w:rPr>
        <w:t>Descriptor 1</w:t>
      </w:r>
      <w:r w:rsidR="001D7116">
        <w:rPr>
          <w:lang w:val="nl-NL"/>
        </w:rPr>
        <w:tab/>
      </w:r>
      <w:r w:rsidRPr="008D7652">
        <w:rPr>
          <w:lang w:val="nl-NL"/>
        </w:rPr>
        <w:t>Biodiversiteit</w:t>
      </w:r>
    </w:p>
    <w:p w:rsidRPr="008D7652" w:rsidR="0070550F" w:rsidP="00746E9B" w:rsidRDefault="0070550F" w14:paraId="19D4F6B2" w14:textId="77777777">
      <w:pPr>
        <w:pStyle w:val="ListParagraph"/>
        <w:numPr>
          <w:ilvl w:val="0"/>
          <w:numId w:val="17"/>
        </w:numPr>
        <w:rPr>
          <w:lang w:val="nl-NL"/>
        </w:rPr>
      </w:pPr>
      <w:r w:rsidRPr="008D7652">
        <w:rPr>
          <w:lang w:val="nl-NL"/>
        </w:rPr>
        <w:t>Descriptor 2</w:t>
      </w:r>
      <w:r w:rsidR="001D7116">
        <w:rPr>
          <w:lang w:val="nl-NL"/>
        </w:rPr>
        <w:tab/>
      </w:r>
      <w:r>
        <w:rPr>
          <w:lang w:val="nl-NL"/>
        </w:rPr>
        <w:t>Niet-inheemse soorten</w:t>
      </w:r>
    </w:p>
    <w:p w:rsidRPr="008D7652" w:rsidR="0070550F" w:rsidP="00746E9B" w:rsidRDefault="0070550F" w14:paraId="1D20E16E" w14:textId="77777777">
      <w:pPr>
        <w:pStyle w:val="ListParagraph"/>
        <w:numPr>
          <w:ilvl w:val="0"/>
          <w:numId w:val="17"/>
        </w:numPr>
        <w:rPr>
          <w:lang w:val="nl-NL"/>
        </w:rPr>
      </w:pPr>
      <w:r w:rsidRPr="008D7652">
        <w:rPr>
          <w:lang w:val="nl-NL"/>
        </w:rPr>
        <w:t>Descriptor 3</w:t>
      </w:r>
      <w:r w:rsidR="001D7116">
        <w:rPr>
          <w:lang w:val="nl-NL"/>
        </w:rPr>
        <w:tab/>
      </w:r>
      <w:r w:rsidRPr="008D7652">
        <w:rPr>
          <w:lang w:val="nl-NL"/>
        </w:rPr>
        <w:t>Commerciële vis en visproducten</w:t>
      </w:r>
    </w:p>
    <w:p w:rsidRPr="008D7652" w:rsidR="0070550F" w:rsidP="00746E9B" w:rsidRDefault="0070550F" w14:paraId="62D71C37" w14:textId="77777777">
      <w:pPr>
        <w:pStyle w:val="ListParagraph"/>
        <w:numPr>
          <w:ilvl w:val="0"/>
          <w:numId w:val="17"/>
        </w:numPr>
        <w:rPr>
          <w:lang w:val="nl-NL"/>
        </w:rPr>
      </w:pPr>
      <w:r w:rsidRPr="008D7652">
        <w:rPr>
          <w:lang w:val="nl-NL"/>
        </w:rPr>
        <w:t>Descriptor 4</w:t>
      </w:r>
      <w:r w:rsidR="001D7116">
        <w:rPr>
          <w:lang w:val="nl-NL"/>
        </w:rPr>
        <w:tab/>
      </w:r>
      <w:r w:rsidRPr="008D7652">
        <w:rPr>
          <w:lang w:val="nl-NL"/>
        </w:rPr>
        <w:t>Voedselwebben</w:t>
      </w:r>
    </w:p>
    <w:p w:rsidRPr="008D7652" w:rsidR="0070550F" w:rsidP="00746E9B" w:rsidRDefault="0070550F" w14:paraId="66B27083" w14:textId="77777777">
      <w:pPr>
        <w:pStyle w:val="ListParagraph"/>
        <w:numPr>
          <w:ilvl w:val="0"/>
          <w:numId w:val="17"/>
        </w:numPr>
        <w:rPr>
          <w:lang w:val="nl-NL"/>
        </w:rPr>
      </w:pPr>
      <w:r w:rsidRPr="008D7652">
        <w:rPr>
          <w:lang w:val="nl-NL"/>
        </w:rPr>
        <w:t>Descriptor 5</w:t>
      </w:r>
      <w:r w:rsidR="001D7116">
        <w:rPr>
          <w:lang w:val="nl-NL"/>
        </w:rPr>
        <w:tab/>
      </w:r>
      <w:r w:rsidRPr="008D7652">
        <w:rPr>
          <w:lang w:val="nl-NL"/>
        </w:rPr>
        <w:t>Eutrofiëring</w:t>
      </w:r>
    </w:p>
    <w:p w:rsidRPr="008D7652" w:rsidR="0070550F" w:rsidP="00746E9B" w:rsidRDefault="0070550F" w14:paraId="0BFAFA36" w14:textId="77777777">
      <w:pPr>
        <w:pStyle w:val="ListParagraph"/>
        <w:numPr>
          <w:ilvl w:val="0"/>
          <w:numId w:val="17"/>
        </w:numPr>
        <w:rPr>
          <w:lang w:val="nl-NL"/>
        </w:rPr>
      </w:pPr>
      <w:r w:rsidRPr="008D7652">
        <w:rPr>
          <w:lang w:val="nl-NL"/>
        </w:rPr>
        <w:t>Descriptor 6</w:t>
      </w:r>
      <w:r w:rsidR="001D7116">
        <w:rPr>
          <w:lang w:val="nl-NL"/>
        </w:rPr>
        <w:tab/>
      </w:r>
      <w:r w:rsidRPr="008D7652">
        <w:rPr>
          <w:lang w:val="nl-NL"/>
        </w:rPr>
        <w:t>Bodemintegriteit</w:t>
      </w:r>
    </w:p>
    <w:p w:rsidRPr="008D7652" w:rsidR="0070550F" w:rsidP="00746E9B" w:rsidRDefault="0070550F" w14:paraId="02DA1441" w14:textId="77777777">
      <w:pPr>
        <w:pStyle w:val="ListParagraph"/>
        <w:numPr>
          <w:ilvl w:val="0"/>
          <w:numId w:val="17"/>
        </w:numPr>
        <w:rPr>
          <w:lang w:val="nl-NL"/>
        </w:rPr>
      </w:pPr>
      <w:r w:rsidRPr="008D7652">
        <w:rPr>
          <w:lang w:val="nl-NL"/>
        </w:rPr>
        <w:t>Descriptor 7</w:t>
      </w:r>
      <w:r w:rsidR="001D7116">
        <w:rPr>
          <w:lang w:val="nl-NL"/>
        </w:rPr>
        <w:tab/>
      </w:r>
      <w:r w:rsidRPr="008D7652">
        <w:rPr>
          <w:lang w:val="nl-NL"/>
        </w:rPr>
        <w:t>Hydrografische eigenschappen</w:t>
      </w:r>
    </w:p>
    <w:p w:rsidRPr="008D7652" w:rsidR="0070550F" w:rsidP="00746E9B" w:rsidRDefault="0070550F" w14:paraId="02AA6C80" w14:textId="77777777">
      <w:pPr>
        <w:pStyle w:val="ListParagraph"/>
        <w:numPr>
          <w:ilvl w:val="0"/>
          <w:numId w:val="17"/>
        </w:numPr>
        <w:rPr>
          <w:lang w:val="nl-NL"/>
        </w:rPr>
      </w:pPr>
      <w:r w:rsidRPr="008D7652">
        <w:rPr>
          <w:lang w:val="nl-NL"/>
        </w:rPr>
        <w:t>Descriptor 8</w:t>
      </w:r>
      <w:r w:rsidR="001D7116">
        <w:rPr>
          <w:lang w:val="nl-NL"/>
        </w:rPr>
        <w:tab/>
      </w:r>
      <w:r w:rsidRPr="008D7652">
        <w:rPr>
          <w:lang w:val="nl-NL"/>
        </w:rPr>
        <w:t>Vervuilende stoffen</w:t>
      </w:r>
    </w:p>
    <w:p w:rsidRPr="008D7652" w:rsidR="0070550F" w:rsidP="00746E9B" w:rsidRDefault="0070550F" w14:paraId="2D29B5B0" w14:textId="77777777">
      <w:pPr>
        <w:pStyle w:val="ListParagraph"/>
        <w:numPr>
          <w:ilvl w:val="0"/>
          <w:numId w:val="17"/>
        </w:numPr>
        <w:rPr>
          <w:lang w:val="nl-NL"/>
        </w:rPr>
      </w:pPr>
      <w:r w:rsidRPr="008D7652">
        <w:rPr>
          <w:lang w:val="nl-NL"/>
        </w:rPr>
        <w:t>Descriptor 9</w:t>
      </w:r>
      <w:r w:rsidR="001D7116">
        <w:rPr>
          <w:lang w:val="nl-NL"/>
        </w:rPr>
        <w:tab/>
      </w:r>
      <w:r w:rsidRPr="008D7652">
        <w:rPr>
          <w:lang w:val="nl-NL"/>
        </w:rPr>
        <w:t>Vervuilende stoffen in vis</w:t>
      </w:r>
    </w:p>
    <w:p w:rsidRPr="008D7652" w:rsidR="0070550F" w:rsidP="00746E9B" w:rsidRDefault="0070550F" w14:paraId="11E9BB6D" w14:textId="77777777">
      <w:pPr>
        <w:pStyle w:val="ListParagraph"/>
        <w:numPr>
          <w:ilvl w:val="0"/>
          <w:numId w:val="17"/>
        </w:numPr>
        <w:rPr>
          <w:lang w:val="nl-NL"/>
        </w:rPr>
      </w:pPr>
      <w:r w:rsidRPr="008D7652">
        <w:rPr>
          <w:lang w:val="nl-NL"/>
        </w:rPr>
        <w:t>Descriptor 10</w:t>
      </w:r>
      <w:r w:rsidR="001D7116">
        <w:rPr>
          <w:lang w:val="nl-NL"/>
        </w:rPr>
        <w:tab/>
      </w:r>
      <w:r w:rsidRPr="008D7652">
        <w:rPr>
          <w:lang w:val="nl-NL"/>
        </w:rPr>
        <w:t>Zwerfvuil</w:t>
      </w:r>
    </w:p>
    <w:p w:rsidRPr="008D7652" w:rsidR="0070550F" w:rsidP="00746E9B" w:rsidRDefault="0070550F" w14:paraId="6FE2C01C" w14:textId="77777777">
      <w:pPr>
        <w:pStyle w:val="ListParagraph"/>
        <w:numPr>
          <w:ilvl w:val="0"/>
          <w:numId w:val="17"/>
        </w:numPr>
        <w:rPr>
          <w:lang w:val="nl-NL"/>
        </w:rPr>
      </w:pPr>
      <w:r w:rsidRPr="008D7652">
        <w:rPr>
          <w:lang w:val="nl-NL"/>
        </w:rPr>
        <w:t>Descriptor 11</w:t>
      </w:r>
      <w:r w:rsidR="001D7116">
        <w:rPr>
          <w:lang w:val="nl-NL"/>
        </w:rPr>
        <w:tab/>
      </w:r>
      <w:r w:rsidRPr="008D7652">
        <w:rPr>
          <w:lang w:val="nl-NL"/>
        </w:rPr>
        <w:t>Energietoevoer, waaronder onderwatergeluid</w:t>
      </w:r>
    </w:p>
    <w:p w:rsidR="00F14295" w:rsidP="00F14295" w:rsidRDefault="00F14295" w14:paraId="0A1FB603" w14:textId="77777777">
      <w:pPr>
        <w:rPr>
          <w:szCs w:val="18"/>
          <w:lang w:val="nl-NL"/>
        </w:rPr>
      </w:pPr>
      <w:r w:rsidRPr="00F14295">
        <w:rPr>
          <w:szCs w:val="18"/>
          <w:lang w:val="nl-NL"/>
        </w:rPr>
        <w:t>Van de</w:t>
      </w:r>
      <w:r>
        <w:rPr>
          <w:szCs w:val="18"/>
          <w:lang w:val="nl-NL"/>
        </w:rPr>
        <w:t>ze</w:t>
      </w:r>
      <w:r w:rsidRPr="00F14295">
        <w:rPr>
          <w:szCs w:val="18"/>
          <w:lang w:val="nl-NL"/>
        </w:rPr>
        <w:t xml:space="preserve"> elf descriptoren zijn</w:t>
      </w:r>
      <w:r>
        <w:rPr>
          <w:szCs w:val="18"/>
          <w:lang w:val="nl-NL"/>
        </w:rPr>
        <w:t xml:space="preserve"> </w:t>
      </w:r>
      <w:r w:rsidRPr="00F14295">
        <w:rPr>
          <w:szCs w:val="18"/>
          <w:lang w:val="nl-NL"/>
        </w:rPr>
        <w:t>de drie descriptoren over biodiversiteit, voedselwebben en</w:t>
      </w:r>
      <w:r>
        <w:rPr>
          <w:szCs w:val="18"/>
          <w:lang w:val="nl-NL"/>
        </w:rPr>
        <w:t xml:space="preserve"> </w:t>
      </w:r>
      <w:r w:rsidRPr="00F14295">
        <w:rPr>
          <w:szCs w:val="18"/>
          <w:lang w:val="nl-NL"/>
        </w:rPr>
        <w:t>integriteit van de zeebodem cruciaal, gezien vanuit de</w:t>
      </w:r>
      <w:r>
        <w:rPr>
          <w:szCs w:val="18"/>
          <w:lang w:val="nl-NL"/>
        </w:rPr>
        <w:t xml:space="preserve"> </w:t>
      </w:r>
      <w:r w:rsidRPr="00F14295">
        <w:rPr>
          <w:szCs w:val="18"/>
          <w:lang w:val="nl-NL"/>
        </w:rPr>
        <w:t>ecosysteembenadering</w:t>
      </w:r>
      <w:r>
        <w:rPr>
          <w:szCs w:val="18"/>
          <w:lang w:val="nl-NL"/>
        </w:rPr>
        <w:t xml:space="preserve">. </w:t>
      </w:r>
      <w:r w:rsidRPr="00F14295">
        <w:rPr>
          <w:szCs w:val="18"/>
          <w:lang w:val="nl-NL"/>
        </w:rPr>
        <w:t>Deze drie</w:t>
      </w:r>
      <w:r>
        <w:rPr>
          <w:szCs w:val="18"/>
          <w:lang w:val="nl-NL"/>
        </w:rPr>
        <w:t xml:space="preserve"> </w:t>
      </w:r>
      <w:r w:rsidRPr="00F14295">
        <w:rPr>
          <w:szCs w:val="18"/>
          <w:lang w:val="nl-NL"/>
        </w:rPr>
        <w:t>beschrijven de structuur, de functie en de processen binnen</w:t>
      </w:r>
      <w:r>
        <w:rPr>
          <w:szCs w:val="18"/>
          <w:lang w:val="nl-NL"/>
        </w:rPr>
        <w:t xml:space="preserve"> </w:t>
      </w:r>
      <w:r w:rsidRPr="00F14295">
        <w:rPr>
          <w:szCs w:val="18"/>
          <w:lang w:val="nl-NL"/>
        </w:rPr>
        <w:t>het mariene ecosysteem</w:t>
      </w:r>
      <w:r>
        <w:rPr>
          <w:szCs w:val="18"/>
          <w:lang w:val="nl-NL"/>
        </w:rPr>
        <w:t xml:space="preserve">. </w:t>
      </w:r>
      <w:r w:rsidRPr="00F14295">
        <w:rPr>
          <w:szCs w:val="18"/>
          <w:lang w:val="nl-NL"/>
        </w:rPr>
        <w:t>De andere descriptoren hebben betrekking op</w:t>
      </w:r>
      <w:r>
        <w:rPr>
          <w:szCs w:val="18"/>
          <w:lang w:val="nl-NL"/>
        </w:rPr>
        <w:t xml:space="preserve"> </w:t>
      </w:r>
      <w:r w:rsidRPr="00F14295">
        <w:rPr>
          <w:szCs w:val="18"/>
          <w:lang w:val="nl-NL"/>
        </w:rPr>
        <w:t>verstoringen van het mariene ecosysteem (ook wel drukfactoren genoemd) als gevolg van menselijke activiteiten.</w:t>
      </w:r>
    </w:p>
    <w:p w:rsidRPr="00BD0A4A" w:rsidR="001A5DBA" w:rsidP="001A5DBA" w:rsidRDefault="0070550F" w14:paraId="0FCB2B5B" w14:textId="4DA40F75">
      <w:pPr>
        <w:rPr>
          <w:lang w:val="nl-NL"/>
        </w:rPr>
      </w:pPr>
      <w:r w:rsidRPr="000D5E2B">
        <w:rPr>
          <w:szCs w:val="18"/>
          <w:lang w:val="nl-NL"/>
        </w:rPr>
        <w:t>Per descriptor worden de milieutoestand</w:t>
      </w:r>
      <w:r w:rsidR="002832D0">
        <w:rPr>
          <w:szCs w:val="18"/>
          <w:lang w:val="nl-NL"/>
        </w:rPr>
        <w:t xml:space="preserve"> en </w:t>
      </w:r>
      <w:r w:rsidRPr="000D5E2B">
        <w:rPr>
          <w:szCs w:val="18"/>
          <w:lang w:val="nl-NL"/>
        </w:rPr>
        <w:t>milieudoelen samengevat</w:t>
      </w:r>
      <w:r w:rsidR="002832D0">
        <w:rPr>
          <w:szCs w:val="18"/>
          <w:lang w:val="nl-NL"/>
        </w:rPr>
        <w:t xml:space="preserve"> op basis van de actualisatie van de Mariene Strategie deel 1 (2018)</w:t>
      </w:r>
      <w:r w:rsidR="00F44925">
        <w:rPr>
          <w:szCs w:val="18"/>
          <w:lang w:val="nl-NL"/>
        </w:rPr>
        <w:t xml:space="preserve"> [11]</w:t>
      </w:r>
      <w:r w:rsidRPr="000D5E2B">
        <w:rPr>
          <w:szCs w:val="18"/>
          <w:lang w:val="nl-NL"/>
        </w:rPr>
        <w:t xml:space="preserve">. </w:t>
      </w:r>
      <w:r>
        <w:rPr>
          <w:szCs w:val="18"/>
          <w:lang w:val="nl-NL"/>
        </w:rPr>
        <w:t xml:space="preserve">Daarna volgt een beschrijving van de maatregelen die </w:t>
      </w:r>
      <w:r w:rsidR="0089294A">
        <w:rPr>
          <w:szCs w:val="18"/>
          <w:lang w:val="nl-NL"/>
        </w:rPr>
        <w:t xml:space="preserve">in </w:t>
      </w:r>
      <w:r>
        <w:rPr>
          <w:szCs w:val="18"/>
          <w:lang w:val="nl-NL"/>
        </w:rPr>
        <w:t xml:space="preserve">de afgelopen periode zijn geïmplementeerd. </w:t>
      </w:r>
      <w:r w:rsidR="0089294A">
        <w:rPr>
          <w:szCs w:val="18"/>
          <w:lang w:val="nl-NL"/>
        </w:rPr>
        <w:t xml:space="preserve">De </w:t>
      </w:r>
      <w:r w:rsidR="00CE3BAF">
        <w:rPr>
          <w:szCs w:val="18"/>
          <w:lang w:val="nl-NL"/>
        </w:rPr>
        <w:t>daarop</w:t>
      </w:r>
      <w:r w:rsidR="0089294A">
        <w:rPr>
          <w:szCs w:val="18"/>
          <w:lang w:val="nl-NL"/>
        </w:rPr>
        <w:t xml:space="preserve">volgende paragraaf </w:t>
      </w:r>
      <w:r w:rsidR="00851D7F">
        <w:rPr>
          <w:szCs w:val="18"/>
          <w:lang w:val="nl-NL"/>
        </w:rPr>
        <w:t>behandelt</w:t>
      </w:r>
      <w:r w:rsidR="0089294A">
        <w:rPr>
          <w:szCs w:val="18"/>
          <w:lang w:val="nl-NL"/>
        </w:rPr>
        <w:t xml:space="preserve"> </w:t>
      </w:r>
      <w:r w:rsidR="00CE3BAF">
        <w:rPr>
          <w:szCs w:val="18"/>
          <w:lang w:val="nl-NL"/>
        </w:rPr>
        <w:t>d</w:t>
      </w:r>
      <w:r w:rsidRPr="000D5E2B">
        <w:rPr>
          <w:szCs w:val="18"/>
          <w:lang w:val="nl-NL"/>
        </w:rPr>
        <w:t xml:space="preserve">e huidige milieutoestand en de ontwikkeling </w:t>
      </w:r>
      <w:r w:rsidR="009E37D5">
        <w:rPr>
          <w:szCs w:val="18"/>
          <w:lang w:val="nl-NL"/>
        </w:rPr>
        <w:t xml:space="preserve">die </w:t>
      </w:r>
      <w:r w:rsidR="002439C8">
        <w:rPr>
          <w:szCs w:val="18"/>
          <w:lang w:val="nl-NL"/>
        </w:rPr>
        <w:t>daar</w:t>
      </w:r>
      <w:r w:rsidR="009E37D5">
        <w:rPr>
          <w:szCs w:val="18"/>
          <w:lang w:val="nl-NL"/>
        </w:rPr>
        <w:t>in is te verwachten</w:t>
      </w:r>
      <w:r w:rsidR="00851D7F">
        <w:rPr>
          <w:szCs w:val="18"/>
          <w:lang w:val="nl-NL"/>
        </w:rPr>
        <w:t xml:space="preserve">, mede onder </w:t>
      </w:r>
      <w:r w:rsidR="009E37D5">
        <w:rPr>
          <w:szCs w:val="18"/>
          <w:lang w:val="nl-NL"/>
        </w:rPr>
        <w:t>i</w:t>
      </w:r>
      <w:r w:rsidR="002439C8">
        <w:rPr>
          <w:szCs w:val="18"/>
          <w:lang w:val="nl-NL"/>
        </w:rPr>
        <w:t xml:space="preserve">nvloed </w:t>
      </w:r>
      <w:r w:rsidR="00851D7F">
        <w:rPr>
          <w:szCs w:val="18"/>
          <w:lang w:val="nl-NL"/>
        </w:rPr>
        <w:t>van</w:t>
      </w:r>
      <w:r w:rsidRPr="000D5E2B">
        <w:rPr>
          <w:szCs w:val="18"/>
          <w:lang w:val="nl-NL"/>
        </w:rPr>
        <w:t xml:space="preserve"> economische ontwikkelingen</w:t>
      </w:r>
      <w:r w:rsidR="009E37D5">
        <w:rPr>
          <w:szCs w:val="18"/>
          <w:lang w:val="nl-NL"/>
        </w:rPr>
        <w:t xml:space="preserve"> en v</w:t>
      </w:r>
      <w:r w:rsidR="0089294A">
        <w:rPr>
          <w:szCs w:val="18"/>
          <w:lang w:val="nl-NL"/>
        </w:rPr>
        <w:t xml:space="preserve">an </w:t>
      </w:r>
      <w:r w:rsidRPr="000D5E2B">
        <w:rPr>
          <w:szCs w:val="18"/>
          <w:lang w:val="nl-NL"/>
        </w:rPr>
        <w:t>andere ontwikkelingen</w:t>
      </w:r>
      <w:r w:rsidR="0089294A">
        <w:rPr>
          <w:szCs w:val="18"/>
          <w:lang w:val="nl-NL"/>
        </w:rPr>
        <w:t>,</w:t>
      </w:r>
      <w:r w:rsidRPr="000D5E2B">
        <w:rPr>
          <w:szCs w:val="18"/>
          <w:lang w:val="nl-NL"/>
        </w:rPr>
        <w:t xml:space="preserve"> zoals toevoer uit grote rivieren en klimaa</w:t>
      </w:r>
      <w:r w:rsidR="002832D0">
        <w:rPr>
          <w:szCs w:val="18"/>
          <w:lang w:val="nl-NL"/>
        </w:rPr>
        <w:t>tverandering. Op basis hiervan wordt</w:t>
      </w:r>
      <w:r w:rsidRPr="000D5E2B">
        <w:rPr>
          <w:szCs w:val="18"/>
          <w:lang w:val="nl-NL"/>
        </w:rPr>
        <w:t xml:space="preserve"> bepaald of er een eventuele beleidsopgave </w:t>
      </w:r>
      <w:r w:rsidR="006B7CFB">
        <w:rPr>
          <w:szCs w:val="18"/>
          <w:lang w:val="nl-NL"/>
        </w:rPr>
        <w:t xml:space="preserve">is </w:t>
      </w:r>
      <w:r w:rsidRPr="000D5E2B">
        <w:rPr>
          <w:szCs w:val="18"/>
          <w:lang w:val="nl-NL"/>
        </w:rPr>
        <w:t>(</w:t>
      </w:r>
      <w:bookmarkStart w:name="_Hlk55993821" w:id="19"/>
      <w:r w:rsidRPr="00AF1E71">
        <w:rPr>
          <w:i/>
          <w:iCs/>
          <w:szCs w:val="18"/>
          <w:lang w:val="nl-NL"/>
        </w:rPr>
        <w:t>gap analysis</w:t>
      </w:r>
      <w:bookmarkEnd w:id="19"/>
      <w:r w:rsidRPr="000D5E2B">
        <w:rPr>
          <w:szCs w:val="18"/>
          <w:lang w:val="nl-NL"/>
        </w:rPr>
        <w:t xml:space="preserve">), </w:t>
      </w:r>
      <w:r w:rsidR="009F0E33">
        <w:rPr>
          <w:szCs w:val="18"/>
          <w:lang w:val="nl-NL"/>
        </w:rPr>
        <w:t>en</w:t>
      </w:r>
      <w:r w:rsidRPr="000D5E2B">
        <w:rPr>
          <w:szCs w:val="18"/>
          <w:lang w:val="nl-NL"/>
        </w:rPr>
        <w:t xml:space="preserve"> of aanvullende maatregelen </w:t>
      </w:r>
      <w:r w:rsidR="004D6E60">
        <w:rPr>
          <w:szCs w:val="18"/>
          <w:lang w:val="nl-NL"/>
        </w:rPr>
        <w:t>nodig zijn</w:t>
      </w:r>
      <w:r>
        <w:rPr>
          <w:szCs w:val="18"/>
          <w:lang w:val="nl-NL"/>
        </w:rPr>
        <w:t xml:space="preserve">. </w:t>
      </w:r>
      <w:r w:rsidR="002832D0">
        <w:rPr>
          <w:szCs w:val="18"/>
          <w:lang w:val="nl-NL"/>
        </w:rPr>
        <w:t xml:space="preserve">Uitgangspunt hierbij is de actualisatie van de Mariene strategie deel 1 (2018). </w:t>
      </w:r>
      <w:r w:rsidR="004D6E60">
        <w:rPr>
          <w:szCs w:val="18"/>
          <w:lang w:val="nl-NL"/>
        </w:rPr>
        <w:t>D</w:t>
      </w:r>
      <w:r w:rsidR="006B7CFB">
        <w:rPr>
          <w:szCs w:val="18"/>
          <w:lang w:val="nl-NL"/>
        </w:rPr>
        <w:t xml:space="preserve">e ontwikkeling van die maatregelen is deels </w:t>
      </w:r>
      <w:r>
        <w:rPr>
          <w:lang w:val="nl-NL"/>
        </w:rPr>
        <w:t xml:space="preserve">afhankelijk van </w:t>
      </w:r>
      <w:r w:rsidRPr="004663A9">
        <w:rPr>
          <w:lang w:val="nl-NL"/>
        </w:rPr>
        <w:t xml:space="preserve">beschikbare kennis. Per descriptor is daarom een kennisagenda opgenomen. </w:t>
      </w:r>
      <w:r w:rsidRPr="00AA7341" w:rsidR="001A5DBA">
        <w:rPr>
          <w:lang w:val="nl-NL"/>
        </w:rPr>
        <w:t>Deze kennisagenda omvat de belangrijkste kennisvragen</w:t>
      </w:r>
      <w:r w:rsidRPr="004663A9" w:rsidR="004663A9">
        <w:rPr>
          <w:lang w:val="nl-NL"/>
        </w:rPr>
        <w:t xml:space="preserve"> die in de periode 2022-2027 worden onderzocht</w:t>
      </w:r>
      <w:r w:rsidRPr="004663A9" w:rsidR="001A5DBA">
        <w:rPr>
          <w:lang w:val="nl-NL"/>
        </w:rPr>
        <w:t>.</w:t>
      </w:r>
      <w:r w:rsidR="005F5515">
        <w:rPr>
          <w:lang w:val="nl-NL"/>
        </w:rPr>
        <w:t>’’’</w:t>
      </w:r>
      <w:r w:rsidR="001A5DBA">
        <w:rPr>
          <w:lang w:val="nl-NL"/>
        </w:rPr>
        <w:t xml:space="preserve"> </w:t>
      </w:r>
    </w:p>
    <w:p w:rsidRPr="00D07BB5" w:rsidR="0070550F" w:rsidP="0070550F" w:rsidRDefault="0070550F" w14:paraId="43653D4E" w14:textId="77777777">
      <w:pPr>
        <w:rPr>
          <w:szCs w:val="18"/>
          <w:lang w:val="nl-NL"/>
        </w:rPr>
      </w:pPr>
      <w:r w:rsidRPr="00077215">
        <w:rPr>
          <w:szCs w:val="18"/>
          <w:lang w:val="nl-NL"/>
        </w:rPr>
        <w:t xml:space="preserve">Op grond van artikel 14 van de Kaderrichtlijn Mariene Strategie moeten lidstaten in hun programma van maatregelen aangeven </w:t>
      </w:r>
      <w:r>
        <w:rPr>
          <w:szCs w:val="18"/>
          <w:lang w:val="nl-NL"/>
        </w:rPr>
        <w:t>wanneer</w:t>
      </w:r>
      <w:r w:rsidRPr="00077215">
        <w:rPr>
          <w:szCs w:val="18"/>
          <w:lang w:val="nl-NL"/>
        </w:rPr>
        <w:t xml:space="preserve"> de goede milieutoestand niet door middel van de maatregelen kan worden bereikt. </w:t>
      </w:r>
      <w:r w:rsidR="00095213">
        <w:rPr>
          <w:szCs w:val="18"/>
          <w:lang w:val="nl-NL"/>
        </w:rPr>
        <w:t>Een</w:t>
      </w:r>
      <w:r w:rsidR="009F0E33">
        <w:rPr>
          <w:szCs w:val="18"/>
          <w:lang w:val="nl-NL"/>
        </w:rPr>
        <w:t xml:space="preserve"> oorzaak kan zijn dat de lidstaat niet verantwoordelijk is voor een bepaalde maatregel of het uitblijven daarvan. Maar ook natuurlijke omstandigheden, </w:t>
      </w:r>
      <w:r w:rsidRPr="00077215">
        <w:rPr>
          <w:szCs w:val="18"/>
          <w:lang w:val="nl-NL"/>
        </w:rPr>
        <w:t>overmacht</w:t>
      </w:r>
      <w:r w:rsidR="009F0E33">
        <w:rPr>
          <w:szCs w:val="18"/>
          <w:lang w:val="nl-NL"/>
        </w:rPr>
        <w:t xml:space="preserve"> of</w:t>
      </w:r>
      <w:r w:rsidRPr="00077215">
        <w:rPr>
          <w:szCs w:val="18"/>
          <w:lang w:val="nl-NL"/>
        </w:rPr>
        <w:t xml:space="preserve"> wijziging in fysische kenmerken van mariene wateren</w:t>
      </w:r>
      <w:r w:rsidR="009F0E33">
        <w:rPr>
          <w:szCs w:val="18"/>
          <w:lang w:val="nl-NL"/>
        </w:rPr>
        <w:t xml:space="preserve"> kunnen ertoe leiden dat </w:t>
      </w:r>
      <w:r w:rsidRPr="00077215">
        <w:rPr>
          <w:szCs w:val="18"/>
          <w:lang w:val="nl-NL"/>
        </w:rPr>
        <w:t xml:space="preserve">de </w:t>
      </w:r>
      <w:r w:rsidR="00F401CE">
        <w:rPr>
          <w:szCs w:val="18"/>
          <w:lang w:val="nl-NL"/>
        </w:rPr>
        <w:t>milieu</w:t>
      </w:r>
      <w:r w:rsidRPr="00077215">
        <w:rPr>
          <w:szCs w:val="18"/>
          <w:lang w:val="nl-NL"/>
        </w:rPr>
        <w:t xml:space="preserve">toestand </w:t>
      </w:r>
      <w:r w:rsidR="009F0E33">
        <w:rPr>
          <w:szCs w:val="18"/>
          <w:lang w:val="nl-NL"/>
        </w:rPr>
        <w:t xml:space="preserve">niet </w:t>
      </w:r>
      <w:r w:rsidRPr="00077215">
        <w:rPr>
          <w:szCs w:val="18"/>
          <w:lang w:val="nl-NL"/>
        </w:rPr>
        <w:t xml:space="preserve">tijdig verbetert. De KRM schrijft voor dat lidstaten geen actie hoeven te ondernemen als er geen significant risico voor het mariene milieu bestaat of wanneer </w:t>
      </w:r>
      <w:r w:rsidR="00F945EF">
        <w:rPr>
          <w:szCs w:val="18"/>
          <w:lang w:val="nl-NL"/>
        </w:rPr>
        <w:t xml:space="preserve">de </w:t>
      </w:r>
      <w:r w:rsidRPr="00077215">
        <w:rPr>
          <w:szCs w:val="18"/>
          <w:lang w:val="nl-NL"/>
        </w:rPr>
        <w:t xml:space="preserve">kosten van </w:t>
      </w:r>
      <w:r w:rsidR="00F945EF">
        <w:rPr>
          <w:szCs w:val="18"/>
          <w:lang w:val="nl-NL"/>
        </w:rPr>
        <w:t xml:space="preserve">de </w:t>
      </w:r>
      <w:r w:rsidRPr="00077215">
        <w:rPr>
          <w:szCs w:val="18"/>
          <w:lang w:val="nl-NL"/>
        </w:rPr>
        <w:t xml:space="preserve">actie onevenredig </w:t>
      </w:r>
      <w:r w:rsidR="00F945EF">
        <w:rPr>
          <w:szCs w:val="18"/>
          <w:lang w:val="nl-NL"/>
        </w:rPr>
        <w:t xml:space="preserve">hoog </w:t>
      </w:r>
      <w:r w:rsidRPr="00077215">
        <w:rPr>
          <w:szCs w:val="18"/>
          <w:lang w:val="nl-NL"/>
        </w:rPr>
        <w:t>zijn</w:t>
      </w:r>
      <w:r w:rsidR="00F945EF">
        <w:rPr>
          <w:szCs w:val="18"/>
          <w:lang w:val="nl-NL"/>
        </w:rPr>
        <w:t>,</w:t>
      </w:r>
      <w:r w:rsidRPr="00077215">
        <w:rPr>
          <w:szCs w:val="18"/>
          <w:lang w:val="nl-NL"/>
        </w:rPr>
        <w:t xml:space="preserve"> gelet op het risico voor het mariene milieu</w:t>
      </w:r>
      <w:r w:rsidR="00F945EF">
        <w:rPr>
          <w:szCs w:val="18"/>
          <w:lang w:val="nl-NL"/>
        </w:rPr>
        <w:t>.</w:t>
      </w:r>
      <w:r w:rsidRPr="00077215">
        <w:rPr>
          <w:szCs w:val="18"/>
          <w:lang w:val="nl-NL"/>
        </w:rPr>
        <w:t xml:space="preserve"> </w:t>
      </w:r>
      <w:r w:rsidR="00F945EF">
        <w:rPr>
          <w:szCs w:val="18"/>
          <w:lang w:val="nl-NL"/>
        </w:rPr>
        <w:t>V</w:t>
      </w:r>
      <w:r w:rsidRPr="00077215">
        <w:rPr>
          <w:szCs w:val="18"/>
          <w:lang w:val="nl-NL"/>
        </w:rPr>
        <w:t xml:space="preserve">oorwaarde </w:t>
      </w:r>
      <w:r w:rsidR="00F945EF">
        <w:rPr>
          <w:szCs w:val="18"/>
          <w:lang w:val="nl-NL"/>
        </w:rPr>
        <w:t xml:space="preserve">is wél </w:t>
      </w:r>
      <w:r w:rsidRPr="00077215">
        <w:rPr>
          <w:szCs w:val="18"/>
          <w:lang w:val="nl-NL"/>
        </w:rPr>
        <w:t xml:space="preserve">dat </w:t>
      </w:r>
      <w:r w:rsidR="00F945EF">
        <w:rPr>
          <w:szCs w:val="18"/>
          <w:lang w:val="nl-NL"/>
        </w:rPr>
        <w:t>zich</w:t>
      </w:r>
      <w:r w:rsidRPr="00077215" w:rsidR="00F945EF">
        <w:rPr>
          <w:szCs w:val="18"/>
          <w:lang w:val="nl-NL"/>
        </w:rPr>
        <w:t xml:space="preserve"> </w:t>
      </w:r>
      <w:r w:rsidRPr="00077215">
        <w:rPr>
          <w:szCs w:val="18"/>
          <w:lang w:val="nl-NL"/>
        </w:rPr>
        <w:t xml:space="preserve">geen verdere achteruitgang </w:t>
      </w:r>
      <w:r w:rsidR="00F945EF">
        <w:rPr>
          <w:szCs w:val="18"/>
          <w:lang w:val="nl-NL"/>
        </w:rPr>
        <w:t>voordoet</w:t>
      </w:r>
      <w:r w:rsidRPr="00077215">
        <w:rPr>
          <w:szCs w:val="18"/>
          <w:lang w:val="nl-NL"/>
        </w:rPr>
        <w:t xml:space="preserve">. </w:t>
      </w:r>
      <w:r w:rsidR="004D6E60">
        <w:rPr>
          <w:szCs w:val="18"/>
          <w:lang w:val="nl-NL"/>
        </w:rPr>
        <w:t>W</w:t>
      </w:r>
      <w:r w:rsidRPr="00077215">
        <w:rPr>
          <w:szCs w:val="18"/>
          <w:lang w:val="nl-NL"/>
        </w:rPr>
        <w:t xml:space="preserve">aar deze situaties aan de orde zijn, </w:t>
      </w:r>
      <w:r w:rsidR="004D6E60">
        <w:rPr>
          <w:szCs w:val="18"/>
          <w:lang w:val="nl-NL"/>
        </w:rPr>
        <w:t xml:space="preserve">gaat </w:t>
      </w:r>
      <w:r w:rsidRPr="00077215">
        <w:rPr>
          <w:szCs w:val="18"/>
          <w:lang w:val="nl-NL"/>
        </w:rPr>
        <w:t xml:space="preserve">de </w:t>
      </w:r>
      <w:r w:rsidR="004D6E60">
        <w:rPr>
          <w:szCs w:val="18"/>
          <w:lang w:val="nl-NL"/>
        </w:rPr>
        <w:t>des</w:t>
      </w:r>
      <w:r w:rsidRPr="00077215">
        <w:rPr>
          <w:szCs w:val="18"/>
          <w:lang w:val="nl-NL"/>
        </w:rPr>
        <w:t xml:space="preserve">betreffende paragraaf </w:t>
      </w:r>
      <w:r w:rsidR="004D6E60">
        <w:rPr>
          <w:szCs w:val="18"/>
          <w:lang w:val="nl-NL"/>
        </w:rPr>
        <w:t>daarop in</w:t>
      </w:r>
      <w:r>
        <w:rPr>
          <w:szCs w:val="18"/>
          <w:lang w:val="nl-NL"/>
        </w:rPr>
        <w:t>.</w:t>
      </w:r>
    </w:p>
    <w:p w:rsidR="0070550F" w:rsidP="00746E9B" w:rsidRDefault="0070550F" w14:paraId="693A863D" w14:textId="77777777">
      <w:pPr>
        <w:pStyle w:val="Stijl1"/>
        <w:numPr>
          <w:ilvl w:val="1"/>
          <w:numId w:val="16"/>
        </w:numPr>
      </w:pPr>
      <w:bookmarkStart w:name="_Toc59455626" w:id="20"/>
      <w:r w:rsidRPr="00B96268">
        <w:t>Biodiversiteit (D1)</w:t>
      </w:r>
      <w:bookmarkEnd w:id="20"/>
    </w:p>
    <w:p w:rsidR="0070550F" w:rsidP="0070550F" w:rsidRDefault="0070550F" w14:paraId="1E575217" w14:textId="77777777">
      <w:pPr>
        <w:pStyle w:val="TOCHeading"/>
      </w:pPr>
      <w:r w:rsidRPr="003B33F4">
        <w:t>Goede milieutoestand en doelen</w:t>
      </w:r>
    </w:p>
    <w:p w:rsidRPr="00BD1189" w:rsidR="0070550F" w:rsidP="0070550F" w:rsidRDefault="0070550F" w14:paraId="11F05E9A" w14:textId="77777777">
      <w:pPr>
        <w:rPr>
          <w:lang w:val="nl-NL"/>
        </w:rPr>
      </w:pPr>
      <w:r w:rsidRPr="00BD1189">
        <w:rPr>
          <w:lang w:val="nl-NL"/>
        </w:rPr>
        <w:t>De goede milieutoestand voor biodiversiteit is volgens de</w:t>
      </w:r>
      <w:r>
        <w:rPr>
          <w:lang w:val="nl-NL"/>
        </w:rPr>
        <w:t>el 1 van de</w:t>
      </w:r>
      <w:r w:rsidRPr="00BD1189">
        <w:rPr>
          <w:lang w:val="nl-NL"/>
        </w:rPr>
        <w:t xml:space="preserve"> Mariene Strategie</w:t>
      </w:r>
      <w:r>
        <w:rPr>
          <w:lang w:val="nl-NL"/>
        </w:rPr>
        <w:t xml:space="preserve"> (2018) </w:t>
      </w:r>
      <w:r w:rsidRPr="00BD1189">
        <w:rPr>
          <w:lang w:val="nl-NL"/>
        </w:rPr>
        <w:t>bereikt als de biologische diversiteit wordt behouden en als de aanwezigheid en kwaliteit van habitats en de verspreiding en dichtheid van soorten overeenstemmen met de heersende fysiografische, geografische en klimatologische omstandigheden.</w:t>
      </w:r>
    </w:p>
    <w:p w:rsidR="0070550F" w:rsidP="0070550F" w:rsidRDefault="00F945EF" w14:paraId="5D536590" w14:textId="77777777">
      <w:pPr>
        <w:rPr>
          <w:lang w:val="nl-NL"/>
        </w:rPr>
      </w:pPr>
      <w:r>
        <w:rPr>
          <w:lang w:val="nl-NL"/>
        </w:rPr>
        <w:t>Nederland heeft d</w:t>
      </w:r>
      <w:r w:rsidR="0070550F">
        <w:rPr>
          <w:lang w:val="nl-NL"/>
        </w:rPr>
        <w:t>e d</w:t>
      </w:r>
      <w:r w:rsidRPr="00BD1189" w:rsidR="0070550F">
        <w:rPr>
          <w:lang w:val="nl-NL"/>
        </w:rPr>
        <w:t xml:space="preserve">escriptor Biodiversiteit </w:t>
      </w:r>
      <w:r w:rsidR="0070550F">
        <w:rPr>
          <w:lang w:val="nl-NL"/>
        </w:rPr>
        <w:t xml:space="preserve">(D1) </w:t>
      </w:r>
      <w:r w:rsidRPr="00BD1189" w:rsidR="0070550F">
        <w:rPr>
          <w:lang w:val="nl-NL"/>
        </w:rPr>
        <w:t xml:space="preserve">onderverdeeld in </w:t>
      </w:r>
      <w:r w:rsidR="0070550F">
        <w:rPr>
          <w:lang w:val="nl-NL"/>
        </w:rPr>
        <w:t>vier</w:t>
      </w:r>
      <w:r w:rsidRPr="00BD1189" w:rsidR="0070550F">
        <w:rPr>
          <w:lang w:val="nl-NL"/>
        </w:rPr>
        <w:t xml:space="preserve"> </w:t>
      </w:r>
      <w:r w:rsidR="0070550F">
        <w:rPr>
          <w:lang w:val="nl-NL"/>
        </w:rPr>
        <w:t>deeldescriptoren (beschrijvende elementen)</w:t>
      </w:r>
      <w:r w:rsidRPr="00BD1189" w:rsidR="0070550F">
        <w:rPr>
          <w:lang w:val="nl-NL"/>
        </w:rPr>
        <w:t xml:space="preserve">: </w:t>
      </w:r>
      <w:r w:rsidR="0070550F">
        <w:rPr>
          <w:lang w:val="nl-NL"/>
        </w:rPr>
        <w:t>v</w:t>
      </w:r>
      <w:r w:rsidRPr="00BD1189" w:rsidR="0070550F">
        <w:rPr>
          <w:lang w:val="nl-NL"/>
        </w:rPr>
        <w:t>ogels, zeezoogdieren</w:t>
      </w:r>
      <w:r w:rsidR="0070550F">
        <w:rPr>
          <w:lang w:val="nl-NL"/>
        </w:rPr>
        <w:t xml:space="preserve">, </w:t>
      </w:r>
      <w:r w:rsidRPr="00BD1189" w:rsidR="0070550F">
        <w:rPr>
          <w:lang w:val="nl-NL"/>
        </w:rPr>
        <w:t>vissen</w:t>
      </w:r>
      <w:r w:rsidR="0070550F">
        <w:rPr>
          <w:lang w:val="nl-NL"/>
        </w:rPr>
        <w:t xml:space="preserve"> en inktvissen</w:t>
      </w:r>
      <w:r w:rsidR="004D6E60">
        <w:rPr>
          <w:lang w:val="nl-NL"/>
        </w:rPr>
        <w:t>,</w:t>
      </w:r>
      <w:r w:rsidR="0070550F">
        <w:rPr>
          <w:lang w:val="nl-NL"/>
        </w:rPr>
        <w:t xml:space="preserve"> en pelagische habitats. Tot D1 behoort </w:t>
      </w:r>
      <w:r w:rsidR="00F401CE">
        <w:rPr>
          <w:lang w:val="nl-NL"/>
        </w:rPr>
        <w:t xml:space="preserve">eigenlijk </w:t>
      </w:r>
      <w:r w:rsidR="0070550F">
        <w:rPr>
          <w:lang w:val="nl-NL"/>
        </w:rPr>
        <w:t>ook de deeldescriptor benthische habitats</w:t>
      </w:r>
      <w:r w:rsidR="00F401CE">
        <w:rPr>
          <w:lang w:val="nl-NL"/>
        </w:rPr>
        <w:t xml:space="preserve">, maar deze is </w:t>
      </w:r>
      <w:r w:rsidR="0070550F">
        <w:rPr>
          <w:lang w:val="nl-NL"/>
        </w:rPr>
        <w:t xml:space="preserve">in de Nederlandse invulling </w:t>
      </w:r>
      <w:r w:rsidR="00F401CE">
        <w:rPr>
          <w:lang w:val="nl-NL"/>
        </w:rPr>
        <w:t xml:space="preserve">van de Mariene Strategie </w:t>
      </w:r>
      <w:r w:rsidR="004D6E60">
        <w:rPr>
          <w:lang w:val="nl-NL"/>
        </w:rPr>
        <w:t xml:space="preserve">samen </w:t>
      </w:r>
      <w:r w:rsidR="0070550F">
        <w:rPr>
          <w:lang w:val="nl-NL"/>
        </w:rPr>
        <w:t xml:space="preserve">met descriptor D6 (Integriteit zeebodem), </w:t>
      </w:r>
      <w:r w:rsidR="008C543D">
        <w:rPr>
          <w:lang w:val="nl-NL"/>
        </w:rPr>
        <w:t xml:space="preserve">ingedeeld en verantwoord, </w:t>
      </w:r>
      <w:r w:rsidR="0070550F">
        <w:rPr>
          <w:lang w:val="nl-NL"/>
        </w:rPr>
        <w:t xml:space="preserve">in </w:t>
      </w:r>
      <w:r w:rsidR="004D6E60">
        <w:rPr>
          <w:lang w:val="nl-NL"/>
        </w:rPr>
        <w:t xml:space="preserve">dit </w:t>
      </w:r>
      <w:r w:rsidR="0070550F">
        <w:rPr>
          <w:lang w:val="nl-NL"/>
        </w:rPr>
        <w:t>document in paragraaf 3.7</w:t>
      </w:r>
      <w:r w:rsidRPr="00BD1189" w:rsidR="0070550F">
        <w:rPr>
          <w:lang w:val="nl-NL"/>
        </w:rPr>
        <w:t>.</w:t>
      </w:r>
      <w:r w:rsidR="0070550F">
        <w:rPr>
          <w:lang w:val="nl-NL"/>
        </w:rPr>
        <w:t xml:space="preserve"> </w:t>
      </w:r>
      <w:r w:rsidRPr="00D93B48" w:rsidR="0070550F">
        <w:rPr>
          <w:lang w:val="nl-NL"/>
        </w:rPr>
        <w:t>Onderstaande tabel geeft een overzicht van de milieutoestand en milieudoelen per deeldescriptor.</w:t>
      </w:r>
      <w:r w:rsidR="0070550F">
        <w:rPr>
          <w:lang w:val="nl-NL"/>
        </w:rPr>
        <w:t xml:space="preserve"> </w:t>
      </w:r>
    </w:p>
    <w:tbl>
      <w:tblPr>
        <w:tblStyle w:val="TableGrid"/>
        <w:tblW w:w="0" w:type="auto"/>
        <w:tblLook w:val="04A0" w:firstRow="1" w:lastRow="0" w:firstColumn="1" w:lastColumn="0" w:noHBand="0" w:noVBand="1"/>
      </w:tblPr>
      <w:tblGrid>
        <w:gridCol w:w="1705"/>
        <w:gridCol w:w="7312"/>
      </w:tblGrid>
      <w:tr w:rsidRPr="00A32D98" w:rsidR="0070550F" w:rsidTr="000E4075" w14:paraId="00E74163" w14:textId="77777777">
        <w:tc>
          <w:tcPr>
            <w:tcW w:w="9017" w:type="dxa"/>
            <w:gridSpan w:val="2"/>
          </w:tcPr>
          <w:p w:rsidRPr="00A32D98" w:rsidR="0070550F" w:rsidP="000E4075" w:rsidRDefault="0070550F" w14:paraId="0C86725F" w14:textId="77777777">
            <w:pPr>
              <w:rPr>
                <w:b/>
                <w:sz w:val="16"/>
                <w:lang w:val="nl-NL"/>
              </w:rPr>
            </w:pPr>
            <w:r w:rsidRPr="00A32D98">
              <w:rPr>
                <w:b/>
                <w:sz w:val="16"/>
              </w:rPr>
              <w:t>Vogels</w:t>
            </w:r>
          </w:p>
        </w:tc>
      </w:tr>
      <w:tr w:rsidRPr="0084482C" w:rsidR="0070550F" w:rsidTr="000E4075" w14:paraId="27ADA0B0" w14:textId="77777777">
        <w:tc>
          <w:tcPr>
            <w:tcW w:w="1705" w:type="dxa"/>
          </w:tcPr>
          <w:p w:rsidRPr="00A32D98" w:rsidR="0070550F" w:rsidP="000E4075" w:rsidRDefault="0070550F" w14:paraId="0E39C5FA" w14:textId="77777777">
            <w:pPr>
              <w:rPr>
                <w:sz w:val="16"/>
              </w:rPr>
            </w:pPr>
            <w:r w:rsidRPr="00A32D98">
              <w:rPr>
                <w:sz w:val="16"/>
              </w:rPr>
              <w:t>Goede milieutoestand</w:t>
            </w:r>
          </w:p>
          <w:p w:rsidRPr="00A32D98" w:rsidR="0070550F" w:rsidP="000E4075" w:rsidRDefault="0070550F" w14:paraId="56B76C33" w14:textId="77777777">
            <w:pPr>
              <w:rPr>
                <w:sz w:val="16"/>
              </w:rPr>
            </w:pPr>
          </w:p>
        </w:tc>
        <w:tc>
          <w:tcPr>
            <w:tcW w:w="7312" w:type="dxa"/>
          </w:tcPr>
          <w:p w:rsidRPr="00A32D98" w:rsidR="0070550F" w:rsidP="000E4075" w:rsidRDefault="0070550F" w14:paraId="7A203B63" w14:textId="77777777">
            <w:pPr>
              <w:rPr>
                <w:sz w:val="16"/>
                <w:lang w:val="nl-NL"/>
              </w:rPr>
            </w:pPr>
            <w:r w:rsidRPr="00A32D98">
              <w:rPr>
                <w:sz w:val="16"/>
                <w:lang w:val="nl-NL"/>
              </w:rPr>
              <w:t>Overkoepelend: populatiedichtheden en demografie van populaties van vogels duiden op gezonde populaties.</w:t>
            </w:r>
          </w:p>
          <w:p w:rsidRPr="00A32D98" w:rsidR="0070550F" w:rsidP="00746E9B" w:rsidRDefault="0070550F" w14:paraId="37CD4C2F" w14:textId="77777777">
            <w:pPr>
              <w:pStyle w:val="ListParagraph"/>
              <w:numPr>
                <w:ilvl w:val="0"/>
                <w:numId w:val="45"/>
              </w:numPr>
              <w:rPr>
                <w:sz w:val="16"/>
                <w:lang w:val="nl-NL"/>
              </w:rPr>
            </w:pPr>
            <w:r w:rsidRPr="00A32D98">
              <w:rPr>
                <w:sz w:val="16"/>
                <w:lang w:val="nl-NL"/>
              </w:rPr>
              <w:t>D1C2: voor elke functionele groep is de populatieomvang van ten minste 75 procent van de soorten boven de drempelwaarde van 1992 (OSPAR- beoordelingswaarde).</w:t>
            </w:r>
          </w:p>
          <w:p w:rsidRPr="00A32D98" w:rsidR="0070550F" w:rsidP="00746E9B" w:rsidRDefault="0070550F" w14:paraId="2F89C880" w14:textId="77777777">
            <w:pPr>
              <w:pStyle w:val="ListParagraph"/>
              <w:numPr>
                <w:ilvl w:val="0"/>
                <w:numId w:val="42"/>
              </w:numPr>
              <w:rPr>
                <w:sz w:val="16"/>
                <w:lang w:val="nl-NL"/>
              </w:rPr>
            </w:pPr>
            <w:r w:rsidRPr="00A32D98">
              <w:rPr>
                <w:sz w:val="16"/>
                <w:lang w:val="nl-NL"/>
              </w:rPr>
              <w:t>D1C2: populaties van zeevogels moeten voldoen aan de landelijke doelen vanuit de VR.</w:t>
            </w:r>
          </w:p>
          <w:p w:rsidRPr="00A32D98" w:rsidR="0070550F" w:rsidP="00746E9B" w:rsidRDefault="0070550F" w14:paraId="64465446" w14:textId="77777777">
            <w:pPr>
              <w:pStyle w:val="ListParagraph"/>
              <w:numPr>
                <w:ilvl w:val="0"/>
                <w:numId w:val="42"/>
              </w:numPr>
              <w:rPr>
                <w:sz w:val="16"/>
                <w:lang w:val="nl-NL"/>
              </w:rPr>
            </w:pPr>
            <w:r w:rsidRPr="00A32D98">
              <w:rPr>
                <w:sz w:val="16"/>
                <w:lang w:val="nl-NL"/>
              </w:rPr>
              <w:t>D1C3: voor iedere soort mag gebrek aan broedsucces in niet meer dan drie van de zes jaar optreden (OSPAR-beoordelingswaarde).</w:t>
            </w:r>
          </w:p>
        </w:tc>
      </w:tr>
      <w:tr w:rsidRPr="0084482C" w:rsidR="0070550F" w:rsidTr="000E4075" w14:paraId="3F365DED" w14:textId="77777777">
        <w:tc>
          <w:tcPr>
            <w:tcW w:w="1705" w:type="dxa"/>
          </w:tcPr>
          <w:p w:rsidRPr="00A32D98" w:rsidR="0070550F" w:rsidP="000E4075" w:rsidRDefault="0070550F" w14:paraId="3739C341" w14:textId="77777777">
            <w:pPr>
              <w:rPr>
                <w:sz w:val="16"/>
              </w:rPr>
            </w:pPr>
            <w:r w:rsidRPr="00A32D98">
              <w:rPr>
                <w:sz w:val="16"/>
              </w:rPr>
              <w:t>Milieudoelen</w:t>
            </w:r>
          </w:p>
        </w:tc>
        <w:tc>
          <w:tcPr>
            <w:tcW w:w="7312" w:type="dxa"/>
          </w:tcPr>
          <w:p w:rsidRPr="00A32D98" w:rsidR="0070550F" w:rsidP="00746E9B" w:rsidRDefault="0070550F" w14:paraId="174687DF" w14:textId="77777777">
            <w:pPr>
              <w:pStyle w:val="ListParagraph"/>
              <w:numPr>
                <w:ilvl w:val="0"/>
                <w:numId w:val="43"/>
              </w:numPr>
              <w:rPr>
                <w:sz w:val="16"/>
                <w:lang w:val="nl-NL"/>
              </w:rPr>
            </w:pPr>
            <w:r w:rsidRPr="00A32D98">
              <w:rPr>
                <w:sz w:val="16"/>
                <w:lang w:val="nl-NL"/>
              </w:rPr>
              <w:t>D1T1: bijdragen aan de verdere ontwikkeling van de beoordeling van vogelpopulaties en het identificeren van de belangrijkste drukfactoren op regionaal niveau (OSPAR).</w:t>
            </w:r>
          </w:p>
          <w:p w:rsidRPr="00A32D98" w:rsidR="0070550F" w:rsidP="00746E9B" w:rsidRDefault="0070550F" w14:paraId="4DE36296" w14:textId="77777777">
            <w:pPr>
              <w:pStyle w:val="ListParagraph"/>
              <w:numPr>
                <w:ilvl w:val="0"/>
                <w:numId w:val="43"/>
              </w:numPr>
              <w:rPr>
                <w:sz w:val="16"/>
                <w:lang w:val="nl-NL"/>
              </w:rPr>
            </w:pPr>
            <w:r w:rsidRPr="00A32D98">
              <w:rPr>
                <w:sz w:val="16"/>
                <w:lang w:val="nl-NL"/>
              </w:rPr>
              <w:t>D1T2: herstel van rust voor zeezoogdieren en vogels door vermindering van visserij op de Vlakte van de Raan en in de Noordzeekustzone (in het kader van het VIBEG-akkoord).</w:t>
            </w:r>
          </w:p>
          <w:p w:rsidRPr="00A32D98" w:rsidR="0070550F" w:rsidP="00746E9B" w:rsidRDefault="0070550F" w14:paraId="11DCF3D1" w14:textId="77777777">
            <w:pPr>
              <w:pStyle w:val="ListParagraph"/>
              <w:numPr>
                <w:ilvl w:val="0"/>
                <w:numId w:val="43"/>
              </w:numPr>
              <w:rPr>
                <w:sz w:val="16"/>
                <w:lang w:val="nl-NL"/>
              </w:rPr>
            </w:pPr>
            <w:r w:rsidRPr="00A32D98">
              <w:rPr>
                <w:sz w:val="16"/>
                <w:lang w:val="nl-NL"/>
              </w:rPr>
              <w:t>D1T3: realiseren van instandhoudingdoelstellingen voor habitattypen en soorten in de Natura 2000-gebieden op zee (V</w:t>
            </w:r>
            <w:r w:rsidR="002463B4">
              <w:rPr>
                <w:sz w:val="16"/>
                <w:lang w:val="nl-NL"/>
              </w:rPr>
              <w:t xml:space="preserve">R en </w:t>
            </w:r>
            <w:r w:rsidRPr="00A32D98">
              <w:rPr>
                <w:sz w:val="16"/>
                <w:lang w:val="nl-NL"/>
              </w:rPr>
              <w:t>HR).</w:t>
            </w:r>
          </w:p>
          <w:p w:rsidRPr="00A32D98" w:rsidR="0070550F" w:rsidP="00746E9B" w:rsidRDefault="0070550F" w14:paraId="14CCEFDD" w14:textId="14EAC197">
            <w:pPr>
              <w:pStyle w:val="ListParagraph"/>
              <w:numPr>
                <w:ilvl w:val="0"/>
                <w:numId w:val="43"/>
              </w:numPr>
              <w:rPr>
                <w:sz w:val="16"/>
                <w:lang w:val="nl-NL"/>
              </w:rPr>
            </w:pPr>
            <w:r w:rsidRPr="00A32D98">
              <w:rPr>
                <w:sz w:val="16"/>
                <w:lang w:val="nl-NL"/>
              </w:rPr>
              <w:t>D1T7: monitoring vogelaanvaringen met windturbines in het kader van Wozep.</w:t>
            </w:r>
          </w:p>
        </w:tc>
      </w:tr>
      <w:tr w:rsidRPr="00A32D98" w:rsidR="0070550F" w:rsidTr="000E4075" w14:paraId="4BC489D6" w14:textId="77777777">
        <w:tc>
          <w:tcPr>
            <w:tcW w:w="9017" w:type="dxa"/>
            <w:gridSpan w:val="2"/>
          </w:tcPr>
          <w:p w:rsidRPr="00A32D98" w:rsidR="0070550F" w:rsidP="000E4075" w:rsidRDefault="0070550F" w14:paraId="1A75CAED" w14:textId="77777777">
            <w:pPr>
              <w:rPr>
                <w:b/>
                <w:sz w:val="16"/>
                <w:lang w:val="nl-NL"/>
              </w:rPr>
            </w:pPr>
            <w:r w:rsidRPr="00A32D98">
              <w:rPr>
                <w:b/>
                <w:sz w:val="16"/>
              </w:rPr>
              <w:t>Zeezoogdieren</w:t>
            </w:r>
          </w:p>
        </w:tc>
      </w:tr>
      <w:tr w:rsidRPr="0084482C" w:rsidR="0070550F" w:rsidTr="000E4075" w14:paraId="7D6DE34D" w14:textId="77777777">
        <w:tc>
          <w:tcPr>
            <w:tcW w:w="1705" w:type="dxa"/>
          </w:tcPr>
          <w:p w:rsidRPr="00A32D98" w:rsidR="0070550F" w:rsidP="000E4075" w:rsidRDefault="0070550F" w14:paraId="20A35C98" w14:textId="77777777">
            <w:pPr>
              <w:rPr>
                <w:sz w:val="16"/>
              </w:rPr>
            </w:pPr>
            <w:r w:rsidRPr="00A32D98">
              <w:rPr>
                <w:sz w:val="16"/>
              </w:rPr>
              <w:t>Goede milieutoestand</w:t>
            </w:r>
          </w:p>
          <w:p w:rsidRPr="00A32D98" w:rsidR="0070550F" w:rsidP="000E4075" w:rsidRDefault="0070550F" w14:paraId="0A264A19" w14:textId="77777777">
            <w:pPr>
              <w:rPr>
                <w:sz w:val="16"/>
              </w:rPr>
            </w:pPr>
          </w:p>
        </w:tc>
        <w:tc>
          <w:tcPr>
            <w:tcW w:w="7312" w:type="dxa"/>
          </w:tcPr>
          <w:p w:rsidRPr="00A32D98" w:rsidR="0070550F" w:rsidP="000E4075" w:rsidRDefault="0070550F" w14:paraId="492E75B2" w14:textId="77777777">
            <w:pPr>
              <w:rPr>
                <w:sz w:val="16"/>
                <w:lang w:val="nl-NL"/>
              </w:rPr>
            </w:pPr>
            <w:r w:rsidRPr="00A32D98">
              <w:rPr>
                <w:sz w:val="16"/>
                <w:lang w:val="nl-NL"/>
              </w:rPr>
              <w:t>Overkoepelend: de populatiedichtheden en demografie van populaties van zeezoogdieren duiden op gezonde populaties.</w:t>
            </w:r>
          </w:p>
          <w:p w:rsidRPr="00A32D98" w:rsidR="0070550F" w:rsidP="00746E9B" w:rsidRDefault="0070550F" w14:paraId="42E91A45" w14:textId="77777777">
            <w:pPr>
              <w:pStyle w:val="ListParagraph"/>
              <w:numPr>
                <w:ilvl w:val="0"/>
                <w:numId w:val="44"/>
              </w:numPr>
              <w:rPr>
                <w:sz w:val="16"/>
                <w:lang w:val="nl-NL"/>
              </w:rPr>
            </w:pPr>
            <w:r w:rsidRPr="00A32D98">
              <w:rPr>
                <w:sz w:val="16"/>
                <w:lang w:val="nl-NL"/>
              </w:rPr>
              <w:t xml:space="preserve">D1C1: bijvangst van bruinvissen is lager dan 1 procent van de best beschikbare populatieschatting (ASCOBANS). </w:t>
            </w:r>
          </w:p>
          <w:p w:rsidRPr="00A32D98" w:rsidR="0070550F" w:rsidP="00746E9B" w:rsidRDefault="0070550F" w14:paraId="6170B080" w14:textId="77777777">
            <w:pPr>
              <w:pStyle w:val="ListParagraph"/>
              <w:numPr>
                <w:ilvl w:val="0"/>
                <w:numId w:val="44"/>
              </w:numPr>
              <w:rPr>
                <w:sz w:val="16"/>
                <w:lang w:val="nl-NL"/>
              </w:rPr>
            </w:pPr>
            <w:r w:rsidRPr="00A32D98">
              <w:rPr>
                <w:sz w:val="16"/>
                <w:lang w:val="nl-NL"/>
              </w:rPr>
              <w:t>D1C2: de populatie</w:t>
            </w:r>
            <w:r w:rsidR="008134E6">
              <w:rPr>
                <w:sz w:val="16"/>
                <w:lang w:val="nl-NL"/>
              </w:rPr>
              <w:t>s</w:t>
            </w:r>
            <w:r w:rsidRPr="00A32D98">
              <w:rPr>
                <w:sz w:val="16"/>
                <w:lang w:val="nl-NL"/>
              </w:rPr>
              <w:t xml:space="preserve"> van de grijze zeehond (H1364), gewone zeehond (H1365) en de bruinvis (H1351) moet</w:t>
            </w:r>
            <w:r w:rsidR="008134E6">
              <w:rPr>
                <w:sz w:val="16"/>
                <w:lang w:val="nl-NL"/>
              </w:rPr>
              <w:t>en</w:t>
            </w:r>
            <w:r w:rsidRPr="00A32D98">
              <w:rPr>
                <w:sz w:val="16"/>
                <w:lang w:val="nl-NL"/>
              </w:rPr>
              <w:t xml:space="preserve"> voldoen aan gunstige referentiewaarde</w:t>
            </w:r>
            <w:r w:rsidR="008134E6">
              <w:rPr>
                <w:sz w:val="16"/>
                <w:lang w:val="nl-NL"/>
              </w:rPr>
              <w:t>n</w:t>
            </w:r>
            <w:r w:rsidRPr="00A32D98">
              <w:rPr>
                <w:sz w:val="16"/>
                <w:lang w:val="nl-NL"/>
              </w:rPr>
              <w:t xml:space="preserve"> voor de populatieomvang (FRP) vanuit de Habitatrichtlijn.</w:t>
            </w:r>
          </w:p>
          <w:p w:rsidRPr="00A32D98" w:rsidR="0070550F" w:rsidP="00746E9B" w:rsidRDefault="0070550F" w14:paraId="4DCEEB03" w14:textId="77777777">
            <w:pPr>
              <w:pStyle w:val="ListParagraph"/>
              <w:numPr>
                <w:ilvl w:val="0"/>
                <w:numId w:val="44"/>
              </w:numPr>
              <w:rPr>
                <w:sz w:val="16"/>
                <w:lang w:val="nl-NL"/>
              </w:rPr>
            </w:pPr>
            <w:r w:rsidRPr="00A32D98">
              <w:rPr>
                <w:sz w:val="16"/>
                <w:lang w:val="nl-NL"/>
              </w:rPr>
              <w:t xml:space="preserve">D1C3: geen afname in het geboortecijfer van de grijze zeehond van meer dan 1 procent sinds </w:t>
            </w:r>
            <w:r w:rsidR="008134E6">
              <w:rPr>
                <w:sz w:val="16"/>
                <w:lang w:val="nl-NL"/>
              </w:rPr>
              <w:t>het</w:t>
            </w:r>
            <w:r w:rsidRPr="00A32D98">
              <w:rPr>
                <w:sz w:val="16"/>
                <w:lang w:val="nl-NL"/>
              </w:rPr>
              <w:t xml:space="preserve"> laatste assessment en niet meer dan 25 procent afname sinds 1992 (OSPAR-beoordelingswaarde).</w:t>
            </w:r>
          </w:p>
          <w:p w:rsidRPr="00A32D98" w:rsidR="0070550F" w:rsidP="00746E9B" w:rsidRDefault="0070550F" w14:paraId="05FDAF93" w14:textId="01BB6C70">
            <w:pPr>
              <w:pStyle w:val="ListParagraph"/>
              <w:numPr>
                <w:ilvl w:val="0"/>
                <w:numId w:val="44"/>
              </w:numPr>
              <w:rPr>
                <w:sz w:val="16"/>
                <w:lang w:val="nl-NL"/>
              </w:rPr>
            </w:pPr>
            <w:r w:rsidRPr="00A32D98">
              <w:rPr>
                <w:sz w:val="16"/>
                <w:lang w:val="nl-NL"/>
              </w:rPr>
              <w:t>D11C1: voor impulsgeluid: ruimtelijke spreiding, tijdsduur en geluidsniveaus van luide impulsieve bronnen zijn zodanig dat directe en indirecte effecten van luid impulsgeluid niet de gunstige staat van instandhouding van soorten in gevaar k</w:t>
            </w:r>
            <w:r w:rsidR="008134E6">
              <w:rPr>
                <w:sz w:val="16"/>
                <w:lang w:val="nl-NL"/>
              </w:rPr>
              <w:t>unnen</w:t>
            </w:r>
            <w:r w:rsidRPr="00A32D98">
              <w:rPr>
                <w:sz w:val="16"/>
                <w:lang w:val="nl-NL"/>
              </w:rPr>
              <w:t xml:space="preserve"> brengen (zie verdere uitwerking bij D11).</w:t>
            </w:r>
          </w:p>
          <w:p w:rsidRPr="00A32D98" w:rsidR="0070550F" w:rsidP="00746E9B" w:rsidRDefault="0070550F" w14:paraId="271E4D7E" w14:textId="77777777">
            <w:pPr>
              <w:pStyle w:val="ListParagraph"/>
              <w:numPr>
                <w:ilvl w:val="0"/>
                <w:numId w:val="44"/>
              </w:numPr>
              <w:rPr>
                <w:sz w:val="16"/>
                <w:lang w:val="nl-NL"/>
              </w:rPr>
            </w:pPr>
            <w:r w:rsidRPr="00A32D98">
              <w:rPr>
                <w:sz w:val="16"/>
                <w:lang w:val="nl-NL"/>
              </w:rPr>
              <w:t xml:space="preserve">D1C4: verspreiding van de bruinvis en de gewone zeehond voldoet aan de gunstige referentiewaarde voor de verspreiding (FRR) uit de Habitatrichtlijn. </w:t>
            </w:r>
          </w:p>
          <w:p w:rsidRPr="00A32D98" w:rsidR="0070550F" w:rsidP="000E4075" w:rsidRDefault="0070550F" w14:paraId="31C00C14" w14:textId="77777777">
            <w:pPr>
              <w:pStyle w:val="ListParagraph"/>
              <w:ind w:left="360"/>
              <w:rPr>
                <w:sz w:val="16"/>
                <w:lang w:val="nl-NL"/>
              </w:rPr>
            </w:pPr>
          </w:p>
          <w:p w:rsidRPr="00A32D98" w:rsidR="0070550F" w:rsidP="000E4075" w:rsidRDefault="0070550F" w14:paraId="458E6EE7" w14:textId="77777777">
            <w:pPr>
              <w:rPr>
                <w:sz w:val="16"/>
                <w:lang w:val="nl-NL"/>
              </w:rPr>
            </w:pPr>
            <w:r w:rsidRPr="00A32D98">
              <w:rPr>
                <w:sz w:val="16"/>
                <w:lang w:val="nl-NL"/>
              </w:rPr>
              <w:t>Relevant is ook de mate waarin het areaal en de kwaliteit van leefgebieden van zeezoogdieren zich ontwikkelen:</w:t>
            </w:r>
          </w:p>
          <w:p w:rsidRPr="00A32D98" w:rsidR="0070550F" w:rsidP="00746E9B" w:rsidRDefault="0070550F" w14:paraId="4310EF8B" w14:textId="77777777">
            <w:pPr>
              <w:pStyle w:val="ListParagraph"/>
              <w:numPr>
                <w:ilvl w:val="0"/>
                <w:numId w:val="44"/>
              </w:numPr>
              <w:rPr>
                <w:sz w:val="16"/>
                <w:lang w:val="nl-NL"/>
              </w:rPr>
            </w:pPr>
            <w:r w:rsidRPr="00A32D98">
              <w:rPr>
                <w:sz w:val="16"/>
                <w:lang w:val="nl-NL"/>
              </w:rPr>
              <w:t>D1C5: behoud van de omvang en de kwaliteit van het leefgebied van de grijze zeehond (H1364), de gewone zeehond (H1365) en de bruinvis (H1351) (HR)</w:t>
            </w:r>
          </w:p>
        </w:tc>
      </w:tr>
      <w:tr w:rsidRPr="0084482C" w:rsidR="0070550F" w:rsidTr="000E4075" w14:paraId="0D9AE4AE" w14:textId="77777777">
        <w:tc>
          <w:tcPr>
            <w:tcW w:w="1705" w:type="dxa"/>
          </w:tcPr>
          <w:p w:rsidRPr="00A32D98" w:rsidR="0070550F" w:rsidP="000E4075" w:rsidRDefault="0070550F" w14:paraId="564EEBA5" w14:textId="77777777">
            <w:pPr>
              <w:rPr>
                <w:sz w:val="16"/>
              </w:rPr>
            </w:pPr>
            <w:r w:rsidRPr="00A32D98">
              <w:rPr>
                <w:sz w:val="16"/>
              </w:rPr>
              <w:t>Milieudoelen</w:t>
            </w:r>
          </w:p>
        </w:tc>
        <w:tc>
          <w:tcPr>
            <w:tcW w:w="7312" w:type="dxa"/>
          </w:tcPr>
          <w:p w:rsidRPr="00A32D98" w:rsidR="0070550F" w:rsidP="00746E9B" w:rsidRDefault="0070550F" w14:paraId="14D4749A" w14:textId="77777777">
            <w:pPr>
              <w:pStyle w:val="ListParagraph"/>
              <w:numPr>
                <w:ilvl w:val="0"/>
                <w:numId w:val="44"/>
              </w:numPr>
              <w:rPr>
                <w:sz w:val="16"/>
                <w:lang w:val="nl-NL"/>
              </w:rPr>
            </w:pPr>
            <w:r w:rsidRPr="00A32D98">
              <w:rPr>
                <w:sz w:val="16"/>
                <w:lang w:val="nl-NL"/>
              </w:rPr>
              <w:t>D1T2: herstel van rust voor zeezoogdieren en vogels door vermindering van visserij op de Vlakte van de Raan en in de Noordzeekustzone (in het kader van het VIBEG-akkoord).</w:t>
            </w:r>
          </w:p>
          <w:p w:rsidRPr="00A32D98" w:rsidR="0070550F" w:rsidP="00746E9B" w:rsidRDefault="0070550F" w14:paraId="05C439DC" w14:textId="77777777">
            <w:pPr>
              <w:pStyle w:val="ListParagraph"/>
              <w:numPr>
                <w:ilvl w:val="0"/>
                <w:numId w:val="44"/>
              </w:numPr>
              <w:rPr>
                <w:sz w:val="16"/>
                <w:lang w:val="nl-NL"/>
              </w:rPr>
            </w:pPr>
            <w:r w:rsidRPr="00A32D98">
              <w:rPr>
                <w:sz w:val="16"/>
                <w:lang w:val="nl-NL"/>
              </w:rPr>
              <w:t>D1T3: realiseren van instandhoudingsdoelstellingen voor habitattypen en soorten in de Natura 2000-gebieden op zee (V</w:t>
            </w:r>
            <w:r w:rsidR="002463B4">
              <w:rPr>
                <w:sz w:val="16"/>
                <w:lang w:val="nl-NL"/>
              </w:rPr>
              <w:t xml:space="preserve">R en </w:t>
            </w:r>
            <w:r w:rsidRPr="00A32D98">
              <w:rPr>
                <w:sz w:val="16"/>
                <w:lang w:val="nl-NL"/>
              </w:rPr>
              <w:t>HR).</w:t>
            </w:r>
          </w:p>
          <w:p w:rsidRPr="00A32D98" w:rsidR="0070550F" w:rsidP="00746E9B" w:rsidRDefault="0070550F" w14:paraId="4EDE54DC" w14:textId="77777777">
            <w:pPr>
              <w:pStyle w:val="ListParagraph"/>
              <w:numPr>
                <w:ilvl w:val="0"/>
                <w:numId w:val="44"/>
              </w:numPr>
              <w:rPr>
                <w:sz w:val="16"/>
                <w:lang w:val="nl-NL"/>
              </w:rPr>
            </w:pPr>
            <w:r w:rsidRPr="00A32D98">
              <w:rPr>
                <w:sz w:val="16"/>
                <w:lang w:val="nl-NL"/>
              </w:rPr>
              <w:t xml:space="preserve">D1T4: uitvoering van mitigerende maatregelen in </w:t>
            </w:r>
            <w:r w:rsidR="00F945EF">
              <w:rPr>
                <w:sz w:val="16"/>
                <w:lang w:val="nl-NL"/>
              </w:rPr>
              <w:t xml:space="preserve">het </w:t>
            </w:r>
            <w:r w:rsidRPr="00A32D98">
              <w:rPr>
                <w:sz w:val="16"/>
                <w:lang w:val="nl-NL"/>
              </w:rPr>
              <w:t>kader van het Bruinvisbeschermingsplan van 201</w:t>
            </w:r>
            <w:r w:rsidR="008C543D">
              <w:rPr>
                <w:sz w:val="16"/>
                <w:lang w:val="nl-NL"/>
              </w:rPr>
              <w:t>1</w:t>
            </w:r>
            <w:r w:rsidR="008134E6">
              <w:rPr>
                <w:sz w:val="16"/>
                <w:lang w:val="nl-NL"/>
              </w:rPr>
              <w:t>.</w:t>
            </w:r>
          </w:p>
          <w:p w:rsidRPr="00A32D98" w:rsidR="0070550F" w:rsidP="00746E9B" w:rsidRDefault="0070550F" w14:paraId="7D7DD712" w14:textId="77777777">
            <w:pPr>
              <w:pStyle w:val="ListParagraph"/>
              <w:numPr>
                <w:ilvl w:val="0"/>
                <w:numId w:val="44"/>
              </w:numPr>
              <w:rPr>
                <w:sz w:val="16"/>
                <w:lang w:val="nl-NL"/>
              </w:rPr>
            </w:pPr>
            <w:r w:rsidRPr="00A32D98">
              <w:rPr>
                <w:sz w:val="16"/>
                <w:lang w:val="nl-NL"/>
              </w:rPr>
              <w:t>D1T8: verder onderzoek naar cumulatieve effecten in OSPAR-verband.</w:t>
            </w:r>
          </w:p>
        </w:tc>
      </w:tr>
      <w:tr w:rsidRPr="00A32D98" w:rsidR="0070550F" w:rsidTr="000E4075" w14:paraId="6BC1AF6B" w14:textId="77777777">
        <w:tc>
          <w:tcPr>
            <w:tcW w:w="9017" w:type="dxa"/>
            <w:gridSpan w:val="2"/>
          </w:tcPr>
          <w:p w:rsidRPr="00A32D98" w:rsidR="0070550F" w:rsidP="000E4075" w:rsidRDefault="0070550F" w14:paraId="7EA697ED" w14:textId="77777777">
            <w:pPr>
              <w:rPr>
                <w:b/>
                <w:sz w:val="16"/>
                <w:lang w:val="nl-NL"/>
              </w:rPr>
            </w:pPr>
            <w:r w:rsidRPr="00A32D98">
              <w:rPr>
                <w:b/>
                <w:sz w:val="16"/>
              </w:rPr>
              <w:t>Vissen en inktvissen</w:t>
            </w:r>
          </w:p>
        </w:tc>
      </w:tr>
      <w:tr w:rsidRPr="0084482C" w:rsidR="0070550F" w:rsidTr="000E4075" w14:paraId="34D39B1B" w14:textId="77777777">
        <w:tc>
          <w:tcPr>
            <w:tcW w:w="1705" w:type="dxa"/>
          </w:tcPr>
          <w:p w:rsidRPr="00A32D98" w:rsidR="0070550F" w:rsidP="000E4075" w:rsidRDefault="0070550F" w14:paraId="431D8A7E" w14:textId="77777777">
            <w:pPr>
              <w:rPr>
                <w:sz w:val="16"/>
              </w:rPr>
            </w:pPr>
            <w:r w:rsidRPr="00A32D98">
              <w:rPr>
                <w:sz w:val="16"/>
              </w:rPr>
              <w:t>Goede milieutoestand</w:t>
            </w:r>
          </w:p>
          <w:p w:rsidRPr="00A32D98" w:rsidR="0070550F" w:rsidP="000E4075" w:rsidRDefault="0070550F" w14:paraId="2300A60A" w14:textId="77777777">
            <w:pPr>
              <w:rPr>
                <w:sz w:val="16"/>
              </w:rPr>
            </w:pPr>
          </w:p>
        </w:tc>
        <w:tc>
          <w:tcPr>
            <w:tcW w:w="7312" w:type="dxa"/>
          </w:tcPr>
          <w:p w:rsidRPr="00A32D98" w:rsidR="0070550F" w:rsidP="000E4075" w:rsidRDefault="0070550F" w14:paraId="2B09D008" w14:textId="77777777">
            <w:pPr>
              <w:rPr>
                <w:sz w:val="16"/>
                <w:lang w:val="nl-NL"/>
              </w:rPr>
            </w:pPr>
            <w:r w:rsidRPr="00A32D98">
              <w:rPr>
                <w:sz w:val="16"/>
                <w:lang w:val="nl-NL"/>
              </w:rPr>
              <w:t>Overkoepelend: de populatiedichtheden en demografie van populaties van vissen duiden op gezonde populaties.</w:t>
            </w:r>
          </w:p>
          <w:p w:rsidRPr="00982ED4" w:rsidR="0070550F" w:rsidP="00746E9B" w:rsidRDefault="0070550F" w14:paraId="3728A803" w14:textId="77777777">
            <w:pPr>
              <w:pStyle w:val="ListParagraph"/>
              <w:numPr>
                <w:ilvl w:val="0"/>
                <w:numId w:val="19"/>
              </w:numPr>
              <w:rPr>
                <w:sz w:val="16"/>
                <w:lang w:val="nl-NL"/>
              </w:rPr>
            </w:pPr>
            <w:r w:rsidRPr="00982ED4">
              <w:rPr>
                <w:sz w:val="16"/>
                <w:lang w:val="nl-NL"/>
              </w:rPr>
              <w:t>D1C2 – Commerciële vispopulaties: zie D3C1</w:t>
            </w:r>
            <w:r w:rsidR="008134E6">
              <w:rPr>
                <w:sz w:val="16"/>
                <w:lang w:val="nl-NL"/>
              </w:rPr>
              <w:t xml:space="preserve"> </w:t>
            </w:r>
            <w:r w:rsidRPr="00982ED4">
              <w:rPr>
                <w:sz w:val="16"/>
                <w:lang w:val="nl-NL"/>
              </w:rPr>
              <w:t>en D3C2 – Commerciële vissen</w:t>
            </w:r>
          </w:p>
          <w:p w:rsidRPr="00A32D98" w:rsidR="0070550F" w:rsidP="00746E9B" w:rsidRDefault="0070550F" w14:paraId="27B4A5EF" w14:textId="77777777">
            <w:pPr>
              <w:pStyle w:val="ListParagraph"/>
              <w:numPr>
                <w:ilvl w:val="0"/>
                <w:numId w:val="19"/>
              </w:numPr>
              <w:rPr>
                <w:sz w:val="16"/>
                <w:lang w:val="nl-NL"/>
              </w:rPr>
            </w:pPr>
            <w:r w:rsidRPr="00A32D98">
              <w:rPr>
                <w:sz w:val="16"/>
                <w:lang w:val="nl-NL"/>
              </w:rPr>
              <w:t>D1C2</w:t>
            </w:r>
            <w:r w:rsidRPr="00A32D98">
              <w:rPr>
                <w:rStyle w:val="FootnoteReference"/>
                <w:sz w:val="16"/>
                <w:lang w:val="nl-NL"/>
              </w:rPr>
              <w:footnoteReference w:id="6"/>
            </w:r>
            <w:r w:rsidRPr="00A32D98">
              <w:rPr>
                <w:sz w:val="16"/>
                <w:lang w:val="nl-NL"/>
              </w:rPr>
              <w:t>: toename van het aandeel kwetsbare soorten vissen in de visgemeenschap (OSPAR-beoordelingswaarde).</w:t>
            </w:r>
          </w:p>
          <w:p w:rsidRPr="00A32D98" w:rsidR="0070550F" w:rsidP="00746E9B" w:rsidRDefault="0070550F" w14:paraId="43A3B653" w14:textId="77777777">
            <w:pPr>
              <w:pStyle w:val="ListParagraph"/>
              <w:numPr>
                <w:ilvl w:val="0"/>
                <w:numId w:val="19"/>
              </w:numPr>
              <w:rPr>
                <w:sz w:val="16"/>
                <w:lang w:val="nl-NL"/>
              </w:rPr>
            </w:pPr>
            <w:r w:rsidRPr="00A32D98">
              <w:rPr>
                <w:sz w:val="16"/>
                <w:lang w:val="nl-NL"/>
              </w:rPr>
              <w:t>D1C2: populatie van trekvissen moet voldoen aan gunstige referentiewaarde voor de populatieomvang (FRP) uit de Habitatrichtlijn.</w:t>
            </w:r>
          </w:p>
          <w:p w:rsidRPr="00A32D98" w:rsidR="0070550F" w:rsidP="00746E9B" w:rsidRDefault="0070550F" w14:paraId="4B70A93E" w14:textId="77777777">
            <w:pPr>
              <w:pStyle w:val="ListParagraph"/>
              <w:numPr>
                <w:ilvl w:val="0"/>
                <w:numId w:val="19"/>
              </w:numPr>
              <w:rPr>
                <w:sz w:val="16"/>
                <w:lang w:val="nl-NL"/>
              </w:rPr>
            </w:pPr>
            <w:r w:rsidRPr="00A32D98">
              <w:rPr>
                <w:sz w:val="16"/>
                <w:lang w:val="nl-NL"/>
              </w:rPr>
              <w:t>D1C2: verbeteren van de populatieomvang van haaien en roggen in de Noordzee en vooral in de kustzone.</w:t>
            </w:r>
          </w:p>
          <w:p w:rsidRPr="00A32D98" w:rsidR="0070550F" w:rsidP="00746E9B" w:rsidRDefault="0070550F" w14:paraId="15E32DD1" w14:textId="77777777">
            <w:pPr>
              <w:pStyle w:val="ListParagraph"/>
              <w:numPr>
                <w:ilvl w:val="0"/>
                <w:numId w:val="19"/>
              </w:numPr>
              <w:rPr>
                <w:sz w:val="16"/>
                <w:lang w:val="nl-NL"/>
              </w:rPr>
            </w:pPr>
            <w:r w:rsidRPr="00A32D98">
              <w:rPr>
                <w:sz w:val="16"/>
                <w:lang w:val="nl-NL"/>
              </w:rPr>
              <w:t>D1C3: toename van het aandeel grote vissen in de visgemeenschap (OSPAR-beoordelingswaarde).</w:t>
            </w:r>
          </w:p>
          <w:p w:rsidRPr="00A32D98" w:rsidR="0070550F" w:rsidP="00746E9B" w:rsidRDefault="0070550F" w14:paraId="440658D6" w14:textId="77777777">
            <w:pPr>
              <w:pStyle w:val="ListParagraph"/>
              <w:numPr>
                <w:ilvl w:val="0"/>
                <w:numId w:val="19"/>
              </w:numPr>
              <w:rPr>
                <w:sz w:val="16"/>
                <w:lang w:val="nl-NL"/>
              </w:rPr>
            </w:pPr>
            <w:r w:rsidRPr="00A32D98">
              <w:rPr>
                <w:sz w:val="16"/>
                <w:lang w:val="nl-NL"/>
              </w:rPr>
              <w:t xml:space="preserve">D1C4: verspreiding van trekvissen in het rivierengebied voldoet aan </w:t>
            </w:r>
            <w:r>
              <w:rPr>
                <w:sz w:val="16"/>
                <w:lang w:val="nl-NL"/>
              </w:rPr>
              <w:t xml:space="preserve">de </w:t>
            </w:r>
            <w:r w:rsidRPr="00A32D98">
              <w:rPr>
                <w:sz w:val="16"/>
                <w:lang w:val="nl-NL"/>
              </w:rPr>
              <w:t>gunstige referentiewaarde voor de verspreiding (FRR) uit de Habitatrichtlijn.</w:t>
            </w:r>
          </w:p>
          <w:p w:rsidRPr="00A32D98" w:rsidR="0070550F" w:rsidP="00746E9B" w:rsidRDefault="0070550F" w14:paraId="5E05CC4B" w14:textId="77777777">
            <w:pPr>
              <w:pStyle w:val="ListParagraph"/>
              <w:numPr>
                <w:ilvl w:val="0"/>
                <w:numId w:val="19"/>
              </w:numPr>
              <w:rPr>
                <w:sz w:val="16"/>
                <w:lang w:val="nl-NL"/>
              </w:rPr>
            </w:pPr>
            <w:r w:rsidRPr="00A32D98">
              <w:rPr>
                <w:sz w:val="16"/>
                <w:lang w:val="nl-NL"/>
              </w:rPr>
              <w:t xml:space="preserve">D1C5: vermindering </w:t>
            </w:r>
            <w:r>
              <w:rPr>
                <w:sz w:val="16"/>
                <w:lang w:val="nl-NL"/>
              </w:rPr>
              <w:t xml:space="preserve">van </w:t>
            </w:r>
            <w:r w:rsidRPr="00A32D98">
              <w:rPr>
                <w:sz w:val="16"/>
                <w:lang w:val="nl-NL"/>
              </w:rPr>
              <w:t>barrières in de trekroutes, zodat deze uiterlijk in 2027 geen belemmering zijn voor duurzame populaties in het stroomgebied (KRW).</w:t>
            </w:r>
          </w:p>
        </w:tc>
      </w:tr>
      <w:tr w:rsidRPr="0084482C" w:rsidR="0070550F" w:rsidTr="000E4075" w14:paraId="7552C625" w14:textId="77777777">
        <w:tc>
          <w:tcPr>
            <w:tcW w:w="1705" w:type="dxa"/>
          </w:tcPr>
          <w:p w:rsidRPr="00A32D98" w:rsidR="0070550F" w:rsidP="000E4075" w:rsidRDefault="0070550F" w14:paraId="4406A184" w14:textId="77777777">
            <w:pPr>
              <w:rPr>
                <w:sz w:val="16"/>
              </w:rPr>
            </w:pPr>
            <w:r w:rsidRPr="00A32D98">
              <w:rPr>
                <w:sz w:val="16"/>
              </w:rPr>
              <w:t>Milieudoelen</w:t>
            </w:r>
          </w:p>
        </w:tc>
        <w:tc>
          <w:tcPr>
            <w:tcW w:w="7312" w:type="dxa"/>
          </w:tcPr>
          <w:p w:rsidRPr="00A32D98" w:rsidR="0070550F" w:rsidP="00746E9B" w:rsidRDefault="0070550F" w14:paraId="28EF7261" w14:textId="77777777">
            <w:pPr>
              <w:pStyle w:val="ListParagraph"/>
              <w:numPr>
                <w:ilvl w:val="0"/>
                <w:numId w:val="18"/>
              </w:numPr>
              <w:rPr>
                <w:sz w:val="16"/>
                <w:lang w:val="nl-NL"/>
              </w:rPr>
            </w:pPr>
            <w:r w:rsidRPr="00A32D98">
              <w:rPr>
                <w:sz w:val="16"/>
                <w:lang w:val="nl-NL"/>
              </w:rPr>
              <w:t xml:space="preserve">D1T5: onderzoek naar haaien en roggen in combinatie met het nemen van mitigerende maatregelen zoals vastgelegd in </w:t>
            </w:r>
            <w:r w:rsidR="008134E6">
              <w:rPr>
                <w:sz w:val="16"/>
                <w:lang w:val="nl-NL"/>
              </w:rPr>
              <w:t xml:space="preserve">het </w:t>
            </w:r>
            <w:r>
              <w:rPr>
                <w:sz w:val="16"/>
                <w:lang w:val="nl-NL"/>
              </w:rPr>
              <w:t>KRM-haaienactieplan</w:t>
            </w:r>
            <w:r w:rsidRPr="00A32D98">
              <w:rPr>
                <w:sz w:val="16"/>
                <w:lang w:val="nl-NL"/>
              </w:rPr>
              <w:t>: communicatie en educatie; vermindering ongewenste bijvangsten; verhogen overleving.</w:t>
            </w:r>
          </w:p>
          <w:p w:rsidRPr="00A32D98" w:rsidR="0070550F" w:rsidP="00746E9B" w:rsidRDefault="0070550F" w14:paraId="6BCCA2EF" w14:textId="77777777">
            <w:pPr>
              <w:pStyle w:val="ListParagraph"/>
              <w:numPr>
                <w:ilvl w:val="0"/>
                <w:numId w:val="18"/>
              </w:numPr>
              <w:rPr>
                <w:sz w:val="16"/>
                <w:lang w:val="nl-NL"/>
              </w:rPr>
            </w:pPr>
            <w:r w:rsidRPr="00A32D98">
              <w:rPr>
                <w:sz w:val="16"/>
                <w:lang w:val="nl-NL"/>
              </w:rPr>
              <w:t>D1T6: aanpakken van de resterende vismigratieknelpunten in Nederland om de connectiviteit tussen watersystemen te herstellen (KRW).</w:t>
            </w:r>
          </w:p>
          <w:p w:rsidRPr="00A32D98" w:rsidR="0070550F" w:rsidP="00746E9B" w:rsidRDefault="0070550F" w14:paraId="7DB3F57E" w14:textId="77777777">
            <w:pPr>
              <w:pStyle w:val="ListParagraph"/>
              <w:numPr>
                <w:ilvl w:val="0"/>
                <w:numId w:val="18"/>
              </w:numPr>
              <w:rPr>
                <w:sz w:val="16"/>
                <w:lang w:val="nl-NL"/>
              </w:rPr>
            </w:pPr>
            <w:r w:rsidRPr="00A32D98">
              <w:rPr>
                <w:sz w:val="16"/>
                <w:lang w:val="nl-NL"/>
              </w:rPr>
              <w:t>D1T8: onderzoek naar de noodzaak van visserijvrije zones rondom kunstwerken ter bevordering van de migratiemogelijkheden voor trekvissen (KRW).</w:t>
            </w:r>
          </w:p>
          <w:p w:rsidRPr="00A32D98" w:rsidR="0070550F" w:rsidP="00746E9B" w:rsidRDefault="0070550F" w14:paraId="07CA1481" w14:textId="77777777">
            <w:pPr>
              <w:pStyle w:val="ListParagraph"/>
              <w:numPr>
                <w:ilvl w:val="0"/>
                <w:numId w:val="18"/>
              </w:numPr>
              <w:rPr>
                <w:sz w:val="16"/>
                <w:lang w:val="nl-NL"/>
              </w:rPr>
            </w:pPr>
            <w:r w:rsidRPr="00A32D98">
              <w:rPr>
                <w:sz w:val="16"/>
                <w:lang w:val="nl-NL"/>
              </w:rPr>
              <w:t>D3T1</w:t>
            </w:r>
            <w:r>
              <w:rPr>
                <w:sz w:val="16"/>
                <w:lang w:val="nl-NL"/>
              </w:rPr>
              <w:t>; D3T2</w:t>
            </w:r>
            <w:r w:rsidRPr="00A32D98">
              <w:rPr>
                <w:sz w:val="16"/>
                <w:lang w:val="nl-NL"/>
              </w:rPr>
              <w:t>: het beheer van alle commercieel beviste bestanden voldoet aan F≤FMSY en een paaibiomassa boven het voorzorgniveau MSY Btrigger.</w:t>
            </w:r>
          </w:p>
          <w:p w:rsidRPr="00A32D98" w:rsidR="0070550F" w:rsidP="00746E9B" w:rsidRDefault="0070550F" w14:paraId="1424EFDE" w14:textId="77777777">
            <w:pPr>
              <w:pStyle w:val="ListParagraph"/>
              <w:numPr>
                <w:ilvl w:val="0"/>
                <w:numId w:val="18"/>
              </w:numPr>
              <w:rPr>
                <w:sz w:val="16"/>
                <w:lang w:val="nl-NL"/>
              </w:rPr>
            </w:pPr>
            <w:r w:rsidRPr="00A32D98">
              <w:rPr>
                <w:sz w:val="16"/>
                <w:lang w:val="nl-NL"/>
              </w:rPr>
              <w:t>D1T3: realiseren van instandhoudingsdoelstellingen voor habitattypen en soorten in de Natura 2000-gebieden op zee (VHR).</w:t>
            </w:r>
          </w:p>
        </w:tc>
      </w:tr>
      <w:tr w:rsidRPr="00A32D98" w:rsidR="0070550F" w:rsidTr="000E4075" w14:paraId="3DFE271D" w14:textId="77777777">
        <w:tc>
          <w:tcPr>
            <w:tcW w:w="9017" w:type="dxa"/>
            <w:gridSpan w:val="2"/>
          </w:tcPr>
          <w:p w:rsidRPr="00A32D98" w:rsidR="0070550F" w:rsidP="000E4075" w:rsidRDefault="0070550F" w14:paraId="2B15C1DE" w14:textId="77777777">
            <w:pPr>
              <w:rPr>
                <w:b/>
                <w:sz w:val="16"/>
                <w:lang w:val="nl-NL"/>
              </w:rPr>
            </w:pPr>
            <w:r w:rsidRPr="00A32D98">
              <w:rPr>
                <w:b/>
                <w:sz w:val="16"/>
              </w:rPr>
              <w:t>Pelagische habitats</w:t>
            </w:r>
          </w:p>
        </w:tc>
      </w:tr>
      <w:tr w:rsidRPr="0084482C" w:rsidR="0070550F" w:rsidTr="000E4075" w14:paraId="59DEB5AC" w14:textId="77777777">
        <w:tc>
          <w:tcPr>
            <w:tcW w:w="1705" w:type="dxa"/>
          </w:tcPr>
          <w:p w:rsidRPr="00A32D98" w:rsidR="0070550F" w:rsidP="000E4075" w:rsidRDefault="0070550F" w14:paraId="083C1667" w14:textId="77777777">
            <w:pPr>
              <w:rPr>
                <w:sz w:val="16"/>
              </w:rPr>
            </w:pPr>
            <w:r w:rsidRPr="00A32D98">
              <w:rPr>
                <w:sz w:val="16"/>
              </w:rPr>
              <w:t>Goede milieutoestand</w:t>
            </w:r>
          </w:p>
        </w:tc>
        <w:tc>
          <w:tcPr>
            <w:tcW w:w="7312" w:type="dxa"/>
          </w:tcPr>
          <w:p w:rsidRPr="00A32D98" w:rsidR="0070550F" w:rsidP="000E4075" w:rsidRDefault="0070550F" w14:paraId="2F991EB5" w14:textId="77777777">
            <w:pPr>
              <w:rPr>
                <w:sz w:val="16"/>
                <w:lang w:val="nl-NL"/>
              </w:rPr>
            </w:pPr>
            <w:r w:rsidRPr="00A32D98">
              <w:rPr>
                <w:sz w:val="16"/>
                <w:lang w:val="nl-NL"/>
              </w:rPr>
              <w:t>D1C6: voor pelagische habitats is de goede milieutoestand bereikt wanneer de ruimtelijke en temporele variatie in de planktongemeenschap binnen een bandbreedte blijft die duidt op een goede milieutoestand. De te gebruiken bandbreedtes moeten in de tweede cyclus nog regionaal worden vastgesteld.</w:t>
            </w:r>
          </w:p>
        </w:tc>
      </w:tr>
      <w:tr w:rsidRPr="0084482C" w:rsidR="0070550F" w:rsidTr="000E4075" w14:paraId="48602F4F" w14:textId="77777777">
        <w:tc>
          <w:tcPr>
            <w:tcW w:w="1705" w:type="dxa"/>
          </w:tcPr>
          <w:p w:rsidRPr="00A32D98" w:rsidR="0070550F" w:rsidP="000E4075" w:rsidRDefault="0070550F" w14:paraId="723EDD47" w14:textId="77777777">
            <w:pPr>
              <w:rPr>
                <w:sz w:val="16"/>
              </w:rPr>
            </w:pPr>
            <w:r w:rsidRPr="00A32D98">
              <w:rPr>
                <w:sz w:val="16"/>
              </w:rPr>
              <w:t>Milieudoelen</w:t>
            </w:r>
          </w:p>
        </w:tc>
        <w:tc>
          <w:tcPr>
            <w:tcW w:w="7312" w:type="dxa"/>
          </w:tcPr>
          <w:p w:rsidRPr="00A32D98" w:rsidR="0070550F" w:rsidP="000E4075" w:rsidRDefault="0070550F" w14:paraId="6C78D8F4" w14:textId="77777777">
            <w:pPr>
              <w:rPr>
                <w:sz w:val="16"/>
                <w:lang w:val="nl-NL"/>
              </w:rPr>
            </w:pPr>
            <w:r w:rsidRPr="00A32D98">
              <w:rPr>
                <w:sz w:val="16"/>
                <w:lang w:val="nl-NL"/>
              </w:rPr>
              <w:t>D6T4: verder ontwikkelen en testen van regionale beoordelingsmethoden die in de toekomst kunnen worden gebruikt voor beoordeling van benthische en pelagische habitats.</w:t>
            </w:r>
          </w:p>
        </w:tc>
      </w:tr>
    </w:tbl>
    <w:p w:rsidR="0070550F" w:rsidP="0070550F" w:rsidRDefault="0070550F" w14:paraId="56AB6F98" w14:textId="77777777">
      <w:pPr>
        <w:rPr>
          <w:lang w:val="nl-NL"/>
        </w:rPr>
      </w:pPr>
    </w:p>
    <w:p w:rsidR="0070550F" w:rsidP="0070550F" w:rsidRDefault="0070550F" w14:paraId="68E77247" w14:textId="77777777">
      <w:pPr>
        <w:pStyle w:val="TOCHeading"/>
      </w:pPr>
      <w:r w:rsidRPr="00B96268">
        <w:t>Geïmplementeerde maatregelen</w:t>
      </w:r>
    </w:p>
    <w:p w:rsidRPr="00E131F5" w:rsidR="00D67C58" w:rsidP="00D67C58" w:rsidRDefault="0070550F" w14:paraId="22654EA7" w14:textId="77777777">
      <w:pPr>
        <w:pStyle w:val="TOCHeading"/>
        <w:rPr>
          <w:rStyle w:val="IntenseEmphasis"/>
          <w:sz w:val="18"/>
        </w:rPr>
      </w:pPr>
      <w:r w:rsidRPr="00E131F5">
        <w:rPr>
          <w:rStyle w:val="IntenseEmphasis"/>
          <w:sz w:val="18"/>
        </w:rPr>
        <w:t>Vogels en zeezoogdieren</w:t>
      </w:r>
    </w:p>
    <w:p w:rsidR="0070550F" w:rsidP="0070550F" w:rsidRDefault="0070550F" w14:paraId="11824E03" w14:textId="30462228">
      <w:pPr>
        <w:rPr>
          <w:lang w:val="nl-NL" w:eastAsia="nl-NL"/>
        </w:rPr>
      </w:pPr>
      <w:r>
        <w:rPr>
          <w:lang w:val="nl-NL" w:eastAsia="nl-NL"/>
        </w:rPr>
        <w:t>In 2017 trad de Wet natuurbescherming in werk</w:t>
      </w:r>
      <w:r w:rsidR="008134E6">
        <w:rPr>
          <w:lang w:val="nl-NL" w:eastAsia="nl-NL"/>
        </w:rPr>
        <w:t>ing</w:t>
      </w:r>
      <w:r>
        <w:rPr>
          <w:lang w:val="nl-NL" w:eastAsia="nl-NL"/>
        </w:rPr>
        <w:t xml:space="preserve">. Deze vervangt de Flora- en faunawet en </w:t>
      </w:r>
      <w:r w:rsidR="008134E6">
        <w:rPr>
          <w:lang w:val="nl-NL" w:eastAsia="nl-NL"/>
        </w:rPr>
        <w:t xml:space="preserve">de </w:t>
      </w:r>
      <w:r>
        <w:rPr>
          <w:lang w:val="nl-NL" w:eastAsia="nl-NL"/>
        </w:rPr>
        <w:t xml:space="preserve">Natuurbeschermingswet </w:t>
      </w:r>
      <w:r w:rsidR="0084442C">
        <w:rPr>
          <w:lang w:val="nl-NL" w:eastAsia="nl-NL"/>
        </w:rPr>
        <w:t>(</w:t>
      </w:r>
      <w:r>
        <w:rPr>
          <w:lang w:val="nl-NL" w:eastAsia="nl-NL"/>
        </w:rPr>
        <w:t>1998</w:t>
      </w:r>
      <w:r w:rsidR="0084442C">
        <w:rPr>
          <w:lang w:val="nl-NL" w:eastAsia="nl-NL"/>
        </w:rPr>
        <w:t>)</w:t>
      </w:r>
      <w:r>
        <w:rPr>
          <w:lang w:val="nl-NL" w:eastAsia="nl-NL"/>
        </w:rPr>
        <w:t xml:space="preserve"> en implementeert de EU-Vogelrichtlijn (VR) en -Habitatrichtlijn (HR). De wet regelt generieke bescherming van onder meer soorten vogels en zoogdieren</w:t>
      </w:r>
      <w:r w:rsidR="00C21D83">
        <w:rPr>
          <w:lang w:val="nl-NL" w:eastAsia="nl-NL"/>
        </w:rPr>
        <w:t xml:space="preserve">, </w:t>
      </w:r>
      <w:r w:rsidR="008134E6">
        <w:rPr>
          <w:lang w:val="nl-NL" w:eastAsia="nl-NL"/>
        </w:rPr>
        <w:t>onder andere</w:t>
      </w:r>
      <w:r>
        <w:rPr>
          <w:lang w:val="nl-NL" w:eastAsia="nl-NL"/>
        </w:rPr>
        <w:t xml:space="preserve"> </w:t>
      </w:r>
      <w:r w:rsidR="00C21D83">
        <w:rPr>
          <w:lang w:val="nl-NL" w:eastAsia="nl-NL"/>
        </w:rPr>
        <w:t xml:space="preserve">het </w:t>
      </w:r>
      <w:r>
        <w:rPr>
          <w:lang w:val="nl-NL" w:eastAsia="nl-NL"/>
        </w:rPr>
        <w:t xml:space="preserve">verbod op doden en </w:t>
      </w:r>
      <w:r w:rsidR="006427B1">
        <w:rPr>
          <w:lang w:val="nl-NL" w:eastAsia="nl-NL"/>
        </w:rPr>
        <w:t>verstoren</w:t>
      </w:r>
      <w:r>
        <w:rPr>
          <w:lang w:val="nl-NL" w:eastAsia="nl-NL"/>
        </w:rPr>
        <w:t xml:space="preserve"> van dieren. </w:t>
      </w:r>
      <w:r w:rsidRPr="00EB38FA" w:rsidR="006427B1">
        <w:rPr>
          <w:lang w:val="nl-NL" w:eastAsia="nl-NL"/>
        </w:rPr>
        <w:t xml:space="preserve">Op basis van de Wet windenergie op zee kunnen voor de bouw en exploitatie van windparken </w:t>
      </w:r>
      <w:r w:rsidR="006427B1">
        <w:rPr>
          <w:lang w:val="nl-NL" w:eastAsia="nl-NL"/>
        </w:rPr>
        <w:t xml:space="preserve">– onder voorwaarden </w:t>
      </w:r>
      <w:r w:rsidR="005F5515">
        <w:rPr>
          <w:lang w:val="nl-NL" w:eastAsia="nl-NL"/>
        </w:rPr>
        <w:t>–</w:t>
      </w:r>
      <w:r w:rsidR="006427B1">
        <w:rPr>
          <w:lang w:val="nl-NL" w:eastAsia="nl-NL"/>
        </w:rPr>
        <w:t xml:space="preserve"> </w:t>
      </w:r>
      <w:r w:rsidRPr="00EB38FA" w:rsidR="006427B1">
        <w:rPr>
          <w:lang w:val="nl-NL" w:eastAsia="nl-NL"/>
        </w:rPr>
        <w:t xml:space="preserve">vrijstellingen </w:t>
      </w:r>
      <w:r w:rsidR="006427B1">
        <w:rPr>
          <w:lang w:val="nl-NL" w:eastAsia="nl-NL"/>
        </w:rPr>
        <w:t xml:space="preserve">worden </w:t>
      </w:r>
      <w:r w:rsidRPr="00EB38FA" w:rsidR="006427B1">
        <w:rPr>
          <w:lang w:val="nl-NL" w:eastAsia="nl-NL"/>
        </w:rPr>
        <w:t>verleend van verboden van het verstoren of doden van vogelsoorten, zeezoogdieren en/of vleermuizen.</w:t>
      </w:r>
      <w:r w:rsidR="006427B1">
        <w:rPr>
          <w:lang w:val="nl-NL" w:eastAsia="nl-NL"/>
        </w:rPr>
        <w:t xml:space="preserve"> </w:t>
      </w:r>
      <w:r>
        <w:rPr>
          <w:lang w:val="nl-NL" w:eastAsia="nl-NL"/>
        </w:rPr>
        <w:t>De Wet natuurbescherming regelt ook het aanwijzen van beschermde VR- en HR-gebieden (Natura 2000-gebieden) voor soorten vogels en zeezoogdieren.</w:t>
      </w:r>
      <w:r w:rsidR="000624E9">
        <w:rPr>
          <w:lang w:val="nl-NL" w:eastAsia="nl-NL"/>
        </w:rPr>
        <w:t xml:space="preserve"> </w:t>
      </w:r>
    </w:p>
    <w:p w:rsidR="00CD2D65" w:rsidP="00CD2D65" w:rsidRDefault="00A37F86" w14:paraId="13955903" w14:textId="12F0C966">
      <w:pPr>
        <w:rPr>
          <w:lang w:val="nl-NL" w:eastAsia="nl-NL"/>
        </w:rPr>
      </w:pPr>
      <w:r>
        <w:rPr>
          <w:lang w:val="nl-NL" w:eastAsia="nl-NL"/>
        </w:rPr>
        <w:t>I</w:t>
      </w:r>
      <w:r w:rsidRPr="002A4A7A" w:rsidR="0070550F">
        <w:rPr>
          <w:lang w:val="nl-NL" w:eastAsia="nl-NL"/>
        </w:rPr>
        <w:t xml:space="preserve">n </w:t>
      </w:r>
      <w:r w:rsidR="0070550F">
        <w:rPr>
          <w:lang w:val="nl-NL" w:eastAsia="nl-NL"/>
        </w:rPr>
        <w:t xml:space="preserve">aangewezen </w:t>
      </w:r>
      <w:r w:rsidRPr="002A4A7A" w:rsidR="0070550F">
        <w:rPr>
          <w:lang w:val="nl-NL" w:eastAsia="nl-NL"/>
        </w:rPr>
        <w:t xml:space="preserve">Natura 2000-gebieden </w:t>
      </w:r>
      <w:r w:rsidR="00C21D83">
        <w:rPr>
          <w:lang w:val="nl-NL" w:eastAsia="nl-NL"/>
        </w:rPr>
        <w:t>worden activiteiten beperkt toegelaten</w:t>
      </w:r>
      <w:r>
        <w:rPr>
          <w:lang w:val="nl-NL" w:eastAsia="nl-NL"/>
        </w:rPr>
        <w:t xml:space="preserve">, mede om </w:t>
      </w:r>
      <w:r w:rsidRPr="00A37F86" w:rsidR="00D3441E">
        <w:rPr>
          <w:lang w:val="nl-NL" w:eastAsia="nl-NL"/>
        </w:rPr>
        <w:t>op grond van de VR en HR</w:t>
      </w:r>
      <w:r w:rsidR="00D3441E">
        <w:rPr>
          <w:lang w:val="nl-NL" w:eastAsia="nl-NL"/>
        </w:rPr>
        <w:t xml:space="preserve"> </w:t>
      </w:r>
      <w:r w:rsidRPr="00A37F86">
        <w:rPr>
          <w:lang w:val="nl-NL" w:eastAsia="nl-NL"/>
        </w:rPr>
        <w:t xml:space="preserve">significante effecten op soorten vogels en zeezoogdieren </w:t>
      </w:r>
      <w:r>
        <w:rPr>
          <w:lang w:val="nl-NL" w:eastAsia="nl-NL"/>
        </w:rPr>
        <w:t>te voorkomen en te mitigeren</w:t>
      </w:r>
      <w:r w:rsidR="0070550F">
        <w:rPr>
          <w:lang w:val="nl-NL" w:eastAsia="nl-NL"/>
        </w:rPr>
        <w:t>. Voor vogels is dat het geval</w:t>
      </w:r>
      <w:r w:rsidR="00C21D83">
        <w:rPr>
          <w:lang w:val="nl-NL" w:eastAsia="nl-NL"/>
        </w:rPr>
        <w:t xml:space="preserve">, </w:t>
      </w:r>
      <w:r w:rsidR="0070550F">
        <w:rPr>
          <w:lang w:val="nl-NL" w:eastAsia="nl-NL"/>
        </w:rPr>
        <w:t xml:space="preserve">of zal dat </w:t>
      </w:r>
      <w:r>
        <w:rPr>
          <w:lang w:val="nl-NL" w:eastAsia="nl-NL"/>
        </w:rPr>
        <w:t xml:space="preserve">op korte termijn </w:t>
      </w:r>
      <w:r w:rsidR="0070550F">
        <w:rPr>
          <w:lang w:val="nl-NL" w:eastAsia="nl-NL"/>
        </w:rPr>
        <w:t>het geval zijn</w:t>
      </w:r>
      <w:r w:rsidR="00C21D83">
        <w:rPr>
          <w:lang w:val="nl-NL" w:eastAsia="nl-NL"/>
        </w:rPr>
        <w:t>,</w:t>
      </w:r>
      <w:r w:rsidR="0070550F">
        <w:rPr>
          <w:lang w:val="nl-NL" w:eastAsia="nl-NL"/>
        </w:rPr>
        <w:t xml:space="preserve"> in de VR-gebieden Noordzeekustzone, Voordelta en Friese Front. </w:t>
      </w:r>
      <w:r w:rsidR="00CD2D65">
        <w:rPr>
          <w:lang w:val="nl-NL" w:eastAsia="nl-NL"/>
        </w:rPr>
        <w:t>Het gaat daarbij om de volgende (voorgenomen) maatregelen:</w:t>
      </w:r>
    </w:p>
    <w:p w:rsidR="00CD2D65" w:rsidP="00BF0DE4" w:rsidRDefault="00CD2D65" w14:paraId="2B899171" w14:textId="000D3B27">
      <w:pPr>
        <w:pStyle w:val="ListParagraph"/>
        <w:numPr>
          <w:ilvl w:val="0"/>
          <w:numId w:val="18"/>
        </w:numPr>
        <w:rPr>
          <w:lang w:val="nl-NL" w:eastAsia="nl-NL"/>
        </w:rPr>
      </w:pPr>
      <w:r w:rsidRPr="00CD2D65">
        <w:rPr>
          <w:lang w:val="nl-NL" w:eastAsia="nl-NL"/>
        </w:rPr>
        <w:t>Friese Front: seizoensluitingen voor staandwant</w:t>
      </w:r>
      <w:r>
        <w:rPr>
          <w:lang w:val="nl-NL" w:eastAsia="nl-NL"/>
        </w:rPr>
        <w:t xml:space="preserve"> </w:t>
      </w:r>
      <w:r w:rsidRPr="00CD2D65">
        <w:rPr>
          <w:lang w:val="nl-NL" w:eastAsia="nl-NL"/>
        </w:rPr>
        <w:t>visserij vanwe</w:t>
      </w:r>
      <w:r>
        <w:rPr>
          <w:lang w:val="nl-NL" w:eastAsia="nl-NL"/>
        </w:rPr>
        <w:t>ge het foerageren van zeekoeten;</w:t>
      </w:r>
    </w:p>
    <w:p w:rsidRPr="00CD2D65" w:rsidR="00CD2D65" w:rsidP="00BF0DE4" w:rsidRDefault="00CD2D65" w14:paraId="139DFF0C" w14:textId="63081DBB">
      <w:pPr>
        <w:pStyle w:val="ListParagraph"/>
        <w:numPr>
          <w:ilvl w:val="0"/>
          <w:numId w:val="18"/>
        </w:numPr>
        <w:rPr>
          <w:lang w:val="nl-NL" w:eastAsia="nl-NL"/>
        </w:rPr>
      </w:pPr>
      <w:r w:rsidRPr="00CD2D65">
        <w:rPr>
          <w:lang w:val="nl-NL" w:eastAsia="nl-NL"/>
        </w:rPr>
        <w:t xml:space="preserve">Noordzeekustzone: </w:t>
      </w:r>
      <w:r>
        <w:rPr>
          <w:lang w:val="nl-NL" w:eastAsia="nl-NL"/>
        </w:rPr>
        <w:t>sluiting van z</w:t>
      </w:r>
      <w:r w:rsidRPr="00CD2D65">
        <w:rPr>
          <w:lang w:val="nl-NL" w:eastAsia="nl-NL"/>
        </w:rPr>
        <w:t xml:space="preserve">one 1 gebieden </w:t>
      </w:r>
      <w:r>
        <w:rPr>
          <w:lang w:val="nl-NL" w:eastAsia="nl-NL"/>
        </w:rPr>
        <w:t>(</w:t>
      </w:r>
      <w:r w:rsidRPr="00CD2D65">
        <w:rPr>
          <w:lang w:val="nl-NL" w:eastAsia="nl-NL"/>
        </w:rPr>
        <w:t>ingesteld onder het VIBEG-ll akkoord</w:t>
      </w:r>
      <w:r>
        <w:rPr>
          <w:lang w:val="nl-NL" w:eastAsia="nl-NL"/>
        </w:rPr>
        <w:t>)</w:t>
      </w:r>
      <w:r w:rsidRPr="00CD2D65">
        <w:rPr>
          <w:lang w:val="nl-NL" w:eastAsia="nl-NL"/>
        </w:rPr>
        <w:t xml:space="preserve"> </w:t>
      </w:r>
      <w:r>
        <w:rPr>
          <w:lang w:val="nl-NL" w:eastAsia="nl-NL"/>
        </w:rPr>
        <w:t xml:space="preserve">voor alle visserij, om </w:t>
      </w:r>
      <w:r w:rsidRPr="00CD2D65">
        <w:rPr>
          <w:lang w:val="nl-NL" w:eastAsia="nl-NL"/>
        </w:rPr>
        <w:t>verstor</w:t>
      </w:r>
      <w:r>
        <w:rPr>
          <w:lang w:val="nl-NL" w:eastAsia="nl-NL"/>
        </w:rPr>
        <w:t>ing van beschermde vogelsoorten te voorkomen;</w:t>
      </w:r>
      <w:r w:rsidRPr="00CD2D65">
        <w:rPr>
          <w:lang w:val="nl-NL" w:eastAsia="nl-NL"/>
        </w:rPr>
        <w:t xml:space="preserve"> </w:t>
      </w:r>
    </w:p>
    <w:p w:rsidRPr="00CD2D65" w:rsidR="00F951B7" w:rsidP="00BF0DE4" w:rsidRDefault="00CD2D65" w14:paraId="73D07B24" w14:textId="7344CD08">
      <w:pPr>
        <w:pStyle w:val="ListParagraph"/>
        <w:numPr>
          <w:ilvl w:val="0"/>
          <w:numId w:val="18"/>
        </w:numPr>
        <w:rPr>
          <w:lang w:val="nl-NL" w:eastAsia="nl-NL"/>
        </w:rPr>
      </w:pPr>
      <w:r>
        <w:rPr>
          <w:lang w:val="nl-NL" w:eastAsia="nl-NL"/>
        </w:rPr>
        <w:t>Voordelta: r</w:t>
      </w:r>
      <w:r w:rsidRPr="00CD2D65">
        <w:rPr>
          <w:lang w:val="nl-NL" w:eastAsia="nl-NL"/>
        </w:rPr>
        <w:t xml:space="preserve">ustgebieden voor vogels, </w:t>
      </w:r>
      <w:r>
        <w:rPr>
          <w:lang w:val="nl-NL" w:eastAsia="nl-NL"/>
        </w:rPr>
        <w:t xml:space="preserve">waar </w:t>
      </w:r>
      <w:r w:rsidRPr="00CD2D65">
        <w:rPr>
          <w:lang w:val="nl-NL" w:eastAsia="nl-NL"/>
        </w:rPr>
        <w:t xml:space="preserve">geen activiteiten of </w:t>
      </w:r>
      <w:r>
        <w:rPr>
          <w:lang w:val="nl-NL" w:eastAsia="nl-NL"/>
        </w:rPr>
        <w:t xml:space="preserve">activiteiten </w:t>
      </w:r>
      <w:r w:rsidRPr="00CD2D65">
        <w:rPr>
          <w:lang w:val="nl-NL" w:eastAsia="nl-NL"/>
        </w:rPr>
        <w:t>onder voorwaarden toegestaan</w:t>
      </w:r>
      <w:r>
        <w:rPr>
          <w:lang w:val="nl-NL" w:eastAsia="nl-NL"/>
        </w:rPr>
        <w:t xml:space="preserve"> zijn.</w:t>
      </w:r>
    </w:p>
    <w:p w:rsidR="006427B1" w:rsidP="0070550F" w:rsidRDefault="00427596" w14:paraId="7F050DB9" w14:textId="7C66264F">
      <w:pPr>
        <w:rPr>
          <w:lang w:val="nl-NL" w:eastAsia="nl-NL"/>
        </w:rPr>
      </w:pPr>
      <w:r>
        <w:rPr>
          <w:lang w:val="nl-NL" w:eastAsia="nl-NL"/>
        </w:rPr>
        <w:t>Z</w:t>
      </w:r>
      <w:r w:rsidR="0070550F">
        <w:rPr>
          <w:lang w:val="nl-NL" w:eastAsia="nl-NL"/>
        </w:rPr>
        <w:t xml:space="preserve">eezoogdieren </w:t>
      </w:r>
      <w:r>
        <w:rPr>
          <w:lang w:val="nl-NL" w:eastAsia="nl-NL"/>
        </w:rPr>
        <w:t>worden beschermd</w:t>
      </w:r>
      <w:r w:rsidR="0070550F">
        <w:rPr>
          <w:lang w:val="nl-NL" w:eastAsia="nl-NL"/>
        </w:rPr>
        <w:t xml:space="preserve"> </w:t>
      </w:r>
      <w:r w:rsidR="00A37F86">
        <w:rPr>
          <w:lang w:val="nl-NL" w:eastAsia="nl-NL"/>
        </w:rPr>
        <w:t xml:space="preserve">in </w:t>
      </w:r>
      <w:r w:rsidR="0070550F">
        <w:rPr>
          <w:lang w:val="nl-NL" w:eastAsia="nl-NL"/>
        </w:rPr>
        <w:t xml:space="preserve">de aangewezen HR-gebieden Noordzeekustzone, Voordelta, Vlakte van de Raan, Doggersbank en Klaverbank. </w:t>
      </w:r>
      <w:r w:rsidRPr="00A263AA" w:rsidR="006427B1">
        <w:rPr>
          <w:lang w:val="nl-NL"/>
        </w:rPr>
        <w:t xml:space="preserve">In </w:t>
      </w:r>
      <w:r w:rsidR="006427B1">
        <w:rPr>
          <w:lang w:val="nl-NL"/>
        </w:rPr>
        <w:t xml:space="preserve">vier Natura 2000-gebieden, waaronder de </w:t>
      </w:r>
      <w:r w:rsidRPr="00A263AA" w:rsidR="006427B1">
        <w:rPr>
          <w:lang w:val="nl-NL"/>
        </w:rPr>
        <w:t>Voordelta,</w:t>
      </w:r>
      <w:r w:rsidRPr="000D156E" w:rsidDel="000D156E" w:rsidR="006427B1">
        <w:rPr>
          <w:lang w:val="nl-NL"/>
        </w:rPr>
        <w:t xml:space="preserve"> </w:t>
      </w:r>
      <w:r w:rsidR="006427B1">
        <w:rPr>
          <w:lang w:val="nl-NL"/>
        </w:rPr>
        <w:t>is de bruinvis recentelijk toegevoegd op het Standaard Data Formulier en dient daarom ook te worden opgenomen in de beheerplannen voor die gebieden</w:t>
      </w:r>
      <w:r w:rsidRPr="00A263AA" w:rsidR="006427B1">
        <w:rPr>
          <w:lang w:val="nl-NL"/>
        </w:rPr>
        <w:t xml:space="preserve">, </w:t>
      </w:r>
      <w:r w:rsidR="006427B1">
        <w:rPr>
          <w:lang w:val="nl-NL"/>
        </w:rPr>
        <w:t xml:space="preserve">conform artikelen 6.1 en 6.2 van de HR. </w:t>
      </w:r>
      <w:r w:rsidR="006427B1">
        <w:rPr>
          <w:lang w:val="nl-NL" w:eastAsia="nl-NL"/>
        </w:rPr>
        <w:t xml:space="preserve">In </w:t>
      </w:r>
      <w:r w:rsidRPr="002A4A7A" w:rsidR="0070550F">
        <w:rPr>
          <w:lang w:val="nl-NL" w:eastAsia="nl-NL"/>
        </w:rPr>
        <w:t xml:space="preserve">de beheerplannen voor de Natura 2000-gebieden langs de kust </w:t>
      </w:r>
      <w:r>
        <w:rPr>
          <w:lang w:val="nl-NL" w:eastAsia="nl-NL"/>
        </w:rPr>
        <w:t xml:space="preserve">is </w:t>
      </w:r>
      <w:r w:rsidRPr="002A4A7A" w:rsidR="0070550F">
        <w:rPr>
          <w:lang w:val="nl-NL" w:eastAsia="nl-NL"/>
        </w:rPr>
        <w:t xml:space="preserve">geregeld dat </w:t>
      </w:r>
      <w:r w:rsidRPr="00136261" w:rsidR="00136261">
        <w:rPr>
          <w:lang w:val="nl-NL" w:eastAsia="nl-NL"/>
        </w:rPr>
        <w:t xml:space="preserve">bij het uitvoeren van kust(strand)suppleties, het onderhoud aan kabels en leidingen en het beheer van stranden </w:t>
      </w:r>
      <w:r w:rsidRPr="002A4A7A" w:rsidR="00D3441E">
        <w:rPr>
          <w:lang w:val="nl-NL" w:eastAsia="nl-NL"/>
        </w:rPr>
        <w:t>rekening wordt gehouden met de aanwezigheid van broedlocaties</w:t>
      </w:r>
      <w:r w:rsidR="00D3441E">
        <w:rPr>
          <w:lang w:val="nl-NL" w:eastAsia="nl-NL"/>
        </w:rPr>
        <w:t xml:space="preserve"> van vogels</w:t>
      </w:r>
      <w:r w:rsidRPr="002A4A7A" w:rsidR="0070550F">
        <w:rPr>
          <w:lang w:val="nl-NL" w:eastAsia="nl-NL"/>
        </w:rPr>
        <w:t>.</w:t>
      </w:r>
      <w:r w:rsidR="0070550F">
        <w:rPr>
          <w:lang w:val="nl-NL" w:eastAsia="nl-NL"/>
        </w:rPr>
        <w:t xml:space="preserve"> Daarnaast worden a</w:t>
      </w:r>
      <w:r w:rsidRPr="002A4A7A" w:rsidR="0070550F">
        <w:rPr>
          <w:lang w:val="nl-NL" w:eastAsia="nl-NL"/>
        </w:rPr>
        <w:t xml:space="preserve">ctiviteiten in de kustzone </w:t>
      </w:r>
      <w:r w:rsidR="0070550F">
        <w:rPr>
          <w:lang w:val="nl-NL" w:eastAsia="nl-NL"/>
        </w:rPr>
        <w:t>gereguleerd</w:t>
      </w:r>
      <w:r w:rsidRPr="002A4A7A" w:rsidR="0070550F">
        <w:rPr>
          <w:lang w:val="nl-NL" w:eastAsia="nl-NL"/>
        </w:rPr>
        <w:t xml:space="preserve"> met vergunningvoorschriften</w:t>
      </w:r>
      <w:r w:rsidR="00C97828">
        <w:rPr>
          <w:lang w:val="nl-NL" w:eastAsia="nl-NL"/>
        </w:rPr>
        <w:t xml:space="preserve">, </w:t>
      </w:r>
      <w:r w:rsidRPr="002A4A7A" w:rsidR="0070550F">
        <w:rPr>
          <w:lang w:val="nl-NL" w:eastAsia="nl-NL"/>
        </w:rPr>
        <w:t>mitigerende maatregelen zoals gedragscodes</w:t>
      </w:r>
      <w:r w:rsidR="00C97828">
        <w:rPr>
          <w:lang w:val="nl-NL" w:eastAsia="nl-NL"/>
        </w:rPr>
        <w:t xml:space="preserve"> en </w:t>
      </w:r>
      <w:r w:rsidRPr="002A4A7A" w:rsidR="00C97828">
        <w:rPr>
          <w:lang w:val="nl-NL" w:eastAsia="nl-NL"/>
        </w:rPr>
        <w:t>vrijstellingsvoorwaarden</w:t>
      </w:r>
      <w:r w:rsidRPr="002A4A7A" w:rsidR="0070550F">
        <w:rPr>
          <w:lang w:val="nl-NL" w:eastAsia="nl-NL"/>
        </w:rPr>
        <w:t>. Ook kunnen gebieden tijdelijk geheel of gedeeltelijk voor activiteiten worden gesloten.</w:t>
      </w:r>
      <w:r w:rsidRPr="00B352DC" w:rsidR="00B352DC">
        <w:rPr>
          <w:lang w:val="nl-NL" w:eastAsia="nl-NL"/>
        </w:rPr>
        <w:t xml:space="preserve"> </w:t>
      </w:r>
      <w:r w:rsidR="00B352DC">
        <w:rPr>
          <w:lang w:val="nl-NL" w:eastAsia="nl-NL"/>
        </w:rPr>
        <w:t xml:space="preserve">De verwachting is dat de </w:t>
      </w:r>
      <w:r w:rsidR="004C1C93">
        <w:rPr>
          <w:lang w:val="nl-NL" w:eastAsia="nl-NL"/>
        </w:rPr>
        <w:t>instandhoudings</w:t>
      </w:r>
      <w:r w:rsidR="00B352DC">
        <w:rPr>
          <w:lang w:val="nl-NL" w:eastAsia="nl-NL"/>
        </w:rPr>
        <w:t xml:space="preserve">maatregelen </w:t>
      </w:r>
      <w:r w:rsidR="00A04070">
        <w:rPr>
          <w:lang w:val="nl-NL" w:eastAsia="nl-NL"/>
        </w:rPr>
        <w:t xml:space="preserve">(visserijbeperkende maatregelen) </w:t>
      </w:r>
      <w:r w:rsidR="00B352DC">
        <w:rPr>
          <w:lang w:val="nl-NL" w:eastAsia="nl-NL"/>
        </w:rPr>
        <w:t xml:space="preserve">die zijn voorgesteld in de managementzones van </w:t>
      </w:r>
      <w:r w:rsidR="006427B1">
        <w:rPr>
          <w:lang w:val="nl-NL" w:eastAsia="nl-NL"/>
        </w:rPr>
        <w:t>het Vogelrichtlijng</w:t>
      </w:r>
      <w:r w:rsidR="00B352DC">
        <w:rPr>
          <w:lang w:val="nl-NL" w:eastAsia="nl-NL"/>
        </w:rPr>
        <w:t xml:space="preserve">ebied Friese Front </w:t>
      </w:r>
      <w:r w:rsidR="004C1C93">
        <w:rPr>
          <w:lang w:val="nl-NL" w:eastAsia="nl-NL"/>
        </w:rPr>
        <w:t xml:space="preserve">in </w:t>
      </w:r>
      <w:r w:rsidR="00B352DC">
        <w:rPr>
          <w:lang w:val="nl-NL" w:eastAsia="nl-NL"/>
        </w:rPr>
        <w:t>2022 van kracht zijn doormiddel van een gedelegeerde handeling (</w:t>
      </w:r>
      <w:r w:rsidRPr="00B352DC" w:rsidR="00B352DC">
        <w:rPr>
          <w:i/>
          <w:iCs/>
          <w:lang w:val="nl-NL" w:eastAsia="nl-NL"/>
        </w:rPr>
        <w:t>delegated act</w:t>
      </w:r>
      <w:r w:rsidR="00B352DC">
        <w:rPr>
          <w:lang w:val="nl-NL" w:eastAsia="nl-NL"/>
        </w:rPr>
        <w:t>). Ze zullen worden</w:t>
      </w:r>
      <w:r w:rsidRPr="00916C6C" w:rsidR="00B352DC">
        <w:rPr>
          <w:lang w:val="nl-NL" w:eastAsia="nl-NL"/>
        </w:rPr>
        <w:t xml:space="preserve"> uitgevoerd in combinatie met onderzoek en monitoring voor verdere kennisopbouw.</w:t>
      </w:r>
    </w:p>
    <w:p w:rsidRPr="008C2D73" w:rsidR="0070550F" w:rsidP="0070550F" w:rsidRDefault="0070550F" w14:paraId="145F1CBE" w14:textId="77777777">
      <w:pPr>
        <w:rPr>
          <w:lang w:val="nl-NL" w:eastAsia="nl-NL"/>
        </w:rPr>
      </w:pPr>
      <w:r>
        <w:rPr>
          <w:lang w:val="nl-NL" w:eastAsia="nl-NL"/>
        </w:rPr>
        <w:t xml:space="preserve">Aangenomen OSPAR-aanbevelingen op basis van de </w:t>
      </w:r>
      <w:r w:rsidRPr="008C2D73">
        <w:rPr>
          <w:lang w:val="nl-NL" w:eastAsia="nl-NL"/>
        </w:rPr>
        <w:t>OSPAR-</w:t>
      </w:r>
      <w:r w:rsidR="006427B1">
        <w:rPr>
          <w:lang w:val="nl-NL" w:eastAsia="nl-NL"/>
        </w:rPr>
        <w:t>l</w:t>
      </w:r>
      <w:r w:rsidRPr="008C2D73">
        <w:rPr>
          <w:lang w:val="nl-NL" w:eastAsia="nl-NL"/>
        </w:rPr>
        <w:t>ijst bedreigde diersoorten en habitats</w:t>
      </w:r>
      <w:r>
        <w:rPr>
          <w:lang w:val="nl-NL" w:eastAsia="nl-NL"/>
        </w:rPr>
        <w:t xml:space="preserve"> zijn of worden </w:t>
      </w:r>
      <w:r w:rsidR="00427596">
        <w:rPr>
          <w:lang w:val="nl-NL" w:eastAsia="nl-NL"/>
        </w:rPr>
        <w:t>uitgevoerd</w:t>
      </w:r>
      <w:r>
        <w:rPr>
          <w:lang w:val="nl-NL" w:eastAsia="nl-NL"/>
        </w:rPr>
        <w:t xml:space="preserve">. </w:t>
      </w:r>
    </w:p>
    <w:p w:rsidRPr="00AC4B55" w:rsidR="00311256" w:rsidP="00311256" w:rsidRDefault="00311256" w14:paraId="290B4071" w14:textId="77777777">
      <w:pPr>
        <w:rPr>
          <w:lang w:val="nl-NL" w:eastAsia="nl-NL"/>
        </w:rPr>
      </w:pPr>
      <w:r>
        <w:rPr>
          <w:lang w:val="nl-NL" w:eastAsia="nl-NL"/>
        </w:rPr>
        <w:t>Voor een mobiele soort als de bruinvis is besloten dat, naast gebiedsgerichte maatregelen in N</w:t>
      </w:r>
      <w:r w:rsidR="006427B1">
        <w:rPr>
          <w:lang w:val="nl-NL" w:eastAsia="nl-NL"/>
        </w:rPr>
        <w:t xml:space="preserve">atura </w:t>
      </w:r>
      <w:r>
        <w:rPr>
          <w:lang w:val="nl-NL" w:eastAsia="nl-NL"/>
        </w:rPr>
        <w:t xml:space="preserve">2000-gebieden, generieke soortbeschermingsmaatregelen meer geëigend zijn. Hiervoor is in 2011 het eerste Bruinvisbeschermingsplan opgesteld. Van de in </w:t>
      </w:r>
      <w:r w:rsidR="00D66E83">
        <w:rPr>
          <w:lang w:val="nl-NL" w:eastAsia="nl-NL"/>
        </w:rPr>
        <w:t xml:space="preserve">dit beschermingsplan </w:t>
      </w:r>
      <w:r>
        <w:rPr>
          <w:lang w:val="nl-NL" w:eastAsia="nl-NL"/>
        </w:rPr>
        <w:t>opgenomen maatregelen zijn</w:t>
      </w:r>
      <w:r w:rsidRPr="004057E2">
        <w:rPr>
          <w:lang w:val="nl-NL"/>
        </w:rPr>
        <w:t xml:space="preserve"> de volgende</w:t>
      </w:r>
      <w:r>
        <w:rPr>
          <w:lang w:val="nl-NL" w:eastAsia="nl-NL"/>
        </w:rPr>
        <w:t>, mede in het kader van</w:t>
      </w:r>
      <w:r w:rsidR="00D66E83">
        <w:rPr>
          <w:lang w:val="nl-NL" w:eastAsia="nl-NL"/>
        </w:rPr>
        <w:t xml:space="preserve"> de Mariene Strategie, deel 3 [12]</w:t>
      </w:r>
      <w:r>
        <w:rPr>
          <w:lang w:val="nl-NL" w:eastAsia="nl-NL"/>
        </w:rPr>
        <w:t xml:space="preserve">, </w:t>
      </w:r>
      <w:r w:rsidRPr="008877ED">
        <w:rPr>
          <w:lang w:val="nl-NL" w:eastAsia="nl-NL"/>
        </w:rPr>
        <w:t>uitgevoerd</w:t>
      </w:r>
      <w:r>
        <w:rPr>
          <w:lang w:val="nl-NL" w:eastAsia="nl-NL"/>
        </w:rPr>
        <w:t>:</w:t>
      </w:r>
    </w:p>
    <w:p w:rsidR="00311256" w:rsidP="00483337" w:rsidRDefault="00121869" w14:paraId="4D1DF1E8" w14:textId="77777777">
      <w:pPr>
        <w:pStyle w:val="ListParagraph"/>
        <w:numPr>
          <w:ilvl w:val="0"/>
          <w:numId w:val="23"/>
        </w:numPr>
        <w:rPr>
          <w:lang w:val="nl-NL" w:eastAsia="nl-NL"/>
        </w:rPr>
      </w:pPr>
      <w:r>
        <w:rPr>
          <w:lang w:val="nl-NL" w:eastAsia="nl-NL"/>
        </w:rPr>
        <w:t>O</w:t>
      </w:r>
      <w:r w:rsidRPr="00311256" w:rsidR="0070550F">
        <w:rPr>
          <w:lang w:val="nl-NL" w:eastAsia="nl-NL"/>
        </w:rPr>
        <w:t xml:space="preserve">prichting (2013) van </w:t>
      </w:r>
      <w:r w:rsidRPr="00311256" w:rsidR="00C97828">
        <w:rPr>
          <w:lang w:val="nl-NL" w:eastAsia="nl-NL"/>
        </w:rPr>
        <w:t xml:space="preserve">de </w:t>
      </w:r>
      <w:r w:rsidRPr="00311256" w:rsidR="0070550F">
        <w:rPr>
          <w:lang w:val="nl-NL" w:eastAsia="nl-NL"/>
        </w:rPr>
        <w:t>landelijke wetenschappelijke Bruinvisadviescommissie, die toeziet op de uitvoering van de geprioriteerde kennisagenda</w:t>
      </w:r>
      <w:r>
        <w:rPr>
          <w:lang w:val="nl-NL" w:eastAsia="nl-NL"/>
        </w:rPr>
        <w:t>.</w:t>
      </w:r>
    </w:p>
    <w:p w:rsidRPr="00311256" w:rsidR="0070550F" w:rsidP="00483337" w:rsidRDefault="00121869" w14:paraId="65A22FD1" w14:textId="77777777">
      <w:pPr>
        <w:pStyle w:val="ListParagraph"/>
        <w:numPr>
          <w:ilvl w:val="0"/>
          <w:numId w:val="23"/>
        </w:numPr>
        <w:rPr>
          <w:lang w:val="nl-NL" w:eastAsia="nl-NL"/>
        </w:rPr>
      </w:pPr>
      <w:r>
        <w:rPr>
          <w:lang w:val="nl-NL" w:eastAsia="nl-NL"/>
        </w:rPr>
        <w:t>I</w:t>
      </w:r>
      <w:r w:rsidRPr="00311256" w:rsidR="0070550F">
        <w:rPr>
          <w:lang w:val="nl-NL" w:eastAsia="nl-NL"/>
        </w:rPr>
        <w:t xml:space="preserve">mplementatie van populatiemonitoring van bruinvissen via het KRM-monitoringprogramma (Mariene Strategie, deel 2 </w:t>
      </w:r>
      <w:r w:rsidRPr="00311256" w:rsidR="008877ED">
        <w:rPr>
          <w:lang w:val="nl-NL" w:eastAsia="nl-NL"/>
        </w:rPr>
        <w:t xml:space="preserve">uit </w:t>
      </w:r>
      <w:r w:rsidRPr="00311256" w:rsidR="0070550F">
        <w:rPr>
          <w:lang w:val="nl-NL" w:eastAsia="nl-NL"/>
        </w:rPr>
        <w:t xml:space="preserve">2014 en </w:t>
      </w:r>
      <w:r w:rsidRPr="00311256" w:rsidR="008877ED">
        <w:rPr>
          <w:lang w:val="nl-NL" w:eastAsia="nl-NL"/>
        </w:rPr>
        <w:t xml:space="preserve">de </w:t>
      </w:r>
      <w:r w:rsidRPr="00311256" w:rsidR="0070550F">
        <w:rPr>
          <w:lang w:val="nl-NL" w:eastAsia="nl-NL"/>
        </w:rPr>
        <w:t xml:space="preserve">optimalisatie daarvan in de </w:t>
      </w:r>
      <w:r w:rsidRPr="00311256" w:rsidR="008877ED">
        <w:rPr>
          <w:lang w:val="nl-NL" w:eastAsia="nl-NL"/>
        </w:rPr>
        <w:t>geactualiseerde</w:t>
      </w:r>
      <w:r w:rsidRPr="00311256" w:rsidR="0070550F">
        <w:rPr>
          <w:lang w:val="nl-NL" w:eastAsia="nl-NL"/>
        </w:rPr>
        <w:t xml:space="preserve"> Mariene Strategie, deel 2 </w:t>
      </w:r>
      <w:r w:rsidRPr="00311256" w:rsidR="008877ED">
        <w:rPr>
          <w:lang w:val="nl-NL" w:eastAsia="nl-NL"/>
        </w:rPr>
        <w:t xml:space="preserve">uit </w:t>
      </w:r>
      <w:r w:rsidRPr="00311256" w:rsidR="0070550F">
        <w:rPr>
          <w:lang w:val="nl-NL" w:eastAsia="nl-NL"/>
        </w:rPr>
        <w:t>2020</w:t>
      </w:r>
      <w:r w:rsidRPr="00311256" w:rsidR="00F81AFD">
        <w:rPr>
          <w:lang w:val="nl-NL" w:eastAsia="nl-NL"/>
        </w:rPr>
        <w:t>)</w:t>
      </w:r>
      <w:r>
        <w:rPr>
          <w:lang w:val="nl-NL" w:eastAsia="nl-NL"/>
        </w:rPr>
        <w:t>.</w:t>
      </w:r>
    </w:p>
    <w:p w:rsidR="0070550F" w:rsidP="00746E9B" w:rsidRDefault="00121869" w14:paraId="3A5058CF" w14:textId="77777777">
      <w:pPr>
        <w:pStyle w:val="ListParagraph"/>
        <w:numPr>
          <w:ilvl w:val="0"/>
          <w:numId w:val="23"/>
        </w:numPr>
        <w:rPr>
          <w:lang w:val="nl-NL" w:eastAsia="nl-NL"/>
        </w:rPr>
      </w:pPr>
      <w:r>
        <w:rPr>
          <w:lang w:val="nl-NL" w:eastAsia="nl-NL"/>
        </w:rPr>
        <w:t>U</w:t>
      </w:r>
      <w:r w:rsidRPr="00290731" w:rsidR="0070550F">
        <w:rPr>
          <w:lang w:val="nl-NL" w:eastAsia="nl-NL"/>
        </w:rPr>
        <w:t>itvoering van een wetenschappelijk bijvangstobservatieprogramma (2013-2017)</w:t>
      </w:r>
      <w:r>
        <w:rPr>
          <w:lang w:val="nl-NL" w:eastAsia="nl-NL"/>
        </w:rPr>
        <w:t>.</w:t>
      </w:r>
    </w:p>
    <w:p w:rsidRPr="00BB56EE" w:rsidR="0070550F" w:rsidP="00746E9B" w:rsidRDefault="00121869" w14:paraId="7DA2B68D" w14:textId="77777777">
      <w:pPr>
        <w:pStyle w:val="ListParagraph"/>
        <w:numPr>
          <w:ilvl w:val="0"/>
          <w:numId w:val="23"/>
        </w:numPr>
        <w:rPr>
          <w:lang w:val="nl-NL" w:eastAsia="nl-NL"/>
        </w:rPr>
      </w:pPr>
      <w:r>
        <w:rPr>
          <w:lang w:val="nl-NL" w:eastAsia="nl-NL"/>
        </w:rPr>
        <w:t>O</w:t>
      </w:r>
      <w:r w:rsidRPr="00BB56EE" w:rsidR="0070550F">
        <w:rPr>
          <w:lang w:val="nl-NL" w:eastAsia="nl-NL"/>
        </w:rPr>
        <w:t>nderzoek naar het gecontroleerd toepassen van pingers</w:t>
      </w:r>
      <w:r>
        <w:rPr>
          <w:lang w:val="nl-NL" w:eastAsia="nl-NL"/>
        </w:rPr>
        <w:t>.</w:t>
      </w:r>
    </w:p>
    <w:p w:rsidRPr="00290731" w:rsidR="0070550F" w:rsidP="00746E9B" w:rsidRDefault="00121869" w14:paraId="5F1C7A10" w14:textId="77777777">
      <w:pPr>
        <w:pStyle w:val="ListParagraph"/>
        <w:numPr>
          <w:ilvl w:val="0"/>
          <w:numId w:val="23"/>
        </w:numPr>
        <w:rPr>
          <w:lang w:val="nl-NL" w:eastAsia="nl-NL"/>
        </w:rPr>
      </w:pPr>
      <w:r>
        <w:rPr>
          <w:lang w:val="nl-NL" w:eastAsia="nl-NL"/>
        </w:rPr>
        <w:t>A</w:t>
      </w:r>
      <w:r w:rsidRPr="00BB56EE" w:rsidR="0070550F">
        <w:rPr>
          <w:lang w:val="nl-NL" w:eastAsia="nl-NL"/>
        </w:rPr>
        <w:t>anpassen van de relevante Europese visserijregelgeving, waardoor die beter toepasbaar wordt in de Nederlandse situatie</w:t>
      </w:r>
      <w:r w:rsidR="0070550F">
        <w:rPr>
          <w:lang w:val="nl-NL" w:eastAsia="nl-NL"/>
        </w:rPr>
        <w:t>.</w:t>
      </w:r>
    </w:p>
    <w:p w:rsidRPr="00457DC5" w:rsidR="0070550F" w:rsidP="0070550F" w:rsidRDefault="0070550F" w14:paraId="1205CDAF" w14:textId="0D99330C">
      <w:pPr>
        <w:rPr>
          <w:lang w:val="nl-NL" w:eastAsia="nl-NL"/>
        </w:rPr>
      </w:pPr>
      <w:r w:rsidRPr="00B77961">
        <w:rPr>
          <w:lang w:val="nl-NL" w:eastAsia="nl-NL"/>
        </w:rPr>
        <w:t xml:space="preserve">In 2020 </w:t>
      </w:r>
      <w:r w:rsidR="00F81AFD">
        <w:rPr>
          <w:lang w:val="nl-NL" w:eastAsia="nl-NL"/>
        </w:rPr>
        <w:t>is</w:t>
      </w:r>
      <w:r w:rsidRPr="00B77961">
        <w:rPr>
          <w:lang w:val="nl-NL" w:eastAsia="nl-NL"/>
        </w:rPr>
        <w:t xml:space="preserve"> het Bruinvisbeschermingsplan uit 2011 </w:t>
      </w:r>
      <w:r w:rsidR="00F81AFD">
        <w:rPr>
          <w:lang w:val="nl-NL" w:eastAsia="nl-NL"/>
        </w:rPr>
        <w:t>geactualiseerd</w:t>
      </w:r>
      <w:r w:rsidR="005A4217">
        <w:rPr>
          <w:lang w:val="nl-NL" w:eastAsia="nl-NL"/>
        </w:rPr>
        <w:t xml:space="preserve">, zie aanvullende maatregelen </w:t>
      </w:r>
      <w:r w:rsidR="005F5515">
        <w:rPr>
          <w:lang w:val="nl-NL" w:eastAsia="nl-NL"/>
        </w:rPr>
        <w:t>–</w:t>
      </w:r>
      <w:r w:rsidR="005A4217">
        <w:rPr>
          <w:lang w:val="nl-NL" w:eastAsia="nl-NL"/>
        </w:rPr>
        <w:t xml:space="preserve"> soortenbescherming</w:t>
      </w:r>
      <w:r w:rsidRPr="00B77961">
        <w:rPr>
          <w:lang w:val="nl-NL" w:eastAsia="nl-NL"/>
        </w:rPr>
        <w:t xml:space="preserve">. </w:t>
      </w:r>
    </w:p>
    <w:p w:rsidRPr="00D67C58" w:rsidR="00D67C58" w:rsidP="0070550F" w:rsidRDefault="0070550F" w14:paraId="1B347456" w14:textId="77777777">
      <w:pPr>
        <w:pStyle w:val="TOCHeading"/>
        <w:rPr>
          <w:rStyle w:val="IntenseEmphasis"/>
          <w:rFonts w:eastAsiaTheme="minorHAnsi" w:cstheme="minorBidi"/>
          <w:sz w:val="18"/>
          <w:szCs w:val="22"/>
          <w:lang w:eastAsia="en-US"/>
        </w:rPr>
      </w:pPr>
      <w:r w:rsidRPr="00D67C58">
        <w:rPr>
          <w:rStyle w:val="IntenseEmphasis"/>
          <w:rFonts w:eastAsiaTheme="minorHAnsi" w:cstheme="minorBidi"/>
          <w:sz w:val="18"/>
          <w:szCs w:val="22"/>
          <w:lang w:eastAsia="en-US"/>
        </w:rPr>
        <w:t>Vissen en inktvissen</w:t>
      </w:r>
    </w:p>
    <w:p w:rsidR="0070550F" w:rsidP="0070550F" w:rsidRDefault="005A4217" w14:paraId="1DCCFA2D" w14:textId="77777777">
      <w:pPr>
        <w:rPr>
          <w:lang w:val="nl-NL" w:eastAsia="nl-NL"/>
        </w:rPr>
      </w:pPr>
      <w:r>
        <w:rPr>
          <w:lang w:val="nl-NL" w:eastAsia="nl-NL"/>
        </w:rPr>
        <w:t>In het kader van de Kaderrichtlijn Water is i</w:t>
      </w:r>
      <w:r w:rsidR="0070550F">
        <w:rPr>
          <w:lang w:val="nl-NL" w:eastAsia="nl-NL"/>
        </w:rPr>
        <w:t xml:space="preserve">n 2018 het Kierbesluit Haringvlietsluizen officieel in werking getreden. Dit houdt in dat de Haringvlietsluizen </w:t>
      </w:r>
      <w:r w:rsidR="00825445">
        <w:rPr>
          <w:lang w:val="nl-NL" w:eastAsia="nl-NL"/>
        </w:rPr>
        <w:t xml:space="preserve">bij opkomend tij </w:t>
      </w:r>
      <w:r w:rsidR="0070550F">
        <w:rPr>
          <w:lang w:val="nl-NL" w:eastAsia="nl-NL"/>
        </w:rPr>
        <w:t xml:space="preserve">op een kier worden gezet. </w:t>
      </w:r>
      <w:r w:rsidR="00825445">
        <w:rPr>
          <w:lang w:val="nl-NL" w:eastAsia="nl-NL"/>
        </w:rPr>
        <w:t>Dankzij de kier</w:t>
      </w:r>
      <w:r w:rsidRPr="003F1D02" w:rsidR="0070550F">
        <w:rPr>
          <w:lang w:val="nl-NL" w:eastAsia="nl-NL"/>
        </w:rPr>
        <w:t xml:space="preserve"> kunnen trekvissen die een groot deel van hun leven in zee doorbrengen, waaronder zalm,</w:t>
      </w:r>
      <w:r w:rsidR="0070550F">
        <w:rPr>
          <w:lang w:val="nl-NL" w:eastAsia="nl-NL"/>
        </w:rPr>
        <w:t xml:space="preserve"> paling, zeeprik, </w:t>
      </w:r>
      <w:r w:rsidRPr="003F1D02" w:rsidR="0070550F">
        <w:rPr>
          <w:lang w:val="nl-NL" w:eastAsia="nl-NL"/>
        </w:rPr>
        <w:t>zeeforel en fint</w:t>
      </w:r>
      <w:r w:rsidR="00F81AFD">
        <w:rPr>
          <w:lang w:val="nl-NL" w:eastAsia="nl-NL"/>
        </w:rPr>
        <w:t>,</w:t>
      </w:r>
      <w:r w:rsidRPr="003F1D02" w:rsidR="0070550F">
        <w:rPr>
          <w:lang w:val="nl-NL" w:eastAsia="nl-NL"/>
        </w:rPr>
        <w:t xml:space="preserve"> de sluizen passeren en naar hun paaigebieden stroomopwaarts zwemmen.</w:t>
      </w:r>
    </w:p>
    <w:p w:rsidR="0070550F" w:rsidP="0070550F" w:rsidRDefault="00F81AFD" w14:paraId="025E41C5" w14:textId="75D8AF04">
      <w:pPr>
        <w:rPr>
          <w:lang w:val="nl-NL" w:eastAsia="nl-NL"/>
        </w:rPr>
      </w:pPr>
      <w:r>
        <w:rPr>
          <w:lang w:val="nl-NL" w:eastAsia="nl-NL"/>
        </w:rPr>
        <w:t>Een a</w:t>
      </w:r>
      <w:r w:rsidR="0070550F">
        <w:rPr>
          <w:lang w:val="nl-NL" w:eastAsia="nl-NL"/>
        </w:rPr>
        <w:t xml:space="preserve">ndere maatregel ten behoeve van vismigratie </w:t>
      </w:r>
      <w:r>
        <w:rPr>
          <w:lang w:val="nl-NL" w:eastAsia="nl-NL"/>
        </w:rPr>
        <w:t xml:space="preserve">is </w:t>
      </w:r>
      <w:r w:rsidR="0070550F">
        <w:rPr>
          <w:lang w:val="nl-NL" w:eastAsia="nl-NL"/>
        </w:rPr>
        <w:t xml:space="preserve">de aanleg van </w:t>
      </w:r>
      <w:r w:rsidR="00A129A8">
        <w:rPr>
          <w:lang w:val="nl-NL" w:eastAsia="nl-NL"/>
        </w:rPr>
        <w:t xml:space="preserve">een </w:t>
      </w:r>
      <w:r w:rsidR="0070550F">
        <w:rPr>
          <w:lang w:val="nl-NL" w:eastAsia="nl-NL"/>
        </w:rPr>
        <w:t xml:space="preserve">vismigratierivier in de </w:t>
      </w:r>
      <w:r>
        <w:rPr>
          <w:lang w:val="nl-NL" w:eastAsia="nl-NL"/>
        </w:rPr>
        <w:t>A</w:t>
      </w:r>
      <w:r w:rsidR="0070550F">
        <w:rPr>
          <w:lang w:val="nl-NL" w:eastAsia="nl-NL"/>
        </w:rPr>
        <w:t>fsluitdijk</w:t>
      </w:r>
      <w:r w:rsidR="00825445">
        <w:rPr>
          <w:lang w:val="nl-NL" w:eastAsia="nl-NL"/>
        </w:rPr>
        <w:t xml:space="preserve">. Deze maakt het voor </w:t>
      </w:r>
      <w:r w:rsidR="0070550F">
        <w:rPr>
          <w:lang w:val="nl-NL" w:eastAsia="nl-NL"/>
        </w:rPr>
        <w:t xml:space="preserve">migrerende soorten </w:t>
      </w:r>
      <w:r w:rsidR="00825445">
        <w:rPr>
          <w:lang w:val="nl-NL" w:eastAsia="nl-NL"/>
        </w:rPr>
        <w:t xml:space="preserve">mogelijk om </w:t>
      </w:r>
      <w:r w:rsidR="0070550F">
        <w:rPr>
          <w:lang w:val="nl-NL" w:eastAsia="nl-NL"/>
        </w:rPr>
        <w:t xml:space="preserve">vrij </w:t>
      </w:r>
      <w:r w:rsidR="00825445">
        <w:rPr>
          <w:lang w:val="nl-NL" w:eastAsia="nl-NL"/>
        </w:rPr>
        <w:t xml:space="preserve">te </w:t>
      </w:r>
      <w:r w:rsidR="0070550F">
        <w:rPr>
          <w:lang w:val="nl-NL" w:eastAsia="nl-NL"/>
        </w:rPr>
        <w:t>kunnen zwemmen tussen de Waddenzee en het I</w:t>
      </w:r>
      <w:r w:rsidR="005F5515">
        <w:rPr>
          <w:lang w:val="nl-NL" w:eastAsia="nl-NL"/>
        </w:rPr>
        <w:t>j</w:t>
      </w:r>
      <w:r w:rsidR="0070550F">
        <w:rPr>
          <w:lang w:val="nl-NL" w:eastAsia="nl-NL"/>
        </w:rPr>
        <w:t xml:space="preserve">sselmeer. </w:t>
      </w:r>
      <w:r>
        <w:rPr>
          <w:lang w:val="nl-NL" w:eastAsia="nl-NL"/>
        </w:rPr>
        <w:t>D</w:t>
      </w:r>
      <w:r w:rsidR="0070550F">
        <w:rPr>
          <w:lang w:val="nl-NL" w:eastAsia="nl-NL"/>
        </w:rPr>
        <w:t xml:space="preserve">e voorbereidende werkzaamheden </w:t>
      </w:r>
      <w:r w:rsidR="00825445">
        <w:rPr>
          <w:lang w:val="nl-NL" w:eastAsia="nl-NL"/>
        </w:rPr>
        <w:t xml:space="preserve">voor deze maatregel </w:t>
      </w:r>
      <w:r>
        <w:rPr>
          <w:lang w:val="nl-NL" w:eastAsia="nl-NL"/>
        </w:rPr>
        <w:t>zijn</w:t>
      </w:r>
      <w:r w:rsidR="0070550F">
        <w:rPr>
          <w:lang w:val="nl-NL" w:eastAsia="nl-NL"/>
        </w:rPr>
        <w:t xml:space="preserve"> in mei 2020 gestart. In 2021 </w:t>
      </w:r>
      <w:r w:rsidR="00B155AC">
        <w:rPr>
          <w:lang w:val="nl-NL" w:eastAsia="nl-NL"/>
        </w:rPr>
        <w:t>is</w:t>
      </w:r>
      <w:r w:rsidR="00A129A8">
        <w:rPr>
          <w:lang w:val="nl-NL" w:eastAsia="nl-NL"/>
        </w:rPr>
        <w:t xml:space="preserve"> </w:t>
      </w:r>
      <w:r w:rsidR="0070550F">
        <w:rPr>
          <w:lang w:val="nl-NL" w:eastAsia="nl-NL"/>
        </w:rPr>
        <w:t>de aanleg</w:t>
      </w:r>
      <w:r w:rsidR="00B155AC">
        <w:rPr>
          <w:lang w:val="nl-NL" w:eastAsia="nl-NL"/>
        </w:rPr>
        <w:t xml:space="preserve"> gestart</w:t>
      </w:r>
      <w:r>
        <w:rPr>
          <w:lang w:val="nl-NL" w:eastAsia="nl-NL"/>
        </w:rPr>
        <w:t>,</w:t>
      </w:r>
      <w:r w:rsidR="0070550F">
        <w:rPr>
          <w:lang w:val="nl-NL" w:eastAsia="nl-NL"/>
        </w:rPr>
        <w:t xml:space="preserve"> waarna </w:t>
      </w:r>
      <w:r>
        <w:rPr>
          <w:lang w:val="nl-NL" w:eastAsia="nl-NL"/>
        </w:rPr>
        <w:t xml:space="preserve">halverwege </w:t>
      </w:r>
      <w:r w:rsidR="0070550F">
        <w:rPr>
          <w:lang w:val="nl-NL" w:eastAsia="nl-NL"/>
        </w:rPr>
        <w:t>2023 de eerste vissen door de rivier zullen zwemmen.</w:t>
      </w:r>
    </w:p>
    <w:p w:rsidR="0070550F" w:rsidP="0070550F" w:rsidRDefault="00A129A8" w14:paraId="701A81C1" w14:textId="77777777">
      <w:pPr>
        <w:rPr>
          <w:lang w:val="nl-NL" w:eastAsia="nl-NL"/>
        </w:rPr>
      </w:pPr>
      <w:r>
        <w:rPr>
          <w:lang w:val="nl-NL" w:eastAsia="nl-NL"/>
        </w:rPr>
        <w:t>M</w:t>
      </w:r>
      <w:r w:rsidRPr="00A129A8">
        <w:rPr>
          <w:lang w:val="nl-NL" w:eastAsia="nl-NL"/>
        </w:rPr>
        <w:t>et ingang van 2022</w:t>
      </w:r>
      <w:r>
        <w:rPr>
          <w:lang w:val="nl-NL" w:eastAsia="nl-NL"/>
        </w:rPr>
        <w:t xml:space="preserve"> worden</w:t>
      </w:r>
      <w:r w:rsidR="0070550F">
        <w:rPr>
          <w:lang w:val="nl-NL" w:eastAsia="nl-NL"/>
        </w:rPr>
        <w:t xml:space="preserve"> visserijvrije zones </w:t>
      </w:r>
      <w:r>
        <w:rPr>
          <w:lang w:val="nl-NL" w:eastAsia="nl-NL"/>
        </w:rPr>
        <w:t xml:space="preserve">ingesteld </w:t>
      </w:r>
      <w:r w:rsidR="0070550F">
        <w:rPr>
          <w:lang w:val="nl-NL" w:eastAsia="nl-NL"/>
        </w:rPr>
        <w:t>rondom kunstwerken als stuwen, sluizen en gemalen met een vismigratievoorziening</w:t>
      </w:r>
      <w:r w:rsidR="00825445">
        <w:rPr>
          <w:lang w:val="nl-NL" w:eastAsia="nl-NL"/>
        </w:rPr>
        <w:t xml:space="preserve"> zoals </w:t>
      </w:r>
      <w:r w:rsidR="00523900">
        <w:rPr>
          <w:lang w:val="nl-NL" w:eastAsia="nl-NL"/>
        </w:rPr>
        <w:t>v</w:t>
      </w:r>
      <w:r w:rsidRPr="007A69F9" w:rsidR="0070550F">
        <w:rPr>
          <w:lang w:val="nl-NL" w:eastAsia="nl-NL"/>
        </w:rPr>
        <w:t>istrap</w:t>
      </w:r>
      <w:r w:rsidR="00523900">
        <w:rPr>
          <w:lang w:val="nl-NL" w:eastAsia="nl-NL"/>
        </w:rPr>
        <w:t xml:space="preserve"> of </w:t>
      </w:r>
      <w:r w:rsidRPr="007A69F9" w:rsidR="0070550F">
        <w:rPr>
          <w:lang w:val="nl-NL" w:eastAsia="nl-NL"/>
        </w:rPr>
        <w:t>vispassage</w:t>
      </w:r>
      <w:r w:rsidR="00523900">
        <w:rPr>
          <w:lang w:val="nl-NL" w:eastAsia="nl-NL"/>
        </w:rPr>
        <w:t xml:space="preserve">, </w:t>
      </w:r>
      <w:r w:rsidR="001E3E02">
        <w:rPr>
          <w:lang w:val="nl-NL" w:eastAsia="nl-NL"/>
        </w:rPr>
        <w:t>of met een</w:t>
      </w:r>
      <w:r w:rsidR="00523900">
        <w:rPr>
          <w:lang w:val="nl-NL" w:eastAsia="nl-NL"/>
        </w:rPr>
        <w:t xml:space="preserve"> v</w:t>
      </w:r>
      <w:r w:rsidRPr="007A69F9" w:rsidR="0070550F">
        <w:rPr>
          <w:lang w:val="nl-NL" w:eastAsia="nl-NL"/>
        </w:rPr>
        <w:t>isvriendelijke turbine of visvriendelijk</w:t>
      </w:r>
      <w:r w:rsidR="0070550F">
        <w:rPr>
          <w:lang w:val="nl-NL" w:eastAsia="nl-NL"/>
        </w:rPr>
        <w:t xml:space="preserve"> </w:t>
      </w:r>
      <w:r w:rsidRPr="007A69F9" w:rsidR="0070550F">
        <w:rPr>
          <w:lang w:val="nl-NL" w:eastAsia="nl-NL"/>
        </w:rPr>
        <w:t>stuw- en sluisbeheer</w:t>
      </w:r>
      <w:r w:rsidR="00523900">
        <w:rPr>
          <w:lang w:val="nl-NL" w:eastAsia="nl-NL"/>
        </w:rPr>
        <w:t xml:space="preserve">. </w:t>
      </w:r>
      <w:r w:rsidR="00E107B8">
        <w:rPr>
          <w:lang w:val="nl-NL" w:eastAsia="nl-NL"/>
        </w:rPr>
        <w:t>O</w:t>
      </w:r>
      <w:r w:rsidR="007F04F3">
        <w:rPr>
          <w:lang w:val="nl-NL" w:eastAsia="nl-NL"/>
        </w:rPr>
        <w:t xml:space="preserve">ok </w:t>
      </w:r>
      <w:r w:rsidR="0070550F">
        <w:rPr>
          <w:lang w:val="nl-NL" w:eastAsia="nl-NL"/>
        </w:rPr>
        <w:t>migratiepunten op zoet-zoutovergangen</w:t>
      </w:r>
      <w:r w:rsidR="007F04F3">
        <w:rPr>
          <w:lang w:val="nl-NL" w:eastAsia="nl-NL"/>
        </w:rPr>
        <w:t xml:space="preserve"> zullen visserijvrij worden.</w:t>
      </w:r>
      <w:r w:rsidR="0070550F">
        <w:rPr>
          <w:lang w:val="nl-NL" w:eastAsia="nl-NL"/>
        </w:rPr>
        <w:t xml:space="preserve"> </w:t>
      </w:r>
      <w:r>
        <w:rPr>
          <w:lang w:val="nl-NL" w:eastAsia="nl-NL"/>
        </w:rPr>
        <w:t>Specifiek bij</w:t>
      </w:r>
      <w:r w:rsidR="0070550F">
        <w:rPr>
          <w:lang w:val="nl-NL" w:eastAsia="nl-NL"/>
        </w:rPr>
        <w:t xml:space="preserve"> de intrekpunten </w:t>
      </w:r>
      <w:r>
        <w:rPr>
          <w:lang w:val="nl-NL" w:eastAsia="nl-NL"/>
        </w:rPr>
        <w:t xml:space="preserve">op </w:t>
      </w:r>
      <w:r w:rsidR="0070550F">
        <w:rPr>
          <w:lang w:val="nl-NL" w:eastAsia="nl-NL"/>
        </w:rPr>
        <w:t xml:space="preserve">het Haringvliet en de beide sluizen in de Afsluitdijk wordt </w:t>
      </w:r>
      <w:r>
        <w:rPr>
          <w:lang w:val="nl-NL" w:eastAsia="nl-NL"/>
        </w:rPr>
        <w:t>gekozen voor</w:t>
      </w:r>
      <w:r w:rsidR="0070550F">
        <w:rPr>
          <w:lang w:val="nl-NL" w:eastAsia="nl-NL"/>
        </w:rPr>
        <w:t xml:space="preserve"> een dimensionering die past bij de lokale omstandigheden en het grote belang van deze locaties voor de trek van trekvissoorten </w:t>
      </w:r>
      <w:r w:rsidR="00E107B8">
        <w:rPr>
          <w:lang w:val="nl-NL" w:eastAsia="nl-NL"/>
        </w:rPr>
        <w:t xml:space="preserve">tussen </w:t>
      </w:r>
      <w:r w:rsidR="0070550F">
        <w:rPr>
          <w:lang w:val="nl-NL" w:eastAsia="nl-NL"/>
        </w:rPr>
        <w:t xml:space="preserve">zee </w:t>
      </w:r>
      <w:r w:rsidR="00E107B8">
        <w:rPr>
          <w:lang w:val="nl-NL" w:eastAsia="nl-NL"/>
        </w:rPr>
        <w:t>en</w:t>
      </w:r>
      <w:r w:rsidR="0070550F">
        <w:rPr>
          <w:lang w:val="nl-NL" w:eastAsia="nl-NL"/>
        </w:rPr>
        <w:t xml:space="preserve"> de binnenwateren.</w:t>
      </w:r>
      <w:r w:rsidR="001E3E02">
        <w:rPr>
          <w:lang w:val="nl-NL" w:eastAsia="nl-NL"/>
        </w:rPr>
        <w:t xml:space="preserve"> </w:t>
      </w:r>
    </w:p>
    <w:p w:rsidR="0070550F" w:rsidP="0070550F" w:rsidRDefault="0070550F" w14:paraId="6317F4A7" w14:textId="7E30D42F">
      <w:pPr>
        <w:rPr>
          <w:lang w:val="nl-NL" w:eastAsia="nl-NL"/>
        </w:rPr>
      </w:pPr>
      <w:r>
        <w:rPr>
          <w:lang w:val="nl-NL" w:eastAsia="nl-NL"/>
        </w:rPr>
        <w:t xml:space="preserve">In het kader van het KRM-haaienactieplan is een </w:t>
      </w:r>
      <w:r w:rsidR="007F04F3">
        <w:rPr>
          <w:lang w:val="nl-NL" w:eastAsia="nl-NL"/>
        </w:rPr>
        <w:t>informatie</w:t>
      </w:r>
      <w:r w:rsidRPr="0020034F" w:rsidR="007F04F3">
        <w:rPr>
          <w:lang w:val="nl-NL" w:eastAsia="nl-NL"/>
        </w:rPr>
        <w:t xml:space="preserve">pakket </w:t>
      </w:r>
      <w:r w:rsidRPr="0020034F">
        <w:rPr>
          <w:lang w:val="nl-NL" w:eastAsia="nl-NL"/>
        </w:rPr>
        <w:t xml:space="preserve">ontwikkeld voor </w:t>
      </w:r>
      <w:r w:rsidR="00D30484">
        <w:rPr>
          <w:lang w:val="nl-NL" w:eastAsia="nl-NL"/>
        </w:rPr>
        <w:t xml:space="preserve">beroepsvissers, </w:t>
      </w:r>
      <w:r w:rsidRPr="0020034F">
        <w:rPr>
          <w:lang w:val="nl-NL" w:eastAsia="nl-NL"/>
        </w:rPr>
        <w:t>visserijscholen</w:t>
      </w:r>
      <w:r>
        <w:rPr>
          <w:lang w:val="nl-NL" w:eastAsia="nl-NL"/>
        </w:rPr>
        <w:t>,</w:t>
      </w:r>
      <w:r w:rsidRPr="0020034F">
        <w:rPr>
          <w:lang w:val="nl-NL" w:eastAsia="nl-NL"/>
        </w:rPr>
        <w:t xml:space="preserve"> </w:t>
      </w:r>
      <w:r w:rsidR="00D30484">
        <w:rPr>
          <w:lang w:val="nl-NL" w:eastAsia="nl-NL"/>
        </w:rPr>
        <w:t xml:space="preserve">en medewerkers van </w:t>
      </w:r>
      <w:r w:rsidRPr="0020034F">
        <w:rPr>
          <w:lang w:val="nl-NL" w:eastAsia="nl-NL"/>
        </w:rPr>
        <w:t>visafslagen</w:t>
      </w:r>
      <w:r>
        <w:rPr>
          <w:lang w:val="nl-NL" w:eastAsia="nl-NL"/>
        </w:rPr>
        <w:t xml:space="preserve">. </w:t>
      </w:r>
      <w:r w:rsidR="008366A2">
        <w:rPr>
          <w:lang w:val="nl-NL" w:eastAsia="nl-NL"/>
        </w:rPr>
        <w:t xml:space="preserve">Daarnaast is een uitzondering op de aanlandplicht van kracht voor roggen. </w:t>
      </w:r>
      <w:r w:rsidR="007F04F3">
        <w:rPr>
          <w:lang w:val="nl-NL" w:eastAsia="nl-NL"/>
        </w:rPr>
        <w:t>E</w:t>
      </w:r>
      <w:r w:rsidRPr="00437172">
        <w:rPr>
          <w:lang w:val="nl-NL" w:eastAsia="nl-NL"/>
        </w:rPr>
        <w:t>en gedragscode om sportvisserijvangsten van haaien en roggen niet aan te landen</w:t>
      </w:r>
      <w:r w:rsidR="007F04F3">
        <w:rPr>
          <w:lang w:val="nl-NL" w:eastAsia="nl-NL"/>
        </w:rPr>
        <w:t>, is</w:t>
      </w:r>
      <w:r w:rsidRPr="00437172">
        <w:rPr>
          <w:lang w:val="nl-NL" w:eastAsia="nl-NL"/>
        </w:rPr>
        <w:t xml:space="preserve"> inmiddels onderdeel van de identificatiekaart voor </w:t>
      </w:r>
      <w:r w:rsidRPr="00311256">
        <w:rPr>
          <w:lang w:val="nl-NL"/>
        </w:rPr>
        <w:t xml:space="preserve">haaien en roggen. </w:t>
      </w:r>
      <w:r w:rsidRPr="00311256" w:rsidR="007F04F3">
        <w:rPr>
          <w:lang w:val="nl-NL"/>
        </w:rPr>
        <w:t>I</w:t>
      </w:r>
      <w:r w:rsidRPr="00311256">
        <w:rPr>
          <w:lang w:val="nl-NL"/>
        </w:rPr>
        <w:t>n het kader van</w:t>
      </w:r>
      <w:r w:rsidRPr="00437172">
        <w:rPr>
          <w:lang w:val="nl-NL" w:eastAsia="nl-NL"/>
        </w:rPr>
        <w:t xml:space="preserve"> Life IP Deltanatuur </w:t>
      </w:r>
      <w:r w:rsidR="007F04F3">
        <w:rPr>
          <w:lang w:val="nl-NL" w:eastAsia="nl-NL"/>
        </w:rPr>
        <w:t xml:space="preserve">is </w:t>
      </w:r>
      <w:r>
        <w:rPr>
          <w:lang w:val="nl-NL" w:eastAsia="nl-NL"/>
        </w:rPr>
        <w:t xml:space="preserve">een project </w:t>
      </w:r>
      <w:r w:rsidRPr="00437172">
        <w:rPr>
          <w:lang w:val="nl-NL" w:eastAsia="nl-NL"/>
        </w:rPr>
        <w:t xml:space="preserve">gestart </w:t>
      </w:r>
      <w:r w:rsidR="00D30484">
        <w:rPr>
          <w:lang w:val="nl-NL" w:eastAsia="nl-NL"/>
        </w:rPr>
        <w:t xml:space="preserve">dat </w:t>
      </w:r>
      <w:r w:rsidR="007E76FD">
        <w:rPr>
          <w:lang w:val="nl-NL" w:eastAsia="nl-NL"/>
        </w:rPr>
        <w:t>de verspreiding van</w:t>
      </w:r>
      <w:r w:rsidRPr="00437172">
        <w:rPr>
          <w:lang w:val="nl-NL" w:eastAsia="nl-NL"/>
        </w:rPr>
        <w:t xml:space="preserve"> haaien</w:t>
      </w:r>
      <w:r>
        <w:rPr>
          <w:lang w:val="nl-NL" w:eastAsia="nl-NL"/>
        </w:rPr>
        <w:t>-</w:t>
      </w:r>
      <w:r w:rsidRPr="00437172">
        <w:rPr>
          <w:lang w:val="nl-NL" w:eastAsia="nl-NL"/>
        </w:rPr>
        <w:t xml:space="preserve"> en roggenpopulaties in de Noordzee en de Waddenzee</w:t>
      </w:r>
      <w:r w:rsidR="007E76FD">
        <w:rPr>
          <w:lang w:val="nl-NL" w:eastAsia="nl-NL"/>
        </w:rPr>
        <w:t xml:space="preserve"> onderzoekt</w:t>
      </w:r>
      <w:r w:rsidR="007E76FD">
        <w:rPr>
          <w:lang w:val="nl-NL"/>
        </w:rPr>
        <w:t xml:space="preserve">. </w:t>
      </w:r>
      <w:r w:rsidR="00D66E83">
        <w:rPr>
          <w:lang w:val="nl-NL"/>
        </w:rPr>
        <w:t>Daarnaast</w:t>
      </w:r>
      <w:r w:rsidR="007E76FD">
        <w:rPr>
          <w:lang w:val="nl-NL"/>
        </w:rPr>
        <w:t xml:space="preserve"> wordt </w:t>
      </w:r>
      <w:r w:rsidR="00D66E83">
        <w:rPr>
          <w:lang w:val="nl-NL"/>
        </w:rPr>
        <w:t xml:space="preserve">een </w:t>
      </w:r>
      <w:r w:rsidR="000A4CED">
        <w:rPr>
          <w:lang w:val="nl-NL"/>
        </w:rPr>
        <w:t>a</w:t>
      </w:r>
      <w:r w:rsidR="007E76FD">
        <w:rPr>
          <w:lang w:val="nl-NL"/>
        </w:rPr>
        <w:t xml:space="preserve">anvullend onderzoek </w:t>
      </w:r>
      <w:r w:rsidR="000A4CED">
        <w:rPr>
          <w:lang w:val="nl-NL"/>
        </w:rPr>
        <w:t xml:space="preserve">in de periode 2021-2023 </w:t>
      </w:r>
      <w:r w:rsidR="00D66E83">
        <w:rPr>
          <w:lang w:val="nl-NL"/>
        </w:rPr>
        <w:t xml:space="preserve">uitgevoerd </w:t>
      </w:r>
      <w:r w:rsidR="007E76FD">
        <w:rPr>
          <w:lang w:val="nl-NL"/>
        </w:rPr>
        <w:t>naar de verspreiding en overleving in de visserij van haaien en roggen in de Noordzee o.a. om het gebruik van N</w:t>
      </w:r>
      <w:r w:rsidR="008366A2">
        <w:rPr>
          <w:lang w:val="nl-NL"/>
        </w:rPr>
        <w:t xml:space="preserve">atura </w:t>
      </w:r>
      <w:r w:rsidR="007E76FD">
        <w:rPr>
          <w:lang w:val="nl-NL"/>
        </w:rPr>
        <w:t>2000-gebieden verder te onderzoeken</w:t>
      </w:r>
      <w:r w:rsidR="00D66E83">
        <w:rPr>
          <w:lang w:val="nl-NL"/>
        </w:rPr>
        <w:t xml:space="preserve"> en informatie te verkrijgen t.b.v. de uitzondering </w:t>
      </w:r>
      <w:r w:rsidR="00B155AC">
        <w:rPr>
          <w:lang w:val="nl-NL"/>
        </w:rPr>
        <w:t xml:space="preserve">voor </w:t>
      </w:r>
      <w:r w:rsidR="00D66E83">
        <w:rPr>
          <w:lang w:val="nl-NL"/>
        </w:rPr>
        <w:t>roggen op de aanlandplicht</w:t>
      </w:r>
      <w:r w:rsidR="007E76FD">
        <w:rPr>
          <w:lang w:val="nl-NL"/>
        </w:rPr>
        <w:t>.</w:t>
      </w:r>
    </w:p>
    <w:p w:rsidR="0070550F" w:rsidP="0070550F" w:rsidRDefault="0070550F" w14:paraId="53BA3FC8" w14:textId="77777777">
      <w:pPr>
        <w:pStyle w:val="TOCHeading"/>
      </w:pPr>
      <w:r>
        <w:t>Huidige milieutoestand</w:t>
      </w:r>
    </w:p>
    <w:p w:rsidRPr="00E131F5" w:rsidR="00D67C58" w:rsidP="0070550F" w:rsidRDefault="0070550F" w14:paraId="503BA8C1" w14:textId="77777777">
      <w:pPr>
        <w:pStyle w:val="TOCHeading"/>
        <w:rPr>
          <w:sz w:val="18"/>
        </w:rPr>
      </w:pPr>
      <w:r w:rsidRPr="00E131F5">
        <w:rPr>
          <w:rStyle w:val="IntenseEmphasis"/>
          <w:sz w:val="18"/>
        </w:rPr>
        <w:t>Vogels</w:t>
      </w:r>
    </w:p>
    <w:p w:rsidRPr="000A4CED" w:rsidR="00311256" w:rsidP="00311256" w:rsidRDefault="00311256" w14:paraId="7F0A4E06" w14:textId="35C01732">
      <w:pPr>
        <w:rPr>
          <w:lang w:val="nl-NL" w:eastAsia="nl-NL"/>
        </w:rPr>
      </w:pPr>
      <w:r w:rsidRPr="000A4CED">
        <w:rPr>
          <w:lang w:val="nl-NL" w:eastAsia="nl-NL"/>
        </w:rPr>
        <w:t>Nederlandse zee en kust zijn belangrijk voor zowel broed- als trekvogels: als voedselbron en voor het vinden van broedplaatsen. Voor miljoenen trekvogels is het een belangrijk overwinteringsgebied. Volgens deel 1 van de Mariene Strategie (2018)</w:t>
      </w:r>
      <w:r w:rsidR="00FF2F23">
        <w:rPr>
          <w:lang w:val="nl-NL" w:eastAsia="nl-NL"/>
        </w:rPr>
        <w:t xml:space="preserve"> [11]</w:t>
      </w:r>
      <w:r w:rsidRPr="000A4CED">
        <w:rPr>
          <w:lang w:val="nl-NL" w:eastAsia="nl-NL"/>
        </w:rPr>
        <w:t xml:space="preserve"> is de goede milieutoestand voor vogels nog niet gehaald. Dat is de conclusie op grond van de meest recente OSPAR-beoordelingen van aantallen broedvogels, broedsucces en aantallen niet-broedvogels. </w:t>
      </w:r>
    </w:p>
    <w:p w:rsidRPr="000A4CED" w:rsidR="00311256" w:rsidP="00311256" w:rsidRDefault="00311256" w14:paraId="64AB724C" w14:textId="6DA7F57A">
      <w:pPr>
        <w:rPr>
          <w:lang w:val="nl-NL" w:eastAsia="nl-NL"/>
        </w:rPr>
      </w:pPr>
      <w:r w:rsidRPr="000A4CED">
        <w:rPr>
          <w:lang w:val="nl-NL" w:eastAsia="nl-NL"/>
        </w:rPr>
        <w:t xml:space="preserve">Voor broedvogels gaan volgens de onderliggende </w:t>
      </w:r>
      <w:r w:rsidR="005F5515">
        <w:rPr>
          <w:lang w:val="nl-NL" w:eastAsia="nl-NL"/>
        </w:rPr>
        <w:t>–</w:t>
      </w:r>
      <w:r w:rsidRPr="000A4CED">
        <w:rPr>
          <w:lang w:val="nl-NL" w:eastAsia="nl-NL"/>
        </w:rPr>
        <w:t xml:space="preserve"> regionale </w:t>
      </w:r>
      <w:r w:rsidR="005F5515">
        <w:rPr>
          <w:lang w:val="nl-NL" w:eastAsia="nl-NL"/>
        </w:rPr>
        <w:t>–</w:t>
      </w:r>
      <w:r w:rsidRPr="000A4CED">
        <w:rPr>
          <w:lang w:val="nl-NL" w:eastAsia="nl-NL"/>
        </w:rPr>
        <w:t xml:space="preserve"> OSPAR-</w:t>
      </w:r>
      <w:r w:rsidRPr="000A4CED">
        <w:rPr>
          <w:i/>
          <w:iCs/>
          <w:lang w:val="nl-NL" w:eastAsia="nl-NL"/>
        </w:rPr>
        <w:t>assessment</w:t>
      </w:r>
      <w:r w:rsidRPr="000A4CED">
        <w:rPr>
          <w:lang w:val="nl-NL" w:eastAsia="nl-NL"/>
        </w:rPr>
        <w:t xml:space="preserve"> de stand en het broedsucces achteruit. Dit betreft vooral waadvogels en soorten die aan het wateroppervlak hun voedsel zoeken en waarvoor het voedselaanbod een belangrijk knelpunt blijkt. Broedvogels kampen bovendien met de beperkte beschikbaarheid van geschikte broedplaatsen. Uit </w:t>
      </w:r>
      <w:bookmarkStart w:name="_Hlk57395810" w:id="21"/>
      <w:r w:rsidRPr="000A4CED">
        <w:rPr>
          <w:lang w:val="nl-NL" w:eastAsia="nl-NL"/>
        </w:rPr>
        <w:t xml:space="preserve">de Nederlandse Vogelrichtlijn- en Habitatrichtlijnrapportage (2019) </w:t>
      </w:r>
      <w:bookmarkEnd w:id="21"/>
      <w:r w:rsidR="00821C1E">
        <w:rPr>
          <w:lang w:val="nl-NL" w:eastAsia="nl-NL"/>
        </w:rPr>
        <w:t xml:space="preserve">[13] </w:t>
      </w:r>
      <w:r w:rsidRPr="000A4CED">
        <w:rPr>
          <w:lang w:val="nl-NL" w:eastAsia="nl-NL"/>
        </w:rPr>
        <w:t>blijkt dat de nationale</w:t>
      </w:r>
      <w:r>
        <w:rPr>
          <w:lang w:val="nl-NL" w:eastAsia="nl-NL"/>
        </w:rPr>
        <w:t xml:space="preserve"> </w:t>
      </w:r>
      <w:r w:rsidRPr="00533B59">
        <w:rPr>
          <w:lang w:val="nl-NL" w:eastAsia="nl-NL"/>
        </w:rPr>
        <w:t xml:space="preserve">ontwikkeling bij de kustbroedvogels wisselend is. Zo hebben strandplevier, visdief, grote stern en </w:t>
      </w:r>
      <w:r w:rsidRPr="000A4CED">
        <w:rPr>
          <w:lang w:val="nl-NL" w:eastAsia="nl-NL"/>
        </w:rPr>
        <w:t>dwergstern het moeilijk, doordat de dynamische milieus waar ze broeden verdwijnen of ongeschikt zijn geworden als gevolg van de recreatiedruk.</w:t>
      </w:r>
    </w:p>
    <w:p w:rsidR="00311256" w:rsidP="00311256" w:rsidRDefault="00311256" w14:paraId="6A8248B5" w14:textId="7CB239A6">
      <w:pPr>
        <w:rPr>
          <w:lang w:val="nl-NL" w:eastAsia="nl-NL"/>
        </w:rPr>
      </w:pPr>
      <w:r w:rsidRPr="000A4CED">
        <w:rPr>
          <w:lang w:val="nl-NL" w:eastAsia="nl-NL"/>
        </w:rPr>
        <w:t>Voor doortrekkende en overwinterende kustvogels is volgens de – regionale – OSPAR-</w:t>
      </w:r>
      <w:r w:rsidRPr="000A4CED">
        <w:rPr>
          <w:i/>
          <w:iCs/>
          <w:lang w:val="nl-NL" w:eastAsia="nl-NL"/>
        </w:rPr>
        <w:t>assessment</w:t>
      </w:r>
      <w:r w:rsidRPr="000A4CED">
        <w:rPr>
          <w:lang w:val="nl-NL" w:eastAsia="nl-NL"/>
        </w:rPr>
        <w:t xml:space="preserve">  de relatieve talrijkheid eveneens sterk afgenomen. In de </w:t>
      </w:r>
      <w:r w:rsidR="005F5515">
        <w:rPr>
          <w:lang w:val="nl-NL" w:eastAsia="nl-NL"/>
        </w:rPr>
        <w:t>–</w:t>
      </w:r>
      <w:r w:rsidRPr="000A4CED">
        <w:rPr>
          <w:lang w:val="nl-NL" w:eastAsia="nl-NL"/>
        </w:rPr>
        <w:t xml:space="preserve"> internationale </w:t>
      </w:r>
      <w:r w:rsidR="005F5515">
        <w:rPr>
          <w:lang w:val="nl-NL" w:eastAsia="nl-NL"/>
        </w:rPr>
        <w:t>–</w:t>
      </w:r>
      <w:r w:rsidRPr="000A4CED">
        <w:rPr>
          <w:lang w:val="nl-NL" w:eastAsia="nl-NL"/>
        </w:rPr>
        <w:t xml:space="preserve"> Noordzee lijkt het met zulke soorten echter wel beter te gaan: de aantallen van 75 procent of meer van de soorten zijn hier boven de referentiewaarden voor deze soorten in de periode 1991-2015. Uit de Nederlandse</w:t>
      </w:r>
      <w:r w:rsidRPr="00612EF0">
        <w:rPr>
          <w:lang w:val="nl-NL" w:eastAsia="nl-NL"/>
        </w:rPr>
        <w:t xml:space="preserve"> Vogelrichtlijn- en Habitatrichtlijnrapportage 2019</w:t>
      </w:r>
      <w:r w:rsidR="00821C1E">
        <w:rPr>
          <w:lang w:val="nl-NL" w:eastAsia="nl-NL"/>
        </w:rPr>
        <w:t xml:space="preserve"> [13]</w:t>
      </w:r>
      <w:r>
        <w:rPr>
          <w:lang w:val="nl-NL" w:eastAsia="nl-NL"/>
        </w:rPr>
        <w:t xml:space="preserve"> blijken nationale trends van </w:t>
      </w:r>
      <w:r w:rsidRPr="00CF4FDC">
        <w:rPr>
          <w:lang w:val="nl-NL" w:eastAsia="nl-NL"/>
        </w:rPr>
        <w:t>trekvogels van zee en kust</w:t>
      </w:r>
      <w:r>
        <w:rPr>
          <w:lang w:val="nl-NL" w:eastAsia="nl-NL"/>
        </w:rPr>
        <w:t xml:space="preserve"> </w:t>
      </w:r>
      <w:r w:rsidRPr="00CF4FDC">
        <w:rPr>
          <w:lang w:val="nl-NL" w:eastAsia="nl-NL"/>
        </w:rPr>
        <w:t>overwegend positief</w:t>
      </w:r>
      <w:r>
        <w:rPr>
          <w:lang w:val="nl-NL" w:eastAsia="nl-NL"/>
        </w:rPr>
        <w:t xml:space="preserve">. Wel </w:t>
      </w:r>
      <w:r w:rsidR="000A4CED">
        <w:rPr>
          <w:lang w:val="nl-NL" w:eastAsia="nl-NL"/>
        </w:rPr>
        <w:t>staan</w:t>
      </w:r>
      <w:r>
        <w:rPr>
          <w:lang w:val="nl-NL" w:eastAsia="nl-NL"/>
        </w:rPr>
        <w:t xml:space="preserve"> bepaalde soorten </w:t>
      </w:r>
      <w:r w:rsidRPr="00CF4FDC">
        <w:rPr>
          <w:lang w:val="nl-NL" w:eastAsia="nl-NL"/>
        </w:rPr>
        <w:t>in de</w:t>
      </w:r>
      <w:r>
        <w:rPr>
          <w:lang w:val="nl-NL" w:eastAsia="nl-NL"/>
        </w:rPr>
        <w:t xml:space="preserve"> </w:t>
      </w:r>
      <w:r w:rsidRPr="00CF4FDC">
        <w:rPr>
          <w:lang w:val="nl-NL" w:eastAsia="nl-NL"/>
        </w:rPr>
        <w:t>Delta, in het bijzonder de Oosterschelde, onder druk door afname van het areaal slikplaten.</w:t>
      </w:r>
    </w:p>
    <w:p w:rsidR="00311256" w:rsidP="00311256" w:rsidRDefault="00311256" w14:paraId="17207F1B" w14:textId="0A8395A3">
      <w:pPr>
        <w:rPr>
          <w:lang w:val="nl-NL" w:eastAsia="nl-NL"/>
        </w:rPr>
      </w:pPr>
      <w:r w:rsidRPr="00BD1189">
        <w:rPr>
          <w:lang w:val="nl-NL" w:eastAsia="nl-NL"/>
        </w:rPr>
        <w:t xml:space="preserve">De Nederlandse en buitenlandse opgaven voor ontwikkeling van duurzame energie op zee kunnen de goede milieutoestand </w:t>
      </w:r>
      <w:r>
        <w:rPr>
          <w:lang w:val="nl-NL" w:eastAsia="nl-NL"/>
        </w:rPr>
        <w:t xml:space="preserve">voor vogels </w:t>
      </w:r>
      <w:r w:rsidRPr="00BD1189">
        <w:rPr>
          <w:lang w:val="nl-NL" w:eastAsia="nl-NL"/>
        </w:rPr>
        <w:t>nog verder onder druk zetten</w:t>
      </w:r>
      <w:r>
        <w:rPr>
          <w:lang w:val="nl-NL" w:eastAsia="nl-NL"/>
        </w:rPr>
        <w:t>,</w:t>
      </w:r>
      <w:r w:rsidRPr="00BD1189">
        <w:rPr>
          <w:lang w:val="nl-NL" w:eastAsia="nl-NL"/>
        </w:rPr>
        <w:t xml:space="preserve"> vanwege de kans op aanvaringen of </w:t>
      </w:r>
      <w:r>
        <w:rPr>
          <w:lang w:val="nl-NL" w:eastAsia="nl-NL"/>
        </w:rPr>
        <w:t xml:space="preserve">verlies van </w:t>
      </w:r>
      <w:r w:rsidRPr="00BD1189">
        <w:rPr>
          <w:lang w:val="nl-NL" w:eastAsia="nl-NL"/>
        </w:rPr>
        <w:t xml:space="preserve">habitat. Het </w:t>
      </w:r>
      <w:r>
        <w:rPr>
          <w:lang w:val="nl-NL" w:eastAsia="nl-NL"/>
        </w:rPr>
        <w:t xml:space="preserve">Wind op zee ecologisch programma (Wozep) </w:t>
      </w:r>
      <w:r w:rsidRPr="00BD1189">
        <w:rPr>
          <w:lang w:val="nl-NL" w:eastAsia="nl-NL"/>
        </w:rPr>
        <w:t>monitor</w:t>
      </w:r>
      <w:r>
        <w:rPr>
          <w:lang w:val="nl-NL" w:eastAsia="nl-NL"/>
        </w:rPr>
        <w:t xml:space="preserve">t </w:t>
      </w:r>
      <w:r w:rsidRPr="00BD1189">
        <w:rPr>
          <w:lang w:val="nl-NL" w:eastAsia="nl-NL"/>
        </w:rPr>
        <w:t>en evalu</w:t>
      </w:r>
      <w:r>
        <w:rPr>
          <w:lang w:val="nl-NL" w:eastAsia="nl-NL"/>
        </w:rPr>
        <w:t xml:space="preserve">eert </w:t>
      </w:r>
      <w:r w:rsidRPr="00BD1189">
        <w:rPr>
          <w:lang w:val="nl-NL" w:eastAsia="nl-NL"/>
        </w:rPr>
        <w:t>de effecten van windparken op zeevogels.</w:t>
      </w:r>
      <w:r w:rsidR="000A4CED">
        <w:rPr>
          <w:lang w:val="nl-NL" w:eastAsia="nl-NL"/>
        </w:rPr>
        <w:t xml:space="preserve"> </w:t>
      </w:r>
      <w:r w:rsidR="00C6790D">
        <w:rPr>
          <w:lang w:val="nl-NL" w:eastAsia="nl-NL"/>
        </w:rPr>
        <w:t>Hierbij wordt onder andere gekeken naar</w:t>
      </w:r>
      <w:r w:rsidRPr="00C6790D" w:rsidR="00C6790D">
        <w:rPr>
          <w:lang w:val="nl-NL" w:eastAsia="nl-NL"/>
        </w:rPr>
        <w:t xml:space="preserve"> vogelaanvaringen, barrièrewerking en habitatverlies</w:t>
      </w:r>
      <w:r w:rsidR="00C6790D">
        <w:rPr>
          <w:lang w:val="nl-NL" w:eastAsia="nl-NL"/>
        </w:rPr>
        <w:t xml:space="preserve">. </w:t>
      </w:r>
      <w:r w:rsidR="000A4CED">
        <w:rPr>
          <w:lang w:val="nl-NL" w:eastAsia="nl-NL"/>
        </w:rPr>
        <w:t xml:space="preserve">Ook </w:t>
      </w:r>
      <w:r>
        <w:rPr>
          <w:lang w:val="nl-NL" w:eastAsia="nl-NL"/>
        </w:rPr>
        <w:t xml:space="preserve">de aanlandplicht voor vissers die per </w:t>
      </w:r>
      <w:r w:rsidRPr="000B0970">
        <w:rPr>
          <w:lang w:val="nl-NL" w:eastAsia="nl-NL"/>
        </w:rPr>
        <w:t xml:space="preserve">2019 </w:t>
      </w:r>
      <w:r>
        <w:rPr>
          <w:lang w:val="nl-NL" w:eastAsia="nl-NL"/>
        </w:rPr>
        <w:t xml:space="preserve">is ingegaan, kan een negatieve impact hebben op de aantallen van bepaalde </w:t>
      </w:r>
      <w:r w:rsidRPr="000B0970">
        <w:rPr>
          <w:lang w:val="nl-NL" w:eastAsia="nl-NL"/>
        </w:rPr>
        <w:t>zeevogelsoorten</w:t>
      </w:r>
      <w:r>
        <w:rPr>
          <w:lang w:val="nl-NL" w:eastAsia="nl-NL"/>
        </w:rPr>
        <w:t xml:space="preserve">, doordat </w:t>
      </w:r>
      <w:r w:rsidR="007368F6">
        <w:rPr>
          <w:lang w:val="nl-NL" w:eastAsia="nl-NL"/>
        </w:rPr>
        <w:t xml:space="preserve">vogels niet meer kunnen foerageren op </w:t>
      </w:r>
      <w:r w:rsidRPr="000B0970">
        <w:rPr>
          <w:lang w:val="nl-NL" w:eastAsia="nl-NL"/>
        </w:rPr>
        <w:t xml:space="preserve">bijvangst </w:t>
      </w:r>
      <w:r w:rsidR="007368F6">
        <w:rPr>
          <w:lang w:val="nl-NL" w:eastAsia="nl-NL"/>
        </w:rPr>
        <w:t xml:space="preserve">die voorheen </w:t>
      </w:r>
      <w:r w:rsidRPr="000B0970">
        <w:rPr>
          <w:lang w:val="nl-NL" w:eastAsia="nl-NL"/>
        </w:rPr>
        <w:t>overboord</w:t>
      </w:r>
      <w:r>
        <w:rPr>
          <w:lang w:val="nl-NL" w:eastAsia="nl-NL"/>
        </w:rPr>
        <w:t xml:space="preserve"> </w:t>
      </w:r>
      <w:r w:rsidR="007368F6">
        <w:rPr>
          <w:lang w:val="nl-NL" w:eastAsia="nl-NL"/>
        </w:rPr>
        <w:t>werd gezet</w:t>
      </w:r>
      <w:r w:rsidRPr="000B0970">
        <w:rPr>
          <w:lang w:val="nl-NL" w:eastAsia="nl-NL"/>
        </w:rPr>
        <w:t xml:space="preserve"> </w:t>
      </w:r>
    </w:p>
    <w:p w:rsidRPr="007F6DF8" w:rsidR="0070550F" w:rsidP="00D67C58" w:rsidRDefault="0070550F" w14:paraId="7DFA255A" w14:textId="77777777">
      <w:pPr>
        <w:pStyle w:val="TOCHeading"/>
        <w:rPr>
          <w:rStyle w:val="IntenseEmphasis"/>
          <w:sz w:val="18"/>
          <w:szCs w:val="18"/>
        </w:rPr>
      </w:pPr>
      <w:r w:rsidRPr="007F6DF8">
        <w:rPr>
          <w:rStyle w:val="IntenseEmphasis"/>
          <w:sz w:val="18"/>
          <w:szCs w:val="18"/>
        </w:rPr>
        <w:t>Zeezoogdieren</w:t>
      </w:r>
    </w:p>
    <w:p w:rsidRPr="00716068" w:rsidR="00311256" w:rsidP="00311256" w:rsidRDefault="00311256" w14:paraId="3AB964FE" w14:textId="7510510C">
      <w:pPr>
        <w:rPr>
          <w:szCs w:val="18"/>
          <w:lang w:val="nl-NL"/>
        </w:rPr>
      </w:pPr>
      <w:r w:rsidRPr="00353003">
        <w:rPr>
          <w:lang w:val="nl-NL" w:eastAsia="nl-NL"/>
        </w:rPr>
        <w:t>De goede milieutoestand voor zeezoogdieren is nog niet</w:t>
      </w:r>
      <w:r>
        <w:rPr>
          <w:lang w:val="nl-NL" w:eastAsia="nl-NL"/>
        </w:rPr>
        <w:t xml:space="preserve"> </w:t>
      </w:r>
      <w:r w:rsidRPr="00353003">
        <w:rPr>
          <w:lang w:val="nl-NL" w:eastAsia="nl-NL"/>
        </w:rPr>
        <w:t>gehaald, maar de situatie verbetert wel.</w:t>
      </w:r>
      <w:r>
        <w:rPr>
          <w:lang w:val="nl-NL" w:eastAsia="nl-NL"/>
        </w:rPr>
        <w:t xml:space="preserve"> </w:t>
      </w:r>
      <w:r w:rsidRPr="00716068">
        <w:rPr>
          <w:lang w:val="nl-NL" w:eastAsia="nl-NL"/>
        </w:rPr>
        <w:t>In het Nederlandse deel van de Noordzee ontwikkelt de omvang van de</w:t>
      </w:r>
      <w:r w:rsidRPr="00BD6202">
        <w:rPr>
          <w:lang w:val="nl-NL" w:eastAsia="nl-NL"/>
        </w:rPr>
        <w:t xml:space="preserve"> populaties van grijze</w:t>
      </w:r>
      <w:r w:rsidRPr="00BB3037" w:rsidR="00E61F0D">
        <w:rPr>
          <w:lang w:val="nl-NL" w:eastAsia="nl-NL"/>
        </w:rPr>
        <w:t xml:space="preserve"> en gewone</w:t>
      </w:r>
      <w:r w:rsidRPr="00BB3037">
        <w:rPr>
          <w:lang w:val="nl-NL" w:eastAsia="nl-NL"/>
        </w:rPr>
        <w:t xml:space="preserve"> zeehond </w:t>
      </w:r>
      <w:r w:rsidRPr="00716068">
        <w:rPr>
          <w:lang w:val="nl-NL" w:eastAsia="nl-NL"/>
        </w:rPr>
        <w:t xml:space="preserve">zich positief. </w:t>
      </w:r>
      <w:r w:rsidRPr="00716068" w:rsidR="00E61F0D">
        <w:rPr>
          <w:color w:val="000000"/>
          <w:szCs w:val="18"/>
          <w:lang w:val="nl-NL" w:eastAsia="nl-NL"/>
        </w:rPr>
        <w:t xml:space="preserve">De omvang van de populatie van de bruinvis is stabiel. </w:t>
      </w:r>
    </w:p>
    <w:p w:rsidR="00311256" w:rsidP="00311256" w:rsidRDefault="00311256" w14:paraId="3F7FAFF5" w14:textId="2546AAC3">
      <w:pPr>
        <w:rPr>
          <w:szCs w:val="18"/>
          <w:lang w:val="nl-NL"/>
        </w:rPr>
      </w:pPr>
      <w:r>
        <w:rPr>
          <w:szCs w:val="18"/>
          <w:lang w:val="nl-NL"/>
        </w:rPr>
        <w:t xml:space="preserve">In 2019 heeft Nederland in de rapportage </w:t>
      </w:r>
      <w:r w:rsidRPr="000A4CED" w:rsidR="00821C1E">
        <w:rPr>
          <w:lang w:val="nl-NL" w:eastAsia="nl-NL"/>
        </w:rPr>
        <w:t>Nederlandse</w:t>
      </w:r>
      <w:r w:rsidRPr="00612EF0" w:rsidR="00821C1E">
        <w:rPr>
          <w:lang w:val="nl-NL" w:eastAsia="nl-NL"/>
        </w:rPr>
        <w:t xml:space="preserve"> Vogelrichtlijn- en Habitatrichtlijnrapportage 2019</w:t>
      </w:r>
      <w:r w:rsidR="00821C1E">
        <w:rPr>
          <w:lang w:val="nl-NL" w:eastAsia="nl-NL"/>
        </w:rPr>
        <w:t xml:space="preserve"> [13]</w:t>
      </w:r>
      <w:r w:rsidR="006427B1">
        <w:rPr>
          <w:szCs w:val="18"/>
          <w:lang w:val="nl-NL"/>
        </w:rPr>
        <w:t xml:space="preserve"> aan de Europese Commissie</w:t>
      </w:r>
      <w:r w:rsidRPr="00C25A4D">
        <w:rPr>
          <w:szCs w:val="18"/>
          <w:lang w:val="nl-NL"/>
        </w:rPr>
        <w:t xml:space="preserve"> </w:t>
      </w:r>
      <w:r>
        <w:rPr>
          <w:szCs w:val="18"/>
          <w:lang w:val="nl-NL"/>
        </w:rPr>
        <w:t>de staat van instandhouding van</w:t>
      </w:r>
      <w:r w:rsidRPr="00786F65">
        <w:rPr>
          <w:szCs w:val="18"/>
          <w:lang w:val="nl-NL"/>
        </w:rPr>
        <w:t xml:space="preserve"> </w:t>
      </w:r>
      <w:r>
        <w:rPr>
          <w:szCs w:val="18"/>
          <w:lang w:val="nl-NL"/>
        </w:rPr>
        <w:t xml:space="preserve">de gewone zeehond, grijze zeehond en </w:t>
      </w:r>
      <w:r w:rsidRPr="00786F65">
        <w:rPr>
          <w:szCs w:val="18"/>
          <w:lang w:val="nl-NL"/>
        </w:rPr>
        <w:t>bruinvis</w:t>
      </w:r>
      <w:r>
        <w:rPr>
          <w:szCs w:val="18"/>
          <w:lang w:val="nl-NL"/>
        </w:rPr>
        <w:t xml:space="preserve"> als </w:t>
      </w:r>
      <w:r w:rsidRPr="00786F65">
        <w:rPr>
          <w:szCs w:val="18"/>
          <w:lang w:val="nl-NL"/>
        </w:rPr>
        <w:t>‘gunstig’</w:t>
      </w:r>
      <w:r>
        <w:rPr>
          <w:szCs w:val="18"/>
          <w:lang w:val="nl-NL"/>
        </w:rPr>
        <w:t xml:space="preserve"> aangemerkt.</w:t>
      </w:r>
      <w:r w:rsidRPr="00786F65">
        <w:rPr>
          <w:szCs w:val="18"/>
          <w:lang w:val="nl-NL"/>
        </w:rPr>
        <w:t xml:space="preserve"> </w:t>
      </w:r>
      <w:r>
        <w:rPr>
          <w:szCs w:val="18"/>
          <w:lang w:val="nl-NL"/>
        </w:rPr>
        <w:t>Bij de</w:t>
      </w:r>
      <w:r w:rsidRPr="00786F65">
        <w:rPr>
          <w:szCs w:val="18"/>
          <w:lang w:val="nl-NL"/>
        </w:rPr>
        <w:t xml:space="preserve"> </w:t>
      </w:r>
      <w:r>
        <w:rPr>
          <w:szCs w:val="18"/>
          <w:lang w:val="nl-NL"/>
        </w:rPr>
        <w:t xml:space="preserve">bruinvis is de kanttekening geplaatst </w:t>
      </w:r>
      <w:r w:rsidRPr="00786F65">
        <w:rPr>
          <w:szCs w:val="18"/>
          <w:lang w:val="nl-NL"/>
        </w:rPr>
        <w:t xml:space="preserve">dat </w:t>
      </w:r>
      <w:r>
        <w:rPr>
          <w:szCs w:val="18"/>
          <w:lang w:val="nl-NL"/>
        </w:rPr>
        <w:t>het</w:t>
      </w:r>
      <w:r w:rsidRPr="00786F65">
        <w:rPr>
          <w:szCs w:val="18"/>
          <w:lang w:val="nl-NL"/>
        </w:rPr>
        <w:t xml:space="preserve"> toekomstperspectief ‘onbekend’ is</w:t>
      </w:r>
      <w:r>
        <w:rPr>
          <w:szCs w:val="18"/>
          <w:lang w:val="nl-NL"/>
        </w:rPr>
        <w:t xml:space="preserve">. Dit, </w:t>
      </w:r>
      <w:r w:rsidRPr="00786F65">
        <w:rPr>
          <w:szCs w:val="18"/>
          <w:lang w:val="nl-NL"/>
        </w:rPr>
        <w:t>omdat de effecten van de grootschalige uitrol van wind op zee nog niet goed bekend zijn</w:t>
      </w:r>
      <w:r>
        <w:rPr>
          <w:szCs w:val="18"/>
          <w:lang w:val="nl-NL"/>
        </w:rPr>
        <w:t>. Bovendien zijn er</w:t>
      </w:r>
      <w:r w:rsidRPr="00786F65">
        <w:rPr>
          <w:szCs w:val="18"/>
          <w:lang w:val="nl-NL"/>
        </w:rPr>
        <w:t xml:space="preserve"> nog veel onzekerheden over de ontwikkeling van de populatie, ook al is </w:t>
      </w:r>
      <w:r>
        <w:rPr>
          <w:szCs w:val="18"/>
          <w:lang w:val="nl-NL"/>
        </w:rPr>
        <w:t>deze de</w:t>
      </w:r>
      <w:r w:rsidRPr="00786F65">
        <w:rPr>
          <w:szCs w:val="18"/>
          <w:lang w:val="nl-NL"/>
        </w:rPr>
        <w:t xml:space="preserve"> afgelopen jaren stabiel en op een goed niveau. </w:t>
      </w:r>
      <w:r>
        <w:rPr>
          <w:szCs w:val="18"/>
          <w:lang w:val="nl-NL"/>
        </w:rPr>
        <w:t>De nationale Rode Lijst Zoogdieren 2020</w:t>
      </w:r>
      <w:r w:rsidR="00FF2F23">
        <w:rPr>
          <w:szCs w:val="18"/>
          <w:lang w:val="nl-NL"/>
        </w:rPr>
        <w:t xml:space="preserve"> </w:t>
      </w:r>
      <w:r w:rsidR="00C32FBA">
        <w:rPr>
          <w:szCs w:val="18"/>
          <w:lang w:val="nl-NL"/>
        </w:rPr>
        <w:t xml:space="preserve">[14] </w:t>
      </w:r>
      <w:r>
        <w:rPr>
          <w:szCs w:val="18"/>
          <w:lang w:val="nl-NL"/>
        </w:rPr>
        <w:t>heeft de bruinvis en de twee zeehondensoorten in de Noordzee aangemerkt als ‘thans niet bedreigd’.</w:t>
      </w:r>
    </w:p>
    <w:p w:rsidR="00311256" w:rsidP="00311256" w:rsidRDefault="00311256" w14:paraId="40ABED8D" w14:textId="77777777">
      <w:pPr>
        <w:rPr>
          <w:lang w:val="nl-NL" w:eastAsia="nl-NL"/>
        </w:rPr>
      </w:pPr>
      <w:bookmarkStart w:name="_Hlk57105070" w:id="22"/>
      <w:r>
        <w:rPr>
          <w:lang w:val="nl-NL" w:eastAsia="nl-NL"/>
        </w:rPr>
        <w:t xml:space="preserve">De verdere ontwikkeling van duurzame energie op zee oefent druk uit op de goede milieutoestand voor alle zeezoogdieren. Zo kan </w:t>
      </w:r>
      <w:r>
        <w:rPr>
          <w:lang w:val="nl-NL"/>
        </w:rPr>
        <w:t>het h</w:t>
      </w:r>
      <w:r w:rsidRPr="00145297">
        <w:rPr>
          <w:lang w:val="nl-NL"/>
        </w:rPr>
        <w:t>eien tijdens de aanleg van windparken leiden tot</w:t>
      </w:r>
      <w:r>
        <w:rPr>
          <w:lang w:val="nl-NL"/>
        </w:rPr>
        <w:t xml:space="preserve"> </w:t>
      </w:r>
      <w:r w:rsidRPr="00145297">
        <w:rPr>
          <w:lang w:val="nl-NL"/>
        </w:rPr>
        <w:t>vermijding van gebieden</w:t>
      </w:r>
      <w:r>
        <w:rPr>
          <w:lang w:val="nl-NL"/>
        </w:rPr>
        <w:t xml:space="preserve">, </w:t>
      </w:r>
      <w:r w:rsidRPr="00145297">
        <w:rPr>
          <w:lang w:val="nl-NL"/>
        </w:rPr>
        <w:t xml:space="preserve">verstoring </w:t>
      </w:r>
      <w:r>
        <w:rPr>
          <w:lang w:val="nl-NL"/>
        </w:rPr>
        <w:t>van gedrag</w:t>
      </w:r>
      <w:r w:rsidRPr="00145297">
        <w:rPr>
          <w:lang w:val="nl-NL"/>
        </w:rPr>
        <w:t xml:space="preserve"> en tot fysiologische effecten</w:t>
      </w:r>
      <w:r>
        <w:rPr>
          <w:lang w:val="nl-NL"/>
        </w:rPr>
        <w:t>. Maar ook continugeluid tijdens de operationele fase van windmolens kan effecten hebben op de langere termijn.</w:t>
      </w:r>
    </w:p>
    <w:bookmarkEnd w:id="22"/>
    <w:p w:rsidRPr="00E131F5" w:rsidR="0070550F" w:rsidP="00D67C58" w:rsidRDefault="0070550F" w14:paraId="24C7E241" w14:textId="77777777">
      <w:pPr>
        <w:pStyle w:val="TOCHeading"/>
        <w:rPr>
          <w:rStyle w:val="IntenseEmphasis"/>
          <w:sz w:val="18"/>
        </w:rPr>
      </w:pPr>
      <w:r w:rsidRPr="00E131F5">
        <w:rPr>
          <w:rStyle w:val="IntenseEmphasis"/>
          <w:sz w:val="18"/>
        </w:rPr>
        <w:t>Vissen en inktvissen</w:t>
      </w:r>
    </w:p>
    <w:p w:rsidR="00311256" w:rsidP="00311256" w:rsidRDefault="00311256" w14:paraId="2C9784B4" w14:textId="77777777">
      <w:pPr>
        <w:rPr>
          <w:rFonts w:eastAsia="RijksoverheidSansText-Regular" w:cs="RijksoverheidSansText-Regular"/>
          <w:szCs w:val="18"/>
          <w:lang w:val="nl-NL"/>
        </w:rPr>
      </w:pPr>
      <w:r>
        <w:rPr>
          <w:rFonts w:eastAsia="RijksoverheidSansText-Regular" w:cs="RijksoverheidSansText-Regular"/>
          <w:szCs w:val="18"/>
          <w:lang w:val="nl-NL"/>
        </w:rPr>
        <w:t xml:space="preserve">De visgemeenschap voldoet nog niet aan de goede milieutoestand. </w:t>
      </w:r>
      <w:r w:rsidRPr="000025D7">
        <w:rPr>
          <w:rFonts w:eastAsia="RijksoverheidSansText-Regular" w:cs="RijksoverheidSansText-Regular"/>
          <w:szCs w:val="18"/>
          <w:lang w:val="nl-NL"/>
        </w:rPr>
        <w:t>De OSPAR-beoordeling laat zien dat de verslechtering van de</w:t>
      </w:r>
      <w:r>
        <w:rPr>
          <w:rFonts w:eastAsia="RijksoverheidSansText-Regular" w:cs="RijksoverheidSansText-Regular"/>
          <w:szCs w:val="18"/>
          <w:lang w:val="nl-NL"/>
        </w:rPr>
        <w:t xml:space="preserve"> </w:t>
      </w:r>
      <w:r w:rsidRPr="000025D7">
        <w:rPr>
          <w:rFonts w:eastAsia="RijksoverheidSansText-Regular" w:cs="RijksoverheidSansText-Regular"/>
          <w:szCs w:val="18"/>
          <w:lang w:val="nl-NL"/>
        </w:rPr>
        <w:t xml:space="preserve">samenstelling van </w:t>
      </w:r>
      <w:r>
        <w:rPr>
          <w:rFonts w:eastAsia="RijksoverheidSansText-Regular" w:cs="RijksoverheidSansText-Regular"/>
          <w:szCs w:val="18"/>
          <w:lang w:val="nl-NL"/>
        </w:rPr>
        <w:t>v</w:t>
      </w:r>
      <w:r w:rsidRPr="000025D7">
        <w:rPr>
          <w:rFonts w:eastAsia="RijksoverheidSansText-Regular" w:cs="RijksoverheidSansText-Regular"/>
          <w:szCs w:val="18"/>
          <w:lang w:val="nl-NL"/>
        </w:rPr>
        <w:t>isgemeenschappen uit het verleden is</w:t>
      </w:r>
      <w:r>
        <w:rPr>
          <w:rFonts w:eastAsia="RijksoverheidSansText-Regular" w:cs="RijksoverheidSansText-Regular"/>
          <w:szCs w:val="18"/>
          <w:lang w:val="nl-NL"/>
        </w:rPr>
        <w:t xml:space="preserve"> </w:t>
      </w:r>
      <w:r w:rsidRPr="000025D7">
        <w:rPr>
          <w:rFonts w:eastAsia="RijksoverheidSansText-Regular" w:cs="RijksoverheidSansText-Regular"/>
          <w:szCs w:val="18"/>
          <w:lang w:val="nl-NL"/>
        </w:rPr>
        <w:t>gestopt</w:t>
      </w:r>
      <w:r>
        <w:rPr>
          <w:rFonts w:eastAsia="RijksoverheidSansText-Regular" w:cs="RijksoverheidSansText-Regular"/>
          <w:szCs w:val="18"/>
          <w:lang w:val="nl-NL"/>
        </w:rPr>
        <w:t>. I</w:t>
      </w:r>
      <w:r w:rsidRPr="000025D7">
        <w:rPr>
          <w:rFonts w:eastAsia="RijksoverheidSansText-Regular" w:cs="RijksoverheidSansText-Regular"/>
          <w:szCs w:val="18"/>
          <w:lang w:val="nl-NL"/>
        </w:rPr>
        <w:t xml:space="preserve">n sommige gebieden in de Noordoost-Atlantische oceaan </w:t>
      </w:r>
      <w:r>
        <w:rPr>
          <w:rFonts w:eastAsia="RijksoverheidSansText-Regular" w:cs="RijksoverheidSansText-Regular"/>
          <w:szCs w:val="18"/>
          <w:lang w:val="nl-NL"/>
        </w:rPr>
        <w:t xml:space="preserve">lijkt </w:t>
      </w:r>
      <w:r w:rsidRPr="000025D7">
        <w:rPr>
          <w:rFonts w:eastAsia="RijksoverheidSansText-Regular" w:cs="RijksoverheidSansText-Regular"/>
          <w:szCs w:val="18"/>
          <w:lang w:val="nl-NL"/>
        </w:rPr>
        <w:t xml:space="preserve">sprake te zijn van herstel. </w:t>
      </w:r>
      <w:r>
        <w:rPr>
          <w:rFonts w:eastAsia="RijksoverheidSansText-Regular" w:cs="RijksoverheidSansText-Regular"/>
          <w:szCs w:val="18"/>
          <w:lang w:val="nl-NL"/>
        </w:rPr>
        <w:t>Volgens de beoordeling is h</w:t>
      </w:r>
      <w:r w:rsidRPr="00981FAA">
        <w:rPr>
          <w:rFonts w:eastAsia="RijksoverheidSansText-Regular" w:cs="RijksoverheidSansText-Regular"/>
          <w:szCs w:val="18"/>
          <w:lang w:val="nl-NL"/>
        </w:rPr>
        <w:t>et aandeel</w:t>
      </w:r>
      <w:r>
        <w:rPr>
          <w:rFonts w:eastAsia="RijksoverheidSansText-Regular" w:cs="RijksoverheidSansText-Regular"/>
          <w:szCs w:val="18"/>
          <w:lang w:val="nl-NL"/>
        </w:rPr>
        <w:t xml:space="preserve"> </w:t>
      </w:r>
      <w:r w:rsidRPr="00981FAA">
        <w:rPr>
          <w:rFonts w:eastAsia="RijksoverheidSansText-Regular" w:cs="RijksoverheidSansText-Regular"/>
          <w:szCs w:val="18"/>
          <w:lang w:val="nl-NL"/>
        </w:rPr>
        <w:t>grote vissen nog te klein, maar wel herstellende.</w:t>
      </w:r>
      <w:r>
        <w:rPr>
          <w:rFonts w:eastAsia="RijksoverheidSansText-Regular" w:cs="RijksoverheidSansText-Regular"/>
          <w:szCs w:val="18"/>
          <w:lang w:val="nl-NL"/>
        </w:rPr>
        <w:t xml:space="preserve"> </w:t>
      </w:r>
    </w:p>
    <w:p w:rsidR="00311256" w:rsidP="00311256" w:rsidRDefault="00311256" w14:paraId="13846BC9" w14:textId="77777777">
      <w:pPr>
        <w:rPr>
          <w:rFonts w:eastAsia="RijksoverheidSansText-Regular" w:cs="RijksoverheidSansText-Regular"/>
          <w:szCs w:val="18"/>
          <w:lang w:val="nl-NL"/>
        </w:rPr>
      </w:pPr>
      <w:r w:rsidRPr="000025D7">
        <w:rPr>
          <w:rFonts w:eastAsia="RijksoverheidSansText-Regular" w:cs="RijksoverheidSansText-Regular"/>
          <w:szCs w:val="18"/>
          <w:lang w:val="nl-NL"/>
        </w:rPr>
        <w:t>De huidige status van veel haaien- en roggensoorten is nog</w:t>
      </w:r>
      <w:r>
        <w:rPr>
          <w:rFonts w:eastAsia="RijksoverheidSansText-Regular" w:cs="RijksoverheidSansText-Regular"/>
          <w:szCs w:val="18"/>
          <w:lang w:val="nl-NL"/>
        </w:rPr>
        <w:t xml:space="preserve"> </w:t>
      </w:r>
      <w:r w:rsidRPr="000025D7">
        <w:rPr>
          <w:rFonts w:eastAsia="RijksoverheidSansText-Regular" w:cs="RijksoverheidSansText-Regular"/>
          <w:szCs w:val="18"/>
          <w:lang w:val="nl-NL"/>
        </w:rPr>
        <w:t>steeds zorg</w:t>
      </w:r>
      <w:r>
        <w:rPr>
          <w:rFonts w:eastAsia="RijksoverheidSansText-Regular" w:cs="RijksoverheidSansText-Regular"/>
          <w:szCs w:val="18"/>
          <w:lang w:val="nl-NL"/>
        </w:rPr>
        <w:t>wekkend</w:t>
      </w:r>
      <w:r w:rsidRPr="000025D7">
        <w:rPr>
          <w:rFonts w:eastAsia="RijksoverheidSansText-Regular" w:cs="RijksoverheidSansText-Regular"/>
          <w:szCs w:val="18"/>
          <w:lang w:val="nl-NL"/>
        </w:rPr>
        <w:t xml:space="preserve">. </w:t>
      </w:r>
      <w:r>
        <w:rPr>
          <w:rFonts w:eastAsia="RijksoverheidSansText-Regular" w:cs="RijksoverheidSansText-Regular"/>
          <w:szCs w:val="18"/>
          <w:lang w:val="nl-NL"/>
        </w:rPr>
        <w:t xml:space="preserve">De Nederlandse Rode Lijst vissen (2015) </w:t>
      </w:r>
      <w:r w:rsidR="00C32FBA">
        <w:rPr>
          <w:rFonts w:eastAsia="RijksoverheidSansText-Regular" w:cs="RijksoverheidSansText-Regular"/>
          <w:szCs w:val="18"/>
          <w:lang w:val="nl-NL"/>
        </w:rPr>
        <w:t xml:space="preserve">[15] </w:t>
      </w:r>
      <w:r>
        <w:rPr>
          <w:rFonts w:eastAsia="RijksoverheidSansText-Regular" w:cs="RijksoverheidSansText-Regular"/>
          <w:szCs w:val="18"/>
          <w:lang w:val="nl-NL"/>
        </w:rPr>
        <w:t xml:space="preserve">vermeldt de status ‘verdwenen’ voor de vleet, ‘ernstig bedreigd’ voor de doornhaai en </w:t>
      </w:r>
      <w:r w:rsidRPr="0068476D">
        <w:rPr>
          <w:rFonts w:eastAsia="RijksoverheidSansText-Regular" w:cs="RijksoverheidSansText-Regular"/>
          <w:szCs w:val="18"/>
          <w:lang w:val="nl-NL"/>
        </w:rPr>
        <w:t xml:space="preserve">gevlekte rog en ‘bedreigd’ voor de stekelrog. Doornhaai, gevlekte rog, stekelrog en vleet staan </w:t>
      </w:r>
      <w:r>
        <w:rPr>
          <w:rFonts w:eastAsia="RijksoverheidSansText-Regular" w:cs="RijksoverheidSansText-Regular"/>
          <w:szCs w:val="18"/>
          <w:lang w:val="nl-NL"/>
        </w:rPr>
        <w:t xml:space="preserve">samen </w:t>
      </w:r>
      <w:r w:rsidRPr="0068476D">
        <w:rPr>
          <w:rFonts w:eastAsia="RijksoverheidSansText-Regular" w:cs="RijksoverheidSansText-Regular"/>
          <w:szCs w:val="18"/>
          <w:lang w:val="nl-NL"/>
        </w:rPr>
        <w:t xml:space="preserve">met de zee-engel ook op de OSPAR-lijst van bedreigde soorten en habitats (2008). </w:t>
      </w:r>
      <w:r>
        <w:rPr>
          <w:rFonts w:eastAsia="RijksoverheidSansText-Regular" w:cs="RijksoverheidSansText-Regular"/>
          <w:szCs w:val="18"/>
          <w:lang w:val="nl-NL"/>
        </w:rPr>
        <w:t>D</w:t>
      </w:r>
      <w:r w:rsidRPr="0068476D">
        <w:rPr>
          <w:rFonts w:eastAsia="RijksoverheidSansText-Regular" w:cs="RijksoverheidSansText-Regular"/>
          <w:szCs w:val="18"/>
          <w:lang w:val="nl-NL"/>
        </w:rPr>
        <w:t>e aantallen hondshaai en gladde</w:t>
      </w:r>
      <w:r w:rsidRPr="000025D7">
        <w:rPr>
          <w:rFonts w:eastAsia="RijksoverheidSansText-Regular" w:cs="RijksoverheidSansText-Regular"/>
          <w:szCs w:val="18"/>
          <w:lang w:val="nl-NL"/>
        </w:rPr>
        <w:t xml:space="preserve"> haai </w:t>
      </w:r>
      <w:r>
        <w:rPr>
          <w:rFonts w:eastAsia="RijksoverheidSansText-Regular" w:cs="RijksoverheidSansText-Regular"/>
          <w:szCs w:val="18"/>
          <w:lang w:val="nl-NL"/>
        </w:rPr>
        <w:t xml:space="preserve">lijken </w:t>
      </w:r>
      <w:r w:rsidRPr="000025D7">
        <w:rPr>
          <w:rFonts w:eastAsia="RijksoverheidSansText-Regular" w:cs="RijksoverheidSansText-Regular"/>
          <w:szCs w:val="18"/>
          <w:lang w:val="nl-NL"/>
        </w:rPr>
        <w:t xml:space="preserve">weer toe te nemen. </w:t>
      </w:r>
    </w:p>
    <w:p w:rsidR="00311256" w:rsidP="00311256" w:rsidRDefault="00311256" w14:paraId="5AA076BA" w14:textId="77777777">
      <w:pPr>
        <w:rPr>
          <w:rFonts w:eastAsia="RijksoverheidSansText-Regular" w:cs="RijksoverheidSansText-Regular"/>
          <w:szCs w:val="18"/>
          <w:lang w:val="nl-NL"/>
        </w:rPr>
      </w:pPr>
      <w:r w:rsidRPr="000A4CED">
        <w:rPr>
          <w:lang w:val="nl-NL"/>
        </w:rPr>
        <w:t xml:space="preserve">Van de </w:t>
      </w:r>
      <w:r w:rsidRPr="000A4CED">
        <w:rPr>
          <w:rFonts w:eastAsia="RijksoverheidSansText-Regular" w:cs="RijksoverheidSansText-Regular"/>
          <w:szCs w:val="18"/>
          <w:lang w:val="nl-NL"/>
        </w:rPr>
        <w:t xml:space="preserve">vijf </w:t>
      </w:r>
      <w:r w:rsidRPr="000A4CED">
        <w:rPr>
          <w:lang w:val="nl-NL"/>
        </w:rPr>
        <w:t xml:space="preserve">soorten vissen </w:t>
      </w:r>
      <w:r w:rsidRPr="000A4CED">
        <w:rPr>
          <w:rFonts w:eastAsia="RijksoverheidSansText-Regular" w:cs="RijksoverheidSansText-Regular"/>
          <w:szCs w:val="18"/>
          <w:lang w:val="nl-NL"/>
        </w:rPr>
        <w:t xml:space="preserve">die tussen zee en zoetwater trekken (diadrome vissen) en </w:t>
      </w:r>
      <w:r w:rsidRPr="000A4CED">
        <w:rPr>
          <w:lang w:val="nl-NL"/>
        </w:rPr>
        <w:t>waarover Nederland in 2019 voor de EU-Habitatrichtlijn heeft gerapporteerd</w:t>
      </w:r>
      <w:r w:rsidR="00C32FBA">
        <w:rPr>
          <w:lang w:val="nl-NL"/>
        </w:rPr>
        <w:t xml:space="preserve"> [13]</w:t>
      </w:r>
      <w:r w:rsidRPr="000A4CED">
        <w:rPr>
          <w:lang w:val="nl-NL"/>
        </w:rPr>
        <w:t xml:space="preserve">, hadden er </w:t>
      </w:r>
      <w:r w:rsidRPr="000A4CED">
        <w:rPr>
          <w:rFonts w:eastAsia="RijksoverheidSansText-Regular" w:cs="RijksoverheidSansText-Regular"/>
          <w:szCs w:val="18"/>
          <w:lang w:val="nl-NL"/>
        </w:rPr>
        <w:t xml:space="preserve">drie </w:t>
      </w:r>
      <w:r w:rsidRPr="000A4CED">
        <w:rPr>
          <w:lang w:val="nl-NL"/>
        </w:rPr>
        <w:t>(zeeprik, fint en zalm</w:t>
      </w:r>
      <w:r w:rsidRPr="000A4CED">
        <w:rPr>
          <w:rFonts w:eastAsia="RijksoverheidSansText-Regular" w:cs="RijksoverheidSansText-Regular"/>
          <w:szCs w:val="18"/>
          <w:lang w:val="nl-NL"/>
        </w:rPr>
        <w:t>)</w:t>
      </w:r>
      <w:r w:rsidRPr="000A4CED">
        <w:rPr>
          <w:lang w:val="nl-NL"/>
        </w:rPr>
        <w:t xml:space="preserve"> een ‘zeer ongunstige’ staat van instandhouding en twee (houting en rivierprik) een ‘matig ongunstige’.</w:t>
      </w:r>
      <w:r>
        <w:rPr>
          <w:rFonts w:eastAsia="RijksoverheidSansText-Regular" w:cs="RijksoverheidSansText-Regular"/>
          <w:szCs w:val="18"/>
          <w:lang w:val="nl-NL"/>
        </w:rPr>
        <w:t xml:space="preserve"> </w:t>
      </w:r>
    </w:p>
    <w:p w:rsidRPr="00BB3037" w:rsidR="00BB3037" w:rsidP="00BB3037" w:rsidRDefault="00311256" w14:paraId="56D646A8" w14:textId="07B33174">
      <w:pPr>
        <w:rPr>
          <w:lang w:val="nl-NL"/>
        </w:rPr>
      </w:pPr>
      <w:r w:rsidRPr="00BB3037">
        <w:rPr>
          <w:lang w:val="nl-NL"/>
        </w:rPr>
        <w:t xml:space="preserve">Van de inktvissoorten in de Nederlandse Noordzee komen er vijf van oorsprong voor. Twee daarvan hebben betekenis voor de visserij. Acht inktvissoorten worden incidenteel of periodiek in de Nederlandse Noordzee waargenomen, waarvan er één ook betekenis heeft voor de visserij. De beschikbare waarnemings- en vangstgegevens van inktvissen zijn nog niet geschikt om </w:t>
      </w:r>
      <w:r w:rsidRPr="00BB3037" w:rsidR="009C0D62">
        <w:rPr>
          <w:lang w:val="nl-NL"/>
        </w:rPr>
        <w:t xml:space="preserve">invulling te geven aan het Commissiebesluit </w:t>
      </w:r>
      <w:r w:rsidRPr="00F06F99" w:rsidR="009C0D62">
        <w:rPr>
          <w:lang w:val="nl-NL"/>
        </w:rPr>
        <w:t>2017/848/EU</w:t>
      </w:r>
      <w:r w:rsidRPr="00BB3037" w:rsidR="009C0D62">
        <w:rPr>
          <w:lang w:val="nl-NL"/>
        </w:rPr>
        <w:t>. Om hier in 2024 (voor de actualisatie van de Mariene Strategie deel 1) invulling aan te geven is een verdere analyse van beschikbare gegevens nodig.</w:t>
      </w:r>
      <w:r w:rsidRPr="00BB3037">
        <w:rPr>
          <w:lang w:val="nl-NL"/>
        </w:rPr>
        <w:t xml:space="preserve"> </w:t>
      </w:r>
      <w:r w:rsidRPr="00BB3037" w:rsidR="009C0D62">
        <w:rPr>
          <w:lang w:val="nl-NL"/>
        </w:rPr>
        <w:t>Deze analyse wordt in</w:t>
      </w:r>
      <w:r w:rsidRPr="00BB3037" w:rsidR="004C1C93">
        <w:rPr>
          <w:lang w:val="nl-NL"/>
        </w:rPr>
        <w:t xml:space="preserve">2022 </w:t>
      </w:r>
      <w:r w:rsidRPr="00BB3037" w:rsidR="009C0D62">
        <w:rPr>
          <w:lang w:val="nl-NL"/>
        </w:rPr>
        <w:t>gestart</w:t>
      </w:r>
      <w:r w:rsidRPr="00BB3037">
        <w:rPr>
          <w:lang w:val="nl-NL"/>
        </w:rPr>
        <w:t>.</w:t>
      </w:r>
    </w:p>
    <w:p w:rsidRPr="00E131F5" w:rsidR="0070550F" w:rsidP="00D67C58" w:rsidRDefault="0070550F" w14:paraId="4AAFCF0E" w14:textId="77777777">
      <w:pPr>
        <w:pStyle w:val="TOCHeading"/>
        <w:rPr>
          <w:rStyle w:val="IntenseEmphasis"/>
          <w:sz w:val="18"/>
        </w:rPr>
      </w:pPr>
      <w:r w:rsidRPr="00E131F5">
        <w:rPr>
          <w:rStyle w:val="IntenseEmphasis"/>
          <w:sz w:val="18"/>
        </w:rPr>
        <w:t>Pelagische habitats</w:t>
      </w:r>
    </w:p>
    <w:p w:rsidR="0070550F" w:rsidP="0070550F" w:rsidRDefault="0070550F" w14:paraId="51093656" w14:textId="6784050D">
      <w:pPr>
        <w:rPr>
          <w:rFonts w:eastAsia="RijksoverheidSansText-Regular" w:cs="RijksoverheidSansText-Regular"/>
          <w:szCs w:val="18"/>
          <w:lang w:val="nl-NL"/>
        </w:rPr>
      </w:pPr>
      <w:r w:rsidRPr="00DE7699">
        <w:rPr>
          <w:rFonts w:eastAsia="RijksoverheidSansText-Regular" w:cs="RijksoverheidSansText-Regular"/>
          <w:szCs w:val="18"/>
          <w:lang w:val="nl-NL"/>
        </w:rPr>
        <w:t xml:space="preserve">Volgens </w:t>
      </w:r>
      <w:r>
        <w:rPr>
          <w:rFonts w:eastAsia="RijksoverheidSansText-Regular" w:cs="RijksoverheidSansText-Regular"/>
          <w:szCs w:val="18"/>
          <w:lang w:val="nl-NL"/>
        </w:rPr>
        <w:t>Mariene Strategie deel 1</w:t>
      </w:r>
      <w:r w:rsidR="00D67C58">
        <w:rPr>
          <w:rFonts w:eastAsia="RijksoverheidSansText-Regular" w:cs="RijksoverheidSansText-Regular"/>
          <w:szCs w:val="18"/>
          <w:lang w:val="nl-NL"/>
        </w:rPr>
        <w:t xml:space="preserve"> (</w:t>
      </w:r>
      <w:r>
        <w:rPr>
          <w:rFonts w:eastAsia="RijksoverheidSansText-Regular" w:cs="RijksoverheidSansText-Regular"/>
          <w:szCs w:val="18"/>
          <w:lang w:val="nl-NL"/>
        </w:rPr>
        <w:t>2018)</w:t>
      </w:r>
      <w:r w:rsidR="00DD4F15">
        <w:rPr>
          <w:rFonts w:eastAsia="RijksoverheidSansText-Regular" w:cs="RijksoverheidSansText-Regular"/>
          <w:szCs w:val="18"/>
          <w:lang w:val="nl-NL"/>
        </w:rPr>
        <w:t xml:space="preserve"> [11]</w:t>
      </w:r>
      <w:r>
        <w:rPr>
          <w:rFonts w:eastAsia="RijksoverheidSansText-Regular" w:cs="RijksoverheidSansText-Regular"/>
          <w:szCs w:val="18"/>
          <w:lang w:val="nl-NL"/>
        </w:rPr>
        <w:t xml:space="preserve"> is de huidige milieutoestand </w:t>
      </w:r>
      <w:r w:rsidR="009741C5">
        <w:rPr>
          <w:rFonts w:eastAsia="RijksoverheidSansText-Regular" w:cs="RijksoverheidSansText-Regular"/>
          <w:szCs w:val="18"/>
          <w:lang w:val="nl-NL"/>
        </w:rPr>
        <w:t xml:space="preserve">van </w:t>
      </w:r>
      <w:r>
        <w:rPr>
          <w:rFonts w:eastAsia="RijksoverheidSansText-Regular" w:cs="RijksoverheidSansText-Regular"/>
          <w:szCs w:val="18"/>
          <w:lang w:val="nl-NL"/>
        </w:rPr>
        <w:t xml:space="preserve">pelagische habitats onbekend. </w:t>
      </w:r>
      <w:r w:rsidRPr="005B301F">
        <w:rPr>
          <w:rFonts w:eastAsia="RijksoverheidSansText-Regular" w:cs="RijksoverheidSansText-Regular"/>
          <w:szCs w:val="18"/>
          <w:lang w:val="nl-NL"/>
        </w:rPr>
        <w:t xml:space="preserve">De </w:t>
      </w:r>
      <w:r w:rsidR="009741C5">
        <w:rPr>
          <w:rFonts w:eastAsia="RijksoverheidSansText-Regular" w:cs="RijksoverheidSansText-Regular"/>
          <w:szCs w:val="18"/>
          <w:lang w:val="nl-NL"/>
        </w:rPr>
        <w:t xml:space="preserve">mogelijkheden om </w:t>
      </w:r>
      <w:r w:rsidRPr="005B301F">
        <w:rPr>
          <w:rFonts w:eastAsia="RijksoverheidSansText-Regular" w:cs="RijksoverheidSansText-Regular"/>
          <w:szCs w:val="18"/>
          <w:lang w:val="nl-NL"/>
        </w:rPr>
        <w:t xml:space="preserve">pelagische habitats </w:t>
      </w:r>
      <w:r w:rsidR="009741C5">
        <w:rPr>
          <w:rFonts w:eastAsia="RijksoverheidSansText-Regular" w:cs="RijksoverheidSansText-Regular"/>
          <w:szCs w:val="18"/>
          <w:lang w:val="nl-NL"/>
        </w:rPr>
        <w:t xml:space="preserve">te monitoren en te beoordelen </w:t>
      </w:r>
      <w:r w:rsidRPr="005B301F">
        <w:rPr>
          <w:rFonts w:eastAsia="RijksoverheidSansText-Regular" w:cs="RijksoverheidSansText-Regular"/>
          <w:szCs w:val="18"/>
          <w:lang w:val="nl-NL"/>
        </w:rPr>
        <w:t xml:space="preserve">zijn nog </w:t>
      </w:r>
      <w:r w:rsidR="009741C5">
        <w:rPr>
          <w:rFonts w:eastAsia="RijksoverheidSansText-Regular" w:cs="RijksoverheidSansText-Regular"/>
          <w:szCs w:val="18"/>
          <w:lang w:val="nl-NL"/>
        </w:rPr>
        <w:t xml:space="preserve">onvoldoende </w:t>
      </w:r>
      <w:r w:rsidRPr="005B301F">
        <w:rPr>
          <w:rFonts w:eastAsia="RijksoverheidSansText-Regular" w:cs="RijksoverheidSansText-Regular"/>
          <w:szCs w:val="18"/>
          <w:lang w:val="nl-NL"/>
        </w:rPr>
        <w:t>ontwikkeld</w:t>
      </w:r>
      <w:r>
        <w:rPr>
          <w:rFonts w:eastAsia="RijksoverheidSansText-Regular" w:cs="RijksoverheidSansText-Regular"/>
          <w:szCs w:val="18"/>
          <w:lang w:val="nl-NL"/>
        </w:rPr>
        <w:t>. Daarom is voorlopig</w:t>
      </w:r>
      <w:r w:rsidRPr="005B301F">
        <w:rPr>
          <w:rFonts w:eastAsia="RijksoverheidSansText-Regular" w:cs="RijksoverheidSansText-Regular"/>
          <w:szCs w:val="18"/>
          <w:lang w:val="nl-NL"/>
        </w:rPr>
        <w:t xml:space="preserve"> gekozen voor een pragmatische aanpak. </w:t>
      </w:r>
      <w:r w:rsidR="009741C5">
        <w:rPr>
          <w:rFonts w:eastAsia="RijksoverheidSansText-Regular" w:cs="RijksoverheidSansText-Regular"/>
          <w:szCs w:val="18"/>
          <w:lang w:val="nl-NL"/>
        </w:rPr>
        <w:t>D</w:t>
      </w:r>
      <w:r>
        <w:rPr>
          <w:rFonts w:eastAsia="RijksoverheidSansText-Regular" w:cs="RijksoverheidSansText-Regular"/>
          <w:szCs w:val="18"/>
          <w:lang w:val="nl-NL"/>
        </w:rPr>
        <w:t>e toestand van zoöplankton en fytoplankton</w:t>
      </w:r>
      <w:r w:rsidRPr="005B301F">
        <w:rPr>
          <w:rFonts w:eastAsia="RijksoverheidSansText-Regular" w:cs="RijksoverheidSansText-Regular"/>
          <w:szCs w:val="18"/>
          <w:lang w:val="nl-NL"/>
        </w:rPr>
        <w:t xml:space="preserve"> </w:t>
      </w:r>
      <w:r w:rsidR="009741C5">
        <w:rPr>
          <w:rFonts w:eastAsia="RijksoverheidSansText-Regular" w:cs="RijksoverheidSansText-Regular"/>
          <w:szCs w:val="18"/>
          <w:lang w:val="nl-NL"/>
        </w:rPr>
        <w:t xml:space="preserve">wordt </w:t>
      </w:r>
      <w:r>
        <w:rPr>
          <w:rFonts w:eastAsia="RijksoverheidSansText-Regular" w:cs="RijksoverheidSansText-Regular"/>
          <w:szCs w:val="18"/>
          <w:lang w:val="nl-NL"/>
        </w:rPr>
        <w:t>beoordeeld op basis van</w:t>
      </w:r>
      <w:r w:rsidR="009741C5">
        <w:rPr>
          <w:rFonts w:eastAsia="RijksoverheidSansText-Regular" w:cs="RijksoverheidSansText-Regular"/>
          <w:szCs w:val="18"/>
          <w:lang w:val="nl-NL"/>
        </w:rPr>
        <w:t xml:space="preserve"> gegevens die</w:t>
      </w:r>
      <w:r>
        <w:rPr>
          <w:rFonts w:eastAsia="RijksoverheidSansText-Regular" w:cs="RijksoverheidSansText-Regular"/>
          <w:szCs w:val="18"/>
          <w:lang w:val="nl-NL"/>
        </w:rPr>
        <w:t xml:space="preserve"> </w:t>
      </w:r>
      <w:r w:rsidRPr="009741C5" w:rsidR="009741C5">
        <w:rPr>
          <w:rFonts w:eastAsia="RijksoverheidSansText-Regular" w:cs="RijksoverheidSansText-Regular"/>
          <w:szCs w:val="18"/>
          <w:lang w:val="nl-NL"/>
        </w:rPr>
        <w:t xml:space="preserve">het Verenigd Koninkrijk </w:t>
      </w:r>
      <w:r w:rsidR="009741C5">
        <w:rPr>
          <w:rFonts w:eastAsia="RijksoverheidSansText-Regular" w:cs="RijksoverheidSansText-Regular"/>
          <w:szCs w:val="18"/>
          <w:lang w:val="nl-NL"/>
        </w:rPr>
        <w:t xml:space="preserve">in </w:t>
      </w:r>
      <w:r>
        <w:rPr>
          <w:rFonts w:eastAsia="RijksoverheidSansText-Regular" w:cs="RijksoverheidSansText-Regular"/>
          <w:szCs w:val="18"/>
          <w:lang w:val="nl-NL"/>
        </w:rPr>
        <w:t>OSPAR</w:t>
      </w:r>
      <w:r w:rsidR="009741C5">
        <w:rPr>
          <w:rFonts w:eastAsia="RijksoverheidSansText-Regular" w:cs="RijksoverheidSansText-Regular"/>
          <w:szCs w:val="18"/>
          <w:lang w:val="nl-NL"/>
        </w:rPr>
        <w:t>-verband</w:t>
      </w:r>
      <w:r>
        <w:rPr>
          <w:rFonts w:eastAsia="RijksoverheidSansText-Regular" w:cs="RijksoverheidSansText-Regular"/>
          <w:szCs w:val="18"/>
          <w:lang w:val="nl-NL"/>
        </w:rPr>
        <w:t xml:space="preserve"> aan Nederland verstrekt</w:t>
      </w:r>
      <w:r w:rsidR="009741C5">
        <w:rPr>
          <w:rFonts w:eastAsia="RijksoverheidSansText-Regular" w:cs="RijksoverheidSansText-Regular"/>
          <w:szCs w:val="18"/>
          <w:lang w:val="nl-NL"/>
        </w:rPr>
        <w:t xml:space="preserve">. Deze gegevens worden </w:t>
      </w:r>
      <w:r w:rsidRPr="005B301F">
        <w:rPr>
          <w:rFonts w:eastAsia="RijksoverheidSansText-Regular" w:cs="RijksoverheidSansText-Regular"/>
          <w:szCs w:val="18"/>
          <w:lang w:val="nl-NL"/>
        </w:rPr>
        <w:t xml:space="preserve">verzameld </w:t>
      </w:r>
      <w:r>
        <w:rPr>
          <w:rFonts w:eastAsia="RijksoverheidSansText-Regular" w:cs="RijksoverheidSansText-Regular"/>
          <w:szCs w:val="18"/>
          <w:lang w:val="nl-NL"/>
        </w:rPr>
        <w:t>met</w:t>
      </w:r>
      <w:r w:rsidRPr="005B301F">
        <w:rPr>
          <w:rFonts w:eastAsia="RijksoverheidSansText-Regular" w:cs="RijksoverheidSansText-Regular"/>
          <w:szCs w:val="18"/>
          <w:lang w:val="nl-NL"/>
        </w:rPr>
        <w:t xml:space="preserve"> de </w:t>
      </w:r>
      <w:r w:rsidRPr="00AF1E71">
        <w:rPr>
          <w:rFonts w:eastAsia="RijksoverheidSansText-Regular" w:cs="RijksoverheidSansText-Regular"/>
          <w:i/>
          <w:iCs/>
          <w:szCs w:val="18"/>
          <w:lang w:val="nl-NL"/>
        </w:rPr>
        <w:t>Continuous Plankton Recorder</w:t>
      </w:r>
      <w:r>
        <w:rPr>
          <w:rFonts w:eastAsia="RijksoverheidSansText-Regular" w:cs="RijksoverheidSansText-Regular"/>
          <w:szCs w:val="18"/>
          <w:lang w:val="nl-NL"/>
        </w:rPr>
        <w:t>.</w:t>
      </w:r>
      <w:r w:rsidRPr="005B301F">
        <w:rPr>
          <w:rFonts w:eastAsia="RijksoverheidSansText-Regular" w:cs="RijksoverheidSansText-Regular"/>
          <w:szCs w:val="18"/>
          <w:lang w:val="nl-NL"/>
        </w:rPr>
        <w:t xml:space="preserve"> </w:t>
      </w:r>
      <w:r>
        <w:rPr>
          <w:rFonts w:eastAsia="RijksoverheidSansText-Regular" w:cs="RijksoverheidSansText-Regular"/>
          <w:szCs w:val="18"/>
          <w:lang w:val="nl-NL"/>
        </w:rPr>
        <w:t>D</w:t>
      </w:r>
      <w:r w:rsidRPr="005B301F">
        <w:rPr>
          <w:rFonts w:eastAsia="RijksoverheidSansText-Regular" w:cs="RijksoverheidSansText-Regular"/>
          <w:szCs w:val="18"/>
          <w:lang w:val="nl-NL"/>
        </w:rPr>
        <w:t xml:space="preserve">e monitoringmethodologie en ecologische interpretatie zijn </w:t>
      </w:r>
      <w:r>
        <w:rPr>
          <w:rFonts w:eastAsia="RijksoverheidSansText-Regular" w:cs="RijksoverheidSansText-Regular"/>
          <w:szCs w:val="18"/>
          <w:lang w:val="nl-NL"/>
        </w:rPr>
        <w:t xml:space="preserve">echter </w:t>
      </w:r>
      <w:r w:rsidRPr="005B301F">
        <w:rPr>
          <w:rFonts w:eastAsia="RijksoverheidSansText-Regular" w:cs="RijksoverheidSansText-Regular"/>
          <w:szCs w:val="18"/>
          <w:lang w:val="nl-NL"/>
        </w:rPr>
        <w:t xml:space="preserve">nog </w:t>
      </w:r>
      <w:r>
        <w:rPr>
          <w:rFonts w:eastAsia="RijksoverheidSansText-Regular" w:cs="RijksoverheidSansText-Regular"/>
          <w:szCs w:val="18"/>
          <w:lang w:val="nl-NL"/>
        </w:rPr>
        <w:t xml:space="preserve">volop </w:t>
      </w:r>
      <w:r w:rsidRPr="005B301F">
        <w:rPr>
          <w:rFonts w:eastAsia="RijksoverheidSansText-Regular" w:cs="RijksoverheidSansText-Regular"/>
          <w:szCs w:val="18"/>
          <w:lang w:val="nl-NL"/>
        </w:rPr>
        <w:t xml:space="preserve">in ontwikkeling. </w:t>
      </w:r>
      <w:r w:rsidR="009741C5">
        <w:rPr>
          <w:rFonts w:eastAsia="RijksoverheidSansText-Regular" w:cs="RijksoverheidSansText-Regular"/>
          <w:szCs w:val="18"/>
          <w:lang w:val="nl-NL"/>
        </w:rPr>
        <w:t>O</w:t>
      </w:r>
      <w:r>
        <w:rPr>
          <w:rFonts w:eastAsia="RijksoverheidSansText-Regular" w:cs="RijksoverheidSansText-Regular"/>
          <w:szCs w:val="18"/>
          <w:lang w:val="nl-NL"/>
        </w:rPr>
        <w:t xml:space="preserve">ok Nederland </w:t>
      </w:r>
      <w:r w:rsidR="009741C5">
        <w:rPr>
          <w:rFonts w:eastAsia="RijksoverheidSansText-Regular" w:cs="RijksoverheidSansText-Regular"/>
          <w:szCs w:val="18"/>
          <w:lang w:val="nl-NL"/>
        </w:rPr>
        <w:t xml:space="preserve">zet </w:t>
      </w:r>
      <w:r>
        <w:rPr>
          <w:rFonts w:eastAsia="RijksoverheidSansText-Regular" w:cs="RijksoverheidSansText-Regular"/>
          <w:szCs w:val="18"/>
          <w:lang w:val="nl-NL"/>
        </w:rPr>
        <w:t xml:space="preserve">een voor dit doel toegerust monitoringsnetwerk op. Dit netwerk kan </w:t>
      </w:r>
      <w:r w:rsidR="009741C5">
        <w:rPr>
          <w:rFonts w:eastAsia="RijksoverheidSansText-Regular" w:cs="RijksoverheidSansText-Regular"/>
          <w:szCs w:val="18"/>
          <w:lang w:val="nl-NL"/>
        </w:rPr>
        <w:t xml:space="preserve">aanvullende </w:t>
      </w:r>
      <w:r>
        <w:rPr>
          <w:rFonts w:eastAsia="RijksoverheidSansText-Regular" w:cs="RijksoverheidSansText-Regular"/>
          <w:szCs w:val="18"/>
          <w:lang w:val="nl-NL"/>
        </w:rPr>
        <w:t xml:space="preserve">informatie verschaffen </w:t>
      </w:r>
      <w:r w:rsidR="009741C5">
        <w:rPr>
          <w:rFonts w:eastAsia="RijksoverheidSansText-Regular" w:cs="RijksoverheidSansText-Regular"/>
          <w:szCs w:val="18"/>
          <w:lang w:val="nl-NL"/>
        </w:rPr>
        <w:t xml:space="preserve">voor </w:t>
      </w:r>
      <w:r>
        <w:rPr>
          <w:rFonts w:eastAsia="RijksoverheidSansText-Regular" w:cs="RijksoverheidSansText-Regular"/>
          <w:szCs w:val="18"/>
          <w:lang w:val="nl-NL"/>
        </w:rPr>
        <w:t xml:space="preserve">de beoordelingen </w:t>
      </w:r>
      <w:r w:rsidR="00A91629">
        <w:rPr>
          <w:rFonts w:eastAsia="RijksoverheidSansText-Regular" w:cs="RijksoverheidSansText-Regular"/>
          <w:szCs w:val="18"/>
          <w:lang w:val="nl-NL"/>
        </w:rPr>
        <w:t xml:space="preserve">in </w:t>
      </w:r>
      <w:r>
        <w:rPr>
          <w:rFonts w:eastAsia="RijksoverheidSansText-Regular" w:cs="RijksoverheidSansText-Regular"/>
          <w:szCs w:val="18"/>
          <w:lang w:val="nl-NL"/>
        </w:rPr>
        <w:t>OSPAR-</w:t>
      </w:r>
      <w:r w:rsidR="00A91629">
        <w:rPr>
          <w:rFonts w:eastAsia="RijksoverheidSansText-Regular" w:cs="RijksoverheidSansText-Regular"/>
          <w:szCs w:val="18"/>
          <w:lang w:val="nl-NL"/>
        </w:rPr>
        <w:t>verband</w:t>
      </w:r>
      <w:r w:rsidR="009741C5">
        <w:rPr>
          <w:rFonts w:eastAsia="RijksoverheidSansText-Regular" w:cs="RijksoverheidSansText-Regular"/>
          <w:szCs w:val="18"/>
          <w:lang w:val="nl-NL"/>
        </w:rPr>
        <w:t>.</w:t>
      </w:r>
      <w:r w:rsidRPr="005B301F">
        <w:rPr>
          <w:rFonts w:eastAsia="RijksoverheidSansText-Regular" w:cs="RijksoverheidSansText-Regular"/>
          <w:szCs w:val="18"/>
          <w:lang w:val="nl-NL"/>
        </w:rPr>
        <w:t xml:space="preserve"> Het </w:t>
      </w:r>
      <w:r w:rsidR="00A91629">
        <w:rPr>
          <w:rFonts w:eastAsia="RijksoverheidSansText-Regular" w:cs="RijksoverheidSansText-Regular"/>
          <w:szCs w:val="18"/>
          <w:lang w:val="nl-NL"/>
        </w:rPr>
        <w:t xml:space="preserve">gezamenlijk </w:t>
      </w:r>
      <w:r w:rsidRPr="005B301F">
        <w:rPr>
          <w:rFonts w:eastAsia="RijksoverheidSansText-Regular" w:cs="RijksoverheidSansText-Regular"/>
          <w:szCs w:val="18"/>
          <w:lang w:val="nl-NL"/>
        </w:rPr>
        <w:t xml:space="preserve">doel is </w:t>
      </w:r>
      <w:r w:rsidR="009741C5">
        <w:rPr>
          <w:rFonts w:eastAsia="RijksoverheidSansText-Regular" w:cs="RijksoverheidSansText-Regular"/>
          <w:szCs w:val="18"/>
          <w:lang w:val="nl-NL"/>
        </w:rPr>
        <w:t xml:space="preserve">een </w:t>
      </w:r>
      <w:r w:rsidRPr="005B301F">
        <w:rPr>
          <w:rFonts w:eastAsia="RijksoverheidSansText-Regular" w:cs="RijksoverheidSansText-Regular"/>
          <w:szCs w:val="18"/>
          <w:lang w:val="nl-NL"/>
        </w:rPr>
        <w:t xml:space="preserve">zo samenhangend </w:t>
      </w:r>
      <w:r w:rsidR="00A91629">
        <w:rPr>
          <w:rFonts w:eastAsia="RijksoverheidSansText-Regular" w:cs="RijksoverheidSansText-Regular"/>
          <w:szCs w:val="18"/>
          <w:lang w:val="nl-NL"/>
        </w:rPr>
        <w:t xml:space="preserve">mogelijk </w:t>
      </w:r>
      <w:r w:rsidRPr="005B301F">
        <w:rPr>
          <w:rFonts w:eastAsia="RijksoverheidSansText-Regular" w:cs="RijksoverheidSansText-Regular"/>
          <w:szCs w:val="18"/>
          <w:lang w:val="nl-NL"/>
        </w:rPr>
        <w:t>internationaal systeem van monitoring en evaluatie</w:t>
      </w:r>
      <w:r w:rsidR="00F93B46">
        <w:rPr>
          <w:rFonts w:eastAsia="RijksoverheidSansText-Regular" w:cs="RijksoverheidSansText-Regular"/>
          <w:szCs w:val="18"/>
          <w:lang w:val="nl-NL"/>
        </w:rPr>
        <w:t>,</w:t>
      </w:r>
      <w:r w:rsidRPr="005B301F">
        <w:rPr>
          <w:rFonts w:eastAsia="RijksoverheidSansText-Regular" w:cs="RijksoverheidSansText-Regular"/>
          <w:szCs w:val="18"/>
          <w:lang w:val="nl-NL"/>
        </w:rPr>
        <w:t xml:space="preserve"> </w:t>
      </w:r>
      <w:r w:rsidR="00A91629">
        <w:rPr>
          <w:rFonts w:eastAsia="RijksoverheidSansText-Regular" w:cs="RijksoverheidSansText-Regular"/>
          <w:szCs w:val="18"/>
          <w:lang w:val="nl-NL"/>
        </w:rPr>
        <w:t xml:space="preserve">en uitbreiding van </w:t>
      </w:r>
      <w:r w:rsidRPr="005B301F">
        <w:rPr>
          <w:rFonts w:eastAsia="RijksoverheidSansText-Regular" w:cs="RijksoverheidSansText-Regular"/>
          <w:szCs w:val="18"/>
          <w:lang w:val="nl-NL"/>
        </w:rPr>
        <w:t>het aantal meetpunten</w:t>
      </w:r>
      <w:r>
        <w:rPr>
          <w:rFonts w:eastAsia="RijksoverheidSansText-Regular" w:cs="RijksoverheidSansText-Regular"/>
          <w:szCs w:val="18"/>
          <w:lang w:val="nl-NL"/>
        </w:rPr>
        <w:t>.</w:t>
      </w:r>
    </w:p>
    <w:p w:rsidR="0070550F" w:rsidP="0070550F" w:rsidRDefault="0070550F" w14:paraId="5ABC440B" w14:textId="77777777">
      <w:pPr>
        <w:pStyle w:val="TOCHeading"/>
      </w:pPr>
      <w:r>
        <w:t>Aanvullende b</w:t>
      </w:r>
      <w:r w:rsidRPr="00B96268">
        <w:t xml:space="preserve">eleidsopgave </w:t>
      </w:r>
    </w:p>
    <w:p w:rsidRPr="00E131F5" w:rsidR="0070550F" w:rsidP="00D67C58" w:rsidRDefault="0070550F" w14:paraId="290B5A97" w14:textId="77777777">
      <w:pPr>
        <w:pStyle w:val="TOCHeading"/>
        <w:rPr>
          <w:rStyle w:val="IntenseEmphasis"/>
          <w:sz w:val="18"/>
        </w:rPr>
      </w:pPr>
      <w:r w:rsidRPr="00E131F5">
        <w:rPr>
          <w:rStyle w:val="IntenseEmphasis"/>
          <w:sz w:val="18"/>
        </w:rPr>
        <w:t>Vogels en zeezoogdieren</w:t>
      </w:r>
    </w:p>
    <w:p w:rsidR="00311256" w:rsidP="00311256" w:rsidRDefault="0070550F" w14:paraId="0460DFCE" w14:textId="1AFA1A97">
      <w:pPr>
        <w:rPr>
          <w:lang w:val="nl-NL"/>
        </w:rPr>
      </w:pPr>
      <w:r>
        <w:rPr>
          <w:lang w:val="nl-NL"/>
        </w:rPr>
        <w:t>De Mariene Strategie deel 1</w:t>
      </w:r>
      <w:r w:rsidR="00311256">
        <w:rPr>
          <w:lang w:val="nl-NL"/>
        </w:rPr>
        <w:t xml:space="preserve"> (</w:t>
      </w:r>
      <w:r>
        <w:rPr>
          <w:lang w:val="nl-NL"/>
        </w:rPr>
        <w:t xml:space="preserve">2018) </w:t>
      </w:r>
      <w:r w:rsidR="00DD4F15">
        <w:rPr>
          <w:lang w:val="nl-NL"/>
        </w:rPr>
        <w:t xml:space="preserve">[11] </w:t>
      </w:r>
      <w:r w:rsidR="00311256">
        <w:rPr>
          <w:lang w:val="nl-NL"/>
        </w:rPr>
        <w:t>geeft voor vogels en zeezoogdieren een p</w:t>
      </w:r>
      <w:r w:rsidRPr="008304F6" w:rsidR="00311256">
        <w:rPr>
          <w:lang w:val="nl-NL"/>
        </w:rPr>
        <w:t>otenti</w:t>
      </w:r>
      <w:r w:rsidR="00311256">
        <w:rPr>
          <w:lang w:val="nl-NL"/>
        </w:rPr>
        <w:t>ë</w:t>
      </w:r>
      <w:r w:rsidRPr="008304F6" w:rsidR="00311256">
        <w:rPr>
          <w:lang w:val="nl-NL"/>
        </w:rPr>
        <w:t>l</w:t>
      </w:r>
      <w:r w:rsidR="00311256">
        <w:rPr>
          <w:lang w:val="nl-NL"/>
        </w:rPr>
        <w:t xml:space="preserve">e aanvullende beleidsopgave aan, omdat </w:t>
      </w:r>
      <w:r w:rsidRPr="008304F6" w:rsidR="00311256">
        <w:rPr>
          <w:lang w:val="nl-NL"/>
        </w:rPr>
        <w:t xml:space="preserve">bestaand beleid </w:t>
      </w:r>
      <w:r w:rsidR="00311256">
        <w:rPr>
          <w:lang w:val="nl-NL"/>
        </w:rPr>
        <w:t xml:space="preserve">mogelijk niet </w:t>
      </w:r>
      <w:r w:rsidRPr="008304F6" w:rsidR="00311256">
        <w:rPr>
          <w:lang w:val="nl-NL"/>
        </w:rPr>
        <w:t>voldoet</w:t>
      </w:r>
      <w:r w:rsidR="00311256">
        <w:rPr>
          <w:lang w:val="nl-NL"/>
        </w:rPr>
        <w:t>.</w:t>
      </w:r>
      <w:r w:rsidRPr="008304F6" w:rsidR="00311256">
        <w:rPr>
          <w:lang w:val="nl-NL"/>
        </w:rPr>
        <w:t xml:space="preserve"> </w:t>
      </w:r>
      <w:r w:rsidR="00311256">
        <w:rPr>
          <w:lang w:val="nl-NL"/>
        </w:rPr>
        <w:t>Tevens ligt er een kennisopgave om meer inzicht te krijgen in de</w:t>
      </w:r>
      <w:r w:rsidRPr="008304F6" w:rsidR="00311256">
        <w:rPr>
          <w:lang w:val="nl-NL"/>
        </w:rPr>
        <w:t xml:space="preserve"> oorzaken </w:t>
      </w:r>
      <w:r w:rsidR="00311256">
        <w:rPr>
          <w:lang w:val="nl-NL"/>
        </w:rPr>
        <w:t xml:space="preserve">van </w:t>
      </w:r>
      <w:r w:rsidRPr="008304F6" w:rsidR="00311256">
        <w:rPr>
          <w:lang w:val="nl-NL"/>
        </w:rPr>
        <w:t xml:space="preserve">achteruitgang </w:t>
      </w:r>
      <w:r w:rsidR="00311256">
        <w:rPr>
          <w:lang w:val="nl-NL"/>
        </w:rPr>
        <w:t>van vogels en om meer kennis te vergaren over c</w:t>
      </w:r>
      <w:r w:rsidRPr="008304F6" w:rsidR="00311256">
        <w:rPr>
          <w:lang w:val="nl-NL"/>
        </w:rPr>
        <w:t>umulatie en mogelijk</w:t>
      </w:r>
      <w:r w:rsidR="00311256">
        <w:rPr>
          <w:lang w:val="nl-NL"/>
        </w:rPr>
        <w:t>e</w:t>
      </w:r>
      <w:r w:rsidRPr="008304F6" w:rsidR="00311256">
        <w:rPr>
          <w:lang w:val="nl-NL"/>
        </w:rPr>
        <w:t xml:space="preserve"> mitigatie van effecten van windparken.</w:t>
      </w:r>
      <w:r w:rsidR="00311256">
        <w:rPr>
          <w:lang w:val="nl-NL"/>
        </w:rPr>
        <w:t xml:space="preserve"> Ook wordt er gewerkt aan een project over monitoring en mitigatie van bijvangst van alle gevoelige soorten</w:t>
      </w:r>
      <w:r w:rsidRPr="008304F6" w:rsidR="00311256">
        <w:rPr>
          <w:lang w:val="nl-NL"/>
        </w:rPr>
        <w:t>.</w:t>
      </w:r>
    </w:p>
    <w:p w:rsidRPr="00E131F5" w:rsidR="0070550F" w:rsidP="00D67C58" w:rsidRDefault="0070550F" w14:paraId="45014B1C" w14:textId="77777777">
      <w:pPr>
        <w:pStyle w:val="TOCHeading"/>
        <w:rPr>
          <w:rStyle w:val="IntenseEmphasis"/>
          <w:sz w:val="18"/>
        </w:rPr>
      </w:pPr>
      <w:r w:rsidRPr="00E131F5">
        <w:rPr>
          <w:rStyle w:val="IntenseEmphasis"/>
          <w:sz w:val="18"/>
        </w:rPr>
        <w:t>Vissen en inktvissen</w:t>
      </w:r>
    </w:p>
    <w:p w:rsidR="0070550F" w:rsidP="0070550F" w:rsidRDefault="0070550F" w14:paraId="49A6AF8D" w14:textId="533C6B7D">
      <w:pPr>
        <w:rPr>
          <w:lang w:val="nl-NL"/>
        </w:rPr>
      </w:pPr>
      <w:r>
        <w:rPr>
          <w:lang w:val="nl-NL"/>
        </w:rPr>
        <w:t xml:space="preserve">De Mariene Strategie deel 1 </w:t>
      </w:r>
      <w:r w:rsidR="00DD4F15">
        <w:rPr>
          <w:lang w:val="nl-NL"/>
        </w:rPr>
        <w:t>(</w:t>
      </w:r>
      <w:r>
        <w:rPr>
          <w:lang w:val="nl-NL"/>
        </w:rPr>
        <w:t>2018)</w:t>
      </w:r>
      <w:r w:rsidR="00DD4F15">
        <w:rPr>
          <w:lang w:val="nl-NL"/>
        </w:rPr>
        <w:t xml:space="preserve"> [11]</w:t>
      </w:r>
      <w:r>
        <w:rPr>
          <w:lang w:val="nl-NL"/>
        </w:rPr>
        <w:t xml:space="preserve"> geeft</w:t>
      </w:r>
      <w:r w:rsidR="00D727B3">
        <w:rPr>
          <w:lang w:val="nl-NL"/>
        </w:rPr>
        <w:t xml:space="preserve"> </w:t>
      </w:r>
      <w:r w:rsidRPr="00D727B3" w:rsidR="00D727B3">
        <w:rPr>
          <w:lang w:val="nl-NL"/>
        </w:rPr>
        <w:t>aan dat er geen aanvullende beleidsopgave is</w:t>
      </w:r>
      <w:r>
        <w:rPr>
          <w:lang w:val="nl-NL"/>
        </w:rPr>
        <w:t xml:space="preserve"> voor de visgemeenschap (inclusief D3 </w:t>
      </w:r>
      <w:r w:rsidR="005F5515">
        <w:rPr>
          <w:lang w:val="nl-NL"/>
        </w:rPr>
        <w:t>–</w:t>
      </w:r>
      <w:r>
        <w:rPr>
          <w:lang w:val="nl-NL"/>
        </w:rPr>
        <w:t xml:space="preserve"> commerciële vis, schaal- en schelpdieren), omdat </w:t>
      </w:r>
      <w:r w:rsidRPr="00527D4C">
        <w:rPr>
          <w:lang w:val="nl-NL"/>
        </w:rPr>
        <w:t>bestaand beleid voldoet</w:t>
      </w:r>
      <w:r>
        <w:rPr>
          <w:lang w:val="nl-NL"/>
        </w:rPr>
        <w:t>.</w:t>
      </w:r>
      <w:r w:rsidR="00D03B35">
        <w:rPr>
          <w:lang w:val="nl-NL"/>
        </w:rPr>
        <w:t xml:space="preserve"> In het kader van de verder uitwerking van het Noordzeeakkoord zal worden bezien of er nog een aanvullende opgave (kennisopgave en mogelijk ook maatregelen) nodig is.  </w:t>
      </w:r>
    </w:p>
    <w:p w:rsidRPr="00E131F5" w:rsidR="0070550F" w:rsidP="00D67C58" w:rsidRDefault="0070550F" w14:paraId="4C4785B4" w14:textId="77777777">
      <w:pPr>
        <w:pStyle w:val="TOCHeading"/>
        <w:rPr>
          <w:rStyle w:val="IntenseEmphasis"/>
          <w:sz w:val="18"/>
        </w:rPr>
      </w:pPr>
      <w:bookmarkStart w:name="_Hlk89074427" w:id="23"/>
      <w:r w:rsidRPr="00E131F5">
        <w:rPr>
          <w:rStyle w:val="IntenseEmphasis"/>
          <w:sz w:val="18"/>
        </w:rPr>
        <w:t>Pelagische habitats</w:t>
      </w:r>
    </w:p>
    <w:p w:rsidR="0070550F" w:rsidP="0070550F" w:rsidRDefault="00D727B3" w14:paraId="76E8AF9B" w14:textId="08EF602A">
      <w:pPr>
        <w:rPr>
          <w:lang w:val="nl-NL"/>
        </w:rPr>
      </w:pPr>
      <w:r>
        <w:rPr>
          <w:lang w:val="nl-NL"/>
        </w:rPr>
        <w:t>D</w:t>
      </w:r>
      <w:r w:rsidRPr="00D727B3">
        <w:rPr>
          <w:lang w:val="nl-NL"/>
        </w:rPr>
        <w:t xml:space="preserve">e aanvullende beleidsopgave voor pelagische habitats </w:t>
      </w:r>
      <w:r>
        <w:rPr>
          <w:lang w:val="nl-NL"/>
        </w:rPr>
        <w:t>is volgens d</w:t>
      </w:r>
      <w:r w:rsidR="0070550F">
        <w:rPr>
          <w:lang w:val="nl-NL"/>
        </w:rPr>
        <w:t>e Mariene Strategie deel 1</w:t>
      </w:r>
      <w:r w:rsidR="00D67C58">
        <w:rPr>
          <w:lang w:val="nl-NL"/>
        </w:rPr>
        <w:t xml:space="preserve"> (</w:t>
      </w:r>
      <w:r w:rsidR="0070550F">
        <w:rPr>
          <w:lang w:val="nl-NL"/>
        </w:rPr>
        <w:t xml:space="preserve">2018) </w:t>
      </w:r>
      <w:r w:rsidR="00DD4F15">
        <w:rPr>
          <w:lang w:val="nl-NL"/>
        </w:rPr>
        <w:t xml:space="preserve">[11] </w:t>
      </w:r>
      <w:r w:rsidR="0070550F">
        <w:rPr>
          <w:lang w:val="nl-NL"/>
        </w:rPr>
        <w:t>onbeken</w:t>
      </w:r>
      <w:r>
        <w:rPr>
          <w:lang w:val="nl-NL"/>
        </w:rPr>
        <w:t xml:space="preserve">d. Wél is er </w:t>
      </w:r>
      <w:r w:rsidRPr="00E36BEB" w:rsidR="0070550F">
        <w:rPr>
          <w:lang w:val="nl-NL"/>
        </w:rPr>
        <w:t>een kennisopgave</w:t>
      </w:r>
      <w:r w:rsidR="0070550F">
        <w:rPr>
          <w:lang w:val="nl-NL"/>
        </w:rPr>
        <w:t xml:space="preserve"> </w:t>
      </w:r>
      <w:r>
        <w:rPr>
          <w:lang w:val="nl-NL"/>
        </w:rPr>
        <w:t>voor</w:t>
      </w:r>
      <w:r w:rsidRPr="00E36BEB" w:rsidR="0070550F">
        <w:rPr>
          <w:lang w:val="nl-NL"/>
        </w:rPr>
        <w:t xml:space="preserve"> het</w:t>
      </w:r>
      <w:r w:rsidR="0070550F">
        <w:rPr>
          <w:lang w:val="nl-NL"/>
        </w:rPr>
        <w:t xml:space="preserve"> </w:t>
      </w:r>
      <w:r w:rsidRPr="00E36BEB" w:rsidR="0070550F">
        <w:rPr>
          <w:lang w:val="nl-NL"/>
        </w:rPr>
        <w:t>ontwikkelen van een beoordelingsmethode.</w:t>
      </w:r>
    </w:p>
    <w:bookmarkEnd w:id="23"/>
    <w:p w:rsidR="0070550F" w:rsidP="0070550F" w:rsidRDefault="0070550F" w14:paraId="434D428F" w14:textId="77777777">
      <w:pPr>
        <w:pStyle w:val="TOCHeading"/>
      </w:pPr>
      <w:r w:rsidRPr="00B96268">
        <w:t>Aanvullende maatregelen</w:t>
      </w:r>
    </w:p>
    <w:p w:rsidRPr="00E131F5" w:rsidR="0070550F" w:rsidP="00D67C58" w:rsidRDefault="0070550F" w14:paraId="317C4A20" w14:textId="77777777">
      <w:pPr>
        <w:pStyle w:val="TOCHeading"/>
        <w:rPr>
          <w:rStyle w:val="IntenseEmphasis"/>
          <w:sz w:val="18"/>
        </w:rPr>
      </w:pPr>
      <w:r w:rsidRPr="00E131F5">
        <w:rPr>
          <w:rStyle w:val="IntenseEmphasis"/>
          <w:sz w:val="18"/>
        </w:rPr>
        <w:t>Gebiedsmaatregelen</w:t>
      </w:r>
    </w:p>
    <w:p w:rsidR="0070550F" w:rsidP="0070550F" w:rsidRDefault="0070550F" w14:paraId="00113EF1" w14:textId="77777777">
      <w:pPr>
        <w:autoSpaceDE w:val="0"/>
        <w:autoSpaceDN w:val="0"/>
        <w:adjustRightInd w:val="0"/>
        <w:spacing w:after="0" w:line="240" w:lineRule="auto"/>
        <w:rPr>
          <w:rFonts w:cs="Verdana"/>
          <w:color w:val="000000"/>
          <w:szCs w:val="18"/>
          <w:lang w:val="nl-NL"/>
        </w:rPr>
      </w:pPr>
      <w:r w:rsidRPr="00F56B60">
        <w:rPr>
          <w:rFonts w:cs="Verdana"/>
          <w:color w:val="000000"/>
          <w:szCs w:val="18"/>
          <w:lang w:val="nl-NL"/>
        </w:rPr>
        <w:t xml:space="preserve">De ontwikkeling van een ecologisch netwerk van beschermde gebieden </w:t>
      </w:r>
      <w:r w:rsidR="00D727B3">
        <w:rPr>
          <w:rFonts w:cs="Verdana"/>
          <w:color w:val="000000"/>
          <w:szCs w:val="18"/>
          <w:lang w:val="nl-NL"/>
        </w:rPr>
        <w:t>is</w:t>
      </w:r>
      <w:r w:rsidRPr="00F56B60" w:rsidR="00D727B3">
        <w:rPr>
          <w:rFonts w:cs="Verdana"/>
          <w:color w:val="000000"/>
          <w:szCs w:val="18"/>
          <w:lang w:val="nl-NL"/>
        </w:rPr>
        <w:t xml:space="preserve"> </w:t>
      </w:r>
      <w:r w:rsidRPr="00F56B60">
        <w:rPr>
          <w:rFonts w:cs="Verdana"/>
          <w:color w:val="000000"/>
          <w:szCs w:val="18"/>
          <w:lang w:val="nl-NL"/>
        </w:rPr>
        <w:t xml:space="preserve">een van de belangrijkste instrumenten om het ecosysteem in de Noordzee in stand te houden en te herstellen. </w:t>
      </w:r>
      <w:r w:rsidR="00D727B3">
        <w:rPr>
          <w:rFonts w:cs="Verdana"/>
          <w:color w:val="000000"/>
          <w:szCs w:val="18"/>
          <w:lang w:val="nl-NL"/>
        </w:rPr>
        <w:t>I</w:t>
      </w:r>
      <w:r w:rsidRPr="00D727B3" w:rsidR="00D727B3">
        <w:rPr>
          <w:rFonts w:cs="Verdana"/>
          <w:color w:val="000000"/>
          <w:szCs w:val="18"/>
          <w:lang w:val="nl-NL"/>
        </w:rPr>
        <w:t>n het Nederlandse deel van de Noordzee</w:t>
      </w:r>
      <w:r w:rsidRPr="00D727B3" w:rsidDel="00D727B3" w:rsidR="00D727B3">
        <w:rPr>
          <w:rFonts w:cs="Verdana"/>
          <w:color w:val="000000"/>
          <w:szCs w:val="18"/>
          <w:lang w:val="nl-NL"/>
        </w:rPr>
        <w:t xml:space="preserve"> </w:t>
      </w:r>
      <w:r w:rsidRPr="00F56B60">
        <w:rPr>
          <w:rFonts w:cs="Verdana"/>
          <w:color w:val="000000"/>
          <w:szCs w:val="18"/>
          <w:lang w:val="nl-NL"/>
        </w:rPr>
        <w:t>wordt een samenhangend en representatief netwerk van beschermde mariene gebieden gerealiseerd, waarbij de diversiteit van de samenstellende ecosystemen adequaat is gedekt.</w:t>
      </w:r>
    </w:p>
    <w:p w:rsidRPr="00F56B60" w:rsidR="0070550F" w:rsidP="0070550F" w:rsidRDefault="0070550F" w14:paraId="28AD9A70" w14:textId="77777777">
      <w:pPr>
        <w:autoSpaceDE w:val="0"/>
        <w:autoSpaceDN w:val="0"/>
        <w:adjustRightInd w:val="0"/>
        <w:spacing w:after="0" w:line="240" w:lineRule="auto"/>
        <w:rPr>
          <w:rFonts w:cs="Verdana"/>
          <w:color w:val="000000"/>
          <w:szCs w:val="18"/>
          <w:lang w:val="nl-NL"/>
        </w:rPr>
      </w:pPr>
      <w:r w:rsidRPr="00F56B60">
        <w:rPr>
          <w:rFonts w:cs="Verdana"/>
          <w:color w:val="000000"/>
          <w:szCs w:val="18"/>
          <w:lang w:val="nl-NL"/>
        </w:rPr>
        <w:t xml:space="preserve"> </w:t>
      </w:r>
    </w:p>
    <w:p w:rsidR="0070550F" w:rsidP="0070550F" w:rsidRDefault="0070550F" w14:paraId="021F222F" w14:textId="77777777">
      <w:pPr>
        <w:autoSpaceDE w:val="0"/>
        <w:autoSpaceDN w:val="0"/>
        <w:adjustRightInd w:val="0"/>
        <w:spacing w:after="35" w:line="240" w:lineRule="auto"/>
        <w:rPr>
          <w:rFonts w:cs="Verdana"/>
          <w:color w:val="000000"/>
          <w:szCs w:val="18"/>
          <w:lang w:val="nl-NL"/>
        </w:rPr>
      </w:pPr>
      <w:r>
        <w:rPr>
          <w:rFonts w:cs="Verdana"/>
          <w:color w:val="000000"/>
          <w:szCs w:val="18"/>
          <w:lang w:val="nl-NL"/>
        </w:rPr>
        <w:t>In het Noordzeeakkoord (NZA)</w:t>
      </w:r>
      <w:r w:rsidR="00817B68">
        <w:rPr>
          <w:rFonts w:cs="Verdana"/>
          <w:color w:val="000000"/>
          <w:szCs w:val="18"/>
          <w:lang w:val="nl-NL"/>
        </w:rPr>
        <w:t>[16]</w:t>
      </w:r>
      <w:r>
        <w:rPr>
          <w:rFonts w:cs="Verdana"/>
          <w:color w:val="000000"/>
          <w:szCs w:val="18"/>
          <w:lang w:val="nl-NL"/>
        </w:rPr>
        <w:t xml:space="preserve"> zijn onder meer de volgende afspraken over gebiedsmaatregelen gemaakt:</w:t>
      </w:r>
    </w:p>
    <w:p w:rsidR="0070550F" w:rsidP="00746E9B" w:rsidRDefault="00792686" w14:paraId="22C9B2C7" w14:textId="77777777">
      <w:pPr>
        <w:pStyle w:val="ListParagraph"/>
        <w:numPr>
          <w:ilvl w:val="0"/>
          <w:numId w:val="21"/>
        </w:numPr>
        <w:autoSpaceDE w:val="0"/>
        <w:autoSpaceDN w:val="0"/>
        <w:adjustRightInd w:val="0"/>
        <w:spacing w:after="35" w:line="240" w:lineRule="auto"/>
        <w:rPr>
          <w:rFonts w:cs="Verdana"/>
          <w:color w:val="000000"/>
          <w:szCs w:val="18"/>
          <w:lang w:val="nl-NL"/>
        </w:rPr>
      </w:pPr>
      <w:r>
        <w:rPr>
          <w:rFonts w:cs="Verdana"/>
          <w:color w:val="000000"/>
          <w:szCs w:val="18"/>
          <w:lang w:val="nl-NL"/>
        </w:rPr>
        <w:t>A</w:t>
      </w:r>
      <w:r w:rsidR="0070550F">
        <w:rPr>
          <w:rFonts w:cs="Verdana"/>
          <w:color w:val="000000"/>
          <w:szCs w:val="18"/>
          <w:lang w:val="nl-NL"/>
        </w:rPr>
        <w:t>fspraken over</w:t>
      </w:r>
      <w:r w:rsidRPr="00F56B60" w:rsidR="0070550F">
        <w:rPr>
          <w:rFonts w:cs="Verdana"/>
          <w:color w:val="000000"/>
          <w:szCs w:val="18"/>
          <w:lang w:val="nl-NL"/>
        </w:rPr>
        <w:t xml:space="preserve"> aanwijzing en bescherming van natuurgebieden op zee </w:t>
      </w:r>
      <w:r w:rsidR="0070550F">
        <w:rPr>
          <w:rFonts w:cs="Verdana"/>
          <w:color w:val="000000"/>
          <w:szCs w:val="18"/>
          <w:lang w:val="nl-NL"/>
        </w:rPr>
        <w:t xml:space="preserve">worden </w:t>
      </w:r>
      <w:r>
        <w:rPr>
          <w:rFonts w:cs="Verdana"/>
          <w:color w:val="000000"/>
          <w:szCs w:val="18"/>
          <w:lang w:val="nl-NL"/>
        </w:rPr>
        <w:t xml:space="preserve">daadwerkelijk </w:t>
      </w:r>
      <w:r w:rsidRPr="00F56B60" w:rsidR="0070550F">
        <w:rPr>
          <w:rFonts w:cs="Verdana"/>
          <w:color w:val="000000"/>
          <w:szCs w:val="18"/>
          <w:lang w:val="nl-NL"/>
        </w:rPr>
        <w:t>uitgevoerd en gehandhaafd</w:t>
      </w:r>
      <w:r w:rsidR="00D727B3">
        <w:rPr>
          <w:rFonts w:cs="Verdana"/>
          <w:color w:val="000000"/>
          <w:szCs w:val="18"/>
          <w:lang w:val="nl-NL"/>
        </w:rPr>
        <w:t>.</w:t>
      </w:r>
    </w:p>
    <w:p w:rsidRPr="00F56B60" w:rsidR="0070550F" w:rsidP="00746E9B" w:rsidRDefault="0070550F" w14:paraId="0D48C7B1" w14:textId="77777777">
      <w:pPr>
        <w:pStyle w:val="ListParagraph"/>
        <w:numPr>
          <w:ilvl w:val="0"/>
          <w:numId w:val="21"/>
        </w:numPr>
        <w:autoSpaceDE w:val="0"/>
        <w:autoSpaceDN w:val="0"/>
        <w:adjustRightInd w:val="0"/>
        <w:spacing w:after="35" w:line="240" w:lineRule="auto"/>
        <w:rPr>
          <w:rFonts w:cs="Verdana"/>
          <w:color w:val="000000"/>
          <w:szCs w:val="18"/>
          <w:lang w:val="nl-NL"/>
        </w:rPr>
      </w:pPr>
      <w:r w:rsidRPr="00F56B60">
        <w:rPr>
          <w:rFonts w:cs="Verdana"/>
          <w:color w:val="000000"/>
          <w:szCs w:val="18"/>
          <w:lang w:val="nl-NL"/>
        </w:rPr>
        <w:t xml:space="preserve">Natuurdoelen voor de Noordzee </w:t>
      </w:r>
      <w:r w:rsidR="00D727B3">
        <w:rPr>
          <w:rFonts w:cs="Verdana"/>
          <w:color w:val="000000"/>
          <w:szCs w:val="18"/>
          <w:lang w:val="nl-NL"/>
        </w:rPr>
        <w:t>moeten</w:t>
      </w:r>
      <w:r w:rsidRPr="00F56B60" w:rsidR="00D727B3">
        <w:rPr>
          <w:rFonts w:cs="Verdana"/>
          <w:color w:val="000000"/>
          <w:szCs w:val="18"/>
          <w:lang w:val="nl-NL"/>
        </w:rPr>
        <w:t xml:space="preserve"> </w:t>
      </w:r>
      <w:r w:rsidRPr="00F56B60">
        <w:rPr>
          <w:rFonts w:cs="Verdana"/>
          <w:color w:val="000000"/>
          <w:szCs w:val="18"/>
          <w:lang w:val="nl-NL"/>
        </w:rPr>
        <w:t>niet alleen kwantitatief (</w:t>
      </w:r>
      <w:r w:rsidR="00D727B3">
        <w:rPr>
          <w:rFonts w:cs="Verdana"/>
          <w:color w:val="000000"/>
          <w:szCs w:val="18"/>
          <w:lang w:val="nl-NL"/>
        </w:rPr>
        <w:t>percentage</w:t>
      </w:r>
      <w:r w:rsidRPr="00F56B60">
        <w:rPr>
          <w:rFonts w:cs="Verdana"/>
          <w:color w:val="000000"/>
          <w:szCs w:val="18"/>
          <w:lang w:val="nl-NL"/>
        </w:rPr>
        <w:t xml:space="preserve"> beschermd</w:t>
      </w:r>
      <w:r w:rsidR="00D727B3">
        <w:rPr>
          <w:rFonts w:cs="Verdana"/>
          <w:color w:val="000000"/>
          <w:szCs w:val="18"/>
          <w:lang w:val="nl-NL"/>
        </w:rPr>
        <w:t xml:space="preserve"> gebied</w:t>
      </w:r>
      <w:r w:rsidRPr="00F56B60">
        <w:rPr>
          <w:rFonts w:cs="Verdana"/>
          <w:color w:val="000000"/>
          <w:szCs w:val="18"/>
          <w:lang w:val="nl-NL"/>
        </w:rPr>
        <w:t>)</w:t>
      </w:r>
      <w:r w:rsidR="00D727B3">
        <w:rPr>
          <w:rFonts w:cs="Verdana"/>
          <w:color w:val="000000"/>
          <w:szCs w:val="18"/>
          <w:lang w:val="nl-NL"/>
        </w:rPr>
        <w:t>,</w:t>
      </w:r>
      <w:r w:rsidRPr="00F56B60">
        <w:rPr>
          <w:rFonts w:cs="Verdana"/>
          <w:color w:val="000000"/>
          <w:szCs w:val="18"/>
          <w:lang w:val="nl-NL"/>
        </w:rPr>
        <w:t xml:space="preserve"> maar zeker ook kwalitatief worden geformuleerd: welke natuurwaarden zijn beschermingswaardig en hoe </w:t>
      </w:r>
      <w:r w:rsidR="00792686">
        <w:rPr>
          <w:rFonts w:cs="Verdana"/>
          <w:color w:val="000000"/>
          <w:szCs w:val="18"/>
          <w:lang w:val="nl-NL"/>
        </w:rPr>
        <w:t xml:space="preserve">zijn </w:t>
      </w:r>
      <w:r w:rsidRPr="00F56B60">
        <w:rPr>
          <w:rFonts w:cs="Verdana"/>
          <w:color w:val="000000"/>
          <w:szCs w:val="18"/>
          <w:lang w:val="nl-NL"/>
        </w:rPr>
        <w:t>deze</w:t>
      </w:r>
      <w:r w:rsidR="00792686">
        <w:rPr>
          <w:rFonts w:cs="Verdana"/>
          <w:color w:val="000000"/>
          <w:szCs w:val="18"/>
          <w:lang w:val="nl-NL"/>
        </w:rPr>
        <w:t xml:space="preserve"> te beschermen</w:t>
      </w:r>
      <w:r w:rsidRPr="00F56B60">
        <w:rPr>
          <w:rFonts w:cs="Verdana"/>
          <w:color w:val="000000"/>
          <w:szCs w:val="18"/>
          <w:lang w:val="nl-NL"/>
        </w:rPr>
        <w:t xml:space="preserve">? Hierbij </w:t>
      </w:r>
      <w:r w:rsidR="00D727B3">
        <w:rPr>
          <w:rFonts w:cs="Verdana"/>
          <w:color w:val="000000"/>
          <w:szCs w:val="18"/>
          <w:lang w:val="nl-NL"/>
        </w:rPr>
        <w:t>moet</w:t>
      </w:r>
      <w:r w:rsidRPr="00F56B60" w:rsidR="00D727B3">
        <w:rPr>
          <w:rFonts w:cs="Verdana"/>
          <w:color w:val="000000"/>
          <w:szCs w:val="18"/>
          <w:lang w:val="nl-NL"/>
        </w:rPr>
        <w:t xml:space="preserve"> </w:t>
      </w:r>
      <w:r w:rsidRPr="00F56B60">
        <w:rPr>
          <w:rFonts w:cs="Verdana"/>
          <w:color w:val="000000"/>
          <w:szCs w:val="18"/>
          <w:lang w:val="nl-NL"/>
        </w:rPr>
        <w:t>de schaalgrootte van gebieden recht doen aan het natuurdoel.</w:t>
      </w:r>
    </w:p>
    <w:p w:rsidRPr="00F56B60" w:rsidR="0070550F" w:rsidP="00746E9B" w:rsidRDefault="0070550F" w14:paraId="578073E7" w14:textId="77777777">
      <w:pPr>
        <w:pStyle w:val="ListParagraph"/>
        <w:numPr>
          <w:ilvl w:val="0"/>
          <w:numId w:val="21"/>
        </w:numPr>
        <w:autoSpaceDE w:val="0"/>
        <w:autoSpaceDN w:val="0"/>
        <w:adjustRightInd w:val="0"/>
        <w:spacing w:after="35" w:line="240" w:lineRule="auto"/>
        <w:rPr>
          <w:rFonts w:cs="Verdana"/>
          <w:color w:val="000000"/>
          <w:szCs w:val="18"/>
          <w:lang w:val="nl-NL"/>
        </w:rPr>
      </w:pPr>
      <w:r w:rsidRPr="00F56B60">
        <w:rPr>
          <w:rFonts w:cs="Verdana"/>
          <w:color w:val="000000"/>
          <w:szCs w:val="18"/>
          <w:lang w:val="nl-NL"/>
        </w:rPr>
        <w:t xml:space="preserve">Bescherming van natuur </w:t>
      </w:r>
      <w:r w:rsidR="00D727B3">
        <w:rPr>
          <w:rFonts w:cs="Verdana"/>
          <w:color w:val="000000"/>
          <w:szCs w:val="18"/>
          <w:lang w:val="nl-NL"/>
        </w:rPr>
        <w:t>moet berusten op</w:t>
      </w:r>
      <w:r w:rsidRPr="00F56B60">
        <w:rPr>
          <w:rFonts w:cs="Verdana"/>
          <w:color w:val="000000"/>
          <w:szCs w:val="18"/>
          <w:lang w:val="nl-NL"/>
        </w:rPr>
        <w:t xml:space="preserve"> een integrale afweging van de ecologische kwaliteiten van een gebied, rekening houdend met de sociaaleconomische gevolgen (integraal afwegingskader KRM)</w:t>
      </w:r>
      <w:r w:rsidR="00D727B3">
        <w:rPr>
          <w:rFonts w:cs="Verdana"/>
          <w:color w:val="000000"/>
          <w:szCs w:val="18"/>
          <w:lang w:val="nl-NL"/>
        </w:rPr>
        <w:t>, en</w:t>
      </w:r>
      <w:r w:rsidRPr="00F56B60">
        <w:rPr>
          <w:rFonts w:cs="Verdana"/>
          <w:color w:val="000000"/>
          <w:szCs w:val="18"/>
          <w:lang w:val="nl-NL"/>
        </w:rPr>
        <w:t xml:space="preserve"> met toepassing van </w:t>
      </w:r>
      <w:r w:rsidRPr="00AF1E71">
        <w:rPr>
          <w:rFonts w:cs="Verdana"/>
          <w:i/>
          <w:iCs/>
          <w:color w:val="000000"/>
          <w:szCs w:val="18"/>
          <w:lang w:val="nl-NL"/>
        </w:rPr>
        <w:t>other effective area</w:t>
      </w:r>
      <w:r w:rsidR="00D03B35">
        <w:rPr>
          <w:rFonts w:cs="Verdana"/>
          <w:i/>
          <w:iCs/>
          <w:color w:val="000000"/>
          <w:szCs w:val="18"/>
          <w:lang w:val="nl-NL"/>
        </w:rPr>
        <w:t>-</w:t>
      </w:r>
      <w:r w:rsidRPr="00AF1E71">
        <w:rPr>
          <w:rFonts w:cs="Verdana"/>
          <w:i/>
          <w:iCs/>
          <w:color w:val="000000"/>
          <w:szCs w:val="18"/>
          <w:lang w:val="nl-NL"/>
        </w:rPr>
        <w:t>based measures</w:t>
      </w:r>
      <w:r w:rsidRPr="00F56B60">
        <w:rPr>
          <w:rFonts w:cs="Verdana"/>
          <w:color w:val="000000"/>
          <w:szCs w:val="18"/>
          <w:lang w:val="nl-NL"/>
        </w:rPr>
        <w:t>.</w:t>
      </w:r>
    </w:p>
    <w:p w:rsidRPr="00435606" w:rsidR="0070550F" w:rsidP="00746E9B" w:rsidRDefault="0070550F" w14:paraId="182194A5" w14:textId="77777777">
      <w:pPr>
        <w:pStyle w:val="ListParagraph"/>
        <w:numPr>
          <w:ilvl w:val="0"/>
          <w:numId w:val="21"/>
        </w:numPr>
        <w:autoSpaceDE w:val="0"/>
        <w:autoSpaceDN w:val="0"/>
        <w:adjustRightInd w:val="0"/>
        <w:spacing w:after="35" w:line="240" w:lineRule="auto"/>
        <w:rPr>
          <w:lang w:val="nl-NL"/>
        </w:rPr>
      </w:pPr>
      <w:r w:rsidRPr="00876947">
        <w:rPr>
          <w:lang w:val="nl-NL"/>
        </w:rPr>
        <w:t>Te beschermen natuurwaarden in een gebied vormen de basis voor acceptabel medegebruik</w:t>
      </w:r>
      <w:r w:rsidR="00792686">
        <w:rPr>
          <w:lang w:val="nl-NL"/>
        </w:rPr>
        <w:t>,</w:t>
      </w:r>
      <w:r w:rsidRPr="00876947">
        <w:rPr>
          <w:lang w:val="nl-NL"/>
        </w:rPr>
        <w:t xml:space="preserve"> met inachtneming van het voorzorgbeginsel. Vormen van medegebruik, waaronder visserij, die geen significante impact hebben op gedefinieerde natuurwaarden, worden toegestaan. Wanneer de natuurwaarden volledige vrijwaring van potentieel schadelijke activiteiten rechtvaardigen</w:t>
      </w:r>
      <w:r w:rsidR="000E386F">
        <w:rPr>
          <w:lang w:val="nl-NL"/>
        </w:rPr>
        <w:t>,</w:t>
      </w:r>
      <w:r w:rsidRPr="00876947">
        <w:rPr>
          <w:lang w:val="nl-NL"/>
        </w:rPr>
        <w:t xml:space="preserve"> worden </w:t>
      </w:r>
      <w:r w:rsidR="00311256">
        <w:rPr>
          <w:lang w:val="nl-NL"/>
        </w:rPr>
        <w:t>de</w:t>
      </w:r>
      <w:r w:rsidRPr="00876947">
        <w:rPr>
          <w:lang w:val="nl-NL"/>
        </w:rPr>
        <w:t xml:space="preserve"> afspraken </w:t>
      </w:r>
      <w:r w:rsidR="00A95303">
        <w:rPr>
          <w:lang w:val="nl-NL"/>
        </w:rPr>
        <w:t xml:space="preserve">zoals genoemd bij 3.7 </w:t>
      </w:r>
      <w:r w:rsidRPr="00876947">
        <w:rPr>
          <w:lang w:val="nl-NL"/>
        </w:rPr>
        <w:t xml:space="preserve">over visserij in natuurgebieden in acht genomen. </w:t>
      </w:r>
    </w:p>
    <w:p w:rsidR="0070550F" w:rsidP="00746E9B" w:rsidRDefault="0070550F" w14:paraId="4C812A0D" w14:textId="77777777">
      <w:pPr>
        <w:pStyle w:val="ListParagraph"/>
        <w:numPr>
          <w:ilvl w:val="0"/>
          <w:numId w:val="21"/>
        </w:numPr>
        <w:autoSpaceDE w:val="0"/>
        <w:autoSpaceDN w:val="0"/>
        <w:adjustRightInd w:val="0"/>
        <w:spacing w:after="35" w:line="240" w:lineRule="auto"/>
        <w:rPr>
          <w:rFonts w:cs="Verdana"/>
          <w:color w:val="000000"/>
          <w:szCs w:val="18"/>
          <w:lang w:val="nl-NL"/>
        </w:rPr>
      </w:pPr>
      <w:r w:rsidRPr="00F56B60">
        <w:rPr>
          <w:rFonts w:cs="Verdana"/>
          <w:color w:val="000000"/>
          <w:szCs w:val="18"/>
          <w:lang w:val="nl-NL"/>
        </w:rPr>
        <w:t xml:space="preserve">Per saldo zal gaswinning binnen Natura 2000-gebieden afnemen. De praktijk dat onder strikte voorwaarden </w:t>
      </w:r>
      <w:r w:rsidR="000E386F">
        <w:rPr>
          <w:rFonts w:cs="Verdana"/>
          <w:color w:val="000000"/>
          <w:szCs w:val="18"/>
          <w:lang w:val="nl-NL"/>
        </w:rPr>
        <w:t xml:space="preserve">gas </w:t>
      </w:r>
      <w:r w:rsidRPr="00F56B60">
        <w:rPr>
          <w:rFonts w:cs="Verdana"/>
          <w:color w:val="000000"/>
          <w:szCs w:val="18"/>
          <w:lang w:val="nl-NL"/>
        </w:rPr>
        <w:t>kan worden gewonnen in Natura 2000</w:t>
      </w:r>
      <w:r>
        <w:rPr>
          <w:rFonts w:cs="Verdana"/>
          <w:color w:val="000000"/>
          <w:szCs w:val="18"/>
          <w:lang w:val="nl-NL"/>
        </w:rPr>
        <w:t>-</w:t>
      </w:r>
      <w:r w:rsidRPr="00F56B60">
        <w:rPr>
          <w:rFonts w:cs="Verdana"/>
          <w:color w:val="000000"/>
          <w:szCs w:val="18"/>
          <w:lang w:val="nl-NL"/>
        </w:rPr>
        <w:t>gebieden wordt voortgezet. Deze voorwaarden voldoen aan de te formuleren bovenwettelijke Best Beschikbare Technieken</w:t>
      </w:r>
      <w:r>
        <w:rPr>
          <w:rFonts w:cs="Verdana"/>
          <w:color w:val="000000"/>
          <w:szCs w:val="18"/>
          <w:lang w:val="nl-NL"/>
        </w:rPr>
        <w:t xml:space="preserve"> </w:t>
      </w:r>
      <w:r w:rsidRPr="00F56B60">
        <w:rPr>
          <w:rFonts w:cs="Verdana"/>
          <w:color w:val="000000"/>
          <w:szCs w:val="18"/>
          <w:lang w:val="nl-NL"/>
        </w:rPr>
        <w:t>voor milieubeschermend en natuurversterkend bouwen en exploiteren</w:t>
      </w:r>
      <w:r w:rsidR="000E386F">
        <w:rPr>
          <w:rFonts w:cs="Verdana"/>
          <w:color w:val="000000"/>
          <w:szCs w:val="18"/>
          <w:lang w:val="nl-NL"/>
        </w:rPr>
        <w:t>,</w:t>
      </w:r>
      <w:r w:rsidRPr="00F56B60">
        <w:rPr>
          <w:rFonts w:cs="Verdana"/>
          <w:color w:val="000000"/>
          <w:szCs w:val="18"/>
          <w:lang w:val="nl-NL"/>
        </w:rPr>
        <w:t xml:space="preserve"> </w:t>
      </w:r>
      <w:r w:rsidR="000E386F">
        <w:rPr>
          <w:rFonts w:cs="Verdana"/>
          <w:color w:val="000000"/>
          <w:szCs w:val="18"/>
          <w:lang w:val="nl-NL"/>
        </w:rPr>
        <w:t>die periodiek</w:t>
      </w:r>
      <w:r w:rsidRPr="00F56B60" w:rsidR="000E386F">
        <w:rPr>
          <w:rFonts w:cs="Verdana"/>
          <w:color w:val="000000"/>
          <w:szCs w:val="18"/>
          <w:lang w:val="nl-NL"/>
        </w:rPr>
        <w:t xml:space="preserve"> </w:t>
      </w:r>
      <w:r w:rsidRPr="00F56B60">
        <w:rPr>
          <w:rFonts w:cs="Verdana"/>
          <w:color w:val="000000"/>
          <w:szCs w:val="18"/>
          <w:lang w:val="nl-NL"/>
        </w:rPr>
        <w:t xml:space="preserve">in de </w:t>
      </w:r>
      <w:r w:rsidRPr="00F56B60">
        <w:rPr>
          <w:rFonts w:cs="Verdana"/>
          <w:i/>
          <w:iCs/>
          <w:color w:val="000000"/>
          <w:szCs w:val="18"/>
          <w:lang w:val="nl-NL"/>
        </w:rPr>
        <w:t>governance</w:t>
      </w:r>
      <w:r>
        <w:rPr>
          <w:rFonts w:cs="Verdana"/>
          <w:color w:val="000000"/>
          <w:szCs w:val="18"/>
          <w:lang w:val="nl-NL"/>
        </w:rPr>
        <w:t>-</w:t>
      </w:r>
      <w:r w:rsidRPr="00F56B60">
        <w:rPr>
          <w:rFonts w:cs="Verdana"/>
          <w:color w:val="000000"/>
          <w:szCs w:val="18"/>
          <w:lang w:val="nl-NL"/>
        </w:rPr>
        <w:t xml:space="preserve">structuur van het </w:t>
      </w:r>
      <w:r>
        <w:rPr>
          <w:rFonts w:cs="Verdana"/>
          <w:color w:val="000000"/>
          <w:szCs w:val="18"/>
          <w:lang w:val="nl-NL"/>
        </w:rPr>
        <w:t>Noordzeeoverleg (</w:t>
      </w:r>
      <w:r w:rsidRPr="00F56B60">
        <w:rPr>
          <w:rFonts w:cs="Verdana"/>
          <w:color w:val="000000"/>
          <w:szCs w:val="18"/>
          <w:lang w:val="nl-NL"/>
        </w:rPr>
        <w:t>NZO</w:t>
      </w:r>
      <w:r>
        <w:rPr>
          <w:rFonts w:cs="Verdana"/>
          <w:color w:val="000000"/>
          <w:szCs w:val="18"/>
          <w:lang w:val="nl-NL"/>
        </w:rPr>
        <w:t>)</w:t>
      </w:r>
      <w:r w:rsidRPr="00F56B60">
        <w:rPr>
          <w:rFonts w:cs="Verdana"/>
          <w:color w:val="000000"/>
          <w:szCs w:val="18"/>
          <w:lang w:val="nl-NL"/>
        </w:rPr>
        <w:t xml:space="preserve"> </w:t>
      </w:r>
      <w:r w:rsidR="000E386F">
        <w:rPr>
          <w:rFonts w:cs="Verdana"/>
          <w:color w:val="000000"/>
          <w:szCs w:val="18"/>
          <w:lang w:val="nl-NL"/>
        </w:rPr>
        <w:t>zullen</w:t>
      </w:r>
      <w:r w:rsidRPr="00F56B60">
        <w:rPr>
          <w:rFonts w:cs="Verdana"/>
          <w:color w:val="000000"/>
          <w:szCs w:val="18"/>
          <w:lang w:val="nl-NL"/>
        </w:rPr>
        <w:t xml:space="preserve"> worden vastgelegd. </w:t>
      </w:r>
    </w:p>
    <w:p w:rsidR="00D727B3" w:rsidP="00D727B3" w:rsidRDefault="00D727B3" w14:paraId="74A5EF86" w14:textId="77777777">
      <w:pPr>
        <w:autoSpaceDE w:val="0"/>
        <w:autoSpaceDN w:val="0"/>
        <w:adjustRightInd w:val="0"/>
        <w:spacing w:after="35" w:line="240" w:lineRule="auto"/>
        <w:rPr>
          <w:rFonts w:cs="Verdana"/>
          <w:color w:val="000000"/>
          <w:szCs w:val="18"/>
          <w:lang w:val="nl-NL"/>
        </w:rPr>
      </w:pPr>
    </w:p>
    <w:p w:rsidRPr="00AF1E71" w:rsidR="00D727B3" w:rsidP="00AF1E71" w:rsidRDefault="000E386F" w14:paraId="22033486" w14:textId="2460B859">
      <w:pPr>
        <w:autoSpaceDE w:val="0"/>
        <w:autoSpaceDN w:val="0"/>
        <w:adjustRightInd w:val="0"/>
        <w:spacing w:after="35" w:line="240" w:lineRule="auto"/>
        <w:rPr>
          <w:rFonts w:cs="Verdana"/>
          <w:color w:val="000000"/>
          <w:szCs w:val="18"/>
          <w:lang w:val="nl-NL"/>
        </w:rPr>
      </w:pPr>
      <w:r>
        <w:rPr>
          <w:rFonts w:cs="Verdana"/>
          <w:color w:val="000000"/>
          <w:szCs w:val="18"/>
          <w:lang w:val="nl-NL"/>
        </w:rPr>
        <w:t>P</w:t>
      </w:r>
      <w:r w:rsidRPr="00D727B3" w:rsidR="00D727B3">
        <w:rPr>
          <w:rFonts w:cs="Verdana"/>
          <w:color w:val="000000"/>
          <w:szCs w:val="18"/>
          <w:lang w:val="nl-NL"/>
        </w:rPr>
        <w:t xml:space="preserve">aragraaf 3.7 </w:t>
      </w:r>
      <w:r>
        <w:rPr>
          <w:rFonts w:cs="Verdana"/>
          <w:color w:val="000000"/>
          <w:szCs w:val="18"/>
          <w:lang w:val="nl-NL"/>
        </w:rPr>
        <w:t xml:space="preserve">vermeldt </w:t>
      </w:r>
      <w:r w:rsidRPr="00D727B3" w:rsidR="00D727B3">
        <w:rPr>
          <w:rFonts w:cs="Verdana"/>
          <w:color w:val="000000"/>
          <w:szCs w:val="18"/>
          <w:lang w:val="nl-NL"/>
        </w:rPr>
        <w:t>de overige afspraken over aanvullende maatregelen ten aanzien van gebiedsbescherming</w:t>
      </w:r>
      <w:r>
        <w:rPr>
          <w:rFonts w:cs="Verdana"/>
          <w:color w:val="000000"/>
          <w:szCs w:val="18"/>
          <w:lang w:val="nl-NL"/>
        </w:rPr>
        <w:t>.</w:t>
      </w:r>
      <w:r w:rsidR="007772D9">
        <w:rPr>
          <w:rFonts w:cs="Verdana"/>
          <w:color w:val="000000"/>
          <w:szCs w:val="18"/>
          <w:lang w:val="nl-NL"/>
        </w:rPr>
        <w:t xml:space="preserve"> </w:t>
      </w:r>
    </w:p>
    <w:p w:rsidR="0070550F" w:rsidP="0070550F" w:rsidRDefault="0070550F" w14:paraId="6D6E8AED" w14:textId="77777777">
      <w:pPr>
        <w:rPr>
          <w:lang w:val="nl-NL"/>
        </w:rPr>
      </w:pPr>
    </w:p>
    <w:p w:rsidRPr="00355CE4" w:rsidR="0070550F" w:rsidP="00E131F5" w:rsidRDefault="0070550F" w14:paraId="71FFFD4B" w14:textId="77777777">
      <w:pPr>
        <w:rPr>
          <w:rFonts w:cs="Verdana"/>
          <w:color w:val="000000"/>
          <w:szCs w:val="18"/>
          <w:lang w:val="nl-NL"/>
        </w:rPr>
      </w:pPr>
      <w:r w:rsidRPr="00BF026A">
        <w:rPr>
          <w:rStyle w:val="IntenseEmphasis"/>
          <w:rFonts w:eastAsiaTheme="majorEastAsia" w:cstheme="majorBidi"/>
          <w:szCs w:val="20"/>
          <w:lang w:val="nl-NL" w:eastAsia="nl-NL"/>
        </w:rPr>
        <w:t>Soortenbescherming</w:t>
      </w:r>
      <w:r w:rsidRPr="00BF026A" w:rsidR="00E131F5">
        <w:rPr>
          <w:rStyle w:val="IntenseEmphasis"/>
          <w:rFonts w:eastAsiaTheme="majorEastAsia" w:cstheme="majorBidi"/>
          <w:szCs w:val="20"/>
          <w:lang w:val="nl-NL" w:eastAsia="nl-NL"/>
        </w:rPr>
        <w:br/>
      </w:r>
      <w:r w:rsidR="000E386F">
        <w:rPr>
          <w:rFonts w:cs="Verdana"/>
          <w:color w:val="000000"/>
          <w:szCs w:val="18"/>
          <w:lang w:val="nl-NL"/>
        </w:rPr>
        <w:t>Behalve</w:t>
      </w:r>
      <w:r w:rsidRPr="006A09AD" w:rsidR="000E386F">
        <w:rPr>
          <w:rFonts w:cs="Verdana"/>
          <w:color w:val="000000"/>
          <w:szCs w:val="18"/>
          <w:lang w:val="nl-NL"/>
        </w:rPr>
        <w:t xml:space="preserve"> </w:t>
      </w:r>
      <w:r w:rsidRPr="006A09AD">
        <w:rPr>
          <w:rFonts w:cs="Verdana"/>
          <w:color w:val="000000"/>
          <w:szCs w:val="18"/>
          <w:lang w:val="nl-NL"/>
        </w:rPr>
        <w:t xml:space="preserve">gebiedsbescherming is meer generieke soortenbescherming van belang voor langlevende en kwetsbare soorten, zoals zeevogels, zeezoogdieren en bepaalde haaien- en roggensoorten. De </w:t>
      </w:r>
      <w:r w:rsidR="000E386F">
        <w:rPr>
          <w:rFonts w:cs="Verdana"/>
          <w:color w:val="000000"/>
          <w:szCs w:val="18"/>
          <w:lang w:val="nl-NL"/>
        </w:rPr>
        <w:t xml:space="preserve">volgende </w:t>
      </w:r>
      <w:r w:rsidRPr="006A09AD">
        <w:rPr>
          <w:rFonts w:cs="Verdana"/>
          <w:color w:val="000000"/>
          <w:szCs w:val="18"/>
          <w:lang w:val="nl-NL"/>
        </w:rPr>
        <w:t xml:space="preserve">afspraken in het NZA </w:t>
      </w:r>
      <w:r w:rsidR="002954CD">
        <w:rPr>
          <w:rFonts w:cs="Verdana"/>
          <w:color w:val="000000"/>
          <w:szCs w:val="18"/>
          <w:lang w:val="nl-NL"/>
        </w:rPr>
        <w:t>(</w:t>
      </w:r>
      <w:r w:rsidRPr="006A09AD" w:rsidR="002954CD">
        <w:rPr>
          <w:rFonts w:cs="Verdana"/>
          <w:color w:val="000000"/>
          <w:szCs w:val="18"/>
          <w:lang w:val="nl-NL"/>
        </w:rPr>
        <w:t>‘extra mijlen naar een gezonde Noordzee’</w:t>
      </w:r>
      <w:r w:rsidR="002954CD">
        <w:rPr>
          <w:rFonts w:cs="Verdana"/>
          <w:color w:val="000000"/>
          <w:szCs w:val="18"/>
          <w:lang w:val="nl-NL"/>
        </w:rPr>
        <w:t xml:space="preserve">) </w:t>
      </w:r>
      <w:r w:rsidRPr="006A09AD">
        <w:rPr>
          <w:rFonts w:cs="Verdana"/>
          <w:color w:val="000000"/>
          <w:szCs w:val="18"/>
          <w:lang w:val="nl-NL"/>
        </w:rPr>
        <w:t xml:space="preserve">zijn gericht op intensivering </w:t>
      </w:r>
      <w:r w:rsidR="000E386F">
        <w:rPr>
          <w:rFonts w:cs="Verdana"/>
          <w:color w:val="000000"/>
          <w:szCs w:val="18"/>
          <w:lang w:val="nl-NL"/>
        </w:rPr>
        <w:t>van</w:t>
      </w:r>
      <w:r w:rsidRPr="006A09AD" w:rsidR="000E386F">
        <w:rPr>
          <w:rFonts w:cs="Verdana"/>
          <w:color w:val="000000"/>
          <w:szCs w:val="18"/>
          <w:lang w:val="nl-NL"/>
        </w:rPr>
        <w:t xml:space="preserve"> </w:t>
      </w:r>
      <w:r w:rsidRPr="006A09AD">
        <w:rPr>
          <w:rFonts w:cs="Verdana"/>
          <w:color w:val="000000"/>
          <w:szCs w:val="18"/>
          <w:lang w:val="nl-NL"/>
        </w:rPr>
        <w:t>meer generieke soortenbescherming</w:t>
      </w:r>
      <w:r w:rsidR="000E386F">
        <w:rPr>
          <w:rFonts w:cs="Verdana"/>
          <w:color w:val="000000"/>
          <w:szCs w:val="18"/>
          <w:lang w:val="nl-NL"/>
        </w:rPr>
        <w:t>:</w:t>
      </w:r>
    </w:p>
    <w:p w:rsidRPr="00F56B60" w:rsidR="0070550F" w:rsidP="00746E9B" w:rsidRDefault="0070550F" w14:paraId="7E652991" w14:textId="4B6604B6">
      <w:pPr>
        <w:pStyle w:val="ListParagraph"/>
        <w:numPr>
          <w:ilvl w:val="0"/>
          <w:numId w:val="20"/>
        </w:numPr>
        <w:autoSpaceDE w:val="0"/>
        <w:autoSpaceDN w:val="0"/>
        <w:adjustRightInd w:val="0"/>
        <w:spacing w:after="35" w:line="240" w:lineRule="auto"/>
        <w:rPr>
          <w:rFonts w:cs="Verdana"/>
          <w:color w:val="000000"/>
          <w:szCs w:val="18"/>
          <w:lang w:val="nl-NL"/>
        </w:rPr>
      </w:pPr>
      <w:r w:rsidRPr="00F56B60">
        <w:rPr>
          <w:rFonts w:cs="Verdana"/>
          <w:color w:val="000000"/>
          <w:szCs w:val="18"/>
          <w:lang w:val="nl-NL"/>
        </w:rPr>
        <w:t>Bestaande actie- en soortenbeschermingsplannen (bijvoorbeeld</w:t>
      </w:r>
      <w:r w:rsidR="000E386F">
        <w:rPr>
          <w:rFonts w:cs="Verdana"/>
          <w:color w:val="000000"/>
          <w:szCs w:val="18"/>
          <w:lang w:val="nl-NL"/>
        </w:rPr>
        <w:t xml:space="preserve"> voor</w:t>
      </w:r>
      <w:r w:rsidRPr="00F56B60">
        <w:rPr>
          <w:rFonts w:cs="Verdana"/>
          <w:color w:val="000000"/>
          <w:szCs w:val="18"/>
          <w:lang w:val="nl-NL"/>
        </w:rPr>
        <w:t xml:space="preserve"> haaien, bruinvissen en zeevogels) worden</w:t>
      </w:r>
      <w:r w:rsidR="002954CD">
        <w:rPr>
          <w:rFonts w:cs="Verdana"/>
          <w:color w:val="000000"/>
          <w:szCs w:val="18"/>
          <w:lang w:val="nl-NL"/>
        </w:rPr>
        <w:t xml:space="preserve"> </w:t>
      </w:r>
      <w:r w:rsidRPr="00F56B60">
        <w:rPr>
          <w:rFonts w:cs="Verdana"/>
          <w:color w:val="000000"/>
          <w:szCs w:val="18"/>
          <w:lang w:val="nl-NL"/>
        </w:rPr>
        <w:t xml:space="preserve">uitgevoerd. </w:t>
      </w:r>
      <w:r w:rsidR="000E386F">
        <w:rPr>
          <w:rFonts w:cs="Verdana"/>
          <w:color w:val="000000"/>
          <w:szCs w:val="18"/>
          <w:lang w:val="nl-NL"/>
        </w:rPr>
        <w:t>De v</w:t>
      </w:r>
      <w:r w:rsidRPr="00F56B60">
        <w:rPr>
          <w:rFonts w:cs="Verdana"/>
          <w:color w:val="000000"/>
          <w:szCs w:val="18"/>
          <w:lang w:val="nl-NL"/>
        </w:rPr>
        <w:t xml:space="preserve">oortgang van de implementatie van de plannen wordt tweejaarlijks geëvalueerd. </w:t>
      </w:r>
    </w:p>
    <w:p w:rsidRPr="00F56B60" w:rsidR="0070550F" w:rsidP="00746E9B" w:rsidRDefault="000E386F" w14:paraId="0B44CF8C" w14:textId="77777777">
      <w:pPr>
        <w:pStyle w:val="ListParagraph"/>
        <w:numPr>
          <w:ilvl w:val="0"/>
          <w:numId w:val="20"/>
        </w:numPr>
        <w:autoSpaceDE w:val="0"/>
        <w:autoSpaceDN w:val="0"/>
        <w:adjustRightInd w:val="0"/>
        <w:spacing w:after="35" w:line="240" w:lineRule="auto"/>
        <w:rPr>
          <w:rFonts w:cs="Verdana"/>
          <w:color w:val="000000"/>
          <w:szCs w:val="18"/>
          <w:lang w:val="nl-NL"/>
        </w:rPr>
      </w:pPr>
      <w:r>
        <w:rPr>
          <w:rFonts w:cs="Verdana"/>
          <w:color w:val="000000"/>
          <w:szCs w:val="18"/>
          <w:lang w:val="nl-NL"/>
        </w:rPr>
        <w:t>V</w:t>
      </w:r>
      <w:r w:rsidRPr="00F56B60" w:rsidR="0070550F">
        <w:rPr>
          <w:rFonts w:cs="Verdana"/>
          <w:color w:val="000000"/>
          <w:szCs w:val="18"/>
          <w:lang w:val="nl-NL"/>
        </w:rPr>
        <w:t>oor kwetsbare soorten</w:t>
      </w:r>
      <w:r>
        <w:rPr>
          <w:rFonts w:cs="Verdana"/>
          <w:color w:val="000000"/>
          <w:szCs w:val="18"/>
          <w:lang w:val="nl-NL"/>
        </w:rPr>
        <w:t>,</w:t>
      </w:r>
      <w:r w:rsidRPr="00F56B60" w:rsidR="0070550F">
        <w:rPr>
          <w:rFonts w:cs="Verdana"/>
          <w:color w:val="000000"/>
          <w:szCs w:val="18"/>
          <w:lang w:val="nl-NL"/>
        </w:rPr>
        <w:t xml:space="preserve"> waaronder vogels, zeezoogdieren, vissen en bodemdieren die worden geïdentificeerd op basis van internationale richtlijnen en het </w:t>
      </w:r>
      <w:r w:rsidR="007874D2">
        <w:rPr>
          <w:rFonts w:cs="Verdana"/>
          <w:color w:val="000000"/>
          <w:szCs w:val="18"/>
          <w:lang w:val="nl-NL"/>
        </w:rPr>
        <w:t>Kader Ecologie en Cumulatie (</w:t>
      </w:r>
      <w:r w:rsidRPr="00F56B60" w:rsidR="0070550F">
        <w:rPr>
          <w:rFonts w:cs="Verdana"/>
          <w:color w:val="000000"/>
          <w:szCs w:val="18"/>
          <w:lang w:val="nl-NL"/>
        </w:rPr>
        <w:t>KEC</w:t>
      </w:r>
      <w:r w:rsidR="007874D2">
        <w:rPr>
          <w:rFonts w:cs="Verdana"/>
          <w:color w:val="000000"/>
          <w:szCs w:val="18"/>
          <w:lang w:val="nl-NL"/>
        </w:rPr>
        <w:t>)</w:t>
      </w:r>
      <w:r>
        <w:rPr>
          <w:rFonts w:cs="Verdana"/>
          <w:color w:val="000000"/>
          <w:szCs w:val="18"/>
          <w:lang w:val="nl-NL"/>
        </w:rPr>
        <w:t>, worden soortenbeschermingsplannen ontwikkeld en uitgevoerd.</w:t>
      </w:r>
      <w:r w:rsidRPr="00F56B60" w:rsidR="0070550F">
        <w:rPr>
          <w:rFonts w:cs="Verdana"/>
          <w:color w:val="000000"/>
          <w:szCs w:val="18"/>
          <w:lang w:val="nl-NL"/>
        </w:rPr>
        <w:t xml:space="preserve"> </w:t>
      </w:r>
      <w:r w:rsidR="007874D2">
        <w:rPr>
          <w:rFonts w:cs="Verdana"/>
          <w:color w:val="000000"/>
          <w:szCs w:val="18"/>
          <w:lang w:val="nl-NL"/>
        </w:rPr>
        <w:t xml:space="preserve">Prioriteit krijgt de opstelling </w:t>
      </w:r>
      <w:r w:rsidRPr="007874D2" w:rsidR="007874D2">
        <w:rPr>
          <w:rFonts w:cs="Verdana"/>
          <w:color w:val="000000"/>
          <w:szCs w:val="18"/>
          <w:lang w:val="nl-NL"/>
        </w:rPr>
        <w:t xml:space="preserve">(periode 2019-2022) </w:t>
      </w:r>
      <w:r w:rsidR="007874D2">
        <w:rPr>
          <w:rFonts w:cs="Verdana"/>
          <w:color w:val="000000"/>
          <w:szCs w:val="18"/>
          <w:lang w:val="nl-NL"/>
        </w:rPr>
        <w:t xml:space="preserve">en uitvoering </w:t>
      </w:r>
      <w:r w:rsidRPr="007874D2" w:rsidR="007874D2">
        <w:rPr>
          <w:rFonts w:cs="Verdana"/>
          <w:color w:val="000000"/>
          <w:szCs w:val="18"/>
          <w:lang w:val="nl-NL"/>
        </w:rPr>
        <w:t>(periode 2023-2030)</w:t>
      </w:r>
      <w:r w:rsidR="007874D2">
        <w:rPr>
          <w:rFonts w:cs="Verdana"/>
          <w:color w:val="000000"/>
          <w:szCs w:val="18"/>
          <w:lang w:val="nl-NL"/>
        </w:rPr>
        <w:t xml:space="preserve"> van plannen v</w:t>
      </w:r>
      <w:r w:rsidRPr="00F56B60" w:rsidR="0070550F">
        <w:rPr>
          <w:rFonts w:cs="Verdana"/>
          <w:color w:val="000000"/>
          <w:szCs w:val="18"/>
          <w:lang w:val="nl-NL"/>
        </w:rPr>
        <w:t xml:space="preserve">oor soorten die in het KEC </w:t>
      </w:r>
      <w:r w:rsidR="007874D2">
        <w:rPr>
          <w:rFonts w:cs="Verdana"/>
          <w:color w:val="000000"/>
          <w:szCs w:val="18"/>
          <w:lang w:val="nl-NL"/>
        </w:rPr>
        <w:t xml:space="preserve">al </w:t>
      </w:r>
      <w:r w:rsidRPr="00F56B60" w:rsidR="0070550F">
        <w:rPr>
          <w:rFonts w:cs="Verdana"/>
          <w:color w:val="000000"/>
          <w:szCs w:val="18"/>
          <w:lang w:val="nl-NL"/>
        </w:rPr>
        <w:t xml:space="preserve">zijn geïdentificeerd als kwetsbaar voor </w:t>
      </w:r>
      <w:r w:rsidR="00EC5D8F">
        <w:rPr>
          <w:rFonts w:cs="Verdana"/>
          <w:color w:val="000000"/>
          <w:szCs w:val="18"/>
          <w:lang w:val="nl-NL"/>
        </w:rPr>
        <w:t xml:space="preserve">effecten van </w:t>
      </w:r>
      <w:r w:rsidRPr="00F56B60" w:rsidR="0070550F">
        <w:rPr>
          <w:rFonts w:cs="Verdana"/>
          <w:color w:val="000000"/>
          <w:szCs w:val="18"/>
          <w:lang w:val="nl-NL"/>
        </w:rPr>
        <w:t>windparken op zee</w:t>
      </w:r>
      <w:r w:rsidR="007874D2">
        <w:rPr>
          <w:rFonts w:cs="Verdana"/>
          <w:color w:val="000000"/>
          <w:szCs w:val="18"/>
          <w:lang w:val="nl-NL"/>
        </w:rPr>
        <w:t>.</w:t>
      </w:r>
      <w:r w:rsidRPr="00F56B60" w:rsidR="0070550F">
        <w:rPr>
          <w:rFonts w:cs="Verdana"/>
          <w:color w:val="000000"/>
          <w:szCs w:val="18"/>
          <w:lang w:val="nl-NL"/>
        </w:rPr>
        <w:t xml:space="preserve"> Uiterlijk binnen twee jaar na het sluiten van </w:t>
      </w:r>
      <w:r w:rsidR="0070550F">
        <w:rPr>
          <w:rFonts w:cs="Verdana"/>
          <w:color w:val="000000"/>
          <w:szCs w:val="18"/>
          <w:lang w:val="nl-NL"/>
        </w:rPr>
        <w:t>het NZA</w:t>
      </w:r>
      <w:r w:rsidRPr="00F56B60" w:rsidR="0070550F">
        <w:rPr>
          <w:rFonts w:cs="Verdana"/>
          <w:color w:val="000000"/>
          <w:szCs w:val="18"/>
          <w:lang w:val="nl-NL"/>
        </w:rPr>
        <w:t xml:space="preserve"> wordt een lijst vastgesteld met </w:t>
      </w:r>
      <w:r w:rsidR="007874D2">
        <w:rPr>
          <w:rFonts w:cs="Verdana"/>
          <w:color w:val="000000"/>
          <w:szCs w:val="18"/>
          <w:lang w:val="nl-NL"/>
        </w:rPr>
        <w:t>overige</w:t>
      </w:r>
      <w:r w:rsidRPr="00F56B60" w:rsidR="007874D2">
        <w:rPr>
          <w:rFonts w:cs="Verdana"/>
          <w:color w:val="000000"/>
          <w:szCs w:val="18"/>
          <w:lang w:val="nl-NL"/>
        </w:rPr>
        <w:t xml:space="preserve"> </w:t>
      </w:r>
      <w:r w:rsidRPr="00F56B60" w:rsidR="0070550F">
        <w:rPr>
          <w:rFonts w:cs="Verdana"/>
          <w:color w:val="000000"/>
          <w:szCs w:val="18"/>
          <w:lang w:val="nl-NL"/>
        </w:rPr>
        <w:t xml:space="preserve">soorten waarvoor beschermingsplannen worden opgesteld en uitgevoerd, inclusief de tijdlijn </w:t>
      </w:r>
      <w:r w:rsidR="007874D2">
        <w:rPr>
          <w:rFonts w:cs="Verdana"/>
          <w:color w:val="000000"/>
          <w:szCs w:val="18"/>
          <w:lang w:val="nl-NL"/>
        </w:rPr>
        <w:t xml:space="preserve">van </w:t>
      </w:r>
      <w:r w:rsidRPr="00F56B60" w:rsidR="0070550F">
        <w:rPr>
          <w:rFonts w:cs="Verdana"/>
          <w:color w:val="000000"/>
          <w:szCs w:val="18"/>
          <w:lang w:val="nl-NL"/>
        </w:rPr>
        <w:t xml:space="preserve">de planvorming. </w:t>
      </w:r>
    </w:p>
    <w:p w:rsidR="0070550F" w:rsidP="00746E9B" w:rsidRDefault="0070550F" w14:paraId="138828A8" w14:textId="77777777">
      <w:pPr>
        <w:pStyle w:val="ListParagraph"/>
        <w:numPr>
          <w:ilvl w:val="0"/>
          <w:numId w:val="20"/>
        </w:numPr>
        <w:autoSpaceDE w:val="0"/>
        <w:autoSpaceDN w:val="0"/>
        <w:adjustRightInd w:val="0"/>
        <w:spacing w:after="35" w:line="240" w:lineRule="auto"/>
        <w:rPr>
          <w:rFonts w:cs="Verdana"/>
          <w:color w:val="000000"/>
          <w:szCs w:val="18"/>
          <w:lang w:val="nl-NL"/>
        </w:rPr>
      </w:pPr>
      <w:r w:rsidRPr="00F56B60">
        <w:rPr>
          <w:rFonts w:cs="Verdana"/>
          <w:color w:val="000000"/>
          <w:szCs w:val="18"/>
          <w:lang w:val="nl-NL"/>
        </w:rPr>
        <w:t>Soortenbeschermingsplannen zullen drukfactoren en generieke beschermingsmaatregelen</w:t>
      </w:r>
      <w:r w:rsidR="00EC5D8F">
        <w:rPr>
          <w:rFonts w:cs="Verdana"/>
          <w:color w:val="000000"/>
          <w:szCs w:val="18"/>
          <w:lang w:val="nl-NL"/>
        </w:rPr>
        <w:t xml:space="preserve"> beschrijven</w:t>
      </w:r>
      <w:r w:rsidR="007874D2">
        <w:rPr>
          <w:rFonts w:cs="Verdana"/>
          <w:color w:val="000000"/>
          <w:szCs w:val="18"/>
          <w:lang w:val="nl-NL"/>
        </w:rPr>
        <w:t xml:space="preserve">. Denk aan </w:t>
      </w:r>
      <w:r w:rsidRPr="00F56B60">
        <w:rPr>
          <w:rFonts w:cs="Verdana"/>
          <w:color w:val="000000"/>
          <w:szCs w:val="18"/>
          <w:lang w:val="nl-NL"/>
        </w:rPr>
        <w:t xml:space="preserve">maatregelen gericht op voortplanting, </w:t>
      </w:r>
      <w:r w:rsidR="007874D2">
        <w:rPr>
          <w:rFonts w:cs="Verdana"/>
          <w:color w:val="000000"/>
          <w:szCs w:val="18"/>
          <w:lang w:val="nl-NL"/>
        </w:rPr>
        <w:t xml:space="preserve">de beschikbaarheid van </w:t>
      </w:r>
      <w:r w:rsidRPr="00F56B60">
        <w:rPr>
          <w:rFonts w:cs="Verdana"/>
          <w:color w:val="000000"/>
          <w:szCs w:val="18"/>
          <w:lang w:val="nl-NL"/>
        </w:rPr>
        <w:t>voedsel</w:t>
      </w:r>
      <w:r w:rsidR="007874D2">
        <w:rPr>
          <w:rFonts w:cs="Verdana"/>
          <w:color w:val="000000"/>
          <w:szCs w:val="18"/>
          <w:lang w:val="nl-NL"/>
        </w:rPr>
        <w:t>,</w:t>
      </w:r>
      <w:r w:rsidRPr="00F56B60">
        <w:rPr>
          <w:rFonts w:cs="Verdana"/>
          <w:color w:val="000000"/>
          <w:szCs w:val="18"/>
          <w:lang w:val="nl-NL"/>
        </w:rPr>
        <w:t xml:space="preserve"> veiligheid en het aanpakken van bestaande bedreigingen. Deze </w:t>
      </w:r>
      <w:r w:rsidR="00EC5D8F">
        <w:rPr>
          <w:rFonts w:cs="Verdana"/>
          <w:color w:val="000000"/>
          <w:szCs w:val="18"/>
          <w:lang w:val="nl-NL"/>
        </w:rPr>
        <w:t xml:space="preserve">maatregelen </w:t>
      </w:r>
      <w:r w:rsidRPr="00F56B60">
        <w:rPr>
          <w:rFonts w:cs="Verdana"/>
          <w:color w:val="000000"/>
          <w:szCs w:val="18"/>
          <w:lang w:val="nl-NL"/>
        </w:rPr>
        <w:t xml:space="preserve">moeten </w:t>
      </w:r>
      <w:r w:rsidRPr="00F56B60" w:rsidR="00EC5D8F">
        <w:rPr>
          <w:rFonts w:cs="Verdana"/>
          <w:color w:val="000000"/>
          <w:szCs w:val="18"/>
          <w:lang w:val="nl-NL"/>
        </w:rPr>
        <w:t xml:space="preserve">bij ontwikkelingen op de Noordzee </w:t>
      </w:r>
      <w:r w:rsidRPr="00F56B60">
        <w:rPr>
          <w:rFonts w:cs="Verdana"/>
          <w:color w:val="000000"/>
          <w:szCs w:val="18"/>
          <w:lang w:val="nl-NL"/>
        </w:rPr>
        <w:t>in acht worden genomen en gemonitord.</w:t>
      </w:r>
    </w:p>
    <w:p w:rsidRPr="00143EED" w:rsidR="000E386F" w:rsidP="00746E9B" w:rsidRDefault="0070550F" w14:paraId="444BA8BB" w14:textId="084168ED">
      <w:pPr>
        <w:pStyle w:val="ListParagraph"/>
        <w:numPr>
          <w:ilvl w:val="0"/>
          <w:numId w:val="20"/>
        </w:numPr>
        <w:autoSpaceDE w:val="0"/>
        <w:autoSpaceDN w:val="0"/>
        <w:adjustRightInd w:val="0"/>
        <w:spacing w:after="35" w:line="240" w:lineRule="auto"/>
        <w:rPr>
          <w:lang w:val="nl-NL" w:eastAsia="nl-NL"/>
        </w:rPr>
      </w:pPr>
      <w:r w:rsidRPr="006A09AD">
        <w:rPr>
          <w:rFonts w:cs="Verdana"/>
          <w:color w:val="000000"/>
          <w:szCs w:val="18"/>
          <w:lang w:val="nl-NL"/>
        </w:rPr>
        <w:t xml:space="preserve">De </w:t>
      </w:r>
      <w:r w:rsidRPr="007874D2" w:rsidR="007874D2">
        <w:rPr>
          <w:rFonts w:cs="Verdana"/>
          <w:color w:val="000000"/>
          <w:szCs w:val="18"/>
          <w:lang w:val="nl-NL"/>
        </w:rPr>
        <w:t>Rijksoverheid (</w:t>
      </w:r>
      <w:r w:rsidR="007874D2">
        <w:rPr>
          <w:rFonts w:cs="Verdana"/>
          <w:color w:val="000000"/>
          <w:szCs w:val="18"/>
          <w:lang w:val="nl-NL"/>
        </w:rPr>
        <w:t>m</w:t>
      </w:r>
      <w:r w:rsidRPr="007874D2" w:rsidR="007874D2">
        <w:rPr>
          <w:rFonts w:cs="Verdana"/>
          <w:color w:val="000000"/>
          <w:szCs w:val="18"/>
          <w:lang w:val="nl-NL"/>
        </w:rPr>
        <w:t>inisterie van LNV)</w:t>
      </w:r>
      <w:r w:rsidR="007874D2">
        <w:rPr>
          <w:rFonts w:cs="Verdana"/>
          <w:color w:val="000000"/>
          <w:szCs w:val="18"/>
          <w:lang w:val="nl-NL"/>
        </w:rPr>
        <w:t xml:space="preserve"> stelt de </w:t>
      </w:r>
      <w:r w:rsidRPr="006A09AD">
        <w:rPr>
          <w:rFonts w:cs="Verdana"/>
          <w:color w:val="000000"/>
          <w:szCs w:val="18"/>
          <w:lang w:val="nl-NL"/>
        </w:rPr>
        <w:t xml:space="preserve">soortenbeschermingsplannen </w:t>
      </w:r>
      <w:r w:rsidR="007874D2">
        <w:rPr>
          <w:rFonts w:cs="Verdana"/>
          <w:color w:val="000000"/>
          <w:szCs w:val="18"/>
          <w:lang w:val="nl-NL"/>
        </w:rPr>
        <w:t>op</w:t>
      </w:r>
      <w:r w:rsidRPr="006A09AD">
        <w:rPr>
          <w:rFonts w:cs="Verdana"/>
          <w:color w:val="000000"/>
          <w:szCs w:val="18"/>
          <w:lang w:val="nl-NL"/>
        </w:rPr>
        <w:t xml:space="preserve"> in samenwerking met relevante maatschappelijke organisaties en wetenschappelijke instellingen</w:t>
      </w:r>
      <w:r w:rsidR="007874D2">
        <w:rPr>
          <w:rFonts w:cs="Verdana"/>
          <w:color w:val="000000"/>
          <w:szCs w:val="18"/>
          <w:lang w:val="nl-NL"/>
        </w:rPr>
        <w:t>. D</w:t>
      </w:r>
      <w:r w:rsidRPr="006A09AD">
        <w:rPr>
          <w:rFonts w:cs="Verdana"/>
          <w:color w:val="000000"/>
          <w:szCs w:val="18"/>
          <w:lang w:val="nl-NL"/>
        </w:rPr>
        <w:t>e implementatie van de plannen wordt tweejaarlijks</w:t>
      </w:r>
      <w:r w:rsidR="007874D2">
        <w:rPr>
          <w:rFonts w:cs="Verdana"/>
          <w:color w:val="000000"/>
          <w:szCs w:val="18"/>
          <w:lang w:val="nl-NL"/>
        </w:rPr>
        <w:t xml:space="preserve"> geëvalueerd.</w:t>
      </w:r>
    </w:p>
    <w:p w:rsidRPr="00143EED" w:rsidR="00E61F0D" w:rsidP="00746E9B" w:rsidRDefault="00E61F0D" w14:paraId="5062F8AE" w14:textId="5A3D2CCC">
      <w:pPr>
        <w:pStyle w:val="ListParagraph"/>
        <w:numPr>
          <w:ilvl w:val="0"/>
          <w:numId w:val="20"/>
        </w:numPr>
        <w:autoSpaceDE w:val="0"/>
        <w:autoSpaceDN w:val="0"/>
        <w:adjustRightInd w:val="0"/>
        <w:spacing w:after="35" w:line="240" w:lineRule="auto"/>
        <w:rPr>
          <w:lang w:val="nl-NL" w:eastAsia="nl-NL"/>
        </w:rPr>
      </w:pPr>
      <w:r w:rsidRPr="00143EED">
        <w:rPr>
          <w:color w:val="000000"/>
          <w:szCs w:val="18"/>
          <w:lang w:val="nl-NL" w:eastAsia="nl-NL"/>
        </w:rPr>
        <w:t xml:space="preserve">Er </w:t>
      </w:r>
      <w:r w:rsidR="00644AC5">
        <w:rPr>
          <w:color w:val="000000"/>
          <w:szCs w:val="18"/>
          <w:lang w:val="nl-NL" w:eastAsia="nl-NL"/>
        </w:rPr>
        <w:t>wordt</w:t>
      </w:r>
      <w:r w:rsidRPr="00143EED">
        <w:rPr>
          <w:color w:val="000000"/>
          <w:szCs w:val="18"/>
          <w:lang w:val="nl-NL" w:eastAsia="nl-NL"/>
        </w:rPr>
        <w:t xml:space="preserve"> een plan van aanpak uitgewerkt voor de afspraken voor soortenbeschermingsplannen en habitatversterking</w:t>
      </w:r>
      <w:r w:rsidR="00B155AC">
        <w:rPr>
          <w:color w:val="000000"/>
          <w:szCs w:val="18"/>
          <w:lang w:val="nl-NL" w:eastAsia="nl-NL"/>
        </w:rPr>
        <w:t>,</w:t>
      </w:r>
      <w:r w:rsidRPr="00143EED">
        <w:rPr>
          <w:color w:val="000000"/>
          <w:szCs w:val="18"/>
          <w:lang w:val="nl-NL" w:eastAsia="nl-NL"/>
        </w:rPr>
        <w:t xml:space="preserve"> inclusief een tijdspad voor uitvoer, evaluatie en herziening van deze plannen.</w:t>
      </w:r>
    </w:p>
    <w:p w:rsidRPr="00CC7C16" w:rsidR="00BB3037" w:rsidP="00CC7C16" w:rsidRDefault="00CC7C16" w14:paraId="1C71EBF6" w14:textId="3B839158">
      <w:pPr>
        <w:pStyle w:val="ListParagraph"/>
        <w:numPr>
          <w:ilvl w:val="0"/>
          <w:numId w:val="20"/>
        </w:numPr>
        <w:autoSpaceDE w:val="0"/>
        <w:autoSpaceDN w:val="0"/>
        <w:adjustRightInd w:val="0"/>
        <w:spacing w:after="35" w:line="240" w:lineRule="auto"/>
        <w:rPr>
          <w:lang w:val="nl-NL" w:eastAsia="nl-NL"/>
        </w:rPr>
      </w:pPr>
      <w:r w:rsidRPr="00BB3037">
        <w:rPr>
          <w:lang w:val="nl-NL" w:eastAsia="nl-NL"/>
        </w:rPr>
        <w:t xml:space="preserve">Er </w:t>
      </w:r>
      <w:r w:rsidRPr="00BB3037" w:rsidR="00C6790D">
        <w:rPr>
          <w:lang w:val="nl-NL" w:eastAsia="nl-NL"/>
        </w:rPr>
        <w:t xml:space="preserve">wordt </w:t>
      </w:r>
      <w:r w:rsidRPr="00BB3037">
        <w:rPr>
          <w:lang w:val="nl-NL" w:eastAsia="nl-NL"/>
        </w:rPr>
        <w:t>vanaf 2020 onafhankelijk wetenschappelijk onderzoek uitgevoerd naar de aanwezigheid en verspreiding van zandkokerwormriffen. Als dat onderzoek tot toepasbare conclusies leidt, kunnen relevante locaties beschermd worden via ruimtelijke beschermingsmaatregelen onder deHabitatrichtlijn of de Kaderrichtlijn Mariene Strategie.</w:t>
      </w:r>
    </w:p>
    <w:p w:rsidR="008633B6" w:rsidP="000E386F" w:rsidRDefault="008633B6" w14:paraId="685F52E3" w14:textId="77777777">
      <w:pPr>
        <w:autoSpaceDE w:val="0"/>
        <w:autoSpaceDN w:val="0"/>
        <w:adjustRightInd w:val="0"/>
        <w:spacing w:after="35" w:line="240" w:lineRule="auto"/>
        <w:rPr>
          <w:lang w:val="nl-NL" w:eastAsia="nl-NL"/>
        </w:rPr>
      </w:pPr>
    </w:p>
    <w:p w:rsidRPr="00847BB1" w:rsidR="00AC626B" w:rsidP="00847BB1" w:rsidRDefault="00AC626B" w14:paraId="45D5EB5D" w14:textId="004BDCAB">
      <w:pPr>
        <w:autoSpaceDE w:val="0"/>
        <w:autoSpaceDN w:val="0"/>
        <w:adjustRightInd w:val="0"/>
        <w:spacing w:after="35" w:line="240" w:lineRule="auto"/>
        <w:rPr>
          <w:rFonts w:eastAsiaTheme="majorEastAsia" w:cstheme="majorBidi"/>
          <w:i/>
          <w:iCs/>
          <w:color w:val="5B9BD5" w:themeColor="accent1"/>
          <w:szCs w:val="20"/>
          <w:lang w:val="nl-NL" w:eastAsia="nl-NL"/>
        </w:rPr>
      </w:pPr>
      <w:r>
        <w:rPr>
          <w:rStyle w:val="IntenseEmphasis"/>
          <w:rFonts w:eastAsiaTheme="majorEastAsia" w:cstheme="majorBidi"/>
          <w:szCs w:val="20"/>
          <w:lang w:val="nl-NL" w:eastAsia="nl-NL"/>
        </w:rPr>
        <w:t>Integrale natuurversterking</w:t>
      </w:r>
    </w:p>
    <w:p w:rsidR="008D5B7A" w:rsidP="008D5B7A" w:rsidRDefault="00AC626B" w14:paraId="327A12C4" w14:textId="0622BCD3">
      <w:pPr>
        <w:autoSpaceDE w:val="0"/>
        <w:autoSpaceDN w:val="0"/>
        <w:adjustRightInd w:val="0"/>
        <w:spacing w:after="35" w:line="240" w:lineRule="auto"/>
        <w:rPr>
          <w:lang w:val="nl-NL"/>
        </w:rPr>
      </w:pPr>
      <w:r w:rsidRPr="00847BB1">
        <w:rPr>
          <w:lang w:val="nl-NL"/>
        </w:rPr>
        <w:t xml:space="preserve">Bij het ontwikkelen van activiteiten </w:t>
      </w:r>
      <w:r w:rsidR="00BF244D">
        <w:rPr>
          <w:lang w:val="nl-NL"/>
        </w:rPr>
        <w:t xml:space="preserve">op zee </w:t>
      </w:r>
      <w:r w:rsidRPr="00847BB1">
        <w:rPr>
          <w:lang w:val="nl-NL"/>
        </w:rPr>
        <w:t xml:space="preserve">kunnen – in aanvulling op de wettelijk verplichte mitigatiemaatregelen – zo vroeg mogelijk in de ontwerpfase en planprocessen voorschriften, maatregelen en acties worden benoemd, die bijdragen aan de versterking en het herstel van het ecosysteem. </w:t>
      </w:r>
      <w:r w:rsidR="00BF244D">
        <w:rPr>
          <w:lang w:val="nl-NL"/>
        </w:rPr>
        <w:t xml:space="preserve">Zo hebben bijvoorbeeld </w:t>
      </w:r>
      <w:r w:rsidRPr="004A7E18" w:rsidR="00BF244D">
        <w:rPr>
          <w:lang w:val="nl-NL"/>
        </w:rPr>
        <w:t xml:space="preserve">windparken de potentie om bij te dragen aan natuurversterking. </w:t>
      </w:r>
      <w:r w:rsidRPr="004A7E18" w:rsidR="00A27C82">
        <w:rPr>
          <w:lang w:val="nl-NL"/>
        </w:rPr>
        <w:t>Acties met betrekking tot natuur</w:t>
      </w:r>
      <w:r w:rsidRPr="004A7E18" w:rsidR="00BF244D">
        <w:rPr>
          <w:lang w:val="nl-NL"/>
        </w:rPr>
        <w:t>versterking</w:t>
      </w:r>
      <w:r w:rsidRPr="004A7E18" w:rsidR="004A7E18">
        <w:rPr>
          <w:lang w:val="nl-NL"/>
        </w:rPr>
        <w:t xml:space="preserve"> of natuurherstel</w:t>
      </w:r>
      <w:r w:rsidRPr="004A7E18" w:rsidR="00BF244D">
        <w:rPr>
          <w:lang w:val="nl-NL"/>
        </w:rPr>
        <w:t xml:space="preserve"> binnen een windenergiegebied </w:t>
      </w:r>
      <w:r w:rsidRPr="004A7E18" w:rsidR="00A27C82">
        <w:rPr>
          <w:lang w:val="nl-NL"/>
        </w:rPr>
        <w:t xml:space="preserve">worden vastgelegd in </w:t>
      </w:r>
      <w:r w:rsidRPr="004A7E18" w:rsidR="00BF244D">
        <w:rPr>
          <w:lang w:val="nl-NL"/>
        </w:rPr>
        <w:t xml:space="preserve">het </w:t>
      </w:r>
      <w:r w:rsidRPr="004A7E18" w:rsidR="00A27C82">
        <w:rPr>
          <w:lang w:val="nl-NL"/>
        </w:rPr>
        <w:t>gebiedspaspoort</w:t>
      </w:r>
      <w:r w:rsidRPr="004A7E18" w:rsidR="00BF244D">
        <w:rPr>
          <w:lang w:val="nl-NL"/>
        </w:rPr>
        <w:t>.</w:t>
      </w:r>
      <w:r w:rsidR="00A27C82">
        <w:rPr>
          <w:lang w:val="nl-NL"/>
        </w:rPr>
        <w:t xml:space="preserve"> </w:t>
      </w:r>
    </w:p>
    <w:p w:rsidR="00AC626B" w:rsidP="008D5B7A" w:rsidRDefault="008D5B7A" w14:paraId="69CB0E72" w14:textId="19E91CC0">
      <w:pPr>
        <w:autoSpaceDE w:val="0"/>
        <w:autoSpaceDN w:val="0"/>
        <w:adjustRightInd w:val="0"/>
        <w:spacing w:after="35" w:line="240" w:lineRule="auto"/>
        <w:rPr>
          <w:lang w:val="nl-NL"/>
        </w:rPr>
      </w:pPr>
      <w:r>
        <w:rPr>
          <w:lang w:val="nl-NL"/>
        </w:rPr>
        <w:t xml:space="preserve">Vanwege het ontbreken van concrete natuurversterkingsmaatregelen, zal onderzocht worden welke aanvullende maatregelen een bijdrage kunnen leveren aan natuurherstel aanvullend op gebiedsbescherming. </w:t>
      </w:r>
    </w:p>
    <w:p w:rsidR="000E17D6" w:rsidP="000E386F" w:rsidRDefault="000E17D6" w14:paraId="39306577" w14:textId="77777777">
      <w:pPr>
        <w:autoSpaceDE w:val="0"/>
        <w:autoSpaceDN w:val="0"/>
        <w:adjustRightInd w:val="0"/>
        <w:spacing w:after="35" w:line="240" w:lineRule="auto"/>
        <w:rPr>
          <w:lang w:val="nl-NL" w:eastAsia="nl-NL"/>
        </w:rPr>
      </w:pPr>
    </w:p>
    <w:p w:rsidR="00BF026A" w:rsidP="008633B6" w:rsidRDefault="00BF026A" w14:paraId="28560FA7" w14:textId="77777777">
      <w:pPr>
        <w:autoSpaceDE w:val="0"/>
        <w:autoSpaceDN w:val="0"/>
        <w:adjustRightInd w:val="0"/>
        <w:spacing w:after="35" w:line="240" w:lineRule="auto"/>
        <w:rPr>
          <w:rStyle w:val="IntenseEmphasis"/>
          <w:rFonts w:eastAsiaTheme="majorEastAsia" w:cstheme="majorBidi"/>
          <w:szCs w:val="20"/>
          <w:lang w:val="nl-NL" w:eastAsia="nl-NL"/>
        </w:rPr>
      </w:pPr>
      <w:r w:rsidRPr="00BF026A">
        <w:rPr>
          <w:rStyle w:val="IntenseEmphasis"/>
          <w:rFonts w:eastAsiaTheme="majorEastAsia" w:cstheme="majorBidi"/>
          <w:szCs w:val="20"/>
          <w:lang w:val="nl-NL" w:eastAsia="nl-NL"/>
        </w:rPr>
        <w:t>Zeezoogdieren</w:t>
      </w:r>
    </w:p>
    <w:p w:rsidRPr="008633B6" w:rsidR="008633B6" w:rsidP="008633B6" w:rsidRDefault="008633B6" w14:paraId="390AAB1D" w14:textId="77777777">
      <w:pPr>
        <w:autoSpaceDE w:val="0"/>
        <w:autoSpaceDN w:val="0"/>
        <w:adjustRightInd w:val="0"/>
        <w:spacing w:after="35" w:line="240" w:lineRule="auto"/>
        <w:rPr>
          <w:lang w:val="nl-NL" w:eastAsia="nl-NL"/>
        </w:rPr>
      </w:pPr>
      <w:r>
        <w:rPr>
          <w:lang w:val="nl-NL" w:eastAsia="nl-NL"/>
        </w:rPr>
        <w:t xml:space="preserve">In 2020 is het Bruinvisbeschermingsplan </w:t>
      </w:r>
      <w:r w:rsidR="00D03B35">
        <w:rPr>
          <w:lang w:val="nl-NL" w:eastAsia="nl-NL"/>
        </w:rPr>
        <w:t>geactualiseerd</w:t>
      </w:r>
      <w:r w:rsidR="00817B68">
        <w:rPr>
          <w:lang w:val="nl-NL" w:eastAsia="nl-NL"/>
        </w:rPr>
        <w:t xml:space="preserve"> [17]</w:t>
      </w:r>
      <w:r>
        <w:rPr>
          <w:lang w:val="nl-NL" w:eastAsia="nl-NL"/>
        </w:rPr>
        <w:t xml:space="preserve">. Dit plan heeft als doel </w:t>
      </w:r>
      <w:r w:rsidRPr="008633B6">
        <w:rPr>
          <w:lang w:val="nl-NL" w:eastAsia="nl-NL"/>
        </w:rPr>
        <w:t xml:space="preserve">bij te dragen aan de gunstige staat van instandhouding van de bruinvis. </w:t>
      </w:r>
      <w:r>
        <w:rPr>
          <w:lang w:val="nl-NL" w:eastAsia="nl-NL"/>
        </w:rPr>
        <w:t xml:space="preserve">Acties opgenomen in dit plan worden in deze planperiode uitgevoerd. De voornaamste acties zijn: </w:t>
      </w:r>
    </w:p>
    <w:p w:rsidRPr="008633B6" w:rsidR="008633B6" w:rsidP="008633B6" w:rsidRDefault="00D03B35" w14:paraId="26CBED06" w14:textId="7CF78EDD">
      <w:pPr>
        <w:pStyle w:val="ListParagraph"/>
        <w:numPr>
          <w:ilvl w:val="0"/>
          <w:numId w:val="20"/>
        </w:numPr>
        <w:autoSpaceDE w:val="0"/>
        <w:autoSpaceDN w:val="0"/>
        <w:adjustRightInd w:val="0"/>
        <w:spacing w:after="35" w:line="240" w:lineRule="auto"/>
        <w:rPr>
          <w:rFonts w:cs="Verdana"/>
          <w:color w:val="000000"/>
          <w:szCs w:val="18"/>
          <w:lang w:val="nl-NL"/>
        </w:rPr>
      </w:pPr>
      <w:r>
        <w:rPr>
          <w:rFonts w:cs="Verdana"/>
          <w:color w:val="000000"/>
          <w:szCs w:val="18"/>
          <w:lang w:val="nl-NL"/>
        </w:rPr>
        <w:t>Toepassing van ee</w:t>
      </w:r>
      <w:r w:rsidR="00817B68">
        <w:rPr>
          <w:rFonts w:cs="Verdana"/>
          <w:color w:val="000000"/>
          <w:szCs w:val="18"/>
          <w:lang w:val="nl-NL"/>
        </w:rPr>
        <w:t>n</w:t>
      </w:r>
      <w:r w:rsidRPr="008633B6" w:rsidR="008633B6">
        <w:rPr>
          <w:rFonts w:cs="Verdana"/>
          <w:color w:val="000000"/>
          <w:szCs w:val="18"/>
          <w:lang w:val="nl-NL"/>
        </w:rPr>
        <w:t xml:space="preserve"> geoptimaliseerd ontwerp voor (vliegtuig</w:t>
      </w:r>
      <w:r w:rsidR="00B155AC">
        <w:rPr>
          <w:rFonts w:cs="Verdana"/>
          <w:color w:val="000000"/>
          <w:szCs w:val="18"/>
          <w:lang w:val="nl-NL"/>
        </w:rPr>
        <w:t>-</w:t>
      </w:r>
      <w:r w:rsidRPr="008633B6" w:rsidR="008633B6">
        <w:rPr>
          <w:rFonts w:cs="Verdana"/>
          <w:color w:val="000000"/>
          <w:szCs w:val="18"/>
          <w:lang w:val="nl-NL"/>
        </w:rPr>
        <w:t>)tellingen en het beter gebruik maken van verschillende datastromen, ook van buurlanden.</w:t>
      </w:r>
    </w:p>
    <w:p w:rsidRPr="008633B6" w:rsidR="008633B6" w:rsidP="008633B6" w:rsidRDefault="008633B6" w14:paraId="23023FD3" w14:textId="77777777">
      <w:pPr>
        <w:pStyle w:val="ListParagraph"/>
        <w:numPr>
          <w:ilvl w:val="0"/>
          <w:numId w:val="20"/>
        </w:numPr>
        <w:autoSpaceDE w:val="0"/>
        <w:autoSpaceDN w:val="0"/>
        <w:adjustRightInd w:val="0"/>
        <w:spacing w:after="35" w:line="240" w:lineRule="auto"/>
        <w:rPr>
          <w:rFonts w:cs="Verdana"/>
          <w:color w:val="000000"/>
          <w:szCs w:val="18"/>
          <w:lang w:val="nl-NL"/>
        </w:rPr>
      </w:pPr>
      <w:r w:rsidRPr="008633B6">
        <w:rPr>
          <w:rFonts w:cs="Verdana"/>
          <w:color w:val="000000"/>
          <w:szCs w:val="18"/>
          <w:lang w:val="nl-NL"/>
        </w:rPr>
        <w:t xml:space="preserve">Alternatieve methoden voor het onderzoeken van populatie, ecologie en abundantie, waaronder zenderen en passieve akoestische monitoring (PAM). </w:t>
      </w:r>
    </w:p>
    <w:p w:rsidR="008633B6" w:rsidP="008633B6" w:rsidRDefault="008633B6" w14:paraId="26518750" w14:textId="77777777">
      <w:pPr>
        <w:pStyle w:val="ListParagraph"/>
        <w:numPr>
          <w:ilvl w:val="0"/>
          <w:numId w:val="20"/>
        </w:numPr>
        <w:autoSpaceDE w:val="0"/>
        <w:autoSpaceDN w:val="0"/>
        <w:adjustRightInd w:val="0"/>
        <w:spacing w:after="35" w:line="240" w:lineRule="auto"/>
        <w:rPr>
          <w:rFonts w:cs="Verdana"/>
          <w:color w:val="000000"/>
          <w:szCs w:val="18"/>
          <w:lang w:val="nl-NL"/>
        </w:rPr>
      </w:pPr>
      <w:r w:rsidRPr="008633B6">
        <w:rPr>
          <w:rFonts w:cs="Verdana"/>
          <w:color w:val="000000"/>
          <w:szCs w:val="18"/>
          <w:lang w:val="nl-NL"/>
        </w:rPr>
        <w:t>Verbetering van de registratie van strandingen.</w:t>
      </w:r>
    </w:p>
    <w:p w:rsidRPr="008633B6" w:rsidR="00D03B35" w:rsidP="008633B6" w:rsidRDefault="00D03B35" w14:paraId="4755FEA0" w14:textId="77777777">
      <w:pPr>
        <w:pStyle w:val="ListParagraph"/>
        <w:numPr>
          <w:ilvl w:val="0"/>
          <w:numId w:val="20"/>
        </w:numPr>
        <w:autoSpaceDE w:val="0"/>
        <w:autoSpaceDN w:val="0"/>
        <w:adjustRightInd w:val="0"/>
        <w:spacing w:after="35" w:line="240" w:lineRule="auto"/>
        <w:rPr>
          <w:rFonts w:cs="Verdana"/>
          <w:color w:val="000000"/>
          <w:szCs w:val="18"/>
          <w:lang w:val="nl-NL"/>
        </w:rPr>
      </w:pPr>
      <w:r>
        <w:rPr>
          <w:rFonts w:cs="Verdana"/>
          <w:color w:val="000000"/>
          <w:szCs w:val="18"/>
          <w:lang w:val="nl-NL"/>
        </w:rPr>
        <w:t>Ontwikkeling van een OSPAR-indicator voor contaminanten in bruinvissen.</w:t>
      </w:r>
    </w:p>
    <w:p w:rsidRPr="008633B6" w:rsidR="008633B6" w:rsidP="008633B6" w:rsidRDefault="008633B6" w14:paraId="4A2B3DFF" w14:textId="77777777">
      <w:pPr>
        <w:pStyle w:val="ListParagraph"/>
        <w:numPr>
          <w:ilvl w:val="0"/>
          <w:numId w:val="20"/>
        </w:numPr>
        <w:autoSpaceDE w:val="0"/>
        <w:autoSpaceDN w:val="0"/>
        <w:adjustRightInd w:val="0"/>
        <w:spacing w:after="35" w:line="240" w:lineRule="auto"/>
        <w:rPr>
          <w:rFonts w:cs="Verdana"/>
          <w:color w:val="000000"/>
          <w:szCs w:val="18"/>
          <w:lang w:val="nl-NL"/>
        </w:rPr>
      </w:pPr>
      <w:r w:rsidRPr="008633B6">
        <w:rPr>
          <w:rFonts w:cs="Verdana"/>
          <w:color w:val="000000"/>
          <w:szCs w:val="18"/>
          <w:lang w:val="nl-NL"/>
        </w:rPr>
        <w:t>Cumuleren van andere geluidsbronnen dan wind, waaronder seismisch onderzoek</w:t>
      </w:r>
    </w:p>
    <w:p w:rsidRPr="008633B6" w:rsidR="008633B6" w:rsidP="008633B6" w:rsidRDefault="008633B6" w14:paraId="4310B621" w14:textId="77777777">
      <w:pPr>
        <w:pStyle w:val="ListParagraph"/>
        <w:numPr>
          <w:ilvl w:val="0"/>
          <w:numId w:val="20"/>
        </w:numPr>
        <w:autoSpaceDE w:val="0"/>
        <w:autoSpaceDN w:val="0"/>
        <w:adjustRightInd w:val="0"/>
        <w:spacing w:after="35" w:line="240" w:lineRule="auto"/>
        <w:rPr>
          <w:rFonts w:cs="Verdana"/>
          <w:color w:val="000000"/>
          <w:szCs w:val="18"/>
          <w:lang w:val="nl-NL"/>
        </w:rPr>
      </w:pPr>
      <w:r w:rsidRPr="008633B6">
        <w:rPr>
          <w:rFonts w:cs="Verdana"/>
          <w:color w:val="000000"/>
          <w:szCs w:val="18"/>
          <w:lang w:val="nl-NL"/>
        </w:rPr>
        <w:t>Een internationale aanpak van het terugdringen van bijvangst.</w:t>
      </w:r>
    </w:p>
    <w:p w:rsidR="00D66E83" w:rsidP="00D66E83" w:rsidRDefault="00D66E83" w14:paraId="5952E72D" w14:textId="77777777">
      <w:pPr>
        <w:pStyle w:val="ListParagraph"/>
        <w:autoSpaceDE w:val="0"/>
        <w:autoSpaceDN w:val="0"/>
        <w:adjustRightInd w:val="0"/>
        <w:spacing w:after="35" w:line="240" w:lineRule="auto"/>
        <w:rPr>
          <w:lang w:val="nl-NL" w:eastAsia="nl-NL"/>
        </w:rPr>
      </w:pPr>
    </w:p>
    <w:p w:rsidRPr="00D66E83" w:rsidR="00D66E83" w:rsidP="00D66E83" w:rsidRDefault="00D66E83" w14:paraId="6BB9A1F3" w14:textId="77777777">
      <w:pPr>
        <w:autoSpaceDE w:val="0"/>
        <w:autoSpaceDN w:val="0"/>
        <w:adjustRightInd w:val="0"/>
        <w:spacing w:after="35" w:line="240" w:lineRule="auto"/>
        <w:rPr>
          <w:lang w:val="nl-NL" w:eastAsia="nl-NL"/>
        </w:rPr>
      </w:pPr>
      <w:r w:rsidRPr="00D66E83">
        <w:rPr>
          <w:lang w:val="nl-NL" w:eastAsia="nl-NL"/>
        </w:rPr>
        <w:t>Voor zeehonden wordt, in het kader van het Zeehondenakkoord (2020)</w:t>
      </w:r>
      <w:r w:rsidR="000B2FE2">
        <w:rPr>
          <w:lang w:val="nl-NL" w:eastAsia="nl-NL"/>
        </w:rPr>
        <w:t xml:space="preserve"> [29]</w:t>
      </w:r>
      <w:r w:rsidRPr="00D66E83">
        <w:rPr>
          <w:lang w:val="nl-NL" w:eastAsia="nl-NL"/>
        </w:rPr>
        <w:t>, ook gewerkt aan verbeterde strandingenregistratie.</w:t>
      </w:r>
    </w:p>
    <w:p w:rsidRPr="008633B6" w:rsidR="008633B6" w:rsidP="008633B6" w:rsidRDefault="008633B6" w14:paraId="1E16A98B" w14:textId="77777777">
      <w:pPr>
        <w:autoSpaceDE w:val="0"/>
        <w:autoSpaceDN w:val="0"/>
        <w:adjustRightInd w:val="0"/>
        <w:spacing w:after="35" w:line="240" w:lineRule="auto"/>
        <w:rPr>
          <w:lang w:val="nl-NL" w:eastAsia="nl-NL"/>
        </w:rPr>
      </w:pPr>
    </w:p>
    <w:p w:rsidR="0070550F" w:rsidP="0070550F" w:rsidRDefault="0070550F" w14:paraId="0A13903B" w14:textId="77777777">
      <w:pPr>
        <w:rPr>
          <w:lang w:val="nl-NL" w:eastAsia="nl-NL"/>
        </w:rPr>
      </w:pPr>
      <w:r w:rsidRPr="001D5B87">
        <w:rPr>
          <w:rStyle w:val="IntenseEmphasis"/>
          <w:lang w:val="nl-NL"/>
        </w:rPr>
        <w:t>Vogels</w:t>
      </w:r>
      <w:r w:rsidR="00E131F5">
        <w:rPr>
          <w:rStyle w:val="IntenseEmphasis"/>
          <w:lang w:val="nl-NL"/>
        </w:rPr>
        <w:br/>
      </w:r>
      <w:r>
        <w:rPr>
          <w:lang w:val="nl-NL" w:eastAsia="nl-NL"/>
        </w:rPr>
        <w:t>Aanvullende g</w:t>
      </w:r>
      <w:r w:rsidRPr="001B34BB">
        <w:rPr>
          <w:lang w:val="nl-NL" w:eastAsia="nl-NL"/>
        </w:rPr>
        <w:t xml:space="preserve">ebiedsmaatregelen </w:t>
      </w:r>
      <w:r>
        <w:rPr>
          <w:lang w:val="nl-NL" w:eastAsia="nl-NL"/>
        </w:rPr>
        <w:t xml:space="preserve">voor vogels uit het </w:t>
      </w:r>
      <w:r w:rsidRPr="001B34BB">
        <w:rPr>
          <w:lang w:val="nl-NL" w:eastAsia="nl-NL"/>
        </w:rPr>
        <w:t>NZA</w:t>
      </w:r>
      <w:r w:rsidR="0024364F">
        <w:rPr>
          <w:lang w:val="nl-NL" w:eastAsia="nl-NL"/>
        </w:rPr>
        <w:t xml:space="preserve"> zijn</w:t>
      </w:r>
      <w:r>
        <w:rPr>
          <w:lang w:val="nl-NL" w:eastAsia="nl-NL"/>
        </w:rPr>
        <w:t>:</w:t>
      </w:r>
    </w:p>
    <w:p w:rsidRPr="009630AF" w:rsidR="009630AF" w:rsidP="00ED6532" w:rsidRDefault="0070550F" w14:paraId="4404A0B4" w14:textId="26C26300">
      <w:pPr>
        <w:pStyle w:val="ListParagraph"/>
        <w:numPr>
          <w:ilvl w:val="0"/>
          <w:numId w:val="22"/>
        </w:numPr>
        <w:rPr>
          <w:szCs w:val="18"/>
          <w:lang w:val="nl-NL"/>
        </w:rPr>
      </w:pPr>
      <w:r w:rsidRPr="009630AF">
        <w:rPr>
          <w:szCs w:val="18"/>
          <w:lang w:val="nl-NL"/>
        </w:rPr>
        <w:t xml:space="preserve">Nieuw Vogelrichtlijngebied en </w:t>
      </w:r>
      <w:r w:rsidRPr="009630AF" w:rsidR="00C65D24">
        <w:rPr>
          <w:szCs w:val="18"/>
          <w:lang w:val="nl-NL"/>
        </w:rPr>
        <w:t>instandhoudingsmaatregelen</w:t>
      </w:r>
      <w:r w:rsidRPr="009630AF">
        <w:rPr>
          <w:szCs w:val="18"/>
          <w:lang w:val="nl-NL"/>
        </w:rPr>
        <w:t xml:space="preserve"> Bruine Bank</w:t>
      </w:r>
      <w:r w:rsidRPr="009630AF" w:rsidR="009630AF">
        <w:rPr>
          <w:szCs w:val="18"/>
          <w:lang w:val="nl-NL"/>
        </w:rPr>
        <w:t xml:space="preserve">: </w:t>
      </w:r>
      <w:r w:rsidRPr="009630AF" w:rsidR="00CD2D65">
        <w:rPr>
          <w:lang w:val="nl-NL"/>
        </w:rPr>
        <w:t xml:space="preserve">De Bruine Bank is aangewezen als Natura 2000-gebied onder de Vogelrichtlijn in 2021. Onder de artikel 11 procedure van het GVB worden </w:t>
      </w:r>
      <w:r w:rsidRPr="009630AF" w:rsidR="00C65D24">
        <w:rPr>
          <w:lang w:val="nl-NL"/>
        </w:rPr>
        <w:t>instandhoudingsmaatregelen voorbereid</w:t>
      </w:r>
      <w:r w:rsidRPr="009630AF" w:rsidR="00CD2D65">
        <w:rPr>
          <w:lang w:val="nl-NL"/>
        </w:rPr>
        <w:t xml:space="preserve">. </w:t>
      </w:r>
    </w:p>
    <w:p w:rsidRPr="009630AF" w:rsidR="0070550F" w:rsidP="007628EC" w:rsidRDefault="0070550F" w14:paraId="3905FE95" w14:textId="20BABD00">
      <w:pPr>
        <w:pStyle w:val="ListParagraph"/>
        <w:numPr>
          <w:ilvl w:val="0"/>
          <w:numId w:val="22"/>
        </w:numPr>
        <w:rPr>
          <w:szCs w:val="18"/>
          <w:lang w:val="nl-NL"/>
        </w:rPr>
      </w:pPr>
      <w:r w:rsidRPr="009630AF">
        <w:rPr>
          <w:szCs w:val="18"/>
          <w:lang w:val="nl-NL"/>
        </w:rPr>
        <w:t>Onderzoek Vogelrichtlijngebieden</w:t>
      </w:r>
      <w:r w:rsidRPr="009630AF" w:rsidR="009630AF">
        <w:rPr>
          <w:szCs w:val="18"/>
          <w:lang w:val="nl-NL"/>
        </w:rPr>
        <w:t xml:space="preserve">: </w:t>
      </w:r>
      <w:r w:rsidRPr="009630AF">
        <w:rPr>
          <w:szCs w:val="18"/>
          <w:lang w:val="nl-NL"/>
        </w:rPr>
        <w:t xml:space="preserve">Voor 2025 </w:t>
      </w:r>
      <w:r w:rsidRPr="009630AF" w:rsidR="004206BF">
        <w:rPr>
          <w:szCs w:val="18"/>
          <w:lang w:val="nl-NL"/>
        </w:rPr>
        <w:t>wordt</w:t>
      </w:r>
      <w:r w:rsidRPr="009630AF">
        <w:rPr>
          <w:szCs w:val="18"/>
          <w:lang w:val="nl-NL"/>
        </w:rPr>
        <w:t xml:space="preserve"> onafhankelijk onderzoek uitgevoerd om vast te stellen of de Hollandse Kust, Vlakte van de Raan, Borkumse Stenen, Klaverbank, Doggersbank en Centrale Oestergronden voldoen aan de selectiecriteria voor aanwijzing als Vogelrichtlijngebied. Gebieden die aan deze selectiecriteria voldoen</w:t>
      </w:r>
      <w:r w:rsidRPr="009630AF" w:rsidR="004206BF">
        <w:rPr>
          <w:szCs w:val="18"/>
          <w:lang w:val="nl-NL"/>
        </w:rPr>
        <w:t>,</w:t>
      </w:r>
      <w:r w:rsidRPr="009630AF">
        <w:rPr>
          <w:szCs w:val="18"/>
          <w:lang w:val="nl-NL"/>
        </w:rPr>
        <w:t xml:space="preserve"> worden vervolgens zo spoedig mogelijk aangewezen.</w:t>
      </w:r>
    </w:p>
    <w:p w:rsidR="0070550F" w:rsidP="0070550F" w:rsidRDefault="0070550F" w14:paraId="170F402A" w14:textId="777A3AF4">
      <w:pPr>
        <w:rPr>
          <w:lang w:val="nl-NL" w:eastAsia="nl-NL"/>
        </w:rPr>
      </w:pPr>
      <w:r w:rsidRPr="001D5B87">
        <w:rPr>
          <w:rStyle w:val="IntenseEmphasis"/>
          <w:lang w:val="nl-NL"/>
        </w:rPr>
        <w:t>Vissen en inktvissen</w:t>
      </w:r>
      <w:r w:rsidR="00E131F5">
        <w:rPr>
          <w:rStyle w:val="IntenseEmphasis"/>
          <w:lang w:val="nl-NL"/>
        </w:rPr>
        <w:br/>
      </w:r>
      <w:r w:rsidRPr="0014138F">
        <w:rPr>
          <w:lang w:val="nl-NL" w:eastAsia="nl-NL"/>
        </w:rPr>
        <w:t xml:space="preserve">Het KRM-haaienactieplan </w:t>
      </w:r>
      <w:r w:rsidR="00696B0D">
        <w:rPr>
          <w:lang w:val="nl-NL" w:eastAsia="nl-NL"/>
        </w:rPr>
        <w:t>wordt</w:t>
      </w:r>
      <w:r w:rsidRPr="0014138F" w:rsidR="00696B0D">
        <w:rPr>
          <w:lang w:val="nl-NL" w:eastAsia="nl-NL"/>
        </w:rPr>
        <w:t xml:space="preserve"> </w:t>
      </w:r>
      <w:r w:rsidRPr="0014138F">
        <w:rPr>
          <w:lang w:val="nl-NL" w:eastAsia="nl-NL"/>
        </w:rPr>
        <w:t xml:space="preserve">in </w:t>
      </w:r>
      <w:r w:rsidRPr="0014138F" w:rsidR="00696B0D">
        <w:rPr>
          <w:lang w:val="nl-NL" w:eastAsia="nl-NL"/>
        </w:rPr>
        <w:t>202</w:t>
      </w:r>
      <w:r w:rsidR="00696B0D">
        <w:rPr>
          <w:lang w:val="nl-NL" w:eastAsia="nl-NL"/>
        </w:rPr>
        <w:t>2</w:t>
      </w:r>
      <w:r w:rsidRPr="0014138F" w:rsidR="00696B0D">
        <w:rPr>
          <w:lang w:val="nl-NL" w:eastAsia="nl-NL"/>
        </w:rPr>
        <w:t xml:space="preserve"> </w:t>
      </w:r>
      <w:r w:rsidRPr="0014138F">
        <w:rPr>
          <w:lang w:val="nl-NL" w:eastAsia="nl-NL"/>
        </w:rPr>
        <w:t>geëvalueerd</w:t>
      </w:r>
      <w:r w:rsidR="004206BF">
        <w:rPr>
          <w:lang w:val="nl-NL" w:eastAsia="nl-NL"/>
        </w:rPr>
        <w:t>. D</w:t>
      </w:r>
      <w:r w:rsidRPr="0014138F">
        <w:rPr>
          <w:lang w:val="nl-NL" w:eastAsia="nl-NL"/>
        </w:rPr>
        <w:t>aarna</w:t>
      </w:r>
      <w:r w:rsidR="001133C7">
        <w:rPr>
          <w:lang w:val="nl-NL" w:eastAsia="nl-NL"/>
        </w:rPr>
        <w:t xml:space="preserve"> </w:t>
      </w:r>
      <w:r w:rsidR="007E76FD">
        <w:rPr>
          <w:lang w:val="nl-NL" w:eastAsia="nl-NL"/>
        </w:rPr>
        <w:t xml:space="preserve">kan </w:t>
      </w:r>
      <w:r w:rsidR="001133C7">
        <w:rPr>
          <w:lang w:val="nl-NL" w:eastAsia="nl-NL"/>
        </w:rPr>
        <w:t>het</w:t>
      </w:r>
      <w:r w:rsidRPr="0014138F">
        <w:rPr>
          <w:lang w:val="nl-NL" w:eastAsia="nl-NL"/>
        </w:rPr>
        <w:t xml:space="preserve"> een vervolg</w:t>
      </w:r>
      <w:r w:rsidR="007E76FD">
        <w:rPr>
          <w:lang w:val="nl-NL" w:eastAsia="nl-NL"/>
        </w:rPr>
        <w:t xml:space="preserve"> krijgen</w:t>
      </w:r>
      <w:r w:rsidRPr="0014138F">
        <w:rPr>
          <w:lang w:val="nl-NL" w:eastAsia="nl-NL"/>
        </w:rPr>
        <w:t xml:space="preserve"> voor een nieuwe periode</w:t>
      </w:r>
      <w:r w:rsidR="001133C7">
        <w:rPr>
          <w:lang w:val="nl-NL" w:eastAsia="nl-NL"/>
        </w:rPr>
        <w:t xml:space="preserve"> van zes jaar</w:t>
      </w:r>
      <w:r w:rsidRPr="0014138F">
        <w:rPr>
          <w:lang w:val="nl-NL" w:eastAsia="nl-NL"/>
        </w:rPr>
        <w:t>.</w:t>
      </w:r>
    </w:p>
    <w:p w:rsidR="0070550F" w:rsidP="0070550F" w:rsidRDefault="0070550F" w14:paraId="554C8AEA" w14:textId="77777777">
      <w:pPr>
        <w:pStyle w:val="TOCHeading"/>
      </w:pPr>
      <w:r>
        <w:t>Kennisagenda</w:t>
      </w:r>
      <w:r w:rsidRPr="00B96268">
        <w:t xml:space="preserve"> </w:t>
      </w:r>
    </w:p>
    <w:p w:rsidRPr="008435F0" w:rsidR="008435F0" w:rsidP="008435F0" w:rsidRDefault="008435F0" w14:paraId="389A42CF" w14:textId="357C8572">
      <w:pPr>
        <w:rPr>
          <w:lang w:val="nl-NL" w:eastAsia="nl-NL"/>
        </w:rPr>
      </w:pPr>
      <w:r>
        <w:rPr>
          <w:lang w:val="nl-NL" w:eastAsia="nl-NL"/>
        </w:rPr>
        <w:t>Deze paragraaf</w:t>
      </w:r>
      <w:r w:rsidRPr="008435F0">
        <w:rPr>
          <w:lang w:val="nl-NL" w:eastAsia="nl-NL"/>
        </w:rPr>
        <w:t xml:space="preserve"> omvat de belangrijkste kennisvragen</w:t>
      </w:r>
      <w:r w:rsidR="00F96727">
        <w:rPr>
          <w:lang w:val="nl-NL" w:eastAsia="nl-NL"/>
        </w:rPr>
        <w:t xml:space="preserve"> omtrent biodiversiteit</w:t>
      </w:r>
      <w:r w:rsidR="00D91B1B">
        <w:rPr>
          <w:lang w:val="nl-NL" w:eastAsia="nl-NL"/>
        </w:rPr>
        <w:t xml:space="preserve"> die in de periode 2022-2027 worden onderzocht</w:t>
      </w:r>
      <w:r w:rsidR="00F96727">
        <w:rPr>
          <w:lang w:val="nl-NL" w:eastAsia="nl-NL"/>
        </w:rPr>
        <w:t xml:space="preserve">. </w:t>
      </w:r>
    </w:p>
    <w:p w:rsidRPr="007F6BC7" w:rsidR="008435F0" w:rsidP="007F6BC7" w:rsidRDefault="007F6BC7" w14:paraId="1CB5FD2E" w14:textId="5F8ADA0E">
      <w:pPr>
        <w:pStyle w:val="ListParagraph"/>
        <w:numPr>
          <w:ilvl w:val="0"/>
          <w:numId w:val="89"/>
        </w:numPr>
        <w:rPr>
          <w:lang w:val="nl-NL"/>
        </w:rPr>
      </w:pPr>
      <w:r w:rsidRPr="007F6BC7">
        <w:rPr>
          <w:lang w:val="nl-NL"/>
        </w:rPr>
        <w:t>Wat zijn cumulatieve effecten van (de meest relevante) drukfactoren op de populaties van zeevogels, vleermuizen zeezoogdieren en vissen?</w:t>
      </w:r>
    </w:p>
    <w:p w:rsidRPr="007F6BC7" w:rsidR="008435F0" w:rsidP="007F6BC7" w:rsidRDefault="007F6BC7" w14:paraId="336325DC" w14:textId="78895AF0">
      <w:pPr>
        <w:pStyle w:val="ListParagraph"/>
        <w:numPr>
          <w:ilvl w:val="0"/>
          <w:numId w:val="89"/>
        </w:numPr>
        <w:rPr>
          <w:lang w:val="nl-NL"/>
        </w:rPr>
      </w:pPr>
      <w:r w:rsidRPr="007F6BC7">
        <w:rPr>
          <w:lang w:val="nl-NL"/>
        </w:rPr>
        <w:t>Zijn de basisgegevens van zeezoogdieren, vogels, vissen en bent</w:t>
      </w:r>
      <w:r w:rsidR="00BB3037">
        <w:rPr>
          <w:lang w:val="nl-NL"/>
        </w:rPr>
        <w:t>h</w:t>
      </w:r>
      <w:r w:rsidRPr="007F6BC7">
        <w:rPr>
          <w:lang w:val="nl-NL"/>
        </w:rPr>
        <w:t xml:space="preserve">ische soorten op orde om de monitoring tijdig te kunnen aanpassen met het oog op de </w:t>
      </w:r>
      <w:r w:rsidR="00201E33">
        <w:rPr>
          <w:lang w:val="nl-NL"/>
        </w:rPr>
        <w:t xml:space="preserve">verwachte </w:t>
      </w:r>
      <w:r w:rsidRPr="007F6BC7">
        <w:rPr>
          <w:lang w:val="nl-NL"/>
        </w:rPr>
        <w:t>ontwikkelingen</w:t>
      </w:r>
      <w:r w:rsidR="00201E33">
        <w:rPr>
          <w:lang w:val="nl-NL"/>
        </w:rPr>
        <w:t xml:space="preserve"> ten aanzien van het toenemend gebruik van de Noordzee</w:t>
      </w:r>
      <w:r w:rsidRPr="007F6BC7">
        <w:rPr>
          <w:lang w:val="nl-NL"/>
        </w:rPr>
        <w:t>?</w:t>
      </w:r>
      <w:r w:rsidRPr="007F6BC7" w:rsidR="008435F0">
        <w:rPr>
          <w:lang w:val="nl-NL"/>
        </w:rPr>
        <w:t xml:space="preserve"> </w:t>
      </w:r>
    </w:p>
    <w:p w:rsidRPr="007F6BC7" w:rsidR="008435F0" w:rsidP="007F6BC7" w:rsidRDefault="007F6BC7" w14:paraId="4D476E59" w14:textId="62A54C42">
      <w:pPr>
        <w:pStyle w:val="ListParagraph"/>
        <w:numPr>
          <w:ilvl w:val="0"/>
          <w:numId w:val="89"/>
        </w:numPr>
        <w:rPr>
          <w:lang w:val="nl-NL"/>
        </w:rPr>
      </w:pPr>
      <w:bookmarkStart w:name="_Hlk90032493" w:id="24"/>
      <w:r w:rsidRPr="007F6BC7">
        <w:rPr>
          <w:lang w:val="nl-NL"/>
        </w:rPr>
        <w:t xml:space="preserve">Er is weinig bekend over de verspreiding en </w:t>
      </w:r>
      <w:r w:rsidR="00E470BE">
        <w:rPr>
          <w:lang w:val="nl-NL"/>
        </w:rPr>
        <w:t>voorkomen (</w:t>
      </w:r>
      <w:r w:rsidRPr="007F6BC7">
        <w:rPr>
          <w:lang w:val="nl-NL"/>
        </w:rPr>
        <w:t>abundantie</w:t>
      </w:r>
      <w:r w:rsidR="00E470BE">
        <w:rPr>
          <w:lang w:val="nl-NL"/>
        </w:rPr>
        <w:t>)</w:t>
      </w:r>
      <w:r w:rsidRPr="007F6BC7">
        <w:rPr>
          <w:lang w:val="nl-NL"/>
        </w:rPr>
        <w:t xml:space="preserve"> van kleine pelagische vis, en </w:t>
      </w:r>
      <w:r w:rsidR="00201E33">
        <w:rPr>
          <w:lang w:val="nl-NL"/>
        </w:rPr>
        <w:t>daarmee</w:t>
      </w:r>
      <w:r w:rsidRPr="007F6BC7">
        <w:rPr>
          <w:lang w:val="nl-NL"/>
        </w:rPr>
        <w:t xml:space="preserve"> over de beschikbaarheid van visvoedsel op de temporele en ruimtelijke dynamiek van vogels en zeezoogdieren op de Noordzee.</w:t>
      </w:r>
      <w:bookmarkEnd w:id="24"/>
    </w:p>
    <w:p w:rsidRPr="000332B6" w:rsidR="00A95303" w:rsidP="000332B6" w:rsidRDefault="007F6BC7" w14:paraId="470341BB" w14:textId="30EBE8BC">
      <w:pPr>
        <w:pStyle w:val="ListParagraph"/>
        <w:numPr>
          <w:ilvl w:val="0"/>
          <w:numId w:val="89"/>
        </w:numPr>
        <w:rPr>
          <w:lang w:val="nl-NL"/>
        </w:rPr>
      </w:pPr>
      <w:bookmarkStart w:name="_Hlk90032143" w:id="25"/>
      <w:r w:rsidRPr="000332B6">
        <w:rPr>
          <w:lang w:val="nl-NL"/>
        </w:rPr>
        <w:t xml:space="preserve">Diverse onderzoeken naar haaien en roggen vinden plaats als onderdeel van het KRM-Haaienactieplan, LIFE IP, EFMZV en LIFE CIBBRiNA (zie ook kennisvraag 7). Deze onderzoeken leveren onderzoeksgegevens op waarmee een indicator </w:t>
      </w:r>
      <w:r w:rsidRPr="002E2B5A" w:rsidR="002E2B5A">
        <w:rPr>
          <w:lang w:val="nl-NL"/>
        </w:rPr>
        <w:t>voor D1 Vissen (Kraakbeenvissen/ elasmobranchen)</w:t>
      </w:r>
      <w:r w:rsidR="002E2B5A">
        <w:rPr>
          <w:lang w:val="nl-NL"/>
        </w:rPr>
        <w:t xml:space="preserve"> </w:t>
      </w:r>
      <w:r w:rsidRPr="000332B6">
        <w:rPr>
          <w:lang w:val="nl-NL"/>
        </w:rPr>
        <w:t>ontwikkeld dient te worden. De interpretatie van onderzoeksgegevens en de ontwikkeling van een indicator is een kennisvraag die in 2024 wordt onderzocht.</w:t>
      </w:r>
      <w:bookmarkEnd w:id="25"/>
    </w:p>
    <w:p w:rsidRPr="007F6BC7" w:rsidR="00A95303" w:rsidP="007F6BC7" w:rsidRDefault="00A04070" w14:paraId="65FA8733" w14:textId="4E76B971">
      <w:pPr>
        <w:pStyle w:val="ListParagraph"/>
        <w:numPr>
          <w:ilvl w:val="0"/>
          <w:numId w:val="89"/>
        </w:numPr>
        <w:rPr>
          <w:lang w:val="nl-NL"/>
        </w:rPr>
      </w:pPr>
      <w:bookmarkStart w:name="_Hlk90032282" w:id="26"/>
      <w:r w:rsidRPr="00A04070">
        <w:rPr>
          <w:lang w:val="nl-NL"/>
        </w:rPr>
        <w:t>Wat is de relatieve bijdrage van verschillende drukfactoren (zoals voedselbeschikbaarheid, habitatverlies e.a.) op de zeevogelpopulaties op het NCP en welke maatregelen zijn hiertegen mogelijk ter bescherming van zeevogelpopulaties op het NCP?</w:t>
      </w:r>
      <w:bookmarkEnd w:id="26"/>
    </w:p>
    <w:p w:rsidRPr="007F6BC7" w:rsidR="007F6BC7" w:rsidP="007F6BC7" w:rsidRDefault="007F6BC7" w14:paraId="6581B380" w14:textId="3BD01FF9">
      <w:pPr>
        <w:pStyle w:val="ListParagraph"/>
        <w:numPr>
          <w:ilvl w:val="0"/>
          <w:numId w:val="89"/>
        </w:numPr>
        <w:rPr>
          <w:lang w:val="nl-NL"/>
        </w:rPr>
      </w:pPr>
      <w:r w:rsidRPr="007F6BC7">
        <w:rPr>
          <w:lang w:val="nl-NL"/>
        </w:rPr>
        <w:t>Onderzoek naar verschillende vormen van staandwantvisserij die wel en niet passend zijn in specifieke (gesloten) gebieden en in relatie tot beschermde vogel- en zoogdiersoorten. Dit is een nationale kennisvraag welke mogelijk gecombineerd kan worden met het CIBBRiNA EU LIFE Bycatch voorstel dat eind 2021 is ingediend. Dit</w:t>
      </w:r>
      <w:r w:rsidRPr="000332B6">
        <w:rPr>
          <w:lang w:val="nl-NL"/>
        </w:rPr>
        <w:t xml:space="preserve"> project, gericht op het verbeteren van monitoring en mitigatie van bijvangst van kwetsbare soorten </w:t>
      </w:r>
      <w:r w:rsidRPr="007F6BC7">
        <w:rPr>
          <w:lang w:val="nl-NL"/>
        </w:rPr>
        <w:t>wordt in de periode 2022-2027 uitgevoerd en gefinancierd uit eigen middelen van het Ministerie van LNV en IenW. Het project is een samenwerkingsverband tussen ministeries, visserij organisaties, wetenschappelijke instituten en natuurorganisaties uit 13 landen.</w:t>
      </w:r>
    </w:p>
    <w:p w:rsidRPr="007F6BC7" w:rsidR="00A95303" w:rsidP="007F6BC7" w:rsidRDefault="007F6BC7" w14:paraId="5D414420" w14:textId="3821922B">
      <w:pPr>
        <w:pStyle w:val="ListParagraph"/>
        <w:numPr>
          <w:ilvl w:val="0"/>
          <w:numId w:val="89"/>
        </w:numPr>
        <w:rPr>
          <w:lang w:val="nl-NL"/>
        </w:rPr>
      </w:pPr>
      <w:r w:rsidRPr="007F6BC7">
        <w:rPr>
          <w:lang w:val="nl-NL"/>
        </w:rPr>
        <w:t>De belangrijkste kennisvragen in het Actieplan uit het Bruinvisbeschermingplan (2020) [17] richten zich op habitatkwaliteit en voedselbeschikbaarheid, cumulatie van effecten van verschillende activiteiten en bijvangst.</w:t>
      </w:r>
      <w:r w:rsidRPr="007F6BC7" w:rsidR="00A95303">
        <w:rPr>
          <w:lang w:val="nl-NL"/>
        </w:rPr>
        <w:t xml:space="preserve"> </w:t>
      </w:r>
    </w:p>
    <w:p w:rsidRPr="007F6BC7" w:rsidR="007F6BC7" w:rsidP="007F6BC7" w:rsidRDefault="007F6BC7" w14:paraId="0D69CBB3" w14:textId="318E9AFF">
      <w:pPr>
        <w:pStyle w:val="ListParagraph"/>
        <w:numPr>
          <w:ilvl w:val="0"/>
          <w:numId w:val="89"/>
        </w:numPr>
        <w:rPr>
          <w:lang w:val="nl-NL"/>
        </w:rPr>
      </w:pPr>
      <w:bookmarkStart w:name="_Hlk90032586" w:id="27"/>
      <w:r w:rsidRPr="007F6BC7">
        <w:rPr>
          <w:lang w:val="nl-NL"/>
        </w:rPr>
        <w:t xml:space="preserve">De toestand van ‘pelagische habitats’ (D1C6) wordt bepaald aan de hand van de planktongemeenschap. </w:t>
      </w:r>
      <w:r w:rsidR="00090168">
        <w:rPr>
          <w:lang w:val="nl-NL"/>
        </w:rPr>
        <w:t>Onderzoek is gewenst naar</w:t>
      </w:r>
      <w:r w:rsidRPr="007F6BC7">
        <w:rPr>
          <w:lang w:val="nl-NL"/>
        </w:rPr>
        <w:t xml:space="preserve"> de fytoplankton en zoöplankton samenstelling</w:t>
      </w:r>
      <w:r w:rsidR="00090168">
        <w:rPr>
          <w:lang w:val="nl-NL"/>
        </w:rPr>
        <w:t xml:space="preserve"> en </w:t>
      </w:r>
      <w:r w:rsidRPr="007F6BC7">
        <w:rPr>
          <w:lang w:val="nl-NL"/>
        </w:rPr>
        <w:t>de bandbreedtes die op een goede milieutoestand wijzen.</w:t>
      </w:r>
    </w:p>
    <w:p w:rsidR="0070550F" w:rsidP="00746E9B" w:rsidRDefault="0070550F" w14:paraId="5F09390A" w14:textId="77777777">
      <w:pPr>
        <w:pStyle w:val="Stijl1"/>
        <w:numPr>
          <w:ilvl w:val="1"/>
          <w:numId w:val="16"/>
        </w:numPr>
      </w:pPr>
      <w:bookmarkStart w:name="_Toc59455627" w:id="28"/>
      <w:bookmarkEnd w:id="27"/>
      <w:r w:rsidRPr="00B96268">
        <w:t>Niet-inheemse soorten (D2)</w:t>
      </w:r>
      <w:bookmarkEnd w:id="28"/>
    </w:p>
    <w:p w:rsidRPr="00032440" w:rsidR="0070550F" w:rsidP="0070550F" w:rsidRDefault="0070550F" w14:paraId="5C571A79" w14:textId="77777777">
      <w:pPr>
        <w:pStyle w:val="TOCHeading"/>
      </w:pPr>
      <w:bookmarkStart w:name="_Toc46140798" w:id="29"/>
      <w:bookmarkStart w:name="_Toc46141391" w:id="30"/>
      <w:bookmarkStart w:name="_Toc46141475" w:id="31"/>
      <w:bookmarkStart w:name="_Toc46142201" w:id="32"/>
      <w:bookmarkStart w:name="_Toc46144922" w:id="33"/>
      <w:bookmarkEnd w:id="29"/>
      <w:bookmarkEnd w:id="30"/>
      <w:bookmarkEnd w:id="31"/>
      <w:bookmarkEnd w:id="32"/>
      <w:bookmarkEnd w:id="33"/>
      <w:r w:rsidRPr="00032440">
        <w:t>Goede milieutoestand en doelen</w:t>
      </w:r>
    </w:p>
    <w:p w:rsidR="0070550F" w:rsidP="0070550F" w:rsidRDefault="0070550F" w14:paraId="1DC68B0B" w14:textId="685C68B7">
      <w:pPr>
        <w:rPr>
          <w:lang w:val="nl-NL"/>
        </w:rPr>
      </w:pPr>
      <w:r>
        <w:rPr>
          <w:lang w:val="nl-NL"/>
        </w:rPr>
        <w:t>Volgens de Mariene Strategie deel 1</w:t>
      </w:r>
      <w:r w:rsidR="006F4BC1">
        <w:rPr>
          <w:lang w:val="nl-NL"/>
        </w:rPr>
        <w:t xml:space="preserve"> (</w:t>
      </w:r>
      <w:r>
        <w:rPr>
          <w:lang w:val="nl-NL"/>
        </w:rPr>
        <w:t xml:space="preserve">2018) </w:t>
      </w:r>
      <w:r w:rsidR="00DD4F15">
        <w:rPr>
          <w:lang w:val="nl-NL"/>
        </w:rPr>
        <w:t xml:space="preserve">[11] </w:t>
      </w:r>
      <w:r>
        <w:rPr>
          <w:lang w:val="nl-NL"/>
        </w:rPr>
        <w:t xml:space="preserve">wordt een goede milieutoestand </w:t>
      </w:r>
      <w:r w:rsidR="00833AE6">
        <w:rPr>
          <w:lang w:val="nl-NL"/>
        </w:rPr>
        <w:t xml:space="preserve">voor </w:t>
      </w:r>
      <w:r>
        <w:rPr>
          <w:lang w:val="nl-NL"/>
        </w:rPr>
        <w:t>niet-inheemse soorten bereikt wanneer</w:t>
      </w:r>
      <w:r w:rsidRPr="00D03178">
        <w:rPr>
          <w:lang w:val="nl-NL"/>
        </w:rPr>
        <w:t xml:space="preserve"> </w:t>
      </w:r>
      <w:r w:rsidR="00833AE6">
        <w:rPr>
          <w:lang w:val="nl-NL"/>
        </w:rPr>
        <w:t xml:space="preserve">de door </w:t>
      </w:r>
      <w:r w:rsidRPr="00D03178">
        <w:rPr>
          <w:lang w:val="nl-NL"/>
        </w:rPr>
        <w:t>menselijke activiteiten geïntroduceerde</w:t>
      </w:r>
      <w:r>
        <w:rPr>
          <w:lang w:val="nl-NL"/>
        </w:rPr>
        <w:t xml:space="preserve"> </w:t>
      </w:r>
      <w:r w:rsidR="00833AE6">
        <w:rPr>
          <w:lang w:val="nl-NL"/>
        </w:rPr>
        <w:t xml:space="preserve">soorten geen verandering teweeg brengen in het </w:t>
      </w:r>
      <w:r w:rsidRPr="00D03178">
        <w:rPr>
          <w:lang w:val="nl-NL"/>
        </w:rPr>
        <w:t>ecosysteem.</w:t>
      </w:r>
      <w:r>
        <w:rPr>
          <w:lang w:val="nl-NL"/>
        </w:rPr>
        <w:t xml:space="preserve"> Onderstaande tabel geeft een overzicht van de goede milieutoestand en milieudoelen.</w:t>
      </w:r>
    </w:p>
    <w:tbl>
      <w:tblPr>
        <w:tblStyle w:val="TableGrid"/>
        <w:tblW w:w="0" w:type="auto"/>
        <w:tblLook w:val="04A0" w:firstRow="1" w:lastRow="0" w:firstColumn="1" w:lastColumn="0" w:noHBand="0" w:noVBand="1"/>
      </w:tblPr>
      <w:tblGrid>
        <w:gridCol w:w="1413"/>
        <w:gridCol w:w="7604"/>
      </w:tblGrid>
      <w:tr w:rsidRPr="0084482C" w:rsidR="0070550F" w:rsidTr="000E4075" w14:paraId="70D8B725" w14:textId="77777777">
        <w:tc>
          <w:tcPr>
            <w:tcW w:w="1413" w:type="dxa"/>
          </w:tcPr>
          <w:p w:rsidRPr="00A32D98" w:rsidR="0070550F" w:rsidP="000E4075" w:rsidRDefault="0070550F" w14:paraId="00B5A261" w14:textId="77777777">
            <w:pPr>
              <w:rPr>
                <w:sz w:val="16"/>
              </w:rPr>
            </w:pPr>
            <w:r w:rsidRPr="00A32D98">
              <w:rPr>
                <w:sz w:val="16"/>
              </w:rPr>
              <w:t>Goede milieutoestand</w:t>
            </w:r>
          </w:p>
        </w:tc>
        <w:tc>
          <w:tcPr>
            <w:tcW w:w="7604" w:type="dxa"/>
          </w:tcPr>
          <w:p w:rsidRPr="00D735E8" w:rsidR="0070550F" w:rsidP="000E4075" w:rsidRDefault="0070550F" w14:paraId="74C742C4" w14:textId="77777777">
            <w:pPr>
              <w:rPr>
                <w:sz w:val="16"/>
                <w:lang w:val="nl-NL"/>
              </w:rPr>
            </w:pPr>
            <w:r w:rsidRPr="00D735E8">
              <w:rPr>
                <w:sz w:val="16"/>
                <w:lang w:val="nl-NL"/>
              </w:rPr>
              <w:t>Overkoepelend: door menselijke activiteiten geïntroduceerde</w:t>
            </w:r>
            <w:r>
              <w:rPr>
                <w:sz w:val="16"/>
                <w:lang w:val="nl-NL"/>
              </w:rPr>
              <w:t xml:space="preserve"> </w:t>
            </w:r>
            <w:r w:rsidRPr="00D735E8">
              <w:rPr>
                <w:sz w:val="16"/>
                <w:lang w:val="nl-NL"/>
              </w:rPr>
              <w:t>niet-inheemse soorten (exoten) komen voor op een niveau</w:t>
            </w:r>
            <w:r>
              <w:rPr>
                <w:sz w:val="16"/>
                <w:lang w:val="nl-NL"/>
              </w:rPr>
              <w:t xml:space="preserve"> </w:t>
            </w:r>
            <w:r w:rsidRPr="00D735E8">
              <w:rPr>
                <w:sz w:val="16"/>
                <w:lang w:val="nl-NL"/>
              </w:rPr>
              <w:t>waarbij het ecosysteem niet verandert.</w:t>
            </w:r>
          </w:p>
          <w:p w:rsidRPr="00D735E8" w:rsidR="0070550F" w:rsidP="00746E9B" w:rsidRDefault="0070550F" w14:paraId="63E832D0" w14:textId="77777777">
            <w:pPr>
              <w:pStyle w:val="ListParagraph"/>
              <w:numPr>
                <w:ilvl w:val="0"/>
                <w:numId w:val="23"/>
              </w:numPr>
              <w:rPr>
                <w:sz w:val="16"/>
                <w:lang w:val="nl-NL"/>
              </w:rPr>
            </w:pPr>
            <w:r w:rsidRPr="00D735E8">
              <w:rPr>
                <w:sz w:val="16"/>
                <w:lang w:val="nl-NL"/>
              </w:rPr>
              <w:t>D2C1: dalende trend in het aantal introducties van niet-inheemse</w:t>
            </w:r>
            <w:r>
              <w:rPr>
                <w:sz w:val="16"/>
                <w:lang w:val="nl-NL"/>
              </w:rPr>
              <w:t xml:space="preserve"> </w:t>
            </w:r>
            <w:r w:rsidRPr="00D735E8">
              <w:rPr>
                <w:sz w:val="16"/>
                <w:lang w:val="nl-NL"/>
              </w:rPr>
              <w:t>soorten per beleidsperiode (zes jaar; OSPAR).</w:t>
            </w:r>
          </w:p>
        </w:tc>
      </w:tr>
      <w:tr w:rsidRPr="0084482C" w:rsidR="0070550F" w:rsidTr="000E4075" w14:paraId="4E929FF4" w14:textId="77777777">
        <w:trPr>
          <w:trHeight w:val="406"/>
        </w:trPr>
        <w:tc>
          <w:tcPr>
            <w:tcW w:w="1413" w:type="dxa"/>
          </w:tcPr>
          <w:p w:rsidRPr="00A32D98" w:rsidR="0070550F" w:rsidP="000E4075" w:rsidRDefault="0070550F" w14:paraId="0A429772" w14:textId="77777777">
            <w:pPr>
              <w:rPr>
                <w:sz w:val="16"/>
              </w:rPr>
            </w:pPr>
            <w:r w:rsidRPr="00A32D98">
              <w:rPr>
                <w:sz w:val="16"/>
              </w:rPr>
              <w:t>Milieudoelen</w:t>
            </w:r>
          </w:p>
        </w:tc>
        <w:tc>
          <w:tcPr>
            <w:tcW w:w="7604" w:type="dxa"/>
          </w:tcPr>
          <w:p w:rsidRPr="00D735E8" w:rsidR="0070550F" w:rsidP="00746E9B" w:rsidRDefault="0070550F" w14:paraId="0AB05D1A" w14:textId="77777777">
            <w:pPr>
              <w:pStyle w:val="ListParagraph"/>
              <w:numPr>
                <w:ilvl w:val="0"/>
                <w:numId w:val="23"/>
              </w:numPr>
              <w:rPr>
                <w:sz w:val="16"/>
                <w:lang w:val="nl-NL"/>
              </w:rPr>
            </w:pPr>
            <w:r w:rsidRPr="00D735E8">
              <w:rPr>
                <w:sz w:val="16"/>
                <w:lang w:val="nl-NL"/>
              </w:rPr>
              <w:t>D2T1: minimaliseren van het risico van nieuwe introducties van niet-inheemse soorten via schelpdiertransporten, ballastwater en aangroei</w:t>
            </w:r>
            <w:r w:rsidR="001133C7">
              <w:rPr>
                <w:sz w:val="16"/>
                <w:lang w:val="nl-NL"/>
              </w:rPr>
              <w:t xml:space="preserve"> </w:t>
            </w:r>
            <w:r w:rsidR="00833AE6">
              <w:rPr>
                <w:sz w:val="16"/>
                <w:lang w:val="nl-NL"/>
              </w:rPr>
              <w:t>op</w:t>
            </w:r>
            <w:r w:rsidR="001133C7">
              <w:rPr>
                <w:sz w:val="16"/>
                <w:lang w:val="nl-NL"/>
              </w:rPr>
              <w:t xml:space="preserve"> scheepshuiden</w:t>
            </w:r>
            <w:r w:rsidRPr="00D735E8">
              <w:rPr>
                <w:sz w:val="16"/>
                <w:lang w:val="nl-NL"/>
              </w:rPr>
              <w:t>.</w:t>
            </w:r>
          </w:p>
        </w:tc>
      </w:tr>
    </w:tbl>
    <w:p w:rsidR="0070550F" w:rsidP="0070550F" w:rsidRDefault="0070550F" w14:paraId="5D0EFF1D" w14:textId="77777777">
      <w:pPr>
        <w:pStyle w:val="TOCHeading"/>
      </w:pPr>
      <w:r w:rsidRPr="00820E74">
        <w:t>Geïmplementeerde maatregelen</w:t>
      </w:r>
    </w:p>
    <w:p w:rsidR="008802E1" w:rsidP="0070550F" w:rsidRDefault="00300C90" w14:paraId="5FEC3332" w14:textId="74C5A145">
      <w:pPr>
        <w:rPr>
          <w:lang w:val="nl-NL"/>
        </w:rPr>
      </w:pPr>
      <w:bookmarkStart w:name="_Hlk89075637" w:id="34"/>
      <w:r>
        <w:rPr>
          <w:lang w:val="nl-NL"/>
        </w:rPr>
        <w:t>Na het van kracht worden in 2015 van</w:t>
      </w:r>
      <w:r w:rsidRPr="001133C7">
        <w:rPr>
          <w:lang w:val="nl-NL"/>
        </w:rPr>
        <w:t xml:space="preserve"> de </w:t>
      </w:r>
      <w:r>
        <w:rPr>
          <w:lang w:val="nl-NL"/>
        </w:rPr>
        <w:t>EU-v</w:t>
      </w:r>
      <w:r w:rsidRPr="001133C7">
        <w:rPr>
          <w:lang w:val="nl-NL"/>
        </w:rPr>
        <w:t xml:space="preserve">erordening </w:t>
      </w:r>
      <w:r>
        <w:rPr>
          <w:lang w:val="nl-NL"/>
        </w:rPr>
        <w:t xml:space="preserve">(1143/2014) over </w:t>
      </w:r>
      <w:r w:rsidRPr="001133C7">
        <w:rPr>
          <w:lang w:val="nl-NL"/>
        </w:rPr>
        <w:t xml:space="preserve">preventie en beheer </w:t>
      </w:r>
      <w:r>
        <w:rPr>
          <w:lang w:val="nl-NL"/>
        </w:rPr>
        <w:t xml:space="preserve">van de introductie en verspreiding van </w:t>
      </w:r>
      <w:r w:rsidRPr="001133C7">
        <w:rPr>
          <w:lang w:val="nl-NL"/>
        </w:rPr>
        <w:t xml:space="preserve">invasieve </w:t>
      </w:r>
      <w:r>
        <w:rPr>
          <w:lang w:val="nl-NL"/>
        </w:rPr>
        <w:t xml:space="preserve">uitheemse </w:t>
      </w:r>
      <w:r w:rsidRPr="001133C7">
        <w:rPr>
          <w:lang w:val="nl-NL"/>
        </w:rPr>
        <w:t>soorten</w:t>
      </w:r>
      <w:r>
        <w:rPr>
          <w:lang w:val="nl-NL"/>
        </w:rPr>
        <w:t xml:space="preserve"> (“exotenverordening”)</w:t>
      </w:r>
      <w:r w:rsidRPr="001133C7">
        <w:rPr>
          <w:lang w:val="nl-NL"/>
        </w:rPr>
        <w:t xml:space="preserve"> </w:t>
      </w:r>
      <w:r w:rsidR="00817B68">
        <w:rPr>
          <w:lang w:val="nl-NL"/>
        </w:rPr>
        <w:t xml:space="preserve">[18] </w:t>
      </w:r>
      <w:r w:rsidRPr="001133C7">
        <w:rPr>
          <w:lang w:val="nl-NL"/>
        </w:rPr>
        <w:t xml:space="preserve">heeft </w:t>
      </w:r>
      <w:r>
        <w:rPr>
          <w:lang w:val="nl-NL"/>
        </w:rPr>
        <w:t>Nederland een aantal zog</w:t>
      </w:r>
      <w:r w:rsidR="00A0674E">
        <w:rPr>
          <w:lang w:val="nl-NL"/>
        </w:rPr>
        <w:t>e</w:t>
      </w:r>
      <w:r>
        <w:rPr>
          <w:lang w:val="nl-NL"/>
        </w:rPr>
        <w:t xml:space="preserve">heten </w:t>
      </w:r>
      <w:r w:rsidRPr="009A543F">
        <w:rPr>
          <w:i/>
          <w:iCs/>
          <w:lang w:val="nl-NL"/>
        </w:rPr>
        <w:t>pathway</w:t>
      </w:r>
      <w:r>
        <w:rPr>
          <w:lang w:val="nl-NL"/>
        </w:rPr>
        <w:t xml:space="preserve">-actieplannen bij de Europese Commissie ingediend (2020) </w:t>
      </w:r>
      <w:r w:rsidRPr="001133C7">
        <w:rPr>
          <w:lang w:val="nl-NL"/>
        </w:rPr>
        <w:t xml:space="preserve">om </w:t>
      </w:r>
      <w:r>
        <w:rPr>
          <w:lang w:val="nl-NL"/>
        </w:rPr>
        <w:t xml:space="preserve">de routes aan te pakken waarlangs </w:t>
      </w:r>
      <w:r w:rsidRPr="001133C7">
        <w:rPr>
          <w:lang w:val="nl-NL"/>
        </w:rPr>
        <w:t xml:space="preserve">niet-inheemse soorten </w:t>
      </w:r>
      <w:r>
        <w:rPr>
          <w:lang w:val="nl-NL"/>
        </w:rPr>
        <w:t>worden geïntroduceerd</w:t>
      </w:r>
      <w:r w:rsidRPr="001133C7">
        <w:rPr>
          <w:lang w:val="nl-NL"/>
        </w:rPr>
        <w:t xml:space="preserve">. </w:t>
      </w:r>
      <w:r w:rsidR="00001107">
        <w:rPr>
          <w:lang w:val="nl-NL"/>
        </w:rPr>
        <w:t xml:space="preserve">Maatregelen tegen onopzettelijke introducties van mariene invasieve uitheemse soorten uit de </w:t>
      </w:r>
      <w:r w:rsidR="00001107">
        <w:rPr>
          <w:i/>
          <w:lang w:val="nl-NL"/>
        </w:rPr>
        <w:t>pathway</w:t>
      </w:r>
      <w:r w:rsidR="00001107">
        <w:rPr>
          <w:lang w:val="nl-NL"/>
        </w:rPr>
        <w:t xml:space="preserve">-actieplannen betreffen de tevens hierna genoemde Beleidsregels inzake schelpdierverplaatsingen en maatregelen in het kader van internationale afspraken op het gebied van ballastwater en </w:t>
      </w:r>
      <w:r w:rsidR="00001107">
        <w:rPr>
          <w:i/>
          <w:iCs/>
          <w:lang w:val="nl-NL"/>
        </w:rPr>
        <w:t>hull fouling</w:t>
      </w:r>
      <w:r w:rsidR="00001107">
        <w:rPr>
          <w:lang w:val="nl-NL"/>
        </w:rPr>
        <w:t>.</w:t>
      </w:r>
    </w:p>
    <w:bookmarkEnd w:id="34"/>
    <w:p w:rsidR="008802E1" w:rsidP="0070550F" w:rsidRDefault="00300C90" w14:paraId="4E99D883" w14:textId="7EA01FAD">
      <w:pPr>
        <w:rPr>
          <w:lang w:val="nl-NL"/>
        </w:rPr>
      </w:pPr>
      <w:r>
        <w:rPr>
          <w:lang w:val="nl-NL"/>
        </w:rPr>
        <w:t>Beleidsregels inzake schelpdierverplaatsingen (2012; gewijzigd in 2017)</w:t>
      </w:r>
      <w:r w:rsidR="00270725">
        <w:rPr>
          <w:lang w:val="nl-NL"/>
        </w:rPr>
        <w:t xml:space="preserve"> [19]</w:t>
      </w:r>
      <w:r>
        <w:rPr>
          <w:lang w:val="nl-NL"/>
        </w:rPr>
        <w:t xml:space="preserve"> worden daarbij ook gezien als een actieplan. De beleidsregels stellen voorwaarden aan </w:t>
      </w:r>
      <w:r w:rsidRPr="00993B28">
        <w:rPr>
          <w:lang w:val="nl-NL"/>
        </w:rPr>
        <w:t xml:space="preserve">vergunningen </w:t>
      </w:r>
      <w:r w:rsidR="00A0674E">
        <w:rPr>
          <w:lang w:val="nl-NL"/>
        </w:rPr>
        <w:t xml:space="preserve">op grond van de Wet natuurbescherming </w:t>
      </w:r>
      <w:r w:rsidRPr="00993B28">
        <w:rPr>
          <w:lang w:val="nl-NL"/>
        </w:rPr>
        <w:t xml:space="preserve">voor </w:t>
      </w:r>
      <w:r>
        <w:rPr>
          <w:lang w:val="nl-NL"/>
        </w:rPr>
        <w:t>het importeren en uitzaaien in de Oosterschelde van mariene schelpdieren en voor het transport van mosselzaad uit de Oosterschelde naar de Waddenzee.</w:t>
      </w:r>
      <w:r w:rsidR="00A0674E">
        <w:rPr>
          <w:lang w:val="nl-NL"/>
        </w:rPr>
        <w:t xml:space="preserve"> Voorts zijn in</w:t>
      </w:r>
      <w:r w:rsidRPr="00993B28">
        <w:rPr>
          <w:lang w:val="nl-NL"/>
        </w:rPr>
        <w:t xml:space="preserve"> de beheerplannen van de Natura 2000-gebieden maatregelen opgenomen om import van niet-inheemse soorten te voorkomen en aanwezigheid van invasieve niet-inheemse soorten tegen te gaan. </w:t>
      </w:r>
      <w:r w:rsidRPr="00993B28">
        <w:rPr>
          <w:szCs w:val="20"/>
          <w:lang w:val="nl-NL"/>
        </w:rPr>
        <w:t>Het type maatregelen verschilt per Natura 2000-gebied en hangt af van de natuurdoelen.</w:t>
      </w:r>
      <w:r w:rsidRPr="00993B28">
        <w:rPr>
          <w:lang w:val="nl-NL"/>
        </w:rPr>
        <w:t xml:space="preserve"> </w:t>
      </w:r>
      <w:r w:rsidRPr="00993B28">
        <w:rPr>
          <w:szCs w:val="20"/>
          <w:lang w:val="nl-NL"/>
        </w:rPr>
        <w:t xml:space="preserve">Voor de handhaving worden regelmatig controles </w:t>
      </w:r>
      <w:r>
        <w:rPr>
          <w:szCs w:val="20"/>
          <w:lang w:val="nl-NL"/>
        </w:rPr>
        <w:t>uitgevoerd</w:t>
      </w:r>
      <w:r w:rsidRPr="00993B28">
        <w:rPr>
          <w:szCs w:val="20"/>
          <w:lang w:val="nl-NL"/>
        </w:rPr>
        <w:t xml:space="preserve">. De beheerder kan bij gesignaleerde introductie van invasieve uitheemse soorten ingrijpen. </w:t>
      </w:r>
      <w:r w:rsidRPr="00993B28">
        <w:rPr>
          <w:lang w:val="nl-NL"/>
        </w:rPr>
        <w:t xml:space="preserve">Het risico op verplaatsing van niet-inheemse soorten naar Natura 2000-gebieden is hiermee geminimaliseerd. </w:t>
      </w:r>
    </w:p>
    <w:p w:rsidR="008802E1" w:rsidP="0070550F" w:rsidRDefault="00A0674E" w14:paraId="74B0131E" w14:textId="609307AD">
      <w:pPr>
        <w:rPr>
          <w:lang w:val="nl-NL"/>
        </w:rPr>
      </w:pPr>
      <w:r>
        <w:rPr>
          <w:lang w:val="nl-NL"/>
        </w:rPr>
        <w:t xml:space="preserve">Daarnaast verbiedt de </w:t>
      </w:r>
      <w:r w:rsidRPr="00E61FB6">
        <w:rPr>
          <w:lang w:val="nl-NL"/>
        </w:rPr>
        <w:t>Regeling gebruik uitheemse en plaatselijk niet-voorkomende soorten in de aquacultuur</w:t>
      </w:r>
      <w:r>
        <w:rPr>
          <w:lang w:val="nl-NL"/>
        </w:rPr>
        <w:t xml:space="preserve"> [33] </w:t>
      </w:r>
      <w:r w:rsidRPr="00E61FB6">
        <w:rPr>
          <w:lang w:val="nl-NL"/>
        </w:rPr>
        <w:t>het verplaatsen van uitheemse en plaatselijk niet voorkomende soorten in de aquacultuur zonder vergunning van de minister</w:t>
      </w:r>
      <w:r>
        <w:rPr>
          <w:lang w:val="nl-NL"/>
        </w:rPr>
        <w:t xml:space="preserve"> van LNV.</w:t>
      </w:r>
    </w:p>
    <w:p w:rsidRPr="00993B28" w:rsidR="001133C7" w:rsidP="0070550F" w:rsidRDefault="001133C7" w14:paraId="025C1320" w14:textId="039A6D1D">
      <w:pPr>
        <w:rPr>
          <w:lang w:val="nl-NL"/>
        </w:rPr>
      </w:pPr>
      <w:r w:rsidRPr="001133C7">
        <w:rPr>
          <w:lang w:val="nl-NL"/>
        </w:rPr>
        <w:t xml:space="preserve">Nederland heeft in 2017 het IMO-Ballastwaterverdrag geïmplementeerd in nationale wet- en regelgeving. Dit verdrag verplicht scheepseigenaren hun ballastwater te zuiveren. Ook heeft Nederland zich ingezet voor </w:t>
      </w:r>
      <w:r w:rsidR="00A0674E">
        <w:rPr>
          <w:lang w:val="nl-NL"/>
        </w:rPr>
        <w:t xml:space="preserve">het maken van aanvullende </w:t>
      </w:r>
      <w:r w:rsidRPr="001133C7">
        <w:rPr>
          <w:lang w:val="nl-NL"/>
        </w:rPr>
        <w:t>internationale afspraken over de aangroei op scheepshuiden (</w:t>
      </w:r>
      <w:r w:rsidRPr="00AF1E71">
        <w:rPr>
          <w:i/>
          <w:iCs/>
          <w:lang w:val="nl-NL"/>
        </w:rPr>
        <w:t>hull fouling</w:t>
      </w:r>
      <w:r w:rsidRPr="001133C7">
        <w:rPr>
          <w:lang w:val="nl-NL"/>
        </w:rPr>
        <w:t>).</w:t>
      </w:r>
      <w:r w:rsidR="00D618CE">
        <w:rPr>
          <w:lang w:val="nl-NL"/>
        </w:rPr>
        <w:t xml:space="preserve"> Deze afspraken zijn nog vrijwillig en worden </w:t>
      </w:r>
      <w:r w:rsidRPr="00D618CE" w:rsidR="00D618CE">
        <w:rPr>
          <w:lang w:val="nl-NL"/>
        </w:rPr>
        <w:t>in IMO verband geëvalueerd.</w:t>
      </w:r>
      <w:r w:rsidR="00D618CE">
        <w:rPr>
          <w:lang w:val="nl-NL"/>
        </w:rPr>
        <w:t xml:space="preserve"> Na deze evaluatie moet blijken of aanvullende maatregelen nodig zijn.</w:t>
      </w:r>
    </w:p>
    <w:p w:rsidR="0070550F" w:rsidP="0070550F" w:rsidRDefault="0070550F" w14:paraId="3AC9238E" w14:textId="77777777">
      <w:pPr>
        <w:pStyle w:val="TOCHeading"/>
      </w:pPr>
      <w:r w:rsidRPr="00820E74">
        <w:t xml:space="preserve">Huidige </w:t>
      </w:r>
      <w:r>
        <w:t>milieutoestand</w:t>
      </w:r>
    </w:p>
    <w:p w:rsidR="0070550F" w:rsidP="0070550F" w:rsidRDefault="0070550F" w14:paraId="589E74C7" w14:textId="04E7B19C">
      <w:pPr>
        <w:rPr>
          <w:lang w:val="nl-NL"/>
        </w:rPr>
      </w:pPr>
      <w:r>
        <w:rPr>
          <w:lang w:val="nl-NL"/>
        </w:rPr>
        <w:t>De Mariene Strategie deel 1</w:t>
      </w:r>
      <w:r w:rsidR="006F4BC1">
        <w:rPr>
          <w:lang w:val="nl-NL"/>
        </w:rPr>
        <w:t xml:space="preserve"> (</w:t>
      </w:r>
      <w:r>
        <w:rPr>
          <w:lang w:val="nl-NL"/>
        </w:rPr>
        <w:t>2018)</w:t>
      </w:r>
      <w:r w:rsidR="00DD4F15">
        <w:rPr>
          <w:lang w:val="nl-NL"/>
        </w:rPr>
        <w:t xml:space="preserve"> [11]</w:t>
      </w:r>
      <w:r>
        <w:rPr>
          <w:lang w:val="nl-NL"/>
        </w:rPr>
        <w:t xml:space="preserve"> geeft aan dat de g</w:t>
      </w:r>
      <w:r w:rsidRPr="00F47CFA">
        <w:rPr>
          <w:lang w:val="nl-NL"/>
        </w:rPr>
        <w:t>oede milieutoestand lijkt gehaald</w:t>
      </w:r>
      <w:r w:rsidR="001133C7">
        <w:rPr>
          <w:lang w:val="nl-NL"/>
        </w:rPr>
        <w:t>.</w:t>
      </w:r>
      <w:r w:rsidRPr="00F47CFA">
        <w:rPr>
          <w:lang w:val="nl-NL"/>
        </w:rPr>
        <w:t xml:space="preserve"> </w:t>
      </w:r>
      <w:r>
        <w:rPr>
          <w:lang w:val="nl-NL"/>
        </w:rPr>
        <w:t xml:space="preserve">Het </w:t>
      </w:r>
      <w:r w:rsidRPr="00F47CFA">
        <w:rPr>
          <w:lang w:val="nl-NL"/>
        </w:rPr>
        <w:t xml:space="preserve">aantal waarnemingen van nieuwe niet-inheemse soorten </w:t>
      </w:r>
      <w:r w:rsidR="001133C7">
        <w:rPr>
          <w:lang w:val="nl-NL"/>
        </w:rPr>
        <w:t>neemt</w:t>
      </w:r>
      <w:r w:rsidRPr="00F47CFA" w:rsidR="001133C7">
        <w:rPr>
          <w:lang w:val="nl-NL"/>
        </w:rPr>
        <w:t xml:space="preserve"> </w:t>
      </w:r>
      <w:r>
        <w:rPr>
          <w:lang w:val="nl-NL"/>
        </w:rPr>
        <w:t xml:space="preserve">namelijk </w:t>
      </w:r>
      <w:r w:rsidRPr="00F47CFA">
        <w:rPr>
          <w:lang w:val="nl-NL"/>
        </w:rPr>
        <w:t>sinds 2012 af</w:t>
      </w:r>
      <w:r w:rsidR="001133C7">
        <w:rPr>
          <w:lang w:val="nl-NL"/>
        </w:rPr>
        <w:t>.</w:t>
      </w:r>
      <w:r w:rsidRPr="00F47CFA">
        <w:rPr>
          <w:lang w:val="nl-NL"/>
        </w:rPr>
        <w:t xml:space="preserve"> In de periode 2012-2017 is één nieuwe introductie waargenomen (de vlokreeft </w:t>
      </w:r>
      <w:r w:rsidRPr="001D1E48">
        <w:rPr>
          <w:i/>
          <w:iCs/>
          <w:lang w:val="nl-NL"/>
        </w:rPr>
        <w:t>Monocorophium uenoi</w:t>
      </w:r>
      <w:r w:rsidRPr="00F47CFA">
        <w:rPr>
          <w:lang w:val="nl-NL"/>
        </w:rPr>
        <w:t xml:space="preserve">). De primaire introductie van de niet-inheemse soorten </w:t>
      </w:r>
      <w:r>
        <w:rPr>
          <w:lang w:val="nl-NL"/>
        </w:rPr>
        <w:t>verloopt vooral</w:t>
      </w:r>
      <w:r w:rsidRPr="00F47CFA">
        <w:rPr>
          <w:lang w:val="nl-NL"/>
        </w:rPr>
        <w:t xml:space="preserve"> via ballastwater, aangroei op scheepshuid</w:t>
      </w:r>
      <w:r w:rsidR="00AA1051">
        <w:rPr>
          <w:lang w:val="nl-NL"/>
        </w:rPr>
        <w:t>en</w:t>
      </w:r>
      <w:r w:rsidRPr="00F47CFA">
        <w:rPr>
          <w:lang w:val="nl-NL"/>
        </w:rPr>
        <w:t xml:space="preserve"> en transport van schelpdieren</w:t>
      </w:r>
      <w:r w:rsidR="00AA1051">
        <w:rPr>
          <w:lang w:val="nl-NL"/>
        </w:rPr>
        <w:t xml:space="preserve">, </w:t>
      </w:r>
      <w:r w:rsidRPr="00F47CFA">
        <w:rPr>
          <w:lang w:val="nl-NL"/>
        </w:rPr>
        <w:t xml:space="preserve">waaronder oesters. </w:t>
      </w:r>
    </w:p>
    <w:p w:rsidR="0070550F" w:rsidP="0070550F" w:rsidRDefault="0070550F" w14:paraId="4A38118F" w14:textId="77777777">
      <w:pPr>
        <w:pStyle w:val="TOCHeading"/>
      </w:pPr>
      <w:r>
        <w:t>Aanvullende b</w:t>
      </w:r>
      <w:r w:rsidRPr="00032440">
        <w:t xml:space="preserve">eleidsopgave </w:t>
      </w:r>
    </w:p>
    <w:p w:rsidR="0070550F" w:rsidP="0070550F" w:rsidRDefault="0070550F" w14:paraId="7E2D8CB9" w14:textId="620A0876">
      <w:pPr>
        <w:rPr>
          <w:lang w:val="nl-NL" w:eastAsia="nl-NL"/>
        </w:rPr>
      </w:pPr>
      <w:r>
        <w:rPr>
          <w:lang w:val="nl-NL" w:eastAsia="nl-NL"/>
        </w:rPr>
        <w:t xml:space="preserve">Mariene Strategie deel 1 </w:t>
      </w:r>
      <w:r w:rsidR="006F4BC1">
        <w:rPr>
          <w:lang w:val="nl-NL" w:eastAsia="nl-NL"/>
        </w:rPr>
        <w:t>(</w:t>
      </w:r>
      <w:r>
        <w:rPr>
          <w:lang w:val="nl-NL" w:eastAsia="nl-NL"/>
        </w:rPr>
        <w:t xml:space="preserve">2018) </w:t>
      </w:r>
      <w:r w:rsidR="00DD4F15">
        <w:rPr>
          <w:lang w:val="nl-NL" w:eastAsia="nl-NL"/>
        </w:rPr>
        <w:t xml:space="preserve">[11] </w:t>
      </w:r>
      <w:r>
        <w:rPr>
          <w:lang w:val="nl-NL" w:eastAsia="nl-NL"/>
        </w:rPr>
        <w:t>geeft aan dat er geen aanvullende beleidsopgave is</w:t>
      </w:r>
      <w:r w:rsidR="00AA1051">
        <w:rPr>
          <w:lang w:val="nl-NL" w:eastAsia="nl-NL"/>
        </w:rPr>
        <w:t xml:space="preserve">; het </w:t>
      </w:r>
      <w:r w:rsidRPr="00FF2DF9">
        <w:rPr>
          <w:lang w:val="nl-NL" w:eastAsia="nl-NL"/>
        </w:rPr>
        <w:t>bestaand</w:t>
      </w:r>
      <w:r w:rsidR="00AA1051">
        <w:rPr>
          <w:lang w:val="nl-NL" w:eastAsia="nl-NL"/>
        </w:rPr>
        <w:t>e</w:t>
      </w:r>
      <w:r w:rsidRPr="00FF2DF9">
        <w:rPr>
          <w:lang w:val="nl-NL" w:eastAsia="nl-NL"/>
        </w:rPr>
        <w:t xml:space="preserve"> beleid voldoet, </w:t>
      </w:r>
      <w:r>
        <w:rPr>
          <w:lang w:val="nl-NL" w:eastAsia="nl-NL"/>
        </w:rPr>
        <w:t xml:space="preserve">maar er </w:t>
      </w:r>
      <w:r w:rsidR="00AA1051">
        <w:rPr>
          <w:lang w:val="nl-NL" w:eastAsia="nl-NL"/>
        </w:rPr>
        <w:t xml:space="preserve">is </w:t>
      </w:r>
      <w:r w:rsidRPr="00FF2DF9">
        <w:rPr>
          <w:lang w:val="nl-NL" w:eastAsia="nl-NL"/>
        </w:rPr>
        <w:t xml:space="preserve">wel een kennisopgave </w:t>
      </w:r>
      <w:r w:rsidR="00AA1051">
        <w:rPr>
          <w:lang w:val="nl-NL" w:eastAsia="nl-NL"/>
        </w:rPr>
        <w:t>omtrent</w:t>
      </w:r>
      <w:r w:rsidRPr="00FF2DF9">
        <w:rPr>
          <w:lang w:val="nl-NL" w:eastAsia="nl-NL"/>
        </w:rPr>
        <w:t xml:space="preserve"> de toename van hard substraat.</w:t>
      </w:r>
    </w:p>
    <w:p w:rsidR="0070550F" w:rsidP="0070550F" w:rsidRDefault="00AA1051" w14:paraId="2C67F2B1" w14:textId="77777777">
      <w:pPr>
        <w:rPr>
          <w:lang w:val="nl-NL" w:eastAsia="nl-NL"/>
        </w:rPr>
      </w:pPr>
      <w:r>
        <w:rPr>
          <w:lang w:val="nl-NL" w:eastAsia="nl-NL"/>
        </w:rPr>
        <w:t>Nederland beschouwt</w:t>
      </w:r>
      <w:r w:rsidR="0070550F">
        <w:rPr>
          <w:lang w:val="nl-NL" w:eastAsia="nl-NL"/>
        </w:rPr>
        <w:t xml:space="preserve"> d</w:t>
      </w:r>
      <w:r w:rsidRPr="00D03178" w:rsidR="0070550F">
        <w:rPr>
          <w:lang w:val="nl-NL" w:eastAsia="nl-NL"/>
        </w:rPr>
        <w:t>e aanwezigheid van</w:t>
      </w:r>
      <w:r>
        <w:rPr>
          <w:lang w:val="nl-NL" w:eastAsia="nl-NL"/>
        </w:rPr>
        <w:t xml:space="preserve"> al</w:t>
      </w:r>
      <w:r w:rsidRPr="00D03178" w:rsidR="0070550F">
        <w:rPr>
          <w:lang w:val="nl-NL" w:eastAsia="nl-NL"/>
        </w:rPr>
        <w:t xml:space="preserve"> gevestigde niet-inheemse soorten als onomkeerbaar</w:t>
      </w:r>
      <w:r>
        <w:rPr>
          <w:lang w:val="nl-NL" w:eastAsia="nl-NL"/>
        </w:rPr>
        <w:t>.</w:t>
      </w:r>
      <w:r w:rsidRPr="00D03178" w:rsidR="0070550F">
        <w:rPr>
          <w:lang w:val="nl-NL" w:eastAsia="nl-NL"/>
        </w:rPr>
        <w:t xml:space="preserve"> Het is niet mogelijk om eenmaal gevestigde niet-inheemse soorten kosteneffectief en zonder aanzienlijke schade aan het ecosysteem te bestrijden. Dit betekent dat het bereiken van de goede milieutoestand gelijk is aan het streven om het huidige ecosysteem niet </w:t>
      </w:r>
      <w:r w:rsidR="00C179D3">
        <w:rPr>
          <w:lang w:val="nl-NL" w:eastAsia="nl-NL"/>
        </w:rPr>
        <w:t xml:space="preserve">door </w:t>
      </w:r>
      <w:r w:rsidRPr="00D03178" w:rsidR="0070550F">
        <w:rPr>
          <w:lang w:val="nl-NL" w:eastAsia="nl-NL"/>
        </w:rPr>
        <w:t>nieuwe introducties</w:t>
      </w:r>
      <w:r w:rsidR="00C179D3">
        <w:rPr>
          <w:lang w:val="nl-NL" w:eastAsia="nl-NL"/>
        </w:rPr>
        <w:t xml:space="preserve"> te laten veranderen</w:t>
      </w:r>
      <w:r w:rsidRPr="00D03178" w:rsidR="0070550F">
        <w:rPr>
          <w:lang w:val="nl-NL" w:eastAsia="nl-NL"/>
        </w:rPr>
        <w:t xml:space="preserve">. </w:t>
      </w:r>
      <w:r w:rsidR="00C179D3">
        <w:rPr>
          <w:lang w:val="nl-NL" w:eastAsia="nl-NL"/>
        </w:rPr>
        <w:t xml:space="preserve">Minimaliseren van </w:t>
      </w:r>
      <w:r w:rsidRPr="00D03178" w:rsidR="0070550F">
        <w:rPr>
          <w:lang w:val="nl-NL" w:eastAsia="nl-NL"/>
        </w:rPr>
        <w:t>nieuwe introducties</w:t>
      </w:r>
      <w:r w:rsidR="00C179D3">
        <w:rPr>
          <w:lang w:val="nl-NL" w:eastAsia="nl-NL"/>
        </w:rPr>
        <w:t xml:space="preserve"> is dan ook het doel</w:t>
      </w:r>
      <w:r w:rsidRPr="00D03178" w:rsidR="0070550F">
        <w:rPr>
          <w:lang w:val="nl-NL" w:eastAsia="nl-NL"/>
        </w:rPr>
        <w:t>.</w:t>
      </w:r>
    </w:p>
    <w:p w:rsidRPr="00F02C90" w:rsidR="0070550F" w:rsidP="0070550F" w:rsidRDefault="0070550F" w14:paraId="2E6A8082" w14:textId="77777777">
      <w:pPr>
        <w:rPr>
          <w:lang w:val="nl-NL"/>
        </w:rPr>
      </w:pPr>
      <w:r w:rsidRPr="00F02C90">
        <w:rPr>
          <w:lang w:val="nl-NL"/>
        </w:rPr>
        <w:t xml:space="preserve">Een aandachtspunt is het </w:t>
      </w:r>
      <w:r w:rsidR="00AA1051">
        <w:rPr>
          <w:lang w:val="nl-NL"/>
        </w:rPr>
        <w:t>storten</w:t>
      </w:r>
      <w:r w:rsidRPr="00F02C90" w:rsidR="00AA1051">
        <w:rPr>
          <w:lang w:val="nl-NL"/>
        </w:rPr>
        <w:t xml:space="preserve"> </w:t>
      </w:r>
      <w:r w:rsidRPr="00F02C90">
        <w:rPr>
          <w:lang w:val="nl-NL"/>
        </w:rPr>
        <w:t>van gebiedsvreemd hard substraat in de Noordzee</w:t>
      </w:r>
      <w:r w:rsidR="00AA1051">
        <w:rPr>
          <w:lang w:val="nl-NL"/>
        </w:rPr>
        <w:t xml:space="preserve">, </w:t>
      </w:r>
      <w:r w:rsidRPr="00F02C90">
        <w:rPr>
          <w:lang w:val="nl-NL"/>
        </w:rPr>
        <w:t xml:space="preserve">bijvoorbeeld </w:t>
      </w:r>
      <w:r w:rsidR="00AA1051">
        <w:rPr>
          <w:lang w:val="nl-NL"/>
        </w:rPr>
        <w:t>om funderingen van windturbines tegen erosie te beschermen</w:t>
      </w:r>
      <w:r w:rsidR="00C179D3">
        <w:rPr>
          <w:lang w:val="nl-NL"/>
        </w:rPr>
        <w:t xml:space="preserve">. Deze activiteit brengt </w:t>
      </w:r>
      <w:r w:rsidR="00300C90">
        <w:rPr>
          <w:lang w:val="nl-NL"/>
        </w:rPr>
        <w:t>mogelijk een</w:t>
      </w:r>
      <w:r w:rsidR="00C179D3">
        <w:rPr>
          <w:lang w:val="nl-NL"/>
        </w:rPr>
        <w:t xml:space="preserve"> risico </w:t>
      </w:r>
      <w:r w:rsidR="00A3534B">
        <w:rPr>
          <w:lang w:val="nl-NL"/>
        </w:rPr>
        <w:t>op</w:t>
      </w:r>
      <w:r w:rsidR="00C179D3">
        <w:rPr>
          <w:lang w:val="nl-NL"/>
        </w:rPr>
        <w:t xml:space="preserve"> </w:t>
      </w:r>
      <w:r w:rsidRPr="00F02C90">
        <w:rPr>
          <w:lang w:val="nl-NL"/>
        </w:rPr>
        <w:t>introductie van niet-inheemse soorten</w:t>
      </w:r>
      <w:r w:rsidR="00C179D3">
        <w:rPr>
          <w:lang w:val="nl-NL"/>
        </w:rPr>
        <w:t xml:space="preserve"> met zich mee</w:t>
      </w:r>
      <w:r w:rsidRPr="00F02C90">
        <w:rPr>
          <w:lang w:val="nl-NL"/>
        </w:rPr>
        <w:t>.</w:t>
      </w:r>
      <w:r w:rsidR="00C179D3">
        <w:rPr>
          <w:lang w:val="nl-NL"/>
        </w:rPr>
        <w:br/>
      </w:r>
      <w:r>
        <w:rPr>
          <w:lang w:val="nl-NL"/>
        </w:rPr>
        <w:t>Een nieuw aandachtspunt betreft mogelijke initiatieven voor de teelt in open</w:t>
      </w:r>
      <w:r w:rsidR="00C179D3">
        <w:rPr>
          <w:lang w:val="nl-NL"/>
        </w:rPr>
        <w:t xml:space="preserve"> zee</w:t>
      </w:r>
      <w:r>
        <w:rPr>
          <w:lang w:val="nl-NL"/>
        </w:rPr>
        <w:t xml:space="preserve"> van </w:t>
      </w:r>
      <w:r w:rsidR="00C179D3">
        <w:rPr>
          <w:lang w:val="nl-NL"/>
        </w:rPr>
        <w:t xml:space="preserve">veredelde inheemse zeewiersoorten </w:t>
      </w:r>
      <w:r w:rsidR="004B7DB4">
        <w:rPr>
          <w:lang w:val="nl-NL"/>
        </w:rPr>
        <w:t xml:space="preserve">of van </w:t>
      </w:r>
      <w:r w:rsidR="00A3534B">
        <w:rPr>
          <w:lang w:val="nl-NL"/>
        </w:rPr>
        <w:t xml:space="preserve">niet-inheemse </w:t>
      </w:r>
      <w:r w:rsidR="004B7DB4">
        <w:rPr>
          <w:lang w:val="nl-NL"/>
        </w:rPr>
        <w:t xml:space="preserve">zeewiersoorten. </w:t>
      </w:r>
      <w:r>
        <w:rPr>
          <w:lang w:val="nl-NL"/>
        </w:rPr>
        <w:t>D</w:t>
      </w:r>
      <w:r w:rsidR="004B7DB4">
        <w:rPr>
          <w:lang w:val="nl-NL"/>
        </w:rPr>
        <w:t xml:space="preserve">eze ontwikkeling </w:t>
      </w:r>
      <w:r w:rsidR="00A3534B">
        <w:rPr>
          <w:lang w:val="nl-NL"/>
        </w:rPr>
        <w:t>dient,</w:t>
      </w:r>
      <w:r>
        <w:rPr>
          <w:lang w:val="nl-NL"/>
        </w:rPr>
        <w:t xml:space="preserve"> mede vanuit </w:t>
      </w:r>
      <w:r w:rsidR="004B7DB4">
        <w:rPr>
          <w:lang w:val="nl-NL"/>
        </w:rPr>
        <w:t>het</w:t>
      </w:r>
      <w:r>
        <w:rPr>
          <w:lang w:val="nl-NL"/>
        </w:rPr>
        <w:t xml:space="preserve"> voorzorgprincipe</w:t>
      </w:r>
      <w:r w:rsidR="004B7DB4">
        <w:rPr>
          <w:lang w:val="nl-NL"/>
        </w:rPr>
        <w:t>,</w:t>
      </w:r>
      <w:r>
        <w:rPr>
          <w:lang w:val="nl-NL"/>
        </w:rPr>
        <w:t xml:space="preserve"> als onwenselijk </w:t>
      </w:r>
      <w:r w:rsidR="00A3534B">
        <w:rPr>
          <w:lang w:val="nl-NL"/>
        </w:rPr>
        <w:t xml:space="preserve">te </w:t>
      </w:r>
      <w:r>
        <w:rPr>
          <w:lang w:val="nl-NL"/>
        </w:rPr>
        <w:t>worden beschouwd.</w:t>
      </w:r>
    </w:p>
    <w:p w:rsidR="0070550F" w:rsidP="0070550F" w:rsidRDefault="0070550F" w14:paraId="6A925F4B" w14:textId="77777777">
      <w:pPr>
        <w:pStyle w:val="TOCHeading"/>
      </w:pPr>
      <w:r w:rsidRPr="00820E74">
        <w:t>Aanvullende maatregelen</w:t>
      </w:r>
    </w:p>
    <w:p w:rsidR="00A95303" w:rsidP="00A95303" w:rsidRDefault="0070550F" w14:paraId="1E0F1179" w14:textId="77777777">
      <w:pPr>
        <w:rPr>
          <w:lang w:val="nl-NL"/>
        </w:rPr>
      </w:pPr>
      <w:r>
        <w:rPr>
          <w:lang w:val="nl-NL"/>
        </w:rPr>
        <w:t>Het huidige beleid voldoet</w:t>
      </w:r>
      <w:r w:rsidR="00AA1051">
        <w:rPr>
          <w:lang w:val="nl-NL"/>
        </w:rPr>
        <w:t>.</w:t>
      </w:r>
      <w:r>
        <w:rPr>
          <w:lang w:val="nl-NL"/>
        </w:rPr>
        <w:t xml:space="preserve"> </w:t>
      </w:r>
      <w:r w:rsidR="00AA1051">
        <w:rPr>
          <w:lang w:val="nl-NL"/>
        </w:rPr>
        <w:t>O</w:t>
      </w:r>
      <w:r>
        <w:rPr>
          <w:lang w:val="nl-NL"/>
        </w:rPr>
        <w:t xml:space="preserve">p dit moment </w:t>
      </w:r>
      <w:r w:rsidR="00AA1051">
        <w:rPr>
          <w:lang w:val="nl-NL"/>
        </w:rPr>
        <w:t>is er daarom</w:t>
      </w:r>
      <w:r w:rsidRPr="00F02C90">
        <w:rPr>
          <w:lang w:val="nl-NL"/>
        </w:rPr>
        <w:t xml:space="preserve"> geen noodzaak </w:t>
      </w:r>
      <w:r w:rsidR="00AA1051">
        <w:rPr>
          <w:lang w:val="nl-NL"/>
        </w:rPr>
        <w:t>om</w:t>
      </w:r>
      <w:r w:rsidRPr="00F02C90">
        <w:rPr>
          <w:lang w:val="nl-NL"/>
        </w:rPr>
        <w:t xml:space="preserve"> aanvullende maatregelen</w:t>
      </w:r>
      <w:r w:rsidR="00AA1051">
        <w:rPr>
          <w:lang w:val="nl-NL"/>
        </w:rPr>
        <w:t xml:space="preserve"> te nemen</w:t>
      </w:r>
      <w:r w:rsidRPr="00F02C90">
        <w:rPr>
          <w:lang w:val="nl-NL"/>
        </w:rPr>
        <w:t>.</w:t>
      </w:r>
      <w:r>
        <w:rPr>
          <w:lang w:val="nl-NL"/>
        </w:rPr>
        <w:t xml:space="preserve"> </w:t>
      </w:r>
      <w:r w:rsidR="00A95303">
        <w:rPr>
          <w:lang w:val="nl-NL"/>
        </w:rPr>
        <w:t xml:space="preserve">Wel moet worden verkend of nadere maatregelen nodig zijn om te voorkomen dat </w:t>
      </w:r>
      <w:r w:rsidR="00A3534B">
        <w:rPr>
          <w:lang w:val="nl-NL"/>
        </w:rPr>
        <w:t>niet-in</w:t>
      </w:r>
      <w:r w:rsidR="00A95303">
        <w:rPr>
          <w:lang w:val="nl-NL"/>
        </w:rPr>
        <w:t>heemse of veredelde zeewiersoorten in open zoute wateren als de Noordzee worden geteeld</w:t>
      </w:r>
      <w:r w:rsidR="00A3534B">
        <w:rPr>
          <w:lang w:val="nl-NL"/>
        </w:rPr>
        <w:t>.</w:t>
      </w:r>
      <w:r w:rsidRPr="00A95303" w:rsidR="00A95303">
        <w:rPr>
          <w:lang w:val="nl-NL"/>
        </w:rPr>
        <w:t xml:space="preserve"> </w:t>
      </w:r>
    </w:p>
    <w:p w:rsidRPr="00966AF9" w:rsidR="0070550F" w:rsidP="00746E9B" w:rsidRDefault="0070550F" w14:paraId="74358F61" w14:textId="77777777">
      <w:pPr>
        <w:pStyle w:val="Stijl1"/>
        <w:numPr>
          <w:ilvl w:val="1"/>
          <w:numId w:val="16"/>
        </w:numPr>
        <w:rPr>
          <w:lang w:val="nl-NL"/>
        </w:rPr>
      </w:pPr>
      <w:bookmarkStart w:name="_Toc59455628" w:id="35"/>
      <w:r w:rsidRPr="00966AF9">
        <w:rPr>
          <w:lang w:val="nl-NL"/>
        </w:rPr>
        <w:t>Commercieel geëxploiteerde soorten vis, schaal- en schelpdieren (D3)</w:t>
      </w:r>
      <w:bookmarkEnd w:id="35"/>
    </w:p>
    <w:p w:rsidRPr="00992FD1" w:rsidR="0070550F" w:rsidP="0070550F" w:rsidRDefault="0070550F" w14:paraId="3E3B9DBD" w14:textId="77777777">
      <w:pPr>
        <w:pStyle w:val="TOCHeading"/>
      </w:pPr>
      <w:r w:rsidRPr="00992FD1">
        <w:t>Goede milieutoestand en doelen</w:t>
      </w:r>
    </w:p>
    <w:p w:rsidR="0070550F" w:rsidP="0070550F" w:rsidRDefault="0070550F" w14:paraId="0BB165EC" w14:textId="7DACDCFF">
      <w:pPr>
        <w:rPr>
          <w:lang w:val="nl-NL"/>
        </w:rPr>
      </w:pPr>
      <w:r>
        <w:rPr>
          <w:lang w:val="nl-NL"/>
        </w:rPr>
        <w:t>Volgens Mariene Strategie deel 1</w:t>
      </w:r>
      <w:r w:rsidR="006F4BC1">
        <w:rPr>
          <w:lang w:val="nl-NL"/>
        </w:rPr>
        <w:t xml:space="preserve"> (</w:t>
      </w:r>
      <w:r>
        <w:rPr>
          <w:lang w:val="nl-NL"/>
        </w:rPr>
        <w:t xml:space="preserve">2018) </w:t>
      </w:r>
      <w:r w:rsidR="00DD4F15">
        <w:rPr>
          <w:lang w:val="nl-NL"/>
        </w:rPr>
        <w:t xml:space="preserve">[11] </w:t>
      </w:r>
      <w:r>
        <w:rPr>
          <w:lang w:val="nl-NL"/>
        </w:rPr>
        <w:t xml:space="preserve">geldt de goede milieutoestand </w:t>
      </w:r>
      <w:r w:rsidR="00915FAE">
        <w:rPr>
          <w:lang w:val="nl-NL"/>
        </w:rPr>
        <w:t xml:space="preserve">van </w:t>
      </w:r>
      <w:r>
        <w:rPr>
          <w:lang w:val="nl-NL"/>
        </w:rPr>
        <w:t xml:space="preserve">commercieel geëxploiteerde soorten vis, schaal- en schelpdieren wanneer de populaties van </w:t>
      </w:r>
      <w:r w:rsidR="004B7DB4">
        <w:rPr>
          <w:lang w:val="nl-NL"/>
        </w:rPr>
        <w:t>á</w:t>
      </w:r>
      <w:r>
        <w:rPr>
          <w:lang w:val="nl-NL"/>
        </w:rPr>
        <w:t xml:space="preserve">lle commercieel geëxploiteerde soorten binnen de veilige biologische grenzen blijven. De lengte- </w:t>
      </w:r>
      <w:r w:rsidR="00AA1051">
        <w:rPr>
          <w:lang w:val="nl-NL"/>
        </w:rPr>
        <w:t xml:space="preserve">en </w:t>
      </w:r>
      <w:r>
        <w:rPr>
          <w:lang w:val="nl-NL"/>
        </w:rPr>
        <w:t xml:space="preserve">leeftijdsverdeling en </w:t>
      </w:r>
      <w:r w:rsidR="00AA1051">
        <w:rPr>
          <w:lang w:val="nl-NL"/>
        </w:rPr>
        <w:t xml:space="preserve">de </w:t>
      </w:r>
      <w:r>
        <w:rPr>
          <w:lang w:val="nl-NL"/>
        </w:rPr>
        <w:t>omvang van deze populaties vertonen een opbouw die kenmerkend is voor een gezond bestand.</w:t>
      </w:r>
    </w:p>
    <w:p w:rsidR="0070550F" w:rsidP="0070550F" w:rsidRDefault="00915FAE" w14:paraId="38296F9A" w14:textId="77777777">
      <w:pPr>
        <w:rPr>
          <w:lang w:val="nl-NL"/>
        </w:rPr>
      </w:pPr>
      <w:r>
        <w:rPr>
          <w:lang w:val="nl-NL"/>
        </w:rPr>
        <w:t>P</w:t>
      </w:r>
      <w:r w:rsidRPr="00915FAE">
        <w:rPr>
          <w:lang w:val="nl-NL"/>
        </w:rPr>
        <w:t>aragraaf 3.2</w:t>
      </w:r>
      <w:r>
        <w:rPr>
          <w:lang w:val="nl-NL"/>
        </w:rPr>
        <w:t xml:space="preserve"> geeft c</w:t>
      </w:r>
      <w:r w:rsidRPr="00617223" w:rsidR="0070550F">
        <w:rPr>
          <w:lang w:val="nl-NL"/>
        </w:rPr>
        <w:t>riteria</w:t>
      </w:r>
      <w:r>
        <w:rPr>
          <w:lang w:val="nl-NL"/>
        </w:rPr>
        <w:t xml:space="preserve"> aan</w:t>
      </w:r>
      <w:r w:rsidRPr="00617223" w:rsidR="0070550F">
        <w:rPr>
          <w:lang w:val="nl-NL"/>
        </w:rPr>
        <w:t xml:space="preserve"> voor de goede milieutoestand </w:t>
      </w:r>
      <w:r>
        <w:rPr>
          <w:lang w:val="nl-NL"/>
        </w:rPr>
        <w:t>en</w:t>
      </w:r>
      <w:r w:rsidRPr="00617223">
        <w:rPr>
          <w:lang w:val="nl-NL"/>
        </w:rPr>
        <w:t xml:space="preserve"> </w:t>
      </w:r>
      <w:r>
        <w:rPr>
          <w:lang w:val="nl-NL"/>
        </w:rPr>
        <w:t xml:space="preserve">de </w:t>
      </w:r>
      <w:r w:rsidRPr="00617223" w:rsidR="0070550F">
        <w:rPr>
          <w:lang w:val="nl-NL"/>
        </w:rPr>
        <w:t xml:space="preserve">milieudoelen voor de </w:t>
      </w:r>
      <w:r w:rsidR="004B7DB4">
        <w:rPr>
          <w:lang w:val="nl-NL"/>
        </w:rPr>
        <w:t xml:space="preserve">hele </w:t>
      </w:r>
      <w:r w:rsidRPr="00617223" w:rsidR="0070550F">
        <w:rPr>
          <w:lang w:val="nl-NL"/>
        </w:rPr>
        <w:t>visgemeenschap, inclusief commerciële soorten</w:t>
      </w:r>
      <w:r>
        <w:rPr>
          <w:lang w:val="nl-NL"/>
        </w:rPr>
        <w:t>.</w:t>
      </w:r>
      <w:r w:rsidRPr="00617223" w:rsidR="0070550F">
        <w:rPr>
          <w:lang w:val="nl-NL"/>
        </w:rPr>
        <w:t xml:space="preserve"> </w:t>
      </w:r>
      <w:r>
        <w:rPr>
          <w:lang w:val="nl-NL"/>
        </w:rPr>
        <w:t>O</w:t>
      </w:r>
      <w:r w:rsidRPr="00915FAE">
        <w:rPr>
          <w:lang w:val="nl-NL"/>
        </w:rPr>
        <w:t xml:space="preserve">nderstaande tabel </w:t>
      </w:r>
      <w:r>
        <w:rPr>
          <w:lang w:val="nl-NL"/>
        </w:rPr>
        <w:t>geeft de d</w:t>
      </w:r>
      <w:r w:rsidRPr="00617223" w:rsidR="0070550F">
        <w:rPr>
          <w:lang w:val="nl-NL"/>
        </w:rPr>
        <w:t xml:space="preserve">oelen </w:t>
      </w:r>
      <w:r>
        <w:rPr>
          <w:lang w:val="nl-NL"/>
        </w:rPr>
        <w:t xml:space="preserve">weer </w:t>
      </w:r>
      <w:r w:rsidRPr="00617223" w:rsidR="0070550F">
        <w:rPr>
          <w:lang w:val="nl-NL"/>
        </w:rPr>
        <w:t xml:space="preserve">om tot de goede milieutoestand </w:t>
      </w:r>
      <w:r>
        <w:rPr>
          <w:lang w:val="nl-NL"/>
        </w:rPr>
        <w:t>van</w:t>
      </w:r>
      <w:r w:rsidRPr="00915FAE">
        <w:rPr>
          <w:lang w:val="nl-NL"/>
        </w:rPr>
        <w:t xml:space="preserve"> commerciële vissen </w:t>
      </w:r>
      <w:r w:rsidRPr="00617223" w:rsidR="0070550F">
        <w:rPr>
          <w:lang w:val="nl-NL"/>
        </w:rPr>
        <w:t>te komen</w:t>
      </w:r>
      <w:r>
        <w:rPr>
          <w:lang w:val="nl-NL"/>
        </w:rPr>
        <w:t>.</w:t>
      </w:r>
    </w:p>
    <w:tbl>
      <w:tblPr>
        <w:tblStyle w:val="TableGrid"/>
        <w:tblW w:w="0" w:type="auto"/>
        <w:tblLook w:val="04A0" w:firstRow="1" w:lastRow="0" w:firstColumn="1" w:lastColumn="0" w:noHBand="0" w:noVBand="1"/>
      </w:tblPr>
      <w:tblGrid>
        <w:gridCol w:w="1413"/>
        <w:gridCol w:w="7604"/>
      </w:tblGrid>
      <w:tr w:rsidRPr="0084482C" w:rsidR="0070550F" w:rsidTr="000E4075" w14:paraId="34FC2D07" w14:textId="77777777">
        <w:tc>
          <w:tcPr>
            <w:tcW w:w="1413" w:type="dxa"/>
          </w:tcPr>
          <w:p w:rsidRPr="00A32D98" w:rsidR="0070550F" w:rsidP="000E4075" w:rsidRDefault="0070550F" w14:paraId="5B0EA14D" w14:textId="77777777">
            <w:pPr>
              <w:rPr>
                <w:sz w:val="16"/>
              </w:rPr>
            </w:pPr>
            <w:r w:rsidRPr="00A32D98">
              <w:rPr>
                <w:sz w:val="16"/>
              </w:rPr>
              <w:t>Goede milieutoestand</w:t>
            </w:r>
          </w:p>
        </w:tc>
        <w:tc>
          <w:tcPr>
            <w:tcW w:w="7604" w:type="dxa"/>
          </w:tcPr>
          <w:p w:rsidRPr="00FE6E1A" w:rsidR="0070550F" w:rsidP="000E4075" w:rsidRDefault="0070550F" w14:paraId="2494BB0E" w14:textId="77777777">
            <w:pPr>
              <w:rPr>
                <w:sz w:val="16"/>
                <w:lang w:val="nl-NL"/>
              </w:rPr>
            </w:pPr>
            <w:r w:rsidRPr="00FE6E1A">
              <w:rPr>
                <w:sz w:val="16"/>
                <w:lang w:val="nl-NL"/>
              </w:rPr>
              <w:t>Overkoepelend: geleidelijk herstel en behoud van populaties van</w:t>
            </w:r>
            <w:r>
              <w:rPr>
                <w:sz w:val="16"/>
                <w:lang w:val="nl-NL"/>
              </w:rPr>
              <w:t xml:space="preserve"> </w:t>
            </w:r>
            <w:r w:rsidRPr="00FE6E1A">
              <w:rPr>
                <w:sz w:val="16"/>
                <w:lang w:val="nl-NL"/>
              </w:rPr>
              <w:t>visbestanden boven een biomassaniveau dat de maximale</w:t>
            </w:r>
            <w:r>
              <w:rPr>
                <w:sz w:val="16"/>
                <w:lang w:val="nl-NL"/>
              </w:rPr>
              <w:t xml:space="preserve"> </w:t>
            </w:r>
            <w:r w:rsidRPr="00FE6E1A">
              <w:rPr>
                <w:sz w:val="16"/>
                <w:lang w:val="nl-NL"/>
              </w:rPr>
              <w:t>duurzame opbrengst kan opleveren.</w:t>
            </w:r>
          </w:p>
          <w:p w:rsidRPr="00FE6E1A" w:rsidR="0070550F" w:rsidP="00746E9B" w:rsidRDefault="0070550F" w14:paraId="5FC8AB4A" w14:textId="77777777">
            <w:pPr>
              <w:pStyle w:val="ListParagraph"/>
              <w:numPr>
                <w:ilvl w:val="0"/>
                <w:numId w:val="23"/>
              </w:numPr>
              <w:rPr>
                <w:sz w:val="16"/>
                <w:lang w:val="nl-NL"/>
              </w:rPr>
            </w:pPr>
            <w:r w:rsidRPr="00FE6E1A">
              <w:rPr>
                <w:sz w:val="16"/>
                <w:lang w:val="nl-NL"/>
              </w:rPr>
              <w:t>D3C1: voor ieder commercieel bevist visbestand geldt dat de sterfte door visserij (F) op de waarde of kleiner dan de waarde blijft die behoort bij een maximale duurzame oogst (Maximum Sustainable Yield, MSY): F≤Fmsy (</w:t>
            </w:r>
            <w:r w:rsidR="0077504C">
              <w:rPr>
                <w:sz w:val="16"/>
                <w:lang w:val="nl-NL"/>
              </w:rPr>
              <w:t>GVB</w:t>
            </w:r>
            <w:r w:rsidRPr="00FE6E1A">
              <w:rPr>
                <w:sz w:val="16"/>
                <w:lang w:val="nl-NL"/>
              </w:rPr>
              <w:t>).</w:t>
            </w:r>
          </w:p>
          <w:p w:rsidRPr="00FE6E1A" w:rsidR="0070550F" w:rsidP="00746E9B" w:rsidRDefault="0070550F" w14:paraId="3D07B89F" w14:textId="77777777">
            <w:pPr>
              <w:pStyle w:val="ListParagraph"/>
              <w:numPr>
                <w:ilvl w:val="0"/>
                <w:numId w:val="23"/>
              </w:numPr>
              <w:rPr>
                <w:sz w:val="16"/>
                <w:lang w:val="nl-NL"/>
              </w:rPr>
            </w:pPr>
            <w:r w:rsidRPr="00FE6E1A">
              <w:rPr>
                <w:sz w:val="16"/>
                <w:lang w:val="nl-NL"/>
              </w:rPr>
              <w:t xml:space="preserve">D3C2: de biomassa van paaibestanden (Spawning Stock Biomass of SSB) van commercieel beviste vis, schaal- of schelpdieren ligt boven het voorzorgniveau MSY Btrigger (in lijn met ICES-vangstadviezen; </w:t>
            </w:r>
            <w:r w:rsidR="0077504C">
              <w:rPr>
                <w:sz w:val="16"/>
                <w:lang w:val="nl-NL"/>
              </w:rPr>
              <w:t>GVB</w:t>
            </w:r>
            <w:r w:rsidRPr="00FE6E1A">
              <w:rPr>
                <w:sz w:val="16"/>
                <w:lang w:val="nl-NL"/>
              </w:rPr>
              <w:t>).</w:t>
            </w:r>
          </w:p>
          <w:p w:rsidR="0070550F" w:rsidP="000E4075" w:rsidRDefault="0070550F" w14:paraId="0F89C916" w14:textId="77777777">
            <w:pPr>
              <w:rPr>
                <w:sz w:val="16"/>
                <w:lang w:val="nl-NL"/>
              </w:rPr>
            </w:pPr>
          </w:p>
          <w:p w:rsidRPr="00FE6E1A" w:rsidR="0070550F" w:rsidP="000E4075" w:rsidRDefault="0070550F" w14:paraId="6A14BA7F" w14:textId="77777777">
            <w:pPr>
              <w:rPr>
                <w:sz w:val="16"/>
                <w:lang w:val="nl-NL"/>
              </w:rPr>
            </w:pPr>
            <w:r w:rsidRPr="00FE6E1A">
              <w:rPr>
                <w:sz w:val="16"/>
                <w:lang w:val="nl-NL"/>
              </w:rPr>
              <w:t>Internationaal is afgesproken dat de goede milieutoestand voor</w:t>
            </w:r>
            <w:r>
              <w:rPr>
                <w:sz w:val="16"/>
                <w:lang w:val="nl-NL"/>
              </w:rPr>
              <w:t xml:space="preserve"> </w:t>
            </w:r>
            <w:r w:rsidRPr="00FE6E1A">
              <w:rPr>
                <w:sz w:val="16"/>
                <w:lang w:val="nl-NL"/>
              </w:rPr>
              <w:t>commerciële vissoorten is verwezenlijkt wanneer voor elk commercieel</w:t>
            </w:r>
            <w:r>
              <w:rPr>
                <w:sz w:val="16"/>
                <w:lang w:val="nl-NL"/>
              </w:rPr>
              <w:t xml:space="preserve"> </w:t>
            </w:r>
            <w:r w:rsidRPr="00FE6E1A">
              <w:rPr>
                <w:sz w:val="16"/>
                <w:lang w:val="nl-NL"/>
              </w:rPr>
              <w:t>bevist bestand aan deze beide criteria wordt voldaan. Als dat niet het geval</w:t>
            </w:r>
            <w:r>
              <w:rPr>
                <w:sz w:val="16"/>
                <w:lang w:val="nl-NL"/>
              </w:rPr>
              <w:t xml:space="preserve"> </w:t>
            </w:r>
            <w:r w:rsidRPr="00FE6E1A">
              <w:rPr>
                <w:sz w:val="16"/>
                <w:lang w:val="nl-NL"/>
              </w:rPr>
              <w:t>is, verkeert de soort niet in de goede toestand.</w:t>
            </w:r>
          </w:p>
        </w:tc>
      </w:tr>
      <w:tr w:rsidRPr="0084482C" w:rsidR="0070550F" w:rsidTr="000E4075" w14:paraId="6B2204F4" w14:textId="77777777">
        <w:tc>
          <w:tcPr>
            <w:tcW w:w="1413" w:type="dxa"/>
          </w:tcPr>
          <w:p w:rsidRPr="00A32D98" w:rsidR="0070550F" w:rsidP="000E4075" w:rsidRDefault="0070550F" w14:paraId="66B99BA7" w14:textId="77777777">
            <w:pPr>
              <w:rPr>
                <w:sz w:val="16"/>
              </w:rPr>
            </w:pPr>
            <w:r w:rsidRPr="00A32D98">
              <w:rPr>
                <w:sz w:val="16"/>
              </w:rPr>
              <w:t>Milieudoelen</w:t>
            </w:r>
          </w:p>
        </w:tc>
        <w:tc>
          <w:tcPr>
            <w:tcW w:w="7604" w:type="dxa"/>
          </w:tcPr>
          <w:p w:rsidRPr="00FE6E1A" w:rsidR="0070550F" w:rsidP="00746E9B" w:rsidRDefault="0070550F" w14:paraId="3B8C5C22" w14:textId="77777777">
            <w:pPr>
              <w:pStyle w:val="ListParagraph"/>
              <w:numPr>
                <w:ilvl w:val="0"/>
                <w:numId w:val="47"/>
              </w:numPr>
              <w:rPr>
                <w:sz w:val="16"/>
                <w:lang w:val="nl-NL"/>
              </w:rPr>
            </w:pPr>
            <w:r w:rsidRPr="00FE6E1A">
              <w:rPr>
                <w:sz w:val="16"/>
                <w:lang w:val="nl-NL"/>
              </w:rPr>
              <w:t>D3T1: het beheer van alle commercieel beviste bestanden voldoet aan F≤Fmsy en een paaibiomassa boven het voorzorgniveau MSY Btrigger.</w:t>
            </w:r>
          </w:p>
        </w:tc>
      </w:tr>
    </w:tbl>
    <w:p w:rsidRPr="00601347" w:rsidR="005C51C3" w:rsidP="005C51C3" w:rsidRDefault="005C51C3" w14:paraId="7AE0EACD" w14:textId="77777777">
      <w:pPr>
        <w:rPr>
          <w:lang w:val="nl-NL"/>
        </w:rPr>
      </w:pPr>
    </w:p>
    <w:p w:rsidRPr="00617223" w:rsidR="005C51C3" w:rsidP="005C51C3" w:rsidRDefault="005C51C3" w14:paraId="1D61072A" w14:textId="77777777">
      <w:pPr>
        <w:rPr>
          <w:lang w:val="nl-NL"/>
        </w:rPr>
      </w:pPr>
      <w:r w:rsidRPr="00EA1CC0">
        <w:rPr>
          <w:lang w:val="nl-NL"/>
        </w:rPr>
        <w:t xml:space="preserve">De indicator voor lengte-leeftijdsverdeling binnen vispopulaties </w:t>
      </w:r>
      <w:r>
        <w:rPr>
          <w:lang w:val="nl-NL"/>
        </w:rPr>
        <w:t xml:space="preserve">(D3C3) </w:t>
      </w:r>
      <w:r w:rsidRPr="00EA1CC0">
        <w:rPr>
          <w:lang w:val="nl-NL"/>
        </w:rPr>
        <w:t xml:space="preserve">wordt momenteel niet </w:t>
      </w:r>
      <w:r>
        <w:rPr>
          <w:lang w:val="nl-NL"/>
        </w:rPr>
        <w:t>gebruikt,</w:t>
      </w:r>
      <w:r w:rsidRPr="00EA1CC0">
        <w:rPr>
          <w:lang w:val="nl-NL"/>
        </w:rPr>
        <w:t xml:space="preserve"> </w:t>
      </w:r>
      <w:r>
        <w:rPr>
          <w:lang w:val="nl-NL"/>
        </w:rPr>
        <w:t>omdat</w:t>
      </w:r>
      <w:r w:rsidRPr="00EA1CC0">
        <w:rPr>
          <w:lang w:val="nl-NL"/>
        </w:rPr>
        <w:t xml:space="preserve"> hier op internationaal niveau geen overeenstemming over is. Nederland </w:t>
      </w:r>
      <w:r w:rsidR="008B1F25">
        <w:rPr>
          <w:lang w:val="nl-NL"/>
        </w:rPr>
        <w:t>gaat</w:t>
      </w:r>
      <w:r w:rsidRPr="00EA1CC0">
        <w:rPr>
          <w:lang w:val="nl-NL"/>
        </w:rPr>
        <w:t xml:space="preserve"> zich</w:t>
      </w:r>
      <w:r w:rsidR="00A3534B">
        <w:rPr>
          <w:lang w:val="nl-NL"/>
        </w:rPr>
        <w:t xml:space="preserve"> nationaal</w:t>
      </w:r>
      <w:r w:rsidRPr="00EA1CC0">
        <w:rPr>
          <w:lang w:val="nl-NL"/>
        </w:rPr>
        <w:t xml:space="preserve"> </w:t>
      </w:r>
      <w:r w:rsidRPr="007D1D80">
        <w:rPr>
          <w:lang w:val="nl-NL"/>
        </w:rPr>
        <w:t>inzetten om meer kennis te krijgen over lengte- en leeftijdsverdeling van commerciële visbestanden</w:t>
      </w:r>
      <w:r>
        <w:rPr>
          <w:lang w:val="nl-NL"/>
        </w:rPr>
        <w:t xml:space="preserve">, </w:t>
      </w:r>
      <w:r w:rsidR="00A3534B">
        <w:rPr>
          <w:lang w:val="nl-NL"/>
        </w:rPr>
        <w:t xml:space="preserve">met mogelijk een internationale uitwerking; </w:t>
      </w:r>
      <w:r>
        <w:rPr>
          <w:lang w:val="nl-NL"/>
        </w:rPr>
        <w:t>zie kennisagenda</w:t>
      </w:r>
      <w:r w:rsidRPr="007D1D80">
        <w:rPr>
          <w:lang w:val="nl-NL"/>
        </w:rPr>
        <w:t>.</w:t>
      </w:r>
    </w:p>
    <w:p w:rsidRPr="00DB4F99" w:rsidR="0070550F" w:rsidP="0070550F" w:rsidRDefault="0070550F" w14:paraId="154C4D76" w14:textId="77777777">
      <w:pPr>
        <w:pStyle w:val="TOCHeading"/>
      </w:pPr>
      <w:r w:rsidRPr="00DB4F99">
        <w:t>Geïmplementeerde maatregelen</w:t>
      </w:r>
    </w:p>
    <w:p w:rsidRPr="00EA1CC0" w:rsidR="0070550F" w:rsidP="0070550F" w:rsidRDefault="00915FAE" w14:paraId="200BF03C" w14:textId="77777777">
      <w:pPr>
        <w:rPr>
          <w:lang w:val="nl-NL"/>
        </w:rPr>
      </w:pPr>
      <w:r>
        <w:rPr>
          <w:lang w:val="nl-NL"/>
        </w:rPr>
        <w:t>B</w:t>
      </w:r>
      <w:r w:rsidRPr="00EA1CC0" w:rsidR="0070550F">
        <w:rPr>
          <w:lang w:val="nl-NL"/>
        </w:rPr>
        <w:t>ovengenoemde doelen zijn internationaal overeengekomen</w:t>
      </w:r>
      <w:r>
        <w:rPr>
          <w:lang w:val="nl-NL"/>
        </w:rPr>
        <w:t>.</w:t>
      </w:r>
      <w:r w:rsidRPr="00EA1CC0" w:rsidR="0070550F">
        <w:rPr>
          <w:lang w:val="nl-NL"/>
        </w:rPr>
        <w:t xml:space="preserve"> </w:t>
      </w:r>
      <w:r>
        <w:rPr>
          <w:lang w:val="nl-NL"/>
        </w:rPr>
        <w:t>M</w:t>
      </w:r>
      <w:r w:rsidRPr="00EA1CC0" w:rsidR="0070550F">
        <w:rPr>
          <w:lang w:val="nl-NL"/>
        </w:rPr>
        <w:t>aatregelen uit het Gemeenschappelijk Visserijbeleid (Verordening (EU) 1380/2013)</w:t>
      </w:r>
      <w:r>
        <w:rPr>
          <w:lang w:val="nl-NL"/>
        </w:rPr>
        <w:t xml:space="preserve"> zijn sturend voor het bereiken van de</w:t>
      </w:r>
      <w:r w:rsidR="006F4BC1">
        <w:rPr>
          <w:lang w:val="nl-NL"/>
        </w:rPr>
        <w:t>ze</w:t>
      </w:r>
      <w:r>
        <w:rPr>
          <w:lang w:val="nl-NL"/>
        </w:rPr>
        <w:t xml:space="preserve"> doelen</w:t>
      </w:r>
      <w:r w:rsidRPr="00EA1CC0" w:rsidR="0070550F">
        <w:rPr>
          <w:lang w:val="nl-NL"/>
        </w:rPr>
        <w:t xml:space="preserve">. </w:t>
      </w:r>
    </w:p>
    <w:p w:rsidRPr="00A3534B" w:rsidR="0070550F" w:rsidP="0070550F" w:rsidRDefault="0070550F" w14:paraId="398EFE76" w14:textId="77777777">
      <w:pPr>
        <w:rPr>
          <w:lang w:val="nl-NL"/>
        </w:rPr>
      </w:pPr>
      <w:r w:rsidRPr="00EA1CC0">
        <w:rPr>
          <w:lang w:val="nl-NL"/>
        </w:rPr>
        <w:t>De maatregelen</w:t>
      </w:r>
      <w:r w:rsidR="00915FAE">
        <w:rPr>
          <w:lang w:val="nl-NL"/>
        </w:rPr>
        <w:t xml:space="preserve"> die zijn</w:t>
      </w:r>
      <w:r w:rsidRPr="00EA1CC0">
        <w:rPr>
          <w:lang w:val="nl-NL"/>
        </w:rPr>
        <w:t xml:space="preserve"> benoemd in het programma van maatregelen 2015-2021 worden </w:t>
      </w:r>
      <w:r w:rsidR="00915FAE">
        <w:rPr>
          <w:lang w:val="nl-NL"/>
        </w:rPr>
        <w:t>voortgezet</w:t>
      </w:r>
      <w:r w:rsidRPr="00EA1CC0">
        <w:rPr>
          <w:lang w:val="nl-NL"/>
        </w:rPr>
        <w:t xml:space="preserve">. </w:t>
      </w:r>
      <w:r w:rsidRPr="00A3534B">
        <w:rPr>
          <w:lang w:val="nl-NL"/>
        </w:rPr>
        <w:t>Dit betekent:</w:t>
      </w:r>
    </w:p>
    <w:p w:rsidRPr="00EA1CC0" w:rsidR="0070550F" w:rsidP="00746E9B" w:rsidRDefault="0070550F" w14:paraId="171B984B" w14:textId="42586610">
      <w:pPr>
        <w:pStyle w:val="ListParagraph"/>
        <w:numPr>
          <w:ilvl w:val="0"/>
          <w:numId w:val="23"/>
        </w:numPr>
        <w:spacing w:line="252" w:lineRule="auto"/>
        <w:rPr>
          <w:lang w:val="nl-NL"/>
        </w:rPr>
      </w:pPr>
      <w:r w:rsidRPr="00EA1CC0">
        <w:rPr>
          <w:lang w:val="nl-NL"/>
        </w:rPr>
        <w:t>Doorgaan met het verzamelen van de Wettelijke Onderzoeks</w:t>
      </w:r>
      <w:r w:rsidR="00C65D24">
        <w:rPr>
          <w:lang w:val="nl-NL"/>
        </w:rPr>
        <w:t>t</w:t>
      </w:r>
      <w:r w:rsidRPr="00EA1CC0">
        <w:rPr>
          <w:lang w:val="nl-NL"/>
        </w:rPr>
        <w:t>aken (WOT)</w:t>
      </w:r>
      <w:r w:rsidR="00915FAE">
        <w:rPr>
          <w:lang w:val="nl-NL"/>
        </w:rPr>
        <w:t>-</w:t>
      </w:r>
      <w:r w:rsidRPr="00EA1CC0">
        <w:rPr>
          <w:lang w:val="nl-NL"/>
        </w:rPr>
        <w:t>informatie over de visbestanden in de Noordzee voor internationaal vangstbeheer (</w:t>
      </w:r>
      <w:r w:rsidRPr="00891E64">
        <w:rPr>
          <w:lang w:val="nl-NL"/>
        </w:rPr>
        <w:t>TAC</w:t>
      </w:r>
      <w:r w:rsidRPr="00891E64" w:rsidR="00915FAE">
        <w:rPr>
          <w:lang w:val="nl-NL"/>
        </w:rPr>
        <w:t xml:space="preserve"> </w:t>
      </w:r>
      <w:r w:rsidRPr="00891E64">
        <w:rPr>
          <w:lang w:val="nl-NL"/>
        </w:rPr>
        <w:t>&amp;</w:t>
      </w:r>
      <w:r w:rsidRPr="00891E64" w:rsidR="00915FAE">
        <w:rPr>
          <w:lang w:val="nl-NL"/>
        </w:rPr>
        <w:t xml:space="preserve"> </w:t>
      </w:r>
      <w:r w:rsidRPr="00891E64">
        <w:rPr>
          <w:lang w:val="nl-NL"/>
        </w:rPr>
        <w:t>Quota</w:t>
      </w:r>
      <w:r w:rsidRPr="00EA1CC0">
        <w:rPr>
          <w:lang w:val="nl-NL"/>
        </w:rPr>
        <w:t>)</w:t>
      </w:r>
      <w:r w:rsidR="00915FAE">
        <w:rPr>
          <w:lang w:val="nl-NL"/>
        </w:rPr>
        <w:t>.</w:t>
      </w:r>
    </w:p>
    <w:p w:rsidRPr="00EA1CC0" w:rsidR="0070550F" w:rsidP="00746E9B" w:rsidRDefault="0070550F" w14:paraId="2E55A17B" w14:textId="77777777">
      <w:pPr>
        <w:pStyle w:val="ListParagraph"/>
        <w:numPr>
          <w:ilvl w:val="0"/>
          <w:numId w:val="23"/>
        </w:numPr>
        <w:spacing w:line="252" w:lineRule="auto"/>
        <w:rPr>
          <w:lang w:val="nl-NL"/>
        </w:rPr>
      </w:pPr>
      <w:r w:rsidRPr="00EA1CC0">
        <w:rPr>
          <w:lang w:val="nl-NL"/>
        </w:rPr>
        <w:t xml:space="preserve">In het kader van de aanlandplicht blijven inzetten op het minimaliseren en uitfaseren van </w:t>
      </w:r>
      <w:r w:rsidRPr="001525E5">
        <w:rPr>
          <w:iCs/>
          <w:lang w:val="nl-NL"/>
        </w:rPr>
        <w:t>discards</w:t>
      </w:r>
      <w:r w:rsidR="001F77C1">
        <w:rPr>
          <w:lang w:val="nl-NL"/>
        </w:rPr>
        <w:t>.</w:t>
      </w:r>
    </w:p>
    <w:p w:rsidRPr="00EA1CC0" w:rsidR="0070550F" w:rsidP="00C74054" w:rsidRDefault="0070550F" w14:paraId="3A00410C" w14:textId="77777777">
      <w:pPr>
        <w:pStyle w:val="ListParagraph"/>
        <w:numPr>
          <w:ilvl w:val="0"/>
          <w:numId w:val="23"/>
        </w:numPr>
        <w:spacing w:line="252" w:lineRule="auto"/>
        <w:rPr>
          <w:lang w:val="nl-NL"/>
        </w:rPr>
      </w:pPr>
      <w:r w:rsidRPr="00EA1CC0">
        <w:rPr>
          <w:lang w:val="nl-NL"/>
        </w:rPr>
        <w:t xml:space="preserve">Innovatie in de sector blijven stimuleren. Denk hierbij aan de Kottervisie, </w:t>
      </w:r>
      <w:r w:rsidR="001F77C1">
        <w:rPr>
          <w:lang w:val="nl-NL"/>
        </w:rPr>
        <w:t xml:space="preserve">en aan </w:t>
      </w:r>
      <w:r w:rsidRPr="00EA1CC0">
        <w:rPr>
          <w:lang w:val="nl-NL"/>
        </w:rPr>
        <w:t xml:space="preserve">nationale en Europese middelen in de vorm van het </w:t>
      </w:r>
      <w:r w:rsidR="001F77C1">
        <w:rPr>
          <w:lang w:val="nl-NL"/>
        </w:rPr>
        <w:t>Europese Visserijfonds (</w:t>
      </w:r>
      <w:r w:rsidRPr="00EA1CC0">
        <w:rPr>
          <w:lang w:val="nl-NL"/>
        </w:rPr>
        <w:t>EMVAF</w:t>
      </w:r>
      <w:r w:rsidR="001F77C1">
        <w:rPr>
          <w:lang w:val="nl-NL"/>
        </w:rPr>
        <w:t>)</w:t>
      </w:r>
      <w:r w:rsidR="00C74054">
        <w:rPr>
          <w:lang w:val="nl-NL"/>
        </w:rPr>
        <w:t xml:space="preserve"> die innovatie mogelijk maken</w:t>
      </w:r>
      <w:r w:rsidR="001F77C1">
        <w:rPr>
          <w:lang w:val="nl-NL"/>
        </w:rPr>
        <w:t>.</w:t>
      </w:r>
      <w:r w:rsidR="00C74054">
        <w:rPr>
          <w:lang w:val="nl-NL"/>
        </w:rPr>
        <w:t xml:space="preserve"> De Kottervisie is </w:t>
      </w:r>
      <w:r w:rsidRPr="00C74054" w:rsidR="00C74054">
        <w:rPr>
          <w:lang w:val="nl-NL"/>
        </w:rPr>
        <w:t>gericht op een economisch gezonde sector die vist met respect voor natuur en milieu en daarvoor ook maatschappelijk wordt erkend. Innovatie is hierin belangrijke pijler, bijvoorbeeld de ontwikkeling van een zero</w:t>
      </w:r>
      <w:r w:rsidR="00A3534B">
        <w:rPr>
          <w:lang w:val="nl-NL"/>
        </w:rPr>
        <w:t>-</w:t>
      </w:r>
      <w:r w:rsidRPr="00C74054" w:rsidR="00C74054">
        <w:rPr>
          <w:lang w:val="nl-NL"/>
        </w:rPr>
        <w:t>impactkotter om te komen tot een visserij met minder bodemberoering, minder ongewenste bijvangst, minder uitstoot van broeikasgassen en minder afval.</w:t>
      </w:r>
    </w:p>
    <w:p w:rsidR="0070550F" w:rsidP="00746E9B" w:rsidRDefault="001F77C1" w14:paraId="52F077CA" w14:textId="77777777">
      <w:pPr>
        <w:pStyle w:val="ListParagraph"/>
        <w:numPr>
          <w:ilvl w:val="0"/>
          <w:numId w:val="23"/>
        </w:numPr>
        <w:spacing w:line="252" w:lineRule="auto"/>
        <w:rPr>
          <w:lang w:val="nl-NL"/>
        </w:rPr>
      </w:pPr>
      <w:r>
        <w:rPr>
          <w:lang w:val="nl-NL"/>
        </w:rPr>
        <w:t xml:space="preserve">Doorgaan met het uitgeven van </w:t>
      </w:r>
      <w:r w:rsidRPr="00EA1CC0" w:rsidR="0070550F">
        <w:rPr>
          <w:lang w:val="nl-NL"/>
        </w:rPr>
        <w:t xml:space="preserve">certificaten </w:t>
      </w:r>
      <w:r>
        <w:rPr>
          <w:lang w:val="nl-NL"/>
        </w:rPr>
        <w:t xml:space="preserve">die </w:t>
      </w:r>
      <w:r w:rsidR="004B7DB4">
        <w:rPr>
          <w:lang w:val="nl-NL"/>
        </w:rPr>
        <w:t xml:space="preserve">de </w:t>
      </w:r>
      <w:r w:rsidRPr="00EA1CC0" w:rsidR="0070550F">
        <w:rPr>
          <w:lang w:val="nl-NL"/>
        </w:rPr>
        <w:t xml:space="preserve">visserij </w:t>
      </w:r>
      <w:r w:rsidR="004B7DB4">
        <w:rPr>
          <w:lang w:val="nl-NL"/>
        </w:rPr>
        <w:t>stimuleren om verder te verduurzamen</w:t>
      </w:r>
      <w:r w:rsidRPr="00EA1CC0" w:rsidR="0070550F">
        <w:rPr>
          <w:lang w:val="nl-NL"/>
        </w:rPr>
        <w:t>.</w:t>
      </w:r>
    </w:p>
    <w:p w:rsidR="0070550F" w:rsidP="00AF1E71" w:rsidRDefault="0070550F" w14:paraId="7DD11F40" w14:textId="77777777">
      <w:pPr>
        <w:pStyle w:val="TOCHeading"/>
      </w:pPr>
      <w:r w:rsidRPr="00F02C90">
        <w:t xml:space="preserve">Huidige </w:t>
      </w:r>
      <w:r>
        <w:t>milieutoestand</w:t>
      </w:r>
    </w:p>
    <w:p w:rsidR="000B784E" w:rsidP="0070550F" w:rsidRDefault="0070550F" w14:paraId="44178866" w14:textId="77777777">
      <w:pPr>
        <w:rPr>
          <w:lang w:val="nl-NL"/>
        </w:rPr>
      </w:pPr>
      <w:r w:rsidRPr="00EA1CC0">
        <w:rPr>
          <w:lang w:val="nl-NL"/>
        </w:rPr>
        <w:t>Zoals aangegeven in paragraaf 3.2, voldoet de visgemeenschap nog niet aan de goede milieutoestand. De OSPAR-beoordeling laat zien dat de verslechtering van de samenstelling van visgemeenschappen uit het verleden is gestopt en dat in sommige gebieden in de Noordoost-</w:t>
      </w:r>
      <w:r w:rsidRPr="001525E5">
        <w:rPr>
          <w:lang w:val="nl-NL"/>
        </w:rPr>
        <w:t xml:space="preserve">Atlantische oceaan sprake lijkt te zijn van herstel. Volgens de beoordeling is het aandeel grote vissen nog te klein, maar wel </w:t>
      </w:r>
      <w:r w:rsidRPr="001525E5" w:rsidR="001F77C1">
        <w:rPr>
          <w:lang w:val="nl-NL"/>
        </w:rPr>
        <w:t xml:space="preserve">aan het </w:t>
      </w:r>
      <w:r w:rsidRPr="001525E5">
        <w:rPr>
          <w:lang w:val="nl-NL"/>
        </w:rPr>
        <w:t xml:space="preserve">herstellen. </w:t>
      </w:r>
      <w:r w:rsidRPr="001525E5" w:rsidR="000B5013">
        <w:rPr>
          <w:lang w:val="nl-NL"/>
        </w:rPr>
        <w:t xml:space="preserve">Bovendien </w:t>
      </w:r>
      <w:r w:rsidRPr="001525E5">
        <w:rPr>
          <w:lang w:val="nl-NL"/>
        </w:rPr>
        <w:t>worden niet alle commerciële soorten bevist met een F≤Fmsy.</w:t>
      </w:r>
      <w:r w:rsidRPr="001525E5" w:rsidR="000068D4">
        <w:rPr>
          <w:lang w:val="nl-NL"/>
        </w:rPr>
        <w:t xml:space="preserve"> </w:t>
      </w:r>
    </w:p>
    <w:p w:rsidRPr="00EA1CC0" w:rsidR="0070550F" w:rsidP="0070550F" w:rsidRDefault="000068D4" w14:paraId="692B144C" w14:textId="3B6843AF">
      <w:pPr>
        <w:rPr>
          <w:lang w:val="nl-NL"/>
        </w:rPr>
      </w:pPr>
      <w:r w:rsidRPr="001525E5">
        <w:rPr>
          <w:lang w:val="nl-NL"/>
        </w:rPr>
        <w:t>De huidige milieutoestand is onderhevig aan mondiale ontwikkelingen</w:t>
      </w:r>
      <w:r>
        <w:rPr>
          <w:lang w:val="nl-NL"/>
        </w:rPr>
        <w:t xml:space="preserve"> zoals klimaatverandering. Dit heeft o.a. tot opwarming van het (oppervlakte) water</w:t>
      </w:r>
      <w:r w:rsidRPr="000068D4">
        <w:rPr>
          <w:lang w:val="nl-NL"/>
        </w:rPr>
        <w:t xml:space="preserve"> </w:t>
      </w:r>
      <w:r>
        <w:rPr>
          <w:lang w:val="nl-NL"/>
        </w:rPr>
        <w:t>tot gevolg. De veranderingen in het ecosysteem kunnen bijvoorbeeld leiden tot migratie van vissoorten naar andere regio</w:t>
      </w:r>
      <w:r w:rsidR="005F5515">
        <w:rPr>
          <w:lang w:val="nl-NL"/>
        </w:rPr>
        <w:t>’</w:t>
      </w:r>
      <w:r>
        <w:rPr>
          <w:lang w:val="nl-NL"/>
        </w:rPr>
        <w:t xml:space="preserve">s of naar diepere delen in de Noordzee. </w:t>
      </w:r>
    </w:p>
    <w:p w:rsidRPr="007A3BBF" w:rsidR="0070550F" w:rsidP="0070550F" w:rsidRDefault="0070550F" w14:paraId="4F19E19F" w14:textId="77777777">
      <w:pPr>
        <w:pStyle w:val="TOCHeading"/>
      </w:pPr>
      <w:r>
        <w:t xml:space="preserve">Aanvullende beleidsopgave </w:t>
      </w:r>
    </w:p>
    <w:p w:rsidR="001525E5" w:rsidP="0070550F" w:rsidRDefault="00EE4A94" w14:paraId="680DFD5D" w14:textId="77777777">
      <w:pPr>
        <w:rPr>
          <w:lang w:val="nl-NL"/>
        </w:rPr>
      </w:pPr>
      <w:r>
        <w:rPr>
          <w:lang w:val="nl-NL"/>
        </w:rPr>
        <w:t>O</w:t>
      </w:r>
      <w:r w:rsidRPr="00837E73" w:rsidR="00837E73">
        <w:rPr>
          <w:lang w:val="nl-NL"/>
        </w:rPr>
        <w:t>p basis van de beschikbare data en kennis</w:t>
      </w:r>
      <w:r w:rsidR="00837E73">
        <w:rPr>
          <w:lang w:val="nl-NL"/>
        </w:rPr>
        <w:t xml:space="preserve"> is </w:t>
      </w:r>
      <w:r>
        <w:rPr>
          <w:lang w:val="nl-NL"/>
        </w:rPr>
        <w:t xml:space="preserve">de conclusie </w:t>
      </w:r>
      <w:r w:rsidR="00837E73">
        <w:rPr>
          <w:lang w:val="nl-NL"/>
        </w:rPr>
        <w:t>dat h</w:t>
      </w:r>
      <w:r w:rsidR="00891E64">
        <w:rPr>
          <w:lang w:val="nl-NL"/>
        </w:rPr>
        <w:t xml:space="preserve">et </w:t>
      </w:r>
      <w:r>
        <w:rPr>
          <w:lang w:val="nl-NL"/>
        </w:rPr>
        <w:t xml:space="preserve">mogelijk is om </w:t>
      </w:r>
      <w:r w:rsidR="00891E64">
        <w:rPr>
          <w:lang w:val="nl-NL"/>
        </w:rPr>
        <w:t>d</w:t>
      </w:r>
      <w:r w:rsidRPr="00EA1CC0" w:rsidR="0070550F">
        <w:rPr>
          <w:lang w:val="nl-NL"/>
        </w:rPr>
        <w:t xml:space="preserve">e doelen </w:t>
      </w:r>
      <w:r w:rsidR="003A3126">
        <w:rPr>
          <w:lang w:val="nl-NL"/>
        </w:rPr>
        <w:t>‘</w:t>
      </w:r>
      <w:r w:rsidRPr="000502CA" w:rsidR="0070550F">
        <w:rPr>
          <w:lang w:val="nl-NL"/>
        </w:rPr>
        <w:t>kleiner of gelijk aan MSY te vissen</w:t>
      </w:r>
      <w:r w:rsidR="003A3126">
        <w:rPr>
          <w:lang w:val="nl-NL"/>
        </w:rPr>
        <w:t>’</w:t>
      </w:r>
      <w:r w:rsidRPr="00EA1CC0" w:rsidR="0070550F">
        <w:rPr>
          <w:lang w:val="nl-NL"/>
        </w:rPr>
        <w:t xml:space="preserve"> </w:t>
      </w:r>
      <w:r w:rsidR="001525E5">
        <w:rPr>
          <w:lang w:val="nl-NL"/>
        </w:rPr>
        <w:t xml:space="preserve">(D3C1) </w:t>
      </w:r>
      <w:r w:rsidRPr="00540D7D" w:rsidR="0070550F">
        <w:rPr>
          <w:lang w:val="nl-NL"/>
        </w:rPr>
        <w:t xml:space="preserve">en </w:t>
      </w:r>
      <w:r w:rsidR="003A3126">
        <w:rPr>
          <w:lang w:val="nl-NL"/>
        </w:rPr>
        <w:t>‘</w:t>
      </w:r>
      <w:r w:rsidRPr="00540D7D" w:rsidR="0070550F">
        <w:rPr>
          <w:lang w:val="nl-NL"/>
        </w:rPr>
        <w:t>een paaibiomassa groter dan het voorzorgniveau te behouden</w:t>
      </w:r>
      <w:r w:rsidR="003A3126">
        <w:rPr>
          <w:lang w:val="nl-NL"/>
        </w:rPr>
        <w:t>’</w:t>
      </w:r>
      <w:r w:rsidR="00540D7D">
        <w:rPr>
          <w:lang w:val="nl-NL"/>
        </w:rPr>
        <w:t xml:space="preserve"> </w:t>
      </w:r>
      <w:r w:rsidR="001525E5">
        <w:rPr>
          <w:lang w:val="nl-NL"/>
        </w:rPr>
        <w:t xml:space="preserve">(D3C2) </w:t>
      </w:r>
      <w:r>
        <w:rPr>
          <w:lang w:val="nl-NL"/>
        </w:rPr>
        <w:t>te halen</w:t>
      </w:r>
      <w:r w:rsidRPr="00EA1CC0" w:rsidR="0070550F">
        <w:rPr>
          <w:lang w:val="nl-NL"/>
        </w:rPr>
        <w:t xml:space="preserve">. </w:t>
      </w:r>
      <w:r w:rsidR="00540D7D">
        <w:rPr>
          <w:lang w:val="nl-NL"/>
        </w:rPr>
        <w:t>I</w:t>
      </w:r>
      <w:r w:rsidRPr="00540D7D" w:rsidR="00540D7D">
        <w:rPr>
          <w:lang w:val="nl-NL"/>
        </w:rPr>
        <w:t>n het meerjarenplan Noordzee en het Gemeenschappelijk Visserijbeleid</w:t>
      </w:r>
      <w:r w:rsidRPr="00540D7D" w:rsidDel="00540D7D" w:rsidR="00540D7D">
        <w:rPr>
          <w:lang w:val="nl-NL"/>
        </w:rPr>
        <w:t xml:space="preserve"> </w:t>
      </w:r>
      <w:r w:rsidR="00540D7D">
        <w:rPr>
          <w:lang w:val="nl-NL"/>
        </w:rPr>
        <w:t xml:space="preserve">wordt </w:t>
      </w:r>
      <w:r w:rsidRPr="00EA1CC0" w:rsidR="003A3126">
        <w:rPr>
          <w:lang w:val="nl-NL"/>
        </w:rPr>
        <w:t>rekening gehouden</w:t>
      </w:r>
      <w:r w:rsidR="003A3126">
        <w:rPr>
          <w:lang w:val="nl-NL"/>
        </w:rPr>
        <w:t xml:space="preserve"> </w:t>
      </w:r>
      <w:r w:rsidR="00540D7D">
        <w:rPr>
          <w:lang w:val="nl-NL"/>
        </w:rPr>
        <w:t>met sociaaleconomische aspecten van visserijbeheer</w:t>
      </w:r>
      <w:r w:rsidRPr="00EA1CC0" w:rsidR="0070550F">
        <w:rPr>
          <w:lang w:val="nl-NL"/>
        </w:rPr>
        <w:t xml:space="preserve">. </w:t>
      </w:r>
      <w:r w:rsidR="002A6D08">
        <w:rPr>
          <w:lang w:val="nl-NL"/>
        </w:rPr>
        <w:t>I</w:t>
      </w:r>
      <w:r w:rsidRPr="00EA1CC0" w:rsidR="0070550F">
        <w:rPr>
          <w:lang w:val="nl-NL"/>
        </w:rPr>
        <w:t xml:space="preserve">n </w:t>
      </w:r>
      <w:r w:rsidR="002A6D08">
        <w:rPr>
          <w:lang w:val="nl-NL"/>
        </w:rPr>
        <w:t>de</w:t>
      </w:r>
      <w:r w:rsidRPr="00EA1CC0" w:rsidR="002A6D08">
        <w:rPr>
          <w:lang w:val="nl-NL"/>
        </w:rPr>
        <w:t xml:space="preserve"> </w:t>
      </w:r>
      <w:r w:rsidRPr="00EA1CC0" w:rsidR="0070550F">
        <w:rPr>
          <w:lang w:val="nl-NL"/>
        </w:rPr>
        <w:t xml:space="preserve">gemengde visserij </w:t>
      </w:r>
      <w:r w:rsidR="002A6D08">
        <w:rPr>
          <w:lang w:val="nl-NL"/>
        </w:rPr>
        <w:t>doen zich</w:t>
      </w:r>
      <w:r w:rsidRPr="00EA1CC0" w:rsidR="002A6D08">
        <w:rPr>
          <w:lang w:val="nl-NL"/>
        </w:rPr>
        <w:t xml:space="preserve"> </w:t>
      </w:r>
      <w:r w:rsidRPr="00EA1CC0" w:rsidR="0070550F">
        <w:rPr>
          <w:lang w:val="nl-NL"/>
        </w:rPr>
        <w:t xml:space="preserve">praktische moeilijkheden </w:t>
      </w:r>
      <w:r w:rsidR="002A6D08">
        <w:rPr>
          <w:lang w:val="nl-NL"/>
        </w:rPr>
        <w:t xml:space="preserve">voor </w:t>
      </w:r>
      <w:r w:rsidRPr="00EA1CC0" w:rsidR="0070550F">
        <w:rPr>
          <w:lang w:val="nl-NL"/>
        </w:rPr>
        <w:t>om alle soorten F≤Fmsy te bevissen</w:t>
      </w:r>
      <w:r w:rsidR="003A3126">
        <w:rPr>
          <w:lang w:val="nl-NL"/>
        </w:rPr>
        <w:t>. Dit komt door de zogeheten</w:t>
      </w:r>
      <w:r w:rsidRPr="00EA1CC0" w:rsidR="0070550F">
        <w:rPr>
          <w:lang w:val="nl-NL"/>
        </w:rPr>
        <w:t xml:space="preserve"> </w:t>
      </w:r>
      <w:r w:rsidRPr="00AF1E71" w:rsidR="0070550F">
        <w:rPr>
          <w:i/>
          <w:iCs/>
          <w:lang w:val="nl-NL"/>
        </w:rPr>
        <w:t>choke species</w:t>
      </w:r>
      <w:r w:rsidR="002A6D08">
        <w:rPr>
          <w:lang w:val="nl-NL"/>
        </w:rPr>
        <w:t xml:space="preserve">, </w:t>
      </w:r>
      <w:r w:rsidR="00CB22CD">
        <w:rPr>
          <w:lang w:val="nl-NL"/>
        </w:rPr>
        <w:t>soorten waarvoor de beschikbare quota worden overschreden (lang) voordat de quota worden overschreden van (een aantal van) de andere soorten waarmee zij samen worden gevangen.</w:t>
      </w:r>
      <w:r w:rsidRPr="00EA1CC0" w:rsidR="0070550F">
        <w:rPr>
          <w:lang w:val="nl-NL"/>
        </w:rPr>
        <w:t xml:space="preserve"> Nederland </w:t>
      </w:r>
      <w:r w:rsidR="003A3126">
        <w:rPr>
          <w:lang w:val="nl-NL"/>
        </w:rPr>
        <w:t>blijft daarom</w:t>
      </w:r>
      <w:r w:rsidRPr="00EA1CC0" w:rsidR="0070550F">
        <w:rPr>
          <w:lang w:val="nl-NL"/>
        </w:rPr>
        <w:t xml:space="preserve"> </w:t>
      </w:r>
      <w:r w:rsidR="008F00D1">
        <w:rPr>
          <w:lang w:val="nl-NL"/>
        </w:rPr>
        <w:t xml:space="preserve">voorstander van beleid gericht op </w:t>
      </w:r>
      <w:r w:rsidRPr="00EA1CC0" w:rsidR="0070550F">
        <w:rPr>
          <w:lang w:val="nl-NL"/>
        </w:rPr>
        <w:t>selectiviteit en overleving</w:t>
      </w:r>
      <w:r w:rsidR="008F00D1">
        <w:rPr>
          <w:lang w:val="nl-NL"/>
        </w:rPr>
        <w:t>skans</w:t>
      </w:r>
      <w:r w:rsidRPr="00EA1CC0" w:rsidR="0070550F">
        <w:rPr>
          <w:lang w:val="nl-NL"/>
        </w:rPr>
        <w:t xml:space="preserve"> na </w:t>
      </w:r>
      <w:r w:rsidR="008F00D1">
        <w:rPr>
          <w:lang w:val="nl-NL"/>
        </w:rPr>
        <w:t xml:space="preserve">het </w:t>
      </w:r>
      <w:r w:rsidRPr="00EA1CC0" w:rsidR="0070550F">
        <w:rPr>
          <w:lang w:val="nl-NL"/>
        </w:rPr>
        <w:t>terugzetten</w:t>
      </w:r>
      <w:r w:rsidR="008F00D1">
        <w:rPr>
          <w:lang w:val="nl-NL"/>
        </w:rPr>
        <w:t xml:space="preserve"> van bijvangst</w:t>
      </w:r>
      <w:r w:rsidRPr="00EA1CC0" w:rsidR="0070550F">
        <w:rPr>
          <w:lang w:val="nl-NL"/>
        </w:rPr>
        <w:t xml:space="preserve">. </w:t>
      </w:r>
    </w:p>
    <w:p w:rsidR="0070550F" w:rsidP="0070550F" w:rsidRDefault="0070550F" w14:paraId="1898C139" w14:textId="77777777">
      <w:pPr>
        <w:pStyle w:val="TOCHeading"/>
      </w:pPr>
      <w:r>
        <w:t>Aanvullende maatregelen</w:t>
      </w:r>
    </w:p>
    <w:p w:rsidR="0070550F" w:rsidP="0070550F" w:rsidRDefault="007D1D80" w14:paraId="7B6827E7" w14:textId="54504E7A">
      <w:pPr>
        <w:rPr>
          <w:lang w:val="nl-NL"/>
        </w:rPr>
      </w:pPr>
      <w:r>
        <w:rPr>
          <w:lang w:val="nl-NL"/>
        </w:rPr>
        <w:t>V</w:t>
      </w:r>
      <w:r w:rsidR="0070550F">
        <w:rPr>
          <w:lang w:val="nl-NL"/>
        </w:rPr>
        <w:t xml:space="preserve">oor de </w:t>
      </w:r>
      <w:r w:rsidR="008F00D1">
        <w:rPr>
          <w:lang w:val="nl-NL"/>
        </w:rPr>
        <w:t>duur van</w:t>
      </w:r>
      <w:r w:rsidR="0070550F">
        <w:rPr>
          <w:lang w:val="nl-NL"/>
        </w:rPr>
        <w:t xml:space="preserve"> dit programma van maatregelen </w:t>
      </w:r>
      <w:r>
        <w:rPr>
          <w:lang w:val="nl-NL"/>
        </w:rPr>
        <w:t>worden ge</w:t>
      </w:r>
      <w:r w:rsidR="0070550F">
        <w:rPr>
          <w:lang w:val="nl-NL"/>
        </w:rPr>
        <w:t xml:space="preserve">en aanvullende maatregelen </w:t>
      </w:r>
      <w:r>
        <w:rPr>
          <w:lang w:val="nl-NL"/>
        </w:rPr>
        <w:t>getroffen</w:t>
      </w:r>
      <w:r w:rsidR="0070550F">
        <w:rPr>
          <w:lang w:val="nl-NL"/>
        </w:rPr>
        <w:t xml:space="preserve">. De bestaande maatregelen worden gecontinueerd. De verwachting is dat met dit beleid de goede milieutoestand </w:t>
      </w:r>
      <w:r w:rsidR="00C65D24">
        <w:rPr>
          <w:lang w:val="nl-NL"/>
        </w:rPr>
        <w:t xml:space="preserve">kan </w:t>
      </w:r>
      <w:r w:rsidR="0070550F">
        <w:rPr>
          <w:lang w:val="nl-NL"/>
        </w:rPr>
        <w:t>worden</w:t>
      </w:r>
      <w:r w:rsidRPr="004057E2" w:rsidR="00837E73">
        <w:rPr>
          <w:lang w:val="nl-NL"/>
        </w:rPr>
        <w:t xml:space="preserve"> </w:t>
      </w:r>
      <w:r w:rsidRPr="00837E73" w:rsidR="00837E73">
        <w:rPr>
          <w:lang w:val="nl-NL"/>
        </w:rPr>
        <w:t>bereikt</w:t>
      </w:r>
      <w:r w:rsidR="0070550F">
        <w:rPr>
          <w:lang w:val="nl-NL"/>
        </w:rPr>
        <w:t xml:space="preserve">. </w:t>
      </w:r>
    </w:p>
    <w:p w:rsidR="0070550F" w:rsidP="0070550F" w:rsidRDefault="0070550F" w14:paraId="78B8ACC0" w14:textId="77777777">
      <w:pPr>
        <w:pStyle w:val="TOCHeading"/>
      </w:pPr>
      <w:r>
        <w:t>Kennisagenda</w:t>
      </w:r>
      <w:r w:rsidRPr="00B96268">
        <w:t xml:space="preserve"> </w:t>
      </w:r>
    </w:p>
    <w:p w:rsidR="0070550F" w:rsidP="0070550F" w:rsidRDefault="001262C0" w14:paraId="77F4579D" w14:textId="244767AB">
      <w:pPr>
        <w:rPr>
          <w:lang w:val="nl-NL" w:eastAsia="nl-NL"/>
        </w:rPr>
      </w:pPr>
      <w:r w:rsidRPr="001262C0">
        <w:rPr>
          <w:lang w:val="nl-NL" w:eastAsia="nl-NL"/>
        </w:rPr>
        <w:t xml:space="preserve">Deze paragraaf omvat de belangrijkste kennisvragen omtrent </w:t>
      </w:r>
      <w:r w:rsidR="00494C2D">
        <w:rPr>
          <w:lang w:val="nl-NL" w:eastAsia="nl-NL"/>
        </w:rPr>
        <w:t>c</w:t>
      </w:r>
      <w:r w:rsidRPr="00494C2D" w:rsidR="00494C2D">
        <w:rPr>
          <w:lang w:val="nl-NL" w:eastAsia="nl-NL"/>
        </w:rPr>
        <w:t>ommercieel geëxploiteerde soorten vis, schaal- en schelpdieren</w:t>
      </w:r>
      <w:r w:rsidR="001443C1">
        <w:rPr>
          <w:lang w:val="nl-NL" w:eastAsia="nl-NL"/>
        </w:rPr>
        <w:t xml:space="preserve"> d</w:t>
      </w:r>
      <w:r w:rsidR="00D91B1B">
        <w:rPr>
          <w:lang w:val="nl-NL" w:eastAsia="nl-NL"/>
        </w:rPr>
        <w:t>ie in de periode 2022-2027 worden onderzocht.</w:t>
      </w:r>
    </w:p>
    <w:p w:rsidRPr="00AA203E" w:rsidR="00BB3037" w:rsidP="00BB3037" w:rsidRDefault="005C51C3" w14:paraId="3335E869" w14:textId="58A98342">
      <w:pPr>
        <w:pStyle w:val="ListParagraph"/>
        <w:numPr>
          <w:ilvl w:val="0"/>
          <w:numId w:val="23"/>
        </w:numPr>
        <w:spacing w:line="252" w:lineRule="auto"/>
        <w:rPr>
          <w:lang w:val="nl-NL"/>
        </w:rPr>
      </w:pPr>
      <w:r w:rsidRPr="00BB3037">
        <w:rPr>
          <w:lang w:val="nl-NL"/>
        </w:rPr>
        <w:t>L</w:t>
      </w:r>
      <w:r w:rsidRPr="00BB3037" w:rsidR="001262C0">
        <w:rPr>
          <w:lang w:val="nl-NL"/>
        </w:rPr>
        <w:t>engte- en leeftijdsverdeling binnen de commerciële soorten aangeland door de Nederlandse visserijvloot</w:t>
      </w:r>
      <w:r w:rsidRPr="00AA203E" w:rsidR="00AA2DF4">
        <w:rPr>
          <w:lang w:val="nl-NL"/>
        </w:rPr>
        <w:t xml:space="preserve"> en de wijze waarop binnen de beviste populaties een meer natuurlijke lengte- en leeftijdsverdeling te verkrijgen is. Oplevering </w:t>
      </w:r>
      <w:r w:rsidRPr="00AA203E" w:rsidR="00AA203E">
        <w:rPr>
          <w:lang w:val="nl-NL"/>
        </w:rPr>
        <w:t xml:space="preserve">van dit onderzoek </w:t>
      </w:r>
      <w:r w:rsidRPr="00AA203E" w:rsidR="00AA2DF4">
        <w:rPr>
          <w:lang w:val="nl-NL"/>
        </w:rPr>
        <w:t xml:space="preserve">is 2023, ten behoeven van de actualisatie van de beschrijving van de milieutoestand van de Noordzee in de </w:t>
      </w:r>
      <w:r w:rsidR="00E23695">
        <w:rPr>
          <w:lang w:val="nl-NL"/>
        </w:rPr>
        <w:t>M</w:t>
      </w:r>
      <w:r w:rsidRPr="00AA203E" w:rsidR="00AA2DF4">
        <w:rPr>
          <w:lang w:val="nl-NL"/>
        </w:rPr>
        <w:t xml:space="preserve">ariene </w:t>
      </w:r>
      <w:r w:rsidR="00E23695">
        <w:rPr>
          <w:lang w:val="nl-NL"/>
        </w:rPr>
        <w:t>S</w:t>
      </w:r>
      <w:r w:rsidRPr="00AA203E" w:rsidR="00AA2DF4">
        <w:rPr>
          <w:lang w:val="nl-NL"/>
        </w:rPr>
        <w:t xml:space="preserve">trategie deel 1, in 2024. </w:t>
      </w:r>
      <w:r w:rsidRPr="00AA203E" w:rsidR="007D77D7">
        <w:rPr>
          <w:lang w:val="nl-NL"/>
        </w:rPr>
        <w:t>Na nationale inventarisatie wordt het verder gebracht in ICES verband.</w:t>
      </w:r>
    </w:p>
    <w:p w:rsidRPr="00D91B1B" w:rsidR="00BB3037" w:rsidP="00BB3037" w:rsidRDefault="005667C8" w14:paraId="4973BF11" w14:textId="544E3073">
      <w:pPr>
        <w:pStyle w:val="ListParagraph"/>
        <w:numPr>
          <w:ilvl w:val="0"/>
          <w:numId w:val="23"/>
        </w:numPr>
        <w:spacing w:line="252" w:lineRule="auto"/>
        <w:rPr>
          <w:lang w:val="nl-NL"/>
        </w:rPr>
      </w:pPr>
      <w:r w:rsidRPr="00D91B1B">
        <w:rPr>
          <w:lang w:val="nl-NL"/>
        </w:rPr>
        <w:t>De invloed van infrastructuur rondom de windparken op het voorkomen, de voortplanting, en het overlevingssucces van juveniele vissen en op de beschikbaarheid van voedsel voor (commerciële) vissoorten.</w:t>
      </w:r>
      <w:r w:rsidRPr="00D91B1B" w:rsidR="007D77D7">
        <w:rPr>
          <w:lang w:val="nl-NL"/>
        </w:rPr>
        <w:t xml:space="preserve"> </w:t>
      </w:r>
    </w:p>
    <w:p w:rsidRPr="00747A99" w:rsidR="00747A99" w:rsidP="00BB3037" w:rsidRDefault="00747A99" w14:paraId="75043C74" w14:textId="77777777">
      <w:pPr>
        <w:pStyle w:val="ListParagraph"/>
        <w:numPr>
          <w:ilvl w:val="0"/>
          <w:numId w:val="23"/>
        </w:numPr>
        <w:spacing w:line="252" w:lineRule="auto"/>
        <w:rPr>
          <w:lang w:val="nl-NL"/>
        </w:rPr>
      </w:pPr>
      <w:r w:rsidRPr="00BB3037">
        <w:rPr>
          <w:lang w:val="nl-NL"/>
        </w:rPr>
        <w:t>Effecten van de gebiedssluitingen op de visserij alsmede de neveneffecten op de gebieden rondom de gesloten gebieden (displacement onderzoek).</w:t>
      </w:r>
      <w:r w:rsidRPr="00BB3037" w:rsidR="00B5514C">
        <w:rPr>
          <w:lang w:val="nl-NL"/>
        </w:rPr>
        <w:t xml:space="preserve"> Dit is een nationale kennisvraag met een internationaal component door gebiedssluitingen in andere Noordzeelanden.</w:t>
      </w:r>
    </w:p>
    <w:p w:rsidRPr="00077215" w:rsidR="0070550F" w:rsidP="00746E9B" w:rsidRDefault="0070550F" w14:paraId="2AE7B1CF" w14:textId="77777777">
      <w:pPr>
        <w:pStyle w:val="Stijl1"/>
        <w:numPr>
          <w:ilvl w:val="1"/>
          <w:numId w:val="16"/>
        </w:numPr>
        <w:rPr>
          <w:lang w:val="nl-NL"/>
        </w:rPr>
      </w:pPr>
      <w:bookmarkStart w:name="_Toc59455629" w:id="36"/>
      <w:r w:rsidRPr="00077215">
        <w:rPr>
          <w:lang w:val="nl-NL"/>
        </w:rPr>
        <w:t>Voedselwebben (D4)</w:t>
      </w:r>
      <w:bookmarkEnd w:id="36"/>
    </w:p>
    <w:p w:rsidRPr="00B96268" w:rsidR="0070550F" w:rsidP="0070550F" w:rsidRDefault="0070550F" w14:paraId="2007467E" w14:textId="77777777">
      <w:pPr>
        <w:pStyle w:val="TOCHeading"/>
      </w:pPr>
      <w:r w:rsidRPr="00B96268">
        <w:t>Goede milieutoestand en doelen</w:t>
      </w:r>
    </w:p>
    <w:p w:rsidRPr="009B1C88" w:rsidR="0070550F" w:rsidP="0070550F" w:rsidRDefault="0070550F" w14:paraId="72D24A09" w14:textId="77777777">
      <w:pPr>
        <w:rPr>
          <w:lang w:val="nl-NL"/>
        </w:rPr>
      </w:pPr>
      <w:r w:rsidRPr="009B1C88">
        <w:rPr>
          <w:lang w:val="nl-NL"/>
        </w:rPr>
        <w:t>De goede milieutoestand voor voedselwebben is bereikt als alle elementen van de mariene voedselketens – voor zover deze bekend zijn – voorkomen in normale dichtheden en diversiteit en op niveaus die de dichtheid van de soorten op lange termijn en het behoud van hun volledige voortplantingsvermogen garanderen. Het subdoel voor voedselwebben is de vermindering van het effect van menselijke interventies op interacties tussen verschillende trofische niveaus.</w:t>
      </w:r>
    </w:p>
    <w:p w:rsidR="0070550F" w:rsidP="0070550F" w:rsidRDefault="00837E73" w14:paraId="50B4690E" w14:textId="6E1D0727">
      <w:pPr>
        <w:rPr>
          <w:lang w:val="nl-NL"/>
        </w:rPr>
      </w:pPr>
      <w:r>
        <w:rPr>
          <w:lang w:val="nl-NL"/>
        </w:rPr>
        <w:t>D</w:t>
      </w:r>
      <w:r w:rsidRPr="008F6F58" w:rsidR="0070550F">
        <w:rPr>
          <w:lang w:val="nl-NL"/>
        </w:rPr>
        <w:t xml:space="preserve">escriptor 4 </w:t>
      </w:r>
      <w:r w:rsidR="006D0C66">
        <w:rPr>
          <w:lang w:val="nl-NL"/>
        </w:rPr>
        <w:t>heeft</w:t>
      </w:r>
      <w:r w:rsidRPr="008F6F58" w:rsidR="0070550F">
        <w:rPr>
          <w:lang w:val="nl-NL"/>
        </w:rPr>
        <w:t xml:space="preserve"> een bijzondere positie ten opzichte van alle andere descriptoren. Het bereiken van de goede milieutoestand in de andere descriptoren is een voorwaarde voor het bereiken van een goede milieutoestand in descriptor 4. </w:t>
      </w:r>
      <w:r w:rsidR="00147E3F">
        <w:rPr>
          <w:lang w:val="nl-NL"/>
        </w:rPr>
        <w:t>Met andere woorden: de</w:t>
      </w:r>
      <w:r w:rsidRPr="009B1C88" w:rsidR="0070550F">
        <w:rPr>
          <w:lang w:val="nl-NL"/>
        </w:rPr>
        <w:t xml:space="preserve"> verstoring van biodiversiteit en habitat</w:t>
      </w:r>
      <w:r>
        <w:rPr>
          <w:lang w:val="nl-NL"/>
        </w:rPr>
        <w:t>s</w:t>
      </w:r>
      <w:r w:rsidRPr="009B1C88" w:rsidR="0070550F">
        <w:rPr>
          <w:lang w:val="nl-NL"/>
        </w:rPr>
        <w:t xml:space="preserve"> </w:t>
      </w:r>
      <w:r w:rsidR="00147E3F">
        <w:rPr>
          <w:lang w:val="nl-NL"/>
        </w:rPr>
        <w:t xml:space="preserve">moet </w:t>
      </w:r>
      <w:r w:rsidRPr="009B1C88" w:rsidR="0070550F">
        <w:rPr>
          <w:lang w:val="nl-NL"/>
        </w:rPr>
        <w:t xml:space="preserve">voldoende </w:t>
      </w:r>
      <w:r w:rsidR="00147E3F">
        <w:rPr>
          <w:lang w:val="nl-NL"/>
        </w:rPr>
        <w:t>zijn</w:t>
      </w:r>
      <w:r w:rsidRPr="009B1C88" w:rsidR="0070550F">
        <w:rPr>
          <w:lang w:val="nl-NL"/>
        </w:rPr>
        <w:t xml:space="preserve"> verminderd, de risico</w:t>
      </w:r>
      <w:r w:rsidR="005F5515">
        <w:rPr>
          <w:lang w:val="nl-NL"/>
        </w:rPr>
        <w:t>’</w:t>
      </w:r>
      <w:r w:rsidRPr="009B1C88" w:rsidR="0070550F">
        <w:rPr>
          <w:lang w:val="nl-NL"/>
        </w:rPr>
        <w:t xml:space="preserve">s </w:t>
      </w:r>
      <w:r w:rsidR="00147E3F">
        <w:rPr>
          <w:lang w:val="nl-NL"/>
        </w:rPr>
        <w:t>verbonden aan n</w:t>
      </w:r>
      <w:r w:rsidR="0070550F">
        <w:rPr>
          <w:lang w:val="nl-NL"/>
        </w:rPr>
        <w:t>iet-inheemse soorten</w:t>
      </w:r>
      <w:r w:rsidRPr="009B1C88" w:rsidR="0070550F">
        <w:rPr>
          <w:lang w:val="nl-NL"/>
        </w:rPr>
        <w:t xml:space="preserve"> </w:t>
      </w:r>
      <w:r>
        <w:rPr>
          <w:lang w:val="nl-NL"/>
        </w:rPr>
        <w:t xml:space="preserve">zijn </w:t>
      </w:r>
      <w:r w:rsidRPr="009B1C88" w:rsidR="0070550F">
        <w:rPr>
          <w:lang w:val="nl-NL"/>
        </w:rPr>
        <w:t xml:space="preserve">ingeperkt en </w:t>
      </w:r>
      <w:r w:rsidR="00147E3F">
        <w:rPr>
          <w:lang w:val="nl-NL"/>
        </w:rPr>
        <w:t xml:space="preserve">de </w:t>
      </w:r>
      <w:r w:rsidRPr="009B1C88" w:rsidR="0070550F">
        <w:rPr>
          <w:lang w:val="nl-NL"/>
        </w:rPr>
        <w:t xml:space="preserve">vervuiling van het milieu </w:t>
      </w:r>
      <w:r w:rsidR="00147E3F">
        <w:rPr>
          <w:lang w:val="nl-NL"/>
        </w:rPr>
        <w:t xml:space="preserve">is </w:t>
      </w:r>
      <w:r w:rsidRPr="009B1C88" w:rsidR="0070550F">
        <w:rPr>
          <w:lang w:val="nl-NL"/>
        </w:rPr>
        <w:t>voldoende</w:t>
      </w:r>
      <w:r>
        <w:rPr>
          <w:lang w:val="nl-NL"/>
        </w:rPr>
        <w:t xml:space="preserve"> </w:t>
      </w:r>
      <w:r w:rsidRPr="009B1C88" w:rsidR="0070550F">
        <w:rPr>
          <w:lang w:val="nl-NL"/>
        </w:rPr>
        <w:t xml:space="preserve">teruggedrongen. </w:t>
      </w:r>
      <w:r>
        <w:rPr>
          <w:lang w:val="nl-NL"/>
        </w:rPr>
        <w:t>H</w:t>
      </w:r>
      <w:r w:rsidRPr="009B1C88" w:rsidR="0070550F">
        <w:rPr>
          <w:lang w:val="nl-NL"/>
        </w:rPr>
        <w:t xml:space="preserve">et functioneren van het voedselweb </w:t>
      </w:r>
      <w:r>
        <w:rPr>
          <w:lang w:val="nl-NL"/>
        </w:rPr>
        <w:t xml:space="preserve">is dus </w:t>
      </w:r>
      <w:r w:rsidRPr="009B1C88" w:rsidR="0070550F">
        <w:rPr>
          <w:lang w:val="nl-NL"/>
        </w:rPr>
        <w:t>de ultieme lakmoesproef voor het bereiken van een (algeheel) goede milieutoestand.</w:t>
      </w:r>
    </w:p>
    <w:tbl>
      <w:tblPr>
        <w:tblStyle w:val="TableGrid"/>
        <w:tblW w:w="0" w:type="auto"/>
        <w:tblLook w:val="04A0" w:firstRow="1" w:lastRow="0" w:firstColumn="1" w:lastColumn="0" w:noHBand="0" w:noVBand="1"/>
      </w:tblPr>
      <w:tblGrid>
        <w:gridCol w:w="1413"/>
        <w:gridCol w:w="7604"/>
      </w:tblGrid>
      <w:tr w:rsidRPr="0084482C" w:rsidR="0070550F" w:rsidTr="000E4075" w14:paraId="6D7C6FD2" w14:textId="77777777">
        <w:tc>
          <w:tcPr>
            <w:tcW w:w="1413" w:type="dxa"/>
          </w:tcPr>
          <w:p w:rsidRPr="00A32D98" w:rsidR="0070550F" w:rsidP="000E4075" w:rsidRDefault="0070550F" w14:paraId="637E75E7" w14:textId="77777777">
            <w:pPr>
              <w:rPr>
                <w:sz w:val="16"/>
              </w:rPr>
            </w:pPr>
            <w:r w:rsidRPr="00A32D98">
              <w:rPr>
                <w:sz w:val="16"/>
              </w:rPr>
              <w:t>Goede milieutoestand</w:t>
            </w:r>
          </w:p>
        </w:tc>
        <w:tc>
          <w:tcPr>
            <w:tcW w:w="7604" w:type="dxa"/>
          </w:tcPr>
          <w:p w:rsidRPr="00D735E8" w:rsidR="0070550F" w:rsidP="000E4075" w:rsidRDefault="0070550F" w14:paraId="42A13097" w14:textId="77777777">
            <w:pPr>
              <w:rPr>
                <w:sz w:val="16"/>
                <w:lang w:val="nl-NL"/>
              </w:rPr>
            </w:pPr>
            <w:r w:rsidRPr="00D735E8">
              <w:rPr>
                <w:sz w:val="16"/>
                <w:lang w:val="nl-NL"/>
              </w:rPr>
              <w:t>Overkoepelend: het effect van menselijke interventies op</w:t>
            </w:r>
            <w:r>
              <w:rPr>
                <w:sz w:val="16"/>
                <w:lang w:val="nl-NL"/>
              </w:rPr>
              <w:t xml:space="preserve"> </w:t>
            </w:r>
            <w:r w:rsidRPr="00D735E8">
              <w:rPr>
                <w:sz w:val="16"/>
                <w:lang w:val="nl-NL"/>
              </w:rPr>
              <w:t>interacties tussen verschillende trofische niveaus in het</w:t>
            </w:r>
            <w:r>
              <w:rPr>
                <w:sz w:val="16"/>
                <w:lang w:val="nl-NL"/>
              </w:rPr>
              <w:t xml:space="preserve"> </w:t>
            </w:r>
            <w:r w:rsidRPr="00D735E8">
              <w:rPr>
                <w:sz w:val="16"/>
                <w:lang w:val="nl-NL"/>
              </w:rPr>
              <w:t>voedselweb wordt verminderd.</w:t>
            </w:r>
          </w:p>
          <w:p w:rsidRPr="00D735E8" w:rsidR="0070550F" w:rsidP="00746E9B" w:rsidRDefault="0070550F" w14:paraId="318707E3" w14:textId="77777777">
            <w:pPr>
              <w:pStyle w:val="ListParagraph"/>
              <w:numPr>
                <w:ilvl w:val="0"/>
                <w:numId w:val="23"/>
              </w:numPr>
              <w:ind w:left="360"/>
              <w:rPr>
                <w:sz w:val="16"/>
                <w:lang w:val="nl-NL"/>
              </w:rPr>
            </w:pPr>
            <w:r w:rsidRPr="00D735E8">
              <w:rPr>
                <w:sz w:val="16"/>
                <w:lang w:val="nl-NL"/>
              </w:rPr>
              <w:t>D4C1: de diversiteit (soortsamenstelling en de abundantie) van ten minste drie geselecteerde trofische gildes is op een niveau of binnen een bandbreedte die duidt op een goede milieutoestand. De te gebruiken trofische gildes en de niveaus en bandbreedtes moeten in de tweede cyclus nog regionaal worden vastgesteld.</w:t>
            </w:r>
          </w:p>
          <w:p w:rsidR="0070550F" w:rsidP="00746E9B" w:rsidRDefault="0070550F" w14:paraId="11097958" w14:textId="77777777">
            <w:pPr>
              <w:pStyle w:val="ListParagraph"/>
              <w:numPr>
                <w:ilvl w:val="0"/>
                <w:numId w:val="23"/>
              </w:numPr>
              <w:ind w:left="360"/>
              <w:rPr>
                <w:sz w:val="16"/>
                <w:lang w:val="nl-NL"/>
              </w:rPr>
            </w:pPr>
            <w:r w:rsidRPr="00D735E8">
              <w:rPr>
                <w:sz w:val="16"/>
                <w:lang w:val="nl-NL"/>
              </w:rPr>
              <w:t>D4C2: de verhouding in abundantie tussen ten minste drie geselecteerde trofische gildes is op een niveau of binnen een bandbreedte die duidt op een goede milieutoestand. De te gebruiken trofische gildes en de niveaus en bandbreedtes moeten in de tweede cyclus nog regionaal worden vastgesteld.</w:t>
            </w:r>
          </w:p>
          <w:p w:rsidRPr="00D735E8" w:rsidR="0070550F" w:rsidP="00746E9B" w:rsidRDefault="0070550F" w14:paraId="554611D5" w14:textId="77777777">
            <w:pPr>
              <w:pStyle w:val="ListParagraph"/>
              <w:numPr>
                <w:ilvl w:val="0"/>
                <w:numId w:val="23"/>
              </w:numPr>
              <w:ind w:left="360"/>
              <w:rPr>
                <w:sz w:val="16"/>
                <w:lang w:val="nl-NL"/>
              </w:rPr>
            </w:pPr>
            <w:r w:rsidRPr="00D735E8">
              <w:rPr>
                <w:sz w:val="16"/>
                <w:lang w:val="nl-NL"/>
              </w:rPr>
              <w:t>D4C3: de groottestructuur (lengte) van de visgemeenschap blijft boven de historische minimumwaarde.</w:t>
            </w:r>
          </w:p>
        </w:tc>
      </w:tr>
      <w:tr w:rsidRPr="0084482C" w:rsidR="0070550F" w:rsidTr="000E4075" w14:paraId="7E03213C" w14:textId="77777777">
        <w:tc>
          <w:tcPr>
            <w:tcW w:w="1413" w:type="dxa"/>
          </w:tcPr>
          <w:p w:rsidRPr="00A32D98" w:rsidR="0070550F" w:rsidP="000E4075" w:rsidRDefault="0070550F" w14:paraId="2BBDEE0C" w14:textId="77777777">
            <w:pPr>
              <w:rPr>
                <w:sz w:val="16"/>
              </w:rPr>
            </w:pPr>
            <w:r w:rsidRPr="00A32D98">
              <w:rPr>
                <w:sz w:val="16"/>
              </w:rPr>
              <w:t>Milieudoelen</w:t>
            </w:r>
          </w:p>
        </w:tc>
        <w:tc>
          <w:tcPr>
            <w:tcW w:w="7604" w:type="dxa"/>
          </w:tcPr>
          <w:p w:rsidRPr="00D735E8" w:rsidR="0070550F" w:rsidP="00746E9B" w:rsidRDefault="0070550F" w14:paraId="39863543" w14:textId="77777777">
            <w:pPr>
              <w:pStyle w:val="ListParagraph"/>
              <w:numPr>
                <w:ilvl w:val="0"/>
                <w:numId w:val="46"/>
              </w:numPr>
              <w:rPr>
                <w:sz w:val="16"/>
                <w:lang w:val="nl-NL"/>
              </w:rPr>
            </w:pPr>
            <w:r w:rsidRPr="00D735E8">
              <w:rPr>
                <w:sz w:val="16"/>
                <w:lang w:val="nl-NL"/>
              </w:rPr>
              <w:t>D4T1: ontwikkelen en testen van regionale beoordelingsmethoden die in de toekomst gebruikt kunnen worden voor een beoordeling van de status van voedselwebben.</w:t>
            </w:r>
          </w:p>
          <w:p w:rsidRPr="00D735E8" w:rsidR="0070550F" w:rsidP="00746E9B" w:rsidRDefault="0070550F" w14:paraId="17098981" w14:textId="77777777">
            <w:pPr>
              <w:pStyle w:val="ListParagraph"/>
              <w:numPr>
                <w:ilvl w:val="0"/>
                <w:numId w:val="46"/>
              </w:numPr>
              <w:rPr>
                <w:sz w:val="16"/>
                <w:lang w:val="de-DE"/>
              </w:rPr>
            </w:pPr>
            <w:r w:rsidRPr="00D735E8">
              <w:rPr>
                <w:sz w:val="16"/>
                <w:lang w:val="de-DE"/>
              </w:rPr>
              <w:t>Doelen voor vogels, vissen, benthische en pelagische habitats (D1T2, D1T3, D1T4, D1T5, D1T6, D3T1, D6T1, D6T2, D6T5).</w:t>
            </w:r>
          </w:p>
        </w:tc>
      </w:tr>
    </w:tbl>
    <w:p w:rsidR="0070550F" w:rsidP="0070550F" w:rsidRDefault="0070550F" w14:paraId="3A354E55" w14:textId="77777777">
      <w:pPr>
        <w:rPr>
          <w:lang w:val="de-DE"/>
        </w:rPr>
      </w:pPr>
    </w:p>
    <w:p w:rsidRPr="00B96268" w:rsidR="0070550F" w:rsidP="0070550F" w:rsidRDefault="0070550F" w14:paraId="6B4B25F2" w14:textId="77777777">
      <w:pPr>
        <w:pStyle w:val="TOCHeading"/>
      </w:pPr>
      <w:r w:rsidRPr="00B96268">
        <w:t>Geïmplementeerde maatregelen</w:t>
      </w:r>
    </w:p>
    <w:p w:rsidRPr="00D23123" w:rsidR="0070550F" w:rsidP="0070550F" w:rsidRDefault="0070550F" w14:paraId="0DE046AB" w14:textId="77777777">
      <w:pPr>
        <w:rPr>
          <w:lang w:val="nl-NL"/>
        </w:rPr>
      </w:pPr>
      <w:r>
        <w:rPr>
          <w:lang w:val="nl-NL"/>
        </w:rPr>
        <w:t xml:space="preserve">Voor voedselwebben specifiek zijn in </w:t>
      </w:r>
      <w:r w:rsidR="00147E3F">
        <w:rPr>
          <w:lang w:val="nl-NL"/>
        </w:rPr>
        <w:t>de vorige editie van Mariene Strategie deel 3 geen maatregelen geformuleerd</w:t>
      </w:r>
      <w:r>
        <w:rPr>
          <w:lang w:val="nl-NL"/>
        </w:rPr>
        <w:t xml:space="preserve">. Maatregelen </w:t>
      </w:r>
      <w:r w:rsidRPr="00D23123" w:rsidR="00147E3F">
        <w:rPr>
          <w:lang w:val="nl-NL"/>
        </w:rPr>
        <w:t xml:space="preserve">voor </w:t>
      </w:r>
      <w:r w:rsidR="00B04A87">
        <w:rPr>
          <w:lang w:val="nl-NL"/>
        </w:rPr>
        <w:t xml:space="preserve">de descriptoren </w:t>
      </w:r>
      <w:r w:rsidRPr="00D23123" w:rsidR="00147E3F">
        <w:rPr>
          <w:lang w:val="nl-NL"/>
        </w:rPr>
        <w:t>vogels, zeezoogdieren, vissen, pelagische en benthische habitats</w:t>
      </w:r>
      <w:r w:rsidR="00147E3F">
        <w:rPr>
          <w:lang w:val="nl-NL"/>
        </w:rPr>
        <w:t xml:space="preserve"> </w:t>
      </w:r>
      <w:r w:rsidR="00B04A87">
        <w:rPr>
          <w:lang w:val="nl-NL"/>
        </w:rPr>
        <w:t xml:space="preserve">dragen impliciet bij aan </w:t>
      </w:r>
      <w:r>
        <w:rPr>
          <w:lang w:val="nl-NL"/>
        </w:rPr>
        <w:t>de goede milieutoestand van voedselwebben.</w:t>
      </w:r>
    </w:p>
    <w:p w:rsidR="0070550F" w:rsidP="0070550F" w:rsidRDefault="0070550F" w14:paraId="7411E733" w14:textId="77777777">
      <w:pPr>
        <w:pStyle w:val="TOCHeading"/>
      </w:pPr>
      <w:r w:rsidRPr="003A0642">
        <w:t xml:space="preserve">Huidige </w:t>
      </w:r>
      <w:r w:rsidR="008B1F25">
        <w:t>milieutoestand</w:t>
      </w:r>
    </w:p>
    <w:p w:rsidRPr="003A0642" w:rsidR="0070550F" w:rsidP="0070550F" w:rsidRDefault="00B04A87" w14:paraId="4BD118BA" w14:textId="0F1F5100">
      <w:pPr>
        <w:rPr>
          <w:lang w:val="nl-NL" w:eastAsia="nl-NL"/>
        </w:rPr>
      </w:pPr>
      <w:r>
        <w:rPr>
          <w:lang w:val="nl-NL" w:eastAsia="nl-NL"/>
        </w:rPr>
        <w:t xml:space="preserve">Door het ontbreken van </w:t>
      </w:r>
      <w:r w:rsidRPr="008F6F58" w:rsidR="0070550F">
        <w:rPr>
          <w:lang w:val="nl-NL" w:eastAsia="nl-NL"/>
        </w:rPr>
        <w:t>voldoende indicatoren voor descriptor 4</w:t>
      </w:r>
      <w:r w:rsidR="00837E73">
        <w:rPr>
          <w:lang w:val="nl-NL" w:eastAsia="nl-NL"/>
        </w:rPr>
        <w:t>,</w:t>
      </w:r>
      <w:r w:rsidRPr="008F6F58" w:rsidR="0070550F">
        <w:rPr>
          <w:lang w:val="nl-NL" w:eastAsia="nl-NL"/>
        </w:rPr>
        <w:t xml:space="preserve"> voedselwebben</w:t>
      </w:r>
      <w:r w:rsidR="00837E73">
        <w:rPr>
          <w:lang w:val="nl-NL" w:eastAsia="nl-NL"/>
        </w:rPr>
        <w:t>,</w:t>
      </w:r>
      <w:r w:rsidRPr="008F6F58" w:rsidR="0070550F">
        <w:rPr>
          <w:lang w:val="nl-NL" w:eastAsia="nl-NL"/>
        </w:rPr>
        <w:t xml:space="preserve"> kan nog niet worden vastgesteld in welke mate de goede milieutoestand</w:t>
      </w:r>
      <w:r>
        <w:rPr>
          <w:lang w:val="nl-NL" w:eastAsia="nl-NL"/>
        </w:rPr>
        <w:t xml:space="preserve"> is bereikt</w:t>
      </w:r>
      <w:r w:rsidRPr="008F6F58" w:rsidR="0070550F">
        <w:rPr>
          <w:lang w:val="nl-NL" w:eastAsia="nl-NL"/>
        </w:rPr>
        <w:t>. Uit de beoordelingen in Mariene Strategie deel 1 (2012, 2018)</w:t>
      </w:r>
      <w:r w:rsidR="00DD4F15">
        <w:rPr>
          <w:lang w:val="nl-NL" w:eastAsia="nl-NL"/>
        </w:rPr>
        <w:t xml:space="preserve"> [20, 11]</w:t>
      </w:r>
      <w:r w:rsidRPr="008F6F58" w:rsidR="0070550F">
        <w:rPr>
          <w:lang w:val="nl-NL" w:eastAsia="nl-NL"/>
        </w:rPr>
        <w:t xml:space="preserve"> is gebleken </w:t>
      </w:r>
      <w:r w:rsidR="00B5514C">
        <w:rPr>
          <w:lang w:val="nl-NL" w:eastAsia="nl-NL"/>
        </w:rPr>
        <w:t xml:space="preserve">dat </w:t>
      </w:r>
      <w:r w:rsidRPr="008F6F58" w:rsidR="0070550F">
        <w:rPr>
          <w:lang w:val="nl-NL" w:eastAsia="nl-NL"/>
        </w:rPr>
        <w:t xml:space="preserve">fysieke verstoring van de leefomgeving, </w:t>
      </w:r>
      <w:r>
        <w:rPr>
          <w:lang w:val="nl-NL" w:eastAsia="nl-NL"/>
        </w:rPr>
        <w:t>vooral</w:t>
      </w:r>
      <w:r w:rsidRPr="008F6F58" w:rsidR="0070550F">
        <w:rPr>
          <w:lang w:val="nl-NL" w:eastAsia="nl-NL"/>
        </w:rPr>
        <w:t xml:space="preserve"> die van bodemfauna, </w:t>
      </w:r>
      <w:r w:rsidR="00B5514C">
        <w:rPr>
          <w:lang w:val="nl-NL" w:eastAsia="nl-NL"/>
        </w:rPr>
        <w:t xml:space="preserve">en bijkomende effecten van klimaatverandering </w:t>
      </w:r>
      <w:r w:rsidRPr="008F6F58" w:rsidR="0070550F">
        <w:rPr>
          <w:lang w:val="nl-NL" w:eastAsia="nl-NL"/>
        </w:rPr>
        <w:t xml:space="preserve">de grootste negatieve invloed </w:t>
      </w:r>
      <w:r w:rsidR="00B5514C">
        <w:rPr>
          <w:lang w:val="nl-NL" w:eastAsia="nl-NL"/>
        </w:rPr>
        <w:t>hebben</w:t>
      </w:r>
      <w:r w:rsidRPr="008F6F58" w:rsidR="0070550F">
        <w:rPr>
          <w:lang w:val="nl-NL" w:eastAsia="nl-NL"/>
        </w:rPr>
        <w:t xml:space="preserve"> op het mariene ecosysteem en het voedselweb. Een steeds belangrijker wordende </w:t>
      </w:r>
      <w:r>
        <w:rPr>
          <w:lang w:val="nl-NL" w:eastAsia="nl-NL"/>
        </w:rPr>
        <w:t>druk</w:t>
      </w:r>
      <w:r w:rsidRPr="008F6F58" w:rsidR="0070550F">
        <w:rPr>
          <w:lang w:val="nl-NL" w:eastAsia="nl-NL"/>
        </w:rPr>
        <w:t>factor voor zeezoogdieren</w:t>
      </w:r>
      <w:r w:rsidR="00D00B58">
        <w:rPr>
          <w:lang w:val="nl-NL" w:eastAsia="nl-NL"/>
        </w:rPr>
        <w:t>,</w:t>
      </w:r>
      <w:r w:rsidRPr="008F6F58" w:rsidR="0070550F">
        <w:rPr>
          <w:lang w:val="nl-NL" w:eastAsia="nl-NL"/>
        </w:rPr>
        <w:t xml:space="preserve"> maar mogelijk ook </w:t>
      </w:r>
      <w:r>
        <w:rPr>
          <w:lang w:val="nl-NL" w:eastAsia="nl-NL"/>
        </w:rPr>
        <w:t xml:space="preserve">voor </w:t>
      </w:r>
      <w:r w:rsidRPr="008F6F58" w:rsidR="0070550F">
        <w:rPr>
          <w:lang w:val="nl-NL" w:eastAsia="nl-NL"/>
        </w:rPr>
        <w:t>andere organismen</w:t>
      </w:r>
      <w:r w:rsidR="00D00B58">
        <w:rPr>
          <w:lang w:val="nl-NL" w:eastAsia="nl-NL"/>
        </w:rPr>
        <w:t>,</w:t>
      </w:r>
      <w:r w:rsidRPr="008F6F58" w:rsidR="0070550F">
        <w:rPr>
          <w:lang w:val="nl-NL" w:eastAsia="nl-NL"/>
        </w:rPr>
        <w:t xml:space="preserve"> zijn geluidspulsen onder water.</w:t>
      </w:r>
      <w:r w:rsidR="0070550F">
        <w:rPr>
          <w:lang w:val="nl-NL" w:eastAsia="nl-NL"/>
        </w:rPr>
        <w:t xml:space="preserve"> </w:t>
      </w:r>
      <w:r w:rsidR="00D00B58">
        <w:rPr>
          <w:lang w:val="nl-NL" w:eastAsia="nl-NL"/>
        </w:rPr>
        <w:t>D</w:t>
      </w:r>
      <w:r w:rsidR="0070550F">
        <w:rPr>
          <w:lang w:val="nl-NL" w:eastAsia="nl-NL"/>
        </w:rPr>
        <w:t>e verwachte toename van het aantal windmolenparken op het Nederlands deel van de Noordzee</w:t>
      </w:r>
      <w:r w:rsidR="00D00B58">
        <w:rPr>
          <w:lang w:val="nl-NL" w:eastAsia="nl-NL"/>
        </w:rPr>
        <w:t>, zal</w:t>
      </w:r>
      <w:r w:rsidR="0070550F">
        <w:rPr>
          <w:lang w:val="nl-NL" w:eastAsia="nl-NL"/>
        </w:rPr>
        <w:t xml:space="preserve"> naar verwachting leiden tot meer druk op deze descriptor</w:t>
      </w:r>
      <w:r w:rsidR="00B5514C">
        <w:rPr>
          <w:lang w:val="nl-NL" w:eastAsia="nl-NL"/>
        </w:rPr>
        <w:t>, grotendeels toe te schrijven aan de veronderstelde effecten door fysieke, hydrologische effecten</w:t>
      </w:r>
      <w:r w:rsidR="0070550F">
        <w:rPr>
          <w:lang w:val="nl-NL" w:eastAsia="nl-NL"/>
        </w:rPr>
        <w:t xml:space="preserve">. Anderzijds kan de aanleg van windmolenparken </w:t>
      </w:r>
      <w:r w:rsidR="00CB6B46">
        <w:rPr>
          <w:lang w:val="nl-NL" w:eastAsia="nl-NL"/>
        </w:rPr>
        <w:t>betekenen dat een groter oppervlak van de EEZ zal zijn gesloten</w:t>
      </w:r>
      <w:r w:rsidR="0070550F">
        <w:rPr>
          <w:lang w:val="nl-NL" w:eastAsia="nl-NL"/>
        </w:rPr>
        <w:t xml:space="preserve"> voor bodemberoerende visserij, wat positief kan uitwerken op de ontwikkeling van benthosgemeenschappen.</w:t>
      </w:r>
    </w:p>
    <w:p w:rsidRPr="00B96268" w:rsidR="0070550F" w:rsidP="0070550F" w:rsidRDefault="0070550F" w14:paraId="0BF4BFAE" w14:textId="77777777">
      <w:pPr>
        <w:pStyle w:val="TOCHeading"/>
      </w:pPr>
      <w:r>
        <w:t>Aanvullende b</w:t>
      </w:r>
      <w:r w:rsidRPr="00B96268">
        <w:t xml:space="preserve">eleidsopgave </w:t>
      </w:r>
      <w:r>
        <w:t>en aanvullende maatregelen</w:t>
      </w:r>
    </w:p>
    <w:p w:rsidRPr="0043308F" w:rsidR="0070550F" w:rsidP="0070550F" w:rsidRDefault="00B04A87" w14:paraId="3C86BDB0" w14:textId="77777777">
      <w:pPr>
        <w:rPr>
          <w:lang w:val="nl-NL"/>
        </w:rPr>
      </w:pPr>
      <w:r>
        <w:rPr>
          <w:lang w:val="nl-NL"/>
        </w:rPr>
        <w:t>H</w:t>
      </w:r>
      <w:r w:rsidRPr="0043308F" w:rsidR="0070550F">
        <w:rPr>
          <w:lang w:val="nl-NL"/>
        </w:rPr>
        <w:t xml:space="preserve">et karakter van descriptor 4 als </w:t>
      </w:r>
      <w:r>
        <w:rPr>
          <w:lang w:val="nl-NL"/>
        </w:rPr>
        <w:t>een</w:t>
      </w:r>
      <w:r w:rsidRPr="0043308F" w:rsidR="0070550F">
        <w:rPr>
          <w:lang w:val="nl-NL"/>
        </w:rPr>
        <w:t xml:space="preserve"> resultante van de andere descriptoren</w:t>
      </w:r>
      <w:r w:rsidR="0070550F">
        <w:rPr>
          <w:lang w:val="nl-NL"/>
        </w:rPr>
        <w:t>,</w:t>
      </w:r>
      <w:r w:rsidRPr="0043308F" w:rsidR="0070550F">
        <w:rPr>
          <w:lang w:val="nl-NL"/>
        </w:rPr>
        <w:t xml:space="preserve"> </w:t>
      </w:r>
      <w:r w:rsidR="00A143D8">
        <w:rPr>
          <w:lang w:val="nl-NL"/>
        </w:rPr>
        <w:t xml:space="preserve">heeft de logische consequentie dat </w:t>
      </w:r>
      <w:r w:rsidRPr="0043308F" w:rsidR="0070550F">
        <w:rPr>
          <w:lang w:val="nl-NL"/>
        </w:rPr>
        <w:t xml:space="preserve">alle maatregelen en opgaven beschreven onder die descriptoren ook in het teken staan van het bereiken van de goede milieutoestand voor voedselwebben. </w:t>
      </w:r>
      <w:r w:rsidR="00D94CE1">
        <w:rPr>
          <w:lang w:val="nl-NL"/>
        </w:rPr>
        <w:t>H</w:t>
      </w:r>
      <w:r w:rsidRPr="009B1C88" w:rsidR="0070550F">
        <w:rPr>
          <w:lang w:val="nl-NL"/>
        </w:rPr>
        <w:t xml:space="preserve">et </w:t>
      </w:r>
      <w:r w:rsidR="00D94CE1">
        <w:rPr>
          <w:lang w:val="nl-NL"/>
        </w:rPr>
        <w:t>is</w:t>
      </w:r>
      <w:r w:rsidRPr="009B1C88" w:rsidR="00D94CE1">
        <w:rPr>
          <w:lang w:val="nl-NL"/>
        </w:rPr>
        <w:t xml:space="preserve"> </w:t>
      </w:r>
      <w:r w:rsidR="00A143D8">
        <w:rPr>
          <w:lang w:val="nl-NL"/>
        </w:rPr>
        <w:t xml:space="preserve">dan ook niet goed mogelijk om </w:t>
      </w:r>
      <w:r w:rsidRPr="009B1C88" w:rsidR="0070550F">
        <w:rPr>
          <w:lang w:val="nl-NL"/>
        </w:rPr>
        <w:t xml:space="preserve">beleid en maatregelen te formuleren die specifiek </w:t>
      </w:r>
      <w:r w:rsidR="00D94CE1">
        <w:rPr>
          <w:lang w:val="nl-NL"/>
        </w:rPr>
        <w:t xml:space="preserve">en </w:t>
      </w:r>
      <w:r w:rsidRPr="009B1C88" w:rsidR="0070550F">
        <w:rPr>
          <w:lang w:val="nl-NL"/>
        </w:rPr>
        <w:t xml:space="preserve">alleen op deze descriptor </w:t>
      </w:r>
      <w:r w:rsidR="00D94CE1">
        <w:rPr>
          <w:lang w:val="nl-NL"/>
        </w:rPr>
        <w:t xml:space="preserve">zijn </w:t>
      </w:r>
      <w:r w:rsidRPr="009B1C88" w:rsidR="0070550F">
        <w:rPr>
          <w:lang w:val="nl-NL"/>
        </w:rPr>
        <w:t xml:space="preserve">gericht. </w:t>
      </w:r>
      <w:r w:rsidRPr="0043308F" w:rsidR="0070550F">
        <w:rPr>
          <w:lang w:val="nl-NL"/>
        </w:rPr>
        <w:t>De beoordelingen die in 2012 en 2018 zijn gedaan</w:t>
      </w:r>
      <w:r w:rsidR="00D94CE1">
        <w:rPr>
          <w:lang w:val="nl-NL"/>
        </w:rPr>
        <w:t>,</w:t>
      </w:r>
      <w:r w:rsidRPr="0043308F" w:rsidR="0070550F">
        <w:rPr>
          <w:lang w:val="nl-NL"/>
        </w:rPr>
        <w:t xml:space="preserve"> </w:t>
      </w:r>
      <w:r w:rsidR="00A143D8">
        <w:rPr>
          <w:lang w:val="nl-NL"/>
        </w:rPr>
        <w:t xml:space="preserve">wekken de indruk </w:t>
      </w:r>
      <w:r w:rsidRPr="0043308F" w:rsidR="0070550F">
        <w:rPr>
          <w:lang w:val="nl-NL"/>
        </w:rPr>
        <w:t xml:space="preserve">dat de maatregelen </w:t>
      </w:r>
      <w:r w:rsidR="00D94CE1">
        <w:rPr>
          <w:lang w:val="nl-NL"/>
        </w:rPr>
        <w:t>om</w:t>
      </w:r>
      <w:r w:rsidRPr="0043308F" w:rsidR="0070550F">
        <w:rPr>
          <w:lang w:val="nl-NL"/>
        </w:rPr>
        <w:t xml:space="preserve"> bodemverstoring</w:t>
      </w:r>
      <w:r w:rsidR="00D94CE1">
        <w:rPr>
          <w:lang w:val="nl-NL"/>
        </w:rPr>
        <w:t xml:space="preserve"> te</w:t>
      </w:r>
      <w:r w:rsidRPr="0043308F" w:rsidR="0070550F">
        <w:rPr>
          <w:lang w:val="nl-NL"/>
        </w:rPr>
        <w:t xml:space="preserve"> </w:t>
      </w:r>
      <w:r w:rsidR="00D94CE1">
        <w:rPr>
          <w:lang w:val="nl-NL"/>
        </w:rPr>
        <w:t xml:space="preserve">beperken </w:t>
      </w:r>
      <w:r w:rsidRPr="0043308F" w:rsidR="0070550F">
        <w:rPr>
          <w:lang w:val="nl-NL"/>
        </w:rPr>
        <w:t xml:space="preserve">en beschermde gebieden en habitats </w:t>
      </w:r>
      <w:r w:rsidR="00D94CE1">
        <w:rPr>
          <w:lang w:val="nl-NL"/>
        </w:rPr>
        <w:t xml:space="preserve">in te stellen </w:t>
      </w:r>
      <w:r w:rsidRPr="0043308F" w:rsidR="0070550F">
        <w:rPr>
          <w:lang w:val="nl-NL"/>
        </w:rPr>
        <w:t>van relatief groot belang zijn voor descriptor 4.</w:t>
      </w:r>
    </w:p>
    <w:p w:rsidRPr="009B1C88" w:rsidR="0070550F" w:rsidP="0070550F" w:rsidRDefault="0070550F" w14:paraId="472FEA11" w14:textId="77777777">
      <w:pPr>
        <w:rPr>
          <w:lang w:val="nl-NL"/>
        </w:rPr>
      </w:pPr>
      <w:r w:rsidRPr="0043308F">
        <w:rPr>
          <w:lang w:val="nl-NL"/>
        </w:rPr>
        <w:t xml:space="preserve">Dat betekent echter niet dat er geen ruimte of noodzaak is voor actie omtrent descriptor 4. </w:t>
      </w:r>
      <w:r w:rsidRPr="009B1C88">
        <w:rPr>
          <w:lang w:val="nl-NL"/>
        </w:rPr>
        <w:t xml:space="preserve">Juist omdat deze descriptor het succes van maatregelen </w:t>
      </w:r>
      <w:r w:rsidR="00D94CE1">
        <w:rPr>
          <w:lang w:val="nl-NL"/>
        </w:rPr>
        <w:t>voor</w:t>
      </w:r>
      <w:r w:rsidRPr="009B1C88" w:rsidR="00D94CE1">
        <w:rPr>
          <w:lang w:val="nl-NL"/>
        </w:rPr>
        <w:t xml:space="preserve"> </w:t>
      </w:r>
      <w:r w:rsidRPr="009B1C88">
        <w:rPr>
          <w:lang w:val="nl-NL"/>
        </w:rPr>
        <w:t>andere descriptoren in een meer geïntegreerd, holistisch perspectief kan plaatsen</w:t>
      </w:r>
      <w:r w:rsidR="00D94CE1">
        <w:rPr>
          <w:lang w:val="nl-NL"/>
        </w:rPr>
        <w:t>,</w:t>
      </w:r>
      <w:r w:rsidRPr="009B1C88">
        <w:rPr>
          <w:lang w:val="nl-NL"/>
        </w:rPr>
        <w:t xml:space="preserve"> is het van belang dat er voldoende indicatoren zijn en worden </w:t>
      </w:r>
      <w:r w:rsidRPr="00D94CE1" w:rsidR="00D94CE1">
        <w:rPr>
          <w:lang w:val="nl-NL"/>
        </w:rPr>
        <w:t xml:space="preserve">ontwikkeld </w:t>
      </w:r>
      <w:r w:rsidRPr="009B1C88">
        <w:rPr>
          <w:lang w:val="nl-NL"/>
        </w:rPr>
        <w:t xml:space="preserve">om de </w:t>
      </w:r>
      <w:r w:rsidR="00A143D8">
        <w:rPr>
          <w:lang w:val="nl-NL"/>
        </w:rPr>
        <w:t>milieu</w:t>
      </w:r>
      <w:r w:rsidRPr="009B1C88">
        <w:rPr>
          <w:lang w:val="nl-NL"/>
        </w:rPr>
        <w:t xml:space="preserve">toestand </w:t>
      </w:r>
      <w:r w:rsidR="00A143D8">
        <w:rPr>
          <w:lang w:val="nl-NL"/>
        </w:rPr>
        <w:t xml:space="preserve">aan de hand </w:t>
      </w:r>
      <w:r w:rsidRPr="009B1C88">
        <w:rPr>
          <w:lang w:val="nl-NL"/>
        </w:rPr>
        <w:t xml:space="preserve">van deze descriptor goed te kunnen beoordelen. </w:t>
      </w:r>
      <w:r w:rsidR="00D94CE1">
        <w:rPr>
          <w:lang w:val="nl-NL"/>
        </w:rPr>
        <w:t>V</w:t>
      </w:r>
      <w:r w:rsidRPr="009B1C88">
        <w:rPr>
          <w:lang w:val="nl-NL"/>
        </w:rPr>
        <w:t>anwege de complexiteit van de interacties en de gelaagdheid van het systeem, maar ook vanwege een tekort aan wetenschappelijke inzichten</w:t>
      </w:r>
      <w:r w:rsidR="00D94CE1">
        <w:rPr>
          <w:lang w:val="nl-NL"/>
        </w:rPr>
        <w:t>,</w:t>
      </w:r>
      <w:r w:rsidRPr="009B1C88">
        <w:rPr>
          <w:lang w:val="nl-NL"/>
        </w:rPr>
        <w:t xml:space="preserve"> heeft de ontwikkeling van voldoende indicatoren op zich laten wachten. </w:t>
      </w:r>
    </w:p>
    <w:p w:rsidRPr="009B1C88" w:rsidR="0070550F" w:rsidP="0070550F" w:rsidRDefault="000502CA" w14:paraId="419F90B7" w14:textId="77777777">
      <w:pPr>
        <w:rPr>
          <w:lang w:val="nl-NL"/>
        </w:rPr>
      </w:pPr>
      <w:r>
        <w:rPr>
          <w:lang w:val="nl-NL"/>
        </w:rPr>
        <w:t xml:space="preserve">Samen met andere landen ontwikkelt </w:t>
      </w:r>
      <w:r w:rsidRPr="0043308F" w:rsidR="0070550F">
        <w:rPr>
          <w:lang w:val="nl-NL"/>
        </w:rPr>
        <w:t xml:space="preserve">Nederland </w:t>
      </w:r>
      <w:r>
        <w:rPr>
          <w:lang w:val="nl-NL"/>
        </w:rPr>
        <w:t xml:space="preserve">in OSPAR-verband </w:t>
      </w:r>
      <w:r w:rsidRPr="0043308F">
        <w:rPr>
          <w:lang w:val="nl-NL"/>
        </w:rPr>
        <w:t>indicatoren voor descriptor 4</w:t>
      </w:r>
      <w:r>
        <w:rPr>
          <w:lang w:val="nl-NL"/>
        </w:rPr>
        <w:t>.</w:t>
      </w:r>
      <w:r w:rsidRPr="0043308F">
        <w:rPr>
          <w:lang w:val="nl-NL"/>
        </w:rPr>
        <w:t xml:space="preserve"> </w:t>
      </w:r>
      <w:r w:rsidRPr="009B1C88" w:rsidR="0070550F">
        <w:rPr>
          <w:lang w:val="nl-NL"/>
        </w:rPr>
        <w:t xml:space="preserve">Een voorbeeld hiervan is de indicator </w:t>
      </w:r>
      <w:r w:rsidR="00BC6A21">
        <w:rPr>
          <w:lang w:val="nl-NL"/>
        </w:rPr>
        <w:t>‘</w:t>
      </w:r>
      <w:r w:rsidRPr="009B1C88" w:rsidR="0070550F">
        <w:rPr>
          <w:lang w:val="nl-NL"/>
        </w:rPr>
        <w:t>Grootteverdeling in Visgemeenschappen</w:t>
      </w:r>
      <w:r w:rsidR="00BC6A21">
        <w:rPr>
          <w:lang w:val="nl-NL"/>
        </w:rPr>
        <w:t>’</w:t>
      </w:r>
      <w:r w:rsidRPr="009B1C88" w:rsidR="0070550F">
        <w:rPr>
          <w:lang w:val="nl-NL"/>
        </w:rPr>
        <w:t xml:space="preserve">. Op dit moment wordt gewerkt aan de toepassing </w:t>
      </w:r>
      <w:r>
        <w:rPr>
          <w:lang w:val="nl-NL"/>
        </w:rPr>
        <w:t xml:space="preserve">op de Noordzee </w:t>
      </w:r>
      <w:r w:rsidRPr="009B1C88" w:rsidR="0070550F">
        <w:rPr>
          <w:lang w:val="nl-NL"/>
        </w:rPr>
        <w:t xml:space="preserve">van indicatoren die </w:t>
      </w:r>
      <w:r>
        <w:rPr>
          <w:lang w:val="nl-NL"/>
        </w:rPr>
        <w:t xml:space="preserve">zijn </w:t>
      </w:r>
      <w:r w:rsidRPr="009B1C88" w:rsidR="0070550F">
        <w:rPr>
          <w:lang w:val="nl-NL"/>
        </w:rPr>
        <w:t>ontwikkeld voor andere OSPAR</w:t>
      </w:r>
      <w:r w:rsidR="00BC6A21">
        <w:rPr>
          <w:lang w:val="nl-NL"/>
        </w:rPr>
        <w:t>-</w:t>
      </w:r>
      <w:r w:rsidRPr="009B1C88" w:rsidR="0070550F">
        <w:rPr>
          <w:lang w:val="nl-NL"/>
        </w:rPr>
        <w:t>regio´s</w:t>
      </w:r>
      <w:r>
        <w:rPr>
          <w:lang w:val="nl-NL"/>
        </w:rPr>
        <w:t xml:space="preserve">. </w:t>
      </w:r>
      <w:r w:rsidR="00C516D4">
        <w:rPr>
          <w:lang w:val="nl-NL"/>
        </w:rPr>
        <w:t>Daarnaast zijn n</w:t>
      </w:r>
      <w:r>
        <w:rPr>
          <w:lang w:val="nl-NL"/>
        </w:rPr>
        <w:t>i</w:t>
      </w:r>
      <w:r w:rsidRPr="009B1C88" w:rsidR="0070550F">
        <w:rPr>
          <w:lang w:val="nl-NL"/>
        </w:rPr>
        <w:t>euwe indicatoren</w:t>
      </w:r>
      <w:r w:rsidR="00C516D4">
        <w:rPr>
          <w:lang w:val="nl-NL"/>
        </w:rPr>
        <w:t xml:space="preserve"> in voorbereiding, </w:t>
      </w:r>
      <w:r w:rsidRPr="009B1C88" w:rsidR="0070550F">
        <w:rPr>
          <w:lang w:val="nl-NL"/>
        </w:rPr>
        <w:t xml:space="preserve">gericht op trofische interacties tussen organismen, </w:t>
      </w:r>
      <w:r w:rsidR="00C516D4">
        <w:rPr>
          <w:lang w:val="nl-NL"/>
        </w:rPr>
        <w:t xml:space="preserve">op </w:t>
      </w:r>
      <w:r w:rsidRPr="009B1C88" w:rsidR="0070550F">
        <w:rPr>
          <w:lang w:val="nl-NL"/>
        </w:rPr>
        <w:t xml:space="preserve">trofische niveaus van organismen en op meer modelmatige analyse van de monitoringsgegevens die </w:t>
      </w:r>
      <w:r w:rsidR="00C516D4">
        <w:rPr>
          <w:lang w:val="nl-NL"/>
        </w:rPr>
        <w:t xml:space="preserve">beschikbaar komen </w:t>
      </w:r>
      <w:r w:rsidRPr="009B1C88" w:rsidR="0070550F">
        <w:rPr>
          <w:lang w:val="nl-NL"/>
        </w:rPr>
        <w:t>in het kader van descriptor 1 (biodiversiteit) en descriptor 2 (invasieve soorten).</w:t>
      </w:r>
    </w:p>
    <w:p w:rsidR="0070550F" w:rsidP="0070550F" w:rsidRDefault="00C516D4" w14:paraId="16D11C55" w14:textId="0E886ABA">
      <w:pPr>
        <w:rPr>
          <w:lang w:val="nl-NL"/>
        </w:rPr>
      </w:pPr>
      <w:r>
        <w:rPr>
          <w:lang w:val="nl-NL"/>
        </w:rPr>
        <w:t xml:space="preserve">Ook in het </w:t>
      </w:r>
      <w:r w:rsidRPr="0030091F">
        <w:rPr>
          <w:lang w:val="nl-NL"/>
        </w:rPr>
        <w:t>Noordzeeakkoord</w:t>
      </w:r>
      <w:r w:rsidRPr="0043308F">
        <w:rPr>
          <w:lang w:val="nl-NL"/>
        </w:rPr>
        <w:t xml:space="preserve"> </w:t>
      </w:r>
      <w:r>
        <w:rPr>
          <w:lang w:val="nl-NL"/>
        </w:rPr>
        <w:t>staan s</w:t>
      </w:r>
      <w:r w:rsidRPr="0043308F" w:rsidR="0070550F">
        <w:rPr>
          <w:lang w:val="nl-NL"/>
        </w:rPr>
        <w:t>ysteembegrip, cumulatie van effecten, draagkracht en ecosysteemdenken centraal</w:t>
      </w:r>
      <w:r w:rsidR="00A34A46">
        <w:rPr>
          <w:lang w:val="nl-NL"/>
        </w:rPr>
        <w:t>, en zijn hierover afspraken gemaakt</w:t>
      </w:r>
      <w:r w:rsidRPr="0030091F" w:rsidR="0070550F">
        <w:rPr>
          <w:lang w:val="nl-NL"/>
        </w:rPr>
        <w:t xml:space="preserve">. Onderzoek </w:t>
      </w:r>
      <w:r>
        <w:rPr>
          <w:lang w:val="nl-NL"/>
        </w:rPr>
        <w:t>bied</w:t>
      </w:r>
      <w:r w:rsidR="005174A5">
        <w:rPr>
          <w:lang w:val="nl-NL"/>
        </w:rPr>
        <w:t>t</w:t>
      </w:r>
      <w:r w:rsidRPr="009B1C88" w:rsidR="0070550F">
        <w:rPr>
          <w:lang w:val="nl-NL"/>
        </w:rPr>
        <w:t xml:space="preserve"> kansen om, </w:t>
      </w:r>
      <w:r w:rsidR="00890EA3">
        <w:rPr>
          <w:lang w:val="nl-NL"/>
        </w:rPr>
        <w:t>samen</w:t>
      </w:r>
      <w:r w:rsidRPr="009B1C88" w:rsidR="0070550F">
        <w:rPr>
          <w:lang w:val="nl-NL"/>
        </w:rPr>
        <w:t xml:space="preserve"> met </w:t>
      </w:r>
      <w:r w:rsidR="00C20B03">
        <w:rPr>
          <w:lang w:val="nl-NL"/>
        </w:rPr>
        <w:t xml:space="preserve">de </w:t>
      </w:r>
      <w:r w:rsidRPr="009B1C88" w:rsidR="0070550F">
        <w:rPr>
          <w:lang w:val="nl-NL"/>
        </w:rPr>
        <w:t xml:space="preserve">internationale partners in OSPAR, </w:t>
      </w:r>
      <w:r>
        <w:rPr>
          <w:lang w:val="nl-NL"/>
        </w:rPr>
        <w:t xml:space="preserve">stappen te zetten in het monitoren en </w:t>
      </w:r>
      <w:r w:rsidRPr="009B1C88" w:rsidR="0070550F">
        <w:rPr>
          <w:lang w:val="nl-NL"/>
        </w:rPr>
        <w:t xml:space="preserve">beoordelen van de toestand van voedselwebben. Ook </w:t>
      </w:r>
      <w:r w:rsidR="00C20B03">
        <w:rPr>
          <w:lang w:val="nl-NL"/>
        </w:rPr>
        <w:t xml:space="preserve">de </w:t>
      </w:r>
      <w:r w:rsidRPr="009B1C88" w:rsidR="0070550F">
        <w:rPr>
          <w:lang w:val="nl-NL"/>
        </w:rPr>
        <w:t xml:space="preserve">invloed van </w:t>
      </w:r>
      <w:r w:rsidR="00890EA3">
        <w:rPr>
          <w:lang w:val="nl-NL"/>
        </w:rPr>
        <w:t xml:space="preserve">meer autonome </w:t>
      </w:r>
      <w:r w:rsidR="00C20B03">
        <w:rPr>
          <w:lang w:val="nl-NL"/>
        </w:rPr>
        <w:t>ontwikkelingen</w:t>
      </w:r>
      <w:r w:rsidR="00890EA3">
        <w:rPr>
          <w:lang w:val="nl-NL"/>
        </w:rPr>
        <w:t>,</w:t>
      </w:r>
      <w:r w:rsidR="00C20B03">
        <w:rPr>
          <w:lang w:val="nl-NL"/>
        </w:rPr>
        <w:t xml:space="preserve"> </w:t>
      </w:r>
      <w:r w:rsidRPr="009B1C88" w:rsidR="0070550F">
        <w:rPr>
          <w:lang w:val="nl-NL"/>
        </w:rPr>
        <w:t>zoals klimaatverandering</w:t>
      </w:r>
      <w:r w:rsidR="0070550F">
        <w:rPr>
          <w:lang w:val="nl-NL"/>
        </w:rPr>
        <w:t>,</w:t>
      </w:r>
      <w:r w:rsidRPr="009B1C88" w:rsidR="0070550F">
        <w:rPr>
          <w:lang w:val="nl-NL"/>
        </w:rPr>
        <w:t xml:space="preserve"> </w:t>
      </w:r>
      <w:r w:rsidR="005174A5">
        <w:rPr>
          <w:lang w:val="nl-NL"/>
        </w:rPr>
        <w:t>krijgt</w:t>
      </w:r>
      <w:r w:rsidRPr="009B1C88" w:rsidR="0070550F">
        <w:rPr>
          <w:lang w:val="nl-NL"/>
        </w:rPr>
        <w:t xml:space="preserve"> meer aandacht.</w:t>
      </w:r>
    </w:p>
    <w:p w:rsidR="0070550F" w:rsidP="0070550F" w:rsidRDefault="0070550F" w14:paraId="722062E1" w14:textId="77777777">
      <w:pPr>
        <w:pStyle w:val="TOCHeading"/>
      </w:pPr>
      <w:r>
        <w:t>Kennisagenda</w:t>
      </w:r>
      <w:r w:rsidRPr="00B96268">
        <w:t xml:space="preserve"> </w:t>
      </w:r>
    </w:p>
    <w:p w:rsidR="0070550F" w:rsidP="0070550F" w:rsidRDefault="00F27708" w14:paraId="5CBA9978" w14:textId="1F33E341">
      <w:pPr>
        <w:rPr>
          <w:lang w:val="nl-NL" w:eastAsia="nl-NL"/>
        </w:rPr>
      </w:pPr>
      <w:r w:rsidRPr="001262C0">
        <w:rPr>
          <w:lang w:val="nl-NL" w:eastAsia="nl-NL"/>
        </w:rPr>
        <w:t>Deze paragraaf omvat de bel</w:t>
      </w:r>
      <w:r w:rsidR="008E7503">
        <w:rPr>
          <w:lang w:val="nl-NL" w:eastAsia="nl-NL"/>
        </w:rPr>
        <w:t>angrijkste kennisvragen omtrent voedselwebben</w:t>
      </w:r>
      <w:r w:rsidRPr="001262C0">
        <w:rPr>
          <w:lang w:val="nl-NL" w:eastAsia="nl-NL"/>
        </w:rPr>
        <w:t xml:space="preserve"> </w:t>
      </w:r>
      <w:r w:rsidR="005F5515">
        <w:rPr>
          <w:lang w:val="nl-NL" w:eastAsia="nl-NL"/>
        </w:rPr>
        <w:t>D</w:t>
      </w:r>
      <w:r w:rsidR="00D91B1B">
        <w:rPr>
          <w:lang w:val="nl-NL" w:eastAsia="nl-NL"/>
        </w:rPr>
        <w:t>ie in de periode 2022-2027 worden onderzocht.</w:t>
      </w:r>
    </w:p>
    <w:p w:rsidR="00D91B1B" w:rsidP="00746E9B" w:rsidRDefault="00D91B1B" w14:paraId="3760A85D" w14:textId="7B378C14">
      <w:pPr>
        <w:pStyle w:val="ListParagraph"/>
        <w:numPr>
          <w:ilvl w:val="0"/>
          <w:numId w:val="33"/>
        </w:numPr>
        <w:rPr>
          <w:lang w:val="nl-NL"/>
        </w:rPr>
      </w:pPr>
      <w:bookmarkStart w:name="_Hlk90033387" w:id="37"/>
      <w:r w:rsidRPr="00D91B1B">
        <w:rPr>
          <w:lang w:val="nl-NL"/>
        </w:rPr>
        <w:t>De relatie tussen alle onderdelen van het mariene voedselweb is een van de moeilijkste analyses in de mariene strategie. Het is op dit moment nog niet mogelijk om te beoordelen of de “diversiteit (soortensamenstelling en hun relatieve dichtheid) van het trofische gilde wordt geschaad door antropogene belastingen” (D4C1), en of “het evenwicht van de totale dichtheid tussen de trofische gilden wordt geschaad door antropogene belastingen” (D4C2). Onderzoek is daarom nodig naar de relaties tussen trofische niveaus, waarbij met name meer inzicht komt in de basis van het voedselweb (primaire productie).</w:t>
      </w:r>
    </w:p>
    <w:bookmarkEnd w:id="37"/>
    <w:p w:rsidR="00D91B1B" w:rsidP="00746E9B" w:rsidRDefault="00D91B1B" w14:paraId="1D05E62F" w14:textId="4BD31983">
      <w:pPr>
        <w:pStyle w:val="ListParagraph"/>
        <w:numPr>
          <w:ilvl w:val="0"/>
          <w:numId w:val="33"/>
        </w:numPr>
        <w:rPr>
          <w:lang w:val="nl-NL"/>
        </w:rPr>
      </w:pPr>
      <w:r w:rsidRPr="00D91B1B">
        <w:rPr>
          <w:lang w:val="nl-NL"/>
        </w:rPr>
        <w:t xml:space="preserve">In welke mate is het mogelijk om met de huidig beschikbare </w:t>
      </w:r>
      <w:r w:rsidR="00E14ACD">
        <w:rPr>
          <w:lang w:val="nl-NL"/>
        </w:rPr>
        <w:t>monitoring</w:t>
      </w:r>
      <w:r w:rsidRPr="00D91B1B">
        <w:rPr>
          <w:lang w:val="nl-NL"/>
        </w:rPr>
        <w:t>data (zowel nationaal als internationaal) indicatoren te ontwikkelen die heel gericht de D4-criteria kunnen toetsen? Welke data lacunes komen daarbij naar voren?</w:t>
      </w:r>
    </w:p>
    <w:p w:rsidRPr="007A3BBF" w:rsidR="0070550F" w:rsidP="00746E9B" w:rsidRDefault="0070550F" w14:paraId="601E2DC0" w14:textId="77777777">
      <w:pPr>
        <w:pStyle w:val="Stijl1"/>
        <w:numPr>
          <w:ilvl w:val="1"/>
          <w:numId w:val="16"/>
        </w:numPr>
        <w:rPr>
          <w:lang w:val="nl-NL"/>
        </w:rPr>
      </w:pPr>
      <w:bookmarkStart w:name="_Toc59455630" w:id="38"/>
      <w:r w:rsidRPr="007A3BBF">
        <w:rPr>
          <w:lang w:val="nl-NL"/>
        </w:rPr>
        <w:t>Eutrofiëring</w:t>
      </w:r>
      <w:r>
        <w:rPr>
          <w:lang w:val="nl-NL"/>
        </w:rPr>
        <w:t xml:space="preserve"> (D5)</w:t>
      </w:r>
      <w:bookmarkEnd w:id="38"/>
    </w:p>
    <w:p w:rsidR="00601347" w:rsidP="00601347" w:rsidRDefault="00601347" w14:paraId="2D1CB632" w14:textId="77777777">
      <w:pPr>
        <w:pStyle w:val="TOCHeading"/>
      </w:pPr>
      <w:r w:rsidRPr="004B5240">
        <w:t>Goede milieutoestand en doe</w:t>
      </w:r>
      <w:r>
        <w:t>len</w:t>
      </w:r>
    </w:p>
    <w:p w:rsidR="00601347" w:rsidP="00601347" w:rsidRDefault="00601347" w14:paraId="569B1893" w14:textId="77777777">
      <w:pPr>
        <w:rPr>
          <w:lang w:val="nl-NL"/>
        </w:rPr>
      </w:pPr>
      <w:r w:rsidRPr="00A94A65">
        <w:rPr>
          <w:lang w:val="nl-NL"/>
        </w:rPr>
        <w:t>Eutrofiëring</w:t>
      </w:r>
      <w:r>
        <w:rPr>
          <w:lang w:val="nl-NL"/>
        </w:rPr>
        <w:t xml:space="preserve"> wordt veroorzaakt door een overdadige toevoer van voedingsstoffen (met name stikstof en fosfaat) en</w:t>
      </w:r>
      <w:r w:rsidRPr="00A94A65">
        <w:rPr>
          <w:lang w:val="nl-NL"/>
        </w:rPr>
        <w:t xml:space="preserve"> </w:t>
      </w:r>
      <w:r>
        <w:rPr>
          <w:lang w:val="nl-NL"/>
        </w:rPr>
        <w:t xml:space="preserve">leidt tot </w:t>
      </w:r>
      <w:r w:rsidRPr="00A94A65">
        <w:rPr>
          <w:lang w:val="nl-NL"/>
        </w:rPr>
        <w:t xml:space="preserve">verlies van biodiversiteit, aantasting van het ecosysteem, schadelijke algenbloei en zuurstofgebrek in </w:t>
      </w:r>
      <w:r>
        <w:rPr>
          <w:lang w:val="nl-NL"/>
        </w:rPr>
        <w:t>de waterbodem</w:t>
      </w:r>
      <w:r w:rsidRPr="00A94A65">
        <w:rPr>
          <w:lang w:val="nl-NL"/>
        </w:rPr>
        <w:t>.</w:t>
      </w:r>
      <w:r>
        <w:rPr>
          <w:lang w:val="nl-NL"/>
        </w:rPr>
        <w:t xml:space="preserve"> </w:t>
      </w:r>
      <w:r w:rsidRPr="004B5240">
        <w:rPr>
          <w:lang w:val="nl-NL"/>
        </w:rPr>
        <w:t xml:space="preserve">De goede milieutoestand is bereikt als door mensen teweeggebrachte eutrofiëring tot een minimum is beperkt. </w:t>
      </w:r>
      <w:r>
        <w:rPr>
          <w:lang w:val="nl-NL"/>
        </w:rPr>
        <w:t>De volgende milieudoelen gelden:</w:t>
      </w:r>
    </w:p>
    <w:tbl>
      <w:tblPr>
        <w:tblStyle w:val="TableGrid"/>
        <w:tblW w:w="0" w:type="auto"/>
        <w:tblLook w:val="04A0" w:firstRow="1" w:lastRow="0" w:firstColumn="1" w:lastColumn="0" w:noHBand="0" w:noVBand="1"/>
      </w:tblPr>
      <w:tblGrid>
        <w:gridCol w:w="1413"/>
        <w:gridCol w:w="7604"/>
      </w:tblGrid>
      <w:tr w:rsidRPr="0084482C" w:rsidR="00601347" w:rsidTr="00DE236A" w14:paraId="05AC9E65" w14:textId="77777777">
        <w:tc>
          <w:tcPr>
            <w:tcW w:w="1413" w:type="dxa"/>
          </w:tcPr>
          <w:p w:rsidRPr="00A32D98" w:rsidR="00601347" w:rsidP="00DE236A" w:rsidRDefault="00601347" w14:paraId="0C78B108" w14:textId="77777777">
            <w:pPr>
              <w:rPr>
                <w:sz w:val="16"/>
              </w:rPr>
            </w:pPr>
            <w:r w:rsidRPr="00A32D98">
              <w:rPr>
                <w:sz w:val="16"/>
              </w:rPr>
              <w:t>Goede milieutoestand</w:t>
            </w:r>
          </w:p>
        </w:tc>
        <w:tc>
          <w:tcPr>
            <w:tcW w:w="7604" w:type="dxa"/>
          </w:tcPr>
          <w:p w:rsidR="00601347" w:rsidP="00DE236A" w:rsidRDefault="00601347" w14:paraId="3686F57A" w14:textId="77777777">
            <w:pPr>
              <w:rPr>
                <w:sz w:val="16"/>
                <w:lang w:val="nl-NL"/>
              </w:rPr>
            </w:pPr>
            <w:r w:rsidRPr="00FE6E1A">
              <w:rPr>
                <w:sz w:val="16"/>
                <w:lang w:val="nl-NL"/>
              </w:rPr>
              <w:t>Overkoepelend: de concentraties van winter DIN en DIP liggen</w:t>
            </w:r>
            <w:r>
              <w:rPr>
                <w:sz w:val="16"/>
                <w:lang w:val="nl-NL"/>
              </w:rPr>
              <w:t xml:space="preserve"> </w:t>
            </w:r>
            <w:r w:rsidRPr="00FE6E1A">
              <w:rPr>
                <w:sz w:val="16"/>
                <w:lang w:val="nl-NL"/>
              </w:rPr>
              <w:t>onder het niveau dat wijst op schadelijke eutrofiëringseffecten.</w:t>
            </w:r>
            <w:r>
              <w:rPr>
                <w:sz w:val="16"/>
                <w:lang w:val="nl-NL"/>
              </w:rPr>
              <w:t xml:space="preserve"> </w:t>
            </w:r>
          </w:p>
          <w:p w:rsidRPr="00FE6E1A" w:rsidR="00601347" w:rsidP="00DE236A" w:rsidRDefault="00601347" w14:paraId="078F47E1" w14:textId="77777777">
            <w:pPr>
              <w:pStyle w:val="ListParagraph"/>
              <w:numPr>
                <w:ilvl w:val="0"/>
                <w:numId w:val="26"/>
              </w:numPr>
              <w:rPr>
                <w:sz w:val="16"/>
                <w:lang w:val="nl-NL"/>
              </w:rPr>
            </w:pPr>
            <w:r w:rsidRPr="00FE6E1A">
              <w:rPr>
                <w:sz w:val="16"/>
                <w:lang w:val="nl-NL"/>
              </w:rPr>
              <w:t>D5C1 (kustwateren): de nutriëntenconcentraties in de winter voldoen in de kustwateren aan de normen van de KRW.</w:t>
            </w:r>
          </w:p>
          <w:p w:rsidRPr="00FE6E1A" w:rsidR="00601347" w:rsidP="00DE236A" w:rsidRDefault="00601347" w14:paraId="26221612" w14:textId="77777777">
            <w:pPr>
              <w:pStyle w:val="ListParagraph"/>
              <w:numPr>
                <w:ilvl w:val="0"/>
                <w:numId w:val="26"/>
              </w:numPr>
              <w:rPr>
                <w:sz w:val="16"/>
                <w:lang w:val="nl-NL"/>
              </w:rPr>
            </w:pPr>
            <w:r w:rsidRPr="00FE6E1A">
              <w:rPr>
                <w:sz w:val="16"/>
                <w:lang w:val="nl-NL"/>
              </w:rPr>
              <w:t>D5C1 (offshorewateren): de nutriëntenconcentraties in de winter voldoen aan de beoordelingswaarden van OSPAR.</w:t>
            </w:r>
          </w:p>
          <w:p w:rsidRPr="00FE6E1A" w:rsidR="00601347" w:rsidP="00DE236A" w:rsidRDefault="00601347" w14:paraId="7AB58B83" w14:textId="77777777">
            <w:pPr>
              <w:rPr>
                <w:sz w:val="16"/>
                <w:lang w:val="nl-NL"/>
              </w:rPr>
            </w:pPr>
          </w:p>
          <w:p w:rsidRPr="00FE6E1A" w:rsidR="00601347" w:rsidP="00DE236A" w:rsidRDefault="00601347" w14:paraId="4C366991" w14:textId="77777777">
            <w:pPr>
              <w:rPr>
                <w:sz w:val="16"/>
                <w:lang w:val="nl-NL"/>
              </w:rPr>
            </w:pPr>
            <w:r w:rsidRPr="00FE6E1A">
              <w:rPr>
                <w:sz w:val="16"/>
                <w:lang w:val="nl-NL"/>
              </w:rPr>
              <w:t>Overkoepelend: algenbiomassa (vastgesteld op basis van</w:t>
            </w:r>
            <w:r>
              <w:rPr>
                <w:sz w:val="16"/>
                <w:lang w:val="nl-NL"/>
              </w:rPr>
              <w:t xml:space="preserve"> </w:t>
            </w:r>
            <w:r w:rsidRPr="00FE6E1A">
              <w:rPr>
                <w:sz w:val="16"/>
                <w:lang w:val="nl-NL"/>
              </w:rPr>
              <w:t>chlorofyl-a-metingen) ligt niet op een niveau dat wijst op</w:t>
            </w:r>
            <w:r>
              <w:rPr>
                <w:sz w:val="16"/>
                <w:lang w:val="nl-NL"/>
              </w:rPr>
              <w:t xml:space="preserve"> </w:t>
            </w:r>
            <w:r w:rsidRPr="00FE6E1A">
              <w:rPr>
                <w:sz w:val="16"/>
                <w:lang w:val="nl-NL"/>
              </w:rPr>
              <w:t>schadelijke effecten van verrijking met nutriënten, conform de</w:t>
            </w:r>
            <w:r>
              <w:rPr>
                <w:sz w:val="16"/>
                <w:lang w:val="nl-NL"/>
              </w:rPr>
              <w:t xml:space="preserve"> </w:t>
            </w:r>
            <w:r w:rsidRPr="00FE6E1A">
              <w:rPr>
                <w:sz w:val="16"/>
                <w:lang w:val="nl-NL"/>
              </w:rPr>
              <w:t>beoordeling volgens de KRW en OSPAR.</w:t>
            </w:r>
          </w:p>
          <w:p w:rsidRPr="00C20B03" w:rsidR="00601347" w:rsidP="00DE236A" w:rsidRDefault="00601347" w14:paraId="54E13638" w14:textId="77777777">
            <w:pPr>
              <w:pStyle w:val="ListParagraph"/>
              <w:numPr>
                <w:ilvl w:val="0"/>
                <w:numId w:val="48"/>
              </w:numPr>
              <w:rPr>
                <w:sz w:val="16"/>
                <w:lang w:val="nl-NL"/>
              </w:rPr>
            </w:pPr>
            <w:r w:rsidRPr="00C20B03">
              <w:rPr>
                <w:sz w:val="16"/>
                <w:lang w:val="nl-NL"/>
              </w:rPr>
              <w:t>D5C2: algenbiomassa (vastgesteld op basis van chlorofyl-a-metingen) in de kustwateren is niet hoger dan de goede toestand conform de KRW voor de desbetreffende kustwatertypen.</w:t>
            </w:r>
          </w:p>
          <w:p w:rsidRPr="00FE6E1A" w:rsidR="00601347" w:rsidP="00DE236A" w:rsidRDefault="00601347" w14:paraId="7FEE65FB" w14:textId="77777777">
            <w:pPr>
              <w:pStyle w:val="ListParagraph"/>
              <w:numPr>
                <w:ilvl w:val="0"/>
                <w:numId w:val="48"/>
              </w:numPr>
              <w:rPr>
                <w:sz w:val="16"/>
                <w:lang w:val="nl-NL"/>
              </w:rPr>
            </w:pPr>
            <w:r w:rsidRPr="00FE6E1A">
              <w:rPr>
                <w:sz w:val="16"/>
                <w:lang w:val="nl-NL"/>
              </w:rPr>
              <w:t>D5C2: algenbiomassa (vastgesteld op basis van chlorofyl-a</w:t>
            </w:r>
            <w:r>
              <w:rPr>
                <w:sz w:val="16"/>
                <w:lang w:val="nl-NL"/>
              </w:rPr>
              <w:t>-</w:t>
            </w:r>
            <w:r w:rsidRPr="00FE6E1A">
              <w:rPr>
                <w:sz w:val="16"/>
                <w:lang w:val="nl-NL"/>
              </w:rPr>
              <w:t>metingen) in de offshorewateren voldoen aan de beoordelingswaarden van OSPAR.</w:t>
            </w:r>
          </w:p>
          <w:p w:rsidRPr="00FE6E1A" w:rsidR="00601347" w:rsidP="00DE236A" w:rsidRDefault="00601347" w14:paraId="6F5BAD53" w14:textId="77777777">
            <w:pPr>
              <w:rPr>
                <w:sz w:val="16"/>
                <w:lang w:val="nl-NL"/>
              </w:rPr>
            </w:pPr>
          </w:p>
          <w:p w:rsidRPr="00FE6E1A" w:rsidR="00601347" w:rsidP="00DE236A" w:rsidRDefault="00601347" w14:paraId="4751F375" w14:textId="77777777">
            <w:pPr>
              <w:rPr>
                <w:sz w:val="16"/>
                <w:lang w:val="nl-NL"/>
              </w:rPr>
            </w:pPr>
            <w:r w:rsidRPr="00FE6E1A">
              <w:rPr>
                <w:sz w:val="16"/>
                <w:lang w:val="nl-NL"/>
              </w:rPr>
              <w:t>Overkoepelend: geen zuurstofgebrek ten gevolge van eutrofiëring</w:t>
            </w:r>
            <w:r>
              <w:rPr>
                <w:sz w:val="16"/>
                <w:lang w:val="nl-NL"/>
              </w:rPr>
              <w:t xml:space="preserve"> </w:t>
            </w:r>
            <w:r w:rsidRPr="00FE6E1A">
              <w:rPr>
                <w:sz w:val="16"/>
                <w:lang w:val="nl-NL"/>
              </w:rPr>
              <w:t>in onderste waterlaag (gestratificeerde wateren) of in de</w:t>
            </w:r>
            <w:r>
              <w:rPr>
                <w:sz w:val="16"/>
                <w:lang w:val="nl-NL"/>
              </w:rPr>
              <w:t xml:space="preserve"> </w:t>
            </w:r>
            <w:r w:rsidRPr="00FE6E1A">
              <w:rPr>
                <w:sz w:val="16"/>
                <w:lang w:val="nl-NL"/>
              </w:rPr>
              <w:t>oppervlaktelaag van gemengde wateren.</w:t>
            </w:r>
          </w:p>
          <w:p w:rsidRPr="00FE6E1A" w:rsidR="00601347" w:rsidP="00DE236A" w:rsidRDefault="00601347" w14:paraId="6723F5C9" w14:textId="77777777">
            <w:pPr>
              <w:pStyle w:val="ListParagraph"/>
              <w:numPr>
                <w:ilvl w:val="0"/>
                <w:numId w:val="48"/>
              </w:numPr>
              <w:rPr>
                <w:sz w:val="16"/>
                <w:lang w:val="nl-NL"/>
              </w:rPr>
            </w:pPr>
            <w:r w:rsidRPr="00FE6E1A">
              <w:rPr>
                <w:sz w:val="16"/>
                <w:lang w:val="nl-NL"/>
              </w:rPr>
              <w:t xml:space="preserve">D5C5 (kustwateren): de onderste waterlaag (gestratificeerde wateren) of de oppervlaktelaag van gemengde wateren in de kustwateren is ten minste met 60 procent zuurstof verzadigd. </w:t>
            </w:r>
          </w:p>
          <w:p w:rsidRPr="00FE6E1A" w:rsidR="00601347" w:rsidP="00B5514C" w:rsidRDefault="00601347" w14:paraId="488BEBF6" w14:textId="77777777">
            <w:pPr>
              <w:pStyle w:val="ListParagraph"/>
              <w:numPr>
                <w:ilvl w:val="0"/>
                <w:numId w:val="49"/>
              </w:numPr>
              <w:rPr>
                <w:sz w:val="16"/>
                <w:lang w:val="nl-NL"/>
              </w:rPr>
            </w:pPr>
            <w:r w:rsidRPr="00FE6E1A">
              <w:rPr>
                <w:sz w:val="16"/>
                <w:lang w:val="nl-NL"/>
              </w:rPr>
              <w:t>D5C5 (offshorewateren): in de offshorewateren wordt in de onderste waterlaag (gestratificeerde wateren) of in de oppervlaktelaag van gemengde wateren ten minste 6 mg/l zuurstof gevonden.</w:t>
            </w:r>
          </w:p>
        </w:tc>
      </w:tr>
      <w:tr w:rsidRPr="0084482C" w:rsidR="00601347" w:rsidTr="00DE236A" w14:paraId="631AED0E" w14:textId="77777777">
        <w:tc>
          <w:tcPr>
            <w:tcW w:w="1413" w:type="dxa"/>
          </w:tcPr>
          <w:p w:rsidRPr="00A32D98" w:rsidR="00601347" w:rsidP="00DE236A" w:rsidRDefault="00601347" w14:paraId="678F3EF8" w14:textId="77777777">
            <w:pPr>
              <w:rPr>
                <w:sz w:val="16"/>
              </w:rPr>
            </w:pPr>
            <w:r w:rsidRPr="00A32D98">
              <w:rPr>
                <w:sz w:val="16"/>
              </w:rPr>
              <w:t>Milieudoelen</w:t>
            </w:r>
          </w:p>
        </w:tc>
        <w:tc>
          <w:tcPr>
            <w:tcW w:w="7604" w:type="dxa"/>
          </w:tcPr>
          <w:p w:rsidRPr="00FE6E1A" w:rsidR="00601347" w:rsidP="00DE236A" w:rsidRDefault="00601347" w14:paraId="29271EB3" w14:textId="77777777">
            <w:pPr>
              <w:pStyle w:val="ListParagraph"/>
              <w:numPr>
                <w:ilvl w:val="0"/>
                <w:numId w:val="49"/>
              </w:numPr>
              <w:rPr>
                <w:sz w:val="16"/>
                <w:lang w:val="nl-NL"/>
              </w:rPr>
            </w:pPr>
            <w:r w:rsidRPr="00FE6E1A">
              <w:rPr>
                <w:sz w:val="16"/>
                <w:lang w:val="nl-NL"/>
              </w:rPr>
              <w:t>D5T1: lagere toevoer van nutriënten waar deze niet aan de doelen van de KRW voldoen conform het tijdspad van de stroomgebiedbeheerplannen.</w:t>
            </w:r>
          </w:p>
          <w:p w:rsidRPr="00FE6E1A" w:rsidR="00601347" w:rsidP="00DE236A" w:rsidRDefault="00601347" w14:paraId="63B7C7BD" w14:textId="77777777">
            <w:pPr>
              <w:pStyle w:val="ListParagraph"/>
              <w:numPr>
                <w:ilvl w:val="0"/>
                <w:numId w:val="49"/>
              </w:numPr>
              <w:rPr>
                <w:sz w:val="16"/>
                <w:lang w:val="nl-NL"/>
              </w:rPr>
            </w:pPr>
            <w:r w:rsidRPr="00FE6E1A">
              <w:rPr>
                <w:sz w:val="16"/>
                <w:lang w:val="nl-NL"/>
              </w:rPr>
              <w:t>D5T2: concentraties van nutriënten die al voldoen aan de KRW-normen niet laten toenemen en de toevoer ervan zo mogelijk verder verlagen.</w:t>
            </w:r>
          </w:p>
        </w:tc>
      </w:tr>
    </w:tbl>
    <w:p w:rsidR="00601347" w:rsidP="00601347" w:rsidRDefault="00601347" w14:paraId="5E67B5C6" w14:textId="77777777">
      <w:pPr>
        <w:rPr>
          <w:lang w:val="nl-NL"/>
        </w:rPr>
      </w:pPr>
    </w:p>
    <w:p w:rsidR="00601347" w:rsidP="00601347" w:rsidRDefault="00601347" w14:paraId="5C012DB4" w14:textId="77777777">
      <w:pPr>
        <w:pStyle w:val="TOCHeading"/>
      </w:pPr>
      <w:r w:rsidRPr="00DB4F99">
        <w:t>Geïmplementeerde maatregelen</w:t>
      </w:r>
    </w:p>
    <w:p w:rsidR="00601347" w:rsidP="00601347" w:rsidRDefault="00601347" w14:paraId="5E94062C" w14:textId="77777777">
      <w:pPr>
        <w:rPr>
          <w:lang w:val="nl-NL"/>
        </w:rPr>
      </w:pPr>
      <w:r>
        <w:rPr>
          <w:lang w:val="nl-NL"/>
        </w:rPr>
        <w:t>In de vorige Mariene Strategie deel 3 zijn maatregelen opgenomen die betrekking hebben op de belangrijkste bronnen van eutrofiëring, namelijk:</w:t>
      </w:r>
    </w:p>
    <w:p w:rsidR="00601347" w:rsidP="00601347" w:rsidRDefault="00601347" w14:paraId="10C1D65A" w14:textId="77777777">
      <w:pPr>
        <w:pStyle w:val="ListParagraph"/>
        <w:numPr>
          <w:ilvl w:val="0"/>
          <w:numId w:val="27"/>
        </w:numPr>
        <w:rPr>
          <w:lang w:val="nl-NL"/>
        </w:rPr>
      </w:pPr>
      <w:r w:rsidRPr="00824C26">
        <w:rPr>
          <w:lang w:val="nl-NL"/>
        </w:rPr>
        <w:t xml:space="preserve">Zeevaart: </w:t>
      </w:r>
      <w:r w:rsidRPr="00B74EB2">
        <w:rPr>
          <w:lang w:val="nl-NL"/>
        </w:rPr>
        <w:t>De verontreiniging van de zee door de zeevaart wordt gereguleerd in het internationale MARPOL-verdrag</w:t>
      </w:r>
      <w:r>
        <w:rPr>
          <w:lang w:val="nl-NL"/>
        </w:rPr>
        <w:t xml:space="preserve">, dat is opgesteld door de IMO. </w:t>
      </w:r>
      <w:r w:rsidRPr="00B74EB2">
        <w:rPr>
          <w:lang w:val="nl-NL"/>
        </w:rPr>
        <w:t>MARPOL regelt de uitstoot van stoffen en chemicaliën naar de lucht en het water en de lozing van huishoudelijke afvalstoffen.</w:t>
      </w:r>
      <w:r w:rsidRPr="00824C26">
        <w:rPr>
          <w:lang w:val="nl-NL"/>
        </w:rPr>
        <w:t xml:space="preserve"> </w:t>
      </w:r>
      <w:r>
        <w:rPr>
          <w:lang w:val="nl-NL"/>
        </w:rPr>
        <w:t>U</w:t>
      </w:r>
      <w:r w:rsidRPr="00824C26">
        <w:rPr>
          <w:lang w:val="nl-NL"/>
        </w:rPr>
        <w:t>itvoering van d</w:t>
      </w:r>
      <w:r>
        <w:rPr>
          <w:lang w:val="nl-NL"/>
        </w:rPr>
        <w:t>it verdrag</w:t>
      </w:r>
      <w:r w:rsidRPr="00824C26">
        <w:rPr>
          <w:lang w:val="nl-NL"/>
        </w:rPr>
        <w:t xml:space="preserve">, middels </w:t>
      </w:r>
      <w:r>
        <w:rPr>
          <w:lang w:val="nl-NL"/>
        </w:rPr>
        <w:t>d</w:t>
      </w:r>
      <w:r w:rsidRPr="00824C26">
        <w:rPr>
          <w:lang w:val="nl-NL"/>
        </w:rPr>
        <w:t>e Wet voorkoming verontreiniging door schepen, zal voor stikstofreductie zorgen.</w:t>
      </w:r>
    </w:p>
    <w:p w:rsidRPr="00D2677C" w:rsidR="00601347" w:rsidP="00601347" w:rsidRDefault="00601347" w14:paraId="13BCC9BD" w14:textId="77777777">
      <w:pPr>
        <w:pStyle w:val="ListParagraph"/>
        <w:numPr>
          <w:ilvl w:val="0"/>
          <w:numId w:val="27"/>
        </w:numPr>
        <w:rPr>
          <w:lang w:val="nl-NL"/>
        </w:rPr>
      </w:pPr>
      <w:r w:rsidRPr="00D2677C">
        <w:rPr>
          <w:lang w:val="nl-NL"/>
        </w:rPr>
        <w:t>Landbouw: Per 1 januari 2014 heeft het kabinet de verplichte mestverwerking ingevoerd. Maatregelen met betrekking tot de landbouw zijn ondergebracht in het Vijfde Actieprogramma Nitraatrichtlijn. Continuering van deze maatregelen loopt via de Meststoffenwet. In aanvulling op het Vijfde Actieprogramma Nitraatrichtlijn heeft de land- en tuinbouwsector het Deltaplan Agrarisch Waterbeheer opgesteld. Dit deltaplan wordt op vrijwillige basis voortgezet maar is niet vrijblijvend. De doelen van de Nitraatrichtlijn dienen immers gerealiseerd te worden. Ook wordt gewerkt aan het terugdringen van de veestapel. Het accent ligt op verlaging van de stikstofconcentraties, maar de maatregelen zullen zeker ook effect hebben op de fosfaatconcentraties.</w:t>
      </w:r>
    </w:p>
    <w:p w:rsidR="00601347" w:rsidP="00601347" w:rsidRDefault="00601347" w14:paraId="30A5D01E" w14:textId="032C6883">
      <w:pPr>
        <w:pStyle w:val="ListParagraph"/>
        <w:numPr>
          <w:ilvl w:val="0"/>
          <w:numId w:val="27"/>
        </w:numPr>
        <w:rPr>
          <w:lang w:val="nl-NL"/>
        </w:rPr>
      </w:pPr>
      <w:r w:rsidRPr="00824C26">
        <w:rPr>
          <w:lang w:val="nl-NL"/>
        </w:rPr>
        <w:t xml:space="preserve">Stedelijk afvalwater: </w:t>
      </w:r>
      <w:r w:rsidRPr="00D2677C">
        <w:rPr>
          <w:lang w:val="nl-NL"/>
        </w:rPr>
        <w:t>Nederland heeft de EU-richtlijn Stedelijk afvalwater geïmplementeerd en voldoet aan de minimale gebiedsrendementseisen voor fosfor en stikstof</w:t>
      </w:r>
      <w:r>
        <w:rPr>
          <w:lang w:val="nl-NL"/>
        </w:rPr>
        <w:t>. De b</w:t>
      </w:r>
      <w:r w:rsidRPr="00824C26">
        <w:rPr>
          <w:lang w:val="nl-NL"/>
        </w:rPr>
        <w:t xml:space="preserve">ehandeling stedelijk afvalwater </w:t>
      </w:r>
      <w:r>
        <w:rPr>
          <w:lang w:val="nl-NL"/>
        </w:rPr>
        <w:t>is opgenomen in</w:t>
      </w:r>
      <w:r w:rsidRPr="00824C26">
        <w:rPr>
          <w:lang w:val="nl-NL"/>
        </w:rPr>
        <w:t xml:space="preserve"> het Waterbesluit</w:t>
      </w:r>
      <w:r w:rsidR="00A9405C">
        <w:rPr>
          <w:lang w:val="nl-NL"/>
        </w:rPr>
        <w:t xml:space="preserve"> en de</w:t>
      </w:r>
      <w:r w:rsidRPr="00824C26">
        <w:rPr>
          <w:lang w:val="nl-NL"/>
        </w:rPr>
        <w:t xml:space="preserve"> Wet milieubeheer.</w:t>
      </w:r>
      <w:r w:rsidRPr="00FF2F96">
        <w:rPr>
          <w:bCs/>
          <w:lang w:val="nl-NL"/>
        </w:rPr>
        <w:t xml:space="preserve"> </w:t>
      </w:r>
      <w:r>
        <w:rPr>
          <w:bCs/>
          <w:lang w:val="nl-NL"/>
        </w:rPr>
        <w:t>In</w:t>
      </w:r>
      <w:r w:rsidRPr="00030704">
        <w:rPr>
          <w:bCs/>
          <w:lang w:val="nl-NL"/>
        </w:rPr>
        <w:t xml:space="preserve"> 21 installaties</w:t>
      </w:r>
      <w:r>
        <w:rPr>
          <w:bCs/>
          <w:lang w:val="nl-NL"/>
        </w:rPr>
        <w:t>,</w:t>
      </w:r>
      <w:r w:rsidRPr="00030704">
        <w:rPr>
          <w:bCs/>
          <w:lang w:val="nl-NL"/>
        </w:rPr>
        <w:t xml:space="preserve"> verdeeld over </w:t>
      </w:r>
      <w:r>
        <w:rPr>
          <w:bCs/>
          <w:lang w:val="nl-NL"/>
        </w:rPr>
        <w:t>elf</w:t>
      </w:r>
      <w:r w:rsidRPr="00030704">
        <w:rPr>
          <w:bCs/>
          <w:lang w:val="nl-NL"/>
        </w:rPr>
        <w:t xml:space="preserve"> waterschappen</w:t>
      </w:r>
      <w:r>
        <w:rPr>
          <w:bCs/>
          <w:lang w:val="nl-NL"/>
        </w:rPr>
        <w:t>,</w:t>
      </w:r>
      <w:r w:rsidRPr="00030704">
        <w:rPr>
          <w:bCs/>
          <w:lang w:val="nl-NL"/>
        </w:rPr>
        <w:t xml:space="preserve"> </w:t>
      </w:r>
      <w:r>
        <w:rPr>
          <w:bCs/>
          <w:lang w:val="nl-NL"/>
        </w:rPr>
        <w:t xml:space="preserve">wordt het effluent </w:t>
      </w:r>
      <w:r w:rsidRPr="00030704">
        <w:rPr>
          <w:bCs/>
          <w:lang w:val="nl-NL"/>
        </w:rPr>
        <w:t xml:space="preserve">aanvullend </w:t>
      </w:r>
      <w:r>
        <w:rPr>
          <w:bCs/>
          <w:lang w:val="nl-NL"/>
        </w:rPr>
        <w:t>volledig nagezuiverd van</w:t>
      </w:r>
      <w:r w:rsidRPr="00030704">
        <w:rPr>
          <w:bCs/>
          <w:lang w:val="nl-NL"/>
        </w:rPr>
        <w:t xml:space="preserve"> </w:t>
      </w:r>
      <w:r>
        <w:rPr>
          <w:bCs/>
          <w:lang w:val="nl-NL"/>
        </w:rPr>
        <w:t>fosfor en stikstof.</w:t>
      </w:r>
      <w:r w:rsidRPr="00824C26">
        <w:rPr>
          <w:lang w:val="nl-NL"/>
        </w:rPr>
        <w:t xml:space="preserve"> De verbetering van</w:t>
      </w:r>
      <w:r>
        <w:rPr>
          <w:lang w:val="nl-NL"/>
        </w:rPr>
        <w:t xml:space="preserve"> de</w:t>
      </w:r>
      <w:r w:rsidRPr="00824C26">
        <w:rPr>
          <w:lang w:val="nl-NL"/>
        </w:rPr>
        <w:t xml:space="preserve"> zuiveringsefficiëntie </w:t>
      </w:r>
      <w:r>
        <w:rPr>
          <w:lang w:val="nl-NL"/>
        </w:rPr>
        <w:t xml:space="preserve">van de </w:t>
      </w:r>
      <w:r w:rsidRPr="00824C26">
        <w:rPr>
          <w:lang w:val="nl-NL"/>
        </w:rPr>
        <w:t>r</w:t>
      </w:r>
      <w:r w:rsidR="0077504C">
        <w:rPr>
          <w:lang w:val="nl-NL"/>
        </w:rPr>
        <w:t>ioolwaterzuiveringsinstallaties</w:t>
      </w:r>
      <w:r w:rsidRPr="00824C26">
        <w:rPr>
          <w:lang w:val="nl-NL"/>
        </w:rPr>
        <w:t xml:space="preserve"> krijgt op vrijwillige basis een vervolg. In relatie tot </w:t>
      </w:r>
      <w:r>
        <w:rPr>
          <w:lang w:val="nl-NL"/>
        </w:rPr>
        <w:t>de EU-r</w:t>
      </w:r>
      <w:r w:rsidRPr="00824C26">
        <w:rPr>
          <w:lang w:val="nl-NL"/>
        </w:rPr>
        <w:t xml:space="preserve">ichtlijn Stedelijk Afvalwater is dit niet vrijblijvend en zal </w:t>
      </w:r>
      <w:r>
        <w:rPr>
          <w:lang w:val="nl-NL"/>
        </w:rPr>
        <w:t xml:space="preserve">het </w:t>
      </w:r>
      <w:r w:rsidRPr="00824C26">
        <w:rPr>
          <w:lang w:val="nl-NL"/>
        </w:rPr>
        <w:t>leiden tot reductie van de concentratie</w:t>
      </w:r>
      <w:r>
        <w:rPr>
          <w:lang w:val="nl-NL"/>
        </w:rPr>
        <w:t>s</w:t>
      </w:r>
      <w:r w:rsidRPr="00824C26">
        <w:rPr>
          <w:lang w:val="nl-NL"/>
        </w:rPr>
        <w:t xml:space="preserve"> stikstof en fosfaat.</w:t>
      </w:r>
    </w:p>
    <w:p w:rsidRPr="00C168DE" w:rsidR="00C168DE" w:rsidP="00C168DE" w:rsidRDefault="00C168DE" w14:paraId="6943367D" w14:textId="5A2F655F">
      <w:pPr>
        <w:pStyle w:val="ListParagraph"/>
        <w:numPr>
          <w:ilvl w:val="0"/>
          <w:numId w:val="27"/>
        </w:numPr>
        <w:rPr>
          <w:lang w:val="nl-NL"/>
        </w:rPr>
      </w:pPr>
      <w:r w:rsidRPr="00C168DE">
        <w:rPr>
          <w:lang w:val="nl-NL"/>
        </w:rPr>
        <w:t>Stroomgebieden: Nutriëntenaanvoer vanuit de rivieren naar zee heeft ook buitenlandse bronnen.</w:t>
      </w:r>
      <w:r>
        <w:rPr>
          <w:lang w:val="nl-NL"/>
        </w:rPr>
        <w:t xml:space="preserve"> </w:t>
      </w:r>
      <w:r w:rsidRPr="00C168DE">
        <w:rPr>
          <w:lang w:val="nl-NL"/>
        </w:rPr>
        <w:t>De uitvoering van de maatregelenprogramma</w:t>
      </w:r>
      <w:r w:rsidR="005F5515">
        <w:rPr>
          <w:lang w:val="nl-NL"/>
        </w:rPr>
        <w:t>’</w:t>
      </w:r>
      <w:r w:rsidRPr="00C168DE">
        <w:rPr>
          <w:lang w:val="nl-NL"/>
        </w:rPr>
        <w:t xml:space="preserve">s </w:t>
      </w:r>
      <w:r>
        <w:rPr>
          <w:lang w:val="nl-NL"/>
        </w:rPr>
        <w:t>onder</w:t>
      </w:r>
      <w:r w:rsidRPr="00C168DE">
        <w:rPr>
          <w:lang w:val="nl-NL"/>
        </w:rPr>
        <w:t xml:space="preserve"> de KR</w:t>
      </w:r>
      <w:r>
        <w:rPr>
          <w:lang w:val="nl-NL"/>
        </w:rPr>
        <w:t>W</w:t>
      </w:r>
      <w:r w:rsidRPr="00C168DE">
        <w:rPr>
          <w:lang w:val="nl-NL"/>
        </w:rPr>
        <w:t xml:space="preserve"> stroomgebiedbeheerplannen </w:t>
      </w:r>
      <w:r>
        <w:rPr>
          <w:lang w:val="nl-NL"/>
        </w:rPr>
        <w:t xml:space="preserve">in Nederland en onze buurlanden </w:t>
      </w:r>
      <w:r w:rsidRPr="00C168DE">
        <w:rPr>
          <w:lang w:val="nl-NL"/>
        </w:rPr>
        <w:t>betekent een grote stap naar realisatie van de KRW-doelen</w:t>
      </w:r>
      <w:r>
        <w:rPr>
          <w:lang w:val="nl-NL"/>
        </w:rPr>
        <w:t xml:space="preserve"> en reductie van nutriënten in de</w:t>
      </w:r>
      <w:r w:rsidRPr="00C168DE">
        <w:rPr>
          <w:lang w:val="nl-NL"/>
        </w:rPr>
        <w:t xml:space="preserve"> overgangs- en kustwateren aangewezen als oppervlaktewaterlichaam.</w:t>
      </w:r>
    </w:p>
    <w:p w:rsidR="00601347" w:rsidP="00601347" w:rsidRDefault="00601347" w14:paraId="68ACAEA2" w14:textId="77777777">
      <w:pPr>
        <w:rPr>
          <w:lang w:val="nl-NL"/>
        </w:rPr>
      </w:pPr>
      <w:r>
        <w:rPr>
          <w:lang w:val="nl-NL"/>
        </w:rPr>
        <w:t xml:space="preserve">Halverwege 2019 is vastgesteld dat </w:t>
      </w:r>
      <w:r w:rsidRPr="008A22D0">
        <w:rPr>
          <w:lang w:val="nl-NL"/>
        </w:rPr>
        <w:t xml:space="preserve">de stikstofconcentraties </w:t>
      </w:r>
      <w:r>
        <w:rPr>
          <w:lang w:val="nl-NL"/>
        </w:rPr>
        <w:t>in natuurgebieden te hoog zijn. Als gevolg hiervan is nieuw beleid ontwikkeld en (deels) nog in ontwikkeling om deze concentraties te verlagen. Enkele maatregelen zijn al in werking: verlaging van de maximumsnelheid van het autoverkeer en sanering van het aantal agrarische bedrijven met bijbehorende veestapels. Dit laatste aspect heeft ook een belangrijk effect op fosfaatemissies.</w:t>
      </w:r>
    </w:p>
    <w:p w:rsidR="00601347" w:rsidP="00601347" w:rsidRDefault="00601347" w14:paraId="7C979789" w14:textId="77777777">
      <w:pPr>
        <w:pStyle w:val="TOCHeading"/>
      </w:pPr>
      <w:r>
        <w:t xml:space="preserve">Huidige </w:t>
      </w:r>
      <w:r w:rsidR="00E05614">
        <w:t>milieutoestand</w:t>
      </w:r>
    </w:p>
    <w:p w:rsidR="00601347" w:rsidP="00601347" w:rsidRDefault="00601347" w14:paraId="0CE336CA" w14:textId="77777777">
      <w:pPr>
        <w:rPr>
          <w:lang w:val="nl-NL"/>
        </w:rPr>
      </w:pPr>
      <w:r w:rsidRPr="00371EA5">
        <w:rPr>
          <w:lang w:val="nl-NL"/>
        </w:rPr>
        <w:t xml:space="preserve">Eutrofiëring komt nog steeds voor in de Noordzee, maar in veel geringere omvang dan voorheen. </w:t>
      </w:r>
      <w:r>
        <w:rPr>
          <w:lang w:val="nl-NL"/>
        </w:rPr>
        <w:t xml:space="preserve">In de Noordzee wordt ruim 50 procent van de eutrofiëring van de kustwateren veroorzaakt door meststoffen vanuit de landbouw in de stroomgebieden van de rivieren. </w:t>
      </w:r>
      <w:r w:rsidRPr="002E2619">
        <w:rPr>
          <w:lang w:val="nl-NL"/>
        </w:rPr>
        <w:t>De</w:t>
      </w:r>
      <w:r>
        <w:rPr>
          <w:lang w:val="nl-NL"/>
        </w:rPr>
        <w:t xml:space="preserve">ze </w:t>
      </w:r>
      <w:r w:rsidRPr="002E2619">
        <w:rPr>
          <w:lang w:val="nl-NL"/>
        </w:rPr>
        <w:t xml:space="preserve">belasting is sinds 2005 nagenoeg constant gebleven. In het gehele Noordoost-Atlantische Oceaangebied </w:t>
      </w:r>
      <w:r>
        <w:rPr>
          <w:lang w:val="nl-NL"/>
        </w:rPr>
        <w:t>draagt</w:t>
      </w:r>
      <w:r w:rsidRPr="002E2619">
        <w:rPr>
          <w:lang w:val="nl-NL"/>
        </w:rPr>
        <w:t xml:space="preserve"> atmosferische depositie vanuit diffuse bronnen op land en zee</w:t>
      </w:r>
      <w:r>
        <w:rPr>
          <w:lang w:val="nl-NL"/>
        </w:rPr>
        <w:t xml:space="preserve"> voor een derde bij aan</w:t>
      </w:r>
      <w:r w:rsidRPr="002E2619">
        <w:rPr>
          <w:lang w:val="nl-NL"/>
        </w:rPr>
        <w:t xml:space="preserve"> de eutrofiëring</w:t>
      </w:r>
      <w:r>
        <w:rPr>
          <w:lang w:val="nl-NL"/>
        </w:rPr>
        <w:t xml:space="preserve">. De bijdrage </w:t>
      </w:r>
      <w:r w:rsidRPr="002E2619">
        <w:rPr>
          <w:lang w:val="nl-NL"/>
        </w:rPr>
        <w:t>van de scheepvaart</w:t>
      </w:r>
      <w:r>
        <w:rPr>
          <w:lang w:val="nl-NL"/>
        </w:rPr>
        <w:t xml:space="preserve"> is niet exact bekend, maar is naar schatting aanzienlijk</w:t>
      </w:r>
      <w:r w:rsidRPr="002E2619">
        <w:rPr>
          <w:lang w:val="nl-NL"/>
        </w:rPr>
        <w:t>.</w:t>
      </w:r>
    </w:p>
    <w:p w:rsidR="00601347" w:rsidP="00601347" w:rsidRDefault="00601347" w14:paraId="65B2EE3C" w14:textId="77777777">
      <w:pPr>
        <w:rPr>
          <w:lang w:val="nl-NL"/>
        </w:rPr>
      </w:pPr>
      <w:r>
        <w:rPr>
          <w:lang w:val="nl-NL"/>
        </w:rPr>
        <w:t>De interactie tussen klimaatverandering en eutrofiëring is complex en niet overal en altijd hetzelfde. Zo kunnen veranderingen in neerslag, en daarmee afstroming en rivierafvoer, tot veranderingen in de nutriëntenvrachten naar zee leiden; deze kunnen zowel toenemen (zware regenval) als afnemen (droogte). In de laatste jaren is echter geen duidelijk trend in de jaarvrachten gezien die hieraan kan worden</w:t>
      </w:r>
      <w:r w:rsidRPr="004057E2">
        <w:rPr>
          <w:lang w:val="nl-NL"/>
        </w:rPr>
        <w:t xml:space="preserve"> </w:t>
      </w:r>
      <w:r w:rsidRPr="008A22D0">
        <w:rPr>
          <w:lang w:val="nl-NL"/>
        </w:rPr>
        <w:t>verbonden</w:t>
      </w:r>
      <w:r>
        <w:rPr>
          <w:lang w:val="nl-NL"/>
        </w:rPr>
        <w:t xml:space="preserve">. De toenemende verhoging van de temperatuur van het zeewater en het veranderend lichtklimaat hebben een groei bevorderend effect op de algen; er zijn aanwijzingen dat het groeiseizoen eerder in het jaar begint. Dat kan leiden tot hogere chlorofyl waarden die kenmerkend zijn voor de toename van eutrofiering. </w:t>
      </w:r>
    </w:p>
    <w:p w:rsidR="00601347" w:rsidP="00601347" w:rsidRDefault="006A5AEC" w14:paraId="0818795C" w14:textId="77777777">
      <w:pPr>
        <w:pStyle w:val="TOCHeading"/>
      </w:pPr>
      <w:r>
        <w:t>Aanvullende b</w:t>
      </w:r>
      <w:r w:rsidR="00601347">
        <w:t xml:space="preserve">eleidsopgave </w:t>
      </w:r>
    </w:p>
    <w:p w:rsidR="00601347" w:rsidP="00601347" w:rsidRDefault="00601347" w14:paraId="139B99D5" w14:textId="77777777">
      <w:pPr>
        <w:rPr>
          <w:lang w:val="nl-NL"/>
        </w:rPr>
      </w:pPr>
      <w:r>
        <w:rPr>
          <w:lang w:val="nl-NL"/>
        </w:rPr>
        <w:t>Het is o</w:t>
      </w:r>
      <w:r w:rsidRPr="0061626E">
        <w:rPr>
          <w:lang w:val="nl-NL"/>
        </w:rPr>
        <w:t>nzeker of</w:t>
      </w:r>
      <w:r>
        <w:rPr>
          <w:lang w:val="nl-NL"/>
        </w:rPr>
        <w:t xml:space="preserve"> de huidige maatregelen voldoen om de goede milieutoestand</w:t>
      </w:r>
      <w:r w:rsidRPr="0061626E">
        <w:rPr>
          <w:lang w:val="nl-NL"/>
        </w:rPr>
        <w:t xml:space="preserve"> </w:t>
      </w:r>
      <w:r>
        <w:rPr>
          <w:lang w:val="nl-NL"/>
        </w:rPr>
        <w:t>in stand te houden</w:t>
      </w:r>
      <w:r w:rsidRPr="0061626E">
        <w:rPr>
          <w:lang w:val="nl-NL"/>
        </w:rPr>
        <w:t xml:space="preserve">. Sinds 2003/2004 is de dalende trend van stikstofconcentraties in de kustwateren afgevlakt en is geen verbetering meer </w:t>
      </w:r>
      <w:r>
        <w:rPr>
          <w:lang w:val="nl-NL"/>
        </w:rPr>
        <w:t>gemeten</w:t>
      </w:r>
      <w:r w:rsidRPr="0061626E">
        <w:rPr>
          <w:lang w:val="nl-NL"/>
        </w:rPr>
        <w:t>. Ook in de zoete wateren is de daling afgevlakt. Een aantal KRW</w:t>
      </w:r>
      <w:r>
        <w:rPr>
          <w:lang w:val="nl-NL"/>
        </w:rPr>
        <w:t>-</w:t>
      </w:r>
      <w:r w:rsidRPr="0061626E">
        <w:rPr>
          <w:lang w:val="nl-NL"/>
        </w:rPr>
        <w:t>kustwateren is van een goede naar een matige eutrofiëringstoestand gegaan</w:t>
      </w:r>
      <w:r>
        <w:rPr>
          <w:lang w:val="nl-NL"/>
        </w:rPr>
        <w:t>. In die wateren liggen de stikstof</w:t>
      </w:r>
      <w:r w:rsidRPr="0061626E">
        <w:rPr>
          <w:lang w:val="nl-NL"/>
        </w:rPr>
        <w:t>concentraties nabij de drempelwaarde</w:t>
      </w:r>
      <w:r>
        <w:rPr>
          <w:lang w:val="nl-NL"/>
        </w:rPr>
        <w:t xml:space="preserve">, wat ertoe leidt dat </w:t>
      </w:r>
      <w:r w:rsidRPr="0061626E">
        <w:rPr>
          <w:lang w:val="nl-NL"/>
        </w:rPr>
        <w:t xml:space="preserve">een geringe verhoging het oordeel </w:t>
      </w:r>
      <w:r>
        <w:rPr>
          <w:lang w:val="nl-NL"/>
        </w:rPr>
        <w:t>van gunstig naar ongunstig kan doen omslaan. D</w:t>
      </w:r>
      <w:r w:rsidRPr="0061626E">
        <w:rPr>
          <w:lang w:val="nl-NL"/>
        </w:rPr>
        <w:t xml:space="preserve">e dalende trend in concentraties fosfaat vlakt </w:t>
      </w:r>
      <w:r>
        <w:rPr>
          <w:lang w:val="nl-NL"/>
        </w:rPr>
        <w:t xml:space="preserve">eveneens </w:t>
      </w:r>
      <w:r w:rsidRPr="0061626E">
        <w:rPr>
          <w:lang w:val="nl-NL"/>
        </w:rPr>
        <w:t>af. In een behoorlijk deel van de KRW</w:t>
      </w:r>
      <w:r>
        <w:rPr>
          <w:lang w:val="nl-NL"/>
        </w:rPr>
        <w:t>-</w:t>
      </w:r>
      <w:r w:rsidRPr="0061626E">
        <w:rPr>
          <w:lang w:val="nl-NL"/>
        </w:rPr>
        <w:t xml:space="preserve">kustwateren is bovendien recent een verschuiving van </w:t>
      </w:r>
      <w:r>
        <w:rPr>
          <w:lang w:val="nl-NL"/>
        </w:rPr>
        <w:t>kwaliteits</w:t>
      </w:r>
      <w:r w:rsidRPr="0061626E">
        <w:rPr>
          <w:lang w:val="nl-NL"/>
        </w:rPr>
        <w:t xml:space="preserve">klasse voor met name </w:t>
      </w:r>
      <w:r>
        <w:rPr>
          <w:lang w:val="nl-NL"/>
        </w:rPr>
        <w:t>c</w:t>
      </w:r>
      <w:r w:rsidRPr="0061626E">
        <w:rPr>
          <w:lang w:val="nl-NL"/>
        </w:rPr>
        <w:t xml:space="preserve">hlorofyl-a opgetreden. De beoordeling van de eutrofiëringstoestand volgens OSPAR/KRM wordt momenteel herzien, waarbij coherentie tussen Noordzeelanden wordt nagestreefd. </w:t>
      </w:r>
      <w:r>
        <w:rPr>
          <w:lang w:val="nl-NL"/>
        </w:rPr>
        <w:t>Ook d</w:t>
      </w:r>
      <w:r w:rsidRPr="0061626E">
        <w:rPr>
          <w:lang w:val="nl-NL"/>
        </w:rPr>
        <w:t>it kan leiden tot verandering in de eutrofiëringsstatus in KRM</w:t>
      </w:r>
      <w:r>
        <w:rPr>
          <w:lang w:val="nl-NL"/>
        </w:rPr>
        <w:t>-</w:t>
      </w:r>
      <w:r w:rsidRPr="0061626E">
        <w:rPr>
          <w:lang w:val="nl-NL"/>
        </w:rPr>
        <w:t>gebieden.</w:t>
      </w:r>
    </w:p>
    <w:p w:rsidRPr="0061626E" w:rsidR="00601347" w:rsidP="00601347" w:rsidRDefault="00601347" w14:paraId="203C53C7" w14:textId="77777777">
      <w:pPr>
        <w:rPr>
          <w:lang w:val="nl-NL"/>
        </w:rPr>
      </w:pPr>
      <w:r>
        <w:rPr>
          <w:lang w:val="nl-NL"/>
        </w:rPr>
        <w:t xml:space="preserve">In het uitvoeringsplan van de OSPAR </w:t>
      </w:r>
      <w:r w:rsidRPr="00AF1E71">
        <w:rPr>
          <w:i/>
          <w:iCs/>
          <w:lang w:val="nl-NL"/>
        </w:rPr>
        <w:t>North-East Atlantic Environment Strategy</w:t>
      </w:r>
      <w:r>
        <w:rPr>
          <w:lang w:val="nl-NL"/>
        </w:rPr>
        <w:t xml:space="preserve"> </w:t>
      </w:r>
      <w:r w:rsidRPr="00C644F4">
        <w:rPr>
          <w:lang w:val="nl-NL"/>
        </w:rPr>
        <w:t xml:space="preserve">NEAES </w:t>
      </w:r>
      <w:r>
        <w:rPr>
          <w:lang w:val="nl-NL"/>
        </w:rPr>
        <w:t>(</w:t>
      </w:r>
      <w:r w:rsidRPr="00C644F4">
        <w:rPr>
          <w:lang w:val="nl-NL"/>
        </w:rPr>
        <w:t>2020–2030</w:t>
      </w:r>
      <w:r>
        <w:rPr>
          <w:lang w:val="nl-NL"/>
        </w:rPr>
        <w:t>)</w:t>
      </w:r>
      <w:r>
        <w:rPr>
          <w:rStyle w:val="FootnoteReference"/>
          <w:lang w:val="nl-NL"/>
        </w:rPr>
        <w:footnoteReference w:id="7"/>
      </w:r>
      <w:r>
        <w:rPr>
          <w:lang w:val="nl-NL"/>
        </w:rPr>
        <w:t xml:space="preserve"> zijn operationele doelen opgenomen om beter zicht te krijgen op de eutrofiëringstoestand. De doelen zijn gericht op meer eenheid in rapportage en beoordeling van eutrofiëring tussen de verschillende landen, overeenstemming over de bijdragen van bronnen van nutriënten, het gezamenlijk vaststellen van reductiedoelen en het vaststellen van maatregelen om deze doelen te behalen. Waar mogelijk wordt ook rekening gehouden met de effecten van het veranderend klimaat.</w:t>
      </w:r>
    </w:p>
    <w:p w:rsidR="00601347" w:rsidP="00601347" w:rsidRDefault="00601347" w14:paraId="0B2CF832" w14:textId="77777777">
      <w:pPr>
        <w:pStyle w:val="TOCHeading"/>
      </w:pPr>
      <w:r>
        <w:t>Aanvullende maatregelen</w:t>
      </w:r>
    </w:p>
    <w:p w:rsidRPr="00601347" w:rsidR="00601347" w:rsidP="00601347" w:rsidRDefault="00601347" w14:paraId="60C39078" w14:textId="77777777">
      <w:pPr>
        <w:rPr>
          <w:lang w:val="nl-NL"/>
        </w:rPr>
      </w:pPr>
      <w:r>
        <w:rPr>
          <w:lang w:val="nl-NL"/>
        </w:rPr>
        <w:t>De uitvoering van bestaand beleid</w:t>
      </w:r>
      <w:r w:rsidRPr="00B30C48">
        <w:rPr>
          <w:lang w:val="nl-NL"/>
        </w:rPr>
        <w:t xml:space="preserve"> geeft de maximale inzet die </w:t>
      </w:r>
      <w:r>
        <w:rPr>
          <w:lang w:val="nl-NL"/>
        </w:rPr>
        <w:t xml:space="preserve">vanuit Nederland </w:t>
      </w:r>
      <w:r w:rsidRPr="00B30C48">
        <w:rPr>
          <w:lang w:val="nl-NL"/>
        </w:rPr>
        <w:t>mogelijk is om, gezamenlijk met andere landen, voor de descriptor eutrofiering de goede milieutoestand te bereiken, zowel met betrekking tot maatregelen op land (uitvoering KRW) als op zee. Er worden geen (aanvullende) technische maatregelen getroffen die aanwezigheid van eutrofierende stoffen in het Nederlandse deel van de Noordzee teniet kunnen doen.</w:t>
      </w:r>
    </w:p>
    <w:p w:rsidRPr="003D499C" w:rsidR="00601347" w:rsidP="00601347" w:rsidRDefault="00601347" w14:paraId="1D76CEA0" w14:textId="77777777">
      <w:pPr>
        <w:spacing w:before="40" w:after="0"/>
        <w:rPr>
          <w:rStyle w:val="IntenseEmphasis"/>
          <w:i w:val="0"/>
          <w:lang w:val="nl-NL"/>
        </w:rPr>
      </w:pPr>
      <w:r w:rsidRPr="003D499C">
        <w:rPr>
          <w:rStyle w:val="IntenseEmphasis"/>
          <w:i w:val="0"/>
          <w:lang w:val="nl-NL"/>
        </w:rPr>
        <w:t>Uitzonderingssituaties op grond van artikel 14 van de KRM</w:t>
      </w:r>
    </w:p>
    <w:p w:rsidR="00A67C7A" w:rsidP="00A67C7A" w:rsidRDefault="00A67C7A" w14:paraId="46247A55" w14:textId="29F97401">
      <w:pPr>
        <w:rPr>
          <w:lang w:val="nl-NL"/>
        </w:rPr>
      </w:pPr>
      <w:r w:rsidRPr="00A67C7A">
        <w:rPr>
          <w:lang w:val="nl-NL"/>
        </w:rPr>
        <w:t>Wat betreft nutriënten uit de landbouw zullen de Nitraatactieprogramma</w:t>
      </w:r>
      <w:r w:rsidR="005F5515">
        <w:rPr>
          <w:lang w:val="nl-NL"/>
        </w:rPr>
        <w:t>’</w:t>
      </w:r>
      <w:r w:rsidRPr="00A67C7A">
        <w:rPr>
          <w:lang w:val="nl-NL"/>
        </w:rPr>
        <w:t>s</w:t>
      </w:r>
      <w:r>
        <w:rPr>
          <w:lang w:val="nl-NL"/>
        </w:rPr>
        <w:t xml:space="preserve"> </w:t>
      </w:r>
      <w:r w:rsidRPr="00A67C7A">
        <w:rPr>
          <w:lang w:val="nl-NL"/>
        </w:rPr>
        <w:t>bijdragen aan het realiseren van een goede milieutoestand. De inschatting is dat het huidige Nitraatactieprogramma, in combinatie met maatregelen voor andere bronnen, op termijn zal leiden tot realisatie van de goede milieutoestand. Om die reden wordt verdere intensivering van maatregelen voor de landbouwsector op dit moment beschouwd als onevenredig kostbaar. Op grond hiervan is art. 14.4 van de KRM toegepast. Wel wordt de ontwikkeling van de toestand goed gevolg via monitoring en worden aanvullende maatregelen overwogen als daartoe aanleiding is.</w:t>
      </w:r>
    </w:p>
    <w:p w:rsidR="00A67C7A" w:rsidP="00A67C7A" w:rsidRDefault="00A67C7A" w14:paraId="7F7C0EA5" w14:textId="77777777">
      <w:pPr>
        <w:rPr>
          <w:lang w:val="nl-NL"/>
        </w:rPr>
      </w:pPr>
      <w:r w:rsidRPr="00A67C7A">
        <w:rPr>
          <w:lang w:val="nl-NL"/>
        </w:rPr>
        <w:t xml:space="preserve">Door natuurlijke omstandigheden zal het nog een aantal jaren duren voordat de effecten van het beleid om nutriënten in het milieu terug te dringen zichtbaar zijn. De aanwezigheid van hoge niveaus van nutriënten in de bodem betekent dat deze ook nog een aantal jaren zullen uitspoelen in rivieren en in de zee. Op grond hiervan </w:t>
      </w:r>
      <w:r>
        <w:rPr>
          <w:lang w:val="nl-NL"/>
        </w:rPr>
        <w:t>wordt a</w:t>
      </w:r>
      <w:r w:rsidRPr="00A67C7A">
        <w:rPr>
          <w:lang w:val="nl-NL"/>
        </w:rPr>
        <w:t>rt. 14.</w:t>
      </w:r>
      <w:r>
        <w:rPr>
          <w:lang w:val="nl-NL"/>
        </w:rPr>
        <w:t>1</w:t>
      </w:r>
      <w:r w:rsidRPr="00090168">
        <w:rPr>
          <w:vertAlign w:val="superscript"/>
          <w:lang w:val="nl-NL"/>
        </w:rPr>
        <w:t>e</w:t>
      </w:r>
      <w:r w:rsidRPr="00A67C7A">
        <w:rPr>
          <w:lang w:val="nl-NL"/>
        </w:rPr>
        <w:t xml:space="preserve"> (natuurlijke omstandigheden) KRM toegepast</w:t>
      </w:r>
      <w:r>
        <w:rPr>
          <w:lang w:val="nl-NL"/>
        </w:rPr>
        <w:t>.</w:t>
      </w:r>
    </w:p>
    <w:p w:rsidRPr="00A67C7A" w:rsidR="00A67C7A" w:rsidP="00A67C7A" w:rsidRDefault="00A67C7A" w14:paraId="05FFC836" w14:textId="77777777">
      <w:pPr>
        <w:rPr>
          <w:lang w:val="nl-NL"/>
        </w:rPr>
      </w:pPr>
      <w:r w:rsidRPr="00A67C7A">
        <w:rPr>
          <w:lang w:val="nl-NL"/>
        </w:rPr>
        <w:t xml:space="preserve">Een deel van de nutriënten in de Nederlandse rivieren is afkomstig uit bovenstroomse gebieden in het buitenland. Dat beperkt de mogelijkheden voor Nederland om in zijn programma van maatregelen KRM voldoende maatregelen op te nemen om in het Nederlandse deel van de Noordzee een goede milieutoestand te bereiken. Daarom </w:t>
      </w:r>
      <w:r>
        <w:rPr>
          <w:lang w:val="nl-NL"/>
        </w:rPr>
        <w:t xml:space="preserve">beroept Nederland zich </w:t>
      </w:r>
      <w:r w:rsidRPr="00A67C7A">
        <w:rPr>
          <w:lang w:val="nl-NL"/>
        </w:rPr>
        <w:t>op de uitzonderingsmogelijkheid onder art. 14.</w:t>
      </w:r>
      <w:r>
        <w:rPr>
          <w:lang w:val="nl-NL"/>
        </w:rPr>
        <w:t>1</w:t>
      </w:r>
      <w:r w:rsidRPr="00A67C7A">
        <w:rPr>
          <w:lang w:val="nl-NL"/>
        </w:rPr>
        <w:t>a van de KRM.</w:t>
      </w:r>
    </w:p>
    <w:p w:rsidR="00601347" w:rsidP="00601347" w:rsidRDefault="00601347" w14:paraId="3FA0A230" w14:textId="77777777">
      <w:pPr>
        <w:pStyle w:val="TOCHeading"/>
      </w:pPr>
      <w:r>
        <w:t>Kennisagenda</w:t>
      </w:r>
      <w:r w:rsidRPr="00B96268">
        <w:t xml:space="preserve"> </w:t>
      </w:r>
    </w:p>
    <w:p w:rsidR="00BE4B12" w:rsidP="00BE4B12" w:rsidRDefault="00601347" w14:paraId="1B7D7AA5" w14:textId="6B9DE6FF">
      <w:pPr>
        <w:rPr>
          <w:lang w:val="nl-NL" w:eastAsia="nl-NL"/>
        </w:rPr>
      </w:pPr>
      <w:r w:rsidRPr="00B12B59">
        <w:rPr>
          <w:lang w:val="nl-NL" w:eastAsia="nl-NL"/>
        </w:rPr>
        <w:t>Deze paragraaf omvat de kennisvra</w:t>
      </w:r>
      <w:r w:rsidR="00A152FC">
        <w:rPr>
          <w:lang w:val="nl-NL" w:eastAsia="nl-NL"/>
        </w:rPr>
        <w:t>gen</w:t>
      </w:r>
      <w:r w:rsidRPr="00B12B59">
        <w:rPr>
          <w:lang w:val="nl-NL" w:eastAsia="nl-NL"/>
        </w:rPr>
        <w:t xml:space="preserve"> omtrent </w:t>
      </w:r>
      <w:r w:rsidR="00BE4B12">
        <w:rPr>
          <w:lang w:val="nl-NL" w:eastAsia="nl-NL"/>
        </w:rPr>
        <w:t>eutrofiering</w:t>
      </w:r>
      <w:r w:rsidRPr="00D91B1B" w:rsidR="00D91B1B">
        <w:rPr>
          <w:lang w:val="nl-NL" w:eastAsia="nl-NL"/>
        </w:rPr>
        <w:t xml:space="preserve"> </w:t>
      </w:r>
      <w:r w:rsidR="00D91B1B">
        <w:rPr>
          <w:lang w:val="nl-NL" w:eastAsia="nl-NL"/>
        </w:rPr>
        <w:t>die in de periode 2022-2027 wordt onderzocht.</w:t>
      </w:r>
    </w:p>
    <w:p w:rsidR="00601347" w:rsidP="00BE4B12" w:rsidRDefault="00F01F5E" w14:paraId="1C1B90D1" w14:textId="2D1D10ED">
      <w:pPr>
        <w:pStyle w:val="ListParagraph"/>
        <w:numPr>
          <w:ilvl w:val="0"/>
          <w:numId w:val="54"/>
        </w:numPr>
        <w:rPr>
          <w:lang w:val="nl-NL"/>
        </w:rPr>
      </w:pPr>
      <w:r>
        <w:rPr>
          <w:lang w:val="nl-NL"/>
        </w:rPr>
        <w:t xml:space="preserve">Wat zijn mogelijke </w:t>
      </w:r>
      <w:r w:rsidRPr="00B12B59" w:rsidR="00601347">
        <w:rPr>
          <w:lang w:val="nl-NL"/>
        </w:rPr>
        <w:t xml:space="preserve">aanvullende technische maatregelen </w:t>
      </w:r>
      <w:r>
        <w:rPr>
          <w:lang w:val="nl-NL"/>
        </w:rPr>
        <w:t xml:space="preserve">die </w:t>
      </w:r>
      <w:r w:rsidRPr="00B12B59" w:rsidR="00601347">
        <w:rPr>
          <w:lang w:val="nl-NL"/>
        </w:rPr>
        <w:t xml:space="preserve">de aanwezigheid van eutrofiërende stoffen in het Nederlandse deel van de Noordzee </w:t>
      </w:r>
      <w:r>
        <w:rPr>
          <w:lang w:val="nl-NL"/>
        </w:rPr>
        <w:t>kunnen</w:t>
      </w:r>
      <w:r w:rsidRPr="00B12B59" w:rsidR="00601347">
        <w:rPr>
          <w:lang w:val="nl-NL"/>
        </w:rPr>
        <w:t xml:space="preserve"> verminderen. Op Europees niveau worden modelstudies uitgevoerd die op grond van de effectiviteit van maatregelen en mogelijke aanvullende maatregelen richtinggevend kunnen zijn</w:t>
      </w:r>
      <w:r>
        <w:rPr>
          <w:lang w:val="nl-NL"/>
        </w:rPr>
        <w:t>.</w:t>
      </w:r>
    </w:p>
    <w:p w:rsidR="00601347" w:rsidP="00F01F5E" w:rsidRDefault="00601347" w14:paraId="07D96340" w14:textId="782B7342">
      <w:pPr>
        <w:pStyle w:val="ListParagraph"/>
        <w:numPr>
          <w:ilvl w:val="0"/>
          <w:numId w:val="54"/>
        </w:numPr>
        <w:rPr>
          <w:lang w:val="nl-NL"/>
        </w:rPr>
      </w:pPr>
      <w:r>
        <w:rPr>
          <w:lang w:val="nl-NL"/>
        </w:rPr>
        <w:t>D</w:t>
      </w:r>
      <w:r w:rsidRPr="00B12B59">
        <w:rPr>
          <w:lang w:val="nl-NL"/>
        </w:rPr>
        <w:t>e beïnvloeding van de primaire productiecapaciteit van het Noordzee ecosysteem door de afnemende eutrofiëring</w:t>
      </w:r>
      <w:r w:rsidR="00F01F5E">
        <w:rPr>
          <w:lang w:val="nl-NL"/>
        </w:rPr>
        <w:t xml:space="preserve">. Deze vraag sluit aan </w:t>
      </w:r>
      <w:r w:rsidR="00D91B1B">
        <w:rPr>
          <w:lang w:val="nl-NL"/>
        </w:rPr>
        <w:t xml:space="preserve">op de kennisvraag </w:t>
      </w:r>
      <w:r w:rsidR="00001107">
        <w:rPr>
          <w:lang w:val="nl-NL"/>
        </w:rPr>
        <w:t xml:space="preserve">1 </w:t>
      </w:r>
      <w:r w:rsidR="00D91B1B">
        <w:rPr>
          <w:lang w:val="nl-NL"/>
        </w:rPr>
        <w:t xml:space="preserve">onder </w:t>
      </w:r>
      <w:r w:rsidR="00505F9A">
        <w:rPr>
          <w:lang w:val="nl-NL"/>
        </w:rPr>
        <w:t xml:space="preserve">paragraaf 3.5 </w:t>
      </w:r>
      <w:r w:rsidR="00D91B1B">
        <w:rPr>
          <w:lang w:val="nl-NL"/>
        </w:rPr>
        <w:t>Voedselweb</w:t>
      </w:r>
      <w:r w:rsidR="00505F9A">
        <w:rPr>
          <w:lang w:val="nl-NL"/>
        </w:rPr>
        <w:t>ben (D4)</w:t>
      </w:r>
      <w:r w:rsidRPr="00F01F5E" w:rsidR="00F01F5E">
        <w:rPr>
          <w:lang w:val="nl-NL"/>
        </w:rPr>
        <w:t>.</w:t>
      </w:r>
    </w:p>
    <w:p w:rsidRPr="00B12B59" w:rsidR="00601347" w:rsidP="00033728" w:rsidRDefault="00033728" w14:paraId="4FD3462E" w14:textId="333AA639">
      <w:pPr>
        <w:pStyle w:val="ListParagraph"/>
        <w:numPr>
          <w:ilvl w:val="0"/>
          <w:numId w:val="54"/>
        </w:numPr>
        <w:rPr>
          <w:lang w:val="nl-NL"/>
        </w:rPr>
      </w:pPr>
      <w:r>
        <w:rPr>
          <w:lang w:val="nl-NL"/>
        </w:rPr>
        <w:t xml:space="preserve">Effect van </w:t>
      </w:r>
      <w:r w:rsidR="00601347">
        <w:rPr>
          <w:lang w:val="nl-NL"/>
        </w:rPr>
        <w:t xml:space="preserve">klimaatverandering </w:t>
      </w:r>
      <w:r>
        <w:rPr>
          <w:lang w:val="nl-NL"/>
        </w:rPr>
        <w:t>op</w:t>
      </w:r>
      <w:r w:rsidR="00231A15">
        <w:rPr>
          <w:lang w:val="nl-NL"/>
        </w:rPr>
        <w:t xml:space="preserve"> </w:t>
      </w:r>
      <w:r w:rsidR="00601347">
        <w:rPr>
          <w:lang w:val="nl-NL"/>
        </w:rPr>
        <w:t>eutrofiering</w:t>
      </w:r>
      <w:r w:rsidR="00A7271D">
        <w:rPr>
          <w:lang w:val="nl-NL"/>
        </w:rPr>
        <w:t xml:space="preserve"> </w:t>
      </w:r>
      <w:r>
        <w:rPr>
          <w:lang w:val="nl-NL"/>
        </w:rPr>
        <w:t>zoals meer</w:t>
      </w:r>
      <w:r w:rsidR="00A7271D">
        <w:rPr>
          <w:lang w:val="nl-NL"/>
        </w:rPr>
        <w:t xml:space="preserve"> algenbloei</w:t>
      </w:r>
      <w:r w:rsidR="00601347">
        <w:rPr>
          <w:lang w:val="nl-NL"/>
        </w:rPr>
        <w:t>.</w:t>
      </w:r>
      <w:r>
        <w:rPr>
          <w:lang w:val="nl-NL"/>
        </w:rPr>
        <w:t xml:space="preserve"> </w:t>
      </w:r>
      <w:r w:rsidR="00581A8C">
        <w:rPr>
          <w:lang w:val="nl-NL"/>
        </w:rPr>
        <w:t>Op basis van de beschikbare kennis rondom deze vraag, wordt gedurende de tweede helft van de planperiode de vraag nader gespecificeerd</w:t>
      </w:r>
      <w:r w:rsidR="00F4696F">
        <w:rPr>
          <w:lang w:val="nl-NL"/>
        </w:rPr>
        <w:t xml:space="preserve"> en vervolgens onderzocht</w:t>
      </w:r>
      <w:r>
        <w:rPr>
          <w:lang w:val="nl-NL"/>
        </w:rPr>
        <w:t xml:space="preserve">. </w:t>
      </w:r>
    </w:p>
    <w:p w:rsidRPr="00150062" w:rsidR="0070550F" w:rsidP="00746E9B" w:rsidRDefault="0070550F" w14:paraId="00F1DDF0" w14:textId="77777777">
      <w:pPr>
        <w:pStyle w:val="Stijl1"/>
        <w:numPr>
          <w:ilvl w:val="1"/>
          <w:numId w:val="16"/>
        </w:numPr>
        <w:rPr>
          <w:lang w:val="nl-NL"/>
        </w:rPr>
      </w:pPr>
      <w:bookmarkStart w:name="_Toc59455631" w:id="39"/>
      <w:r w:rsidRPr="00150062">
        <w:rPr>
          <w:lang w:val="nl-NL"/>
        </w:rPr>
        <w:t>Integriteit zeebodem/ bent</w:t>
      </w:r>
      <w:r w:rsidR="00090BC7">
        <w:rPr>
          <w:lang w:val="nl-NL"/>
        </w:rPr>
        <w:t>h</w:t>
      </w:r>
      <w:r w:rsidRPr="00150062">
        <w:rPr>
          <w:lang w:val="nl-NL"/>
        </w:rPr>
        <w:t>ische habitats (D6)</w:t>
      </w:r>
      <w:bookmarkEnd w:id="39"/>
    </w:p>
    <w:p w:rsidR="0070550F" w:rsidP="0070550F" w:rsidRDefault="0070550F" w14:paraId="4138D4EB" w14:textId="77777777">
      <w:pPr>
        <w:pStyle w:val="TOCHeading"/>
      </w:pPr>
      <w:r w:rsidRPr="00B96268">
        <w:t>Goede milieutoestand en doelen</w:t>
      </w:r>
    </w:p>
    <w:p w:rsidR="0070550F" w:rsidP="0070550F" w:rsidRDefault="00E41A13" w14:paraId="10228E55" w14:textId="77777777">
      <w:pPr>
        <w:rPr>
          <w:lang w:val="nl-NL" w:eastAsia="nl-NL"/>
        </w:rPr>
      </w:pPr>
      <w:r>
        <w:rPr>
          <w:lang w:val="nl-NL" w:eastAsia="nl-NL"/>
        </w:rPr>
        <w:t>B</w:t>
      </w:r>
      <w:r w:rsidRPr="00606B57">
        <w:rPr>
          <w:lang w:val="nl-NL" w:eastAsia="nl-NL"/>
        </w:rPr>
        <w:t>odemberoerende</w:t>
      </w:r>
      <w:r>
        <w:rPr>
          <w:lang w:val="nl-NL" w:eastAsia="nl-NL"/>
        </w:rPr>
        <w:t xml:space="preserve"> </w:t>
      </w:r>
      <w:r w:rsidRPr="00606B57" w:rsidR="0070550F">
        <w:rPr>
          <w:lang w:val="nl-NL" w:eastAsia="nl-NL"/>
        </w:rPr>
        <w:t>visserij, zand- en schelpwinning en</w:t>
      </w:r>
      <w:r w:rsidR="0070550F">
        <w:rPr>
          <w:lang w:val="nl-NL" w:eastAsia="nl-NL"/>
        </w:rPr>
        <w:t xml:space="preserve"> </w:t>
      </w:r>
      <w:r w:rsidRPr="00606B57" w:rsidR="0070550F">
        <w:rPr>
          <w:lang w:val="nl-NL" w:eastAsia="nl-NL"/>
        </w:rPr>
        <w:t>zand</w:t>
      </w:r>
      <w:r w:rsidR="0070550F">
        <w:rPr>
          <w:lang w:val="nl-NL" w:eastAsia="nl-NL"/>
        </w:rPr>
        <w:t>s</w:t>
      </w:r>
      <w:r w:rsidRPr="00606B57" w:rsidR="0070550F">
        <w:rPr>
          <w:lang w:val="nl-NL" w:eastAsia="nl-NL"/>
        </w:rPr>
        <w:t>uppleties</w:t>
      </w:r>
      <w:r>
        <w:rPr>
          <w:lang w:val="nl-NL" w:eastAsia="nl-NL"/>
        </w:rPr>
        <w:t xml:space="preserve"> kunnen de </w:t>
      </w:r>
      <w:r w:rsidRPr="00E41A13">
        <w:rPr>
          <w:lang w:val="nl-NL" w:eastAsia="nl-NL"/>
        </w:rPr>
        <w:t xml:space="preserve">zeebodem fysiek </w:t>
      </w:r>
      <w:r>
        <w:rPr>
          <w:lang w:val="nl-NL" w:eastAsia="nl-NL"/>
        </w:rPr>
        <w:t>verstoren</w:t>
      </w:r>
      <w:r w:rsidRPr="00606B57" w:rsidR="0070550F">
        <w:rPr>
          <w:lang w:val="nl-NL" w:eastAsia="nl-NL"/>
        </w:rPr>
        <w:t>.</w:t>
      </w:r>
      <w:r w:rsidR="0070550F">
        <w:rPr>
          <w:lang w:val="nl-NL" w:eastAsia="nl-NL"/>
        </w:rPr>
        <w:t xml:space="preserve"> </w:t>
      </w:r>
      <w:r>
        <w:rPr>
          <w:lang w:val="nl-NL" w:eastAsia="nl-NL"/>
        </w:rPr>
        <w:t>S</w:t>
      </w:r>
      <w:r w:rsidR="005016F5">
        <w:rPr>
          <w:lang w:val="nl-NL" w:eastAsia="nl-NL"/>
        </w:rPr>
        <w:t xml:space="preserve">ommige menselijke activiteiten </w:t>
      </w:r>
      <w:r>
        <w:rPr>
          <w:lang w:val="nl-NL" w:eastAsia="nl-NL"/>
        </w:rPr>
        <w:t>kunnen er ook toe</w:t>
      </w:r>
      <w:r w:rsidR="005016F5">
        <w:rPr>
          <w:lang w:val="nl-NL" w:eastAsia="nl-NL"/>
        </w:rPr>
        <w:t xml:space="preserve"> leiden dat zeebodemareaal verloren gaat. </w:t>
      </w:r>
      <w:r w:rsidR="0070550F">
        <w:rPr>
          <w:lang w:val="nl-NL" w:eastAsia="nl-NL"/>
        </w:rPr>
        <w:t xml:space="preserve"> </w:t>
      </w:r>
    </w:p>
    <w:p w:rsidR="0070550F" w:rsidP="0070550F" w:rsidRDefault="0070550F" w14:paraId="0E04FD64" w14:textId="66A8D442">
      <w:pPr>
        <w:rPr>
          <w:lang w:val="nl-NL" w:eastAsia="nl-NL"/>
        </w:rPr>
      </w:pPr>
      <w:r>
        <w:rPr>
          <w:lang w:val="nl-NL" w:eastAsia="nl-NL"/>
        </w:rPr>
        <w:t xml:space="preserve">De goede milieutoestand </w:t>
      </w:r>
      <w:r w:rsidR="005016F5">
        <w:rPr>
          <w:lang w:val="nl-NL" w:eastAsia="nl-NL"/>
        </w:rPr>
        <w:t xml:space="preserve">voor </w:t>
      </w:r>
      <w:r>
        <w:rPr>
          <w:lang w:val="nl-NL" w:eastAsia="nl-NL"/>
        </w:rPr>
        <w:t>benthische habitats is volgens Mariene Strategie deel 1</w:t>
      </w:r>
      <w:r w:rsidR="00E05614">
        <w:rPr>
          <w:lang w:val="nl-NL" w:eastAsia="nl-NL"/>
        </w:rPr>
        <w:t xml:space="preserve"> (</w:t>
      </w:r>
      <w:r>
        <w:rPr>
          <w:lang w:val="nl-NL" w:eastAsia="nl-NL"/>
        </w:rPr>
        <w:t xml:space="preserve">2018) </w:t>
      </w:r>
      <w:r w:rsidR="00DD4F15">
        <w:rPr>
          <w:lang w:val="nl-NL" w:eastAsia="nl-NL"/>
        </w:rPr>
        <w:t xml:space="preserve">[11] </w:t>
      </w:r>
      <w:r>
        <w:rPr>
          <w:lang w:val="nl-NL" w:eastAsia="nl-NL"/>
        </w:rPr>
        <w:t xml:space="preserve">bereikt als </w:t>
      </w:r>
      <w:r w:rsidRPr="00606B57">
        <w:rPr>
          <w:lang w:val="nl-NL" w:eastAsia="nl-NL"/>
        </w:rPr>
        <w:t>fysieke verstoring</w:t>
      </w:r>
      <w:r>
        <w:rPr>
          <w:lang w:val="nl-NL" w:eastAsia="nl-NL"/>
        </w:rPr>
        <w:t xml:space="preserve"> en verlies</w:t>
      </w:r>
      <w:r w:rsidRPr="00606B57">
        <w:rPr>
          <w:lang w:val="nl-NL" w:eastAsia="nl-NL"/>
        </w:rPr>
        <w:t xml:space="preserve"> van de zeebodem door</w:t>
      </w:r>
      <w:r>
        <w:rPr>
          <w:lang w:val="nl-NL" w:eastAsia="nl-NL"/>
        </w:rPr>
        <w:t xml:space="preserve"> </w:t>
      </w:r>
      <w:r w:rsidRPr="00606B57">
        <w:rPr>
          <w:lang w:val="nl-NL" w:eastAsia="nl-NL"/>
        </w:rPr>
        <w:t>menselijke activiteiten wordt beperkt om te waarborgen dat de</w:t>
      </w:r>
      <w:r>
        <w:rPr>
          <w:lang w:val="nl-NL" w:eastAsia="nl-NL"/>
        </w:rPr>
        <w:t xml:space="preserve"> </w:t>
      </w:r>
      <w:r w:rsidRPr="00606B57">
        <w:rPr>
          <w:lang w:val="nl-NL" w:eastAsia="nl-NL"/>
        </w:rPr>
        <w:t>omvang, conditie en globale verspreiding van populaties van de</w:t>
      </w:r>
      <w:r>
        <w:rPr>
          <w:lang w:val="nl-NL" w:eastAsia="nl-NL"/>
        </w:rPr>
        <w:t xml:space="preserve"> </w:t>
      </w:r>
      <w:r w:rsidRPr="00606B57">
        <w:rPr>
          <w:lang w:val="nl-NL" w:eastAsia="nl-NL"/>
        </w:rPr>
        <w:t>gemeenschap van kenmerkende benthossoorten toeneemt en</w:t>
      </w:r>
      <w:r>
        <w:rPr>
          <w:lang w:val="nl-NL" w:eastAsia="nl-NL"/>
        </w:rPr>
        <w:t xml:space="preserve"> </w:t>
      </w:r>
      <w:r w:rsidRPr="00606B57">
        <w:rPr>
          <w:lang w:val="nl-NL" w:eastAsia="nl-NL"/>
        </w:rPr>
        <w:t>doelen voor specifieke habitats worden gehaald.</w:t>
      </w:r>
      <w:r>
        <w:rPr>
          <w:lang w:val="nl-NL" w:eastAsia="nl-NL"/>
        </w:rPr>
        <w:t xml:space="preserve"> </w:t>
      </w:r>
    </w:p>
    <w:tbl>
      <w:tblPr>
        <w:tblStyle w:val="TableGrid"/>
        <w:tblW w:w="0" w:type="auto"/>
        <w:tblLook w:val="04A0" w:firstRow="1" w:lastRow="0" w:firstColumn="1" w:lastColumn="0" w:noHBand="0" w:noVBand="1"/>
      </w:tblPr>
      <w:tblGrid>
        <w:gridCol w:w="1413"/>
        <w:gridCol w:w="7604"/>
      </w:tblGrid>
      <w:tr w:rsidRPr="00FA0787" w:rsidR="0070550F" w:rsidTr="000E4075" w14:paraId="5E7BC0D6" w14:textId="77777777">
        <w:tc>
          <w:tcPr>
            <w:tcW w:w="9017" w:type="dxa"/>
            <w:gridSpan w:val="2"/>
          </w:tcPr>
          <w:p w:rsidRPr="00FA0787" w:rsidR="0070550F" w:rsidP="000E4075" w:rsidRDefault="0070550F" w14:paraId="08469D34" w14:textId="77777777">
            <w:pPr>
              <w:rPr>
                <w:b/>
                <w:sz w:val="16"/>
                <w:lang w:val="nl-NL"/>
              </w:rPr>
            </w:pPr>
            <w:r w:rsidRPr="00FA0787">
              <w:rPr>
                <w:b/>
                <w:sz w:val="16"/>
              </w:rPr>
              <w:t>Bent</w:t>
            </w:r>
            <w:r w:rsidR="00090BC7">
              <w:rPr>
                <w:b/>
                <w:sz w:val="16"/>
              </w:rPr>
              <w:t>h</w:t>
            </w:r>
            <w:r w:rsidRPr="00FA0787">
              <w:rPr>
                <w:b/>
                <w:sz w:val="16"/>
              </w:rPr>
              <w:t>ische habitats</w:t>
            </w:r>
          </w:p>
        </w:tc>
      </w:tr>
      <w:tr w:rsidRPr="0084482C" w:rsidR="00B12B59" w:rsidTr="000E4075" w14:paraId="1FB627EE" w14:textId="77777777">
        <w:tc>
          <w:tcPr>
            <w:tcW w:w="1413" w:type="dxa"/>
          </w:tcPr>
          <w:p w:rsidRPr="00A32D98" w:rsidR="00B12B59" w:rsidP="00B12B59" w:rsidRDefault="00B12B59" w14:paraId="3B9144C7" w14:textId="77777777">
            <w:pPr>
              <w:rPr>
                <w:sz w:val="16"/>
              </w:rPr>
            </w:pPr>
            <w:r w:rsidRPr="00A32D98">
              <w:rPr>
                <w:sz w:val="16"/>
              </w:rPr>
              <w:t>Goede milieutoestand</w:t>
            </w:r>
          </w:p>
        </w:tc>
        <w:tc>
          <w:tcPr>
            <w:tcW w:w="7604" w:type="dxa"/>
          </w:tcPr>
          <w:p w:rsidRPr="00982ED4" w:rsidR="00B12B59" w:rsidP="00B12B59" w:rsidRDefault="00B12B59" w14:paraId="041D000C" w14:textId="77777777">
            <w:pPr>
              <w:rPr>
                <w:sz w:val="16"/>
                <w:lang w:val="nl-NL"/>
              </w:rPr>
            </w:pPr>
            <w:r w:rsidRPr="00982ED4">
              <w:rPr>
                <w:sz w:val="16"/>
                <w:lang w:val="nl-NL"/>
              </w:rPr>
              <w:t>Overkoepelend: verbetering van de omvang, conditie en globale</w:t>
            </w:r>
            <w:r>
              <w:rPr>
                <w:sz w:val="16"/>
                <w:lang w:val="nl-NL"/>
              </w:rPr>
              <w:t xml:space="preserve"> </w:t>
            </w:r>
            <w:r w:rsidRPr="00982ED4">
              <w:rPr>
                <w:sz w:val="16"/>
                <w:lang w:val="nl-NL"/>
              </w:rPr>
              <w:t>verspreiding van populaties van de gemeenschap van</w:t>
            </w:r>
            <w:r>
              <w:rPr>
                <w:sz w:val="16"/>
                <w:lang w:val="nl-NL"/>
              </w:rPr>
              <w:t xml:space="preserve"> </w:t>
            </w:r>
            <w:r w:rsidRPr="00982ED4">
              <w:rPr>
                <w:sz w:val="16"/>
                <w:lang w:val="nl-NL"/>
              </w:rPr>
              <w:t>benthossoorten.</w:t>
            </w:r>
          </w:p>
          <w:p w:rsidRPr="00982ED4" w:rsidR="00B12B59" w:rsidP="00746E9B" w:rsidRDefault="00B12B59" w14:paraId="4E88B005" w14:textId="77777777">
            <w:pPr>
              <w:pStyle w:val="ListParagraph"/>
              <w:numPr>
                <w:ilvl w:val="0"/>
                <w:numId w:val="50"/>
              </w:numPr>
              <w:rPr>
                <w:sz w:val="16"/>
                <w:lang w:val="nl-NL"/>
              </w:rPr>
            </w:pPr>
            <w:r w:rsidRPr="00982ED4">
              <w:rPr>
                <w:sz w:val="16"/>
                <w:lang w:val="nl-NL"/>
              </w:rPr>
              <w:t>D6C3: verbetering van de kwaliteit van de beoordeelde gebieden en habitats op het Nederlandse deel van de Noordzee (Benthische Indicator Soorten Index).</w:t>
            </w:r>
          </w:p>
          <w:p w:rsidRPr="00982ED4" w:rsidR="00B12B59" w:rsidP="00746E9B" w:rsidRDefault="00B12B59" w14:paraId="45D94239" w14:textId="77777777">
            <w:pPr>
              <w:pStyle w:val="ListParagraph"/>
              <w:numPr>
                <w:ilvl w:val="0"/>
                <w:numId w:val="50"/>
              </w:numPr>
              <w:rPr>
                <w:sz w:val="16"/>
                <w:lang w:val="nl-NL"/>
              </w:rPr>
            </w:pPr>
            <w:r w:rsidRPr="00982ED4">
              <w:rPr>
                <w:sz w:val="16"/>
                <w:lang w:val="nl-NL"/>
              </w:rPr>
              <w:t>D6C5: de diversiteit van benthos vertoont geen afnemende trend in de beoordeelde gebieden (OSPAR- beoordelingswaarde).</w:t>
            </w:r>
          </w:p>
        </w:tc>
      </w:tr>
      <w:tr w:rsidRPr="0084482C" w:rsidR="00B12B59" w:rsidTr="000E4075" w14:paraId="71EFD4A7" w14:textId="77777777">
        <w:tc>
          <w:tcPr>
            <w:tcW w:w="1413" w:type="dxa"/>
          </w:tcPr>
          <w:p w:rsidRPr="00982ED4" w:rsidR="00B12B59" w:rsidP="00B12B59" w:rsidRDefault="00B12B59" w14:paraId="5BD2E0E9" w14:textId="77777777">
            <w:pPr>
              <w:rPr>
                <w:sz w:val="16"/>
                <w:lang w:val="nl-NL"/>
              </w:rPr>
            </w:pPr>
            <w:r w:rsidRPr="00A32D98">
              <w:rPr>
                <w:sz w:val="16"/>
              </w:rPr>
              <w:t>Milieudoelen</w:t>
            </w:r>
          </w:p>
        </w:tc>
        <w:tc>
          <w:tcPr>
            <w:tcW w:w="7604" w:type="dxa"/>
          </w:tcPr>
          <w:p w:rsidRPr="00982ED4" w:rsidR="00B12B59" w:rsidP="00746E9B" w:rsidRDefault="00B12B59" w14:paraId="4D43BEFC" w14:textId="77777777">
            <w:pPr>
              <w:pStyle w:val="ListParagraph"/>
              <w:numPr>
                <w:ilvl w:val="0"/>
                <w:numId w:val="50"/>
              </w:numPr>
              <w:rPr>
                <w:sz w:val="16"/>
                <w:lang w:val="nl-NL"/>
              </w:rPr>
            </w:pPr>
            <w:r w:rsidRPr="00982ED4">
              <w:rPr>
                <w:sz w:val="16"/>
                <w:lang w:val="nl-NL"/>
              </w:rPr>
              <w:t>D6T1: 10-15 procent van het oppervlak van het Nederlandse deel van de Noordzee wordt niet noemenswaardig beroerd door menselijke activiteiten.</w:t>
            </w:r>
          </w:p>
          <w:p w:rsidRPr="00982ED4" w:rsidR="00B12B59" w:rsidP="00746E9B" w:rsidRDefault="00B12B59" w14:paraId="1EE2993E" w14:textId="77777777">
            <w:pPr>
              <w:pStyle w:val="ListParagraph"/>
              <w:numPr>
                <w:ilvl w:val="0"/>
                <w:numId w:val="50"/>
              </w:numPr>
              <w:rPr>
                <w:sz w:val="16"/>
                <w:lang w:val="nl-NL"/>
              </w:rPr>
            </w:pPr>
            <w:r w:rsidRPr="00982ED4">
              <w:rPr>
                <w:sz w:val="16"/>
                <w:lang w:val="nl-NL"/>
              </w:rPr>
              <w:t>D6T2: verbetering kwaliteit van de beoordeelde gebieden en habitats.</w:t>
            </w:r>
          </w:p>
          <w:p w:rsidRPr="00FA0787" w:rsidR="00B12B59" w:rsidP="00746E9B" w:rsidRDefault="00B12B59" w14:paraId="298A7E88" w14:textId="77777777">
            <w:pPr>
              <w:pStyle w:val="ListParagraph"/>
              <w:numPr>
                <w:ilvl w:val="0"/>
                <w:numId w:val="50"/>
              </w:numPr>
              <w:rPr>
                <w:sz w:val="16"/>
                <w:lang w:val="nl-NL"/>
              </w:rPr>
            </w:pPr>
            <w:r w:rsidRPr="00FA0787">
              <w:rPr>
                <w:sz w:val="16"/>
                <w:lang w:val="nl-NL"/>
              </w:rPr>
              <w:t>D6T4: verder ontwikkelen en testen van regionale beoordelingsmethoden (OSPAR en ICES) die in de toekomst gebruikt kunnen worden voor een beoordeling van benthische en pelagische habitats.</w:t>
            </w:r>
          </w:p>
          <w:p w:rsidRPr="00982ED4" w:rsidR="00B12B59" w:rsidP="00746E9B" w:rsidRDefault="00B12B59" w14:paraId="6DD254B9" w14:textId="77777777">
            <w:pPr>
              <w:pStyle w:val="ListParagraph"/>
              <w:numPr>
                <w:ilvl w:val="0"/>
                <w:numId w:val="50"/>
              </w:numPr>
              <w:rPr>
                <w:sz w:val="16"/>
                <w:lang w:val="nl-NL"/>
              </w:rPr>
            </w:pPr>
            <w:r w:rsidRPr="00982ED4">
              <w:rPr>
                <w:sz w:val="16"/>
                <w:lang w:val="nl-NL"/>
              </w:rPr>
              <w:t>D6T5: terugkeer en herstel van biogene riffen, waaronder platte</w:t>
            </w:r>
            <w:r>
              <w:rPr>
                <w:sz w:val="16"/>
                <w:lang w:val="nl-NL"/>
              </w:rPr>
              <w:t>-</w:t>
            </w:r>
            <w:r w:rsidRPr="00982ED4">
              <w:rPr>
                <w:sz w:val="16"/>
                <w:lang w:val="nl-NL"/>
              </w:rPr>
              <w:t>oesterbanken</w:t>
            </w:r>
          </w:p>
          <w:p w:rsidRPr="00982ED4" w:rsidR="00B12B59" w:rsidP="00CB6B46" w:rsidRDefault="00B12B59" w14:paraId="66837B54" w14:textId="77777777">
            <w:pPr>
              <w:pStyle w:val="ListParagraph"/>
              <w:numPr>
                <w:ilvl w:val="0"/>
                <w:numId w:val="50"/>
              </w:numPr>
              <w:rPr>
                <w:sz w:val="16"/>
                <w:lang w:val="nl-NL"/>
              </w:rPr>
            </w:pPr>
            <w:r w:rsidRPr="00982ED4">
              <w:rPr>
                <w:sz w:val="16"/>
                <w:lang w:val="nl-NL"/>
              </w:rPr>
              <w:t>D1T3: realiseren instandhoudingsdoelstellingen voor habitattypen en soorten in de Natura 2000-gebieden op zee (</w:t>
            </w:r>
            <w:r w:rsidR="00CB6B46">
              <w:rPr>
                <w:sz w:val="16"/>
                <w:lang w:val="nl-NL"/>
              </w:rPr>
              <w:t xml:space="preserve">VR en </w:t>
            </w:r>
            <w:r w:rsidRPr="00982ED4">
              <w:rPr>
                <w:sz w:val="16"/>
                <w:lang w:val="nl-NL"/>
              </w:rPr>
              <w:t>HR).</w:t>
            </w:r>
          </w:p>
        </w:tc>
      </w:tr>
      <w:tr w:rsidRPr="0084482C" w:rsidR="0070550F" w:rsidTr="000E4075" w14:paraId="4CC8BCDC" w14:textId="77777777">
        <w:tc>
          <w:tcPr>
            <w:tcW w:w="9017" w:type="dxa"/>
            <w:gridSpan w:val="2"/>
          </w:tcPr>
          <w:p w:rsidRPr="006A68F5" w:rsidR="0070550F" w:rsidP="000E4075" w:rsidRDefault="0070550F" w14:paraId="6C52CC26" w14:textId="77777777">
            <w:pPr>
              <w:rPr>
                <w:b/>
                <w:sz w:val="16"/>
                <w:lang w:val="nl-NL"/>
              </w:rPr>
            </w:pPr>
            <w:r w:rsidRPr="006A68F5">
              <w:rPr>
                <w:b/>
                <w:sz w:val="16"/>
                <w:lang w:val="nl-NL"/>
              </w:rPr>
              <w:t>Fysieke verstoring van de zeebodem</w:t>
            </w:r>
          </w:p>
        </w:tc>
      </w:tr>
      <w:tr w:rsidRPr="0084482C" w:rsidR="0070550F" w:rsidTr="000E4075" w14:paraId="4F1F598C" w14:textId="77777777">
        <w:tc>
          <w:tcPr>
            <w:tcW w:w="1413" w:type="dxa"/>
          </w:tcPr>
          <w:p w:rsidRPr="00A32D98" w:rsidR="0070550F" w:rsidP="000E4075" w:rsidRDefault="0070550F" w14:paraId="3C24FB43" w14:textId="77777777">
            <w:pPr>
              <w:rPr>
                <w:sz w:val="16"/>
              </w:rPr>
            </w:pPr>
            <w:r w:rsidRPr="00A32D98">
              <w:rPr>
                <w:sz w:val="16"/>
              </w:rPr>
              <w:t>Goede milieutoestand</w:t>
            </w:r>
          </w:p>
        </w:tc>
        <w:tc>
          <w:tcPr>
            <w:tcW w:w="7604" w:type="dxa"/>
          </w:tcPr>
          <w:p w:rsidRPr="006A68F5" w:rsidR="0070550F" w:rsidP="000E4075" w:rsidRDefault="0070550F" w14:paraId="06606551" w14:textId="77777777">
            <w:pPr>
              <w:rPr>
                <w:sz w:val="16"/>
                <w:lang w:val="nl-NL"/>
              </w:rPr>
            </w:pPr>
            <w:r w:rsidRPr="006A68F5">
              <w:rPr>
                <w:sz w:val="16"/>
                <w:lang w:val="nl-NL"/>
              </w:rPr>
              <w:t>Overkoepelend: fysieke verstoring van de zeebodem door</w:t>
            </w:r>
            <w:r>
              <w:rPr>
                <w:sz w:val="16"/>
                <w:lang w:val="nl-NL"/>
              </w:rPr>
              <w:t xml:space="preserve"> </w:t>
            </w:r>
            <w:r w:rsidRPr="006A68F5">
              <w:rPr>
                <w:sz w:val="16"/>
                <w:lang w:val="nl-NL"/>
              </w:rPr>
              <w:t>menselijke activiteiten wordt beperkt om te waarborgen dat de</w:t>
            </w:r>
            <w:r>
              <w:rPr>
                <w:sz w:val="16"/>
                <w:lang w:val="nl-NL"/>
              </w:rPr>
              <w:t xml:space="preserve"> </w:t>
            </w:r>
            <w:r w:rsidRPr="006A68F5">
              <w:rPr>
                <w:sz w:val="16"/>
                <w:lang w:val="nl-NL"/>
              </w:rPr>
              <w:t>omvang, conditie en globale verspreiding van populaties van de</w:t>
            </w:r>
            <w:r>
              <w:rPr>
                <w:sz w:val="16"/>
                <w:lang w:val="nl-NL"/>
              </w:rPr>
              <w:t xml:space="preserve"> </w:t>
            </w:r>
            <w:r w:rsidRPr="006A68F5">
              <w:rPr>
                <w:sz w:val="16"/>
                <w:lang w:val="nl-NL"/>
              </w:rPr>
              <w:t>gemeenschap van kenmerkende benthossoorten toeneemt en</w:t>
            </w:r>
            <w:r>
              <w:rPr>
                <w:sz w:val="16"/>
                <w:lang w:val="nl-NL"/>
              </w:rPr>
              <w:t xml:space="preserve"> </w:t>
            </w:r>
            <w:r w:rsidRPr="006A68F5">
              <w:rPr>
                <w:sz w:val="16"/>
                <w:lang w:val="nl-NL"/>
              </w:rPr>
              <w:t>doelen voor specifieke habitats worden gehaald.</w:t>
            </w:r>
          </w:p>
          <w:p w:rsidRPr="006A68F5" w:rsidR="0070550F" w:rsidP="00746E9B" w:rsidRDefault="0070550F" w14:paraId="2B151D56" w14:textId="77777777">
            <w:pPr>
              <w:pStyle w:val="ListParagraph"/>
              <w:numPr>
                <w:ilvl w:val="0"/>
                <w:numId w:val="25"/>
              </w:numPr>
              <w:rPr>
                <w:sz w:val="16"/>
                <w:lang w:val="nl-NL"/>
              </w:rPr>
            </w:pPr>
            <w:r w:rsidRPr="006A68F5">
              <w:rPr>
                <w:sz w:val="16"/>
                <w:lang w:val="nl-NL"/>
              </w:rPr>
              <w:t xml:space="preserve">D6C2: geen significante toename in de fysieke verstoring in de tijd op de totale zeebodem van de gehele Noordzee en </w:t>
            </w:r>
            <w:r w:rsidR="00B5514C">
              <w:rPr>
                <w:sz w:val="16"/>
                <w:lang w:val="nl-NL"/>
              </w:rPr>
              <w:t>de EEZ</w:t>
            </w:r>
            <w:r w:rsidRPr="006A68F5">
              <w:rPr>
                <w:sz w:val="16"/>
                <w:lang w:val="nl-NL"/>
              </w:rPr>
              <w:t>.</w:t>
            </w:r>
          </w:p>
          <w:p w:rsidRPr="006A68F5" w:rsidR="0070550F" w:rsidP="00746E9B" w:rsidRDefault="0070550F" w14:paraId="1CF672B9" w14:textId="77777777">
            <w:pPr>
              <w:pStyle w:val="ListParagraph"/>
              <w:numPr>
                <w:ilvl w:val="0"/>
                <w:numId w:val="25"/>
              </w:numPr>
              <w:rPr>
                <w:sz w:val="16"/>
                <w:lang w:val="nl-NL"/>
              </w:rPr>
            </w:pPr>
            <w:r w:rsidRPr="006A68F5">
              <w:rPr>
                <w:sz w:val="16"/>
                <w:lang w:val="nl-NL"/>
              </w:rPr>
              <w:t>D6C3: geen toename in de fysieke verstoring in de tijd over de habitats die in het kader van de KRM zijn beschreven.</w:t>
            </w:r>
          </w:p>
          <w:p w:rsidRPr="006A68F5" w:rsidR="0070550F" w:rsidP="00746E9B" w:rsidRDefault="0070550F" w14:paraId="68133052" w14:textId="77777777">
            <w:pPr>
              <w:pStyle w:val="ListParagraph"/>
              <w:numPr>
                <w:ilvl w:val="0"/>
                <w:numId w:val="51"/>
              </w:numPr>
              <w:rPr>
                <w:sz w:val="16"/>
                <w:lang w:val="nl-NL"/>
              </w:rPr>
            </w:pPr>
            <w:r w:rsidRPr="006A68F5">
              <w:rPr>
                <w:sz w:val="16"/>
                <w:lang w:val="nl-NL"/>
              </w:rPr>
              <w:t>D6C3: voor de habitats die in het kader van de Habitatrichtlijn zijn beschreven, gelden de instandhoudingsdoelen voor deze habitats.</w:t>
            </w:r>
          </w:p>
        </w:tc>
      </w:tr>
      <w:tr w:rsidRPr="0084482C" w:rsidR="0070550F" w:rsidTr="000E4075" w14:paraId="2327567D" w14:textId="77777777">
        <w:tc>
          <w:tcPr>
            <w:tcW w:w="1413" w:type="dxa"/>
          </w:tcPr>
          <w:p w:rsidRPr="00A32D98" w:rsidR="0070550F" w:rsidP="000E4075" w:rsidRDefault="0070550F" w14:paraId="2417258D" w14:textId="77777777">
            <w:pPr>
              <w:rPr>
                <w:sz w:val="16"/>
              </w:rPr>
            </w:pPr>
            <w:r w:rsidRPr="00A32D98">
              <w:rPr>
                <w:sz w:val="16"/>
              </w:rPr>
              <w:t>Milieudoelen</w:t>
            </w:r>
          </w:p>
        </w:tc>
        <w:tc>
          <w:tcPr>
            <w:tcW w:w="7604" w:type="dxa"/>
          </w:tcPr>
          <w:p w:rsidRPr="006A68F5" w:rsidR="0070550F" w:rsidP="00746E9B" w:rsidRDefault="0070550F" w14:paraId="42EA3B21" w14:textId="77777777">
            <w:pPr>
              <w:pStyle w:val="ListParagraph"/>
              <w:numPr>
                <w:ilvl w:val="0"/>
                <w:numId w:val="51"/>
              </w:numPr>
              <w:rPr>
                <w:sz w:val="16"/>
                <w:lang w:val="nl-NL"/>
              </w:rPr>
            </w:pPr>
            <w:r w:rsidRPr="006A68F5">
              <w:rPr>
                <w:sz w:val="16"/>
                <w:lang w:val="nl-NL"/>
              </w:rPr>
              <w:t>D6T1: 10-15 procent van het oppervlak van het Nederlandse deel van de Noordzee wordt niet noemenswaardig beroerd door menselijke activiteiten.</w:t>
            </w:r>
          </w:p>
          <w:p w:rsidRPr="006A68F5" w:rsidR="0070550F" w:rsidP="00746E9B" w:rsidRDefault="0070550F" w14:paraId="3FE59CE3" w14:textId="77777777">
            <w:pPr>
              <w:pStyle w:val="ListParagraph"/>
              <w:numPr>
                <w:ilvl w:val="0"/>
                <w:numId w:val="51"/>
              </w:numPr>
              <w:rPr>
                <w:sz w:val="16"/>
                <w:lang w:val="nl-NL"/>
              </w:rPr>
            </w:pPr>
            <w:r w:rsidRPr="006A68F5">
              <w:rPr>
                <w:sz w:val="16"/>
                <w:lang w:val="nl-NL"/>
              </w:rPr>
              <w:t xml:space="preserve">D6T3: geen toename in de fysieke verstoring door visserijactiviteiten in de tijd op de totale zeebodem van </w:t>
            </w:r>
            <w:r w:rsidR="00B5514C">
              <w:rPr>
                <w:sz w:val="16"/>
                <w:lang w:val="nl-NL"/>
              </w:rPr>
              <w:t>de EEZ</w:t>
            </w:r>
            <w:r w:rsidRPr="006A68F5">
              <w:rPr>
                <w:sz w:val="16"/>
                <w:lang w:val="nl-NL"/>
              </w:rPr>
              <w:t xml:space="preserve"> en op de habitats die in het kader van de KRM zijn beschreven.</w:t>
            </w:r>
          </w:p>
          <w:p w:rsidRPr="006A68F5" w:rsidR="0070550F" w:rsidP="00746E9B" w:rsidRDefault="0070550F" w14:paraId="38AA0CDC" w14:textId="77777777">
            <w:pPr>
              <w:pStyle w:val="ListParagraph"/>
              <w:numPr>
                <w:ilvl w:val="0"/>
                <w:numId w:val="51"/>
              </w:numPr>
              <w:rPr>
                <w:sz w:val="16"/>
                <w:lang w:val="nl-NL"/>
              </w:rPr>
            </w:pPr>
            <w:r w:rsidRPr="006A68F5">
              <w:rPr>
                <w:sz w:val="16"/>
                <w:lang w:val="nl-NL"/>
              </w:rPr>
              <w:t>D1T3: realiseren instandhoudingsdoelstellingen voor habitattypen en soorten in de Natura 2000-gebieden op zee (V</w:t>
            </w:r>
            <w:r w:rsidR="00CB6B46">
              <w:rPr>
                <w:sz w:val="16"/>
                <w:lang w:val="nl-NL"/>
              </w:rPr>
              <w:t xml:space="preserve">R en </w:t>
            </w:r>
            <w:r w:rsidRPr="006A68F5">
              <w:rPr>
                <w:sz w:val="16"/>
                <w:lang w:val="nl-NL"/>
              </w:rPr>
              <w:t>HR).</w:t>
            </w:r>
          </w:p>
        </w:tc>
      </w:tr>
      <w:tr w:rsidRPr="0084482C" w:rsidR="0070550F" w:rsidTr="000E4075" w14:paraId="08E8731A" w14:textId="77777777">
        <w:tc>
          <w:tcPr>
            <w:tcW w:w="9017" w:type="dxa"/>
            <w:gridSpan w:val="2"/>
          </w:tcPr>
          <w:p w:rsidRPr="006A68F5" w:rsidR="0070550F" w:rsidP="000E4075" w:rsidRDefault="0070550F" w14:paraId="43E9838E" w14:textId="77777777">
            <w:pPr>
              <w:rPr>
                <w:b/>
                <w:sz w:val="16"/>
                <w:lang w:val="nl-NL"/>
              </w:rPr>
            </w:pPr>
            <w:r w:rsidRPr="006A68F5">
              <w:rPr>
                <w:b/>
                <w:sz w:val="16"/>
                <w:lang w:val="nl-NL"/>
              </w:rPr>
              <w:t>Fysieke vernietiging van de zeebodem</w:t>
            </w:r>
          </w:p>
        </w:tc>
      </w:tr>
      <w:tr w:rsidRPr="0084482C" w:rsidR="0070550F" w:rsidTr="000E4075" w14:paraId="0E061CF9" w14:textId="77777777">
        <w:tc>
          <w:tcPr>
            <w:tcW w:w="1413" w:type="dxa"/>
          </w:tcPr>
          <w:p w:rsidRPr="00A32D98" w:rsidR="0070550F" w:rsidP="000E4075" w:rsidRDefault="0070550F" w14:paraId="6851588D" w14:textId="77777777">
            <w:pPr>
              <w:rPr>
                <w:sz w:val="16"/>
              </w:rPr>
            </w:pPr>
            <w:r w:rsidRPr="00A32D98">
              <w:rPr>
                <w:sz w:val="16"/>
              </w:rPr>
              <w:t>Goede milieutoestand</w:t>
            </w:r>
          </w:p>
        </w:tc>
        <w:tc>
          <w:tcPr>
            <w:tcW w:w="7604" w:type="dxa"/>
          </w:tcPr>
          <w:p w:rsidRPr="00FE6E1A" w:rsidR="0070550F" w:rsidP="000E4075" w:rsidRDefault="0070550F" w14:paraId="2773D9B7" w14:textId="77777777">
            <w:pPr>
              <w:rPr>
                <w:sz w:val="16"/>
                <w:lang w:val="nl-NL"/>
              </w:rPr>
            </w:pPr>
            <w:r w:rsidRPr="00FE6E1A">
              <w:rPr>
                <w:sz w:val="16"/>
                <w:lang w:val="nl-NL"/>
              </w:rPr>
              <w:t>Overkoepelend: fysiek verlies van de zeebodem door menselijke</w:t>
            </w:r>
            <w:r>
              <w:rPr>
                <w:sz w:val="16"/>
                <w:lang w:val="nl-NL"/>
              </w:rPr>
              <w:t xml:space="preserve"> </w:t>
            </w:r>
            <w:r w:rsidRPr="00FE6E1A">
              <w:rPr>
                <w:sz w:val="16"/>
                <w:lang w:val="nl-NL"/>
              </w:rPr>
              <w:t>activiteiten wordt beperkt om te waarborgen dat de omvang,</w:t>
            </w:r>
            <w:r>
              <w:rPr>
                <w:sz w:val="16"/>
                <w:lang w:val="nl-NL"/>
              </w:rPr>
              <w:t xml:space="preserve"> </w:t>
            </w:r>
            <w:r w:rsidRPr="00FE6E1A">
              <w:rPr>
                <w:sz w:val="16"/>
                <w:lang w:val="nl-NL"/>
              </w:rPr>
              <w:t>conditie en globale verspreiding van populaties van de gemeenschap</w:t>
            </w:r>
            <w:r>
              <w:rPr>
                <w:sz w:val="16"/>
                <w:lang w:val="nl-NL"/>
              </w:rPr>
              <w:t xml:space="preserve"> </w:t>
            </w:r>
            <w:r w:rsidRPr="00FE6E1A">
              <w:rPr>
                <w:sz w:val="16"/>
                <w:lang w:val="nl-NL"/>
              </w:rPr>
              <w:t>van kenmerkende benthossoorten toeneemt en doelen</w:t>
            </w:r>
            <w:r>
              <w:rPr>
                <w:sz w:val="16"/>
                <w:lang w:val="nl-NL"/>
              </w:rPr>
              <w:t xml:space="preserve"> </w:t>
            </w:r>
            <w:r w:rsidRPr="00FE6E1A">
              <w:rPr>
                <w:sz w:val="16"/>
                <w:lang w:val="nl-NL"/>
              </w:rPr>
              <w:t>voor specifieke habitats worden gehaald.</w:t>
            </w:r>
          </w:p>
          <w:p w:rsidRPr="00FE6E1A" w:rsidR="0070550F" w:rsidP="00746E9B" w:rsidRDefault="0070550F" w14:paraId="6C750934" w14:textId="77777777">
            <w:pPr>
              <w:pStyle w:val="ListParagraph"/>
              <w:numPr>
                <w:ilvl w:val="0"/>
                <w:numId w:val="25"/>
              </w:numPr>
              <w:rPr>
                <w:sz w:val="16"/>
                <w:lang w:val="nl-NL"/>
              </w:rPr>
            </w:pPr>
            <w:r w:rsidRPr="00FE6E1A">
              <w:rPr>
                <w:sz w:val="16"/>
                <w:lang w:val="nl-NL"/>
              </w:rPr>
              <w:t>D6C1: geen significant verlies van de natuurlijke zeebodem ten opzichte van de situatie in 2012 als gevolg van menselijke activiteiten.</w:t>
            </w:r>
          </w:p>
          <w:p w:rsidRPr="00FE6E1A" w:rsidR="0070550F" w:rsidP="00746E9B" w:rsidRDefault="0070550F" w14:paraId="7EDE3965" w14:textId="77777777">
            <w:pPr>
              <w:pStyle w:val="ListParagraph"/>
              <w:numPr>
                <w:ilvl w:val="0"/>
                <w:numId w:val="50"/>
              </w:numPr>
              <w:rPr>
                <w:sz w:val="16"/>
                <w:lang w:val="nl-NL"/>
              </w:rPr>
            </w:pPr>
            <w:r w:rsidRPr="00FE6E1A">
              <w:rPr>
                <w:sz w:val="16"/>
                <w:lang w:val="nl-NL"/>
              </w:rPr>
              <w:t>D6C4: geen significant verlies als gevolg van menselijke activiteiten van de habitats die in het kader van de KRM zijn beschreven.</w:t>
            </w:r>
          </w:p>
        </w:tc>
      </w:tr>
      <w:tr w:rsidRPr="00FE6E1A" w:rsidR="0070550F" w:rsidTr="000E4075" w14:paraId="07372D66" w14:textId="77777777">
        <w:tc>
          <w:tcPr>
            <w:tcW w:w="1413" w:type="dxa"/>
          </w:tcPr>
          <w:p w:rsidRPr="00A32D98" w:rsidR="0070550F" w:rsidP="000E4075" w:rsidRDefault="0070550F" w14:paraId="7FD1DC27" w14:textId="77777777">
            <w:pPr>
              <w:rPr>
                <w:sz w:val="16"/>
              </w:rPr>
            </w:pPr>
            <w:r w:rsidRPr="00A32D98">
              <w:rPr>
                <w:sz w:val="16"/>
              </w:rPr>
              <w:t>Milieudoelen</w:t>
            </w:r>
          </w:p>
        </w:tc>
        <w:tc>
          <w:tcPr>
            <w:tcW w:w="7604" w:type="dxa"/>
          </w:tcPr>
          <w:p w:rsidRPr="00FE6E1A" w:rsidR="0070550F" w:rsidP="000E4075" w:rsidRDefault="0070550F" w14:paraId="73E571E6" w14:textId="77777777">
            <w:pPr>
              <w:rPr>
                <w:sz w:val="16"/>
                <w:lang w:val="nl-NL"/>
              </w:rPr>
            </w:pPr>
            <w:r w:rsidRPr="00FE6E1A">
              <w:rPr>
                <w:sz w:val="16"/>
                <w:lang w:val="nl-NL"/>
              </w:rPr>
              <w:t>Zie fysieke verstoring.</w:t>
            </w:r>
          </w:p>
        </w:tc>
      </w:tr>
    </w:tbl>
    <w:p w:rsidRPr="004F7869" w:rsidR="0070550F" w:rsidP="0070550F" w:rsidRDefault="0070550F" w14:paraId="64AB0EFF" w14:textId="77777777">
      <w:pPr>
        <w:spacing w:after="0"/>
        <w:rPr>
          <w:szCs w:val="18"/>
          <w:lang w:val="nl-NL"/>
        </w:rPr>
      </w:pPr>
    </w:p>
    <w:p w:rsidR="0070550F" w:rsidP="0070550F" w:rsidRDefault="0070550F" w14:paraId="070FF826" w14:textId="77777777">
      <w:pPr>
        <w:pStyle w:val="TOCHeading"/>
      </w:pPr>
      <w:r w:rsidRPr="003A0642">
        <w:t xml:space="preserve">Huidige </w:t>
      </w:r>
      <w:r>
        <w:t>milieutoestand</w:t>
      </w:r>
    </w:p>
    <w:p w:rsidRPr="00BA70D2" w:rsidR="0070550F" w:rsidP="0070550F" w:rsidRDefault="0070550F" w14:paraId="123AE073" w14:textId="77777777">
      <w:pPr>
        <w:rPr>
          <w:i/>
          <w:lang w:val="nl-NL" w:eastAsia="nl-NL"/>
        </w:rPr>
      </w:pPr>
      <w:r w:rsidRPr="00BA70D2">
        <w:rPr>
          <w:i/>
          <w:lang w:val="nl-NL" w:eastAsia="nl-NL"/>
        </w:rPr>
        <w:t>Bent</w:t>
      </w:r>
      <w:r w:rsidR="00090BC7">
        <w:rPr>
          <w:i/>
          <w:lang w:val="nl-NL" w:eastAsia="nl-NL"/>
        </w:rPr>
        <w:t>h</w:t>
      </w:r>
      <w:r w:rsidRPr="00BA70D2">
        <w:rPr>
          <w:i/>
          <w:lang w:val="nl-NL" w:eastAsia="nl-NL"/>
        </w:rPr>
        <w:t>ische habitats</w:t>
      </w:r>
    </w:p>
    <w:p w:rsidR="0070550F" w:rsidP="0070550F" w:rsidRDefault="0070550F" w14:paraId="579D8C66" w14:textId="179CE83F">
      <w:pPr>
        <w:rPr>
          <w:lang w:val="nl-NL" w:eastAsia="nl-NL"/>
        </w:rPr>
      </w:pPr>
      <w:r w:rsidRPr="006B42B9">
        <w:rPr>
          <w:lang w:val="nl-NL" w:eastAsia="nl-NL"/>
        </w:rPr>
        <w:t>De Nederlandse zeebodem is nog steeds substantieel verstoord</w:t>
      </w:r>
      <w:r w:rsidR="00CB6B46">
        <w:rPr>
          <w:lang w:val="nl-NL" w:eastAsia="nl-NL"/>
        </w:rPr>
        <w:t xml:space="preserve"> (zie paragraaf 3.4.2 van Mariene Strategie, deel 1 (2018)</w:t>
      </w:r>
      <w:r w:rsidR="00FF2F23">
        <w:rPr>
          <w:lang w:val="nl-NL" w:eastAsia="nl-NL"/>
        </w:rPr>
        <w:t xml:space="preserve"> [11]</w:t>
      </w:r>
      <w:r w:rsidRPr="006B42B9">
        <w:rPr>
          <w:lang w:val="nl-NL" w:eastAsia="nl-NL"/>
        </w:rPr>
        <w:t>. De</w:t>
      </w:r>
      <w:r>
        <w:rPr>
          <w:lang w:val="nl-NL" w:eastAsia="nl-NL"/>
        </w:rPr>
        <w:t xml:space="preserve"> </w:t>
      </w:r>
      <w:r w:rsidRPr="006B42B9">
        <w:rPr>
          <w:lang w:val="nl-NL" w:eastAsia="nl-NL"/>
        </w:rPr>
        <w:t>OSPAR-beoordeling van de benthische gemeenschappen laat zien dat de</w:t>
      </w:r>
      <w:r>
        <w:rPr>
          <w:lang w:val="nl-NL" w:eastAsia="nl-NL"/>
        </w:rPr>
        <w:t xml:space="preserve"> </w:t>
      </w:r>
      <w:r w:rsidRPr="006B42B9">
        <w:rPr>
          <w:lang w:val="nl-NL" w:eastAsia="nl-NL"/>
        </w:rPr>
        <w:t>diepere offshorewateren een hogere</w:t>
      </w:r>
      <w:r w:rsidR="00F333BC">
        <w:rPr>
          <w:lang w:val="nl-NL" w:eastAsia="nl-NL"/>
        </w:rPr>
        <w:t xml:space="preserve"> </w:t>
      </w:r>
      <w:r>
        <w:rPr>
          <w:lang w:val="nl-NL" w:eastAsia="nl-NL"/>
        </w:rPr>
        <w:t>b</w:t>
      </w:r>
      <w:r w:rsidRPr="006B42B9">
        <w:rPr>
          <w:lang w:val="nl-NL" w:eastAsia="nl-NL"/>
        </w:rPr>
        <w:t>enthoskwaliteit hebben dan de</w:t>
      </w:r>
      <w:r>
        <w:rPr>
          <w:lang w:val="nl-NL" w:eastAsia="nl-NL"/>
        </w:rPr>
        <w:t xml:space="preserve"> </w:t>
      </w:r>
      <w:r w:rsidRPr="006B42B9">
        <w:rPr>
          <w:lang w:val="nl-NL" w:eastAsia="nl-NL"/>
        </w:rPr>
        <w:t>relatief ondiepere offshorewateren en kustwateren. Uit de nationale</w:t>
      </w:r>
      <w:r>
        <w:rPr>
          <w:lang w:val="nl-NL" w:eastAsia="nl-NL"/>
        </w:rPr>
        <w:t xml:space="preserve"> </w:t>
      </w:r>
      <w:r w:rsidRPr="006B42B9">
        <w:rPr>
          <w:lang w:val="nl-NL" w:eastAsia="nl-NL"/>
        </w:rPr>
        <w:t>beoordeling van de benthosgemeenschappen blijkt dat vooral de</w:t>
      </w:r>
      <w:r>
        <w:rPr>
          <w:lang w:val="nl-NL" w:eastAsia="nl-NL"/>
        </w:rPr>
        <w:t xml:space="preserve"> </w:t>
      </w:r>
      <w:r w:rsidRPr="006B42B9">
        <w:rPr>
          <w:lang w:val="nl-NL" w:eastAsia="nl-NL"/>
        </w:rPr>
        <w:t>langlevende, gevoelige soorten duidelijk minder voorkomen dan is</w:t>
      </w:r>
      <w:r>
        <w:rPr>
          <w:lang w:val="nl-NL" w:eastAsia="nl-NL"/>
        </w:rPr>
        <w:t xml:space="preserve"> </w:t>
      </w:r>
      <w:r w:rsidRPr="006B42B9">
        <w:rPr>
          <w:lang w:val="nl-NL" w:eastAsia="nl-NL"/>
        </w:rPr>
        <w:t>gewenst en ook dat de biodiversiteit nog onvoldoende is.</w:t>
      </w:r>
      <w:r>
        <w:rPr>
          <w:lang w:val="nl-NL" w:eastAsia="nl-NL"/>
        </w:rPr>
        <w:t xml:space="preserve"> </w:t>
      </w:r>
      <w:r w:rsidR="008D6484">
        <w:rPr>
          <w:lang w:val="nl-NL" w:eastAsia="nl-NL"/>
        </w:rPr>
        <w:t>Deze situatie is in belangrijke mate een gevolg van b</w:t>
      </w:r>
      <w:r w:rsidRPr="006B42B9">
        <w:rPr>
          <w:lang w:val="nl-NL" w:eastAsia="nl-NL"/>
        </w:rPr>
        <w:t>odemberoering door de (boomkor)visserij</w:t>
      </w:r>
      <w:r w:rsidR="008D6484">
        <w:rPr>
          <w:lang w:val="nl-NL" w:eastAsia="nl-NL"/>
        </w:rPr>
        <w:t>.</w:t>
      </w:r>
      <w:r w:rsidRPr="006B42B9">
        <w:rPr>
          <w:lang w:val="nl-NL" w:eastAsia="nl-NL"/>
        </w:rPr>
        <w:t xml:space="preserve"> Het is nog te vroeg om de effecten van de (voor)genomen</w:t>
      </w:r>
      <w:r>
        <w:rPr>
          <w:lang w:val="nl-NL" w:eastAsia="nl-NL"/>
        </w:rPr>
        <w:t xml:space="preserve"> </w:t>
      </w:r>
      <w:r w:rsidRPr="006B42B9">
        <w:rPr>
          <w:lang w:val="nl-NL" w:eastAsia="nl-NL"/>
        </w:rPr>
        <w:t>maatregelen te kunnen waarnemen.</w:t>
      </w:r>
      <w:r>
        <w:rPr>
          <w:lang w:val="nl-NL" w:eastAsia="nl-NL"/>
        </w:rPr>
        <w:t xml:space="preserve"> </w:t>
      </w:r>
    </w:p>
    <w:p w:rsidRPr="006B42B9" w:rsidR="0070550F" w:rsidP="0070550F" w:rsidRDefault="0070550F" w14:paraId="5434A5AD" w14:textId="7BE94A7F">
      <w:pPr>
        <w:rPr>
          <w:lang w:val="nl-NL" w:eastAsia="nl-NL"/>
        </w:rPr>
      </w:pPr>
      <w:r w:rsidRPr="006B42B9">
        <w:rPr>
          <w:lang w:val="nl-NL" w:eastAsia="nl-NL"/>
        </w:rPr>
        <w:t>De Habitatrichtlijnrapportage uit 201</w:t>
      </w:r>
      <w:r>
        <w:rPr>
          <w:lang w:val="nl-NL" w:eastAsia="nl-NL"/>
        </w:rPr>
        <w:t>9</w:t>
      </w:r>
      <w:r w:rsidRPr="006B42B9">
        <w:rPr>
          <w:lang w:val="nl-NL" w:eastAsia="nl-NL"/>
        </w:rPr>
        <w:t xml:space="preserve"> </w:t>
      </w:r>
      <w:r w:rsidR="00FF2F23">
        <w:rPr>
          <w:lang w:val="nl-NL" w:eastAsia="nl-NL"/>
        </w:rPr>
        <w:t xml:space="preserve">[13] </w:t>
      </w:r>
      <w:r w:rsidRPr="006B42B9">
        <w:rPr>
          <w:lang w:val="nl-NL" w:eastAsia="nl-NL"/>
        </w:rPr>
        <w:t xml:space="preserve">laat zien dat </w:t>
      </w:r>
      <w:r w:rsidR="008D6484">
        <w:rPr>
          <w:lang w:val="nl-NL" w:eastAsia="nl-NL"/>
        </w:rPr>
        <w:t xml:space="preserve">de verspreiding en </w:t>
      </w:r>
      <w:r w:rsidRPr="006B42B9">
        <w:rPr>
          <w:lang w:val="nl-NL" w:eastAsia="nl-NL"/>
        </w:rPr>
        <w:t xml:space="preserve">het </w:t>
      </w:r>
      <w:r w:rsidR="008D6484">
        <w:rPr>
          <w:lang w:val="nl-NL" w:eastAsia="nl-NL"/>
        </w:rPr>
        <w:t xml:space="preserve">areaal aan </w:t>
      </w:r>
      <w:r w:rsidRPr="006B42B9" w:rsidR="008D6484">
        <w:rPr>
          <w:lang w:val="nl-NL" w:eastAsia="nl-NL"/>
        </w:rPr>
        <w:t>permanent overstroomde</w:t>
      </w:r>
      <w:r w:rsidR="008D6484">
        <w:rPr>
          <w:lang w:val="nl-NL" w:eastAsia="nl-NL"/>
        </w:rPr>
        <w:t xml:space="preserve"> </w:t>
      </w:r>
      <w:r w:rsidRPr="006B42B9" w:rsidR="008D6484">
        <w:rPr>
          <w:lang w:val="nl-NL" w:eastAsia="nl-NL"/>
        </w:rPr>
        <w:t xml:space="preserve">zandbanken </w:t>
      </w:r>
      <w:r w:rsidR="008D6484">
        <w:rPr>
          <w:lang w:val="nl-NL" w:eastAsia="nl-NL"/>
        </w:rPr>
        <w:t>(</w:t>
      </w:r>
      <w:r w:rsidRPr="006B42B9" w:rsidR="008D6484">
        <w:rPr>
          <w:lang w:val="nl-NL" w:eastAsia="nl-NL"/>
        </w:rPr>
        <w:t xml:space="preserve">habitattype 1110) </w:t>
      </w:r>
      <w:r w:rsidRPr="006B42B9">
        <w:rPr>
          <w:lang w:val="nl-NL" w:eastAsia="nl-NL"/>
        </w:rPr>
        <w:t xml:space="preserve">en </w:t>
      </w:r>
      <w:r w:rsidR="008D6484">
        <w:rPr>
          <w:lang w:val="nl-NL" w:eastAsia="nl-NL"/>
        </w:rPr>
        <w:t xml:space="preserve">riffen (habitattype </w:t>
      </w:r>
      <w:r w:rsidRPr="006B42B9">
        <w:rPr>
          <w:lang w:val="nl-NL" w:eastAsia="nl-NL"/>
        </w:rPr>
        <w:t>1170) voldoen, maar dat de kwaliteit van de</w:t>
      </w:r>
      <w:r>
        <w:rPr>
          <w:lang w:val="nl-NL" w:eastAsia="nl-NL"/>
        </w:rPr>
        <w:t xml:space="preserve"> </w:t>
      </w:r>
      <w:r w:rsidRPr="006B42B9">
        <w:rPr>
          <w:lang w:val="nl-NL" w:eastAsia="nl-NL"/>
        </w:rPr>
        <w:t xml:space="preserve">habitats </w:t>
      </w:r>
      <w:r>
        <w:rPr>
          <w:lang w:val="nl-NL" w:eastAsia="nl-NL"/>
        </w:rPr>
        <w:t xml:space="preserve">achterblijft en </w:t>
      </w:r>
      <w:r w:rsidR="00090BC7">
        <w:rPr>
          <w:lang w:val="nl-NL" w:eastAsia="nl-NL"/>
        </w:rPr>
        <w:t xml:space="preserve">zelfs </w:t>
      </w:r>
      <w:r>
        <w:rPr>
          <w:lang w:val="nl-NL" w:eastAsia="nl-NL"/>
        </w:rPr>
        <w:t xml:space="preserve">als zeer ongunstig is beoordeeld. </w:t>
      </w:r>
    </w:p>
    <w:p w:rsidR="0070550F" w:rsidP="0070550F" w:rsidRDefault="00090BC7" w14:paraId="23A92DBC" w14:textId="77777777">
      <w:pPr>
        <w:rPr>
          <w:lang w:val="nl-NL" w:eastAsia="nl-NL"/>
        </w:rPr>
      </w:pPr>
      <w:r>
        <w:rPr>
          <w:lang w:val="nl-NL" w:eastAsia="nl-NL"/>
        </w:rPr>
        <w:t xml:space="preserve">De </w:t>
      </w:r>
      <w:r w:rsidR="00A46F3E">
        <w:rPr>
          <w:lang w:val="nl-NL" w:eastAsia="nl-NL"/>
        </w:rPr>
        <w:t xml:space="preserve">goede </w:t>
      </w:r>
      <w:r>
        <w:rPr>
          <w:lang w:val="nl-NL" w:eastAsia="nl-NL"/>
        </w:rPr>
        <w:t xml:space="preserve">milieutoestand voor benthische habitats </w:t>
      </w:r>
      <w:r w:rsidR="00A46F3E">
        <w:rPr>
          <w:lang w:val="nl-NL" w:eastAsia="nl-NL"/>
        </w:rPr>
        <w:t xml:space="preserve">is </w:t>
      </w:r>
      <w:r w:rsidR="00CB6B46">
        <w:rPr>
          <w:lang w:val="nl-NL" w:eastAsia="nl-NL"/>
        </w:rPr>
        <w:t xml:space="preserve">nog </w:t>
      </w:r>
      <w:r w:rsidR="00A46F3E">
        <w:rPr>
          <w:lang w:val="nl-NL" w:eastAsia="nl-NL"/>
        </w:rPr>
        <w:t>niet bereikt</w:t>
      </w:r>
      <w:r>
        <w:rPr>
          <w:lang w:val="nl-NL" w:eastAsia="nl-NL"/>
        </w:rPr>
        <w:t xml:space="preserve">, </w:t>
      </w:r>
      <w:r w:rsidR="00CF7F35">
        <w:rPr>
          <w:lang w:val="nl-NL" w:eastAsia="nl-NL"/>
        </w:rPr>
        <w:t>met</w:t>
      </w:r>
      <w:r>
        <w:rPr>
          <w:lang w:val="nl-NL" w:eastAsia="nl-NL"/>
        </w:rPr>
        <w:t xml:space="preserve"> de kanttekening dat voor een deel van de Nederlandse Noordzee nog geen uitspraken kunnen worden gedaan als gevolg van kennisleemten</w:t>
      </w:r>
      <w:r w:rsidRPr="006B42B9" w:rsidR="0070550F">
        <w:rPr>
          <w:lang w:val="nl-NL" w:eastAsia="nl-NL"/>
        </w:rPr>
        <w:t>.</w:t>
      </w:r>
    </w:p>
    <w:p w:rsidRPr="00BA70D2" w:rsidR="0070550F" w:rsidP="0070550F" w:rsidRDefault="0070550F" w14:paraId="38BC0939" w14:textId="77777777">
      <w:pPr>
        <w:rPr>
          <w:i/>
          <w:lang w:val="nl-NL" w:eastAsia="nl-NL"/>
        </w:rPr>
      </w:pPr>
      <w:r w:rsidRPr="00BA70D2">
        <w:rPr>
          <w:i/>
          <w:lang w:val="nl-NL" w:eastAsia="nl-NL"/>
        </w:rPr>
        <w:t>Fysieke verstoring</w:t>
      </w:r>
    </w:p>
    <w:p w:rsidRPr="00BA70D2" w:rsidR="007D682C" w:rsidP="007D682C" w:rsidRDefault="00CB6B46" w14:paraId="20BE08F2" w14:textId="77777777">
      <w:pPr>
        <w:rPr>
          <w:lang w:val="nl-NL" w:eastAsia="nl-NL"/>
        </w:rPr>
      </w:pPr>
      <w:r>
        <w:rPr>
          <w:lang w:val="nl-NL" w:eastAsia="nl-NL"/>
        </w:rPr>
        <w:t>O</w:t>
      </w:r>
      <w:r w:rsidRPr="00BA70D2">
        <w:rPr>
          <w:lang w:val="nl-NL" w:eastAsia="nl-NL"/>
        </w:rPr>
        <w:t xml:space="preserve">ngeveer 54 procent van de bodem van de (internationale) Noordzee is verstoord. </w:t>
      </w:r>
      <w:r>
        <w:rPr>
          <w:lang w:val="nl-NL" w:eastAsia="nl-NL"/>
        </w:rPr>
        <w:t>Dit blijkt uit d</w:t>
      </w:r>
      <w:r w:rsidRPr="00BA70D2">
        <w:rPr>
          <w:lang w:val="nl-NL" w:eastAsia="nl-NL"/>
        </w:rPr>
        <w:t xml:space="preserve">e </w:t>
      </w:r>
      <w:r w:rsidRPr="00AF1E71">
        <w:rPr>
          <w:i/>
          <w:iCs/>
          <w:lang w:val="nl-NL" w:eastAsia="nl-NL"/>
        </w:rPr>
        <w:t>Fishing Pressure Indicator</w:t>
      </w:r>
      <w:r>
        <w:rPr>
          <w:lang w:val="nl-NL" w:eastAsia="nl-NL"/>
        </w:rPr>
        <w:t>, de indicator voor visserijdruk</w:t>
      </w:r>
      <w:r w:rsidR="002346D8">
        <w:rPr>
          <w:lang w:val="nl-NL" w:eastAsia="nl-NL"/>
        </w:rPr>
        <w:t xml:space="preserve"> </w:t>
      </w:r>
      <w:r>
        <w:rPr>
          <w:lang w:val="nl-NL" w:eastAsia="nl-NL"/>
        </w:rPr>
        <w:t xml:space="preserve">(beoordelingsjaar 2015; zie ook Mariene Strategie, deel 1 (2018)). </w:t>
      </w:r>
      <w:r w:rsidRPr="00BA70D2">
        <w:rPr>
          <w:lang w:val="nl-NL" w:eastAsia="nl-NL"/>
        </w:rPr>
        <w:t>Omdat nog geen grenswaarde</w:t>
      </w:r>
      <w:r>
        <w:rPr>
          <w:lang w:val="nl-NL" w:eastAsia="nl-NL"/>
        </w:rPr>
        <w:t>n</w:t>
      </w:r>
      <w:r w:rsidRPr="00BA70D2">
        <w:rPr>
          <w:lang w:val="nl-NL" w:eastAsia="nl-NL"/>
        </w:rPr>
        <w:t xml:space="preserve"> zijn gesteld, </w:t>
      </w:r>
      <w:r w:rsidRPr="00CB6B46">
        <w:rPr>
          <w:lang w:val="nl-NL" w:eastAsia="nl-NL"/>
        </w:rPr>
        <w:t>kan niet worden beoordeeld of en in welke mate wordt voldaan aan de goede milieutoestand.</w:t>
      </w:r>
      <w:r w:rsidRPr="00BA70D2">
        <w:rPr>
          <w:lang w:val="nl-NL" w:eastAsia="nl-NL"/>
        </w:rPr>
        <w:t xml:space="preserve"> </w:t>
      </w:r>
      <w:r w:rsidRPr="00A240D2" w:rsidR="007D682C">
        <w:rPr>
          <w:lang w:val="nl-NL" w:eastAsia="nl-NL"/>
        </w:rPr>
        <w:t>In vergelijking met de gehele</w:t>
      </w:r>
      <w:r w:rsidR="007D682C">
        <w:rPr>
          <w:lang w:val="nl-NL" w:eastAsia="nl-NL"/>
        </w:rPr>
        <w:t xml:space="preserve"> </w:t>
      </w:r>
      <w:r w:rsidRPr="00A240D2" w:rsidR="007D682C">
        <w:rPr>
          <w:lang w:val="nl-NL" w:eastAsia="nl-NL"/>
        </w:rPr>
        <w:t>Noordzee is het Nederlandse deel meer verstoord</w:t>
      </w:r>
      <w:r w:rsidR="007D682C">
        <w:rPr>
          <w:lang w:val="nl-NL" w:eastAsia="nl-NL"/>
        </w:rPr>
        <w:t>.</w:t>
      </w:r>
    </w:p>
    <w:p w:rsidRPr="00BA70D2" w:rsidR="0070550F" w:rsidP="0070550F" w:rsidRDefault="0070550F" w14:paraId="71F2FC1C" w14:textId="77777777">
      <w:pPr>
        <w:rPr>
          <w:i/>
          <w:lang w:val="nl-NL" w:eastAsia="nl-NL"/>
        </w:rPr>
      </w:pPr>
      <w:r w:rsidRPr="00BA70D2">
        <w:rPr>
          <w:i/>
          <w:lang w:val="nl-NL" w:eastAsia="nl-NL"/>
        </w:rPr>
        <w:t>Fysiek verlies</w:t>
      </w:r>
    </w:p>
    <w:p w:rsidRPr="005D5446" w:rsidR="0070550F" w:rsidP="0070550F" w:rsidRDefault="0070550F" w14:paraId="2E493C17" w14:textId="77777777">
      <w:pPr>
        <w:rPr>
          <w:lang w:val="nl-NL" w:eastAsia="nl-NL"/>
        </w:rPr>
      </w:pPr>
      <w:r w:rsidRPr="005D5446">
        <w:rPr>
          <w:lang w:val="nl-NL" w:eastAsia="nl-NL"/>
        </w:rPr>
        <w:t>Fysieke schade door platforms voor olie- en gaswinning, nieuwe</w:t>
      </w:r>
      <w:r>
        <w:rPr>
          <w:lang w:val="nl-NL" w:eastAsia="nl-NL"/>
        </w:rPr>
        <w:t xml:space="preserve"> </w:t>
      </w:r>
      <w:r w:rsidRPr="005D5446">
        <w:rPr>
          <w:lang w:val="nl-NL" w:eastAsia="nl-NL"/>
        </w:rPr>
        <w:t xml:space="preserve">windparken of </w:t>
      </w:r>
      <w:r w:rsidR="00566FFC">
        <w:rPr>
          <w:lang w:val="nl-NL" w:eastAsia="nl-NL"/>
        </w:rPr>
        <w:t xml:space="preserve">het verdwijnen van zeebodem door </w:t>
      </w:r>
      <w:r w:rsidRPr="005D5446">
        <w:rPr>
          <w:lang w:val="nl-NL" w:eastAsia="nl-NL"/>
        </w:rPr>
        <w:t>landaanwinning</w:t>
      </w:r>
      <w:r w:rsidR="00E41A13">
        <w:rPr>
          <w:lang w:val="nl-NL" w:eastAsia="nl-NL"/>
        </w:rPr>
        <w:t>,</w:t>
      </w:r>
      <w:r w:rsidRPr="005D5446">
        <w:rPr>
          <w:lang w:val="nl-NL" w:eastAsia="nl-NL"/>
        </w:rPr>
        <w:t xml:space="preserve"> </w:t>
      </w:r>
      <w:r w:rsidR="00CF7F35">
        <w:rPr>
          <w:lang w:val="nl-NL" w:eastAsia="nl-NL"/>
        </w:rPr>
        <w:t>is</w:t>
      </w:r>
      <w:r w:rsidR="00566FFC">
        <w:rPr>
          <w:lang w:val="nl-NL" w:eastAsia="nl-NL"/>
        </w:rPr>
        <w:t xml:space="preserve"> </w:t>
      </w:r>
      <w:r w:rsidRPr="005D5446">
        <w:rPr>
          <w:lang w:val="nl-NL" w:eastAsia="nl-NL"/>
        </w:rPr>
        <w:t>lokaal</w:t>
      </w:r>
      <w:r w:rsidR="00566FFC">
        <w:rPr>
          <w:lang w:val="nl-NL" w:eastAsia="nl-NL"/>
        </w:rPr>
        <w:t xml:space="preserve"> van aard </w:t>
      </w:r>
      <w:r w:rsidRPr="005D5446">
        <w:rPr>
          <w:lang w:val="nl-NL" w:eastAsia="nl-NL"/>
        </w:rPr>
        <w:t>en</w:t>
      </w:r>
      <w:r>
        <w:rPr>
          <w:lang w:val="nl-NL" w:eastAsia="nl-NL"/>
        </w:rPr>
        <w:t xml:space="preserve"> </w:t>
      </w:r>
      <w:r w:rsidRPr="005D5446">
        <w:rPr>
          <w:lang w:val="nl-NL" w:eastAsia="nl-NL"/>
        </w:rPr>
        <w:t>relatief gering. Al deze activiteiten zijn</w:t>
      </w:r>
      <w:r>
        <w:rPr>
          <w:lang w:val="nl-NL" w:eastAsia="nl-NL"/>
        </w:rPr>
        <w:t xml:space="preserve"> </w:t>
      </w:r>
      <w:r w:rsidRPr="005D5446">
        <w:rPr>
          <w:lang w:val="nl-NL" w:eastAsia="nl-NL"/>
        </w:rPr>
        <w:t>vergunningplichtig en doorlopen</w:t>
      </w:r>
      <w:r>
        <w:rPr>
          <w:lang w:val="nl-NL" w:eastAsia="nl-NL"/>
        </w:rPr>
        <w:t xml:space="preserve"> </w:t>
      </w:r>
      <w:r w:rsidRPr="005D5446">
        <w:rPr>
          <w:lang w:val="nl-NL" w:eastAsia="nl-NL"/>
        </w:rPr>
        <w:t xml:space="preserve">een </w:t>
      </w:r>
      <w:r>
        <w:rPr>
          <w:lang w:val="nl-NL" w:eastAsia="nl-NL"/>
        </w:rPr>
        <w:t>M.E.R.-</w:t>
      </w:r>
      <w:r w:rsidRPr="005D5446">
        <w:rPr>
          <w:lang w:val="nl-NL" w:eastAsia="nl-NL"/>
        </w:rPr>
        <w:t>procedure.</w:t>
      </w:r>
    </w:p>
    <w:p w:rsidRPr="005D5446" w:rsidR="0070550F" w:rsidP="0070550F" w:rsidRDefault="0070550F" w14:paraId="3F667DFB" w14:textId="77777777">
      <w:pPr>
        <w:rPr>
          <w:lang w:val="nl-NL" w:eastAsia="nl-NL"/>
        </w:rPr>
      </w:pPr>
      <w:r w:rsidRPr="005D5446">
        <w:rPr>
          <w:lang w:val="nl-NL" w:eastAsia="nl-NL"/>
        </w:rPr>
        <w:t>V</w:t>
      </w:r>
      <w:r w:rsidR="00566FFC">
        <w:rPr>
          <w:lang w:val="nl-NL" w:eastAsia="nl-NL"/>
        </w:rPr>
        <w:t>anwege de geringe omvang</w:t>
      </w:r>
      <w:r w:rsidR="00CF7F35">
        <w:rPr>
          <w:lang w:val="nl-NL" w:eastAsia="nl-NL"/>
        </w:rPr>
        <w:t xml:space="preserve"> van de schade</w:t>
      </w:r>
      <w:r w:rsidR="00566FFC">
        <w:rPr>
          <w:lang w:val="nl-NL" w:eastAsia="nl-NL"/>
        </w:rPr>
        <w:t xml:space="preserve"> v</w:t>
      </w:r>
      <w:r w:rsidRPr="005D5446">
        <w:rPr>
          <w:lang w:val="nl-NL" w:eastAsia="nl-NL"/>
        </w:rPr>
        <w:t xml:space="preserve">oldoet </w:t>
      </w:r>
      <w:r w:rsidR="00566FFC">
        <w:rPr>
          <w:lang w:val="nl-NL" w:eastAsia="nl-NL"/>
        </w:rPr>
        <w:t xml:space="preserve">de </w:t>
      </w:r>
      <w:r w:rsidR="00A5499E">
        <w:rPr>
          <w:lang w:val="nl-NL" w:eastAsia="nl-NL"/>
        </w:rPr>
        <w:t xml:space="preserve">huidige milieutoestand voor ‘fysiek verlies’ </w:t>
      </w:r>
      <w:r w:rsidRPr="005D5446">
        <w:rPr>
          <w:lang w:val="nl-NL" w:eastAsia="nl-NL"/>
        </w:rPr>
        <w:t xml:space="preserve">aan </w:t>
      </w:r>
      <w:r w:rsidR="00CF7F35">
        <w:rPr>
          <w:lang w:val="nl-NL" w:eastAsia="nl-NL"/>
        </w:rPr>
        <w:t xml:space="preserve">de </w:t>
      </w:r>
      <w:r w:rsidR="00A46F3E">
        <w:rPr>
          <w:lang w:val="nl-NL" w:eastAsia="nl-NL"/>
        </w:rPr>
        <w:t>goede milieutoestand</w:t>
      </w:r>
      <w:r w:rsidR="00A5499E">
        <w:rPr>
          <w:lang w:val="nl-NL" w:eastAsia="nl-NL"/>
        </w:rPr>
        <w:t xml:space="preserve">. </w:t>
      </w:r>
    </w:p>
    <w:p w:rsidRPr="00B96268" w:rsidR="0070550F" w:rsidP="0070550F" w:rsidRDefault="0070550F" w14:paraId="3B10A663" w14:textId="77777777">
      <w:pPr>
        <w:pStyle w:val="TOCHeading"/>
      </w:pPr>
      <w:r w:rsidRPr="00B96268">
        <w:t>Geïmplementeerde maatregelen</w:t>
      </w:r>
    </w:p>
    <w:p w:rsidRPr="00FC4BCA" w:rsidR="00DD2AA3" w:rsidP="0070550F" w:rsidRDefault="00E8528B" w14:paraId="0DECA814" w14:textId="4693554C">
      <w:pPr>
        <w:rPr>
          <w:lang w:val="nl-NL" w:eastAsia="nl-NL"/>
        </w:rPr>
      </w:pPr>
      <w:r w:rsidRPr="00025F9D">
        <w:rPr>
          <w:highlight w:val="green"/>
          <w:lang w:val="nl-NL" w:eastAsia="nl-NL"/>
        </w:rPr>
        <w:t>Voor de Natura 2000-gebieden Noordzeekustzone, Voordelta en de Vlakte van de Raan zijn er instandhoudingsmaatregelen in het toegangbeperkend besluit opgenomen. Voor de Natura 2000-gebieden verder op zee zijnde Doggersbank, Klaverbank, Bruine Bank en Friese Front en de KRM-gebieden Centrale Oestergronden, Borkumse Stenen, Zuidelijke Doggersbank en Friese Front zijn in het kader van Artikel 11 van het Gemeenschappelijk Visserijbeleid internationaal afgestemde instandhoudingsmaatregelen ingediend bij de Europese Commissie</w:t>
      </w:r>
      <w:r w:rsidRPr="00025F9D" w:rsidR="0070550F">
        <w:rPr>
          <w:highlight w:val="green"/>
          <w:lang w:val="nl-NL" w:eastAsia="nl-NL"/>
        </w:rPr>
        <w:t>.</w:t>
      </w:r>
      <w:r w:rsidR="00A5499E">
        <w:rPr>
          <w:lang w:val="nl-NL" w:eastAsia="nl-NL"/>
        </w:rPr>
        <w:t xml:space="preserve"> </w:t>
      </w:r>
      <w:r w:rsidR="00CB6B46">
        <w:rPr>
          <w:lang w:val="nl-NL" w:eastAsia="nl-NL"/>
        </w:rPr>
        <w:t xml:space="preserve">De Commissie dient de gemeenschappelijke aanbevelingen om te zetten in een gedelegeerde handeling. </w:t>
      </w:r>
      <w:r w:rsidR="0070550F">
        <w:rPr>
          <w:lang w:val="nl-NL" w:eastAsia="nl-NL"/>
        </w:rPr>
        <w:t xml:space="preserve">Het gaat om beperkingen </w:t>
      </w:r>
      <w:r w:rsidR="00CF7F35">
        <w:rPr>
          <w:lang w:val="nl-NL" w:eastAsia="nl-NL"/>
        </w:rPr>
        <w:t xml:space="preserve">van </w:t>
      </w:r>
      <w:r w:rsidR="0070550F">
        <w:rPr>
          <w:lang w:val="nl-NL" w:eastAsia="nl-NL"/>
        </w:rPr>
        <w:t xml:space="preserve">de bodemberoerende visserij in de </w:t>
      </w:r>
      <w:r w:rsidR="00CF7F35">
        <w:rPr>
          <w:lang w:val="nl-NL" w:eastAsia="nl-NL"/>
        </w:rPr>
        <w:t>HR</w:t>
      </w:r>
      <w:r w:rsidR="0070550F">
        <w:rPr>
          <w:lang w:val="nl-NL" w:eastAsia="nl-NL"/>
        </w:rPr>
        <w:t xml:space="preserve">- en KRM-gebieden ter bescherming van </w:t>
      </w:r>
      <w:r w:rsidR="00CF7F35">
        <w:rPr>
          <w:lang w:val="nl-NL" w:eastAsia="nl-NL"/>
        </w:rPr>
        <w:t xml:space="preserve">de </w:t>
      </w:r>
      <w:r w:rsidR="0070550F">
        <w:rPr>
          <w:lang w:val="nl-NL" w:eastAsia="nl-NL"/>
        </w:rPr>
        <w:t>bodemhabitat</w:t>
      </w:r>
      <w:r w:rsidR="001C28F7">
        <w:rPr>
          <w:lang w:val="nl-NL" w:eastAsia="nl-NL"/>
        </w:rPr>
        <w:t xml:space="preserve">, </w:t>
      </w:r>
      <w:r w:rsidRPr="00025F9D" w:rsidR="001C28F7">
        <w:rPr>
          <w:highlight w:val="green"/>
          <w:lang w:val="nl-NL" w:eastAsia="nl-NL"/>
        </w:rPr>
        <w:t>en beperkingen voor staandwantvisserij in VRgebieden</w:t>
      </w:r>
      <w:r w:rsidRPr="00025F9D" w:rsidR="00A37920">
        <w:rPr>
          <w:highlight w:val="green"/>
          <w:lang w:val="nl-NL" w:eastAsia="nl-NL"/>
        </w:rPr>
        <w:t xml:space="preserve"> ter bescherming van de aangewezen vogels</w:t>
      </w:r>
      <w:r w:rsidRPr="00025F9D" w:rsidR="001C28F7">
        <w:rPr>
          <w:highlight w:val="green"/>
          <w:lang w:val="nl-NL" w:eastAsia="nl-NL"/>
        </w:rPr>
        <w:t>.</w:t>
      </w:r>
    </w:p>
    <w:p w:rsidRPr="00040B56" w:rsidR="0070550F" w:rsidP="0070550F" w:rsidRDefault="0070550F" w14:paraId="53805998" w14:textId="77777777">
      <w:pPr>
        <w:rPr>
          <w:lang w:val="nl-NL" w:eastAsia="nl-NL"/>
        </w:rPr>
      </w:pPr>
      <w:r w:rsidRPr="00040B56">
        <w:rPr>
          <w:lang w:val="nl-NL" w:eastAsia="nl-NL"/>
        </w:rPr>
        <w:t xml:space="preserve">Grootschalige ingrepen op de Noordzee zoals landaanwinning, zandwinning en </w:t>
      </w:r>
      <w:r w:rsidR="00A5499E">
        <w:rPr>
          <w:lang w:val="nl-NL" w:eastAsia="nl-NL"/>
        </w:rPr>
        <w:t>-</w:t>
      </w:r>
      <w:r w:rsidRPr="00040B56">
        <w:rPr>
          <w:lang w:val="nl-NL" w:eastAsia="nl-NL"/>
        </w:rPr>
        <w:t xml:space="preserve">suppletie en baggeren zijn vergunningplichtig. Hiervoor is een milieueffectrapportage verplicht. De gevolgen van deze ingrepen op </w:t>
      </w:r>
      <w:r w:rsidR="00A5499E">
        <w:rPr>
          <w:lang w:val="nl-NL" w:eastAsia="nl-NL"/>
        </w:rPr>
        <w:t xml:space="preserve">de </w:t>
      </w:r>
      <w:r w:rsidRPr="00040B56">
        <w:rPr>
          <w:lang w:val="nl-NL" w:eastAsia="nl-NL"/>
        </w:rPr>
        <w:t>biodiversiteit worden gemitigeerd of gecompenseerd. Ook a</w:t>
      </w:r>
      <w:r w:rsidRPr="00040B56">
        <w:rPr>
          <w:rFonts w:cs="RijksoverheidSerif"/>
          <w:color w:val="211D1E"/>
          <w:szCs w:val="18"/>
          <w:lang w:val="nl-NL"/>
        </w:rPr>
        <w:t>ctiviteiten waarvan effecten op de Natura 2000-instandhoudingsdoelen niet zijn uit te sluiten</w:t>
      </w:r>
      <w:r w:rsidR="00A5499E">
        <w:rPr>
          <w:rFonts w:cs="RijksoverheidSerif"/>
          <w:color w:val="211D1E"/>
          <w:szCs w:val="18"/>
          <w:lang w:val="nl-NL"/>
        </w:rPr>
        <w:t>,</w:t>
      </w:r>
      <w:r w:rsidRPr="00040B56">
        <w:rPr>
          <w:rFonts w:cs="RijksoverheidSerif"/>
          <w:color w:val="211D1E"/>
          <w:szCs w:val="18"/>
          <w:lang w:val="nl-NL"/>
        </w:rPr>
        <w:t xml:space="preserve"> zijn</w:t>
      </w:r>
      <w:r w:rsidRPr="008F7D4B">
        <w:rPr>
          <w:rFonts w:cs="RijksoverheidSerif"/>
          <w:color w:val="211D1E"/>
          <w:szCs w:val="18"/>
          <w:lang w:val="nl-NL"/>
        </w:rPr>
        <w:t xml:space="preserve"> vergunningplichtig.</w:t>
      </w:r>
    </w:p>
    <w:p w:rsidR="0070550F" w:rsidP="0070550F" w:rsidRDefault="0070550F" w14:paraId="44CCE2AC" w14:textId="77777777">
      <w:pPr>
        <w:pStyle w:val="TOCHeading"/>
      </w:pPr>
      <w:r>
        <w:t>Aanvullende b</w:t>
      </w:r>
      <w:r w:rsidRPr="00B96268">
        <w:t xml:space="preserve">eleidsopgave </w:t>
      </w:r>
    </w:p>
    <w:p w:rsidR="0070550F" w:rsidP="0070550F" w:rsidRDefault="00E41A13" w14:paraId="3AD86F9A" w14:textId="7B4384C8">
      <w:pPr>
        <w:rPr>
          <w:lang w:val="nl-NL" w:eastAsia="nl-NL"/>
        </w:rPr>
      </w:pPr>
      <w:r>
        <w:rPr>
          <w:lang w:val="nl-NL" w:eastAsia="nl-NL"/>
        </w:rPr>
        <w:t>M</w:t>
      </w:r>
      <w:r w:rsidR="0070550F">
        <w:rPr>
          <w:lang w:val="nl-NL" w:eastAsia="nl-NL"/>
        </w:rPr>
        <w:t>ilieudoel D6T1</w:t>
      </w:r>
      <w:r>
        <w:rPr>
          <w:lang w:val="nl-NL" w:eastAsia="nl-NL"/>
        </w:rPr>
        <w:t xml:space="preserve"> luidt:</w:t>
      </w:r>
      <w:r w:rsidR="0070550F">
        <w:rPr>
          <w:lang w:val="nl-NL" w:eastAsia="nl-NL"/>
        </w:rPr>
        <w:t xml:space="preserve"> </w:t>
      </w:r>
      <w:r w:rsidR="005F5515">
        <w:rPr>
          <w:lang w:val="nl-NL" w:eastAsia="nl-NL"/>
        </w:rPr>
        <w:t>’</w:t>
      </w:r>
      <w:r w:rsidR="0070550F">
        <w:rPr>
          <w:lang w:val="nl-NL" w:eastAsia="nl-NL"/>
        </w:rPr>
        <w:t>1</w:t>
      </w:r>
      <w:r w:rsidRPr="008032A8" w:rsidR="0070550F">
        <w:rPr>
          <w:lang w:val="nl-NL" w:eastAsia="nl-NL"/>
        </w:rPr>
        <w:t>0-15 procent van het oppervlak van het Nederlandse deel van de Noordzee wordt niet noemenswaardig beroerd door menselijke activiteiten</w:t>
      </w:r>
      <w:r w:rsidR="00A5499E">
        <w:rPr>
          <w:lang w:val="nl-NL" w:eastAsia="nl-NL"/>
        </w:rPr>
        <w:t>’</w:t>
      </w:r>
      <w:r>
        <w:rPr>
          <w:lang w:val="nl-NL" w:eastAsia="nl-NL"/>
        </w:rPr>
        <w:t>. Om dit milieudoel</w:t>
      </w:r>
      <w:r w:rsidR="0070550F">
        <w:rPr>
          <w:lang w:val="nl-NL" w:eastAsia="nl-NL"/>
        </w:rPr>
        <w:t xml:space="preserve"> verder te realiseren</w:t>
      </w:r>
      <w:r>
        <w:rPr>
          <w:lang w:val="nl-NL" w:eastAsia="nl-NL"/>
        </w:rPr>
        <w:t>,</w:t>
      </w:r>
      <w:r w:rsidR="0070550F">
        <w:rPr>
          <w:lang w:val="nl-NL" w:eastAsia="nl-NL"/>
        </w:rPr>
        <w:t xml:space="preserve"> zijn aanvullende gebiedsmaatregelen noodzakelijk. </w:t>
      </w:r>
      <w:r w:rsidR="00A5499E">
        <w:rPr>
          <w:lang w:val="nl-NL" w:eastAsia="nl-NL"/>
        </w:rPr>
        <w:t>Di</w:t>
      </w:r>
      <w:r>
        <w:rPr>
          <w:lang w:val="nl-NL" w:eastAsia="nl-NL"/>
        </w:rPr>
        <w:t>t</w:t>
      </w:r>
      <w:r w:rsidR="00A5499E">
        <w:rPr>
          <w:lang w:val="nl-NL" w:eastAsia="nl-NL"/>
        </w:rPr>
        <w:t xml:space="preserve"> is een aanvullende beleidsopgave.</w:t>
      </w:r>
    </w:p>
    <w:p w:rsidR="0070550F" w:rsidP="0070550F" w:rsidRDefault="0070550F" w14:paraId="650D70FE" w14:textId="77777777">
      <w:pPr>
        <w:rPr>
          <w:lang w:val="nl-NL" w:eastAsia="nl-NL"/>
        </w:rPr>
      </w:pPr>
      <w:r>
        <w:rPr>
          <w:lang w:val="nl-NL" w:eastAsia="nl-NL"/>
        </w:rPr>
        <w:t xml:space="preserve">Daarnaast is </w:t>
      </w:r>
      <w:r w:rsidR="00A5499E">
        <w:rPr>
          <w:lang w:val="nl-NL" w:eastAsia="nl-NL"/>
        </w:rPr>
        <w:t xml:space="preserve">met betrekking tot </w:t>
      </w:r>
      <w:r>
        <w:rPr>
          <w:lang w:val="nl-NL" w:eastAsia="nl-NL"/>
        </w:rPr>
        <w:t>cumulatieve effecten</w:t>
      </w:r>
      <w:r w:rsidR="00A5499E">
        <w:rPr>
          <w:lang w:val="nl-NL" w:eastAsia="nl-NL"/>
        </w:rPr>
        <w:t xml:space="preserve"> de kennisopgave geformuleerd om i</w:t>
      </w:r>
      <w:r>
        <w:rPr>
          <w:lang w:val="nl-NL" w:eastAsia="nl-NL"/>
        </w:rPr>
        <w:t>n internationaal verband (EU/OSPAR)</w:t>
      </w:r>
      <w:r w:rsidR="002346D8">
        <w:rPr>
          <w:lang w:val="nl-NL" w:eastAsia="nl-NL"/>
        </w:rPr>
        <w:t xml:space="preserve"> drempelwaarden</w:t>
      </w:r>
      <w:r w:rsidRPr="00AF1E71">
        <w:rPr>
          <w:i/>
          <w:iCs/>
          <w:lang w:val="nl-NL" w:eastAsia="nl-NL"/>
        </w:rPr>
        <w:t xml:space="preserve"> </w:t>
      </w:r>
      <w:r w:rsidR="00A5499E">
        <w:rPr>
          <w:lang w:val="nl-NL" w:eastAsia="nl-NL"/>
        </w:rPr>
        <w:t xml:space="preserve">op te stellen </w:t>
      </w:r>
      <w:r>
        <w:rPr>
          <w:lang w:val="nl-NL" w:eastAsia="nl-NL"/>
        </w:rPr>
        <w:t>voor o</w:t>
      </w:r>
      <w:r w:rsidR="00A5499E">
        <w:rPr>
          <w:lang w:val="nl-NL" w:eastAsia="nl-NL"/>
        </w:rPr>
        <w:t xml:space="preserve">nder andere </w:t>
      </w:r>
      <w:r>
        <w:rPr>
          <w:lang w:val="nl-NL" w:eastAsia="nl-NL"/>
        </w:rPr>
        <w:t xml:space="preserve">bodemberoering (TG-SEABED). </w:t>
      </w:r>
    </w:p>
    <w:p w:rsidR="0070550F" w:rsidP="0070550F" w:rsidRDefault="0070550F" w14:paraId="710E8AAA" w14:textId="77777777">
      <w:pPr>
        <w:pStyle w:val="TOCHeading"/>
      </w:pPr>
      <w:r w:rsidRPr="00B96268">
        <w:t>Aanvullende maatregelen</w:t>
      </w:r>
    </w:p>
    <w:p w:rsidRPr="00BD6215" w:rsidR="0070550F" w:rsidP="0070550F" w:rsidRDefault="0070550F" w14:paraId="76689083" w14:textId="77777777">
      <w:pPr>
        <w:rPr>
          <w:i/>
          <w:lang w:val="nl-NL" w:eastAsia="nl-NL"/>
        </w:rPr>
      </w:pPr>
      <w:r w:rsidRPr="00BD6215">
        <w:rPr>
          <w:i/>
          <w:szCs w:val="18"/>
          <w:lang w:val="nl-NL"/>
        </w:rPr>
        <w:t>Gebiedsmaatregelen N</w:t>
      </w:r>
      <w:r w:rsidR="001F2E94">
        <w:rPr>
          <w:i/>
          <w:szCs w:val="18"/>
          <w:lang w:val="nl-NL"/>
        </w:rPr>
        <w:t>oordzeeakkoord (NZA)</w:t>
      </w:r>
      <w:r w:rsidR="00270725">
        <w:rPr>
          <w:i/>
          <w:szCs w:val="18"/>
          <w:lang w:val="nl-NL"/>
        </w:rPr>
        <w:t xml:space="preserve"> </w:t>
      </w:r>
      <w:r w:rsidRPr="00270725" w:rsidR="00270725">
        <w:rPr>
          <w:szCs w:val="18"/>
          <w:lang w:val="nl-NL"/>
        </w:rPr>
        <w:t>[16]</w:t>
      </w:r>
    </w:p>
    <w:p w:rsidR="0070550F" w:rsidP="00746E9B" w:rsidRDefault="0070550F" w14:paraId="651F46B6" w14:textId="77777777">
      <w:pPr>
        <w:pStyle w:val="ListParagraph"/>
        <w:numPr>
          <w:ilvl w:val="0"/>
          <w:numId w:val="24"/>
        </w:numPr>
        <w:rPr>
          <w:szCs w:val="18"/>
          <w:lang w:val="nl-NL"/>
        </w:rPr>
      </w:pPr>
      <w:r w:rsidRPr="00793FEA">
        <w:rPr>
          <w:szCs w:val="18"/>
          <w:lang w:val="nl-NL"/>
        </w:rPr>
        <w:t>In het NZA is afgesproken dat</w:t>
      </w:r>
      <w:r w:rsidR="001F2E94">
        <w:rPr>
          <w:szCs w:val="18"/>
          <w:lang w:val="nl-NL"/>
        </w:rPr>
        <w:t xml:space="preserve"> in </w:t>
      </w:r>
      <w:r w:rsidRPr="00793FEA" w:rsidR="001F2E94">
        <w:rPr>
          <w:szCs w:val="18"/>
          <w:lang w:val="nl-NL"/>
        </w:rPr>
        <w:t xml:space="preserve">2023 </w:t>
      </w:r>
      <w:r w:rsidRPr="00793FEA">
        <w:rPr>
          <w:szCs w:val="18"/>
          <w:lang w:val="nl-NL"/>
        </w:rPr>
        <w:t xml:space="preserve">in </w:t>
      </w:r>
      <w:r w:rsidR="001F2E94">
        <w:rPr>
          <w:szCs w:val="18"/>
          <w:lang w:val="nl-NL"/>
        </w:rPr>
        <w:t xml:space="preserve">de Nederlandse Noordzee </w:t>
      </w:r>
      <w:r w:rsidRPr="00793FEA">
        <w:rPr>
          <w:szCs w:val="18"/>
          <w:lang w:val="nl-NL"/>
        </w:rPr>
        <w:t>13,7</w:t>
      </w:r>
      <w:r w:rsidR="001F2E94">
        <w:rPr>
          <w:szCs w:val="18"/>
          <w:lang w:val="nl-NL"/>
        </w:rPr>
        <w:t xml:space="preserve"> procent</w:t>
      </w:r>
      <w:r w:rsidRPr="00793FEA">
        <w:rPr>
          <w:szCs w:val="18"/>
          <w:lang w:val="nl-NL"/>
        </w:rPr>
        <w:t xml:space="preserve"> van de ecologisch waardevolle gebieden volledig </w:t>
      </w:r>
      <w:r w:rsidR="001F2E94">
        <w:rPr>
          <w:szCs w:val="18"/>
          <w:lang w:val="nl-NL"/>
        </w:rPr>
        <w:t xml:space="preserve">is </w:t>
      </w:r>
      <w:r w:rsidRPr="00793FEA">
        <w:rPr>
          <w:szCs w:val="18"/>
          <w:lang w:val="nl-NL"/>
        </w:rPr>
        <w:t>gevrijwaard van bodemberoering door visserij. Dit percentage loopt op naar 15</w:t>
      </w:r>
      <w:r w:rsidR="001F2E94">
        <w:rPr>
          <w:szCs w:val="18"/>
          <w:lang w:val="nl-NL"/>
        </w:rPr>
        <w:t xml:space="preserve"> procent</w:t>
      </w:r>
      <w:r w:rsidRPr="00793FEA">
        <w:rPr>
          <w:szCs w:val="18"/>
          <w:lang w:val="nl-NL"/>
        </w:rPr>
        <w:t xml:space="preserve"> in 2030. </w:t>
      </w:r>
      <w:r w:rsidR="001F2E94">
        <w:rPr>
          <w:szCs w:val="18"/>
          <w:lang w:val="nl-NL"/>
        </w:rPr>
        <w:t xml:space="preserve">Binnen dit areaal </w:t>
      </w:r>
      <w:r w:rsidRPr="00793FEA">
        <w:rPr>
          <w:szCs w:val="18"/>
          <w:lang w:val="nl-NL"/>
        </w:rPr>
        <w:t>zal een gebied ter grootte van 2,8</w:t>
      </w:r>
      <w:r w:rsidR="001F2E94">
        <w:rPr>
          <w:szCs w:val="18"/>
          <w:lang w:val="nl-NL"/>
        </w:rPr>
        <w:t xml:space="preserve"> procent</w:t>
      </w:r>
      <w:r w:rsidRPr="00793FEA">
        <w:rPr>
          <w:szCs w:val="18"/>
          <w:lang w:val="nl-NL"/>
        </w:rPr>
        <w:t xml:space="preserve"> van de Noordzee worden gesloten voor alle vormen van visserij. </w:t>
      </w:r>
      <w:r w:rsidRPr="00F56B60">
        <w:rPr>
          <w:szCs w:val="18"/>
          <w:lang w:val="nl-NL"/>
        </w:rPr>
        <w:t>De gebiedsmaatregelen zijn vastgelegd in het NZA</w:t>
      </w:r>
      <w:r w:rsidR="00363593">
        <w:rPr>
          <w:szCs w:val="18"/>
          <w:lang w:val="nl-NL"/>
        </w:rPr>
        <w:t>,</w:t>
      </w:r>
      <w:r w:rsidRPr="00F56B60">
        <w:rPr>
          <w:szCs w:val="18"/>
          <w:lang w:val="nl-NL"/>
        </w:rPr>
        <w:t xml:space="preserve"> maar nog niet volledig geïmplementeerd</w:t>
      </w:r>
      <w:r w:rsidRPr="00793FEA">
        <w:rPr>
          <w:szCs w:val="18"/>
          <w:lang w:val="nl-NL"/>
        </w:rPr>
        <w:t xml:space="preserve">. </w:t>
      </w:r>
    </w:p>
    <w:p w:rsidRPr="00F56B60" w:rsidR="0070550F" w:rsidP="00746E9B" w:rsidRDefault="0070550F" w14:paraId="7B9F0260" w14:textId="77777777">
      <w:pPr>
        <w:pStyle w:val="ListParagraph"/>
        <w:numPr>
          <w:ilvl w:val="0"/>
          <w:numId w:val="24"/>
        </w:numPr>
        <w:rPr>
          <w:i/>
          <w:iCs/>
          <w:szCs w:val="18"/>
          <w:lang w:val="nl-NL"/>
        </w:rPr>
      </w:pPr>
      <w:r w:rsidRPr="00F56B60">
        <w:rPr>
          <w:i/>
          <w:iCs/>
          <w:szCs w:val="18"/>
          <w:lang w:val="nl-NL"/>
        </w:rPr>
        <w:t xml:space="preserve">Uitbreiding </w:t>
      </w:r>
      <w:r w:rsidR="00363593">
        <w:rPr>
          <w:i/>
          <w:iCs/>
          <w:szCs w:val="18"/>
          <w:lang w:val="nl-NL"/>
        </w:rPr>
        <w:t>N</w:t>
      </w:r>
      <w:r w:rsidRPr="00F56B60">
        <w:rPr>
          <w:i/>
          <w:iCs/>
          <w:szCs w:val="18"/>
          <w:lang w:val="nl-NL"/>
        </w:rPr>
        <w:t>atura 2000</w:t>
      </w:r>
      <w:r w:rsidR="00363593">
        <w:rPr>
          <w:i/>
          <w:iCs/>
          <w:szCs w:val="18"/>
          <w:lang w:val="nl-NL"/>
        </w:rPr>
        <w:t>-</w:t>
      </w:r>
      <w:r w:rsidRPr="00F56B60">
        <w:rPr>
          <w:i/>
          <w:iCs/>
          <w:szCs w:val="18"/>
          <w:lang w:val="nl-NL"/>
        </w:rPr>
        <w:t>gebied</w:t>
      </w:r>
      <w:r w:rsidR="00363593">
        <w:rPr>
          <w:i/>
          <w:iCs/>
          <w:szCs w:val="18"/>
          <w:lang w:val="nl-NL"/>
        </w:rPr>
        <w:t>,</w:t>
      </w:r>
      <w:r w:rsidRPr="00F56B60">
        <w:rPr>
          <w:i/>
          <w:iCs/>
          <w:szCs w:val="18"/>
          <w:lang w:val="nl-NL"/>
        </w:rPr>
        <w:t xml:space="preserve"> beperkingen visserij Doggersbank en verschuiving managementzones Klaverbank</w:t>
      </w:r>
    </w:p>
    <w:p w:rsidRPr="001B6BC0" w:rsidR="0070550F" w:rsidP="001B6BC0" w:rsidRDefault="0070550F" w14:paraId="78A709A5" w14:textId="09E9CC11">
      <w:pPr>
        <w:pStyle w:val="ListParagraph"/>
        <w:rPr>
          <w:iCs/>
          <w:lang w:val="nl-NL"/>
        </w:rPr>
      </w:pPr>
      <w:r w:rsidRPr="00793FEA">
        <w:rPr>
          <w:szCs w:val="18"/>
          <w:lang w:val="nl-NL"/>
        </w:rPr>
        <w:t xml:space="preserve">In het NZA is </w:t>
      </w:r>
      <w:r w:rsidRPr="00025F9D" w:rsidR="006D4863">
        <w:rPr>
          <w:szCs w:val="18"/>
          <w:highlight w:val="green"/>
          <w:lang w:val="nl-NL"/>
        </w:rPr>
        <w:t xml:space="preserve">afgesproken </w:t>
      </w:r>
      <w:r w:rsidRPr="00F837E6" w:rsidR="00F837E6">
        <w:rPr>
          <w:szCs w:val="18"/>
          <w:highlight w:val="red"/>
          <w:lang w:val="nl-NL"/>
        </w:rPr>
        <w:t>aangekondigd</w:t>
      </w:r>
      <w:r w:rsidR="00F837E6">
        <w:rPr>
          <w:szCs w:val="18"/>
          <w:lang w:val="nl-NL"/>
        </w:rPr>
        <w:t xml:space="preserve"> </w:t>
      </w:r>
      <w:r w:rsidRPr="00793FEA">
        <w:rPr>
          <w:szCs w:val="18"/>
          <w:lang w:val="nl-NL"/>
        </w:rPr>
        <w:t xml:space="preserve">dat </w:t>
      </w:r>
      <w:r w:rsidR="001F2E94">
        <w:rPr>
          <w:szCs w:val="18"/>
          <w:lang w:val="nl-NL"/>
        </w:rPr>
        <w:t xml:space="preserve">op de Doggersbank </w:t>
      </w:r>
      <w:r w:rsidRPr="00793FEA">
        <w:rPr>
          <w:szCs w:val="18"/>
          <w:lang w:val="nl-NL"/>
        </w:rPr>
        <w:t xml:space="preserve">het gebied </w:t>
      </w:r>
      <w:r w:rsidR="001F2E94">
        <w:rPr>
          <w:szCs w:val="18"/>
          <w:lang w:val="nl-NL"/>
        </w:rPr>
        <w:t>waar</w:t>
      </w:r>
      <w:r w:rsidRPr="00793FEA" w:rsidR="001F2E94">
        <w:rPr>
          <w:szCs w:val="18"/>
          <w:lang w:val="nl-NL"/>
        </w:rPr>
        <w:t xml:space="preserve"> </w:t>
      </w:r>
      <w:r w:rsidRPr="00793FEA">
        <w:rPr>
          <w:szCs w:val="18"/>
          <w:lang w:val="nl-NL"/>
        </w:rPr>
        <w:t xml:space="preserve">bodemberoerende visserij </w:t>
      </w:r>
      <w:r w:rsidR="001F2E94">
        <w:rPr>
          <w:szCs w:val="18"/>
          <w:lang w:val="nl-NL"/>
        </w:rPr>
        <w:t xml:space="preserve">is verboden </w:t>
      </w:r>
      <w:r w:rsidRPr="00793FEA">
        <w:rPr>
          <w:szCs w:val="18"/>
          <w:lang w:val="nl-NL"/>
        </w:rPr>
        <w:t xml:space="preserve">met </w:t>
      </w:r>
      <w:r w:rsidRPr="00025F9D" w:rsidR="005D16E2">
        <w:rPr>
          <w:szCs w:val="18"/>
          <w:highlight w:val="green"/>
          <w:lang w:val="nl-NL"/>
        </w:rPr>
        <w:t>ca.</w:t>
      </w:r>
      <w:r w:rsidR="005D16E2">
        <w:rPr>
          <w:szCs w:val="18"/>
          <w:lang w:val="nl-NL"/>
        </w:rPr>
        <w:t xml:space="preserve"> </w:t>
      </w:r>
      <w:r w:rsidRPr="00793FEA">
        <w:rPr>
          <w:szCs w:val="18"/>
          <w:lang w:val="nl-NL"/>
        </w:rPr>
        <w:t>557 km</w:t>
      </w:r>
      <w:r w:rsidRPr="00AF1E71">
        <w:rPr>
          <w:szCs w:val="18"/>
          <w:vertAlign w:val="superscript"/>
          <w:lang w:val="nl-NL"/>
        </w:rPr>
        <w:t>2</w:t>
      </w:r>
      <w:r w:rsidR="001F2E94">
        <w:rPr>
          <w:szCs w:val="18"/>
          <w:lang w:val="nl-NL"/>
        </w:rPr>
        <w:t xml:space="preserve"> wordt uitgebreid</w:t>
      </w:r>
      <w:r w:rsidRPr="00793FEA">
        <w:rPr>
          <w:szCs w:val="18"/>
          <w:lang w:val="nl-NL"/>
        </w:rPr>
        <w:t xml:space="preserve">. </w:t>
      </w:r>
      <w:r>
        <w:rPr>
          <w:szCs w:val="18"/>
          <w:lang w:val="nl-NL"/>
        </w:rPr>
        <w:t>Hiervoor zal de grens van het N</w:t>
      </w:r>
      <w:r w:rsidRPr="00793FEA">
        <w:rPr>
          <w:szCs w:val="18"/>
          <w:lang w:val="nl-NL"/>
        </w:rPr>
        <w:t>atura</w:t>
      </w:r>
      <w:r w:rsidR="00363593">
        <w:rPr>
          <w:szCs w:val="18"/>
          <w:lang w:val="nl-NL"/>
        </w:rPr>
        <w:t>-</w:t>
      </w:r>
      <w:r w:rsidRPr="00793FEA">
        <w:rPr>
          <w:szCs w:val="18"/>
          <w:lang w:val="nl-NL"/>
        </w:rPr>
        <w:t xml:space="preserve">2000 </w:t>
      </w:r>
      <w:r>
        <w:rPr>
          <w:szCs w:val="18"/>
          <w:lang w:val="nl-NL"/>
        </w:rPr>
        <w:t xml:space="preserve">gebied </w:t>
      </w:r>
      <w:r w:rsidRPr="00793FEA">
        <w:rPr>
          <w:szCs w:val="18"/>
          <w:lang w:val="nl-NL"/>
        </w:rPr>
        <w:t>Doggersbank moeten worden</w:t>
      </w:r>
      <w:r w:rsidR="008E0F43">
        <w:rPr>
          <w:szCs w:val="18"/>
          <w:lang w:val="nl-NL"/>
        </w:rPr>
        <w:t xml:space="preserve"> </w:t>
      </w:r>
      <w:r w:rsidRPr="00793FEA" w:rsidR="008E0F43">
        <w:rPr>
          <w:szCs w:val="18"/>
          <w:lang w:val="nl-NL"/>
        </w:rPr>
        <w:t>verruimd</w:t>
      </w:r>
      <w:r w:rsidRPr="00793FEA">
        <w:rPr>
          <w:szCs w:val="18"/>
          <w:lang w:val="nl-NL"/>
        </w:rPr>
        <w:t xml:space="preserve">. </w:t>
      </w:r>
      <w:r w:rsidRPr="00025F9D" w:rsidR="0033013C">
        <w:rPr>
          <w:highlight w:val="green"/>
          <w:lang w:val="nl-NL"/>
        </w:rPr>
        <w:t xml:space="preserve">Na nader onderzoek </w:t>
      </w:r>
      <w:r w:rsidRPr="00025F9D" w:rsidR="0095551E">
        <w:rPr>
          <w:highlight w:val="green"/>
          <w:lang w:val="nl-NL"/>
        </w:rPr>
        <w:t xml:space="preserve">en nadere oppervlakte berekeningen </w:t>
      </w:r>
      <w:r w:rsidRPr="00025F9D" w:rsidR="0033013C">
        <w:rPr>
          <w:highlight w:val="green"/>
          <w:lang w:val="nl-NL"/>
        </w:rPr>
        <w:t xml:space="preserve">blijkt </w:t>
      </w:r>
      <w:r w:rsidRPr="00025F9D" w:rsidR="00332A76">
        <w:rPr>
          <w:highlight w:val="green"/>
          <w:lang w:val="nl-NL"/>
        </w:rPr>
        <w:t xml:space="preserve">dat </w:t>
      </w:r>
      <w:r w:rsidRPr="00025F9D" w:rsidR="0033013C">
        <w:rPr>
          <w:highlight w:val="green"/>
          <w:lang w:val="nl-NL"/>
        </w:rPr>
        <w:t>dit gebied (zuidelijke strook onder de Doggersbank) niet voldoet aan het benodigde habitatprofiel</w:t>
      </w:r>
      <w:r w:rsidRPr="00025F9D" w:rsidR="00B51911">
        <w:rPr>
          <w:highlight w:val="green"/>
          <w:lang w:val="nl-NL"/>
        </w:rPr>
        <w:t xml:space="preserve"> en niet kan worden aangewezen onder de N2000-richtlijn</w:t>
      </w:r>
      <w:r w:rsidRPr="00025F9D" w:rsidR="0095551E">
        <w:rPr>
          <w:highlight w:val="green"/>
          <w:lang w:val="nl-NL"/>
        </w:rPr>
        <w:t>, en blijkt dat dit gebied een kleinere oppervlakte beslaat</w:t>
      </w:r>
      <w:r w:rsidRPr="00025F9D" w:rsidR="0033013C">
        <w:rPr>
          <w:highlight w:val="green"/>
          <w:lang w:val="nl-NL"/>
        </w:rPr>
        <w:t xml:space="preserve">. Om het gebied een beschermde status te geven </w:t>
      </w:r>
      <w:r w:rsidRPr="00025F9D" w:rsidR="00893B04">
        <w:rPr>
          <w:highlight w:val="green"/>
          <w:lang w:val="nl-NL"/>
        </w:rPr>
        <w:t>zoals is afgesproken in het NZA</w:t>
      </w:r>
      <w:r w:rsidRPr="00025F9D" w:rsidR="00332A76">
        <w:rPr>
          <w:highlight w:val="green"/>
          <w:lang w:val="nl-NL"/>
        </w:rPr>
        <w:t>,</w:t>
      </w:r>
      <w:r w:rsidRPr="00025F9D" w:rsidR="00893B04">
        <w:rPr>
          <w:highlight w:val="green"/>
          <w:lang w:val="nl-NL"/>
        </w:rPr>
        <w:t xml:space="preserve"> </w:t>
      </w:r>
      <w:r w:rsidRPr="00025F9D" w:rsidR="0033013C">
        <w:rPr>
          <w:highlight w:val="green"/>
          <w:lang w:val="nl-NL"/>
        </w:rPr>
        <w:t xml:space="preserve">wordt </w:t>
      </w:r>
      <w:r w:rsidRPr="00025F9D" w:rsidR="00B51911">
        <w:rPr>
          <w:highlight w:val="green"/>
          <w:lang w:val="nl-NL"/>
        </w:rPr>
        <w:t xml:space="preserve">het </w:t>
      </w:r>
      <w:r w:rsidRPr="00025F9D" w:rsidR="00BC6634">
        <w:rPr>
          <w:highlight w:val="green"/>
          <w:lang w:val="nl-NL"/>
        </w:rPr>
        <w:t>gebied beschermd onder de KRM</w:t>
      </w:r>
      <w:r w:rsidRPr="00025F9D" w:rsidR="0095551E">
        <w:rPr>
          <w:highlight w:val="green"/>
          <w:lang w:val="nl-NL"/>
        </w:rPr>
        <w:t xml:space="preserve"> met een oppervlakte van 530 </w:t>
      </w:r>
      <w:r w:rsidRPr="00025F9D" w:rsidR="00D90F5B">
        <w:rPr>
          <w:szCs w:val="18"/>
          <w:highlight w:val="green"/>
          <w:lang w:val="nl-NL"/>
        </w:rPr>
        <w:t>km</w:t>
      </w:r>
      <w:r w:rsidRPr="00025F9D" w:rsidR="00D90F5B">
        <w:rPr>
          <w:szCs w:val="18"/>
          <w:highlight w:val="green"/>
          <w:vertAlign w:val="superscript"/>
          <w:lang w:val="nl-NL"/>
        </w:rPr>
        <w:t>2</w:t>
      </w:r>
      <w:r w:rsidRPr="00025F9D" w:rsidR="0095551E">
        <w:rPr>
          <w:highlight w:val="green"/>
          <w:lang w:val="nl-NL"/>
        </w:rPr>
        <w:t>.</w:t>
      </w:r>
      <w:r w:rsidRPr="00025F9D" w:rsidR="00332A76">
        <w:rPr>
          <w:highlight w:val="green"/>
          <w:lang w:val="nl-NL"/>
        </w:rPr>
        <w:t xml:space="preserve"> Er verandert niets aan het totaal oppervlakte voor de 15% bodembescherming</w:t>
      </w:r>
      <w:r w:rsidR="00025F9D">
        <w:rPr>
          <w:highlight w:val="green"/>
          <w:lang w:val="nl-NL"/>
        </w:rPr>
        <w:t xml:space="preserve">. </w:t>
      </w:r>
      <w:r w:rsidRPr="00FD3761" w:rsidR="0028017F">
        <w:rPr>
          <w:highlight w:val="red"/>
          <w:lang w:val="nl-NL"/>
        </w:rPr>
        <w:t>Het aanwijzingsbesluit zal worden gewijzigd en ook,</w:t>
      </w:r>
      <w:r w:rsidR="0028017F">
        <w:rPr>
          <w:lang w:val="nl-NL"/>
        </w:rPr>
        <w:t xml:space="preserve"> </w:t>
      </w:r>
      <w:r w:rsidR="0033013C">
        <w:rPr>
          <w:szCs w:val="18"/>
          <w:lang w:val="nl-NL"/>
        </w:rPr>
        <w:t>D</w:t>
      </w:r>
      <w:r w:rsidRPr="00793FEA">
        <w:rPr>
          <w:szCs w:val="18"/>
          <w:lang w:val="nl-NL"/>
        </w:rPr>
        <w:t xml:space="preserve">e </w:t>
      </w:r>
      <w:r w:rsidR="00C65D24">
        <w:rPr>
          <w:szCs w:val="18"/>
          <w:lang w:val="nl-NL"/>
        </w:rPr>
        <w:t>instandhoudingsmaatregelen</w:t>
      </w:r>
      <w:r w:rsidRPr="00793FEA" w:rsidR="00C65D24">
        <w:rPr>
          <w:szCs w:val="18"/>
          <w:lang w:val="nl-NL"/>
        </w:rPr>
        <w:t xml:space="preserve"> </w:t>
      </w:r>
      <w:r w:rsidRPr="00793FEA">
        <w:rPr>
          <w:szCs w:val="18"/>
          <w:lang w:val="nl-NL"/>
        </w:rPr>
        <w:t>zullen conform de artikel 11</w:t>
      </w:r>
      <w:r w:rsidR="008E0F43">
        <w:rPr>
          <w:szCs w:val="18"/>
          <w:lang w:val="nl-NL"/>
        </w:rPr>
        <w:t>-</w:t>
      </w:r>
      <w:r w:rsidRPr="00793FEA">
        <w:rPr>
          <w:szCs w:val="18"/>
          <w:lang w:val="nl-NL"/>
        </w:rPr>
        <w:t xml:space="preserve">procedure uit het Gemeenschappelijk Visserijbeleid </w:t>
      </w:r>
      <w:r w:rsidR="008E0F43">
        <w:rPr>
          <w:szCs w:val="18"/>
          <w:lang w:val="nl-NL"/>
        </w:rPr>
        <w:t xml:space="preserve">worden </w:t>
      </w:r>
      <w:r w:rsidRPr="00793FEA">
        <w:rPr>
          <w:szCs w:val="18"/>
          <w:lang w:val="nl-NL"/>
        </w:rPr>
        <w:t>aangepast</w:t>
      </w:r>
      <w:r w:rsidRPr="00D246C8" w:rsidR="008E0F43">
        <w:rPr>
          <w:szCs w:val="18"/>
          <w:lang w:val="nl-NL"/>
        </w:rPr>
        <w:t>,</w:t>
      </w:r>
      <w:r w:rsidRPr="00D246C8">
        <w:rPr>
          <w:szCs w:val="18"/>
          <w:lang w:val="nl-NL"/>
        </w:rPr>
        <w:t xml:space="preserve"> zodat ze van toepassing zijn op het verruimde gebied.</w:t>
      </w:r>
      <w:r w:rsidR="00D246C8">
        <w:rPr>
          <w:szCs w:val="18"/>
          <w:lang w:val="nl-NL"/>
        </w:rPr>
        <w:t xml:space="preserve"> </w:t>
      </w:r>
      <w:r w:rsidRPr="00D90F5B" w:rsidR="00D246C8">
        <w:rPr>
          <w:szCs w:val="18"/>
          <w:highlight w:val="red"/>
          <w:lang w:val="nl-NL"/>
        </w:rPr>
        <w:t>Ook</w:t>
      </w:r>
      <w:r w:rsidRPr="00F56B60">
        <w:rPr>
          <w:szCs w:val="18"/>
          <w:lang w:val="nl-NL"/>
        </w:rPr>
        <w:t xml:space="preserve"> </w:t>
      </w:r>
      <w:r w:rsidRPr="00025F9D" w:rsidR="00BC6634">
        <w:rPr>
          <w:szCs w:val="18"/>
          <w:highlight w:val="green"/>
          <w:lang w:val="nl-NL"/>
        </w:rPr>
        <w:t>Daarnaast</w:t>
      </w:r>
      <w:r w:rsidR="00BC6634">
        <w:rPr>
          <w:szCs w:val="18"/>
          <w:lang w:val="nl-NL"/>
        </w:rPr>
        <w:t xml:space="preserve"> </w:t>
      </w:r>
      <w:r w:rsidR="00CB6B46">
        <w:rPr>
          <w:szCs w:val="18"/>
          <w:lang w:val="nl-NL"/>
        </w:rPr>
        <w:t xml:space="preserve">komt er een verbod op flyshoot in de managementzones van de Doggersbank. </w:t>
      </w:r>
      <w:bookmarkStart w:name="_Hlk147229278" w:id="40"/>
      <w:r w:rsidRPr="00F644A4" w:rsidR="00D246C8">
        <w:rPr>
          <w:szCs w:val="18"/>
          <w:highlight w:val="red"/>
          <w:lang w:val="nl-NL"/>
        </w:rPr>
        <w:t>Tevens zal het beheerplan hierop aangepast worden</w:t>
      </w:r>
      <w:r w:rsidR="00D246C8">
        <w:rPr>
          <w:szCs w:val="18"/>
          <w:lang w:val="nl-NL"/>
        </w:rPr>
        <w:t xml:space="preserve">. </w:t>
      </w:r>
      <w:r w:rsidRPr="00025F9D" w:rsidR="0033013C">
        <w:rPr>
          <w:highlight w:val="green"/>
          <w:lang w:val="nl-NL"/>
        </w:rPr>
        <w:t>Om ervoor te zorgen dat er geen overlap tussen KRM-gebieden</w:t>
      </w:r>
      <w:r w:rsidRPr="00025F9D" w:rsidR="00D90F5B">
        <w:rPr>
          <w:highlight w:val="green"/>
          <w:lang w:val="nl-NL"/>
        </w:rPr>
        <w:t xml:space="preserve"> Zuidelijke Doggersbank en Centrale Oestergronden</w:t>
      </w:r>
      <w:r w:rsidRPr="00025F9D" w:rsidR="0033013C">
        <w:rPr>
          <w:highlight w:val="green"/>
          <w:lang w:val="nl-NL"/>
        </w:rPr>
        <w:t xml:space="preserve"> is, wordt de begrenzing van de noordwestelijke hoek van KRM-gebied Centrale Oestergronden aangepast.</w:t>
      </w:r>
      <w:bookmarkEnd w:id="40"/>
    </w:p>
    <w:p w:rsidR="00D246C8" w:rsidP="00D246C8" w:rsidRDefault="008E0F43" w14:paraId="25D0959F" w14:textId="03AF26EA">
      <w:pPr>
        <w:pStyle w:val="ListParagraph"/>
        <w:rPr>
          <w:szCs w:val="18"/>
          <w:lang w:val="nl-NL"/>
        </w:rPr>
      </w:pPr>
      <w:r w:rsidRPr="000759E4">
        <w:rPr>
          <w:szCs w:val="18"/>
          <w:lang w:val="nl-NL"/>
        </w:rPr>
        <w:t>Verder z</w:t>
      </w:r>
      <w:r>
        <w:rPr>
          <w:szCs w:val="18"/>
          <w:lang w:val="nl-NL"/>
        </w:rPr>
        <w:t>ullen</w:t>
      </w:r>
      <w:r w:rsidRPr="000759E4">
        <w:rPr>
          <w:szCs w:val="18"/>
          <w:lang w:val="nl-NL"/>
        </w:rPr>
        <w:t xml:space="preserve"> de managementzones op de Klaverbank </w:t>
      </w:r>
      <w:r>
        <w:rPr>
          <w:szCs w:val="18"/>
          <w:lang w:val="nl-NL"/>
        </w:rPr>
        <w:t xml:space="preserve">worden vergroot, waardoor </w:t>
      </w:r>
      <w:r w:rsidRPr="000759E4">
        <w:rPr>
          <w:szCs w:val="18"/>
          <w:lang w:val="nl-NL"/>
        </w:rPr>
        <w:t xml:space="preserve">een aanvullend gedeelte van </w:t>
      </w:r>
      <w:r w:rsidRPr="00025F9D" w:rsidR="005D16E2">
        <w:rPr>
          <w:szCs w:val="18"/>
          <w:highlight w:val="green"/>
          <w:lang w:val="nl-NL"/>
        </w:rPr>
        <w:t>ca</w:t>
      </w:r>
      <w:r w:rsidRPr="00025F9D" w:rsidR="005E02CF">
        <w:rPr>
          <w:szCs w:val="18"/>
          <w:highlight w:val="green"/>
          <w:lang w:val="nl-NL"/>
        </w:rPr>
        <w:t>.</w:t>
      </w:r>
      <w:r w:rsidR="005D16E2">
        <w:rPr>
          <w:szCs w:val="18"/>
          <w:lang w:val="nl-NL"/>
        </w:rPr>
        <w:t xml:space="preserve"> </w:t>
      </w:r>
      <w:r w:rsidRPr="000759E4">
        <w:rPr>
          <w:szCs w:val="18"/>
          <w:lang w:val="nl-NL"/>
        </w:rPr>
        <w:t>552 km</w:t>
      </w:r>
      <w:r w:rsidRPr="009B0B95">
        <w:rPr>
          <w:szCs w:val="18"/>
          <w:vertAlign w:val="superscript"/>
          <w:lang w:val="nl-NL"/>
        </w:rPr>
        <w:t>2</w:t>
      </w:r>
      <w:r w:rsidRPr="000759E4">
        <w:rPr>
          <w:szCs w:val="18"/>
          <w:lang w:val="nl-NL"/>
        </w:rPr>
        <w:t xml:space="preserve"> </w:t>
      </w:r>
      <w:r>
        <w:rPr>
          <w:szCs w:val="18"/>
          <w:lang w:val="nl-NL"/>
        </w:rPr>
        <w:t>gesloten</w:t>
      </w:r>
      <w:r w:rsidRPr="000759E4">
        <w:rPr>
          <w:szCs w:val="18"/>
          <w:lang w:val="nl-NL"/>
        </w:rPr>
        <w:t xml:space="preserve"> </w:t>
      </w:r>
      <w:r>
        <w:rPr>
          <w:szCs w:val="18"/>
          <w:lang w:val="nl-NL"/>
        </w:rPr>
        <w:t xml:space="preserve">zal zijn </w:t>
      </w:r>
      <w:r w:rsidRPr="000759E4">
        <w:rPr>
          <w:szCs w:val="18"/>
          <w:lang w:val="nl-NL"/>
        </w:rPr>
        <w:t xml:space="preserve">voor </w:t>
      </w:r>
      <w:r>
        <w:rPr>
          <w:szCs w:val="18"/>
          <w:lang w:val="nl-NL"/>
        </w:rPr>
        <w:t xml:space="preserve">alle vormen van </w:t>
      </w:r>
      <w:r w:rsidRPr="000759E4">
        <w:rPr>
          <w:szCs w:val="18"/>
          <w:lang w:val="nl-NL"/>
        </w:rPr>
        <w:t xml:space="preserve">bodemberoerende visserij. Om deze wijziging door te voeren worden </w:t>
      </w:r>
      <w:r w:rsidR="00C65D24">
        <w:rPr>
          <w:szCs w:val="18"/>
          <w:lang w:val="nl-NL"/>
        </w:rPr>
        <w:t>instandhoudingsmaatregelen</w:t>
      </w:r>
      <w:r w:rsidRPr="000759E4" w:rsidR="00C65D24">
        <w:rPr>
          <w:szCs w:val="18"/>
          <w:lang w:val="nl-NL"/>
        </w:rPr>
        <w:t xml:space="preserve"> </w:t>
      </w:r>
      <w:r w:rsidRPr="000759E4">
        <w:rPr>
          <w:szCs w:val="18"/>
          <w:lang w:val="nl-NL"/>
        </w:rPr>
        <w:t>conform de artikel 11</w:t>
      </w:r>
      <w:r>
        <w:rPr>
          <w:szCs w:val="18"/>
          <w:lang w:val="nl-NL"/>
        </w:rPr>
        <w:t>-</w:t>
      </w:r>
      <w:r w:rsidRPr="000759E4">
        <w:rPr>
          <w:szCs w:val="18"/>
          <w:lang w:val="nl-NL"/>
        </w:rPr>
        <w:t>procedure uit het Gemeenschappelijk Visserijbeleid aangepast</w:t>
      </w:r>
      <w:r w:rsidR="00025F9D">
        <w:rPr>
          <w:szCs w:val="18"/>
          <w:lang w:val="nl-NL"/>
        </w:rPr>
        <w:t>.</w:t>
      </w:r>
      <w:r w:rsidRPr="00D246C8" w:rsidR="00D246C8">
        <w:rPr>
          <w:szCs w:val="18"/>
          <w:highlight w:val="red"/>
          <w:lang w:val="nl-NL"/>
        </w:rPr>
        <w:t xml:space="preserve"> </w:t>
      </w:r>
      <w:r w:rsidRPr="00F644A4" w:rsidR="00D246C8">
        <w:rPr>
          <w:szCs w:val="18"/>
          <w:highlight w:val="red"/>
          <w:lang w:val="nl-NL"/>
        </w:rPr>
        <w:t>Tevens zal het beheerplan hierop aangepast worden.</w:t>
      </w:r>
    </w:p>
    <w:p w:rsidR="00CB6B46" w:rsidP="00FD3761" w:rsidRDefault="00CB6B46" w14:paraId="15DEA329" w14:textId="77777777">
      <w:pPr>
        <w:pStyle w:val="ListParagraph"/>
        <w:numPr>
          <w:ilvl w:val="0"/>
          <w:numId w:val="24"/>
        </w:numPr>
        <w:rPr>
          <w:i/>
          <w:iCs/>
          <w:lang w:val="nl-NL"/>
        </w:rPr>
      </w:pPr>
      <w:r w:rsidRPr="00F56B60">
        <w:rPr>
          <w:i/>
          <w:iCs/>
          <w:lang w:val="nl-NL"/>
        </w:rPr>
        <w:t>Vergroting verbod bodemberoerende visserij Centrale Oestergronden en Friese Front, visserijverbod voor deel Friese Front en nieuwe aanwijzing Borkumse Stenen</w:t>
      </w:r>
    </w:p>
    <w:p w:rsidRPr="00F56B60" w:rsidR="00CB6B46" w:rsidP="00CB6B46" w:rsidRDefault="00CB6B46" w14:paraId="3CF0CF1F" w14:textId="77777777">
      <w:pPr>
        <w:pStyle w:val="ListParagraph"/>
        <w:rPr>
          <w:i/>
          <w:iCs/>
          <w:sz w:val="4"/>
          <w:szCs w:val="4"/>
          <w:lang w:val="nl-NL"/>
        </w:rPr>
      </w:pPr>
    </w:p>
    <w:p w:rsidR="00CB6B46" w:rsidP="00CB6B46" w:rsidRDefault="00CB6B46" w14:paraId="2E065119" w14:textId="06256631">
      <w:pPr>
        <w:pStyle w:val="ListParagraph"/>
        <w:rPr>
          <w:szCs w:val="18"/>
          <w:lang w:val="nl-NL"/>
        </w:rPr>
      </w:pPr>
      <w:r w:rsidRPr="00793FEA">
        <w:rPr>
          <w:szCs w:val="18"/>
          <w:lang w:val="nl-NL"/>
        </w:rPr>
        <w:t>Conform het NZA worden de KRM</w:t>
      </w:r>
      <w:r>
        <w:rPr>
          <w:szCs w:val="18"/>
          <w:lang w:val="nl-NL"/>
        </w:rPr>
        <w:t>-</w:t>
      </w:r>
      <w:r w:rsidRPr="00793FEA">
        <w:rPr>
          <w:szCs w:val="18"/>
          <w:lang w:val="nl-NL"/>
        </w:rPr>
        <w:t xml:space="preserve">gebieden </w:t>
      </w:r>
      <w:r w:rsidRPr="007F1D75">
        <w:rPr>
          <w:szCs w:val="18"/>
          <w:lang w:val="nl-NL"/>
        </w:rPr>
        <w:t xml:space="preserve">Centrale Oestergronden </w:t>
      </w:r>
      <w:r>
        <w:rPr>
          <w:szCs w:val="18"/>
          <w:lang w:val="nl-NL"/>
        </w:rPr>
        <w:t xml:space="preserve">en </w:t>
      </w:r>
      <w:r w:rsidRPr="00793FEA">
        <w:rPr>
          <w:szCs w:val="18"/>
          <w:lang w:val="nl-NL"/>
        </w:rPr>
        <w:t xml:space="preserve">Friese Front vergroot en komt er een nieuw KRM-gebied bij op de Borkumse Stenen. </w:t>
      </w:r>
      <w:r w:rsidRPr="000759E4">
        <w:rPr>
          <w:szCs w:val="18"/>
          <w:lang w:val="nl-NL"/>
        </w:rPr>
        <w:t>Het KRM-gebied Centrale Oestergronde</w:t>
      </w:r>
      <w:r>
        <w:rPr>
          <w:szCs w:val="18"/>
          <w:lang w:val="nl-NL"/>
        </w:rPr>
        <w:t>n</w:t>
      </w:r>
      <w:r w:rsidRPr="000759E4">
        <w:rPr>
          <w:szCs w:val="18"/>
          <w:lang w:val="nl-NL"/>
        </w:rPr>
        <w:t xml:space="preserve"> wordt vergroot met </w:t>
      </w:r>
      <w:r w:rsidRPr="00025F9D" w:rsidR="005D16E2">
        <w:rPr>
          <w:szCs w:val="18"/>
          <w:highlight w:val="green"/>
          <w:lang w:val="nl-NL"/>
        </w:rPr>
        <w:t>ca.</w:t>
      </w:r>
      <w:r w:rsidR="005D16E2">
        <w:rPr>
          <w:szCs w:val="18"/>
          <w:lang w:val="nl-NL"/>
        </w:rPr>
        <w:t xml:space="preserve"> </w:t>
      </w:r>
      <w:r w:rsidRPr="000759E4">
        <w:rPr>
          <w:szCs w:val="18"/>
          <w:lang w:val="nl-NL"/>
        </w:rPr>
        <w:t>1062 km</w:t>
      </w:r>
      <w:r w:rsidRPr="00AF1E71">
        <w:rPr>
          <w:szCs w:val="18"/>
          <w:vertAlign w:val="superscript"/>
          <w:lang w:val="nl-NL"/>
        </w:rPr>
        <w:t>2</w:t>
      </w:r>
      <w:r w:rsidR="00A857B0">
        <w:rPr>
          <w:szCs w:val="18"/>
          <w:lang w:val="nl-NL"/>
        </w:rPr>
        <w:t xml:space="preserve"> </w:t>
      </w:r>
      <w:r w:rsidRPr="00025F9D" w:rsidR="00A857B0">
        <w:rPr>
          <w:szCs w:val="18"/>
          <w:highlight w:val="green"/>
          <w:lang w:val="nl-NL"/>
        </w:rPr>
        <w:t>waarna het totale oppervlakte neerkomt op ca. 2063 km</w:t>
      </w:r>
      <w:r w:rsidRPr="00025F9D" w:rsidR="00A857B0">
        <w:rPr>
          <w:szCs w:val="18"/>
          <w:highlight w:val="green"/>
          <w:vertAlign w:val="superscript"/>
          <w:lang w:val="nl-NL"/>
        </w:rPr>
        <w:t>2</w:t>
      </w:r>
      <w:r w:rsidRPr="00025F9D">
        <w:rPr>
          <w:szCs w:val="18"/>
          <w:highlight w:val="green"/>
          <w:lang w:val="nl-NL"/>
        </w:rPr>
        <w:t>.</w:t>
      </w:r>
      <w:r w:rsidRPr="000759E4">
        <w:rPr>
          <w:szCs w:val="18"/>
          <w:lang w:val="nl-NL"/>
        </w:rPr>
        <w:t xml:space="preserve"> </w:t>
      </w:r>
      <w:r>
        <w:rPr>
          <w:szCs w:val="18"/>
          <w:lang w:val="nl-NL"/>
        </w:rPr>
        <w:t>H</w:t>
      </w:r>
      <w:r w:rsidRPr="000759E4">
        <w:rPr>
          <w:szCs w:val="18"/>
          <w:lang w:val="nl-NL"/>
        </w:rPr>
        <w:t xml:space="preserve">et </w:t>
      </w:r>
      <w:r>
        <w:rPr>
          <w:szCs w:val="18"/>
          <w:lang w:val="nl-NL"/>
        </w:rPr>
        <w:t xml:space="preserve">oostelijke </w:t>
      </w:r>
      <w:r w:rsidRPr="000759E4">
        <w:rPr>
          <w:szCs w:val="18"/>
          <w:lang w:val="nl-NL"/>
        </w:rPr>
        <w:t>KRM-gebied Friese Front</w:t>
      </w:r>
      <w:r>
        <w:rPr>
          <w:szCs w:val="18"/>
          <w:lang w:val="nl-NL"/>
        </w:rPr>
        <w:t xml:space="preserve"> </w:t>
      </w:r>
      <w:r w:rsidRPr="000759E4">
        <w:rPr>
          <w:szCs w:val="18"/>
          <w:lang w:val="nl-NL"/>
        </w:rPr>
        <w:t xml:space="preserve">wordt </w:t>
      </w:r>
      <w:r>
        <w:rPr>
          <w:szCs w:val="18"/>
          <w:lang w:val="nl-NL"/>
        </w:rPr>
        <w:t>uitgebreid</w:t>
      </w:r>
      <w:r w:rsidRPr="000759E4">
        <w:rPr>
          <w:szCs w:val="18"/>
          <w:lang w:val="nl-NL"/>
        </w:rPr>
        <w:t xml:space="preserve"> met </w:t>
      </w:r>
      <w:r w:rsidRPr="00025F9D" w:rsidR="005D16E2">
        <w:rPr>
          <w:szCs w:val="18"/>
          <w:highlight w:val="green"/>
          <w:lang w:val="nl-NL"/>
        </w:rPr>
        <w:t>ca.</w:t>
      </w:r>
      <w:r w:rsidR="005D16E2">
        <w:rPr>
          <w:szCs w:val="18"/>
          <w:lang w:val="nl-NL"/>
        </w:rPr>
        <w:t xml:space="preserve"> </w:t>
      </w:r>
      <w:r w:rsidRPr="000759E4">
        <w:rPr>
          <w:szCs w:val="18"/>
          <w:lang w:val="nl-NL"/>
        </w:rPr>
        <w:t>1014 km</w:t>
      </w:r>
      <w:r w:rsidRPr="00AF1E71">
        <w:rPr>
          <w:szCs w:val="18"/>
          <w:vertAlign w:val="superscript"/>
          <w:lang w:val="nl-NL"/>
        </w:rPr>
        <w:t>2</w:t>
      </w:r>
      <w:r w:rsidRPr="00025F9D" w:rsidR="00A857B0">
        <w:rPr>
          <w:szCs w:val="18"/>
          <w:highlight w:val="green"/>
          <w:lang w:val="nl-NL"/>
        </w:rPr>
        <w:t>, waarna het totale oppervlakte neerkomt op ca. 2016 km</w:t>
      </w:r>
      <w:r w:rsidRPr="00025F9D" w:rsidR="00A857B0">
        <w:rPr>
          <w:szCs w:val="18"/>
          <w:highlight w:val="green"/>
          <w:vertAlign w:val="superscript"/>
          <w:lang w:val="nl-NL"/>
        </w:rPr>
        <w:t>2</w:t>
      </w:r>
      <w:r w:rsidRPr="00025F9D">
        <w:rPr>
          <w:szCs w:val="18"/>
          <w:highlight w:val="green"/>
          <w:lang w:val="nl-NL"/>
        </w:rPr>
        <w:t>.</w:t>
      </w:r>
      <w:r w:rsidRPr="000759E4">
        <w:rPr>
          <w:szCs w:val="18"/>
          <w:lang w:val="nl-NL"/>
        </w:rPr>
        <w:t xml:space="preserve"> </w:t>
      </w:r>
      <w:r>
        <w:rPr>
          <w:szCs w:val="18"/>
          <w:lang w:val="nl-NL"/>
        </w:rPr>
        <w:t xml:space="preserve">In het </w:t>
      </w:r>
      <w:r w:rsidRPr="000759E4">
        <w:rPr>
          <w:szCs w:val="18"/>
          <w:lang w:val="nl-NL"/>
        </w:rPr>
        <w:t xml:space="preserve">deel </w:t>
      </w:r>
      <w:r>
        <w:rPr>
          <w:szCs w:val="18"/>
          <w:lang w:val="nl-NL"/>
        </w:rPr>
        <w:t xml:space="preserve">dat overlapt met het VR-gebied Friese Front, komt een </w:t>
      </w:r>
      <w:r w:rsidRPr="000759E4">
        <w:rPr>
          <w:szCs w:val="18"/>
          <w:lang w:val="nl-NL"/>
        </w:rPr>
        <w:t>verbod</w:t>
      </w:r>
      <w:r>
        <w:rPr>
          <w:szCs w:val="18"/>
          <w:lang w:val="nl-NL"/>
        </w:rPr>
        <w:t xml:space="preserve"> op</w:t>
      </w:r>
      <w:r w:rsidRPr="000759E4">
        <w:rPr>
          <w:szCs w:val="18"/>
          <w:lang w:val="nl-NL"/>
        </w:rPr>
        <w:t xml:space="preserve"> alle vormen van visserij</w:t>
      </w:r>
      <w:r>
        <w:rPr>
          <w:szCs w:val="18"/>
          <w:lang w:val="nl-NL"/>
        </w:rPr>
        <w:t xml:space="preserve">. Dit deel wordt vergroot tot </w:t>
      </w:r>
      <w:r w:rsidRPr="00025F9D" w:rsidR="005D16E2">
        <w:rPr>
          <w:szCs w:val="18"/>
          <w:highlight w:val="green"/>
          <w:lang w:val="nl-NL"/>
        </w:rPr>
        <w:t>ca.</w:t>
      </w:r>
      <w:r w:rsidR="005D16E2">
        <w:rPr>
          <w:szCs w:val="18"/>
          <w:lang w:val="nl-NL"/>
        </w:rPr>
        <w:t xml:space="preserve"> </w:t>
      </w:r>
      <w:r w:rsidRPr="000759E4">
        <w:rPr>
          <w:szCs w:val="18"/>
          <w:lang w:val="nl-NL"/>
        </w:rPr>
        <w:t>1649 km</w:t>
      </w:r>
      <w:r w:rsidRPr="00AF1E71">
        <w:rPr>
          <w:szCs w:val="18"/>
          <w:vertAlign w:val="superscript"/>
          <w:lang w:val="nl-NL"/>
        </w:rPr>
        <w:t>2</w:t>
      </w:r>
      <w:r w:rsidRPr="000759E4">
        <w:rPr>
          <w:szCs w:val="18"/>
          <w:lang w:val="nl-NL"/>
        </w:rPr>
        <w:t>.</w:t>
      </w:r>
      <w:r>
        <w:rPr>
          <w:szCs w:val="18"/>
          <w:lang w:val="nl-NL"/>
        </w:rPr>
        <w:t xml:space="preserve"> </w:t>
      </w:r>
      <w:bookmarkStart w:name="_Hlk175906648" w:id="41"/>
      <w:r>
        <w:rPr>
          <w:szCs w:val="18"/>
          <w:lang w:val="nl-NL"/>
        </w:rPr>
        <w:t>Het</w:t>
      </w:r>
      <w:r w:rsidRPr="000759E4">
        <w:rPr>
          <w:szCs w:val="18"/>
          <w:lang w:val="nl-NL"/>
        </w:rPr>
        <w:t xml:space="preserve"> nieuw</w:t>
      </w:r>
      <w:r>
        <w:rPr>
          <w:szCs w:val="18"/>
          <w:lang w:val="nl-NL"/>
        </w:rPr>
        <w:t>e</w:t>
      </w:r>
      <w:r w:rsidRPr="000759E4">
        <w:rPr>
          <w:szCs w:val="18"/>
          <w:lang w:val="nl-NL"/>
        </w:rPr>
        <w:t xml:space="preserve"> </w:t>
      </w:r>
      <w:r>
        <w:rPr>
          <w:szCs w:val="18"/>
          <w:lang w:val="nl-NL"/>
        </w:rPr>
        <w:t>bodembeschermings</w:t>
      </w:r>
      <w:r w:rsidRPr="000759E4">
        <w:rPr>
          <w:szCs w:val="18"/>
          <w:lang w:val="nl-NL"/>
        </w:rPr>
        <w:t xml:space="preserve">gebied </w:t>
      </w:r>
      <w:r w:rsidRPr="007F1D75">
        <w:rPr>
          <w:szCs w:val="18"/>
          <w:lang w:val="nl-NL"/>
        </w:rPr>
        <w:t xml:space="preserve">Borkumse Stenen </w:t>
      </w:r>
      <w:r>
        <w:rPr>
          <w:szCs w:val="18"/>
          <w:lang w:val="nl-NL"/>
        </w:rPr>
        <w:t xml:space="preserve">heeft een oppervlakte van </w:t>
      </w:r>
      <w:r w:rsidRPr="00025F9D" w:rsidR="005D16E2">
        <w:rPr>
          <w:szCs w:val="18"/>
          <w:highlight w:val="green"/>
          <w:lang w:val="nl-NL"/>
        </w:rPr>
        <w:t xml:space="preserve">ca. </w:t>
      </w:r>
      <w:r w:rsidRPr="00025F9D">
        <w:rPr>
          <w:szCs w:val="18"/>
          <w:highlight w:val="green"/>
          <w:lang w:val="nl-NL"/>
        </w:rPr>
        <w:t>6</w:t>
      </w:r>
      <w:r w:rsidRPr="00025F9D" w:rsidR="00AF7B20">
        <w:rPr>
          <w:szCs w:val="18"/>
          <w:highlight w:val="green"/>
          <w:lang w:val="nl-NL"/>
        </w:rPr>
        <w:t>8</w:t>
      </w:r>
      <w:r w:rsidRPr="00025F9D" w:rsidR="007D48BE">
        <w:rPr>
          <w:szCs w:val="18"/>
          <w:highlight w:val="green"/>
          <w:lang w:val="nl-NL"/>
        </w:rPr>
        <w:t>2</w:t>
      </w:r>
      <w:r>
        <w:rPr>
          <w:szCs w:val="18"/>
          <w:lang w:val="nl-NL"/>
        </w:rPr>
        <w:t xml:space="preserve"> </w:t>
      </w:r>
      <w:r w:rsidRPr="00FD3761" w:rsidR="00D246C8">
        <w:rPr>
          <w:szCs w:val="18"/>
          <w:highlight w:val="red"/>
          <w:lang w:val="nl-NL"/>
        </w:rPr>
        <w:t>653</w:t>
      </w:r>
      <w:r w:rsidRPr="000759E4">
        <w:rPr>
          <w:szCs w:val="18"/>
          <w:lang w:val="nl-NL"/>
        </w:rPr>
        <w:t>km</w:t>
      </w:r>
      <w:r w:rsidRPr="00AF1E71">
        <w:rPr>
          <w:szCs w:val="18"/>
          <w:vertAlign w:val="superscript"/>
          <w:lang w:val="nl-NL"/>
        </w:rPr>
        <w:t>2</w:t>
      </w:r>
      <w:r w:rsidRPr="000759E4">
        <w:rPr>
          <w:szCs w:val="18"/>
          <w:lang w:val="nl-NL"/>
        </w:rPr>
        <w:t xml:space="preserve">. </w:t>
      </w:r>
      <w:r w:rsidRPr="00F644A4">
        <w:rPr>
          <w:szCs w:val="18"/>
          <w:lang w:val="nl-NL"/>
        </w:rPr>
        <w:t xml:space="preserve">Dit gebied overlapt </w:t>
      </w:r>
      <w:r w:rsidRPr="00025F9D" w:rsidR="009709FC">
        <w:rPr>
          <w:szCs w:val="18"/>
          <w:highlight w:val="green"/>
          <w:lang w:val="nl-NL"/>
        </w:rPr>
        <w:t>met</w:t>
      </w:r>
      <w:r w:rsidR="009709FC">
        <w:rPr>
          <w:szCs w:val="18"/>
          <w:lang w:val="nl-NL"/>
        </w:rPr>
        <w:t xml:space="preserve"> </w:t>
      </w:r>
      <w:r w:rsidRPr="00F644A4">
        <w:rPr>
          <w:szCs w:val="18"/>
          <w:lang w:val="nl-NL"/>
        </w:rPr>
        <w:t>het bodembeschermingsgebied zoals afgesproken in het kader van het VIBEG-akkoord.</w:t>
      </w:r>
      <w:r w:rsidRPr="0082435F">
        <w:rPr>
          <w:szCs w:val="18"/>
          <w:lang w:val="nl-NL"/>
        </w:rPr>
        <w:t xml:space="preserve"> </w:t>
      </w:r>
      <w:bookmarkEnd w:id="41"/>
    </w:p>
    <w:p w:rsidRPr="00F56B60" w:rsidR="0070550F" w:rsidP="00746E9B" w:rsidRDefault="0070550F" w14:paraId="4DCCC3F0" w14:textId="77777777">
      <w:pPr>
        <w:pStyle w:val="ListParagraph"/>
        <w:numPr>
          <w:ilvl w:val="0"/>
          <w:numId w:val="24"/>
        </w:numPr>
        <w:rPr>
          <w:i/>
          <w:iCs/>
          <w:szCs w:val="18"/>
          <w:lang w:val="nl-NL"/>
        </w:rPr>
      </w:pPr>
      <w:r w:rsidRPr="00F56B60">
        <w:rPr>
          <w:i/>
          <w:iCs/>
          <w:szCs w:val="18"/>
          <w:lang w:val="nl-NL"/>
        </w:rPr>
        <w:t>Wijziging gebieden met verbod op bodemberoerende visserij Noordzeekustzone</w:t>
      </w:r>
    </w:p>
    <w:p w:rsidRPr="00783826" w:rsidR="00783826" w:rsidP="00FD3761" w:rsidRDefault="002765C4" w14:paraId="7FF9E0F1" w14:textId="61BBE7B9">
      <w:pPr>
        <w:pStyle w:val="ListParagraph"/>
        <w:rPr>
          <w:i/>
          <w:color w:val="000000"/>
          <w:szCs w:val="18"/>
          <w:lang w:val="nl-NL"/>
        </w:rPr>
      </w:pPr>
      <w:r>
        <w:rPr>
          <w:color w:val="000000"/>
          <w:szCs w:val="18"/>
          <w:lang w:val="nl-NL"/>
        </w:rPr>
        <w:t>D</w:t>
      </w:r>
      <w:r w:rsidRPr="00F56B60" w:rsidR="0070550F">
        <w:rPr>
          <w:color w:val="000000"/>
          <w:szCs w:val="18"/>
          <w:lang w:val="nl-NL"/>
        </w:rPr>
        <w:t xml:space="preserve">e gebieden waar een verbod op bodemberoerende visserij </w:t>
      </w:r>
      <w:r>
        <w:rPr>
          <w:color w:val="000000"/>
          <w:szCs w:val="18"/>
          <w:lang w:val="nl-NL"/>
        </w:rPr>
        <w:t xml:space="preserve">geldt </w:t>
      </w:r>
      <w:r w:rsidRPr="00F56B60" w:rsidR="0070550F">
        <w:rPr>
          <w:color w:val="000000"/>
          <w:szCs w:val="18"/>
          <w:lang w:val="nl-NL"/>
        </w:rPr>
        <w:t>en de gebieden waarop een algeheel verbod op visserij van toepassing is</w:t>
      </w:r>
      <w:r w:rsidR="00363593">
        <w:rPr>
          <w:color w:val="000000"/>
          <w:szCs w:val="18"/>
          <w:lang w:val="nl-NL"/>
        </w:rPr>
        <w:t>,</w:t>
      </w:r>
      <w:r w:rsidRPr="00F56B60" w:rsidR="0070550F">
        <w:rPr>
          <w:color w:val="000000"/>
          <w:szCs w:val="18"/>
          <w:lang w:val="nl-NL"/>
        </w:rPr>
        <w:t xml:space="preserve"> worden gewijzigd</w:t>
      </w:r>
      <w:r>
        <w:rPr>
          <w:color w:val="000000"/>
          <w:szCs w:val="18"/>
          <w:lang w:val="nl-NL"/>
        </w:rPr>
        <w:t>. Dit is i</w:t>
      </w:r>
      <w:r w:rsidRPr="00F56B60">
        <w:rPr>
          <w:color w:val="000000"/>
          <w:szCs w:val="18"/>
          <w:lang w:val="nl-NL"/>
        </w:rPr>
        <w:t>n 2018 in het VIBEG</w:t>
      </w:r>
      <w:r w:rsidR="00363593">
        <w:rPr>
          <w:color w:val="000000"/>
          <w:szCs w:val="18"/>
          <w:lang w:val="nl-NL"/>
        </w:rPr>
        <w:t>-</w:t>
      </w:r>
      <w:r w:rsidRPr="00F56B60">
        <w:rPr>
          <w:color w:val="000000"/>
          <w:szCs w:val="18"/>
          <w:lang w:val="nl-NL"/>
        </w:rPr>
        <w:t>overleg besloten</w:t>
      </w:r>
      <w:r w:rsidRPr="00F56B60" w:rsidR="0070550F">
        <w:rPr>
          <w:color w:val="000000"/>
          <w:szCs w:val="18"/>
          <w:lang w:val="nl-NL"/>
        </w:rPr>
        <w:t xml:space="preserve"> (VIBEG2). </w:t>
      </w:r>
      <w:r w:rsidRPr="00CC2AE9" w:rsidR="00D246C8">
        <w:rPr>
          <w:color w:val="000000"/>
          <w:szCs w:val="18"/>
          <w:highlight w:val="red"/>
          <w:lang w:val="nl-NL"/>
        </w:rPr>
        <w:t>De instandhoudingsmaatregelen in deze gebieden worden doorgevoerd via de artikel 11-procedure uit het Gemeenschappelijk Visserijbeleid.</w:t>
      </w:r>
    </w:p>
    <w:p w:rsidR="00C35F32" w:rsidP="00C35F32" w:rsidRDefault="00783826" w14:paraId="690C87BA" w14:textId="6613C3B4">
      <w:pPr>
        <w:pStyle w:val="ListParagraph"/>
        <w:numPr>
          <w:ilvl w:val="0"/>
          <w:numId w:val="24"/>
        </w:numPr>
        <w:rPr>
          <w:i/>
          <w:color w:val="000000"/>
          <w:szCs w:val="18"/>
          <w:lang w:val="nl-NL"/>
        </w:rPr>
      </w:pPr>
      <w:r w:rsidRPr="00F4696F">
        <w:rPr>
          <w:i/>
          <w:color w:val="000000"/>
          <w:szCs w:val="18"/>
          <w:lang w:val="nl-NL"/>
        </w:rPr>
        <w:t>Oesterherstel Friese Fron</w:t>
      </w:r>
      <w:r w:rsidR="00C35F32">
        <w:rPr>
          <w:i/>
          <w:color w:val="000000"/>
          <w:szCs w:val="18"/>
          <w:lang w:val="nl-NL"/>
        </w:rPr>
        <w:t>t</w:t>
      </w:r>
    </w:p>
    <w:p w:rsidRPr="00C35F32" w:rsidR="00C35F32" w:rsidP="00CC2AE9" w:rsidRDefault="00783826" w14:paraId="52AE1C04" w14:textId="05B04225">
      <w:pPr>
        <w:pStyle w:val="ListParagraph"/>
        <w:rPr>
          <w:i/>
          <w:color w:val="000000"/>
          <w:szCs w:val="18"/>
          <w:lang w:val="nl-NL"/>
        </w:rPr>
      </w:pPr>
      <w:r w:rsidRPr="00C35F32">
        <w:rPr>
          <w:color w:val="000000"/>
          <w:szCs w:val="18"/>
          <w:lang w:val="nl-NL"/>
        </w:rPr>
        <w:t>Eén van de maatregelen uit het NZA is het aanwijzen van een gebied voor oesterherstel ter grootte van 100 km</w:t>
      </w:r>
      <w:r w:rsidRPr="00C35F32">
        <w:rPr>
          <w:color w:val="000000"/>
          <w:szCs w:val="18"/>
          <w:vertAlign w:val="superscript"/>
          <w:lang w:val="nl-NL"/>
        </w:rPr>
        <w:t>2</w:t>
      </w:r>
      <w:r w:rsidRPr="00C35F32">
        <w:rPr>
          <w:color w:val="000000"/>
          <w:szCs w:val="18"/>
          <w:lang w:val="nl-NL"/>
        </w:rPr>
        <w:t xml:space="preserve"> binnen de no fishery zone op het Friese Front</w:t>
      </w:r>
      <w:r w:rsidR="00CC2AE9">
        <w:rPr>
          <w:color w:val="000000"/>
          <w:szCs w:val="18"/>
          <w:lang w:val="nl-NL"/>
        </w:rPr>
        <w:t xml:space="preserve"> </w:t>
      </w:r>
      <w:r w:rsidRPr="00025F9D" w:rsidR="00CC2AE9">
        <w:rPr>
          <w:color w:val="000000"/>
          <w:szCs w:val="18"/>
          <w:highlight w:val="green"/>
          <w:lang w:val="nl-NL"/>
        </w:rPr>
        <w:t>en het aanwijzen van een onderzoeksgebied voor visserij</w:t>
      </w:r>
      <w:r w:rsidRPr="00025F9D">
        <w:rPr>
          <w:color w:val="000000"/>
          <w:szCs w:val="18"/>
          <w:highlight w:val="green"/>
          <w:lang w:val="nl-NL"/>
        </w:rPr>
        <w:t>.</w:t>
      </w:r>
      <w:r w:rsidRPr="00025F9D" w:rsidR="00B15FB8">
        <w:rPr>
          <w:rStyle w:val="FootnoteReference"/>
          <w:color w:val="000000"/>
          <w:szCs w:val="18"/>
          <w:highlight w:val="green"/>
          <w:lang w:val="nl-NL"/>
        </w:rPr>
        <w:footnoteReference w:id="8"/>
      </w:r>
      <w:r w:rsidRPr="00C35F32">
        <w:rPr>
          <w:color w:val="000000"/>
          <w:szCs w:val="18"/>
          <w:lang w:val="nl-NL"/>
        </w:rPr>
        <w:t xml:space="preserve"> </w:t>
      </w:r>
      <w:r w:rsidRPr="00CC2AE9" w:rsidR="00D246C8">
        <w:rPr>
          <w:color w:val="000000"/>
          <w:szCs w:val="18"/>
          <w:highlight w:val="red"/>
          <w:lang w:val="nl-NL"/>
        </w:rPr>
        <w:t>Deze maatregel</w:t>
      </w:r>
      <w:r w:rsidRPr="00C35F32" w:rsidR="00D246C8">
        <w:rPr>
          <w:color w:val="000000"/>
          <w:szCs w:val="18"/>
          <w:lang w:val="nl-NL"/>
        </w:rPr>
        <w:t xml:space="preserve"> </w:t>
      </w:r>
      <w:r w:rsidRPr="00025F9D" w:rsidR="00CC2AE9">
        <w:rPr>
          <w:color w:val="000000"/>
          <w:szCs w:val="18"/>
          <w:highlight w:val="green"/>
          <w:lang w:val="nl-NL"/>
        </w:rPr>
        <w:t>Het oesterherstelgebied</w:t>
      </w:r>
      <w:r w:rsidR="00CC2AE9">
        <w:rPr>
          <w:color w:val="000000"/>
          <w:szCs w:val="18"/>
          <w:lang w:val="nl-NL"/>
        </w:rPr>
        <w:t xml:space="preserve"> </w:t>
      </w:r>
      <w:r w:rsidRPr="00C35F32">
        <w:rPr>
          <w:color w:val="000000"/>
          <w:szCs w:val="18"/>
          <w:lang w:val="nl-NL"/>
        </w:rPr>
        <w:t>draagt bij aan het behalen van milieudoel D6T5 (terugkeer en herstel van biogene riffen, waaronder platte-oesterbanken).</w:t>
      </w:r>
      <w:r w:rsidRPr="00C35F32" w:rsidR="00C35F32">
        <w:rPr>
          <w:color w:val="000000"/>
          <w:szCs w:val="18"/>
          <w:lang w:val="nl-NL"/>
        </w:rPr>
        <w:t xml:space="preserve"> </w:t>
      </w:r>
      <w:r w:rsidRPr="00025F9D" w:rsidR="00C35F32">
        <w:rPr>
          <w:color w:val="000000"/>
          <w:szCs w:val="18"/>
          <w:highlight w:val="green"/>
          <w:lang w:val="nl-NL"/>
        </w:rPr>
        <w:t xml:space="preserve">De coördinaten van de hoekpunten van de oesterherstelgebieden en het onderzoeksgebied </w:t>
      </w:r>
      <w:r w:rsidRPr="00025F9D" w:rsidR="00CC2AE9">
        <w:rPr>
          <w:color w:val="000000"/>
          <w:szCs w:val="18"/>
          <w:highlight w:val="green"/>
          <w:lang w:val="nl-NL"/>
        </w:rPr>
        <w:t xml:space="preserve">voor visserij </w:t>
      </w:r>
      <w:r w:rsidRPr="00025F9D" w:rsidR="00C35F32">
        <w:rPr>
          <w:color w:val="000000"/>
          <w:szCs w:val="18"/>
          <w:highlight w:val="green"/>
          <w:lang w:val="nl-NL"/>
        </w:rPr>
        <w:t xml:space="preserve">zijn </w:t>
      </w:r>
      <w:r w:rsidRPr="00025F9D" w:rsidR="00CC2AE9">
        <w:rPr>
          <w:color w:val="000000"/>
          <w:szCs w:val="18"/>
          <w:highlight w:val="green"/>
          <w:lang w:val="nl-NL"/>
        </w:rPr>
        <w:t>te vinden in Bijlage 2.</w:t>
      </w:r>
    </w:p>
    <w:p w:rsidRPr="00E95D0F" w:rsidR="00E95D0F" w:rsidP="00E95D0F" w:rsidRDefault="00E95D0F" w14:paraId="00A1601F" w14:textId="77777777">
      <w:pPr>
        <w:spacing w:after="0"/>
        <w:rPr>
          <w:color w:val="000000"/>
          <w:szCs w:val="18"/>
          <w:lang w:val="nl-NL"/>
        </w:rPr>
      </w:pPr>
    </w:p>
    <w:p w:rsidR="00DD2AA3" w:rsidP="000138BD" w:rsidRDefault="00DD2AA3" w14:paraId="7B3F05D4" w14:textId="600CD79F">
      <w:pPr>
        <w:spacing w:after="0"/>
        <w:rPr>
          <w:i/>
          <w:szCs w:val="18"/>
          <w:lang w:val="nl-NL"/>
        </w:rPr>
      </w:pPr>
      <w:r>
        <w:rPr>
          <w:i/>
          <w:szCs w:val="18"/>
          <w:lang w:val="nl-NL"/>
        </w:rPr>
        <w:t>KRM-gebieden</w:t>
      </w:r>
    </w:p>
    <w:p w:rsidRPr="00025F9D" w:rsidR="001A354A" w:rsidP="001A354A" w:rsidRDefault="00DD2AA3" w14:paraId="5175D66F" w14:textId="5706C9E9">
      <w:pPr>
        <w:rPr>
          <w:iCs/>
          <w:highlight w:val="green"/>
          <w:lang w:val="nl-NL"/>
        </w:rPr>
      </w:pPr>
      <w:r w:rsidRPr="00F644A4">
        <w:rPr>
          <w:rFonts w:eastAsia="Times New Roman"/>
          <w:lang w:val="nl-NL"/>
        </w:rPr>
        <w:t>Naast de</w:t>
      </w:r>
      <w:r w:rsidRPr="00F644A4" w:rsidR="000F671B">
        <w:rPr>
          <w:rFonts w:eastAsia="Times New Roman"/>
          <w:lang w:val="nl-NL"/>
        </w:rPr>
        <w:t xml:space="preserve"> reeds</w:t>
      </w:r>
      <w:r w:rsidRPr="00D246C8" w:rsidR="00D246C8">
        <w:rPr>
          <w:rFonts w:eastAsia="Times New Roman"/>
          <w:highlight w:val="red"/>
          <w:lang w:val="nl-NL"/>
        </w:rPr>
        <w:t xml:space="preserve"> </w:t>
      </w:r>
      <w:r w:rsidRPr="009709FC" w:rsidR="00D246C8">
        <w:rPr>
          <w:rFonts w:eastAsia="Times New Roman"/>
          <w:highlight w:val="red"/>
          <w:lang w:val="nl-NL"/>
        </w:rPr>
        <w:t>aangewezen</w:t>
      </w:r>
      <w:r w:rsidR="00D246C8">
        <w:rPr>
          <w:rFonts w:eastAsia="Times New Roman"/>
          <w:lang w:val="nl-NL"/>
        </w:rPr>
        <w:t xml:space="preserve"> </w:t>
      </w:r>
      <w:r w:rsidRPr="00025F9D" w:rsidR="009709FC">
        <w:rPr>
          <w:rFonts w:eastAsia="Times New Roman"/>
          <w:highlight w:val="green"/>
          <w:lang w:val="nl-NL"/>
        </w:rPr>
        <w:t>beschermde</w:t>
      </w:r>
      <w:r w:rsidR="009709FC">
        <w:rPr>
          <w:rFonts w:eastAsia="Times New Roman"/>
          <w:lang w:val="nl-NL"/>
        </w:rPr>
        <w:t xml:space="preserve"> </w:t>
      </w:r>
      <w:r w:rsidRPr="00F644A4">
        <w:rPr>
          <w:rFonts w:eastAsia="Times New Roman"/>
          <w:lang w:val="nl-NL"/>
        </w:rPr>
        <w:t xml:space="preserve">KRM-gebieden Friese Front en de Centrale Oestergronden, </w:t>
      </w:r>
      <w:r w:rsidRPr="00025F9D">
        <w:rPr>
          <w:rFonts w:eastAsia="Times New Roman"/>
          <w:highlight w:val="green"/>
          <w:lang w:val="nl-NL"/>
        </w:rPr>
        <w:t>word</w:t>
      </w:r>
      <w:r w:rsidRPr="00025F9D" w:rsidR="0082435F">
        <w:rPr>
          <w:rFonts w:eastAsia="Times New Roman"/>
          <w:highlight w:val="green"/>
          <w:lang w:val="nl-NL"/>
        </w:rPr>
        <w:t>en</w:t>
      </w:r>
      <w:r w:rsidRPr="00025F9D">
        <w:rPr>
          <w:rFonts w:eastAsia="Times New Roman"/>
          <w:highlight w:val="green"/>
          <w:lang w:val="nl-NL"/>
        </w:rPr>
        <w:t xml:space="preserve"> </w:t>
      </w:r>
      <w:r w:rsidRPr="00025F9D" w:rsidR="0082435F">
        <w:rPr>
          <w:rFonts w:eastAsia="Times New Roman"/>
          <w:highlight w:val="green"/>
          <w:lang w:val="nl-NL"/>
        </w:rPr>
        <w:t xml:space="preserve">de </w:t>
      </w:r>
      <w:r w:rsidRPr="00025F9D">
        <w:rPr>
          <w:rFonts w:eastAsia="Times New Roman"/>
          <w:highlight w:val="green"/>
          <w:lang w:val="nl-NL"/>
        </w:rPr>
        <w:t>gebied</w:t>
      </w:r>
      <w:r w:rsidRPr="00025F9D" w:rsidR="0082435F">
        <w:rPr>
          <w:rFonts w:eastAsia="Times New Roman"/>
          <w:highlight w:val="green"/>
          <w:lang w:val="nl-NL"/>
        </w:rPr>
        <w:t>en</w:t>
      </w:r>
      <w:r w:rsidRPr="00025F9D">
        <w:rPr>
          <w:rFonts w:eastAsia="Times New Roman"/>
          <w:highlight w:val="green"/>
          <w:lang w:val="nl-NL"/>
        </w:rPr>
        <w:t xml:space="preserve"> Borkumse Stenen</w:t>
      </w:r>
      <w:r w:rsidRPr="00025F9D" w:rsidR="0082435F">
        <w:rPr>
          <w:rFonts w:eastAsia="Times New Roman"/>
          <w:highlight w:val="green"/>
          <w:lang w:val="nl-NL"/>
        </w:rPr>
        <w:t xml:space="preserve"> en Zuidelijke Doggersbank</w:t>
      </w:r>
      <w:r w:rsidRPr="00025F9D">
        <w:rPr>
          <w:rFonts w:eastAsia="Times New Roman"/>
          <w:highlight w:val="green"/>
          <w:lang w:val="nl-NL"/>
        </w:rPr>
        <w:t xml:space="preserve"> </w:t>
      </w:r>
      <w:r w:rsidRPr="00025F9D" w:rsidR="009709FC">
        <w:rPr>
          <w:rFonts w:eastAsia="Times New Roman"/>
          <w:highlight w:val="green"/>
          <w:lang w:val="nl-NL"/>
        </w:rPr>
        <w:t xml:space="preserve">ook </w:t>
      </w:r>
      <w:r w:rsidRPr="00025F9D">
        <w:rPr>
          <w:rFonts w:eastAsia="Times New Roman"/>
          <w:highlight w:val="green"/>
          <w:lang w:val="nl-NL"/>
        </w:rPr>
        <w:t xml:space="preserve">beschermd </w:t>
      </w:r>
      <w:r w:rsidRPr="00025F9D" w:rsidR="009709FC">
        <w:rPr>
          <w:rFonts w:eastAsia="Times New Roman"/>
          <w:highlight w:val="green"/>
          <w:lang w:val="nl-NL"/>
        </w:rPr>
        <w:t xml:space="preserve">onder de </w:t>
      </w:r>
      <w:r w:rsidRPr="00025F9D">
        <w:rPr>
          <w:rFonts w:eastAsia="Times New Roman"/>
          <w:highlight w:val="green"/>
          <w:lang w:val="nl-NL"/>
        </w:rPr>
        <w:t>KRM</w:t>
      </w:r>
      <w:r w:rsidRPr="00F644A4">
        <w:rPr>
          <w:rFonts w:eastAsia="Times New Roman"/>
          <w:lang w:val="nl-NL"/>
        </w:rPr>
        <w:t xml:space="preserve"> (</w:t>
      </w:r>
      <w:r w:rsidRPr="00F644A4" w:rsidR="00D36D61">
        <w:rPr>
          <w:rFonts w:eastAsia="Times New Roman"/>
          <w:lang w:val="nl-NL"/>
        </w:rPr>
        <w:t xml:space="preserve">maatregel conform </w:t>
      </w:r>
      <w:r w:rsidRPr="00F644A4">
        <w:rPr>
          <w:rFonts w:eastAsia="Times New Roman"/>
          <w:lang w:val="nl-NL"/>
        </w:rPr>
        <w:t>KRM artikel 13.4)</w:t>
      </w:r>
      <w:r w:rsidRPr="00F644A4" w:rsidR="00D36D61">
        <w:rPr>
          <w:rFonts w:eastAsia="Times New Roman"/>
          <w:lang w:val="nl-NL"/>
        </w:rPr>
        <w:t>.</w:t>
      </w:r>
      <w:r w:rsidRPr="00F644A4" w:rsidR="001B6BC0">
        <w:rPr>
          <w:rFonts w:eastAsia="Times New Roman"/>
          <w:lang w:val="nl-NL"/>
        </w:rPr>
        <w:t xml:space="preserve"> </w:t>
      </w:r>
      <w:r w:rsidRPr="00025F9D" w:rsidR="001B6BC0">
        <w:rPr>
          <w:rFonts w:eastAsia="Times New Roman"/>
          <w:highlight w:val="green"/>
          <w:lang w:val="nl-NL"/>
        </w:rPr>
        <w:t>Als gevolg van de</w:t>
      </w:r>
      <w:r w:rsidRPr="00025F9D" w:rsidR="003D2754">
        <w:rPr>
          <w:rFonts w:eastAsia="Times New Roman"/>
          <w:highlight w:val="green"/>
          <w:lang w:val="nl-NL"/>
        </w:rPr>
        <w:t xml:space="preserve"> bescherming van de Zuidelijke Doggersbank onder de</w:t>
      </w:r>
      <w:r w:rsidRPr="00025F9D" w:rsidR="001B6BC0">
        <w:rPr>
          <w:rFonts w:eastAsia="Times New Roman"/>
          <w:highlight w:val="green"/>
          <w:lang w:val="nl-NL"/>
        </w:rPr>
        <w:t xml:space="preserve"> KRM</w:t>
      </w:r>
      <w:r w:rsidRPr="00025F9D" w:rsidR="001B6BC0">
        <w:rPr>
          <w:highlight w:val="green"/>
          <w:lang w:val="nl-NL"/>
        </w:rPr>
        <w:t xml:space="preserve">, wordt de begrenzing van de noordwestelijke hoek van KRM-gebied Centrale Oestergronden aangepast om ervoor te zorgen dat er geen overlap tussen </w:t>
      </w:r>
      <w:r w:rsidRPr="00025F9D" w:rsidR="003D2754">
        <w:rPr>
          <w:highlight w:val="green"/>
          <w:lang w:val="nl-NL"/>
        </w:rPr>
        <w:t xml:space="preserve">de </w:t>
      </w:r>
      <w:r w:rsidRPr="00025F9D" w:rsidR="001B6BC0">
        <w:rPr>
          <w:highlight w:val="green"/>
          <w:lang w:val="nl-NL"/>
        </w:rPr>
        <w:t>KRM-gebieden is.</w:t>
      </w:r>
      <w:r w:rsidRPr="00025F9D" w:rsidR="00FE474C">
        <w:rPr>
          <w:highlight w:val="green"/>
          <w:lang w:val="nl-NL"/>
        </w:rPr>
        <w:t xml:space="preserve"> De totaal oppervlaktes van </w:t>
      </w:r>
      <w:r w:rsidRPr="00025F9D" w:rsidR="003D2754">
        <w:rPr>
          <w:highlight w:val="green"/>
          <w:lang w:val="nl-NL"/>
        </w:rPr>
        <w:t>alle</w:t>
      </w:r>
      <w:r w:rsidRPr="00025F9D" w:rsidR="00FE474C">
        <w:rPr>
          <w:highlight w:val="green"/>
          <w:lang w:val="nl-NL"/>
        </w:rPr>
        <w:t xml:space="preserve"> KRM gebieden komen op het volgende neer: Friese Front is 2016 km², Centrale Oestergronden is 1062 km², Borkumse Stenen is 68</w:t>
      </w:r>
      <w:r w:rsidRPr="00025F9D" w:rsidR="007D48BE">
        <w:rPr>
          <w:highlight w:val="green"/>
          <w:lang w:val="nl-NL"/>
        </w:rPr>
        <w:t>2</w:t>
      </w:r>
      <w:r w:rsidRPr="00025F9D" w:rsidR="00FE474C">
        <w:rPr>
          <w:highlight w:val="green"/>
          <w:lang w:val="nl-NL"/>
        </w:rPr>
        <w:t xml:space="preserve"> km², en Zuidelijke Doggersbank 530 km².</w:t>
      </w:r>
      <w:r w:rsidRPr="00025F9D" w:rsidR="003D2754">
        <w:rPr>
          <w:highlight w:val="green"/>
          <w:lang w:val="nl-NL"/>
        </w:rPr>
        <w:t xml:space="preserve"> </w:t>
      </w:r>
      <w:r w:rsidRPr="00025F9D" w:rsidR="00A857B0">
        <w:rPr>
          <w:iCs/>
          <w:highlight w:val="green"/>
          <w:lang w:val="nl-NL"/>
        </w:rPr>
        <w:t xml:space="preserve">De coördinaten van de hoekpunten van de KRM gebieden zijn </w:t>
      </w:r>
      <w:r w:rsidRPr="00025F9D" w:rsidR="003D2754">
        <w:rPr>
          <w:iCs/>
          <w:highlight w:val="green"/>
          <w:lang w:val="nl-NL"/>
        </w:rPr>
        <w:t>te vinden in Bijlage 2.</w:t>
      </w:r>
    </w:p>
    <w:p w:rsidRPr="005B382F" w:rsidR="0082435F" w:rsidP="00DD2AA3" w:rsidRDefault="00DD2AA3" w14:paraId="40E9552E" w14:textId="18DDA851">
      <w:pPr>
        <w:rPr>
          <w:szCs w:val="18"/>
          <w:lang w:val="nl-NL"/>
        </w:rPr>
      </w:pPr>
      <w:r w:rsidRPr="00D65441">
        <w:rPr>
          <w:szCs w:val="18"/>
          <w:lang w:val="nl-NL"/>
        </w:rPr>
        <w:t xml:space="preserve">Het herstel van substantiële delen van het zeebodemecosysteem van een verstoorde toestand naar een natuurlijke toestand kan worden ondersteund door deze gebieden te beschermen tégen activiteiten die bijdragen aan deze verstoorde toestand, </w:t>
      </w:r>
      <w:r>
        <w:rPr>
          <w:szCs w:val="18"/>
          <w:lang w:val="nl-NL"/>
        </w:rPr>
        <w:t xml:space="preserve">zoals </w:t>
      </w:r>
      <w:r w:rsidRPr="00D65441">
        <w:rPr>
          <w:szCs w:val="18"/>
          <w:lang w:val="nl-NL"/>
        </w:rPr>
        <w:t>bijvoorbeeld visserijactiviteiten, zandwinning of boringen. Maatregelen m</w:t>
      </w:r>
      <w:r w:rsidR="000138BD">
        <w:rPr>
          <w:szCs w:val="18"/>
          <w:lang w:val="nl-NL"/>
        </w:rPr>
        <w:t>et betrekking tot</w:t>
      </w:r>
      <w:r w:rsidRPr="00D65441">
        <w:rPr>
          <w:szCs w:val="18"/>
          <w:lang w:val="nl-NL"/>
        </w:rPr>
        <w:t xml:space="preserve"> visserij activiteiten worden vastgesteld middels de artikel 11-procedure van het GVB. De noodzaak voor aanvullende maatregelen voor andere activiteiten dan visserij is </w:t>
      </w:r>
      <w:r>
        <w:rPr>
          <w:szCs w:val="18"/>
          <w:lang w:val="nl-NL"/>
        </w:rPr>
        <w:t>één van de kennis</w:t>
      </w:r>
      <w:r w:rsidRPr="00D65441">
        <w:rPr>
          <w:szCs w:val="18"/>
          <w:lang w:val="nl-NL"/>
        </w:rPr>
        <w:t xml:space="preserve">opgaven. </w:t>
      </w:r>
    </w:p>
    <w:p w:rsidR="001443C1" w:rsidP="001443C1" w:rsidRDefault="00AC626B" w14:paraId="4DD71A17" w14:textId="77777777">
      <w:pPr>
        <w:spacing w:after="0"/>
        <w:rPr>
          <w:i/>
          <w:szCs w:val="18"/>
          <w:lang w:val="nl-NL"/>
        </w:rPr>
      </w:pPr>
      <w:r>
        <w:rPr>
          <w:i/>
          <w:szCs w:val="18"/>
          <w:lang w:val="nl-NL"/>
        </w:rPr>
        <w:t>Natuurversterking benthos en windenergie op zee</w:t>
      </w:r>
    </w:p>
    <w:p w:rsidRPr="00275F31" w:rsidR="00275F31" w:rsidP="00275F31" w:rsidRDefault="00275F31" w14:paraId="776EBF86" w14:textId="2F995C1A">
      <w:pPr>
        <w:rPr>
          <w:szCs w:val="18"/>
          <w:lang w:val="nl-NL"/>
        </w:rPr>
      </w:pPr>
      <w:r w:rsidRPr="00275F31">
        <w:rPr>
          <w:szCs w:val="18"/>
          <w:lang w:val="nl-NL"/>
        </w:rPr>
        <w:t xml:space="preserve">Bij de uitrol van windparken op zee ontstaat door de aanwezigheid van hard substraat in de vorm van stortstenen en het feit dat ze gesloten zijn voor bodemberoerende activiteiten, ook de potentie bij te dragen aan integrale natuurversterking. Voor het versterken van soortenpopulaties en habitats die van nature in de Noordzee voorkomen, wordt sinds 2015 ingezet op het natuurinclusief ontwerpen en realiseren van nieuwe windparken op zee, en het uitvoeren van natuurherstelprojecten in windparken. Daarbij worden soorten en habitattypen van de EU-Habitatrichtlijn beoogd die landelijk niet in een gunstige staat van instandhouding verkeren, soorten van nationale rode lijsten, en soorten of habitats van de OSPAR-List of Threatened and/or Declining Species and Habitats waarvoor aanbevelingen zijn geadopteerd. Natuurinclusief bouwen verkeert nog in een ontwikkelfase. </w:t>
      </w:r>
      <w:r w:rsidR="007E6BAA">
        <w:rPr>
          <w:szCs w:val="18"/>
          <w:lang w:val="nl-NL"/>
        </w:rPr>
        <w:t>Deze planperiode wordt het</w:t>
      </w:r>
      <w:r w:rsidRPr="00275F31">
        <w:rPr>
          <w:szCs w:val="18"/>
          <w:lang w:val="nl-NL"/>
        </w:rPr>
        <w:t xml:space="preserve"> concept verder</w:t>
      </w:r>
      <w:r w:rsidR="007E6BAA">
        <w:rPr>
          <w:szCs w:val="18"/>
          <w:lang w:val="nl-NL"/>
        </w:rPr>
        <w:t xml:space="preserve"> geoperationaliseerd.</w:t>
      </w:r>
    </w:p>
    <w:p w:rsidR="0070550F" w:rsidP="0070550F" w:rsidRDefault="0070550F" w14:paraId="3D157553" w14:textId="77777777">
      <w:pPr>
        <w:pStyle w:val="TOCHeading"/>
      </w:pPr>
      <w:r>
        <w:t>Kennisagenda</w:t>
      </w:r>
      <w:r w:rsidRPr="00B96268">
        <w:t xml:space="preserve"> </w:t>
      </w:r>
    </w:p>
    <w:p w:rsidR="007E6BAA" w:rsidP="007E6BAA" w:rsidRDefault="00716B07" w14:paraId="6EF41B53" w14:textId="2B752607">
      <w:pPr>
        <w:rPr>
          <w:lang w:val="nl-NL" w:eastAsia="nl-NL"/>
        </w:rPr>
      </w:pPr>
      <w:r w:rsidRPr="00716B07">
        <w:rPr>
          <w:lang w:val="nl-NL" w:eastAsia="nl-NL"/>
        </w:rPr>
        <w:t xml:space="preserve">Deze paragraaf omvat de belangrijkste kennisvragen omtrent </w:t>
      </w:r>
      <w:r w:rsidR="002346D8">
        <w:rPr>
          <w:lang w:val="nl-NL" w:eastAsia="nl-NL"/>
        </w:rPr>
        <w:t xml:space="preserve">zeebodem </w:t>
      </w:r>
      <w:r w:rsidR="00CB6B46">
        <w:rPr>
          <w:lang w:val="nl-NL" w:eastAsia="nl-NL"/>
        </w:rPr>
        <w:t xml:space="preserve">integriteit </w:t>
      </w:r>
      <w:r w:rsidRPr="002346D8" w:rsidR="002346D8">
        <w:rPr>
          <w:lang w:val="nl-NL" w:eastAsia="nl-NL"/>
        </w:rPr>
        <w:t>/ benthische habitats</w:t>
      </w:r>
      <w:r w:rsidR="00D91B1B">
        <w:rPr>
          <w:lang w:val="nl-NL" w:eastAsia="nl-NL"/>
        </w:rPr>
        <w:t xml:space="preserve"> </w:t>
      </w:r>
      <w:r w:rsidR="00F52DF4">
        <w:rPr>
          <w:lang w:val="nl-NL" w:eastAsia="nl-NL"/>
        </w:rPr>
        <w:t>d</w:t>
      </w:r>
      <w:r w:rsidR="00D91B1B">
        <w:rPr>
          <w:lang w:val="nl-NL" w:eastAsia="nl-NL"/>
        </w:rPr>
        <w:t>ie in de periode 2022-2027 worden onderzocht.</w:t>
      </w:r>
    </w:p>
    <w:p w:rsidRPr="007E6BAA" w:rsidR="00CB6B46" w:rsidP="00CB6B46" w:rsidRDefault="00CB6B46" w14:paraId="3515031D" w14:textId="77777777">
      <w:pPr>
        <w:pStyle w:val="ListParagraph"/>
        <w:numPr>
          <w:ilvl w:val="0"/>
          <w:numId w:val="34"/>
        </w:numPr>
        <w:spacing w:line="256" w:lineRule="auto"/>
        <w:rPr>
          <w:lang w:val="nl-NL"/>
        </w:rPr>
      </w:pPr>
      <w:r w:rsidRPr="007E6BAA">
        <w:rPr>
          <w:lang w:val="nl-NL"/>
        </w:rPr>
        <w:t>Noodzaak van aanvullende maatregelen voor andere activiteiten dan visserij in de beschermde gebieden onder de KRM</w:t>
      </w:r>
      <w:r w:rsidR="007D682C">
        <w:rPr>
          <w:lang w:val="nl-NL"/>
        </w:rPr>
        <w:t xml:space="preserve"> (nationaal)</w:t>
      </w:r>
      <w:r w:rsidRPr="007E6BAA">
        <w:rPr>
          <w:lang w:val="nl-NL"/>
        </w:rPr>
        <w:t xml:space="preserve">. </w:t>
      </w:r>
    </w:p>
    <w:p w:rsidR="00716B07" w:rsidP="00746E9B" w:rsidRDefault="002346D8" w14:paraId="742584DD" w14:textId="77777777">
      <w:pPr>
        <w:pStyle w:val="ListParagraph"/>
        <w:numPr>
          <w:ilvl w:val="0"/>
          <w:numId w:val="34"/>
        </w:numPr>
        <w:rPr>
          <w:lang w:val="nl-NL"/>
        </w:rPr>
      </w:pPr>
      <w:r>
        <w:rPr>
          <w:lang w:val="nl-NL"/>
        </w:rPr>
        <w:t>E</w:t>
      </w:r>
      <w:r w:rsidRPr="00952F2F" w:rsidR="00716B07">
        <w:rPr>
          <w:lang w:val="nl-NL"/>
        </w:rPr>
        <w:t xml:space="preserve">cologische gevolgen (o.a. voor vis en benthos) van de toenemende zandwinning en grotere suppletievolumes en hoe deze </w:t>
      </w:r>
      <w:r w:rsidR="00716B07">
        <w:rPr>
          <w:lang w:val="nl-NL"/>
        </w:rPr>
        <w:t xml:space="preserve">gevolgen </w:t>
      </w:r>
      <w:r>
        <w:rPr>
          <w:lang w:val="nl-NL"/>
        </w:rPr>
        <w:t xml:space="preserve">kunnen </w:t>
      </w:r>
      <w:r w:rsidR="00716B07">
        <w:rPr>
          <w:lang w:val="nl-NL"/>
        </w:rPr>
        <w:t>worden geminimaliseerd</w:t>
      </w:r>
      <w:r w:rsidR="007D682C">
        <w:rPr>
          <w:lang w:val="nl-NL"/>
        </w:rPr>
        <w:t xml:space="preserve"> (nationaal)</w:t>
      </w:r>
      <w:r>
        <w:rPr>
          <w:lang w:val="nl-NL"/>
        </w:rPr>
        <w:t>.</w:t>
      </w:r>
    </w:p>
    <w:p w:rsidRPr="000337F6" w:rsidR="00AA372E" w:rsidP="00746E9B" w:rsidRDefault="00AA372E" w14:paraId="50C222AB" w14:textId="1FEA250F">
      <w:pPr>
        <w:pStyle w:val="ListParagraph"/>
        <w:numPr>
          <w:ilvl w:val="0"/>
          <w:numId w:val="34"/>
        </w:numPr>
        <w:rPr>
          <w:lang w:val="nl-NL"/>
        </w:rPr>
      </w:pPr>
      <w:r>
        <w:rPr>
          <w:lang w:val="nl-NL"/>
        </w:rPr>
        <w:t xml:space="preserve">Effecten van schaalvergroting windparken op de toestand van </w:t>
      </w:r>
      <w:r w:rsidRPr="003345B8">
        <w:rPr>
          <w:lang w:val="nl-NL"/>
        </w:rPr>
        <w:t>benthische habitats</w:t>
      </w:r>
      <w:r>
        <w:rPr>
          <w:lang w:val="nl-NL"/>
        </w:rPr>
        <w:t xml:space="preserve">. Deze kennisvraag wordt in samenhang met de volgende generieke kennisvraag opgepakt: </w:t>
      </w:r>
      <w:r w:rsidRPr="00FF5C92">
        <w:rPr>
          <w:lang w:val="nl-NL"/>
        </w:rPr>
        <w:t>Wat is het effect van schaalvergroting van windparken op de milieutoestand (het mariene ecosysteem op NCP niveau)?</w:t>
      </w:r>
    </w:p>
    <w:p w:rsidR="00FD4204" w:rsidP="00746E9B" w:rsidRDefault="00D91B1B" w14:paraId="06A0EA03" w14:textId="6ED6D19D">
      <w:pPr>
        <w:pStyle w:val="ListParagraph"/>
        <w:numPr>
          <w:ilvl w:val="0"/>
          <w:numId w:val="34"/>
        </w:numPr>
        <w:rPr>
          <w:lang w:val="nl-NL"/>
        </w:rPr>
      </w:pPr>
      <w:r w:rsidRPr="00D91B1B">
        <w:rPr>
          <w:lang w:val="nl-NL"/>
        </w:rPr>
        <w:t xml:space="preserve">Volgen </w:t>
      </w:r>
      <w:r w:rsidR="00AA372E">
        <w:rPr>
          <w:lang w:val="nl-NL"/>
        </w:rPr>
        <w:t xml:space="preserve">van </w:t>
      </w:r>
      <w:r w:rsidRPr="00D91B1B">
        <w:rPr>
          <w:lang w:val="nl-NL"/>
        </w:rPr>
        <w:t>ontwikkelingen benthos hard en zacht substraat rond windmolens</w:t>
      </w:r>
      <w:r w:rsidR="00FD4204">
        <w:rPr>
          <w:lang w:val="nl-NL"/>
        </w:rPr>
        <w:t xml:space="preserve"> via een nog op te stellen monitoringsplan</w:t>
      </w:r>
      <w:r w:rsidRPr="00D91B1B">
        <w:rPr>
          <w:lang w:val="nl-NL"/>
        </w:rPr>
        <w:t xml:space="preserve">. Ook met doel om inzicht te verkrijgen of introductie van hard substraat kan leiden tot natuurversterking van biogene riffen en andere hard substraatsoorten. </w:t>
      </w:r>
    </w:p>
    <w:p w:rsidR="00A46F3E" w:rsidP="00746E9B" w:rsidRDefault="0086519B" w14:paraId="119C60CC" w14:textId="34B79A6A">
      <w:pPr>
        <w:pStyle w:val="ListParagraph"/>
        <w:numPr>
          <w:ilvl w:val="0"/>
          <w:numId w:val="34"/>
        </w:numPr>
        <w:rPr>
          <w:lang w:val="nl-NL"/>
        </w:rPr>
      </w:pPr>
      <w:r w:rsidRPr="0086519B">
        <w:rPr>
          <w:lang w:val="nl-NL"/>
        </w:rPr>
        <w:t>Onderzoek naar de aanwezigheid en verspreiding van zandkokerwormriffen</w:t>
      </w:r>
      <w:r w:rsidR="00D618CE">
        <w:rPr>
          <w:lang w:val="nl-NL"/>
        </w:rPr>
        <w:t>.</w:t>
      </w:r>
    </w:p>
    <w:p w:rsidR="00FB0459" w:rsidP="00746E9B" w:rsidRDefault="00FB0459" w14:paraId="1DD430AA" w14:textId="08C254E8">
      <w:pPr>
        <w:pStyle w:val="ListParagraph"/>
        <w:numPr>
          <w:ilvl w:val="0"/>
          <w:numId w:val="34"/>
        </w:numPr>
        <w:rPr>
          <w:lang w:val="nl-NL"/>
        </w:rPr>
      </w:pPr>
      <w:r>
        <w:rPr>
          <w:lang w:val="nl-NL"/>
        </w:rPr>
        <w:t xml:space="preserve">Ontwikkelen </w:t>
      </w:r>
      <w:r w:rsidRPr="001E3EEA">
        <w:rPr>
          <w:lang w:val="nl-NL"/>
        </w:rPr>
        <w:t>van innovatieve technieken en installaties (</w:t>
      </w:r>
      <w:r w:rsidRPr="00F76871">
        <w:rPr>
          <w:i/>
          <w:iCs/>
          <w:lang w:val="nl-NL"/>
        </w:rPr>
        <w:t>hatcheries</w:t>
      </w:r>
      <w:r w:rsidRPr="001E3EEA">
        <w:rPr>
          <w:lang w:val="nl-NL"/>
        </w:rPr>
        <w:t>) voor het kweken van platte oesters</w:t>
      </w:r>
      <w:r>
        <w:rPr>
          <w:lang w:val="nl-NL"/>
        </w:rPr>
        <w:t xml:space="preserve"> om in het wild uit te kunnen zetten voor natuurhersteldoeleinden.</w:t>
      </w:r>
    </w:p>
    <w:p w:rsidRPr="00B96268" w:rsidR="0070550F" w:rsidP="00746E9B" w:rsidRDefault="0070550F" w14:paraId="4DD7CCB6" w14:textId="77777777">
      <w:pPr>
        <w:pStyle w:val="Stijl1"/>
        <w:numPr>
          <w:ilvl w:val="1"/>
          <w:numId w:val="16"/>
        </w:numPr>
        <w:rPr>
          <w:lang w:val="nl-NL"/>
        </w:rPr>
      </w:pPr>
      <w:bookmarkStart w:name="_Toc59455632" w:id="42"/>
      <w:r w:rsidRPr="007A3BBF">
        <w:rPr>
          <w:lang w:val="nl-NL"/>
        </w:rPr>
        <w:t>Hydrografische eigenschappen</w:t>
      </w:r>
      <w:r>
        <w:rPr>
          <w:lang w:val="nl-NL"/>
        </w:rPr>
        <w:t xml:space="preserve"> (D7)</w:t>
      </w:r>
      <w:bookmarkEnd w:id="42"/>
    </w:p>
    <w:p w:rsidRPr="0045001C" w:rsidR="0070550F" w:rsidP="0070550F" w:rsidRDefault="0070550F" w14:paraId="60690986" w14:textId="77777777">
      <w:pPr>
        <w:pStyle w:val="TOCHeading"/>
      </w:pPr>
      <w:r w:rsidRPr="0045001C">
        <w:t>Goede milieutoestand en doelen</w:t>
      </w:r>
    </w:p>
    <w:p w:rsidR="0070550F" w:rsidP="0070550F" w:rsidRDefault="0070550F" w14:paraId="3A85C360" w14:textId="77777777">
      <w:pPr>
        <w:rPr>
          <w:lang w:val="nl-NL" w:eastAsia="nl-NL"/>
        </w:rPr>
      </w:pPr>
      <w:r w:rsidRPr="00077215">
        <w:rPr>
          <w:lang w:val="nl-NL" w:eastAsia="nl-NL"/>
        </w:rPr>
        <w:t>Wijziging van hydrografische eigenschappen zoals stromingen en golven, kunnen invloed hebben op de fysische en chemische eigenschappen van de zee</w:t>
      </w:r>
      <w:r w:rsidR="00E41A13">
        <w:rPr>
          <w:lang w:val="nl-NL" w:eastAsia="nl-NL"/>
        </w:rPr>
        <w:t>. Denk aan</w:t>
      </w:r>
      <w:r w:rsidR="00CD2964">
        <w:rPr>
          <w:lang w:val="nl-NL" w:eastAsia="nl-NL"/>
        </w:rPr>
        <w:t xml:space="preserve"> </w:t>
      </w:r>
      <w:r w:rsidRPr="00077215">
        <w:rPr>
          <w:lang w:val="nl-NL" w:eastAsia="nl-NL"/>
        </w:rPr>
        <w:t>zoutgehalte</w:t>
      </w:r>
      <w:r w:rsidR="00CD2964">
        <w:rPr>
          <w:lang w:val="nl-NL" w:eastAsia="nl-NL"/>
        </w:rPr>
        <w:t xml:space="preserve">, </w:t>
      </w:r>
      <w:r w:rsidRPr="00077215">
        <w:rPr>
          <w:lang w:val="nl-NL" w:eastAsia="nl-NL"/>
        </w:rPr>
        <w:t>temperatuur</w:t>
      </w:r>
      <w:r w:rsidR="00CD2964">
        <w:rPr>
          <w:lang w:val="nl-NL" w:eastAsia="nl-NL"/>
        </w:rPr>
        <w:t xml:space="preserve"> en </w:t>
      </w:r>
      <w:r w:rsidRPr="00077215" w:rsidR="00CD2964">
        <w:rPr>
          <w:lang w:val="nl-NL" w:eastAsia="nl-NL"/>
        </w:rPr>
        <w:t>transport van sediment</w:t>
      </w:r>
      <w:r w:rsidRPr="00077215">
        <w:rPr>
          <w:lang w:val="nl-NL" w:eastAsia="nl-NL"/>
        </w:rPr>
        <w:t>. Dergelijke wijzigingen zijn relevant als zij zich op grote schaal voordoen.</w:t>
      </w:r>
      <w:r w:rsidR="00223497">
        <w:rPr>
          <w:lang w:val="nl-NL" w:eastAsia="nl-NL"/>
        </w:rPr>
        <w:t xml:space="preserve"> </w:t>
      </w:r>
      <w:r w:rsidRPr="00077215" w:rsidR="00CD2964">
        <w:rPr>
          <w:lang w:val="nl-NL" w:eastAsia="nl-NL"/>
        </w:rPr>
        <w:t>De goede milieutoestand is bereikt als een permanente wijziging van de hydrografische eigenschappen geen permanente schade berokkent aan de mariene ecosystemen</w:t>
      </w:r>
      <w:r w:rsidR="00CD2964">
        <w:rPr>
          <w:lang w:val="nl-NL" w:eastAsia="nl-NL"/>
        </w:rPr>
        <w:t>.</w:t>
      </w:r>
    </w:p>
    <w:p w:rsidR="0070550F" w:rsidP="0070550F" w:rsidRDefault="0070550F" w14:paraId="238475E1" w14:textId="77777777">
      <w:pPr>
        <w:rPr>
          <w:lang w:val="nl-NL" w:eastAsia="nl-NL"/>
        </w:rPr>
      </w:pPr>
      <w:r w:rsidRPr="00077215">
        <w:rPr>
          <w:lang w:val="nl-NL" w:eastAsia="nl-NL"/>
        </w:rPr>
        <w:t xml:space="preserve">Activiteiten die van invloed kunnen zijn op de hydrografische eigenschappen zijn bijvoorbeeld de aanleg van kustverdedigingswerken, landaanwinningen, afdammen van grote rivieren, </w:t>
      </w:r>
      <w:r w:rsidR="00AF74FF">
        <w:rPr>
          <w:lang w:val="nl-NL" w:eastAsia="nl-NL"/>
        </w:rPr>
        <w:t xml:space="preserve">grootschalige zandwinning </w:t>
      </w:r>
      <w:r w:rsidR="00363593">
        <w:rPr>
          <w:lang w:val="nl-NL" w:eastAsia="nl-NL"/>
        </w:rPr>
        <w:t xml:space="preserve">en de </w:t>
      </w:r>
      <w:r w:rsidRPr="00077215">
        <w:rPr>
          <w:lang w:val="nl-NL" w:eastAsia="nl-NL"/>
        </w:rPr>
        <w:t>aanleg van structuren in kustwateren of open zee</w:t>
      </w:r>
      <w:r w:rsidR="000829E3">
        <w:rPr>
          <w:lang w:val="nl-NL" w:eastAsia="nl-NL"/>
        </w:rPr>
        <w:t>,</w:t>
      </w:r>
      <w:r w:rsidRPr="00077215">
        <w:rPr>
          <w:lang w:val="nl-NL" w:eastAsia="nl-NL"/>
        </w:rPr>
        <w:t xml:space="preserve"> zoals grootschalige aquacultures of windturbineparken en andere inrichtingen voor energieopwekking. </w:t>
      </w:r>
    </w:p>
    <w:p w:rsidR="0070550F" w:rsidP="0070550F" w:rsidRDefault="0070550F" w14:paraId="6C9B6A1C" w14:textId="77777777">
      <w:pPr>
        <w:rPr>
          <w:lang w:val="nl-NL" w:eastAsia="nl-NL"/>
        </w:rPr>
      </w:pPr>
      <w:r w:rsidRPr="00077215">
        <w:rPr>
          <w:lang w:val="nl-NL" w:eastAsia="nl-NL"/>
        </w:rPr>
        <w:t xml:space="preserve">Het milieudoel is erop gericht dat menselijke activiteiten geen veranderingen in hydrografische omstandigheden tot gevolg hebben die leiden tot permanente grootschalige negatieve effecten op het mariene milieu. </w:t>
      </w:r>
    </w:p>
    <w:tbl>
      <w:tblPr>
        <w:tblStyle w:val="TableGrid"/>
        <w:tblW w:w="0" w:type="auto"/>
        <w:tblLook w:val="04A0" w:firstRow="1" w:lastRow="0" w:firstColumn="1" w:lastColumn="0" w:noHBand="0" w:noVBand="1"/>
      </w:tblPr>
      <w:tblGrid>
        <w:gridCol w:w="1413"/>
        <w:gridCol w:w="7604"/>
      </w:tblGrid>
      <w:tr w:rsidRPr="0084482C" w:rsidR="0070550F" w:rsidTr="000E4075" w14:paraId="07679836" w14:textId="77777777">
        <w:tc>
          <w:tcPr>
            <w:tcW w:w="1413" w:type="dxa"/>
          </w:tcPr>
          <w:p w:rsidRPr="006A68F5" w:rsidR="0070550F" w:rsidP="000E4075" w:rsidRDefault="0070550F" w14:paraId="0DCFAEBB" w14:textId="77777777">
            <w:pPr>
              <w:rPr>
                <w:sz w:val="16"/>
              </w:rPr>
            </w:pPr>
            <w:r w:rsidRPr="006A68F5">
              <w:rPr>
                <w:sz w:val="16"/>
              </w:rPr>
              <w:t>Goede milieutoestand</w:t>
            </w:r>
          </w:p>
        </w:tc>
        <w:tc>
          <w:tcPr>
            <w:tcW w:w="7604" w:type="dxa"/>
          </w:tcPr>
          <w:p w:rsidRPr="006A68F5" w:rsidR="0070550F" w:rsidP="000E4075" w:rsidRDefault="0070550F" w14:paraId="10CE9CE2" w14:textId="77777777">
            <w:pPr>
              <w:rPr>
                <w:sz w:val="16"/>
                <w:lang w:val="nl-NL"/>
              </w:rPr>
            </w:pPr>
            <w:r w:rsidRPr="006A68F5">
              <w:rPr>
                <w:sz w:val="16"/>
                <w:lang w:val="nl-NL"/>
              </w:rPr>
              <w:t xml:space="preserve">Het mariene ecosysteem ondervindt geen negatieve effecten als gevolg van permanente wijzigingen in de hydrografische eigenschappen als gevolg van menselijke activiteiten. </w:t>
            </w:r>
          </w:p>
        </w:tc>
      </w:tr>
      <w:tr w:rsidRPr="00FD4204" w:rsidR="0070550F" w:rsidTr="000E4075" w14:paraId="1AB29571" w14:textId="77777777">
        <w:trPr>
          <w:trHeight w:val="1357"/>
        </w:trPr>
        <w:tc>
          <w:tcPr>
            <w:tcW w:w="1413" w:type="dxa"/>
          </w:tcPr>
          <w:p w:rsidRPr="006A68F5" w:rsidR="0070550F" w:rsidP="000E4075" w:rsidRDefault="0070550F" w14:paraId="78466F85" w14:textId="77777777">
            <w:pPr>
              <w:rPr>
                <w:sz w:val="16"/>
              </w:rPr>
            </w:pPr>
            <w:r w:rsidRPr="006A68F5">
              <w:rPr>
                <w:sz w:val="16"/>
              </w:rPr>
              <w:t>Milieudoelen</w:t>
            </w:r>
          </w:p>
        </w:tc>
        <w:tc>
          <w:tcPr>
            <w:tcW w:w="7604" w:type="dxa"/>
          </w:tcPr>
          <w:p w:rsidRPr="00FD4204" w:rsidR="0070550F" w:rsidP="000E4075" w:rsidRDefault="0070550F" w14:paraId="6C040559" w14:textId="383FA855">
            <w:pPr>
              <w:rPr>
                <w:sz w:val="16"/>
                <w:lang w:val="nl-NL"/>
              </w:rPr>
            </w:pPr>
            <w:r w:rsidRPr="006A68F5">
              <w:rPr>
                <w:sz w:val="16"/>
                <w:lang w:val="nl-NL"/>
              </w:rPr>
              <w:t>D7T1: alle ontwikkelingen moeten voldoen aan de eisen van het bestaande wettelijke regime (bijvoorbeeld de Wet milieubeheer en de Wet natuurbescherming) en wettelijke beoordelingen moeten op zo</w:t>
            </w:r>
            <w:r w:rsidR="005F5515">
              <w:rPr>
                <w:sz w:val="16"/>
                <w:lang w:val="nl-NL"/>
              </w:rPr>
              <w:t>’</w:t>
            </w:r>
            <w:r w:rsidRPr="006A68F5">
              <w:rPr>
                <w:sz w:val="16"/>
                <w:lang w:val="nl-NL"/>
              </w:rPr>
              <w:t xml:space="preserve">n wijze worden uitgevoerd, dat potentiële effecten van permanente wijzigingen in hydrografische eigenschappen, met inbegrip van cumulatieve effecten, in de beschouwing worden betrokken op het meest geëigende ruimtelijke schaalniveau op grond van de richtsnoeren die hiervoor zijn ontwikkeld. </w:t>
            </w:r>
            <w:r w:rsidRPr="00FD4204">
              <w:rPr>
                <w:sz w:val="16"/>
                <w:lang w:val="nl-NL"/>
              </w:rPr>
              <w:t>(EUNIS-niveau 3, referentiejaar 2012).</w:t>
            </w:r>
          </w:p>
        </w:tc>
      </w:tr>
    </w:tbl>
    <w:p w:rsidR="0070550F" w:rsidP="0070550F" w:rsidRDefault="0070550F" w14:paraId="42D894FD" w14:textId="77777777">
      <w:pPr>
        <w:pStyle w:val="TOCHeading"/>
      </w:pPr>
      <w:r w:rsidRPr="002554A9">
        <w:t>Geïmplementeerde maatregelen</w:t>
      </w:r>
    </w:p>
    <w:p w:rsidR="0070550F" w:rsidP="0070550F" w:rsidRDefault="0070550F" w14:paraId="7C5C3D49" w14:textId="05E108CB">
      <w:pPr>
        <w:rPr>
          <w:rFonts w:eastAsia="Times New Roman" w:cs="RijksoverheidSerif"/>
          <w:color w:val="000000"/>
          <w:szCs w:val="18"/>
          <w:lang w:val="nl-NL" w:eastAsia="nl-NL"/>
        </w:rPr>
      </w:pPr>
      <w:r>
        <w:rPr>
          <w:lang w:val="nl-NL"/>
        </w:rPr>
        <w:t xml:space="preserve">Om </w:t>
      </w:r>
      <w:r w:rsidR="000829E3">
        <w:rPr>
          <w:lang w:val="nl-NL"/>
        </w:rPr>
        <w:t xml:space="preserve">te voorkomen dat </w:t>
      </w:r>
      <w:r>
        <w:rPr>
          <w:lang w:val="nl-NL"/>
        </w:rPr>
        <w:t>veranderingen in hydrografische omstandigheden permanente negatieve effecten op het ecosysteem hebben</w:t>
      </w:r>
      <w:r w:rsidR="00A258AA">
        <w:rPr>
          <w:lang w:val="nl-NL"/>
        </w:rPr>
        <w:t>,</w:t>
      </w:r>
      <w:r w:rsidR="008F0B19">
        <w:rPr>
          <w:lang w:val="nl-NL"/>
        </w:rPr>
        <w:t xml:space="preserve"> is in de vorige Mariene Strategie deel 3</w:t>
      </w:r>
      <w:r>
        <w:rPr>
          <w:lang w:val="nl-NL"/>
        </w:rPr>
        <w:t xml:space="preserve"> </w:t>
      </w:r>
      <w:r w:rsidR="00FF2F23">
        <w:rPr>
          <w:lang w:val="nl-NL"/>
        </w:rPr>
        <w:t xml:space="preserve">[12] </w:t>
      </w:r>
      <w:r w:rsidR="008F0B19">
        <w:rPr>
          <w:lang w:val="nl-NL"/>
        </w:rPr>
        <w:t xml:space="preserve">opgenomen dat </w:t>
      </w:r>
      <w:r w:rsidR="00DB6112">
        <w:rPr>
          <w:lang w:val="nl-NL"/>
        </w:rPr>
        <w:t xml:space="preserve">een beoordeling van </w:t>
      </w:r>
      <w:r w:rsidRPr="002554A9" w:rsidR="00DB6112">
        <w:rPr>
          <w:lang w:val="nl-NL"/>
        </w:rPr>
        <w:t xml:space="preserve">hydrografische ingrepen </w:t>
      </w:r>
      <w:r w:rsidR="008F0B19">
        <w:rPr>
          <w:lang w:val="nl-NL"/>
        </w:rPr>
        <w:t xml:space="preserve">moet plaatsvinden </w:t>
      </w:r>
      <w:r w:rsidRPr="002554A9" w:rsidR="00DB6112">
        <w:rPr>
          <w:lang w:val="nl-NL"/>
        </w:rPr>
        <w:t xml:space="preserve">en </w:t>
      </w:r>
      <w:r w:rsidR="00DB6112">
        <w:rPr>
          <w:lang w:val="nl-NL"/>
        </w:rPr>
        <w:t xml:space="preserve">zo nodig compensatie van effecten. </w:t>
      </w:r>
      <w:r w:rsidRPr="00077215">
        <w:rPr>
          <w:rFonts w:eastAsia="Times New Roman" w:cs="RijksoverheidSerif"/>
          <w:color w:val="000000"/>
          <w:szCs w:val="18"/>
          <w:lang w:val="nl-NL" w:eastAsia="nl-NL"/>
        </w:rPr>
        <w:t>De effecten van nieuwe grootschalige hydrografische ingrepen moeten worden onderzocht in de milieueffectrapportages, zoals Europees is voorgeschreven. Dit EU-beleid is in Nederland geïmplementeerd in Hoofdstuk 7 van de Wet milieubeheer en in het Besluit m.e.r</w:t>
      </w:r>
      <w:r>
        <w:rPr>
          <w:rFonts w:eastAsia="Times New Roman" w:cs="RijksoverheidSerif"/>
          <w:color w:val="000000"/>
          <w:szCs w:val="18"/>
          <w:lang w:val="nl-NL" w:eastAsia="nl-NL"/>
        </w:rPr>
        <w:t>.</w:t>
      </w:r>
      <w:r w:rsidR="00A258AA">
        <w:rPr>
          <w:rFonts w:eastAsia="Times New Roman" w:cs="RijksoverheidSerif"/>
          <w:color w:val="000000"/>
          <w:szCs w:val="18"/>
          <w:lang w:val="nl-NL" w:eastAsia="nl-NL"/>
        </w:rPr>
        <w:t>.</w:t>
      </w:r>
      <w:r w:rsidRPr="00077215">
        <w:rPr>
          <w:rFonts w:eastAsia="Times New Roman" w:cs="RijksoverheidSerif"/>
          <w:color w:val="000000"/>
          <w:szCs w:val="18"/>
          <w:lang w:val="nl-NL" w:eastAsia="nl-NL"/>
        </w:rPr>
        <w:t xml:space="preserve"> Als hieruit blijkt dat de effecten van de ingreep het ecosysteem niet op grote schaal permanent onomkeerbaar veranderen, hoeft geen verdere actie te worden ondernomen. In deze procedure moet goed worden gekeken naar cumulatie</w:t>
      </w:r>
      <w:r w:rsidR="00DB6112">
        <w:rPr>
          <w:rFonts w:eastAsia="Times New Roman" w:cs="RijksoverheidSerif"/>
          <w:color w:val="000000"/>
          <w:szCs w:val="18"/>
          <w:lang w:val="nl-NL" w:eastAsia="nl-NL"/>
        </w:rPr>
        <w:t xml:space="preserve"> van </w:t>
      </w:r>
      <w:r w:rsidRPr="00077215">
        <w:rPr>
          <w:rFonts w:eastAsia="Times New Roman" w:cs="RijksoverheidSerif"/>
          <w:color w:val="000000"/>
          <w:szCs w:val="18"/>
          <w:lang w:val="nl-NL" w:eastAsia="nl-NL"/>
        </w:rPr>
        <w:t xml:space="preserve">effecten en </w:t>
      </w:r>
      <w:r w:rsidR="00DB6112">
        <w:rPr>
          <w:rFonts w:eastAsia="Times New Roman" w:cs="RijksoverheidSerif"/>
          <w:color w:val="000000"/>
          <w:szCs w:val="18"/>
          <w:lang w:val="nl-NL" w:eastAsia="nl-NL"/>
        </w:rPr>
        <w:t xml:space="preserve">naar </w:t>
      </w:r>
      <w:r w:rsidRPr="00077215">
        <w:rPr>
          <w:rFonts w:eastAsia="Times New Roman" w:cs="RijksoverheidSerif"/>
          <w:color w:val="000000"/>
          <w:szCs w:val="18"/>
          <w:lang w:val="nl-NL" w:eastAsia="nl-NL"/>
        </w:rPr>
        <w:t>effecten buiten de kustwateren. In de kustwateren moet aan de eisen van de Kaderrichtlijn Water worden voldaan.</w:t>
      </w:r>
      <w:r w:rsidRPr="008F0B19" w:rsidR="008F0B19">
        <w:rPr>
          <w:lang w:val="nl-NL"/>
        </w:rPr>
        <w:t xml:space="preserve"> </w:t>
      </w:r>
    </w:p>
    <w:p w:rsidR="0070550F" w:rsidP="0070550F" w:rsidRDefault="0070550F" w14:paraId="1AACBD47" w14:textId="77777777">
      <w:pPr>
        <w:pStyle w:val="TOCHeading"/>
      </w:pPr>
      <w:r w:rsidRPr="001F39BF">
        <w:t>Huidige milieutoestand</w:t>
      </w:r>
    </w:p>
    <w:p w:rsidRPr="001F39BF" w:rsidR="0070550F" w:rsidP="0070550F" w:rsidRDefault="0070550F" w14:paraId="262E5494" w14:textId="23D13401">
      <w:pPr>
        <w:spacing w:after="0" w:line="240" w:lineRule="auto"/>
        <w:rPr>
          <w:rFonts w:eastAsia="Verdana" w:cs="Times New Roman"/>
          <w:szCs w:val="18"/>
          <w:lang w:val="nl-NL" w:eastAsia="nl-NL"/>
        </w:rPr>
      </w:pPr>
      <w:r w:rsidRPr="00007808">
        <w:rPr>
          <w:rFonts w:eastAsia="Verdana" w:cs="Times New Roman"/>
          <w:szCs w:val="18"/>
          <w:lang w:val="nl-NL" w:eastAsia="nl-NL"/>
        </w:rPr>
        <w:t xml:space="preserve">In de initiële beoordeling (2012) </w:t>
      </w:r>
      <w:r w:rsidR="00270725">
        <w:rPr>
          <w:rFonts w:eastAsia="Verdana" w:cs="Times New Roman"/>
          <w:szCs w:val="18"/>
          <w:lang w:val="nl-NL" w:eastAsia="nl-NL"/>
        </w:rPr>
        <w:t xml:space="preserve">[20] </w:t>
      </w:r>
      <w:r w:rsidRPr="00007808">
        <w:rPr>
          <w:rFonts w:eastAsia="Verdana" w:cs="Times New Roman"/>
          <w:szCs w:val="18"/>
          <w:lang w:val="nl-NL" w:eastAsia="nl-NL"/>
        </w:rPr>
        <w:t>is aangegeven dat de</w:t>
      </w:r>
      <w:r>
        <w:rPr>
          <w:rFonts w:eastAsia="Verdana" w:cs="Times New Roman"/>
          <w:szCs w:val="18"/>
          <w:lang w:val="nl-NL" w:eastAsia="nl-NL"/>
        </w:rPr>
        <w:t xml:space="preserve"> </w:t>
      </w:r>
      <w:r w:rsidR="00EE2D71">
        <w:rPr>
          <w:rFonts w:eastAsia="Verdana" w:cs="Times New Roman"/>
          <w:szCs w:val="18"/>
          <w:lang w:val="nl-NL" w:eastAsia="nl-NL"/>
        </w:rPr>
        <w:t>neergaande trend</w:t>
      </w:r>
      <w:r w:rsidRPr="00007808" w:rsidR="00EE2D71">
        <w:rPr>
          <w:rFonts w:eastAsia="Verdana" w:cs="Times New Roman"/>
          <w:szCs w:val="18"/>
          <w:lang w:val="nl-NL" w:eastAsia="nl-NL"/>
        </w:rPr>
        <w:t xml:space="preserve"> </w:t>
      </w:r>
      <w:r w:rsidRPr="00007808">
        <w:rPr>
          <w:rFonts w:eastAsia="Verdana" w:cs="Times New Roman"/>
          <w:szCs w:val="18"/>
          <w:lang w:val="nl-NL" w:eastAsia="nl-NL"/>
        </w:rPr>
        <w:t>van het bodemecosysteem en van diadrome</w:t>
      </w:r>
      <w:r>
        <w:rPr>
          <w:rFonts w:eastAsia="Verdana" w:cs="Times New Roman"/>
          <w:szCs w:val="18"/>
          <w:lang w:val="nl-NL" w:eastAsia="nl-NL"/>
        </w:rPr>
        <w:t xml:space="preserve"> </w:t>
      </w:r>
      <w:r w:rsidRPr="00007808">
        <w:rPr>
          <w:rFonts w:eastAsia="Verdana" w:cs="Times New Roman"/>
          <w:szCs w:val="18"/>
          <w:lang w:val="nl-NL" w:eastAsia="nl-NL"/>
        </w:rPr>
        <w:t xml:space="preserve">vissoorten in de kustzone voor een deel </w:t>
      </w:r>
      <w:r w:rsidR="00EE2D71">
        <w:rPr>
          <w:rFonts w:eastAsia="Verdana" w:cs="Times New Roman"/>
          <w:szCs w:val="18"/>
          <w:lang w:val="nl-NL" w:eastAsia="nl-NL"/>
        </w:rPr>
        <w:t>is</w:t>
      </w:r>
      <w:r w:rsidRPr="00007808" w:rsidR="00EE2D71">
        <w:rPr>
          <w:rFonts w:eastAsia="Verdana" w:cs="Times New Roman"/>
          <w:szCs w:val="18"/>
          <w:lang w:val="nl-NL" w:eastAsia="nl-NL"/>
        </w:rPr>
        <w:t xml:space="preserve"> </w:t>
      </w:r>
      <w:r w:rsidRPr="00007808">
        <w:rPr>
          <w:rFonts w:eastAsia="Verdana" w:cs="Times New Roman"/>
          <w:szCs w:val="18"/>
          <w:lang w:val="nl-NL" w:eastAsia="nl-NL"/>
        </w:rPr>
        <w:t>te verklaren</w:t>
      </w:r>
      <w:r>
        <w:rPr>
          <w:rFonts w:eastAsia="Verdana" w:cs="Times New Roman"/>
          <w:szCs w:val="18"/>
          <w:lang w:val="nl-NL" w:eastAsia="nl-NL"/>
        </w:rPr>
        <w:t xml:space="preserve"> </w:t>
      </w:r>
      <w:r w:rsidR="00EE2D71">
        <w:rPr>
          <w:rFonts w:eastAsia="Verdana" w:cs="Times New Roman"/>
          <w:szCs w:val="18"/>
          <w:lang w:val="nl-NL" w:eastAsia="nl-NL"/>
        </w:rPr>
        <w:t xml:space="preserve">als gevolg van </w:t>
      </w:r>
      <w:r w:rsidRPr="00007808">
        <w:rPr>
          <w:rFonts w:eastAsia="Verdana" w:cs="Times New Roman"/>
          <w:szCs w:val="18"/>
          <w:lang w:val="nl-NL" w:eastAsia="nl-NL"/>
        </w:rPr>
        <w:t>permanente hydrografische effecten van de Deltawerken</w:t>
      </w:r>
      <w:r>
        <w:rPr>
          <w:rFonts w:eastAsia="Verdana" w:cs="Times New Roman"/>
          <w:szCs w:val="18"/>
          <w:lang w:val="nl-NL" w:eastAsia="nl-NL"/>
        </w:rPr>
        <w:t xml:space="preserve"> </w:t>
      </w:r>
      <w:r w:rsidRPr="00007808">
        <w:rPr>
          <w:rFonts w:eastAsia="Verdana" w:cs="Times New Roman"/>
          <w:szCs w:val="18"/>
          <w:lang w:val="nl-NL" w:eastAsia="nl-NL"/>
        </w:rPr>
        <w:t>en van Maasvlakte 1 en 2. Deze werken zijn van</w:t>
      </w:r>
      <w:r>
        <w:rPr>
          <w:rFonts w:eastAsia="Verdana" w:cs="Times New Roman"/>
          <w:szCs w:val="18"/>
          <w:lang w:val="nl-NL" w:eastAsia="nl-NL"/>
        </w:rPr>
        <w:t xml:space="preserve"> </w:t>
      </w:r>
      <w:r w:rsidRPr="00007808">
        <w:rPr>
          <w:rFonts w:eastAsia="Verdana" w:cs="Times New Roman"/>
          <w:szCs w:val="18"/>
          <w:lang w:val="nl-NL" w:eastAsia="nl-NL"/>
        </w:rPr>
        <w:t>nationaal belang en worden als onomkeerbaar beschouwd.</w:t>
      </w:r>
      <w:r>
        <w:rPr>
          <w:rFonts w:eastAsia="Verdana" w:cs="Times New Roman"/>
          <w:szCs w:val="18"/>
          <w:lang w:val="nl-NL" w:eastAsia="nl-NL"/>
        </w:rPr>
        <w:t xml:space="preserve"> </w:t>
      </w:r>
      <w:r w:rsidRPr="00007808">
        <w:rPr>
          <w:rFonts w:eastAsia="Verdana" w:cs="Times New Roman"/>
          <w:szCs w:val="18"/>
          <w:lang w:val="nl-NL" w:eastAsia="nl-NL"/>
        </w:rPr>
        <w:t>In 2012 is daarom geconcludeerd dat sprake is van een</w:t>
      </w:r>
      <w:r>
        <w:rPr>
          <w:rFonts w:eastAsia="Verdana" w:cs="Times New Roman"/>
          <w:szCs w:val="18"/>
          <w:lang w:val="nl-NL" w:eastAsia="nl-NL"/>
        </w:rPr>
        <w:t xml:space="preserve"> </w:t>
      </w:r>
      <w:r w:rsidRPr="00007808">
        <w:rPr>
          <w:rFonts w:eastAsia="Verdana" w:cs="Times New Roman"/>
          <w:szCs w:val="18"/>
          <w:lang w:val="nl-NL" w:eastAsia="nl-NL"/>
        </w:rPr>
        <w:t xml:space="preserve">nieuwe referentie voor de goede milieutoestand. </w:t>
      </w:r>
      <w:r>
        <w:rPr>
          <w:rFonts w:eastAsia="Verdana" w:cs="Times New Roman"/>
          <w:szCs w:val="18"/>
          <w:lang w:val="nl-NL" w:eastAsia="nl-NL"/>
        </w:rPr>
        <w:t>Zoals aangeven in de actualisatie van Mariene Strategie deel 1</w:t>
      </w:r>
      <w:r w:rsidR="00FB0459">
        <w:rPr>
          <w:rFonts w:eastAsia="Verdana" w:cs="Times New Roman"/>
          <w:szCs w:val="18"/>
          <w:lang w:val="nl-NL" w:eastAsia="nl-NL"/>
        </w:rPr>
        <w:t xml:space="preserve"> (2018)</w:t>
      </w:r>
      <w:r w:rsidR="00DD4F15">
        <w:rPr>
          <w:rFonts w:eastAsia="Verdana" w:cs="Times New Roman"/>
          <w:szCs w:val="18"/>
          <w:lang w:val="nl-NL" w:eastAsia="nl-NL"/>
        </w:rPr>
        <w:t xml:space="preserve"> [11]</w:t>
      </w:r>
      <w:r>
        <w:rPr>
          <w:rFonts w:eastAsia="Verdana" w:cs="Times New Roman"/>
          <w:szCs w:val="18"/>
          <w:lang w:val="nl-NL" w:eastAsia="nl-NL"/>
        </w:rPr>
        <w:t>, is de g</w:t>
      </w:r>
      <w:r w:rsidRPr="001F39BF">
        <w:rPr>
          <w:rFonts w:eastAsia="Verdana" w:cs="Times New Roman"/>
          <w:szCs w:val="18"/>
          <w:lang w:val="nl-NL" w:eastAsia="nl-NL"/>
        </w:rPr>
        <w:t xml:space="preserve">oede milieutoestand gehaald in 2012 en </w:t>
      </w:r>
      <w:r w:rsidR="00FB0459">
        <w:rPr>
          <w:rFonts w:eastAsia="Verdana" w:cs="Times New Roman"/>
          <w:szCs w:val="18"/>
          <w:lang w:val="nl-NL" w:eastAsia="nl-NL"/>
        </w:rPr>
        <w:t xml:space="preserve">sindsdien </w:t>
      </w:r>
      <w:r w:rsidRPr="001F39BF">
        <w:rPr>
          <w:rFonts w:eastAsia="Verdana" w:cs="Times New Roman"/>
          <w:szCs w:val="18"/>
          <w:lang w:val="nl-NL" w:eastAsia="nl-NL"/>
        </w:rPr>
        <w:t>behouden.</w:t>
      </w:r>
    </w:p>
    <w:p w:rsidR="0070550F" w:rsidP="0070550F" w:rsidRDefault="006A5AEC" w14:paraId="55DC69CB" w14:textId="77777777">
      <w:pPr>
        <w:pStyle w:val="TOCHeading"/>
      </w:pPr>
      <w:r>
        <w:t>Aanvullende b</w:t>
      </w:r>
      <w:r w:rsidRPr="00542D72" w:rsidR="0070550F">
        <w:t>eleidsopgave</w:t>
      </w:r>
    </w:p>
    <w:p w:rsidRPr="001F39BF" w:rsidR="0070550F" w:rsidP="0070550F" w:rsidRDefault="00EE2D71" w14:paraId="53C9A2CA" w14:textId="77777777">
      <w:pPr>
        <w:rPr>
          <w:lang w:val="nl-NL"/>
        </w:rPr>
      </w:pPr>
      <w:r>
        <w:rPr>
          <w:lang w:val="nl-NL"/>
        </w:rPr>
        <w:t>D</w:t>
      </w:r>
      <w:r w:rsidRPr="00E73E06">
        <w:rPr>
          <w:lang w:val="nl-NL"/>
        </w:rPr>
        <w:t xml:space="preserve">e </w:t>
      </w:r>
      <w:r w:rsidR="00591609">
        <w:rPr>
          <w:lang w:val="nl-NL"/>
        </w:rPr>
        <w:t>bouw</w:t>
      </w:r>
      <w:r w:rsidRPr="00E73E06">
        <w:rPr>
          <w:lang w:val="nl-NL"/>
        </w:rPr>
        <w:t xml:space="preserve"> van wind</w:t>
      </w:r>
      <w:r>
        <w:rPr>
          <w:lang w:val="nl-NL"/>
        </w:rPr>
        <w:t>energie</w:t>
      </w:r>
      <w:r w:rsidRPr="00E73E06">
        <w:rPr>
          <w:lang w:val="nl-NL"/>
        </w:rPr>
        <w:t>parken op zee (offshore</w:t>
      </w:r>
      <w:r w:rsidR="000F24F6">
        <w:rPr>
          <w:lang w:val="nl-NL"/>
        </w:rPr>
        <w:t xml:space="preserve"> </w:t>
      </w:r>
      <w:r w:rsidRPr="00E73E06">
        <w:rPr>
          <w:lang w:val="nl-NL"/>
        </w:rPr>
        <w:t>windenergie</w:t>
      </w:r>
      <w:r w:rsidR="00591609">
        <w:rPr>
          <w:lang w:val="nl-NL"/>
        </w:rPr>
        <w:t>)</w:t>
      </w:r>
      <w:r w:rsidRPr="00E73E06">
        <w:rPr>
          <w:lang w:val="nl-NL"/>
        </w:rPr>
        <w:t xml:space="preserve"> </w:t>
      </w:r>
      <w:r w:rsidR="00591609">
        <w:rPr>
          <w:lang w:val="nl-NL"/>
        </w:rPr>
        <w:t>is e</w:t>
      </w:r>
      <w:r w:rsidRPr="00E73E06" w:rsidR="0070550F">
        <w:rPr>
          <w:lang w:val="nl-NL"/>
        </w:rPr>
        <w:t xml:space="preserve">en van de belangrijkste ontwikkelingen die de komende jaren </w:t>
      </w:r>
      <w:r w:rsidR="00A258AA">
        <w:rPr>
          <w:lang w:val="nl-NL"/>
        </w:rPr>
        <w:t>in</w:t>
      </w:r>
      <w:r w:rsidRPr="00E73E06" w:rsidR="00A258AA">
        <w:rPr>
          <w:lang w:val="nl-NL"/>
        </w:rPr>
        <w:t xml:space="preserve"> </w:t>
      </w:r>
      <w:r w:rsidRPr="00E73E06" w:rsidR="0070550F">
        <w:rPr>
          <w:lang w:val="nl-NL"/>
        </w:rPr>
        <w:t xml:space="preserve">het Nederlands deel van de Noordzee wordt verwacht. </w:t>
      </w:r>
      <w:r w:rsidR="007E6BAA">
        <w:rPr>
          <w:lang w:val="nl-NL"/>
        </w:rPr>
        <w:t>De cumulatieve effecten van de aanleg van deze windparken</w:t>
      </w:r>
      <w:r w:rsidR="00447344">
        <w:rPr>
          <w:lang w:val="nl-NL"/>
        </w:rPr>
        <w:t xml:space="preserve"> in combinatie met zandwinning en zandsuppletie kunnen </w:t>
      </w:r>
      <w:r w:rsidRPr="001F39BF" w:rsidR="0070550F">
        <w:rPr>
          <w:lang w:val="nl-NL"/>
        </w:rPr>
        <w:t xml:space="preserve">mogelijk significant </w:t>
      </w:r>
      <w:r w:rsidR="00A258AA">
        <w:rPr>
          <w:lang w:val="nl-NL"/>
        </w:rPr>
        <w:t>zijn</w:t>
      </w:r>
      <w:r w:rsidRPr="001F39BF" w:rsidR="0070550F">
        <w:rPr>
          <w:lang w:val="nl-NL"/>
        </w:rPr>
        <w:t>.</w:t>
      </w:r>
    </w:p>
    <w:p w:rsidRPr="00B96268" w:rsidR="0070550F" w:rsidP="0070550F" w:rsidRDefault="0070550F" w14:paraId="294F496B" w14:textId="77777777">
      <w:pPr>
        <w:pStyle w:val="TOCHeading"/>
      </w:pPr>
      <w:r w:rsidRPr="00B96268">
        <w:t>Aanvullende maatregelen</w:t>
      </w:r>
    </w:p>
    <w:p w:rsidR="0070550F" w:rsidP="0070550F" w:rsidRDefault="0070550F" w14:paraId="34DD86C9" w14:textId="77777777">
      <w:pPr>
        <w:autoSpaceDE w:val="0"/>
        <w:autoSpaceDN w:val="0"/>
        <w:adjustRightInd w:val="0"/>
        <w:spacing w:after="0" w:line="180" w:lineRule="atLeast"/>
        <w:rPr>
          <w:lang w:val="nl-NL"/>
        </w:rPr>
      </w:pPr>
      <w:r w:rsidRPr="00077215">
        <w:rPr>
          <w:rFonts w:eastAsia="Times New Roman" w:cs="RijksoverheidSerif"/>
          <w:color w:val="000000"/>
          <w:szCs w:val="18"/>
          <w:lang w:val="nl-NL" w:eastAsia="nl-NL"/>
        </w:rPr>
        <w:t xml:space="preserve">Het huidige beleid waarborgt bij nieuwe activiteiten </w:t>
      </w:r>
      <w:r w:rsidRPr="00077215" w:rsidR="003F6B87">
        <w:rPr>
          <w:rFonts w:eastAsia="Times New Roman" w:cs="RijksoverheidSerif"/>
          <w:color w:val="000000"/>
          <w:szCs w:val="18"/>
          <w:lang w:val="nl-NL" w:eastAsia="nl-NL"/>
        </w:rPr>
        <w:t xml:space="preserve">het behoud van de goede milieutoestand </w:t>
      </w:r>
      <w:r w:rsidRPr="00077215">
        <w:rPr>
          <w:rFonts w:eastAsia="Times New Roman" w:cs="RijksoverheidSerif"/>
          <w:color w:val="000000"/>
          <w:szCs w:val="18"/>
          <w:lang w:val="nl-NL" w:eastAsia="nl-NL"/>
        </w:rPr>
        <w:t>en richt zich op het voorkómen van permanente effecten.</w:t>
      </w:r>
      <w:r>
        <w:rPr>
          <w:rFonts w:eastAsia="Times New Roman" w:cs="RijksoverheidSerif"/>
          <w:color w:val="000000"/>
          <w:szCs w:val="18"/>
          <w:lang w:val="nl-NL" w:eastAsia="nl-NL"/>
        </w:rPr>
        <w:t xml:space="preserve"> </w:t>
      </w:r>
      <w:r>
        <w:rPr>
          <w:lang w:val="nl-NL"/>
        </w:rPr>
        <w:t xml:space="preserve">Nederland </w:t>
      </w:r>
      <w:r w:rsidR="003F6B87">
        <w:rPr>
          <w:lang w:val="nl-NL"/>
        </w:rPr>
        <w:t xml:space="preserve">treft </w:t>
      </w:r>
      <w:r>
        <w:rPr>
          <w:lang w:val="nl-NL"/>
        </w:rPr>
        <w:t xml:space="preserve">geen aanvullende maatregelen. </w:t>
      </w:r>
    </w:p>
    <w:p w:rsidR="0070550F" w:rsidP="0070550F" w:rsidRDefault="0070550F" w14:paraId="3F5520C3" w14:textId="77777777">
      <w:pPr>
        <w:pStyle w:val="TOCHeading"/>
      </w:pPr>
      <w:r>
        <w:t>Kennisagenda</w:t>
      </w:r>
      <w:r w:rsidRPr="00B96268">
        <w:t xml:space="preserve"> </w:t>
      </w:r>
    </w:p>
    <w:p w:rsidRPr="00B30C48" w:rsidR="00F97FC2" w:rsidP="00FF2F23" w:rsidRDefault="0086519B" w14:paraId="087FEC41" w14:textId="34717C6E">
      <w:pPr>
        <w:rPr>
          <w:lang w:val="nl-NL"/>
        </w:rPr>
      </w:pPr>
      <w:r w:rsidRPr="00FF2F23">
        <w:rPr>
          <w:lang w:val="nl-NL"/>
        </w:rPr>
        <w:t>Deze paragraaf omvat de kennisvraag omtrent hydrografische eigenschappen die in de periode 2022-2027 worden onderzocht.</w:t>
      </w:r>
      <w:r w:rsidR="00F97FC2">
        <w:rPr>
          <w:lang w:val="nl-NL"/>
        </w:rPr>
        <w:t xml:space="preserve"> </w:t>
      </w:r>
      <w:r w:rsidRPr="00FF2F23">
        <w:rPr>
          <w:lang w:val="nl-NL"/>
        </w:rPr>
        <w:t xml:space="preserve">Onder D7 wordt bepaald dat permanente wijzigingen van hydrografische eigenschappen het mariene ecosysteem geen schade berokkenen. </w:t>
      </w:r>
      <w:r w:rsidRPr="00FF2F23" w:rsidR="00FD4204">
        <w:rPr>
          <w:lang w:val="nl-NL"/>
        </w:rPr>
        <w:t xml:space="preserve">Onderzocht zal worden </w:t>
      </w:r>
      <w:r w:rsidRPr="00FF2F23">
        <w:rPr>
          <w:lang w:val="nl-NL"/>
        </w:rPr>
        <w:t>wat het effect is van offshore windparken op de hydrografische eigenschappen van de Noordzee, en welke verand</w:t>
      </w:r>
      <w:r w:rsidRPr="006F41FF">
        <w:rPr>
          <w:lang w:val="nl-NL"/>
        </w:rPr>
        <w:t>eringen te verwachten zijn (op welke schaal) met de schaalvergroting van windparken.</w:t>
      </w:r>
    </w:p>
    <w:p w:rsidR="0070550F" w:rsidP="00746E9B" w:rsidRDefault="0070550F" w14:paraId="690C0F0B" w14:textId="77777777">
      <w:pPr>
        <w:pStyle w:val="Stijl1"/>
        <w:numPr>
          <w:ilvl w:val="1"/>
          <w:numId w:val="16"/>
        </w:numPr>
        <w:rPr>
          <w:lang w:val="nl-NL"/>
        </w:rPr>
      </w:pPr>
      <w:bookmarkStart w:name="_Toc46140826" w:id="43"/>
      <w:bookmarkStart w:name="_Toc46141419" w:id="44"/>
      <w:bookmarkStart w:name="_Toc46141503" w:id="45"/>
      <w:bookmarkStart w:name="_Toc46142229" w:id="46"/>
      <w:bookmarkStart w:name="_Toc46144929" w:id="47"/>
      <w:bookmarkStart w:name="_Toc46476293" w:id="48"/>
      <w:bookmarkStart w:name="_Toc46476337" w:id="49"/>
      <w:bookmarkStart w:name="_Toc46480970" w:id="50"/>
      <w:bookmarkStart w:name="_Toc46773996" w:id="51"/>
      <w:bookmarkStart w:name="_Toc46774040" w:id="52"/>
      <w:bookmarkStart w:name="_Toc46774071" w:id="53"/>
      <w:bookmarkStart w:name="_Toc59455633" w:id="54"/>
      <w:bookmarkEnd w:id="43"/>
      <w:bookmarkEnd w:id="44"/>
      <w:bookmarkEnd w:id="45"/>
      <w:bookmarkEnd w:id="46"/>
      <w:bookmarkEnd w:id="47"/>
      <w:bookmarkEnd w:id="48"/>
      <w:bookmarkEnd w:id="49"/>
      <w:bookmarkEnd w:id="50"/>
      <w:bookmarkEnd w:id="51"/>
      <w:bookmarkEnd w:id="52"/>
      <w:bookmarkEnd w:id="53"/>
      <w:r w:rsidRPr="007A3BBF">
        <w:rPr>
          <w:lang w:val="nl-NL"/>
        </w:rPr>
        <w:t>Vervuilende stoffen</w:t>
      </w:r>
      <w:r>
        <w:rPr>
          <w:lang w:val="nl-NL"/>
        </w:rPr>
        <w:t xml:space="preserve"> (D8)</w:t>
      </w:r>
      <w:bookmarkEnd w:id="54"/>
    </w:p>
    <w:p w:rsidRPr="00B96268" w:rsidR="0070550F" w:rsidP="0070550F" w:rsidRDefault="0070550F" w14:paraId="0FB7DF8F" w14:textId="77777777">
      <w:pPr>
        <w:pStyle w:val="TOCHeading"/>
      </w:pPr>
      <w:r w:rsidRPr="00434C45">
        <w:t>Goede milieutoestand en doelen</w:t>
      </w:r>
    </w:p>
    <w:p w:rsidRPr="00E137ED" w:rsidR="0070550F" w:rsidP="0070550F" w:rsidRDefault="0070550F" w14:paraId="46B2EABC" w14:textId="77777777">
      <w:pPr>
        <w:rPr>
          <w:lang w:val="nl-NL"/>
        </w:rPr>
      </w:pPr>
      <w:r w:rsidRPr="00B6617F">
        <w:rPr>
          <w:szCs w:val="18"/>
          <w:lang w:val="nl-NL"/>
        </w:rPr>
        <w:t xml:space="preserve">De goede milieutoestand voor </w:t>
      </w:r>
      <w:r w:rsidR="003F6B87">
        <w:rPr>
          <w:szCs w:val="18"/>
          <w:lang w:val="nl-NL"/>
        </w:rPr>
        <w:t xml:space="preserve">de descriptor </w:t>
      </w:r>
      <w:r w:rsidRPr="00B6617F">
        <w:rPr>
          <w:szCs w:val="18"/>
          <w:lang w:val="nl-NL"/>
        </w:rPr>
        <w:t xml:space="preserve">vervuilende stoffen wordt </w:t>
      </w:r>
      <w:r w:rsidRPr="00B6617F" w:rsidR="003F6B87">
        <w:rPr>
          <w:szCs w:val="18"/>
          <w:lang w:val="nl-NL"/>
        </w:rPr>
        <w:t xml:space="preserve">op de Noordzee </w:t>
      </w:r>
      <w:r w:rsidRPr="00B6617F">
        <w:rPr>
          <w:szCs w:val="18"/>
          <w:lang w:val="nl-NL"/>
        </w:rPr>
        <w:t>bereikt</w:t>
      </w:r>
      <w:r>
        <w:rPr>
          <w:szCs w:val="18"/>
          <w:lang w:val="nl-NL"/>
        </w:rPr>
        <w:t xml:space="preserve"> als de concentraties van vervuilende stoffen in water, sediment en biota lager zijn dan de concentraties waarbij negatieve effecten kunnen optreden of als de concentraties een dalende trend laten zien. Onderstaande tabel geeft een overzicht van de </w:t>
      </w:r>
      <w:r w:rsidR="005F0BA2">
        <w:rPr>
          <w:szCs w:val="18"/>
          <w:lang w:val="nl-NL"/>
        </w:rPr>
        <w:t xml:space="preserve">goede </w:t>
      </w:r>
      <w:r>
        <w:rPr>
          <w:szCs w:val="18"/>
          <w:lang w:val="nl-NL"/>
        </w:rPr>
        <w:t xml:space="preserve">milieutoestand en </w:t>
      </w:r>
      <w:r w:rsidR="00A258AA">
        <w:rPr>
          <w:szCs w:val="18"/>
          <w:lang w:val="nl-NL"/>
        </w:rPr>
        <w:t>-</w:t>
      </w:r>
      <w:r>
        <w:rPr>
          <w:szCs w:val="18"/>
          <w:lang w:val="nl-NL"/>
        </w:rPr>
        <w:t xml:space="preserve">doelen. </w:t>
      </w:r>
    </w:p>
    <w:p w:rsidR="0070550F" w:rsidP="0070550F" w:rsidRDefault="00591609" w14:paraId="1195E00F" w14:textId="5B5C849F">
      <w:pPr>
        <w:pStyle w:val="Default"/>
        <w:rPr>
          <w:sz w:val="18"/>
          <w:szCs w:val="18"/>
        </w:rPr>
      </w:pPr>
      <w:r>
        <w:rPr>
          <w:sz w:val="18"/>
          <w:szCs w:val="18"/>
        </w:rPr>
        <w:t>Van</w:t>
      </w:r>
      <w:r w:rsidR="003F6B87">
        <w:rPr>
          <w:sz w:val="18"/>
          <w:szCs w:val="18"/>
        </w:rPr>
        <w:t xml:space="preserve"> de </w:t>
      </w:r>
      <w:r w:rsidR="0070550F">
        <w:rPr>
          <w:sz w:val="18"/>
          <w:szCs w:val="18"/>
        </w:rPr>
        <w:t xml:space="preserve">vervuilende stoffen </w:t>
      </w:r>
      <w:r w:rsidR="003F6B87">
        <w:rPr>
          <w:sz w:val="18"/>
          <w:szCs w:val="18"/>
        </w:rPr>
        <w:t xml:space="preserve">met </w:t>
      </w:r>
      <w:r w:rsidR="0070550F">
        <w:rPr>
          <w:sz w:val="18"/>
          <w:szCs w:val="18"/>
        </w:rPr>
        <w:t>negatieve effecten op het mariene ecosysteem</w:t>
      </w:r>
      <w:r w:rsidR="003F6B87">
        <w:rPr>
          <w:sz w:val="18"/>
          <w:szCs w:val="18"/>
        </w:rPr>
        <w:t xml:space="preserve"> kunnen </w:t>
      </w:r>
      <w:r>
        <w:rPr>
          <w:sz w:val="18"/>
          <w:szCs w:val="18"/>
        </w:rPr>
        <w:t xml:space="preserve">zich in zee </w:t>
      </w:r>
      <w:r w:rsidR="003F6B87">
        <w:rPr>
          <w:sz w:val="18"/>
          <w:szCs w:val="18"/>
        </w:rPr>
        <w:t>vooral de stoffen die</w:t>
      </w:r>
      <w:r w:rsidR="0070550F">
        <w:rPr>
          <w:sz w:val="18"/>
          <w:szCs w:val="18"/>
        </w:rPr>
        <w:t xml:space="preserve"> slecht afbreekbaar zijn en zich ophopen in voedselwebben over grote afstanden verspreiden</w:t>
      </w:r>
      <w:r w:rsidR="00A258AA">
        <w:rPr>
          <w:sz w:val="18"/>
          <w:szCs w:val="18"/>
        </w:rPr>
        <w:t>. Ze</w:t>
      </w:r>
      <w:r w:rsidR="0070550F">
        <w:rPr>
          <w:sz w:val="18"/>
          <w:szCs w:val="18"/>
        </w:rPr>
        <w:t xml:space="preserve"> vormen een bedreiging voor het mariene milieu. OSPAR heeft een lijst opgesteld van 26 vervuilende stoffen die op basis van deze eigenschappen en de mate waarin ze worden gebruikt, als </w:t>
      </w:r>
      <w:r w:rsidR="00A258AA">
        <w:rPr>
          <w:sz w:val="18"/>
          <w:szCs w:val="18"/>
        </w:rPr>
        <w:t xml:space="preserve">eerste </w:t>
      </w:r>
      <w:r w:rsidR="0070550F">
        <w:rPr>
          <w:sz w:val="18"/>
          <w:szCs w:val="18"/>
        </w:rPr>
        <w:t xml:space="preserve">voor actie </w:t>
      </w:r>
      <w:r w:rsidR="007F1D75">
        <w:rPr>
          <w:sz w:val="18"/>
          <w:szCs w:val="18"/>
        </w:rPr>
        <w:t>in aanmerking komen</w:t>
      </w:r>
      <w:r w:rsidR="0070550F">
        <w:rPr>
          <w:sz w:val="18"/>
          <w:szCs w:val="18"/>
        </w:rPr>
        <w:t>. Het gaat om bepaalde (organo)metalen, organohalogenen, pesticiden, phenolen, weekmakers, PAK</w:t>
      </w:r>
      <w:r w:rsidR="005F5515">
        <w:rPr>
          <w:sz w:val="18"/>
          <w:szCs w:val="18"/>
        </w:rPr>
        <w:t>’</w:t>
      </w:r>
      <w:r w:rsidR="0070550F">
        <w:rPr>
          <w:sz w:val="18"/>
          <w:szCs w:val="18"/>
        </w:rPr>
        <w:t>s en een aantal farmaceutische stoffen. Voor een groot aantal van deze stoffen stelt de KRW milieudoelen. Daarnaast heeft de KRW een aantal van de stoffen aangewezen als prioritair gevaarlijk</w:t>
      </w:r>
      <w:r w:rsidR="00A258AA">
        <w:rPr>
          <w:sz w:val="18"/>
          <w:szCs w:val="18"/>
        </w:rPr>
        <w:t>;</w:t>
      </w:r>
      <w:r w:rsidR="0070550F">
        <w:rPr>
          <w:sz w:val="18"/>
          <w:szCs w:val="18"/>
        </w:rPr>
        <w:t xml:space="preserve"> deze overlappen deels de lijst van OSPAR. </w:t>
      </w:r>
      <w:r w:rsidR="00A258AA">
        <w:rPr>
          <w:sz w:val="18"/>
          <w:szCs w:val="18"/>
        </w:rPr>
        <w:t xml:space="preserve">De lozingen van </w:t>
      </w:r>
      <w:r w:rsidR="0070550F">
        <w:rPr>
          <w:sz w:val="18"/>
          <w:szCs w:val="18"/>
        </w:rPr>
        <w:t>deze stoffen moet</w:t>
      </w:r>
      <w:r w:rsidR="00A258AA">
        <w:rPr>
          <w:sz w:val="18"/>
          <w:szCs w:val="18"/>
        </w:rPr>
        <w:t>en</w:t>
      </w:r>
      <w:r w:rsidR="0070550F">
        <w:rPr>
          <w:sz w:val="18"/>
          <w:szCs w:val="18"/>
        </w:rPr>
        <w:t xml:space="preserve"> volgens de KRW uiterlijk in 2027 </w:t>
      </w:r>
      <w:r w:rsidR="00A258AA">
        <w:rPr>
          <w:sz w:val="18"/>
          <w:szCs w:val="18"/>
        </w:rPr>
        <w:t>zijn</w:t>
      </w:r>
      <w:r w:rsidR="0070550F">
        <w:rPr>
          <w:sz w:val="18"/>
          <w:szCs w:val="18"/>
        </w:rPr>
        <w:t xml:space="preserve"> beëindigd</w:t>
      </w:r>
      <w:r w:rsidR="00A258AA">
        <w:rPr>
          <w:sz w:val="18"/>
          <w:szCs w:val="18"/>
        </w:rPr>
        <w:t>.</w:t>
      </w:r>
      <w:r w:rsidR="0070550F">
        <w:rPr>
          <w:sz w:val="18"/>
          <w:szCs w:val="18"/>
        </w:rPr>
        <w:t xml:space="preserve"> </w:t>
      </w:r>
    </w:p>
    <w:p w:rsidR="0070550F" w:rsidP="0070550F" w:rsidRDefault="0070550F" w14:paraId="284CBD9F" w14:textId="77777777">
      <w:pPr>
        <w:pStyle w:val="Default"/>
        <w:rPr>
          <w:sz w:val="18"/>
          <w:szCs w:val="18"/>
        </w:rPr>
      </w:pPr>
    </w:p>
    <w:tbl>
      <w:tblPr>
        <w:tblStyle w:val="TableGrid"/>
        <w:tblW w:w="0" w:type="auto"/>
        <w:tblLook w:val="04A0" w:firstRow="1" w:lastRow="0" w:firstColumn="1" w:lastColumn="0" w:noHBand="0" w:noVBand="1"/>
      </w:tblPr>
      <w:tblGrid>
        <w:gridCol w:w="1413"/>
        <w:gridCol w:w="7604"/>
      </w:tblGrid>
      <w:tr w:rsidRPr="0084482C" w:rsidR="0070550F" w:rsidTr="000E4075" w14:paraId="31FE8DED" w14:textId="77777777">
        <w:tc>
          <w:tcPr>
            <w:tcW w:w="1413" w:type="dxa"/>
          </w:tcPr>
          <w:p w:rsidRPr="006A68F5" w:rsidR="0070550F" w:rsidP="000E4075" w:rsidRDefault="0070550F" w14:paraId="7AB3F972" w14:textId="77777777">
            <w:pPr>
              <w:rPr>
                <w:sz w:val="16"/>
              </w:rPr>
            </w:pPr>
            <w:r w:rsidRPr="006A68F5">
              <w:rPr>
                <w:sz w:val="16"/>
              </w:rPr>
              <w:t>Goede milieutoestand</w:t>
            </w:r>
          </w:p>
          <w:p w:rsidRPr="006A68F5" w:rsidR="0070550F" w:rsidP="000E4075" w:rsidRDefault="0070550F" w14:paraId="7845E5C5" w14:textId="77777777">
            <w:pPr>
              <w:rPr>
                <w:sz w:val="16"/>
              </w:rPr>
            </w:pPr>
          </w:p>
        </w:tc>
        <w:tc>
          <w:tcPr>
            <w:tcW w:w="7604" w:type="dxa"/>
          </w:tcPr>
          <w:p w:rsidRPr="006A68F5" w:rsidR="0070550F" w:rsidP="000E4075" w:rsidRDefault="0070550F" w14:paraId="27AFCAA1" w14:textId="77777777">
            <w:pPr>
              <w:rPr>
                <w:sz w:val="16"/>
                <w:lang w:val="nl-NL"/>
              </w:rPr>
            </w:pPr>
            <w:r w:rsidRPr="006A68F5">
              <w:rPr>
                <w:sz w:val="16"/>
                <w:lang w:val="nl-NL"/>
              </w:rPr>
              <w:t>Overkoepelend: de concentraties van voor het mariene milieu relevante vervuilende stoffen, gemeten in het meest geëigende compartiment (water, sediment of biota) zijn lager dan de concentraties waarbij negatieve effecten kunnen optreden of laten een dalende trend zien.</w:t>
            </w:r>
          </w:p>
          <w:p w:rsidRPr="006A68F5" w:rsidR="0070550F" w:rsidP="00746E9B" w:rsidRDefault="0070550F" w14:paraId="329B025C" w14:textId="77777777">
            <w:pPr>
              <w:pStyle w:val="ListParagraph"/>
              <w:numPr>
                <w:ilvl w:val="0"/>
                <w:numId w:val="37"/>
              </w:numPr>
              <w:rPr>
                <w:sz w:val="16"/>
                <w:lang w:val="nl-NL"/>
              </w:rPr>
            </w:pPr>
            <w:r w:rsidRPr="006A68F5">
              <w:rPr>
                <w:sz w:val="16"/>
                <w:lang w:val="nl-NL"/>
              </w:rPr>
              <w:t>D8C1 (kustwateren): de concentraties van voor het mariene milieu relevante vervuilende stoffen, gemeten in het meest geëigende compartiment (water of biota) voldoen aan de milieukwaliteitseisen die bij de KRW worden gebruikt in de 12-mijls zone (voor prioritaire stoffen), respectievelijk in de 1-mijlszone (voor de specifiek verontreinigende stoffen).</w:t>
            </w:r>
          </w:p>
          <w:p w:rsidRPr="006A68F5" w:rsidR="0070550F" w:rsidP="00746E9B" w:rsidRDefault="0070550F" w14:paraId="1C9B1448" w14:textId="77777777">
            <w:pPr>
              <w:pStyle w:val="ListParagraph"/>
              <w:numPr>
                <w:ilvl w:val="0"/>
                <w:numId w:val="37"/>
              </w:numPr>
              <w:rPr>
                <w:sz w:val="16"/>
                <w:lang w:val="nl-NL"/>
              </w:rPr>
            </w:pPr>
            <w:r w:rsidRPr="006A68F5">
              <w:rPr>
                <w:sz w:val="16"/>
                <w:lang w:val="nl-NL"/>
              </w:rPr>
              <w:t>D8C1 (offshorewateren): de concentraties van voor het mariene milieu relevante vervuilende stoffen, gemeten in het meest geëigende compartiment (sediment of biota) voldoen aan de milieu-evaluatiecriteria (Environmental Assessment Criteria, EAC) en/of achtergrondevaluatiecriteria (Background Assessment Criteria, BAC) van OSPAR, of ze laten, waar deze streefwaarden nog niet zijn geformuleerd, een dalende trend zien (conform OSPAR).</w:t>
            </w:r>
          </w:p>
          <w:p w:rsidRPr="006A68F5" w:rsidR="0070550F" w:rsidP="000E4075" w:rsidRDefault="0070550F" w14:paraId="6F190268" w14:textId="77777777">
            <w:pPr>
              <w:rPr>
                <w:sz w:val="16"/>
                <w:lang w:val="nl-NL"/>
              </w:rPr>
            </w:pPr>
          </w:p>
          <w:p w:rsidRPr="006A68F5" w:rsidR="0070550F" w:rsidP="000E4075" w:rsidRDefault="0070550F" w14:paraId="4D9D4792" w14:textId="77777777">
            <w:pPr>
              <w:rPr>
                <w:sz w:val="16"/>
                <w:lang w:val="nl-NL"/>
              </w:rPr>
            </w:pPr>
            <w:r w:rsidRPr="006A68F5">
              <w:rPr>
                <w:sz w:val="16"/>
                <w:lang w:val="nl-NL"/>
              </w:rPr>
              <w:t>Overkoepelend: de gezondheid van de soorten wordt niet geschaad door verontreinigende stoffen.</w:t>
            </w:r>
          </w:p>
          <w:p w:rsidRPr="006A68F5" w:rsidR="0070550F" w:rsidP="00746E9B" w:rsidRDefault="0070550F" w14:paraId="13470090" w14:textId="77777777">
            <w:pPr>
              <w:pStyle w:val="ListParagraph"/>
              <w:numPr>
                <w:ilvl w:val="0"/>
                <w:numId w:val="37"/>
              </w:numPr>
              <w:rPr>
                <w:sz w:val="16"/>
                <w:lang w:val="nl-NL"/>
              </w:rPr>
            </w:pPr>
            <w:r w:rsidRPr="006A68F5">
              <w:rPr>
                <w:sz w:val="16"/>
                <w:lang w:val="nl-NL"/>
              </w:rPr>
              <w:t xml:space="preserve">D8C2: dalende trend ten opzichte van 2012 van </w:t>
            </w:r>
            <w:r w:rsidR="00A258AA">
              <w:rPr>
                <w:sz w:val="16"/>
                <w:lang w:val="nl-NL"/>
              </w:rPr>
              <w:t>i</w:t>
            </w:r>
            <w:r w:rsidRPr="006A68F5">
              <w:rPr>
                <w:sz w:val="16"/>
                <w:lang w:val="nl-NL"/>
              </w:rPr>
              <w:t>mposex.</w:t>
            </w:r>
          </w:p>
          <w:p w:rsidRPr="006A68F5" w:rsidR="0070550F" w:rsidP="00746E9B" w:rsidRDefault="0070550F" w14:paraId="416DF08D" w14:textId="77777777">
            <w:pPr>
              <w:pStyle w:val="ListParagraph"/>
              <w:numPr>
                <w:ilvl w:val="0"/>
                <w:numId w:val="37"/>
              </w:numPr>
              <w:rPr>
                <w:sz w:val="16"/>
                <w:lang w:val="nl-NL"/>
              </w:rPr>
            </w:pPr>
            <w:r w:rsidRPr="006A68F5">
              <w:rPr>
                <w:sz w:val="16"/>
                <w:lang w:val="nl-NL"/>
              </w:rPr>
              <w:t>D8C3: de ruimtelijke omvang en de duur van de significante, ernstige verontreinigingen worden tot een minimum beperkt.</w:t>
            </w:r>
          </w:p>
        </w:tc>
      </w:tr>
      <w:tr w:rsidRPr="0084482C" w:rsidR="0070550F" w:rsidTr="000E4075" w14:paraId="0AD3556A" w14:textId="77777777">
        <w:tc>
          <w:tcPr>
            <w:tcW w:w="1413" w:type="dxa"/>
          </w:tcPr>
          <w:p w:rsidRPr="006A68F5" w:rsidR="0070550F" w:rsidP="000E4075" w:rsidRDefault="0070550F" w14:paraId="35ADDD1D" w14:textId="77777777">
            <w:pPr>
              <w:rPr>
                <w:sz w:val="16"/>
              </w:rPr>
            </w:pPr>
            <w:r w:rsidRPr="006A68F5">
              <w:rPr>
                <w:sz w:val="16"/>
              </w:rPr>
              <w:t>Milieudoelen</w:t>
            </w:r>
          </w:p>
        </w:tc>
        <w:tc>
          <w:tcPr>
            <w:tcW w:w="7604" w:type="dxa"/>
          </w:tcPr>
          <w:p w:rsidRPr="006A68F5" w:rsidR="0070550F" w:rsidP="00746E9B" w:rsidRDefault="0070550F" w14:paraId="61246C98" w14:textId="77777777">
            <w:pPr>
              <w:pStyle w:val="ListParagraph"/>
              <w:numPr>
                <w:ilvl w:val="0"/>
                <w:numId w:val="36"/>
              </w:numPr>
              <w:rPr>
                <w:sz w:val="16"/>
                <w:lang w:val="nl-NL"/>
              </w:rPr>
            </w:pPr>
            <w:r w:rsidRPr="006A68F5">
              <w:rPr>
                <w:sz w:val="16"/>
                <w:lang w:val="nl-NL"/>
              </w:rPr>
              <w:t>D8T1 (kustwateren): het verlagen van de toevoer van vervuilende stoffen die nog niet aan de KRW-normen voldoen, conform het tijdpad van de stroomgebiedbeheerplannen. Concentraties van vervuilende stoffen die al voldoen aan de KRW-normen niet laten toenemen.</w:t>
            </w:r>
          </w:p>
          <w:p w:rsidRPr="006A68F5" w:rsidR="0070550F" w:rsidP="00746E9B" w:rsidRDefault="0070550F" w14:paraId="4E7DB10C" w14:textId="77777777">
            <w:pPr>
              <w:pStyle w:val="ListParagraph"/>
              <w:numPr>
                <w:ilvl w:val="0"/>
                <w:numId w:val="36"/>
              </w:numPr>
              <w:rPr>
                <w:sz w:val="16"/>
                <w:lang w:val="nl-NL"/>
              </w:rPr>
            </w:pPr>
            <w:r w:rsidRPr="006A68F5">
              <w:rPr>
                <w:sz w:val="16"/>
                <w:lang w:val="nl-NL"/>
              </w:rPr>
              <w:t>D8T2 (offshore): waar mogelijk verlagen van concentraties van vervuilende stoffen.</w:t>
            </w:r>
          </w:p>
          <w:p w:rsidRPr="006A68F5" w:rsidR="0070550F" w:rsidP="00746E9B" w:rsidRDefault="0070550F" w14:paraId="32444B43" w14:textId="77777777">
            <w:pPr>
              <w:pStyle w:val="ListParagraph"/>
              <w:numPr>
                <w:ilvl w:val="0"/>
                <w:numId w:val="36"/>
              </w:numPr>
              <w:rPr>
                <w:sz w:val="16"/>
                <w:lang w:val="nl-NL"/>
              </w:rPr>
            </w:pPr>
            <w:r w:rsidRPr="006A68F5">
              <w:rPr>
                <w:sz w:val="16"/>
                <w:lang w:val="nl-NL"/>
              </w:rPr>
              <w:t>D8T4: verlagen van de toevoer van zware metalen in het mariene milieu.</w:t>
            </w:r>
          </w:p>
          <w:p w:rsidRPr="006A68F5" w:rsidR="0070550F" w:rsidP="00746E9B" w:rsidRDefault="0070550F" w14:paraId="0026EABA" w14:textId="77777777">
            <w:pPr>
              <w:pStyle w:val="ListParagraph"/>
              <w:numPr>
                <w:ilvl w:val="0"/>
                <w:numId w:val="36"/>
              </w:numPr>
              <w:rPr>
                <w:sz w:val="16"/>
                <w:lang w:val="nl-NL"/>
              </w:rPr>
            </w:pPr>
            <w:r w:rsidRPr="006A68F5">
              <w:rPr>
                <w:sz w:val="16"/>
                <w:lang w:val="nl-NL"/>
              </w:rPr>
              <w:t>D8T3: het op regionaal niveau volgen van koperconcentraties, nu dit zware metaal wordt ingezet als vervanger voor TBT (OSPAR).</w:t>
            </w:r>
          </w:p>
          <w:p w:rsidRPr="006A68F5" w:rsidR="0070550F" w:rsidP="00746E9B" w:rsidRDefault="0070550F" w14:paraId="7E704532" w14:textId="77777777">
            <w:pPr>
              <w:pStyle w:val="ListParagraph"/>
              <w:numPr>
                <w:ilvl w:val="0"/>
                <w:numId w:val="36"/>
              </w:numPr>
              <w:rPr>
                <w:sz w:val="16"/>
                <w:lang w:val="nl-NL"/>
              </w:rPr>
            </w:pPr>
            <w:r w:rsidRPr="006A68F5">
              <w:rPr>
                <w:sz w:val="16"/>
                <w:lang w:val="nl-NL"/>
              </w:rPr>
              <w:t>D8T5: het zo snel mogelijk opruimen van acute ernstige verontreinigingen, waar nodig in samenwerking binnen de Bonn Agreement</w:t>
            </w:r>
            <w:r w:rsidR="00A258AA">
              <w:rPr>
                <w:sz w:val="16"/>
                <w:lang w:val="nl-NL"/>
              </w:rPr>
              <w:t>.</w:t>
            </w:r>
          </w:p>
          <w:p w:rsidRPr="006A68F5" w:rsidR="0070550F" w:rsidP="00746E9B" w:rsidRDefault="0070550F" w14:paraId="723C6E1F" w14:textId="77777777">
            <w:pPr>
              <w:pStyle w:val="ListParagraph"/>
              <w:numPr>
                <w:ilvl w:val="0"/>
                <w:numId w:val="36"/>
              </w:numPr>
              <w:rPr>
                <w:sz w:val="16"/>
                <w:lang w:val="nl-NL"/>
              </w:rPr>
            </w:pPr>
            <w:r w:rsidRPr="006A68F5">
              <w:rPr>
                <w:sz w:val="16"/>
                <w:lang w:val="nl-NL"/>
              </w:rPr>
              <w:t>D8T6: verminderen van gebruik lood, onder andere in de sportvisserij (KRW).</w:t>
            </w:r>
          </w:p>
        </w:tc>
      </w:tr>
    </w:tbl>
    <w:p w:rsidR="0070550F" w:rsidP="0070550F" w:rsidRDefault="0070550F" w14:paraId="77C94793" w14:textId="77777777">
      <w:pPr>
        <w:pStyle w:val="Default"/>
        <w:rPr>
          <w:sz w:val="18"/>
          <w:szCs w:val="18"/>
        </w:rPr>
      </w:pPr>
    </w:p>
    <w:p w:rsidR="0070550F" w:rsidP="0070550F" w:rsidRDefault="0070550F" w14:paraId="38CAD3A8" w14:textId="77777777">
      <w:pPr>
        <w:pStyle w:val="TOCHeading"/>
      </w:pPr>
      <w:r w:rsidRPr="00DB4F99">
        <w:t>Geïmplementeerde maatregelen</w:t>
      </w:r>
    </w:p>
    <w:p w:rsidR="00AD3592" w:rsidP="00BB513B" w:rsidRDefault="00D874E4" w14:paraId="134469EE" w14:textId="6DE3231D">
      <w:pPr>
        <w:rPr>
          <w:lang w:val="nl-NL"/>
        </w:rPr>
      </w:pPr>
      <w:r>
        <w:rPr>
          <w:lang w:val="nl-NL"/>
        </w:rPr>
        <w:t xml:space="preserve">De inzet van het voorgaande programma van maatregelen was </w:t>
      </w:r>
      <w:r w:rsidRPr="00D874E4">
        <w:rPr>
          <w:lang w:val="nl-NL"/>
        </w:rPr>
        <w:t>gericht op het reduceren van de concentraties vervuilende stoffen in zee en</w:t>
      </w:r>
      <w:r>
        <w:rPr>
          <w:lang w:val="nl-NL"/>
        </w:rPr>
        <w:t xml:space="preserve"> </w:t>
      </w:r>
      <w:r w:rsidRPr="00D874E4">
        <w:rPr>
          <w:lang w:val="nl-NL"/>
        </w:rPr>
        <w:t xml:space="preserve">op het voorkomen van verontreinigingseffecten van stoffen zoals TBT. </w:t>
      </w:r>
      <w:r w:rsidRPr="00BB513B" w:rsidR="00BB513B">
        <w:rPr>
          <w:lang w:val="nl-NL"/>
        </w:rPr>
        <w:t>In de Stroomgebiedbeheerplannen 2016-2021 Rijn, Maas,</w:t>
      </w:r>
      <w:r w:rsidR="00BB513B">
        <w:rPr>
          <w:lang w:val="nl-NL"/>
        </w:rPr>
        <w:t xml:space="preserve"> </w:t>
      </w:r>
      <w:r w:rsidRPr="00BB513B" w:rsidR="00BB513B">
        <w:rPr>
          <w:lang w:val="nl-NL"/>
        </w:rPr>
        <w:t xml:space="preserve">Schelde en Eems, die in het kader van de </w:t>
      </w:r>
      <w:r w:rsidR="00BB513B">
        <w:rPr>
          <w:lang w:val="nl-NL"/>
        </w:rPr>
        <w:t>KRW</w:t>
      </w:r>
      <w:r w:rsidRPr="00BB513B" w:rsidR="00BB513B">
        <w:rPr>
          <w:lang w:val="nl-NL"/>
        </w:rPr>
        <w:t xml:space="preserve"> zijn opgesteld, zijn maatregelen opgenomen om</w:t>
      </w:r>
      <w:r w:rsidR="00BB513B">
        <w:rPr>
          <w:lang w:val="nl-NL"/>
        </w:rPr>
        <w:t xml:space="preserve"> </w:t>
      </w:r>
      <w:r w:rsidRPr="00BB513B" w:rsidR="00BB513B">
        <w:rPr>
          <w:lang w:val="nl-NL"/>
        </w:rPr>
        <w:t>de uitstoot van vervuilende stoffen naar het grond- en</w:t>
      </w:r>
      <w:r w:rsidR="00BB513B">
        <w:rPr>
          <w:lang w:val="nl-NL"/>
        </w:rPr>
        <w:t xml:space="preserve"> </w:t>
      </w:r>
      <w:r w:rsidRPr="00BB513B" w:rsidR="00BB513B">
        <w:rPr>
          <w:lang w:val="nl-NL"/>
        </w:rPr>
        <w:t>oppervlaktewater verder terug te dringen</w:t>
      </w:r>
      <w:r w:rsidR="00BB513B">
        <w:rPr>
          <w:lang w:val="nl-NL"/>
        </w:rPr>
        <w:t xml:space="preserve">. </w:t>
      </w:r>
      <w:r w:rsidR="0070550F">
        <w:rPr>
          <w:lang w:val="nl-NL"/>
        </w:rPr>
        <w:t xml:space="preserve">De afgelopen jaren zijn onder meer maatregelen uitgevoerd </w:t>
      </w:r>
      <w:r w:rsidR="00E6504F">
        <w:rPr>
          <w:lang w:val="nl-NL"/>
        </w:rPr>
        <w:t>om</w:t>
      </w:r>
      <w:r w:rsidRPr="006C49A3" w:rsidR="0070550F">
        <w:rPr>
          <w:lang w:val="nl-NL"/>
        </w:rPr>
        <w:t xml:space="preserve"> industriële</w:t>
      </w:r>
      <w:r w:rsidR="0070550F">
        <w:rPr>
          <w:lang w:val="nl-NL"/>
        </w:rPr>
        <w:t xml:space="preserve"> </w:t>
      </w:r>
      <w:r w:rsidRPr="006C49A3" w:rsidR="0070550F">
        <w:rPr>
          <w:lang w:val="nl-NL"/>
        </w:rPr>
        <w:t xml:space="preserve">emissies, </w:t>
      </w:r>
      <w:r w:rsidR="006164BE">
        <w:rPr>
          <w:lang w:val="nl-NL"/>
        </w:rPr>
        <w:t>verontreiniging door</w:t>
      </w:r>
      <w:r w:rsidR="00591609">
        <w:rPr>
          <w:lang w:val="nl-NL"/>
        </w:rPr>
        <w:t xml:space="preserve"> </w:t>
      </w:r>
      <w:r w:rsidRPr="006C49A3" w:rsidR="00591609">
        <w:rPr>
          <w:lang w:val="nl-NL"/>
        </w:rPr>
        <w:t>gewasbe</w:t>
      </w:r>
      <w:r w:rsidR="00591609">
        <w:rPr>
          <w:lang w:val="nl-NL"/>
        </w:rPr>
        <w:t>schermings</w:t>
      </w:r>
      <w:r w:rsidRPr="006C49A3" w:rsidR="00591609">
        <w:rPr>
          <w:lang w:val="nl-NL"/>
        </w:rPr>
        <w:t xml:space="preserve">middelen </w:t>
      </w:r>
      <w:r w:rsidRPr="006C49A3" w:rsidR="0070550F">
        <w:rPr>
          <w:lang w:val="nl-NL"/>
        </w:rPr>
        <w:t>en lozingen</w:t>
      </w:r>
      <w:r w:rsidR="0070550F">
        <w:rPr>
          <w:lang w:val="nl-NL"/>
        </w:rPr>
        <w:t xml:space="preserve"> door de</w:t>
      </w:r>
      <w:r w:rsidRPr="006C49A3" w:rsidR="0070550F">
        <w:rPr>
          <w:lang w:val="nl-NL"/>
        </w:rPr>
        <w:t xml:space="preserve"> binnenvaart</w:t>
      </w:r>
      <w:r w:rsidR="00E6504F">
        <w:rPr>
          <w:lang w:val="nl-NL"/>
        </w:rPr>
        <w:t xml:space="preserve"> terug te dringen</w:t>
      </w:r>
      <w:r w:rsidR="0070550F">
        <w:rPr>
          <w:lang w:val="nl-NL"/>
        </w:rPr>
        <w:t xml:space="preserve">. </w:t>
      </w:r>
    </w:p>
    <w:p w:rsidR="0070550F" w:rsidP="00BB513B" w:rsidRDefault="0070550F" w14:paraId="22937877" w14:textId="295CCD3B">
      <w:pPr>
        <w:rPr>
          <w:lang w:val="nl-NL"/>
        </w:rPr>
      </w:pPr>
      <w:r>
        <w:rPr>
          <w:lang w:val="nl-NL"/>
        </w:rPr>
        <w:t xml:space="preserve">Onder de </w:t>
      </w:r>
      <w:r w:rsidRPr="00AD4734">
        <w:rPr>
          <w:lang w:val="nl-NL"/>
        </w:rPr>
        <w:t>Richtlijn industriële emissies</w:t>
      </w:r>
      <w:r>
        <w:rPr>
          <w:lang w:val="nl-NL"/>
        </w:rPr>
        <w:t xml:space="preserve"> zijn maatregelen genomen </w:t>
      </w:r>
      <w:r w:rsidR="00E6504F">
        <w:rPr>
          <w:lang w:val="nl-NL"/>
        </w:rPr>
        <w:t>in de sfeer</w:t>
      </w:r>
      <w:r>
        <w:rPr>
          <w:lang w:val="nl-NL"/>
        </w:rPr>
        <w:t xml:space="preserve"> van </w:t>
      </w:r>
      <w:r w:rsidRPr="00AD4734">
        <w:rPr>
          <w:lang w:val="nl-NL"/>
        </w:rPr>
        <w:t>vergunningsvoorschriften, toepassing van de stand der techniek, toepassing van voorschriften zoals opgenomen in de Europese referentiedocumenten (BREF’s), en toepassing van de emissie-immissietoets</w:t>
      </w:r>
      <w:r>
        <w:rPr>
          <w:lang w:val="nl-NL"/>
        </w:rPr>
        <w:t xml:space="preserve"> </w:t>
      </w:r>
      <w:r w:rsidRPr="00AD4734">
        <w:rPr>
          <w:lang w:val="nl-NL"/>
        </w:rPr>
        <w:t xml:space="preserve">bij </w:t>
      </w:r>
      <w:r w:rsidR="006164BE">
        <w:rPr>
          <w:lang w:val="nl-NL"/>
        </w:rPr>
        <w:t xml:space="preserve">de </w:t>
      </w:r>
      <w:r w:rsidRPr="00AD4734">
        <w:rPr>
          <w:lang w:val="nl-NL"/>
        </w:rPr>
        <w:t>beoordeling van emissies naar oppervlaktewater.</w:t>
      </w:r>
      <w:r>
        <w:rPr>
          <w:lang w:val="nl-NL"/>
        </w:rPr>
        <w:t xml:space="preserve"> </w:t>
      </w:r>
      <w:r w:rsidRPr="00AD4734">
        <w:rPr>
          <w:lang w:val="nl-NL"/>
        </w:rPr>
        <w:t xml:space="preserve">Met dit maatregelenpakket </w:t>
      </w:r>
      <w:r>
        <w:rPr>
          <w:lang w:val="nl-NL"/>
        </w:rPr>
        <w:t xml:space="preserve">zijn </w:t>
      </w:r>
      <w:r w:rsidRPr="00AD4734">
        <w:rPr>
          <w:lang w:val="nl-NL"/>
        </w:rPr>
        <w:t>industriële emissies</w:t>
      </w:r>
      <w:r w:rsidRPr="00F02C90">
        <w:rPr>
          <w:lang w:val="nl-NL"/>
        </w:rPr>
        <w:t xml:space="preserve"> </w:t>
      </w:r>
      <w:r w:rsidRPr="00AD4734">
        <w:rPr>
          <w:lang w:val="nl-NL"/>
        </w:rPr>
        <w:t>naar het oppervlaktewater teruggedrongen</w:t>
      </w:r>
      <w:r>
        <w:rPr>
          <w:lang w:val="nl-NL"/>
        </w:rPr>
        <w:t xml:space="preserve">. Het </w:t>
      </w:r>
      <w:r w:rsidRPr="00E434B6">
        <w:rPr>
          <w:lang w:val="nl-NL"/>
        </w:rPr>
        <w:t>Acti</w:t>
      </w:r>
      <w:r>
        <w:rPr>
          <w:lang w:val="nl-NL"/>
        </w:rPr>
        <w:t xml:space="preserve">eplan duurzame gewasbescherming leidt tot het </w:t>
      </w:r>
      <w:r w:rsidR="00E6504F">
        <w:rPr>
          <w:lang w:val="nl-NL"/>
        </w:rPr>
        <w:t xml:space="preserve">verminderen </w:t>
      </w:r>
      <w:r>
        <w:rPr>
          <w:lang w:val="nl-NL"/>
        </w:rPr>
        <w:t xml:space="preserve">van </w:t>
      </w:r>
      <w:r w:rsidRPr="00E434B6">
        <w:rPr>
          <w:lang w:val="nl-NL"/>
        </w:rPr>
        <w:t>verontreiniging</w:t>
      </w:r>
      <w:r>
        <w:rPr>
          <w:lang w:val="nl-NL"/>
        </w:rPr>
        <w:t xml:space="preserve"> door </w:t>
      </w:r>
      <w:r w:rsidR="006164BE">
        <w:rPr>
          <w:lang w:val="nl-NL"/>
        </w:rPr>
        <w:t>g</w:t>
      </w:r>
      <w:r>
        <w:rPr>
          <w:lang w:val="nl-NL"/>
        </w:rPr>
        <w:t xml:space="preserve">ewasbeschermingsmiddelen. Lozingen van afvalwater door </w:t>
      </w:r>
      <w:r w:rsidR="006164BE">
        <w:rPr>
          <w:lang w:val="nl-NL"/>
        </w:rPr>
        <w:t xml:space="preserve">de </w:t>
      </w:r>
      <w:r>
        <w:rPr>
          <w:lang w:val="nl-NL"/>
        </w:rPr>
        <w:t xml:space="preserve">binnenvaart zijn gereduceerd door </w:t>
      </w:r>
      <w:r w:rsidRPr="00E434B6">
        <w:rPr>
          <w:lang w:val="nl-NL"/>
        </w:rPr>
        <w:t>het Scheepsafvalstoffenbesluit Rijn- en binnenvaart en de Regeling scheepsafvalstoffen Rijn- en binnenvaart.</w:t>
      </w:r>
      <w:r w:rsidR="006249F4">
        <w:rPr>
          <w:lang w:val="nl-NL"/>
        </w:rPr>
        <w:t xml:space="preserve"> </w:t>
      </w:r>
      <w:r w:rsidR="00A258AA">
        <w:rPr>
          <w:lang w:val="nl-NL"/>
        </w:rPr>
        <w:t>Andere</w:t>
      </w:r>
      <w:r>
        <w:rPr>
          <w:lang w:val="nl-NL"/>
        </w:rPr>
        <w:t xml:space="preserve"> maatregelen </w:t>
      </w:r>
      <w:r w:rsidR="00A258AA">
        <w:rPr>
          <w:lang w:val="nl-NL"/>
        </w:rPr>
        <w:t xml:space="preserve">zijn </w:t>
      </w:r>
      <w:r>
        <w:rPr>
          <w:lang w:val="nl-NL"/>
        </w:rPr>
        <w:t xml:space="preserve">gericht op beperking van </w:t>
      </w:r>
      <w:r w:rsidRPr="006C49A3">
        <w:rPr>
          <w:lang w:val="nl-NL"/>
        </w:rPr>
        <w:t>lozing</w:t>
      </w:r>
      <w:r w:rsidR="00A258AA">
        <w:rPr>
          <w:lang w:val="nl-NL"/>
        </w:rPr>
        <w:t>en</w:t>
      </w:r>
      <w:r w:rsidRPr="006C49A3">
        <w:rPr>
          <w:lang w:val="nl-NL"/>
        </w:rPr>
        <w:t xml:space="preserve"> </w:t>
      </w:r>
      <w:r>
        <w:rPr>
          <w:lang w:val="nl-NL"/>
        </w:rPr>
        <w:t xml:space="preserve">op zee </w:t>
      </w:r>
      <w:r w:rsidR="00E6504F">
        <w:rPr>
          <w:lang w:val="nl-NL"/>
        </w:rPr>
        <w:t>bij</w:t>
      </w:r>
      <w:r w:rsidRPr="006C49A3" w:rsidR="00E6504F">
        <w:rPr>
          <w:lang w:val="nl-NL"/>
        </w:rPr>
        <w:t xml:space="preserve"> </w:t>
      </w:r>
      <w:r w:rsidRPr="006C49A3">
        <w:rPr>
          <w:lang w:val="nl-NL"/>
        </w:rPr>
        <w:t>incidenten en rampen</w:t>
      </w:r>
      <w:r>
        <w:rPr>
          <w:lang w:val="nl-NL"/>
        </w:rPr>
        <w:t xml:space="preserve">, </w:t>
      </w:r>
      <w:r w:rsidRPr="006C49A3">
        <w:rPr>
          <w:lang w:val="nl-NL"/>
        </w:rPr>
        <w:t>olie- en gasproductie</w:t>
      </w:r>
      <w:r>
        <w:rPr>
          <w:lang w:val="nl-NL"/>
        </w:rPr>
        <w:t xml:space="preserve"> en </w:t>
      </w:r>
      <w:r w:rsidR="001C31AD">
        <w:rPr>
          <w:lang w:val="nl-NL"/>
        </w:rPr>
        <w:t xml:space="preserve">vanaf </w:t>
      </w:r>
      <w:r w:rsidR="00A258AA">
        <w:rPr>
          <w:lang w:val="nl-NL"/>
        </w:rPr>
        <w:t xml:space="preserve">schepen </w:t>
      </w:r>
      <w:r>
        <w:rPr>
          <w:lang w:val="nl-NL"/>
        </w:rPr>
        <w:t>(MARPOL). V</w:t>
      </w:r>
      <w:r w:rsidRPr="00463F07">
        <w:rPr>
          <w:lang w:val="nl-NL"/>
        </w:rPr>
        <w:t xml:space="preserve">ia het MARPOL-verdrag </w:t>
      </w:r>
      <w:r>
        <w:rPr>
          <w:lang w:val="nl-NL"/>
        </w:rPr>
        <w:t xml:space="preserve">zijn </w:t>
      </w:r>
      <w:r w:rsidRPr="00463F07">
        <w:rPr>
          <w:lang w:val="nl-NL"/>
        </w:rPr>
        <w:t>regels gesteld aan lozingen op het water en emissies naar de lucht.</w:t>
      </w:r>
      <w:r>
        <w:rPr>
          <w:lang w:val="nl-NL"/>
        </w:rPr>
        <w:t xml:space="preserve"> Ook is een verbod op TBT ingesteld.</w:t>
      </w:r>
      <w:r w:rsidR="00F52DF4">
        <w:rPr>
          <w:lang w:val="nl-NL"/>
        </w:rPr>
        <w:t xml:space="preserve"> </w:t>
      </w:r>
      <w:r w:rsidRPr="00F52DF4" w:rsidR="00F52DF4">
        <w:rPr>
          <w:lang w:val="nl-NL"/>
        </w:rPr>
        <w:t>De preventie van vervuilende stoffen vanuit windmolenparken is geborgd via de milieu-effectrapportage (m.e.r.) in de vergunningprocedure.</w:t>
      </w:r>
    </w:p>
    <w:p w:rsidR="0070550F" w:rsidP="0070550F" w:rsidRDefault="008C1DE2" w14:paraId="6E8D98CA" w14:textId="20AC996D">
      <w:pPr>
        <w:rPr>
          <w:lang w:val="nl-NL"/>
        </w:rPr>
      </w:pPr>
      <w:r>
        <w:rPr>
          <w:lang w:val="nl-NL"/>
        </w:rPr>
        <w:t xml:space="preserve">In aanvulling </w:t>
      </w:r>
      <w:r w:rsidR="0070550F">
        <w:rPr>
          <w:lang w:val="nl-NL"/>
        </w:rPr>
        <w:t xml:space="preserve">op het voorgaande programma van maatregelen is het beleid </w:t>
      </w:r>
      <w:r w:rsidR="001950EC">
        <w:rPr>
          <w:lang w:val="nl-NL"/>
        </w:rPr>
        <w:t xml:space="preserve">voor de aanpak van </w:t>
      </w:r>
      <w:r w:rsidRPr="00210C60" w:rsidR="0070550F">
        <w:rPr>
          <w:lang w:val="nl-NL"/>
        </w:rPr>
        <w:t>Zeer Zorgwekkende Stoffen</w:t>
      </w:r>
      <w:r w:rsidR="001950EC">
        <w:rPr>
          <w:lang w:val="nl-NL"/>
        </w:rPr>
        <w:t xml:space="preserve"> (ZZS)</w:t>
      </w:r>
      <w:r w:rsidRPr="00210C60" w:rsidR="0070550F">
        <w:rPr>
          <w:lang w:val="nl-NL"/>
        </w:rPr>
        <w:t xml:space="preserve"> naar water</w:t>
      </w:r>
      <w:r w:rsidR="001950EC">
        <w:rPr>
          <w:lang w:val="nl-NL"/>
        </w:rPr>
        <w:t xml:space="preserve"> </w:t>
      </w:r>
      <w:r w:rsidRPr="00210C60" w:rsidR="0070550F">
        <w:rPr>
          <w:lang w:val="nl-NL"/>
        </w:rPr>
        <w:t>vastgelegd</w:t>
      </w:r>
      <w:r w:rsidR="0070550F">
        <w:rPr>
          <w:lang w:val="nl-NL"/>
        </w:rPr>
        <w:t xml:space="preserve">. </w:t>
      </w:r>
      <w:r w:rsidRPr="00AB3BBD" w:rsidR="0070550F">
        <w:rPr>
          <w:lang w:val="nl-NL"/>
        </w:rPr>
        <w:t xml:space="preserve">In 2016 en 2019 is het </w:t>
      </w:r>
      <w:r w:rsidR="001950EC">
        <w:rPr>
          <w:lang w:val="nl-NL"/>
        </w:rPr>
        <w:t>H</w:t>
      </w:r>
      <w:r w:rsidRPr="00AB3BBD" w:rsidR="0070550F">
        <w:rPr>
          <w:lang w:val="nl-NL"/>
        </w:rPr>
        <w:t xml:space="preserve">andboek Immissietoets geactualiseerd, inclusief </w:t>
      </w:r>
      <w:r w:rsidR="001C31AD">
        <w:rPr>
          <w:lang w:val="nl-NL"/>
        </w:rPr>
        <w:t xml:space="preserve">de </w:t>
      </w:r>
      <w:r w:rsidRPr="00AB3BBD" w:rsidR="0070550F">
        <w:rPr>
          <w:lang w:val="nl-NL"/>
        </w:rPr>
        <w:t>bijbehorende beoordelingsin</w:t>
      </w:r>
      <w:r w:rsidR="0070550F">
        <w:rPr>
          <w:lang w:val="nl-NL"/>
        </w:rPr>
        <w:t>s</w:t>
      </w:r>
      <w:r w:rsidRPr="00AB3BBD" w:rsidR="0070550F">
        <w:rPr>
          <w:lang w:val="nl-NL"/>
        </w:rPr>
        <w:t xml:space="preserve">trumenten/tools. </w:t>
      </w:r>
      <w:r w:rsidRPr="00BE44CB" w:rsidR="0070550F">
        <w:rPr>
          <w:lang w:val="nl-NL"/>
        </w:rPr>
        <w:t xml:space="preserve">Aanvullend op de bestaande eisen voor </w:t>
      </w:r>
      <w:r w:rsidR="00447344">
        <w:rPr>
          <w:lang w:val="nl-NL"/>
        </w:rPr>
        <w:t>rioolwaterzuiveringsinstallaties</w:t>
      </w:r>
      <w:r w:rsidRPr="00BE44CB" w:rsidR="0070550F">
        <w:rPr>
          <w:lang w:val="nl-NL"/>
        </w:rPr>
        <w:t xml:space="preserve"> </w:t>
      </w:r>
      <w:r w:rsidR="004B180C">
        <w:rPr>
          <w:lang w:val="nl-NL"/>
        </w:rPr>
        <w:t>maakt</w:t>
      </w:r>
      <w:r w:rsidR="00D874E4">
        <w:rPr>
          <w:lang w:val="nl-NL"/>
        </w:rPr>
        <w:t>e</w:t>
      </w:r>
      <w:r w:rsidRPr="00BE44CB" w:rsidR="004B180C">
        <w:rPr>
          <w:lang w:val="nl-NL"/>
        </w:rPr>
        <w:t xml:space="preserve"> </w:t>
      </w:r>
      <w:r w:rsidRPr="00BE44CB" w:rsidR="0070550F">
        <w:rPr>
          <w:lang w:val="nl-NL"/>
        </w:rPr>
        <w:t xml:space="preserve">Nederland de afgelopen </w:t>
      </w:r>
      <w:r w:rsidR="004B180C">
        <w:rPr>
          <w:lang w:val="nl-NL"/>
        </w:rPr>
        <w:t>jaren werk van</w:t>
      </w:r>
      <w:r w:rsidRPr="00BE44CB" w:rsidR="0070550F">
        <w:rPr>
          <w:lang w:val="nl-NL"/>
        </w:rPr>
        <w:t xml:space="preserve"> </w:t>
      </w:r>
      <w:r w:rsidR="00166403">
        <w:rPr>
          <w:lang w:val="nl-NL"/>
        </w:rPr>
        <w:t xml:space="preserve">de aanpak van </w:t>
      </w:r>
      <w:r w:rsidRPr="00BE44CB" w:rsidR="0070550F">
        <w:rPr>
          <w:lang w:val="nl-NL"/>
        </w:rPr>
        <w:t xml:space="preserve">chemische stoffen, waaronder vele die niet onder de KRW zijn genormeerd. </w:t>
      </w:r>
      <w:bookmarkStart w:name="_Hlk90389158" w:id="55"/>
      <w:r w:rsidR="00CE4747">
        <w:rPr>
          <w:lang w:val="nl-NL"/>
        </w:rPr>
        <w:t xml:space="preserve">Dit betreft bijvoorbeeld </w:t>
      </w:r>
      <w:r w:rsidRPr="00CE4747" w:rsidR="00CE4747">
        <w:rPr>
          <w:lang w:val="nl-NL"/>
        </w:rPr>
        <w:t xml:space="preserve">medicijnresten en zogenoemde </w:t>
      </w:r>
      <w:r w:rsidR="00CE4747">
        <w:rPr>
          <w:lang w:val="nl-NL"/>
        </w:rPr>
        <w:t>‘</w:t>
      </w:r>
      <w:r w:rsidRPr="00CE4747" w:rsidR="00CE4747">
        <w:rPr>
          <w:lang w:val="nl-NL"/>
        </w:rPr>
        <w:t>opkomende stoffen</w:t>
      </w:r>
      <w:r w:rsidR="00CE4747">
        <w:rPr>
          <w:lang w:val="nl-NL"/>
        </w:rPr>
        <w:t>’</w:t>
      </w:r>
      <w:r w:rsidRPr="00CE4747" w:rsidR="00CE4747">
        <w:rPr>
          <w:lang w:val="nl-NL"/>
        </w:rPr>
        <w:t>, zoals PFAS</w:t>
      </w:r>
      <w:r w:rsidR="00CE4747">
        <w:rPr>
          <w:lang w:val="nl-NL"/>
        </w:rPr>
        <w:t>.</w:t>
      </w:r>
      <w:r w:rsidRPr="00CE4747" w:rsidR="00CE4747">
        <w:rPr>
          <w:lang w:val="nl-NL"/>
        </w:rPr>
        <w:t xml:space="preserve"> </w:t>
      </w:r>
      <w:bookmarkEnd w:id="55"/>
      <w:r w:rsidRPr="00BE44CB" w:rsidR="0070550F">
        <w:rPr>
          <w:lang w:val="nl-NL"/>
        </w:rPr>
        <w:t>Zo wordt 60</w:t>
      </w:r>
      <w:r w:rsidR="0070550F">
        <w:rPr>
          <w:lang w:val="nl-NL"/>
        </w:rPr>
        <w:t xml:space="preserve"> miljoen euro</w:t>
      </w:r>
      <w:r w:rsidRPr="00BE44CB" w:rsidR="0070550F">
        <w:rPr>
          <w:lang w:val="nl-NL"/>
        </w:rPr>
        <w:t xml:space="preserve"> geïnvesteerd in pilots voor extra zuiveringen. </w:t>
      </w:r>
      <w:r w:rsidR="0070550F">
        <w:rPr>
          <w:lang w:val="nl-NL"/>
        </w:rPr>
        <w:t>Deze</w:t>
      </w:r>
      <w:r w:rsidRPr="00035DAD" w:rsidR="0070550F">
        <w:rPr>
          <w:lang w:val="nl-NL"/>
        </w:rPr>
        <w:t xml:space="preserve"> aanpassingen van</w:t>
      </w:r>
      <w:r w:rsidR="0070550F">
        <w:rPr>
          <w:lang w:val="nl-NL"/>
        </w:rPr>
        <w:t xml:space="preserve"> het</w:t>
      </w:r>
      <w:r w:rsidRPr="00035DAD" w:rsidR="0070550F">
        <w:rPr>
          <w:lang w:val="nl-NL"/>
        </w:rPr>
        <w:t xml:space="preserve"> waterkwaliteitsbeleid zorgen ervoor dat emissies van nieuwe stoffen en stoffen die een probleem vormen voor de waterkwaliteit via het spoor van vergunningen (met voorrang) worden geminimaliseerd.</w:t>
      </w:r>
      <w:r w:rsidR="00D874E4">
        <w:rPr>
          <w:lang w:val="nl-NL"/>
        </w:rPr>
        <w:br/>
      </w:r>
      <w:r w:rsidRPr="00035DAD" w:rsidR="0070550F">
        <w:rPr>
          <w:lang w:val="nl-NL"/>
        </w:rPr>
        <w:t>Ook</w:t>
      </w:r>
      <w:r w:rsidR="00D874E4">
        <w:rPr>
          <w:lang w:val="nl-NL"/>
        </w:rPr>
        <w:t xml:space="preserve"> is</w:t>
      </w:r>
      <w:r w:rsidR="00166403">
        <w:rPr>
          <w:lang w:val="nl-NL"/>
        </w:rPr>
        <w:t xml:space="preserve"> het</w:t>
      </w:r>
      <w:r w:rsidRPr="00035DAD" w:rsidR="0070550F">
        <w:rPr>
          <w:lang w:val="nl-NL"/>
        </w:rPr>
        <w:t xml:space="preserve"> </w:t>
      </w:r>
      <w:r w:rsidR="00166403">
        <w:rPr>
          <w:lang w:val="nl-NL"/>
        </w:rPr>
        <w:t>m</w:t>
      </w:r>
      <w:r w:rsidRPr="00035DAD" w:rsidR="0070550F">
        <w:rPr>
          <w:lang w:val="nl-NL"/>
        </w:rPr>
        <w:t>inisterie van I</w:t>
      </w:r>
      <w:r w:rsidR="00166403">
        <w:rPr>
          <w:lang w:val="nl-NL"/>
        </w:rPr>
        <w:t>en</w:t>
      </w:r>
      <w:r w:rsidRPr="00035DAD" w:rsidR="0070550F">
        <w:rPr>
          <w:lang w:val="nl-NL"/>
        </w:rPr>
        <w:t xml:space="preserve">W een opleidingsprogramma </w:t>
      </w:r>
      <w:r w:rsidR="00D874E4">
        <w:rPr>
          <w:lang w:val="nl-NL"/>
        </w:rPr>
        <w:t xml:space="preserve">gestart </w:t>
      </w:r>
      <w:r w:rsidRPr="00035DAD" w:rsidR="0070550F">
        <w:rPr>
          <w:lang w:val="nl-NL"/>
        </w:rPr>
        <w:t xml:space="preserve">voor vergunningverleners van </w:t>
      </w:r>
      <w:r w:rsidRPr="00866977" w:rsidR="00866977">
        <w:rPr>
          <w:lang w:val="nl-NL"/>
        </w:rPr>
        <w:t>Rijkswaterstaat</w:t>
      </w:r>
      <w:r w:rsidRPr="00035DAD" w:rsidR="0070550F">
        <w:rPr>
          <w:lang w:val="nl-NL"/>
        </w:rPr>
        <w:t>, waterschappen</w:t>
      </w:r>
      <w:r w:rsidR="00166403">
        <w:rPr>
          <w:lang w:val="nl-NL"/>
        </w:rPr>
        <w:t>,</w:t>
      </w:r>
      <w:r w:rsidRPr="00035DAD" w:rsidR="0070550F">
        <w:rPr>
          <w:lang w:val="nl-NL"/>
        </w:rPr>
        <w:t xml:space="preserve"> omgevingsdiensten en drinkwaterbedrijven. Dit </w:t>
      </w:r>
      <w:r w:rsidR="00166403">
        <w:rPr>
          <w:lang w:val="nl-NL"/>
        </w:rPr>
        <w:t>waar</w:t>
      </w:r>
      <w:r w:rsidRPr="00035DAD" w:rsidR="0070550F">
        <w:rPr>
          <w:lang w:val="nl-NL"/>
        </w:rPr>
        <w:t xml:space="preserve">borgt (op termijn) </w:t>
      </w:r>
      <w:r w:rsidR="004B180C">
        <w:rPr>
          <w:lang w:val="nl-NL"/>
        </w:rPr>
        <w:t>inhoudelijk betere</w:t>
      </w:r>
      <w:r w:rsidRPr="00035DAD" w:rsidR="0070550F">
        <w:rPr>
          <w:lang w:val="nl-NL"/>
        </w:rPr>
        <w:t xml:space="preserve"> vergunningen met als resulta</w:t>
      </w:r>
      <w:r w:rsidR="004B180C">
        <w:rPr>
          <w:lang w:val="nl-NL"/>
        </w:rPr>
        <w:t>at</w:t>
      </w:r>
      <w:r w:rsidRPr="00035DAD" w:rsidR="0070550F">
        <w:rPr>
          <w:lang w:val="nl-NL"/>
        </w:rPr>
        <w:t xml:space="preserve"> een betere waterkwaliteit.</w:t>
      </w:r>
      <w:r w:rsidR="0070550F">
        <w:rPr>
          <w:lang w:val="nl-NL"/>
        </w:rPr>
        <w:t xml:space="preserve"> </w:t>
      </w:r>
      <w:r w:rsidRPr="00035DAD" w:rsidR="0070550F">
        <w:rPr>
          <w:lang w:val="nl-NL"/>
        </w:rPr>
        <w:t>Deze maatregelen dragen bij aan verminder</w:t>
      </w:r>
      <w:r w:rsidR="004B180C">
        <w:rPr>
          <w:lang w:val="nl-NL"/>
        </w:rPr>
        <w:t xml:space="preserve">ing van </w:t>
      </w:r>
      <w:r w:rsidRPr="00035DAD" w:rsidR="0070550F">
        <w:rPr>
          <w:lang w:val="nl-NL"/>
        </w:rPr>
        <w:t>de emissies van</w:t>
      </w:r>
      <w:r w:rsidR="004B180C">
        <w:rPr>
          <w:lang w:val="nl-NL"/>
        </w:rPr>
        <w:t>uit</w:t>
      </w:r>
      <w:r w:rsidRPr="00035DAD" w:rsidR="0070550F">
        <w:rPr>
          <w:lang w:val="nl-NL"/>
        </w:rPr>
        <w:t xml:space="preserve"> Nederlandse puntbronnen en dus ook aan minder emissi</w:t>
      </w:r>
      <w:r w:rsidR="004B180C">
        <w:rPr>
          <w:lang w:val="nl-NL"/>
        </w:rPr>
        <w:t>e</w:t>
      </w:r>
      <w:r>
        <w:rPr>
          <w:lang w:val="nl-NL"/>
        </w:rPr>
        <w:t>s</w:t>
      </w:r>
      <w:r w:rsidRPr="00035DAD" w:rsidR="0070550F">
        <w:rPr>
          <w:lang w:val="nl-NL"/>
        </w:rPr>
        <w:t xml:space="preserve"> naar zee.</w:t>
      </w:r>
    </w:p>
    <w:p w:rsidR="0070550F" w:rsidP="0070550F" w:rsidRDefault="0070550F" w14:paraId="16A1AA79" w14:textId="77777777">
      <w:pPr>
        <w:pStyle w:val="TOCHeading"/>
      </w:pPr>
      <w:r w:rsidRPr="00AF0FF0">
        <w:t>Huidige milieutoestand</w:t>
      </w:r>
    </w:p>
    <w:p w:rsidRPr="005F4F56" w:rsidR="0070550F" w:rsidP="0070550F" w:rsidRDefault="0070550F" w14:paraId="5A09D32F" w14:textId="60DD67DB">
      <w:pPr>
        <w:autoSpaceDE w:val="0"/>
        <w:autoSpaceDN w:val="0"/>
        <w:adjustRightInd w:val="0"/>
        <w:spacing w:after="0" w:line="240" w:lineRule="auto"/>
        <w:rPr>
          <w:rFonts w:cs="Verdana"/>
          <w:szCs w:val="18"/>
          <w:lang w:val="nl-NL"/>
        </w:rPr>
      </w:pPr>
      <w:r w:rsidRPr="005F4F56">
        <w:rPr>
          <w:rFonts w:cs="Verdana"/>
          <w:szCs w:val="18"/>
          <w:lang w:val="nl-NL"/>
        </w:rPr>
        <w:t>Uit de OSPAR-beoordeling blijkt dat de concentraties van vervuilende stoffen flink zijn teruggebracht en nog steeds een dalende trend laten zien of stabiel zijn. Wat resteert</w:t>
      </w:r>
      <w:r w:rsidR="006F4A12">
        <w:rPr>
          <w:rFonts w:cs="Verdana"/>
          <w:szCs w:val="18"/>
          <w:lang w:val="nl-NL"/>
        </w:rPr>
        <w:t>,</w:t>
      </w:r>
      <w:r w:rsidRPr="005F4F56">
        <w:rPr>
          <w:rFonts w:cs="Verdana"/>
          <w:szCs w:val="18"/>
          <w:lang w:val="nl-NL"/>
        </w:rPr>
        <w:t xml:space="preserve"> zijn veelal persistente, bioaccumulerende en toxische stoffen</w:t>
      </w:r>
      <w:r w:rsidR="006F4A12">
        <w:rPr>
          <w:rFonts w:cs="Verdana"/>
          <w:szCs w:val="18"/>
          <w:lang w:val="nl-NL"/>
        </w:rPr>
        <w:t xml:space="preserve"> zoals </w:t>
      </w:r>
      <w:r w:rsidRPr="005F4F56" w:rsidR="006F4A12">
        <w:rPr>
          <w:rFonts w:cs="Verdana"/>
          <w:szCs w:val="18"/>
          <w:lang w:val="nl-NL"/>
        </w:rPr>
        <w:t>PAK</w:t>
      </w:r>
      <w:r w:rsidR="006F4A12">
        <w:rPr>
          <w:rFonts w:cs="Verdana"/>
          <w:szCs w:val="18"/>
          <w:lang w:val="nl-NL"/>
        </w:rPr>
        <w:t>’</w:t>
      </w:r>
      <w:r w:rsidRPr="005F4F56" w:rsidR="006F4A12">
        <w:rPr>
          <w:rFonts w:cs="Verdana"/>
          <w:szCs w:val="18"/>
          <w:lang w:val="nl-NL"/>
        </w:rPr>
        <w:t>s, PBDE</w:t>
      </w:r>
      <w:r w:rsidR="006F4A12">
        <w:rPr>
          <w:rFonts w:cs="Verdana"/>
          <w:szCs w:val="18"/>
          <w:lang w:val="nl-NL"/>
        </w:rPr>
        <w:t>’</w:t>
      </w:r>
      <w:r w:rsidRPr="005F4F56" w:rsidR="006F4A12">
        <w:rPr>
          <w:rFonts w:cs="Verdana"/>
          <w:szCs w:val="18"/>
          <w:lang w:val="nl-NL"/>
        </w:rPr>
        <w:t>s, PCB</w:t>
      </w:r>
      <w:r w:rsidR="005F5515">
        <w:rPr>
          <w:rFonts w:cs="Verdana"/>
          <w:szCs w:val="18"/>
          <w:lang w:val="nl-NL"/>
        </w:rPr>
        <w:t>’</w:t>
      </w:r>
      <w:r w:rsidRPr="005F4F56" w:rsidR="006F4A12">
        <w:rPr>
          <w:rFonts w:cs="Verdana"/>
          <w:szCs w:val="18"/>
          <w:lang w:val="nl-NL"/>
        </w:rPr>
        <w:t xml:space="preserve">s en organotinverbindingen </w:t>
      </w:r>
      <w:r w:rsidR="006F4A12">
        <w:rPr>
          <w:rFonts w:cs="Verdana"/>
          <w:szCs w:val="18"/>
          <w:lang w:val="nl-NL"/>
        </w:rPr>
        <w:t>(vooral</w:t>
      </w:r>
      <w:r w:rsidRPr="005F4F56" w:rsidR="006F4A12">
        <w:rPr>
          <w:rFonts w:cs="Verdana"/>
          <w:szCs w:val="18"/>
          <w:lang w:val="nl-NL"/>
        </w:rPr>
        <w:t xml:space="preserve"> TBT</w:t>
      </w:r>
      <w:r w:rsidR="006F4A12">
        <w:rPr>
          <w:rFonts w:cs="Verdana"/>
          <w:szCs w:val="18"/>
          <w:lang w:val="nl-NL"/>
        </w:rPr>
        <w:t>)</w:t>
      </w:r>
      <w:r w:rsidRPr="005F4F56">
        <w:rPr>
          <w:rFonts w:cs="Verdana"/>
          <w:szCs w:val="18"/>
          <w:lang w:val="nl-NL"/>
        </w:rPr>
        <w:t xml:space="preserve">. </w:t>
      </w:r>
      <w:r w:rsidR="006F4A12">
        <w:rPr>
          <w:rFonts w:cs="Verdana"/>
          <w:szCs w:val="18"/>
          <w:lang w:val="nl-NL"/>
        </w:rPr>
        <w:t xml:space="preserve">Voor het beperken of beëindigen van </w:t>
      </w:r>
      <w:r w:rsidRPr="005F4F56">
        <w:rPr>
          <w:rFonts w:cs="Verdana"/>
          <w:szCs w:val="18"/>
          <w:lang w:val="nl-NL"/>
        </w:rPr>
        <w:t xml:space="preserve">de emissies </w:t>
      </w:r>
      <w:r w:rsidR="00166403">
        <w:rPr>
          <w:rFonts w:cs="Verdana"/>
          <w:szCs w:val="18"/>
          <w:lang w:val="nl-NL"/>
        </w:rPr>
        <w:t xml:space="preserve">van deze stoffen </w:t>
      </w:r>
      <w:r w:rsidR="006F4A12">
        <w:rPr>
          <w:rFonts w:cs="Verdana"/>
          <w:szCs w:val="18"/>
          <w:lang w:val="nl-NL"/>
        </w:rPr>
        <w:t xml:space="preserve">zijn </w:t>
      </w:r>
      <w:r w:rsidRPr="005F4F56" w:rsidR="006F4A12">
        <w:rPr>
          <w:rFonts w:cs="Verdana"/>
          <w:szCs w:val="18"/>
          <w:lang w:val="nl-NL"/>
        </w:rPr>
        <w:t>al maatregelen getro</w:t>
      </w:r>
      <w:r w:rsidR="006F4A12">
        <w:rPr>
          <w:rFonts w:cs="Verdana"/>
          <w:szCs w:val="18"/>
          <w:lang w:val="nl-NL"/>
        </w:rPr>
        <w:t xml:space="preserve">ffen, </w:t>
      </w:r>
      <w:r w:rsidRPr="005F4F56">
        <w:rPr>
          <w:rFonts w:cs="Verdana"/>
          <w:szCs w:val="18"/>
          <w:lang w:val="nl-NL"/>
        </w:rPr>
        <w:t>maar door</w:t>
      </w:r>
      <w:r w:rsidR="006F4A12">
        <w:rPr>
          <w:rFonts w:cs="Verdana"/>
          <w:szCs w:val="18"/>
          <w:lang w:val="nl-NL"/>
        </w:rPr>
        <w:t>dat ze persistent en a</w:t>
      </w:r>
      <w:r w:rsidRPr="005F4F56">
        <w:rPr>
          <w:rFonts w:cs="Verdana"/>
          <w:szCs w:val="18"/>
          <w:lang w:val="nl-NL"/>
        </w:rPr>
        <w:t xml:space="preserve">lomtegenwoordig </w:t>
      </w:r>
      <w:r w:rsidR="006F4A12">
        <w:rPr>
          <w:rFonts w:cs="Verdana"/>
          <w:szCs w:val="18"/>
          <w:lang w:val="nl-NL"/>
        </w:rPr>
        <w:t xml:space="preserve">zijn, </w:t>
      </w:r>
      <w:r w:rsidR="00166403">
        <w:rPr>
          <w:rFonts w:cs="Verdana"/>
          <w:szCs w:val="18"/>
          <w:lang w:val="nl-NL"/>
        </w:rPr>
        <w:t xml:space="preserve">zullen ze </w:t>
      </w:r>
      <w:r w:rsidRPr="005F4F56">
        <w:rPr>
          <w:rFonts w:cs="Verdana"/>
          <w:szCs w:val="18"/>
          <w:lang w:val="nl-NL"/>
        </w:rPr>
        <w:t xml:space="preserve">nog lang in het mariene milieu voorkomen. Het gebruik van koper als substituut voor TBT is sterk toegenomen. De </w:t>
      </w:r>
      <w:r w:rsidR="00D606C2">
        <w:rPr>
          <w:rFonts w:cs="Verdana"/>
          <w:szCs w:val="18"/>
          <w:lang w:val="nl-NL"/>
        </w:rPr>
        <w:t xml:space="preserve">mogelijke </w:t>
      </w:r>
      <w:r w:rsidRPr="005F4F56">
        <w:rPr>
          <w:rFonts w:cs="Verdana"/>
          <w:szCs w:val="18"/>
          <w:lang w:val="nl-NL"/>
        </w:rPr>
        <w:t xml:space="preserve">gevolgen hiervan voor het mariene milieu zijn in OSPAR-verband geagendeerd. </w:t>
      </w:r>
    </w:p>
    <w:p w:rsidRPr="00BD1189" w:rsidR="0070550F" w:rsidP="0070550F" w:rsidRDefault="006A5AEC" w14:paraId="1C19B83B" w14:textId="77777777">
      <w:pPr>
        <w:pStyle w:val="TOCHeading"/>
      </w:pPr>
      <w:r>
        <w:t>Aanvullende b</w:t>
      </w:r>
      <w:r w:rsidRPr="00BD1189" w:rsidR="0070550F">
        <w:t xml:space="preserve">eleidsopgave </w:t>
      </w:r>
    </w:p>
    <w:p w:rsidR="0070550F" w:rsidP="0070550F" w:rsidRDefault="00B15C75" w14:paraId="52474008" w14:textId="59940F5F">
      <w:pPr>
        <w:autoSpaceDE w:val="0"/>
        <w:autoSpaceDN w:val="0"/>
        <w:adjustRightInd w:val="0"/>
        <w:spacing w:after="0" w:line="240" w:lineRule="auto"/>
        <w:rPr>
          <w:rFonts w:cs="Verdana"/>
          <w:szCs w:val="18"/>
          <w:lang w:val="nl-NL"/>
        </w:rPr>
      </w:pPr>
      <w:r>
        <w:rPr>
          <w:rFonts w:cs="Verdana"/>
          <w:szCs w:val="18"/>
          <w:lang w:val="nl-NL"/>
        </w:rPr>
        <w:t xml:space="preserve">Er </w:t>
      </w:r>
      <w:r w:rsidRPr="00704D18">
        <w:rPr>
          <w:rFonts w:cs="Verdana"/>
          <w:szCs w:val="18"/>
          <w:lang w:val="nl-NL"/>
        </w:rPr>
        <w:t>is geen aanvullende beleidsopgave</w:t>
      </w:r>
      <w:r>
        <w:rPr>
          <w:rFonts w:cs="Verdana"/>
          <w:szCs w:val="18"/>
          <w:lang w:val="nl-NL"/>
        </w:rPr>
        <w:t>.</w:t>
      </w:r>
      <w:r w:rsidRPr="00CC3621">
        <w:rPr>
          <w:lang w:val="nl-NL"/>
        </w:rPr>
        <w:t xml:space="preserve"> </w:t>
      </w:r>
      <w:r w:rsidRPr="00CC3621" w:rsidR="0070550F">
        <w:rPr>
          <w:lang w:val="nl-NL"/>
        </w:rPr>
        <w:t>Zoals aangegeven in de geactualiseerde Mariene Strategie deel 1</w:t>
      </w:r>
      <w:r w:rsidR="006F41FF">
        <w:rPr>
          <w:lang w:val="nl-NL"/>
        </w:rPr>
        <w:t xml:space="preserve"> [11]</w:t>
      </w:r>
      <w:r w:rsidRPr="00CC3621" w:rsidR="0070550F">
        <w:rPr>
          <w:lang w:val="nl-NL"/>
        </w:rPr>
        <w:t xml:space="preserve">, wordt </w:t>
      </w:r>
      <w:r w:rsidRPr="00CC3621" w:rsidR="002C177A">
        <w:rPr>
          <w:lang w:val="nl-NL"/>
        </w:rPr>
        <w:t xml:space="preserve">in de periode 2022-2028 </w:t>
      </w:r>
      <w:r w:rsidRPr="00CC3621" w:rsidR="0070550F">
        <w:rPr>
          <w:lang w:val="nl-NL"/>
        </w:rPr>
        <w:t>waarschijnlijk voor de meeste stoffen de goede milieutoestand gehaald.</w:t>
      </w:r>
      <w:r w:rsidR="0070550F">
        <w:rPr>
          <w:lang w:val="nl-NL"/>
        </w:rPr>
        <w:t xml:space="preserve"> </w:t>
      </w:r>
      <w:r w:rsidRPr="00704D18" w:rsidR="0070550F">
        <w:rPr>
          <w:rFonts w:cs="Verdana"/>
          <w:szCs w:val="18"/>
          <w:lang w:val="nl-NL"/>
        </w:rPr>
        <w:t>Alleen voor de persistente stoffen zijn de effecten van het beleid nog moeilijk aan te tonen</w:t>
      </w:r>
      <w:r w:rsidR="00E60122">
        <w:rPr>
          <w:rFonts w:cs="Verdana"/>
          <w:szCs w:val="18"/>
          <w:lang w:val="nl-NL"/>
        </w:rPr>
        <w:t>.</w:t>
      </w:r>
      <w:r w:rsidRPr="00704D18" w:rsidR="0070550F">
        <w:rPr>
          <w:rFonts w:cs="Verdana"/>
          <w:szCs w:val="18"/>
          <w:lang w:val="nl-NL"/>
        </w:rPr>
        <w:t xml:space="preserve"> De ontwikkeling van de stoffenconcentraties, inclusief de toename van koper, wordt </w:t>
      </w:r>
      <w:r w:rsidR="00E60122">
        <w:rPr>
          <w:rFonts w:cs="Verdana"/>
          <w:szCs w:val="18"/>
          <w:lang w:val="nl-NL"/>
        </w:rPr>
        <w:t>via</w:t>
      </w:r>
      <w:r w:rsidRPr="00704D18" w:rsidR="00E60122">
        <w:rPr>
          <w:rFonts w:cs="Verdana"/>
          <w:szCs w:val="18"/>
          <w:lang w:val="nl-NL"/>
        </w:rPr>
        <w:t xml:space="preserve"> </w:t>
      </w:r>
      <w:r w:rsidRPr="00704D18" w:rsidR="0070550F">
        <w:rPr>
          <w:rFonts w:cs="Verdana"/>
          <w:szCs w:val="18"/>
          <w:lang w:val="nl-NL"/>
        </w:rPr>
        <w:t>monitoring nauwlettend gevolgd.</w:t>
      </w:r>
      <w:r w:rsidRPr="00B15C75">
        <w:rPr>
          <w:rFonts w:cs="Verdana"/>
          <w:szCs w:val="18"/>
          <w:lang w:val="nl-NL"/>
        </w:rPr>
        <w:t xml:space="preserve"> </w:t>
      </w:r>
    </w:p>
    <w:p w:rsidR="0070550F" w:rsidP="0070550F" w:rsidRDefault="0070550F" w14:paraId="19295ED4" w14:textId="77777777">
      <w:pPr>
        <w:pStyle w:val="TOCHeading"/>
      </w:pPr>
      <w:r>
        <w:t>Aanvullende maatregelen</w:t>
      </w:r>
    </w:p>
    <w:p w:rsidR="0070550F" w:rsidP="0070550F" w:rsidRDefault="00E60122" w14:paraId="5FBE0707" w14:textId="77777777">
      <w:pPr>
        <w:pStyle w:val="Default"/>
        <w:rPr>
          <w:color w:val="auto"/>
          <w:sz w:val="18"/>
          <w:szCs w:val="18"/>
        </w:rPr>
      </w:pPr>
      <w:r>
        <w:rPr>
          <w:color w:val="auto"/>
          <w:sz w:val="18"/>
          <w:szCs w:val="18"/>
        </w:rPr>
        <w:t>V</w:t>
      </w:r>
      <w:r w:rsidRPr="00E60122">
        <w:rPr>
          <w:color w:val="auto"/>
          <w:sz w:val="18"/>
          <w:szCs w:val="18"/>
        </w:rPr>
        <w:t xml:space="preserve">ia de </w:t>
      </w:r>
      <w:r w:rsidRPr="00AF1E71" w:rsidR="008C1DE2">
        <w:rPr>
          <w:i/>
          <w:iCs/>
          <w:color w:val="auto"/>
          <w:sz w:val="18"/>
          <w:szCs w:val="18"/>
        </w:rPr>
        <w:t>Green Deal</w:t>
      </w:r>
      <w:r w:rsidRPr="00E60122">
        <w:rPr>
          <w:color w:val="auto"/>
          <w:sz w:val="18"/>
          <w:szCs w:val="18"/>
        </w:rPr>
        <w:t xml:space="preserve"> Sportvisserij Loodvrij </w:t>
      </w:r>
      <w:r w:rsidR="0070550F">
        <w:rPr>
          <w:color w:val="auto"/>
          <w:sz w:val="18"/>
          <w:szCs w:val="18"/>
        </w:rPr>
        <w:t>z</w:t>
      </w:r>
      <w:r w:rsidR="00BA3ECF">
        <w:rPr>
          <w:color w:val="auto"/>
          <w:sz w:val="18"/>
          <w:szCs w:val="18"/>
        </w:rPr>
        <w:t>ullen</w:t>
      </w:r>
      <w:r w:rsidR="0070550F">
        <w:rPr>
          <w:color w:val="auto"/>
          <w:sz w:val="18"/>
          <w:szCs w:val="18"/>
        </w:rPr>
        <w:t xml:space="preserve"> de emissies van vislood naar mariene wateren worden </w:t>
      </w:r>
      <w:r w:rsidR="00BA3ECF">
        <w:rPr>
          <w:color w:val="auto"/>
          <w:sz w:val="18"/>
          <w:szCs w:val="18"/>
        </w:rPr>
        <w:t>gereduceerd</w:t>
      </w:r>
      <w:r w:rsidR="0070550F">
        <w:rPr>
          <w:color w:val="auto"/>
          <w:sz w:val="18"/>
          <w:szCs w:val="18"/>
        </w:rPr>
        <w:t>, zie paragraaf 3.11.</w:t>
      </w:r>
    </w:p>
    <w:p w:rsidR="0070550F" w:rsidP="0070550F" w:rsidRDefault="0070550F" w14:paraId="7555E9BE" w14:textId="77777777">
      <w:pPr>
        <w:pStyle w:val="Default"/>
        <w:rPr>
          <w:color w:val="auto"/>
          <w:sz w:val="18"/>
          <w:szCs w:val="18"/>
        </w:rPr>
      </w:pPr>
    </w:p>
    <w:p w:rsidRPr="003D499C" w:rsidR="0070550F" w:rsidP="0070550F" w:rsidRDefault="0070550F" w14:paraId="5179B454" w14:textId="77777777">
      <w:pPr>
        <w:spacing w:before="40" w:after="0"/>
        <w:rPr>
          <w:rStyle w:val="IntenseEmphasis"/>
          <w:i w:val="0"/>
          <w:lang w:val="nl-NL"/>
        </w:rPr>
      </w:pPr>
      <w:r w:rsidRPr="003D499C">
        <w:rPr>
          <w:rStyle w:val="IntenseEmphasis"/>
          <w:i w:val="0"/>
          <w:lang w:val="nl-NL"/>
        </w:rPr>
        <w:t>Uitzonderingssituaties op grond van artikel 14 van de KRM</w:t>
      </w:r>
    </w:p>
    <w:p w:rsidRPr="00B43691" w:rsidR="00B43691" w:rsidP="00B43691" w:rsidRDefault="0070550F" w14:paraId="13CC9652" w14:textId="77777777">
      <w:pPr>
        <w:autoSpaceDE w:val="0"/>
        <w:autoSpaceDN w:val="0"/>
        <w:adjustRightInd w:val="0"/>
        <w:spacing w:after="0" w:line="240" w:lineRule="auto"/>
        <w:rPr>
          <w:rFonts w:cs="Verdana"/>
          <w:szCs w:val="18"/>
          <w:lang w:val="nl-NL"/>
        </w:rPr>
      </w:pPr>
      <w:r w:rsidRPr="00B15C75">
        <w:rPr>
          <w:rFonts w:cs="Verdana"/>
          <w:szCs w:val="18"/>
          <w:lang w:val="nl-NL"/>
        </w:rPr>
        <w:t>Dit programma van maatregelen geeft de maxima</w:t>
      </w:r>
      <w:r w:rsidRPr="00B15C75" w:rsidR="00BA3ECF">
        <w:rPr>
          <w:rFonts w:cs="Verdana"/>
          <w:szCs w:val="18"/>
          <w:lang w:val="nl-NL"/>
        </w:rPr>
        <w:t xml:space="preserve">al mogelijke </w:t>
      </w:r>
      <w:r w:rsidRPr="00B15C75">
        <w:rPr>
          <w:rFonts w:cs="Verdana"/>
          <w:szCs w:val="18"/>
          <w:lang w:val="nl-NL"/>
        </w:rPr>
        <w:t xml:space="preserve">inzet </w:t>
      </w:r>
      <w:r w:rsidRPr="00B15C75" w:rsidR="00E60122">
        <w:rPr>
          <w:rFonts w:cs="Verdana"/>
          <w:szCs w:val="18"/>
          <w:lang w:val="nl-NL"/>
        </w:rPr>
        <w:t xml:space="preserve">weer </w:t>
      </w:r>
      <w:r w:rsidRPr="00B15C75" w:rsidR="00BA3ECF">
        <w:rPr>
          <w:rFonts w:cs="Verdana"/>
          <w:szCs w:val="18"/>
          <w:lang w:val="nl-NL"/>
        </w:rPr>
        <w:t xml:space="preserve">van maatregelen op </w:t>
      </w:r>
      <w:r w:rsidRPr="00B15C75" w:rsidR="008C1DE2">
        <w:rPr>
          <w:rFonts w:cs="Verdana"/>
          <w:szCs w:val="18"/>
          <w:lang w:val="nl-NL"/>
        </w:rPr>
        <w:t xml:space="preserve">het </w:t>
      </w:r>
      <w:r w:rsidRPr="00B15C75" w:rsidR="00BA3ECF">
        <w:rPr>
          <w:rFonts w:cs="Verdana"/>
          <w:szCs w:val="18"/>
          <w:lang w:val="nl-NL"/>
        </w:rPr>
        <w:t xml:space="preserve">land (uitvoering KRW) en op zee </w:t>
      </w:r>
      <w:r w:rsidRPr="00B15C75">
        <w:rPr>
          <w:rFonts w:cs="Verdana"/>
          <w:szCs w:val="18"/>
          <w:lang w:val="nl-NL"/>
        </w:rPr>
        <w:t xml:space="preserve">om voor de descriptor gevaarlijke stoffen de goede milieutoestand te bereiken. </w:t>
      </w:r>
      <w:r w:rsidRPr="00B43691" w:rsidR="00B43691">
        <w:rPr>
          <w:rFonts w:cs="Verdana"/>
          <w:szCs w:val="18"/>
          <w:lang w:val="nl-NL"/>
        </w:rPr>
        <w:t xml:space="preserve">Bronnen op land zijn een belangrijke bron voor de uitstroom van prioritaire en specifieke stoffen naar zee. </w:t>
      </w:r>
      <w:r w:rsidR="00B43691">
        <w:rPr>
          <w:rFonts w:cs="Verdana"/>
          <w:szCs w:val="18"/>
          <w:lang w:val="nl-NL"/>
        </w:rPr>
        <w:t xml:space="preserve">De hiervoor genoemde </w:t>
      </w:r>
      <w:r w:rsidRPr="00B43691" w:rsidR="00B43691">
        <w:rPr>
          <w:rFonts w:cs="Verdana"/>
          <w:szCs w:val="18"/>
          <w:lang w:val="nl-NL"/>
        </w:rPr>
        <w:t>maatregelen hebben tot doel om waterkwaliteitsnormen lokaal en stroomafwaarts, inclusief de zee, te bereiken. Ondanks de</w:t>
      </w:r>
      <w:r w:rsidR="00B43691">
        <w:rPr>
          <w:rFonts w:cs="Verdana"/>
          <w:szCs w:val="18"/>
          <w:lang w:val="nl-NL"/>
        </w:rPr>
        <w:t xml:space="preserve"> genomen</w:t>
      </w:r>
      <w:r w:rsidRPr="00B43691" w:rsidR="00B43691">
        <w:rPr>
          <w:rFonts w:cs="Verdana"/>
          <w:szCs w:val="18"/>
          <w:lang w:val="nl-NL"/>
        </w:rPr>
        <w:t xml:space="preserve"> maatregelen kunnen deze doelen niet altijd gerealiseerd worden. Concentraties kunnen bij binnenkomst in Nederland vanuit het buitenland stroomopwaarts al te hoog zijn, zoals bijvoorbeeld kwik. Daarnaast betekent de aanwezigheid van hoge niveaus van deze stoffen in de bodem dat deze ook nog een aantal jaren zullen uitspoelen in rivieren en in de zee.</w:t>
      </w:r>
    </w:p>
    <w:p w:rsidR="0070550F" w:rsidP="00B15C75" w:rsidRDefault="00B43691" w14:paraId="25E87F60" w14:textId="77777777">
      <w:pPr>
        <w:autoSpaceDE w:val="0"/>
        <w:autoSpaceDN w:val="0"/>
        <w:adjustRightInd w:val="0"/>
        <w:spacing w:after="0" w:line="240" w:lineRule="auto"/>
        <w:rPr>
          <w:rFonts w:cs="Verdana"/>
          <w:szCs w:val="18"/>
          <w:lang w:val="nl-NL"/>
        </w:rPr>
      </w:pPr>
      <w:r w:rsidRPr="00B43691">
        <w:rPr>
          <w:rFonts w:cs="Verdana"/>
          <w:szCs w:val="18"/>
          <w:lang w:val="nl-NL"/>
        </w:rPr>
        <w:t>Deze stoffen behoren tot de groep van prioritaire en specifieke verontreinigende stoffen onder de Kaderrichtlijn Water. Voor deze stoffen zijn geen technische maatregelen voorhanden om de concentratie ervan in oppervlaktewater of in de zee te reduceren.</w:t>
      </w:r>
      <w:r w:rsidRPr="00B15C75" w:rsidR="0070550F">
        <w:rPr>
          <w:rFonts w:cs="Verdana"/>
          <w:szCs w:val="18"/>
          <w:lang w:val="nl-NL"/>
        </w:rPr>
        <w:t xml:space="preserve"> Natuurlijke omstandigheden laten niet toe dat de toestand van dit deel van de Noordzee tijdig verbetert. Daarmee is sprake van een uitzonderingssituatie zoals bedoeld in artikel 14, lid onder e</w:t>
      </w:r>
      <w:r w:rsidRPr="00B15C75" w:rsidR="00734E84">
        <w:rPr>
          <w:rFonts w:cs="Verdana"/>
          <w:szCs w:val="18"/>
          <w:lang w:val="nl-NL"/>
        </w:rPr>
        <w:t xml:space="preserve"> (natuurlijke omstandigheden)</w:t>
      </w:r>
      <w:r w:rsidRPr="00B15C75" w:rsidR="0070550F">
        <w:rPr>
          <w:rFonts w:cs="Verdana"/>
          <w:szCs w:val="18"/>
          <w:lang w:val="nl-NL"/>
        </w:rPr>
        <w:t>, van de KRM.</w:t>
      </w:r>
    </w:p>
    <w:p w:rsidR="0070550F" w:rsidP="0070550F" w:rsidRDefault="0070550F" w14:paraId="75D1B826" w14:textId="77777777">
      <w:pPr>
        <w:pStyle w:val="TOCHeading"/>
      </w:pPr>
      <w:r>
        <w:t>Kennisagenda</w:t>
      </w:r>
      <w:r w:rsidRPr="00B96268">
        <w:t xml:space="preserve"> </w:t>
      </w:r>
    </w:p>
    <w:p w:rsidRPr="00B15C75" w:rsidR="00734E84" w:rsidP="00447344" w:rsidRDefault="00734E84" w14:paraId="6582F11B" w14:textId="77777777">
      <w:pPr>
        <w:rPr>
          <w:lang w:val="nl-NL"/>
        </w:rPr>
      </w:pPr>
      <w:r w:rsidRPr="00716B07">
        <w:rPr>
          <w:lang w:val="nl-NL" w:eastAsia="nl-NL"/>
        </w:rPr>
        <w:t>De</w:t>
      </w:r>
      <w:r w:rsidR="00447344">
        <w:rPr>
          <w:lang w:val="nl-NL" w:eastAsia="nl-NL"/>
        </w:rPr>
        <w:t xml:space="preserve"> </w:t>
      </w:r>
      <w:r w:rsidRPr="00716B07">
        <w:rPr>
          <w:lang w:val="nl-NL" w:eastAsia="nl-NL"/>
        </w:rPr>
        <w:t>belangrijkste kennisvra</w:t>
      </w:r>
      <w:r w:rsidR="00447344">
        <w:rPr>
          <w:lang w:val="nl-NL" w:eastAsia="nl-NL"/>
        </w:rPr>
        <w:t>ag omtrent vervuilende stoffen betreft d</w:t>
      </w:r>
      <w:r w:rsidR="00B15C75">
        <w:rPr>
          <w:rFonts w:cs="Verdana"/>
          <w:szCs w:val="18"/>
          <w:lang w:val="nl-NL"/>
        </w:rPr>
        <w:t>e gevolgen van het gebruik</w:t>
      </w:r>
      <w:r w:rsidRPr="005F4F56">
        <w:rPr>
          <w:rFonts w:cs="Verdana"/>
          <w:szCs w:val="18"/>
          <w:lang w:val="nl-NL"/>
        </w:rPr>
        <w:t xml:space="preserve"> van koper als substituut voor TBT voor het mariene milieu</w:t>
      </w:r>
      <w:r w:rsidR="00447344">
        <w:rPr>
          <w:rFonts w:cs="Verdana"/>
          <w:szCs w:val="18"/>
          <w:lang w:val="nl-NL"/>
        </w:rPr>
        <w:t xml:space="preserve">. Deze kennisvraag is </w:t>
      </w:r>
      <w:r w:rsidRPr="005F4F56">
        <w:rPr>
          <w:rFonts w:cs="Verdana"/>
          <w:szCs w:val="18"/>
          <w:lang w:val="nl-NL"/>
        </w:rPr>
        <w:t xml:space="preserve">in OSPAR-verband geagendeerd. </w:t>
      </w:r>
    </w:p>
    <w:p w:rsidR="0070550F" w:rsidP="00746E9B" w:rsidRDefault="0070550F" w14:paraId="5ED00EF4" w14:textId="77777777">
      <w:pPr>
        <w:pStyle w:val="Stijl1"/>
        <w:numPr>
          <w:ilvl w:val="1"/>
          <w:numId w:val="16"/>
        </w:numPr>
        <w:rPr>
          <w:lang w:val="nl-NL"/>
        </w:rPr>
      </w:pPr>
      <w:bookmarkStart w:name="_Toc59455634" w:id="56"/>
      <w:r w:rsidRPr="007A3BBF">
        <w:rPr>
          <w:lang w:val="nl-NL"/>
        </w:rPr>
        <w:t>Vervuilende stoffen in vis en andere visserijproducten</w:t>
      </w:r>
      <w:r>
        <w:rPr>
          <w:lang w:val="nl-NL"/>
        </w:rPr>
        <w:t xml:space="preserve"> (D9)</w:t>
      </w:r>
      <w:bookmarkEnd w:id="56"/>
    </w:p>
    <w:p w:rsidRPr="00B96268" w:rsidR="0070550F" w:rsidP="0070550F" w:rsidRDefault="0070550F" w14:paraId="1FFE9BFE" w14:textId="77777777">
      <w:pPr>
        <w:pStyle w:val="TOCHeading"/>
      </w:pPr>
      <w:r w:rsidRPr="00B96268">
        <w:t>Goede milieutoestand en doelen</w:t>
      </w:r>
    </w:p>
    <w:p w:rsidR="0070550F" w:rsidP="0070550F" w:rsidRDefault="0070550F" w14:paraId="000089C0" w14:textId="77777777">
      <w:pPr>
        <w:rPr>
          <w:lang w:val="nl-NL"/>
        </w:rPr>
      </w:pPr>
      <w:r>
        <w:rPr>
          <w:lang w:val="nl-NL"/>
        </w:rPr>
        <w:t>De goede milieutoestand is bereikt als d</w:t>
      </w:r>
      <w:r w:rsidRPr="009E09F6">
        <w:rPr>
          <w:lang w:val="nl-NL"/>
        </w:rPr>
        <w:t>e niveaus van vervuilende stoffen in vis en visserijproducten</w:t>
      </w:r>
      <w:r>
        <w:rPr>
          <w:lang w:val="nl-NL"/>
        </w:rPr>
        <w:t xml:space="preserve"> </w:t>
      </w:r>
      <w:r w:rsidRPr="009E09F6">
        <w:rPr>
          <w:lang w:val="nl-NL"/>
        </w:rPr>
        <w:t>uit de Noordzee de in de EU</w:t>
      </w:r>
      <w:r w:rsidR="00E60122">
        <w:rPr>
          <w:lang w:val="nl-NL"/>
        </w:rPr>
        <w:t>-</w:t>
      </w:r>
      <w:r w:rsidRPr="009E09F6">
        <w:rPr>
          <w:lang w:val="nl-NL"/>
        </w:rPr>
        <w:t>verordening EG 1881/2006 vastgestelde</w:t>
      </w:r>
      <w:r>
        <w:rPr>
          <w:lang w:val="nl-NL"/>
        </w:rPr>
        <w:t xml:space="preserve"> </w:t>
      </w:r>
      <w:r w:rsidRPr="009E09F6">
        <w:rPr>
          <w:lang w:val="nl-NL"/>
        </w:rPr>
        <w:t>maximumgehalten niet</w:t>
      </w:r>
      <w:r>
        <w:rPr>
          <w:lang w:val="nl-NL"/>
        </w:rPr>
        <w:t xml:space="preserve"> overschrijden</w:t>
      </w:r>
      <w:r w:rsidRPr="009E09F6">
        <w:rPr>
          <w:lang w:val="nl-NL"/>
        </w:rPr>
        <w:t>.</w:t>
      </w:r>
      <w:r>
        <w:rPr>
          <w:lang w:val="nl-NL"/>
        </w:rPr>
        <w:t xml:space="preserve"> Het milieudoel is opgenomen in onderstaande tabel.</w:t>
      </w:r>
    </w:p>
    <w:tbl>
      <w:tblPr>
        <w:tblStyle w:val="TableGrid"/>
        <w:tblW w:w="0" w:type="auto"/>
        <w:tblLook w:val="04A0" w:firstRow="1" w:lastRow="0" w:firstColumn="1" w:lastColumn="0" w:noHBand="0" w:noVBand="1"/>
      </w:tblPr>
      <w:tblGrid>
        <w:gridCol w:w="1413"/>
        <w:gridCol w:w="7604"/>
      </w:tblGrid>
      <w:tr w:rsidRPr="0084482C" w:rsidR="0070550F" w:rsidTr="000E4075" w14:paraId="44543AB8" w14:textId="77777777">
        <w:tc>
          <w:tcPr>
            <w:tcW w:w="1413" w:type="dxa"/>
          </w:tcPr>
          <w:p w:rsidRPr="006A68F5" w:rsidR="0070550F" w:rsidP="000E4075" w:rsidRDefault="0070550F" w14:paraId="103D92A1" w14:textId="77777777">
            <w:pPr>
              <w:rPr>
                <w:sz w:val="16"/>
                <w:szCs w:val="16"/>
              </w:rPr>
            </w:pPr>
            <w:r w:rsidRPr="006A68F5">
              <w:rPr>
                <w:sz w:val="16"/>
                <w:szCs w:val="16"/>
              </w:rPr>
              <w:t>Goede milieutoestand</w:t>
            </w:r>
          </w:p>
        </w:tc>
        <w:tc>
          <w:tcPr>
            <w:tcW w:w="7604" w:type="dxa"/>
          </w:tcPr>
          <w:p w:rsidRPr="006A68F5" w:rsidR="0070550F" w:rsidP="000E4075" w:rsidRDefault="0070550F" w14:paraId="5FC12901" w14:textId="77777777">
            <w:pPr>
              <w:rPr>
                <w:sz w:val="16"/>
                <w:szCs w:val="16"/>
                <w:lang w:val="nl-NL"/>
              </w:rPr>
            </w:pPr>
            <w:r w:rsidRPr="006A68F5">
              <w:rPr>
                <w:sz w:val="16"/>
                <w:szCs w:val="16"/>
                <w:lang w:val="nl-NL"/>
              </w:rPr>
              <w:t>Overkoepelend: de niveaus van vervuilende stoffen (waaronder PAK’s, dioxinen en zware metalen) in vis en visproducten uit de Noordzee overschrijden de in de EU</w:t>
            </w:r>
            <w:r w:rsidR="00E60122">
              <w:rPr>
                <w:sz w:val="16"/>
                <w:szCs w:val="16"/>
                <w:lang w:val="nl-NL"/>
              </w:rPr>
              <w:t>-</w:t>
            </w:r>
            <w:r w:rsidRPr="006A68F5">
              <w:rPr>
                <w:sz w:val="16"/>
                <w:szCs w:val="16"/>
                <w:lang w:val="nl-NL"/>
              </w:rPr>
              <w:t>verordening EG 1881/2006 vastgestelde maximumgehalten niet.</w:t>
            </w:r>
          </w:p>
        </w:tc>
      </w:tr>
      <w:tr w:rsidRPr="0084482C" w:rsidR="0070550F" w:rsidTr="000E4075" w14:paraId="2B93BADE" w14:textId="77777777">
        <w:tc>
          <w:tcPr>
            <w:tcW w:w="1413" w:type="dxa"/>
          </w:tcPr>
          <w:p w:rsidRPr="006A68F5" w:rsidR="0070550F" w:rsidP="000E4075" w:rsidRDefault="0070550F" w14:paraId="58910D01" w14:textId="77777777">
            <w:pPr>
              <w:rPr>
                <w:sz w:val="16"/>
                <w:szCs w:val="16"/>
              </w:rPr>
            </w:pPr>
            <w:r w:rsidRPr="006A68F5">
              <w:rPr>
                <w:sz w:val="16"/>
                <w:szCs w:val="16"/>
              </w:rPr>
              <w:t>Milieudoelen</w:t>
            </w:r>
          </w:p>
        </w:tc>
        <w:tc>
          <w:tcPr>
            <w:tcW w:w="7604" w:type="dxa"/>
          </w:tcPr>
          <w:p w:rsidRPr="006A68F5" w:rsidR="0070550F" w:rsidP="000E4075" w:rsidRDefault="0070550F" w14:paraId="4295693B" w14:textId="77777777">
            <w:pPr>
              <w:rPr>
                <w:sz w:val="16"/>
                <w:szCs w:val="16"/>
                <w:lang w:val="nl-NL"/>
              </w:rPr>
            </w:pPr>
            <w:r w:rsidRPr="006A68F5">
              <w:rPr>
                <w:sz w:val="16"/>
                <w:szCs w:val="16"/>
                <w:lang w:val="nl-NL"/>
              </w:rPr>
              <w:t>D9T1: de gehalten van vervuilende stoffen in vis en visproducten die voldoen aan nationale en internationale wetgeving, niet laten toenemen en zo mogelijk verder verlagen.</w:t>
            </w:r>
          </w:p>
        </w:tc>
      </w:tr>
    </w:tbl>
    <w:p w:rsidRPr="00B96268" w:rsidR="0070550F" w:rsidP="0070550F" w:rsidRDefault="0070550F" w14:paraId="125BB23D" w14:textId="77777777">
      <w:pPr>
        <w:pStyle w:val="TOCHeading"/>
      </w:pPr>
      <w:r w:rsidRPr="00B96268">
        <w:t>Geïmplementeerde maatregelen</w:t>
      </w:r>
    </w:p>
    <w:p w:rsidR="0070550F" w:rsidP="0070550F" w:rsidRDefault="0070550F" w14:paraId="1E7BF401" w14:textId="77777777">
      <w:pPr>
        <w:rPr>
          <w:lang w:val="nl-NL"/>
        </w:rPr>
      </w:pPr>
      <w:r>
        <w:rPr>
          <w:lang w:val="nl-NL"/>
        </w:rPr>
        <w:t>Nationale en internationale wetgeving leg</w:t>
      </w:r>
      <w:r w:rsidR="00FB18E2">
        <w:rPr>
          <w:lang w:val="nl-NL"/>
        </w:rPr>
        <w:t>t</w:t>
      </w:r>
      <w:r>
        <w:rPr>
          <w:lang w:val="nl-NL"/>
        </w:rPr>
        <w:t xml:space="preserve"> normen op aan de n</w:t>
      </w:r>
      <w:r w:rsidRPr="00FB36AF">
        <w:rPr>
          <w:lang w:val="nl-NL"/>
        </w:rPr>
        <w:t>iveaus van vervuilende stoffen in vis en visproducten</w:t>
      </w:r>
      <w:r>
        <w:rPr>
          <w:rStyle w:val="FootnoteReference"/>
          <w:lang w:val="nl-NL"/>
        </w:rPr>
        <w:footnoteReference w:id="9"/>
      </w:r>
      <w:r w:rsidR="006F0C9E">
        <w:rPr>
          <w:lang w:val="nl-NL"/>
        </w:rPr>
        <w:t xml:space="preserve">, </w:t>
      </w:r>
      <w:r w:rsidRPr="00FB36AF">
        <w:rPr>
          <w:lang w:val="nl-NL"/>
        </w:rPr>
        <w:t>o</w:t>
      </w:r>
      <w:r w:rsidR="00FB18E2">
        <w:rPr>
          <w:lang w:val="nl-NL"/>
        </w:rPr>
        <w:t>nder andere</w:t>
      </w:r>
      <w:r w:rsidRPr="00FB36AF">
        <w:rPr>
          <w:lang w:val="nl-NL"/>
        </w:rPr>
        <w:t xml:space="preserve"> Verordening (EG) nr. 1881/2006 en Verordening (EG) nr. 396/2005.</w:t>
      </w:r>
      <w:r>
        <w:rPr>
          <w:lang w:val="nl-NL"/>
        </w:rPr>
        <w:t xml:space="preserve"> </w:t>
      </w:r>
      <w:r w:rsidRPr="00FB36AF">
        <w:rPr>
          <w:lang w:val="nl-NL"/>
        </w:rPr>
        <w:t>Ook voor radioactieve stoffen in levensmiddelen zijn</w:t>
      </w:r>
      <w:r>
        <w:rPr>
          <w:lang w:val="nl-NL"/>
        </w:rPr>
        <w:t xml:space="preserve"> </w:t>
      </w:r>
      <w:r w:rsidRPr="00FB36AF">
        <w:rPr>
          <w:lang w:val="nl-NL"/>
        </w:rPr>
        <w:t>op Europees niveau normen vastgelegd</w:t>
      </w:r>
      <w:r>
        <w:rPr>
          <w:rStyle w:val="FootnoteReference"/>
          <w:lang w:val="nl-NL"/>
        </w:rPr>
        <w:footnoteReference w:id="10"/>
      </w:r>
      <w:r w:rsidRPr="00FB36AF">
        <w:rPr>
          <w:lang w:val="nl-NL"/>
        </w:rPr>
        <w:t xml:space="preserve">. </w:t>
      </w:r>
    </w:p>
    <w:p w:rsidRPr="00B96268" w:rsidR="0070550F" w:rsidP="0070550F" w:rsidRDefault="0070550F" w14:paraId="7F2FA9AB" w14:textId="77777777">
      <w:pPr>
        <w:pStyle w:val="TOCHeading"/>
      </w:pPr>
      <w:r w:rsidRPr="00B96268">
        <w:t xml:space="preserve">Huidige </w:t>
      </w:r>
      <w:r w:rsidR="00483337">
        <w:t>milieutoestand</w:t>
      </w:r>
    </w:p>
    <w:p w:rsidR="0070550F" w:rsidP="0070550F" w:rsidRDefault="0070550F" w14:paraId="5E30B42A" w14:textId="77777777">
      <w:pPr>
        <w:rPr>
          <w:lang w:val="nl-NL"/>
        </w:rPr>
      </w:pPr>
      <w:r>
        <w:rPr>
          <w:lang w:val="nl-NL"/>
        </w:rPr>
        <w:t xml:space="preserve">Sinds 2006 worden </w:t>
      </w:r>
      <w:r w:rsidRPr="00584AE2">
        <w:rPr>
          <w:lang w:val="nl-NL"/>
        </w:rPr>
        <w:t xml:space="preserve">jaarlijks </w:t>
      </w:r>
      <w:r w:rsidRPr="00FB18E2" w:rsidR="00FB18E2">
        <w:rPr>
          <w:lang w:val="nl-NL"/>
        </w:rPr>
        <w:t xml:space="preserve">de gehalten van contaminanten </w:t>
      </w:r>
      <w:r w:rsidRPr="00584AE2">
        <w:rPr>
          <w:lang w:val="nl-NL"/>
        </w:rPr>
        <w:t xml:space="preserve">onderzocht in </w:t>
      </w:r>
      <w:r w:rsidRPr="00584AE2" w:rsidR="001134F4">
        <w:rPr>
          <w:lang w:val="nl-NL"/>
        </w:rPr>
        <w:t>15</w:t>
      </w:r>
      <w:r w:rsidR="001134F4">
        <w:rPr>
          <w:lang w:val="nl-NL"/>
        </w:rPr>
        <w:t xml:space="preserve"> tot </w:t>
      </w:r>
      <w:r w:rsidRPr="00584AE2" w:rsidR="001134F4">
        <w:rPr>
          <w:lang w:val="nl-NL"/>
        </w:rPr>
        <w:t xml:space="preserve">18 </w:t>
      </w:r>
      <w:r w:rsidRPr="00584AE2">
        <w:rPr>
          <w:lang w:val="nl-NL"/>
        </w:rPr>
        <w:t>monsters zeevis</w:t>
      </w:r>
      <w:r w:rsidR="001134F4">
        <w:rPr>
          <w:lang w:val="nl-NL"/>
        </w:rPr>
        <w:t xml:space="preserve"> en </w:t>
      </w:r>
      <w:r w:rsidRPr="00584AE2">
        <w:rPr>
          <w:lang w:val="nl-NL"/>
        </w:rPr>
        <w:t>schaal- en</w:t>
      </w:r>
      <w:r>
        <w:rPr>
          <w:lang w:val="nl-NL"/>
        </w:rPr>
        <w:t xml:space="preserve"> </w:t>
      </w:r>
      <w:r w:rsidRPr="00584AE2">
        <w:rPr>
          <w:lang w:val="nl-NL"/>
        </w:rPr>
        <w:t>schelpdieren, deels van dicht</w:t>
      </w:r>
      <w:r w:rsidR="00FB18E2">
        <w:rPr>
          <w:lang w:val="nl-NL"/>
        </w:rPr>
        <w:t xml:space="preserve"> </w:t>
      </w:r>
      <w:r w:rsidRPr="00584AE2">
        <w:rPr>
          <w:lang w:val="nl-NL"/>
        </w:rPr>
        <w:t>bij de kust, deels uit het pelagische</w:t>
      </w:r>
      <w:r>
        <w:rPr>
          <w:lang w:val="nl-NL"/>
        </w:rPr>
        <w:t xml:space="preserve"> </w:t>
      </w:r>
      <w:r w:rsidRPr="00584AE2">
        <w:rPr>
          <w:lang w:val="nl-NL"/>
        </w:rPr>
        <w:t>gedeelte van de Noordzee.</w:t>
      </w:r>
      <w:r>
        <w:rPr>
          <w:lang w:val="nl-NL"/>
        </w:rPr>
        <w:t xml:space="preserve"> </w:t>
      </w:r>
      <w:r w:rsidR="00FB18E2">
        <w:rPr>
          <w:lang w:val="nl-NL"/>
        </w:rPr>
        <w:t>Tot nu toe</w:t>
      </w:r>
      <w:r w:rsidRPr="00584AE2">
        <w:rPr>
          <w:lang w:val="nl-NL"/>
        </w:rPr>
        <w:t xml:space="preserve"> </w:t>
      </w:r>
      <w:r w:rsidR="00FB18E2">
        <w:rPr>
          <w:lang w:val="nl-NL"/>
        </w:rPr>
        <w:t>voldoen</w:t>
      </w:r>
      <w:r w:rsidRPr="00584AE2" w:rsidR="00FB18E2">
        <w:rPr>
          <w:lang w:val="nl-NL"/>
        </w:rPr>
        <w:t xml:space="preserve"> </w:t>
      </w:r>
      <w:r w:rsidRPr="00584AE2">
        <w:rPr>
          <w:lang w:val="nl-NL"/>
        </w:rPr>
        <w:t>de gehalten van contaminanten</w:t>
      </w:r>
      <w:r>
        <w:rPr>
          <w:lang w:val="nl-NL"/>
        </w:rPr>
        <w:t xml:space="preserve"> i</w:t>
      </w:r>
      <w:r w:rsidRPr="00584AE2">
        <w:rPr>
          <w:lang w:val="nl-NL"/>
        </w:rPr>
        <w:t>n elk individueel onderzocht monster aan de geldende</w:t>
      </w:r>
      <w:r>
        <w:rPr>
          <w:lang w:val="nl-NL"/>
        </w:rPr>
        <w:t xml:space="preserve"> </w:t>
      </w:r>
      <w:r w:rsidR="00FB18E2">
        <w:rPr>
          <w:lang w:val="nl-NL"/>
        </w:rPr>
        <w:t xml:space="preserve">normen voor </w:t>
      </w:r>
      <w:r>
        <w:rPr>
          <w:lang w:val="nl-NL"/>
        </w:rPr>
        <w:t xml:space="preserve">maximumgehalten. </w:t>
      </w:r>
      <w:r w:rsidRPr="00FB36AF">
        <w:rPr>
          <w:lang w:val="nl-NL"/>
        </w:rPr>
        <w:t>In OSPAR</w:t>
      </w:r>
      <w:r w:rsidR="00FB18E2">
        <w:rPr>
          <w:lang w:val="nl-NL"/>
        </w:rPr>
        <w:t>-verband</w:t>
      </w:r>
      <w:r w:rsidRPr="00FB36AF">
        <w:rPr>
          <w:lang w:val="nl-NL"/>
        </w:rPr>
        <w:t xml:space="preserve"> is </w:t>
      </w:r>
      <w:r w:rsidR="001134F4">
        <w:rPr>
          <w:lang w:val="nl-NL"/>
        </w:rPr>
        <w:t xml:space="preserve">ook </w:t>
      </w:r>
      <w:r w:rsidRPr="00FB36AF">
        <w:rPr>
          <w:lang w:val="nl-NL"/>
        </w:rPr>
        <w:t xml:space="preserve">gebleken dat de doses </w:t>
      </w:r>
      <w:r w:rsidR="001134F4">
        <w:rPr>
          <w:lang w:val="nl-NL"/>
        </w:rPr>
        <w:t xml:space="preserve">radioactieve straling </w:t>
      </w:r>
      <w:r w:rsidRPr="00FB36AF">
        <w:rPr>
          <w:lang w:val="nl-NL"/>
        </w:rPr>
        <w:t>in visserijproducten ver beneden</w:t>
      </w:r>
      <w:r>
        <w:rPr>
          <w:lang w:val="nl-NL"/>
        </w:rPr>
        <w:t xml:space="preserve"> </w:t>
      </w:r>
      <w:r w:rsidRPr="00FB36AF">
        <w:rPr>
          <w:lang w:val="nl-NL"/>
        </w:rPr>
        <w:t>de internationale normen voor blootstelling van mensen liggen.</w:t>
      </w:r>
    </w:p>
    <w:p w:rsidRPr="00B96268" w:rsidR="0070550F" w:rsidP="0070550F" w:rsidRDefault="0070550F" w14:paraId="119C7F00" w14:textId="77777777">
      <w:pPr>
        <w:pStyle w:val="TOCHeading"/>
      </w:pPr>
      <w:r w:rsidRPr="00B96268">
        <w:t>Beleidsopgave</w:t>
      </w:r>
    </w:p>
    <w:p w:rsidR="0070550F" w:rsidP="0070550F" w:rsidRDefault="0070550F" w14:paraId="3BD57A6B" w14:textId="77777777">
      <w:pPr>
        <w:rPr>
          <w:lang w:val="nl-NL"/>
        </w:rPr>
      </w:pPr>
      <w:r>
        <w:rPr>
          <w:lang w:val="nl-NL"/>
        </w:rPr>
        <w:t xml:space="preserve">De huidige wetgeving is effectief. </w:t>
      </w:r>
      <w:r w:rsidRPr="00DB4946">
        <w:rPr>
          <w:lang w:val="nl-NL"/>
        </w:rPr>
        <w:t>De huidige niveaus van vervuilende stoffen in vis en visproducten overschrijden de normen van nationale en internationale wetgeving niet.</w:t>
      </w:r>
      <w:r>
        <w:rPr>
          <w:lang w:val="nl-NL"/>
        </w:rPr>
        <w:t xml:space="preserve"> Daarmee </w:t>
      </w:r>
      <w:r w:rsidRPr="00DB4946">
        <w:rPr>
          <w:lang w:val="nl-NL"/>
        </w:rPr>
        <w:t>wordt aan de goede milieutoestand voldaan. De verwachting is dat dit zo blijft. Bij ongewijzigd beleid zal Nederland deze toestand kunnen handhaven.</w:t>
      </w:r>
    </w:p>
    <w:p w:rsidRPr="00B96268" w:rsidR="0070550F" w:rsidP="0070550F" w:rsidRDefault="0070550F" w14:paraId="6AEC350D" w14:textId="77777777">
      <w:pPr>
        <w:pStyle w:val="TOCHeading"/>
      </w:pPr>
      <w:r w:rsidRPr="00B96268">
        <w:t>Aangepaste en aanvullende maatregelen</w:t>
      </w:r>
    </w:p>
    <w:p w:rsidRPr="009E09F6" w:rsidR="0070550F" w:rsidP="0070550F" w:rsidRDefault="0070550F" w14:paraId="6A9BC9D8" w14:textId="77777777">
      <w:pPr>
        <w:rPr>
          <w:lang w:val="nl-NL"/>
        </w:rPr>
      </w:pPr>
      <w:r>
        <w:rPr>
          <w:lang w:val="nl-NL"/>
        </w:rPr>
        <w:t xml:space="preserve">Omdat de goede milieutoestand is behaald zijn </w:t>
      </w:r>
      <w:r w:rsidR="001134F4">
        <w:rPr>
          <w:lang w:val="nl-NL"/>
        </w:rPr>
        <w:t xml:space="preserve">geen </w:t>
      </w:r>
      <w:r>
        <w:rPr>
          <w:lang w:val="nl-NL"/>
        </w:rPr>
        <w:t>aanvullende maatregelen nodig.</w:t>
      </w:r>
    </w:p>
    <w:p w:rsidR="0070550F" w:rsidP="0070550F" w:rsidRDefault="0070550F" w14:paraId="1D7B716F" w14:textId="77777777">
      <w:pPr>
        <w:rPr>
          <w:lang w:val="nl-NL"/>
        </w:rPr>
      </w:pPr>
    </w:p>
    <w:p w:rsidR="0070550F" w:rsidP="00746E9B" w:rsidRDefault="0070550F" w14:paraId="4EE9A328" w14:textId="349696CA">
      <w:pPr>
        <w:pStyle w:val="Stijl1"/>
        <w:numPr>
          <w:ilvl w:val="1"/>
          <w:numId w:val="16"/>
        </w:numPr>
        <w:rPr>
          <w:lang w:val="nl-NL"/>
        </w:rPr>
      </w:pPr>
      <w:bookmarkStart w:name="_Toc59455635" w:id="57"/>
      <w:r w:rsidRPr="007A3BBF">
        <w:rPr>
          <w:lang w:val="nl-NL"/>
        </w:rPr>
        <w:t>Zwerfvuil</w:t>
      </w:r>
      <w:r>
        <w:rPr>
          <w:lang w:val="nl-NL"/>
        </w:rPr>
        <w:t xml:space="preserve"> (D10)</w:t>
      </w:r>
      <w:bookmarkEnd w:id="57"/>
      <w:r w:rsidR="00895261">
        <w:rPr>
          <w:lang w:val="nl-NL"/>
        </w:rPr>
        <w:t xml:space="preserve"> </w:t>
      </w:r>
    </w:p>
    <w:p w:rsidRPr="00AB6128" w:rsidR="000825B2" w:rsidP="000825B2" w:rsidRDefault="000825B2" w14:paraId="459B9DD6" w14:textId="77777777">
      <w:pPr>
        <w:pStyle w:val="TOCHeading"/>
      </w:pPr>
      <w:r w:rsidRPr="00AB6128">
        <w:t>Goede milieutoestand en doelen</w:t>
      </w:r>
    </w:p>
    <w:p w:rsidRPr="005C3901" w:rsidR="000825B2" w:rsidP="000825B2" w:rsidRDefault="000825B2" w14:paraId="7E02FDB8" w14:textId="77777777">
      <w:pPr>
        <w:rPr>
          <w:lang w:val="nl-NL"/>
        </w:rPr>
      </w:pPr>
      <w:r w:rsidRPr="0013191B">
        <w:rPr>
          <w:lang w:val="nl-NL"/>
        </w:rPr>
        <w:t>Marien zwerfvuil is afkomstig van menselijke activit</w:t>
      </w:r>
      <w:r>
        <w:rPr>
          <w:lang w:val="nl-NL"/>
        </w:rPr>
        <w:t>eiten op zee en op het land. Het</w:t>
      </w:r>
      <w:r w:rsidRPr="0013191B">
        <w:rPr>
          <w:lang w:val="nl-NL"/>
        </w:rPr>
        <w:t xml:space="preserve"> besef van het probleem van plastics en ander zwerfvuil in zee groeit wereldwijd.</w:t>
      </w:r>
      <w:r>
        <w:rPr>
          <w:lang w:val="nl-NL"/>
        </w:rPr>
        <w:t xml:space="preserve"> D</w:t>
      </w:r>
      <w:r w:rsidRPr="00A572DC">
        <w:rPr>
          <w:lang w:val="nl-NL"/>
        </w:rPr>
        <w:t xml:space="preserve">e laatste jaren </w:t>
      </w:r>
      <w:r>
        <w:rPr>
          <w:lang w:val="nl-NL"/>
        </w:rPr>
        <w:t xml:space="preserve">krijgt het dan ook </w:t>
      </w:r>
      <w:r w:rsidRPr="00A572DC">
        <w:rPr>
          <w:lang w:val="nl-NL"/>
        </w:rPr>
        <w:t>steeds meer aandacht.</w:t>
      </w:r>
      <w:r>
        <w:rPr>
          <w:lang w:val="nl-NL"/>
        </w:rPr>
        <w:t xml:space="preserve"> De grensoverschrijdende aard van de zwerfvuilproblematiek i</w:t>
      </w:r>
      <w:r w:rsidRPr="00A572DC">
        <w:rPr>
          <w:lang w:val="nl-NL"/>
        </w:rPr>
        <w:t>n</w:t>
      </w:r>
      <w:r>
        <w:rPr>
          <w:lang w:val="nl-NL"/>
        </w:rPr>
        <w:t xml:space="preserve"> zeeën en oceanen </w:t>
      </w:r>
      <w:r w:rsidRPr="00A572DC">
        <w:rPr>
          <w:lang w:val="nl-NL"/>
        </w:rPr>
        <w:t xml:space="preserve">maakt samenwerking tussen landen essentieel. </w:t>
      </w:r>
      <w:r>
        <w:rPr>
          <w:lang w:val="nl-NL"/>
        </w:rPr>
        <w:t>Nederland pakt het probleem van het mariene z</w:t>
      </w:r>
      <w:r w:rsidRPr="003E5E7E">
        <w:rPr>
          <w:lang w:val="nl-NL"/>
        </w:rPr>
        <w:t>werfvuil</w:t>
      </w:r>
      <w:r>
        <w:rPr>
          <w:lang w:val="nl-NL"/>
        </w:rPr>
        <w:t xml:space="preserve"> op alle niveaus</w:t>
      </w:r>
      <w:r w:rsidRPr="003E5E7E">
        <w:rPr>
          <w:lang w:val="nl-NL"/>
        </w:rPr>
        <w:t xml:space="preserve"> </w:t>
      </w:r>
      <w:r>
        <w:rPr>
          <w:lang w:val="nl-NL"/>
        </w:rPr>
        <w:t>aan</w:t>
      </w:r>
      <w:r w:rsidRPr="003E5E7E">
        <w:rPr>
          <w:lang w:val="nl-NL"/>
        </w:rPr>
        <w:t xml:space="preserve">: </w:t>
      </w:r>
      <w:r>
        <w:rPr>
          <w:lang w:val="nl-NL"/>
        </w:rPr>
        <w:t xml:space="preserve">lokaal, nationaal, regionaal en </w:t>
      </w:r>
      <w:r w:rsidRPr="003E5E7E">
        <w:rPr>
          <w:lang w:val="nl-NL"/>
        </w:rPr>
        <w:t xml:space="preserve">mondiaal. </w:t>
      </w:r>
    </w:p>
    <w:p w:rsidR="000825B2" w:rsidP="000825B2" w:rsidRDefault="000825B2" w14:paraId="53CC7A06" w14:textId="77777777">
      <w:pPr>
        <w:rPr>
          <w:lang w:val="nl-NL"/>
        </w:rPr>
      </w:pPr>
      <w:r w:rsidRPr="00E609E9">
        <w:rPr>
          <w:lang w:val="nl-NL"/>
        </w:rPr>
        <w:t xml:space="preserve">De goede milieutoestand voor zwerfvuil op en langs de Noordzee wordt bereikt als de hoeveelheid zwerfvuil en microafval op zee in de loop van de tijd afneemt. </w:t>
      </w:r>
      <w:r>
        <w:rPr>
          <w:lang w:val="nl-NL"/>
        </w:rPr>
        <w:t>Op regionaal (Noordzee)niveau zijn d</w:t>
      </w:r>
      <w:r w:rsidRPr="003D29AF">
        <w:rPr>
          <w:lang w:val="nl-NL"/>
        </w:rPr>
        <w:t xml:space="preserve">e milieudoelen gericht op het </w:t>
      </w:r>
      <w:r>
        <w:rPr>
          <w:lang w:val="nl-NL"/>
        </w:rPr>
        <w:t>bereiken van</w:t>
      </w:r>
      <w:r w:rsidRPr="003D29AF">
        <w:rPr>
          <w:lang w:val="nl-NL"/>
        </w:rPr>
        <w:t xml:space="preserve"> kwantitatieve (regionale) streefdoelen</w:t>
      </w:r>
      <w:r>
        <w:rPr>
          <w:lang w:val="nl-NL"/>
        </w:rPr>
        <w:t xml:space="preserve"> (</w:t>
      </w:r>
      <w:r w:rsidRPr="00AF1E71">
        <w:rPr>
          <w:i/>
          <w:iCs/>
          <w:lang w:val="nl-NL"/>
        </w:rPr>
        <w:t>threshold values</w:t>
      </w:r>
      <w:r>
        <w:rPr>
          <w:lang w:val="nl-NL"/>
        </w:rPr>
        <w:t>)</w:t>
      </w:r>
      <w:r w:rsidRPr="003D29AF">
        <w:rPr>
          <w:lang w:val="nl-NL"/>
        </w:rPr>
        <w:t xml:space="preserve"> voor strandafval en</w:t>
      </w:r>
      <w:r>
        <w:rPr>
          <w:lang w:val="nl-NL"/>
        </w:rPr>
        <w:t xml:space="preserve"> voor</w:t>
      </w:r>
      <w:r w:rsidRPr="003D29AF">
        <w:rPr>
          <w:lang w:val="nl-NL"/>
        </w:rPr>
        <w:t xml:space="preserve"> plastic in</w:t>
      </w:r>
      <w:r>
        <w:rPr>
          <w:lang w:val="nl-NL"/>
        </w:rPr>
        <w:t xml:space="preserve"> de</w:t>
      </w:r>
      <w:r w:rsidRPr="003D29AF">
        <w:rPr>
          <w:lang w:val="nl-NL"/>
        </w:rPr>
        <w:t xml:space="preserve"> magen van noordse stormvogels</w:t>
      </w:r>
      <w:r>
        <w:rPr>
          <w:lang w:val="nl-NL"/>
        </w:rPr>
        <w:t>,</w:t>
      </w:r>
      <w:r w:rsidRPr="003D29AF">
        <w:rPr>
          <w:lang w:val="nl-NL"/>
        </w:rPr>
        <w:t xml:space="preserve"> en </w:t>
      </w:r>
      <w:r>
        <w:rPr>
          <w:lang w:val="nl-NL"/>
        </w:rPr>
        <w:t xml:space="preserve">op </w:t>
      </w:r>
      <w:r w:rsidRPr="003D29AF">
        <w:rPr>
          <w:lang w:val="nl-NL"/>
        </w:rPr>
        <w:t>de ontwikkeling van een indicator voor microplastics in sediment</w:t>
      </w:r>
      <w:r>
        <w:rPr>
          <w:lang w:val="nl-NL"/>
        </w:rPr>
        <w:t xml:space="preserve">. </w:t>
      </w:r>
      <w:r w:rsidRPr="00E609E9">
        <w:rPr>
          <w:lang w:val="nl-NL"/>
        </w:rPr>
        <w:t xml:space="preserve">De hoeveelheid door zeedieren opgenomen afval en microafval moet op een niveau liggen dat niet schadelijk is voor de gezondheid van de desbetreffende soorten. </w:t>
      </w:r>
      <w:r>
        <w:rPr>
          <w:lang w:val="nl-NL"/>
        </w:rPr>
        <w:t>Ten tijde van het schrijven van dit programma van maatregelen is er een EU voorstel vastgesteld van een Threshold Value voor strandafval van 20 items/100 m strand</w:t>
      </w:r>
      <w:r w:rsidRPr="00A73044">
        <w:rPr>
          <w:lang w:val="nl-NL"/>
        </w:rPr>
        <w:t>.</w:t>
      </w:r>
      <w:r w:rsidRPr="00252353">
        <w:rPr>
          <w:lang w:val="nl-NL"/>
        </w:rPr>
        <w:t xml:space="preserve"> </w:t>
      </w:r>
      <w:r w:rsidRPr="00E609E9">
        <w:rPr>
          <w:lang w:val="nl-NL"/>
        </w:rPr>
        <w:t>Het uitgangspunt is dat zwerfvuil niet in zee thuishoort.</w:t>
      </w:r>
    </w:p>
    <w:tbl>
      <w:tblPr>
        <w:tblStyle w:val="TableGrid"/>
        <w:tblW w:w="0" w:type="auto"/>
        <w:tblLook w:val="04A0" w:firstRow="1" w:lastRow="0" w:firstColumn="1" w:lastColumn="0" w:noHBand="0" w:noVBand="1"/>
      </w:tblPr>
      <w:tblGrid>
        <w:gridCol w:w="1413"/>
        <w:gridCol w:w="7604"/>
      </w:tblGrid>
      <w:tr w:rsidRPr="006A68F5" w:rsidR="000825B2" w:rsidTr="00230FC9" w14:paraId="65B96E1C" w14:textId="77777777">
        <w:tc>
          <w:tcPr>
            <w:tcW w:w="1413" w:type="dxa"/>
          </w:tcPr>
          <w:p w:rsidRPr="006A68F5" w:rsidR="000825B2" w:rsidP="00230FC9" w:rsidRDefault="000825B2" w14:paraId="66720D85" w14:textId="77777777">
            <w:pPr>
              <w:rPr>
                <w:sz w:val="16"/>
              </w:rPr>
            </w:pPr>
            <w:r w:rsidRPr="006A68F5">
              <w:rPr>
                <w:sz w:val="16"/>
              </w:rPr>
              <w:t>Goede milieutoestand</w:t>
            </w:r>
          </w:p>
        </w:tc>
        <w:tc>
          <w:tcPr>
            <w:tcW w:w="7604" w:type="dxa"/>
          </w:tcPr>
          <w:p w:rsidRPr="006A68F5" w:rsidR="000825B2" w:rsidP="00230FC9" w:rsidRDefault="000825B2" w14:paraId="407DA340" w14:textId="77777777">
            <w:pPr>
              <w:rPr>
                <w:sz w:val="16"/>
                <w:lang w:val="nl-NL"/>
              </w:rPr>
            </w:pPr>
            <w:r w:rsidRPr="006A68F5">
              <w:rPr>
                <w:sz w:val="16"/>
                <w:lang w:val="nl-NL"/>
              </w:rPr>
              <w:t>Overkoepelend: de hoeveelheid zwerfvuil op zee neemt in de loop van de tijd af.</w:t>
            </w:r>
          </w:p>
          <w:p w:rsidRPr="006A68F5" w:rsidR="000825B2" w:rsidP="00230FC9" w:rsidRDefault="000825B2" w14:paraId="2EEC925C" w14:textId="77777777">
            <w:pPr>
              <w:pStyle w:val="ListParagraph"/>
              <w:numPr>
                <w:ilvl w:val="0"/>
                <w:numId w:val="38"/>
              </w:numPr>
              <w:rPr>
                <w:sz w:val="16"/>
                <w:lang w:val="nl-NL"/>
              </w:rPr>
            </w:pPr>
            <w:r w:rsidRPr="006A68F5">
              <w:rPr>
                <w:sz w:val="16"/>
                <w:lang w:val="nl-NL"/>
              </w:rPr>
              <w:t>D10C1 (strand): significante dalende trends in het totaal van de meest voorkomende categorieën afval (die bijdragen aan 80 procent van de totale hoeveelheid afval) die op het strand worden aangetroffen.</w:t>
            </w:r>
          </w:p>
          <w:p w:rsidRPr="006A68F5" w:rsidR="000825B2" w:rsidP="00230FC9" w:rsidRDefault="000825B2" w14:paraId="44B7B188" w14:textId="77777777">
            <w:pPr>
              <w:pStyle w:val="ListParagraph"/>
              <w:numPr>
                <w:ilvl w:val="0"/>
                <w:numId w:val="38"/>
              </w:numPr>
              <w:rPr>
                <w:sz w:val="16"/>
                <w:lang w:val="nl-NL"/>
              </w:rPr>
            </w:pPr>
            <w:r w:rsidRPr="006A68F5">
              <w:rPr>
                <w:sz w:val="16"/>
                <w:lang w:val="nl-NL"/>
              </w:rPr>
              <w:t>D10C1 (drijvend, korte termijn): een significant dalende trend van het aantal noordse stormvogels met meer dan 0,1 gram plastic deeltjes in de maag gedurende de afgelopen tien jaar.</w:t>
            </w:r>
          </w:p>
          <w:p w:rsidRPr="006A68F5" w:rsidR="000825B2" w:rsidP="00230FC9" w:rsidRDefault="000825B2" w14:paraId="56228DA4" w14:textId="77777777">
            <w:pPr>
              <w:pStyle w:val="ListParagraph"/>
              <w:numPr>
                <w:ilvl w:val="0"/>
                <w:numId w:val="38"/>
              </w:numPr>
              <w:rPr>
                <w:sz w:val="16"/>
                <w:lang w:val="nl-NL"/>
              </w:rPr>
            </w:pPr>
            <w:r w:rsidRPr="006A68F5">
              <w:rPr>
                <w:sz w:val="16"/>
                <w:lang w:val="nl-NL"/>
              </w:rPr>
              <w:t>D10C1 (zeebodem afval): significante afname van de hoeveelheid afval op de zeebodem.</w:t>
            </w:r>
          </w:p>
          <w:p w:rsidRPr="006A68F5" w:rsidR="000825B2" w:rsidP="00230FC9" w:rsidRDefault="000825B2" w14:paraId="06A0A140" w14:textId="77777777">
            <w:pPr>
              <w:rPr>
                <w:sz w:val="16"/>
                <w:lang w:val="nl-NL"/>
              </w:rPr>
            </w:pPr>
          </w:p>
          <w:p w:rsidRPr="006A68F5" w:rsidR="000825B2" w:rsidP="00230FC9" w:rsidRDefault="000825B2" w14:paraId="5B56D177" w14:textId="77777777">
            <w:pPr>
              <w:rPr>
                <w:sz w:val="16"/>
                <w:lang w:val="nl-NL"/>
              </w:rPr>
            </w:pPr>
            <w:r w:rsidRPr="006A68F5">
              <w:rPr>
                <w:sz w:val="16"/>
                <w:lang w:val="nl-NL"/>
              </w:rPr>
              <w:t>Overkoepelend: de hoeveelheid microafval op zee neemt op lange termijn af.</w:t>
            </w:r>
          </w:p>
          <w:p w:rsidRPr="006A68F5" w:rsidR="000825B2" w:rsidP="00230FC9" w:rsidRDefault="000825B2" w14:paraId="2CAEAB6E" w14:textId="77777777">
            <w:pPr>
              <w:pStyle w:val="ListParagraph"/>
              <w:numPr>
                <w:ilvl w:val="0"/>
                <w:numId w:val="39"/>
              </w:numPr>
              <w:rPr>
                <w:sz w:val="16"/>
                <w:lang w:val="nl-NL"/>
              </w:rPr>
            </w:pPr>
            <w:r w:rsidRPr="006A68F5">
              <w:rPr>
                <w:sz w:val="16"/>
                <w:lang w:val="nl-NL"/>
              </w:rPr>
              <w:t xml:space="preserve">Nog geen kwantitatieve omschrijving vanwege het ontbreken van een indicator voor microplastics en bijbehorende baseline. </w:t>
            </w:r>
          </w:p>
          <w:p w:rsidRPr="006A68F5" w:rsidR="000825B2" w:rsidP="00230FC9" w:rsidRDefault="000825B2" w14:paraId="43F375B3" w14:textId="77777777">
            <w:pPr>
              <w:rPr>
                <w:sz w:val="16"/>
                <w:lang w:val="nl-NL"/>
              </w:rPr>
            </w:pPr>
          </w:p>
          <w:p w:rsidRPr="006A68F5" w:rsidR="000825B2" w:rsidP="00230FC9" w:rsidRDefault="000825B2" w14:paraId="6DF72C97" w14:textId="77777777">
            <w:pPr>
              <w:rPr>
                <w:sz w:val="16"/>
                <w:lang w:val="nl-NL"/>
              </w:rPr>
            </w:pPr>
            <w:r w:rsidRPr="006A68F5">
              <w:rPr>
                <w:sz w:val="16"/>
                <w:lang w:val="nl-NL"/>
              </w:rPr>
              <w:t>Overkoepelend: de hoeveelheid door zeedieren opgenomen afval en microafval ligt op een niveau dat niet schadelijk is voor de gezondheid van de desbetreffende soorten.</w:t>
            </w:r>
          </w:p>
          <w:p w:rsidRPr="006A68F5" w:rsidR="000825B2" w:rsidP="00230FC9" w:rsidRDefault="000825B2" w14:paraId="3E769185" w14:textId="77777777">
            <w:pPr>
              <w:pStyle w:val="ListParagraph"/>
              <w:numPr>
                <w:ilvl w:val="0"/>
                <w:numId w:val="39"/>
              </w:numPr>
              <w:rPr>
                <w:sz w:val="16"/>
                <w:lang w:val="nl-NL"/>
              </w:rPr>
            </w:pPr>
            <w:r w:rsidRPr="006A68F5">
              <w:rPr>
                <w:sz w:val="16"/>
                <w:lang w:val="nl-NL"/>
              </w:rPr>
              <w:t>D10C3: zie D10C1.</w:t>
            </w:r>
          </w:p>
        </w:tc>
      </w:tr>
      <w:tr w:rsidRPr="0084482C" w:rsidR="000825B2" w:rsidTr="00230FC9" w14:paraId="54D0F7AB" w14:textId="77777777">
        <w:tc>
          <w:tcPr>
            <w:tcW w:w="1413" w:type="dxa"/>
          </w:tcPr>
          <w:p w:rsidRPr="006A68F5" w:rsidR="000825B2" w:rsidP="00230FC9" w:rsidRDefault="000825B2" w14:paraId="15C21D5D" w14:textId="77777777">
            <w:pPr>
              <w:rPr>
                <w:sz w:val="16"/>
              </w:rPr>
            </w:pPr>
            <w:r w:rsidRPr="006A68F5">
              <w:rPr>
                <w:sz w:val="16"/>
              </w:rPr>
              <w:t>Milieudoelen</w:t>
            </w:r>
          </w:p>
        </w:tc>
        <w:tc>
          <w:tcPr>
            <w:tcW w:w="7604" w:type="dxa"/>
          </w:tcPr>
          <w:p w:rsidRPr="006A68F5" w:rsidR="000825B2" w:rsidP="00230FC9" w:rsidRDefault="000825B2" w14:paraId="52ED2F8F" w14:textId="1F8E10C5">
            <w:pPr>
              <w:pStyle w:val="ListParagraph"/>
              <w:numPr>
                <w:ilvl w:val="0"/>
                <w:numId w:val="39"/>
              </w:numPr>
              <w:rPr>
                <w:sz w:val="16"/>
                <w:lang w:val="nl-NL"/>
              </w:rPr>
            </w:pPr>
            <w:r w:rsidRPr="006A68F5">
              <w:rPr>
                <w:sz w:val="16"/>
                <w:lang w:val="nl-NL"/>
              </w:rPr>
              <w:t>D10T1: op regionaal niveau toewerken naar kwantitatieve (regionale) streefdoelen voor strandafval en plastic in magen van noordse stormvogels (10 procent van de vogels; OSPAR EcoQO).</w:t>
            </w:r>
          </w:p>
          <w:p w:rsidRPr="006A68F5" w:rsidR="000825B2" w:rsidP="00230FC9" w:rsidRDefault="000825B2" w14:paraId="70465252" w14:textId="77777777">
            <w:pPr>
              <w:pStyle w:val="ListParagraph"/>
              <w:numPr>
                <w:ilvl w:val="0"/>
                <w:numId w:val="39"/>
              </w:numPr>
              <w:rPr>
                <w:sz w:val="16"/>
                <w:lang w:val="nl-NL"/>
              </w:rPr>
            </w:pPr>
            <w:r w:rsidRPr="006A68F5">
              <w:rPr>
                <w:sz w:val="16"/>
                <w:lang w:val="nl-NL"/>
              </w:rPr>
              <w:t>D10T2: op regionaal Noordzeeniveau werken aan de ontwikkeling van een indicator voor microplastics in sediment.</w:t>
            </w:r>
          </w:p>
        </w:tc>
      </w:tr>
    </w:tbl>
    <w:p w:rsidRPr="005B768D" w:rsidR="000825B2" w:rsidP="000825B2" w:rsidRDefault="000825B2" w14:paraId="6FBA39E7" w14:textId="77777777">
      <w:pPr>
        <w:pStyle w:val="TOCHeading"/>
      </w:pPr>
      <w:r w:rsidRPr="00AB6128">
        <w:t>Geïmplementeerde maatregelen</w:t>
      </w:r>
    </w:p>
    <w:p w:rsidR="000825B2" w:rsidP="000825B2" w:rsidRDefault="000825B2" w14:paraId="564C4A81" w14:textId="282624FE">
      <w:pPr>
        <w:rPr>
          <w:rFonts w:cs="RijksoverheidSerif"/>
          <w:color w:val="000000"/>
          <w:szCs w:val="18"/>
          <w:lang w:val="nl-NL"/>
        </w:rPr>
      </w:pPr>
      <w:r>
        <w:rPr>
          <w:rFonts w:cs="RijksoverheidSerif"/>
          <w:color w:val="000000"/>
          <w:szCs w:val="18"/>
          <w:lang w:val="nl-NL"/>
        </w:rPr>
        <w:t>Deze paragraaf geeft een overzicht van de maatregelen die in de periode 2012-2020 zijn uitgevoerd. Zwerfvuil is een “jong” beleidsterrein met relatief veel maatregelen die grotendeels uit de KRM voortkomen. Daarnaast zijn er raakvlakken met ander beleid die in deze paragraaf worden benoemd.</w:t>
      </w:r>
    </w:p>
    <w:p w:rsidR="000825B2" w:rsidP="000825B2" w:rsidRDefault="000825B2" w14:paraId="47D30CCE" w14:textId="5A65EC6E">
      <w:pPr>
        <w:rPr>
          <w:rFonts w:cs="RijksoverheidSerif"/>
          <w:color w:val="000000"/>
          <w:szCs w:val="18"/>
          <w:lang w:val="nl-NL"/>
        </w:rPr>
      </w:pPr>
      <w:r>
        <w:rPr>
          <w:rFonts w:cs="RijksoverheidSerif"/>
          <w:color w:val="000000"/>
          <w:szCs w:val="18"/>
          <w:lang w:val="nl-NL"/>
        </w:rPr>
        <w:t xml:space="preserve">De maatregelen hebben de omvang van het zwerfvuil in de Noordzee en de Nederlandse rivieren aanzienlijk verminderd. Nederland focust hierbij </w:t>
      </w:r>
      <w:r w:rsidRPr="0008782F">
        <w:rPr>
          <w:rFonts w:cs="RijksoverheidSerif"/>
          <w:color w:val="000000"/>
          <w:szCs w:val="18"/>
          <w:lang w:val="nl-NL"/>
        </w:rPr>
        <w:t>op preventie door middel van integrale bronaanpak, bewustwording en het sluiten van productketens.</w:t>
      </w:r>
      <w:r>
        <w:rPr>
          <w:rFonts w:cs="RijksoverheidSerif"/>
          <w:color w:val="000000"/>
          <w:szCs w:val="18"/>
          <w:lang w:val="nl-NL"/>
        </w:rPr>
        <w:t xml:space="preserve"> Samenwerking tussen overheid, bedrijfsleven, kennisinstituten en burgergroepen is essentieel. Het Rijk zette daarom in op het sluiten van </w:t>
      </w:r>
      <w:r w:rsidRPr="00AF1E71">
        <w:rPr>
          <w:rFonts w:cs="RijksoverheidSerif"/>
          <w:i/>
          <w:iCs/>
          <w:color w:val="000000"/>
          <w:szCs w:val="18"/>
          <w:lang w:val="nl-NL"/>
        </w:rPr>
        <w:t>Green Deals</w:t>
      </w:r>
      <w:r>
        <w:rPr>
          <w:rStyle w:val="FootnoteReference"/>
          <w:rFonts w:cs="RijksoverheidSerif"/>
          <w:color w:val="000000"/>
          <w:szCs w:val="18"/>
          <w:lang w:val="nl-NL"/>
        </w:rPr>
        <w:footnoteReference w:id="11"/>
      </w:r>
      <w:r>
        <w:rPr>
          <w:rFonts w:cs="RijksoverheidSerif"/>
          <w:color w:val="000000"/>
          <w:szCs w:val="18"/>
          <w:lang w:val="nl-NL"/>
        </w:rPr>
        <w:t xml:space="preserve">. Voor de aanpak van zwerfvuil is ook internationale afstemming en samenwerking belangrijk voor het delen van kennis, harmoniseren van monitoring en de ontwikkeling van effectieve maatregelen. </w:t>
      </w:r>
    </w:p>
    <w:p w:rsidRPr="00F10690" w:rsidR="000825B2" w:rsidP="000825B2" w:rsidRDefault="000825B2" w14:paraId="069F21CB" w14:textId="1C3DDC73">
      <w:pPr>
        <w:rPr>
          <w:rFonts w:cs="RijksoverheidSerif"/>
          <w:color w:val="000000"/>
          <w:szCs w:val="18"/>
          <w:lang w:val="nl-NL"/>
        </w:rPr>
      </w:pPr>
      <w:r>
        <w:rPr>
          <w:rFonts w:cs="RijksoverheidSerif"/>
          <w:color w:val="000000"/>
          <w:szCs w:val="18"/>
          <w:lang w:val="nl-NL"/>
        </w:rPr>
        <w:t xml:space="preserve">Registratie </w:t>
      </w:r>
      <w:r w:rsidRPr="009E0A02">
        <w:rPr>
          <w:rFonts w:cs="RijksoverheidSerif"/>
          <w:color w:val="000000"/>
          <w:szCs w:val="18"/>
          <w:lang w:val="nl-NL"/>
        </w:rPr>
        <w:t>van a</w:t>
      </w:r>
      <w:r>
        <w:rPr>
          <w:rFonts w:cs="RijksoverheidSerif"/>
          <w:color w:val="000000"/>
          <w:szCs w:val="18"/>
          <w:lang w:val="nl-NL"/>
        </w:rPr>
        <w:t>angespoelde items op het strand (top tien) is van belang v</w:t>
      </w:r>
      <w:r w:rsidRPr="009E0A02">
        <w:rPr>
          <w:rFonts w:cs="RijksoverheidSerif"/>
          <w:color w:val="000000"/>
          <w:szCs w:val="18"/>
          <w:lang w:val="nl-NL"/>
        </w:rPr>
        <w:t xml:space="preserve">oor </w:t>
      </w:r>
      <w:r>
        <w:rPr>
          <w:rFonts w:cs="RijksoverheidSerif"/>
          <w:color w:val="000000"/>
          <w:szCs w:val="18"/>
          <w:lang w:val="nl-NL"/>
        </w:rPr>
        <w:t>inzicht in de omvang van het probleem, formuleren van maatregelen en v</w:t>
      </w:r>
      <w:r w:rsidRPr="009E0A02">
        <w:rPr>
          <w:rFonts w:cs="RijksoverheidSerif"/>
          <w:color w:val="000000"/>
          <w:szCs w:val="18"/>
          <w:lang w:val="nl-NL"/>
        </w:rPr>
        <w:t>oor de analyse van de effectiviteit van het beleid</w:t>
      </w:r>
      <w:r>
        <w:rPr>
          <w:rFonts w:cs="RijksoverheidSerif"/>
          <w:color w:val="000000"/>
          <w:szCs w:val="18"/>
          <w:lang w:val="nl-NL"/>
        </w:rPr>
        <w:t>.</w:t>
      </w:r>
      <w:r w:rsidRPr="009E0A02">
        <w:rPr>
          <w:rFonts w:cs="RijksoverheidSerif"/>
          <w:color w:val="000000"/>
          <w:szCs w:val="18"/>
          <w:lang w:val="nl-NL"/>
        </w:rPr>
        <w:t xml:space="preserve"> </w:t>
      </w:r>
      <w:r>
        <w:rPr>
          <w:rFonts w:cs="RijksoverheidSerif"/>
          <w:color w:val="000000"/>
          <w:szCs w:val="18"/>
          <w:lang w:val="nl-NL"/>
        </w:rPr>
        <w:t>In het voorgaande programma van maatregelen is een</w:t>
      </w:r>
      <w:r w:rsidRPr="009E0A02">
        <w:rPr>
          <w:rFonts w:cs="RijksoverheidSerif"/>
          <w:color w:val="000000"/>
          <w:szCs w:val="18"/>
          <w:lang w:val="nl-NL"/>
        </w:rPr>
        <w:t xml:space="preserve"> indeling </w:t>
      </w:r>
      <w:r>
        <w:rPr>
          <w:rFonts w:cs="RijksoverheidSerif"/>
          <w:color w:val="000000"/>
          <w:szCs w:val="18"/>
          <w:lang w:val="nl-NL"/>
        </w:rPr>
        <w:t>gemaakt van de grootste bronnen van de gevonden items. Aan de hand daarvan zijn de maatregelen in zes clusters onderverdeeld</w:t>
      </w:r>
      <w:r w:rsidRPr="009E0A02">
        <w:rPr>
          <w:rFonts w:cs="RijksoverheidSerif"/>
          <w:color w:val="000000"/>
          <w:szCs w:val="18"/>
          <w:lang w:val="nl-NL"/>
        </w:rPr>
        <w:t xml:space="preserve">: </w:t>
      </w:r>
      <w:r>
        <w:rPr>
          <w:rFonts w:cs="RijksoverheidSerif"/>
          <w:color w:val="000000"/>
          <w:szCs w:val="18"/>
          <w:lang w:val="nl-NL"/>
        </w:rPr>
        <w:t>educatie en bewustwording</w:t>
      </w:r>
      <w:r w:rsidRPr="009E0A02">
        <w:rPr>
          <w:rFonts w:cs="RijksoverheidSerif"/>
          <w:color w:val="000000"/>
          <w:szCs w:val="18"/>
          <w:lang w:val="nl-NL"/>
        </w:rPr>
        <w:t xml:space="preserve">, stranden, stroomgebieden, </w:t>
      </w:r>
      <w:r>
        <w:rPr>
          <w:rFonts w:cs="RijksoverheidSerif"/>
          <w:color w:val="000000"/>
          <w:szCs w:val="18"/>
          <w:lang w:val="nl-NL"/>
        </w:rPr>
        <w:t>scheepvaart, visserij, en kunststof</w:t>
      </w:r>
      <w:r w:rsidRPr="009E0A02">
        <w:rPr>
          <w:rFonts w:cs="RijksoverheidSerif"/>
          <w:color w:val="000000"/>
          <w:szCs w:val="18"/>
          <w:lang w:val="nl-NL"/>
        </w:rPr>
        <w:t>producten.</w:t>
      </w:r>
      <w:r>
        <w:rPr>
          <w:rFonts w:cs="RijksoverheidSerif"/>
          <w:color w:val="000000"/>
          <w:szCs w:val="18"/>
          <w:lang w:val="nl-NL"/>
        </w:rPr>
        <w:t xml:space="preserve"> Het oorspronkelijke cluster zeevaart is veranderd in scheepvaart, zodat ook maatregelen voor de binnenvaart en recreatievaart onder dit cluster vallen. Hieronder zijn p</w:t>
      </w:r>
      <w:r w:rsidRPr="00B06762">
        <w:rPr>
          <w:rFonts w:cs="RijksoverheidSerif"/>
          <w:color w:val="000000"/>
          <w:szCs w:val="18"/>
          <w:lang w:val="nl-NL"/>
        </w:rPr>
        <w:t xml:space="preserve">er cluster </w:t>
      </w:r>
      <w:r>
        <w:rPr>
          <w:rFonts w:cs="RijksoverheidSerif"/>
          <w:color w:val="000000"/>
          <w:szCs w:val="18"/>
          <w:lang w:val="nl-NL"/>
        </w:rPr>
        <w:t>de geïmplementeerde</w:t>
      </w:r>
      <w:r w:rsidRPr="00B06762">
        <w:rPr>
          <w:rFonts w:cs="RijksoverheidSerif"/>
          <w:color w:val="000000"/>
          <w:szCs w:val="18"/>
          <w:lang w:val="nl-NL"/>
        </w:rPr>
        <w:t xml:space="preserve"> </w:t>
      </w:r>
      <w:r>
        <w:rPr>
          <w:rFonts w:cs="RijksoverheidSerif"/>
          <w:color w:val="000000"/>
          <w:szCs w:val="18"/>
          <w:lang w:val="nl-NL"/>
        </w:rPr>
        <w:t xml:space="preserve">én de </w:t>
      </w:r>
      <w:r w:rsidRPr="00B06762">
        <w:rPr>
          <w:rFonts w:cs="RijksoverheidSerif"/>
          <w:color w:val="000000"/>
          <w:szCs w:val="18"/>
          <w:lang w:val="nl-NL"/>
        </w:rPr>
        <w:t>aanvullend ingevoerd</w:t>
      </w:r>
      <w:r>
        <w:rPr>
          <w:rFonts w:cs="RijksoverheidSerif"/>
          <w:color w:val="000000"/>
          <w:szCs w:val="18"/>
          <w:lang w:val="nl-NL"/>
        </w:rPr>
        <w:t>e</w:t>
      </w:r>
      <w:r w:rsidRPr="00B06762">
        <w:rPr>
          <w:rFonts w:cs="RijksoverheidSerif"/>
          <w:color w:val="000000"/>
          <w:szCs w:val="18"/>
          <w:lang w:val="nl-NL"/>
        </w:rPr>
        <w:t xml:space="preserve"> </w:t>
      </w:r>
      <w:r>
        <w:rPr>
          <w:rFonts w:cs="RijksoverheidSerif"/>
          <w:color w:val="000000"/>
          <w:szCs w:val="18"/>
          <w:lang w:val="nl-NL"/>
        </w:rPr>
        <w:t>maatregelen in de vorige planperiode samengevat.</w:t>
      </w:r>
    </w:p>
    <w:p w:rsidRPr="00A8638C" w:rsidR="000825B2" w:rsidP="000825B2" w:rsidRDefault="000825B2" w14:paraId="21E00BE4" w14:textId="77777777">
      <w:pPr>
        <w:spacing w:before="40" w:after="0"/>
        <w:rPr>
          <w:rStyle w:val="IntenseEmphasis"/>
          <w:lang w:val="nl-NL"/>
        </w:rPr>
      </w:pPr>
      <w:r w:rsidRPr="00A8638C">
        <w:rPr>
          <w:rStyle w:val="IntenseEmphasis"/>
          <w:lang w:val="nl-NL"/>
        </w:rPr>
        <w:t>Educatie en bewustwording</w:t>
      </w:r>
    </w:p>
    <w:p w:rsidR="000825B2" w:rsidP="000825B2" w:rsidRDefault="000825B2" w14:paraId="2B34E493" w14:textId="0C3EEA51">
      <w:pPr>
        <w:spacing w:after="0" w:line="240" w:lineRule="auto"/>
        <w:rPr>
          <w:lang w:val="nl-NL"/>
        </w:rPr>
      </w:pPr>
      <w:r>
        <w:rPr>
          <w:lang w:val="nl-NL"/>
        </w:rPr>
        <w:t xml:space="preserve">Via </w:t>
      </w:r>
      <w:r w:rsidRPr="00AF1E71">
        <w:rPr>
          <w:iCs/>
          <w:lang w:val="nl-NL"/>
        </w:rPr>
        <w:t>(schoonmaak)campagnes</w:t>
      </w:r>
      <w:r>
        <w:rPr>
          <w:lang w:val="nl-NL"/>
        </w:rPr>
        <w:t xml:space="preserve"> is</w:t>
      </w:r>
      <w:r w:rsidRPr="00B37BAE">
        <w:rPr>
          <w:lang w:val="nl-NL"/>
        </w:rPr>
        <w:t xml:space="preserve"> op nationaal en lokaal niveau aandacht besteed aan de aanpak van zwerf</w:t>
      </w:r>
      <w:r>
        <w:rPr>
          <w:lang w:val="nl-NL"/>
        </w:rPr>
        <w:t>vuil</w:t>
      </w:r>
      <w:r w:rsidRPr="00B37BAE">
        <w:rPr>
          <w:lang w:val="nl-NL"/>
        </w:rPr>
        <w:t xml:space="preserve">. Gemeenten zijn zich hierdoor bewust van de zwerfvuilproblematiek en hebben de aanpak ervan in </w:t>
      </w:r>
      <w:r>
        <w:rPr>
          <w:lang w:val="nl-NL"/>
        </w:rPr>
        <w:t xml:space="preserve">hun </w:t>
      </w:r>
      <w:r w:rsidRPr="00B37BAE">
        <w:rPr>
          <w:lang w:val="nl-NL"/>
        </w:rPr>
        <w:t>beleid opgenomen</w:t>
      </w:r>
      <w:r>
        <w:rPr>
          <w:lang w:val="nl-NL"/>
        </w:rPr>
        <w:t xml:space="preserve">. Ook zijn </w:t>
      </w:r>
      <w:r w:rsidRPr="00B37BAE">
        <w:rPr>
          <w:lang w:val="nl-NL"/>
        </w:rPr>
        <w:t>initiatieven ontwikkeld om gedrag dat zwerfvuil veroorzaakt te beïnvloeden.</w:t>
      </w:r>
    </w:p>
    <w:p w:rsidRPr="00B37BAE" w:rsidR="000825B2" w:rsidP="000825B2" w:rsidRDefault="000825B2" w14:paraId="27319E77" w14:textId="77777777">
      <w:pPr>
        <w:spacing w:after="0" w:line="240" w:lineRule="auto"/>
        <w:rPr>
          <w:i/>
          <w:lang w:val="nl-NL"/>
        </w:rPr>
      </w:pPr>
    </w:p>
    <w:p w:rsidRPr="00B37BAE" w:rsidR="000825B2" w:rsidP="000825B2" w:rsidRDefault="000825B2" w14:paraId="35990483" w14:textId="77777777">
      <w:pPr>
        <w:rPr>
          <w:lang w:val="nl-NL"/>
        </w:rPr>
      </w:pPr>
      <w:r w:rsidRPr="00AF1E71">
        <w:rPr>
          <w:iCs/>
          <w:lang w:val="nl-NL"/>
        </w:rPr>
        <w:t>Agendering en bewustwording</w:t>
      </w:r>
      <w:r>
        <w:rPr>
          <w:lang w:val="nl-NL"/>
        </w:rPr>
        <w:t xml:space="preserve"> </w:t>
      </w:r>
      <w:r w:rsidRPr="00B37BAE">
        <w:rPr>
          <w:lang w:val="nl-NL"/>
        </w:rPr>
        <w:t>van de zwerfvuilproblematiek op scholen stond centraal</w:t>
      </w:r>
      <w:r>
        <w:rPr>
          <w:lang w:val="nl-NL"/>
        </w:rPr>
        <w:t xml:space="preserve"> in het programma ‘Afval op School’</w:t>
      </w:r>
      <w:r w:rsidRPr="00B37BAE">
        <w:rPr>
          <w:lang w:val="nl-NL"/>
        </w:rPr>
        <w:t xml:space="preserve">. Met cofinanciering van het Europese Fonds voor Maritieme Zaken en Visserij </w:t>
      </w:r>
      <w:r>
        <w:rPr>
          <w:lang w:val="nl-NL"/>
        </w:rPr>
        <w:t xml:space="preserve">(EFMZV) </w:t>
      </w:r>
      <w:r w:rsidRPr="00B37BAE">
        <w:rPr>
          <w:lang w:val="nl-NL"/>
        </w:rPr>
        <w:t xml:space="preserve">zijn 140 scholen (primair en voortgezet onderwijs) begeleid </w:t>
      </w:r>
      <w:r>
        <w:rPr>
          <w:lang w:val="nl-NL"/>
        </w:rPr>
        <w:t>bij</w:t>
      </w:r>
      <w:r w:rsidRPr="00B37BAE">
        <w:rPr>
          <w:lang w:val="nl-NL"/>
        </w:rPr>
        <w:t xml:space="preserve"> afvaleducatie, afvalscheiding en afvalpreventie</w:t>
      </w:r>
      <w:r>
        <w:rPr>
          <w:lang w:val="nl-NL"/>
        </w:rPr>
        <w:t>. Ook is een aantal kennisproducten en -tools ontwikkeld</w:t>
      </w:r>
      <w:r w:rsidRPr="00B37BAE">
        <w:rPr>
          <w:lang w:val="nl-NL"/>
        </w:rPr>
        <w:t xml:space="preserve"> </w:t>
      </w:r>
      <w:r>
        <w:rPr>
          <w:lang w:val="nl-NL"/>
        </w:rPr>
        <w:t>(</w:t>
      </w:r>
      <w:hyperlink w:history="1" r:id="rId18">
        <w:r w:rsidRPr="003B276E">
          <w:rPr>
            <w:rStyle w:val="Hyperlink"/>
            <w:lang w:val="nl-NL"/>
          </w:rPr>
          <w:t>www.slimmetschoolafval.nl</w:t>
        </w:r>
      </w:hyperlink>
      <w:r>
        <w:rPr>
          <w:lang w:val="nl-NL"/>
        </w:rPr>
        <w:t xml:space="preserve">). Voor </w:t>
      </w:r>
      <w:r w:rsidRPr="00B37BAE">
        <w:rPr>
          <w:lang w:val="nl-NL"/>
        </w:rPr>
        <w:t>communicatie en kennisdeling met de doelgroep</w:t>
      </w:r>
      <w:r>
        <w:rPr>
          <w:lang w:val="nl-NL"/>
        </w:rPr>
        <w:t>en</w:t>
      </w:r>
      <w:r w:rsidRPr="00B37BAE">
        <w:rPr>
          <w:lang w:val="nl-NL"/>
        </w:rPr>
        <w:t xml:space="preserve"> (</w:t>
      </w:r>
      <w:r>
        <w:rPr>
          <w:lang w:val="nl-NL"/>
        </w:rPr>
        <w:t>natuur- &amp; milieueducatie</w:t>
      </w:r>
      <w:r w:rsidRPr="00B37BAE">
        <w:rPr>
          <w:lang w:val="nl-NL"/>
        </w:rPr>
        <w:t>centra, gemeenten</w:t>
      </w:r>
      <w:r>
        <w:rPr>
          <w:lang w:val="nl-NL"/>
        </w:rPr>
        <w:t>,</w:t>
      </w:r>
      <w:r w:rsidRPr="00B37BAE">
        <w:rPr>
          <w:lang w:val="nl-NL"/>
        </w:rPr>
        <w:t xml:space="preserve"> inzamelaars en scholen)</w:t>
      </w:r>
      <w:r>
        <w:rPr>
          <w:lang w:val="nl-NL"/>
        </w:rPr>
        <w:t xml:space="preserve"> is</w:t>
      </w:r>
      <w:r w:rsidRPr="00B37BAE">
        <w:rPr>
          <w:lang w:val="nl-NL"/>
        </w:rPr>
        <w:t xml:space="preserve"> een projectpagina (</w:t>
      </w:r>
      <w:hyperlink w:history="1" r:id="rId19">
        <w:r w:rsidRPr="00B37BAE">
          <w:rPr>
            <w:rStyle w:val="Hyperlink"/>
            <w:lang w:val="nl-NL"/>
          </w:rPr>
          <w:t>www.afvalopschool.nl</w:t>
        </w:r>
      </w:hyperlink>
      <w:r w:rsidRPr="00B37BAE">
        <w:rPr>
          <w:lang w:val="nl-NL"/>
        </w:rPr>
        <w:t>) opgezet.</w:t>
      </w:r>
      <w:r>
        <w:rPr>
          <w:lang w:val="nl-NL"/>
        </w:rPr>
        <w:t xml:space="preserve"> M</w:t>
      </w:r>
      <w:r w:rsidRPr="00B37BAE">
        <w:rPr>
          <w:lang w:val="nl-NL"/>
        </w:rPr>
        <w:t xml:space="preserve">et middelen uit het </w:t>
      </w:r>
      <w:r>
        <w:rPr>
          <w:lang w:val="nl-NL"/>
        </w:rPr>
        <w:t>A</w:t>
      </w:r>
      <w:r w:rsidRPr="00B37BAE">
        <w:rPr>
          <w:lang w:val="nl-NL"/>
        </w:rPr>
        <w:t xml:space="preserve">fvalfonds </w:t>
      </w:r>
      <w:r>
        <w:rPr>
          <w:lang w:val="nl-NL"/>
        </w:rPr>
        <w:t>V</w:t>
      </w:r>
      <w:r w:rsidRPr="00B37BAE">
        <w:rPr>
          <w:lang w:val="nl-NL"/>
        </w:rPr>
        <w:t>erpakkingen</w:t>
      </w:r>
      <w:r>
        <w:rPr>
          <w:lang w:val="nl-NL"/>
        </w:rPr>
        <w:t xml:space="preserve"> </w:t>
      </w:r>
      <w:r w:rsidRPr="00B37BAE">
        <w:rPr>
          <w:lang w:val="nl-NL"/>
        </w:rPr>
        <w:t xml:space="preserve">zijn nog </w:t>
      </w:r>
      <w:r>
        <w:rPr>
          <w:lang w:val="nl-NL"/>
        </w:rPr>
        <w:t>enkele</w:t>
      </w:r>
      <w:r w:rsidRPr="00B37BAE">
        <w:rPr>
          <w:lang w:val="nl-NL"/>
        </w:rPr>
        <w:t xml:space="preserve"> kleinere educatieprojecten uitgevoerd</w:t>
      </w:r>
      <w:r>
        <w:rPr>
          <w:lang w:val="nl-NL"/>
        </w:rPr>
        <w:t xml:space="preserve">. De </w:t>
      </w:r>
      <w:r w:rsidRPr="00B37BAE">
        <w:rPr>
          <w:lang w:val="nl-NL"/>
        </w:rPr>
        <w:t xml:space="preserve">focus lag </w:t>
      </w:r>
      <w:r>
        <w:rPr>
          <w:lang w:val="nl-NL"/>
        </w:rPr>
        <w:t xml:space="preserve">hierbij </w:t>
      </w:r>
      <w:r w:rsidRPr="00B37BAE">
        <w:rPr>
          <w:lang w:val="nl-NL"/>
        </w:rPr>
        <w:t>op kennisdeling over afvalscheiding</w:t>
      </w:r>
      <w:r>
        <w:rPr>
          <w:lang w:val="nl-NL"/>
        </w:rPr>
        <w:t xml:space="preserve"> en op een </w:t>
      </w:r>
      <w:r w:rsidRPr="00B37BAE">
        <w:rPr>
          <w:lang w:val="nl-NL"/>
        </w:rPr>
        <w:t>maatwerk</w:t>
      </w:r>
      <w:r>
        <w:rPr>
          <w:lang w:val="nl-NL"/>
        </w:rPr>
        <w:t xml:space="preserve">aanpak door </w:t>
      </w:r>
      <w:r w:rsidRPr="00B37BAE">
        <w:rPr>
          <w:lang w:val="nl-NL"/>
        </w:rPr>
        <w:t xml:space="preserve">gemeenten. </w:t>
      </w:r>
    </w:p>
    <w:p w:rsidRPr="00A8638C" w:rsidR="000825B2" w:rsidP="000825B2" w:rsidRDefault="000825B2" w14:paraId="4A4EE1CB" w14:textId="77777777">
      <w:pPr>
        <w:spacing w:before="40" w:after="0"/>
        <w:rPr>
          <w:rStyle w:val="IntenseEmphasis"/>
          <w:lang w:val="nl-NL"/>
        </w:rPr>
      </w:pPr>
      <w:r w:rsidRPr="00A8638C">
        <w:rPr>
          <w:rStyle w:val="IntenseEmphasis"/>
          <w:lang w:val="nl-NL"/>
        </w:rPr>
        <w:t>Stranden</w:t>
      </w:r>
    </w:p>
    <w:p w:rsidRPr="009705B0" w:rsidR="000825B2" w:rsidP="000825B2" w:rsidRDefault="000825B2" w14:paraId="4F38F82B" w14:textId="77777777">
      <w:pPr>
        <w:rPr>
          <w:lang w:val="nl-NL"/>
        </w:rPr>
      </w:pPr>
      <w:r w:rsidRPr="009705B0">
        <w:rPr>
          <w:lang w:val="nl-NL"/>
        </w:rPr>
        <w:t xml:space="preserve">Stakeholders en kustgemeenten zorgen voor het schoonmaken </w:t>
      </w:r>
      <w:r>
        <w:rPr>
          <w:lang w:val="nl-NL"/>
        </w:rPr>
        <w:t>en schoonhouden van de Nederlandse No</w:t>
      </w:r>
      <w:r w:rsidRPr="009705B0">
        <w:rPr>
          <w:lang w:val="nl-NL"/>
        </w:rPr>
        <w:t xml:space="preserve">ordzeestranden. </w:t>
      </w:r>
      <w:r>
        <w:rPr>
          <w:lang w:val="nl-NL"/>
        </w:rPr>
        <w:t>M</w:t>
      </w:r>
      <w:r w:rsidRPr="00866977">
        <w:rPr>
          <w:lang w:val="nl-NL"/>
        </w:rPr>
        <w:t xml:space="preserve">aatschappelijke organisaties en burgers </w:t>
      </w:r>
      <w:r>
        <w:rPr>
          <w:lang w:val="nl-NL"/>
        </w:rPr>
        <w:t>organiseren</w:t>
      </w:r>
      <w:r w:rsidRPr="009705B0">
        <w:rPr>
          <w:lang w:val="nl-NL"/>
        </w:rPr>
        <w:t xml:space="preserve"> </w:t>
      </w:r>
      <w:r>
        <w:rPr>
          <w:lang w:val="nl-NL"/>
        </w:rPr>
        <w:t xml:space="preserve">ook zelf </w:t>
      </w:r>
      <w:r w:rsidRPr="009705B0">
        <w:rPr>
          <w:lang w:val="nl-NL"/>
        </w:rPr>
        <w:t>veel opruimacties</w:t>
      </w:r>
      <w:r>
        <w:rPr>
          <w:lang w:val="nl-NL"/>
        </w:rPr>
        <w:t xml:space="preserve">. Zo houdt </w:t>
      </w:r>
      <w:r w:rsidRPr="00866977">
        <w:rPr>
          <w:lang w:val="nl-NL"/>
        </w:rPr>
        <w:t>Stichting de Noordzee</w:t>
      </w:r>
      <w:r w:rsidRPr="00866977" w:rsidDel="00866977">
        <w:rPr>
          <w:lang w:val="nl-NL"/>
        </w:rPr>
        <w:t xml:space="preserve"> </w:t>
      </w:r>
      <w:r>
        <w:rPr>
          <w:lang w:val="nl-NL"/>
        </w:rPr>
        <w:t xml:space="preserve">jaarlijks een Beach Clean-up tour, om langs de hele Nederlandse Noordzeekust de stranden op te ruimen. </w:t>
      </w:r>
    </w:p>
    <w:p w:rsidRPr="00662528" w:rsidR="000825B2" w:rsidP="000825B2" w:rsidRDefault="000825B2" w14:paraId="57957824" w14:textId="77777777">
      <w:pPr>
        <w:rPr>
          <w:lang w:val="nl-NL"/>
        </w:rPr>
      </w:pPr>
      <w:r w:rsidRPr="003375D3">
        <w:rPr>
          <w:rFonts w:eastAsia="Times New Roman" w:cs="Times New Roman"/>
          <w:color w:val="222222"/>
          <w:szCs w:val="18"/>
          <w:lang w:val="nl-NL" w:eastAsia="nl-NL"/>
        </w:rPr>
        <w:t xml:space="preserve">Kustgemeenten, ondernemers, vrijwilligers en maatschappelijke organisaties hebben </w:t>
      </w:r>
      <w:r>
        <w:rPr>
          <w:rFonts w:eastAsia="Times New Roman" w:cs="Times New Roman"/>
          <w:color w:val="222222"/>
          <w:szCs w:val="18"/>
          <w:lang w:val="nl-NL" w:eastAsia="nl-NL"/>
        </w:rPr>
        <w:t xml:space="preserve">in 2014 </w:t>
      </w:r>
      <w:r w:rsidRPr="003375D3">
        <w:rPr>
          <w:rFonts w:eastAsia="Times New Roman" w:cs="Times New Roman"/>
          <w:color w:val="222222"/>
          <w:szCs w:val="18"/>
          <w:lang w:val="nl-NL" w:eastAsia="nl-NL"/>
        </w:rPr>
        <w:t xml:space="preserve">de </w:t>
      </w:r>
      <w:r w:rsidRPr="00F02C90">
        <w:rPr>
          <w:rFonts w:eastAsia="Times New Roman" w:cs="Times New Roman"/>
          <w:i/>
          <w:color w:val="222222"/>
          <w:szCs w:val="18"/>
          <w:lang w:val="nl-NL" w:eastAsia="nl-NL"/>
        </w:rPr>
        <w:t xml:space="preserve">Green Deal </w:t>
      </w:r>
      <w:r w:rsidRPr="00AF1E71">
        <w:rPr>
          <w:rFonts w:eastAsia="Times New Roman" w:cs="Times New Roman"/>
          <w:iCs/>
          <w:color w:val="222222"/>
          <w:szCs w:val="18"/>
          <w:lang w:val="nl-NL" w:eastAsia="nl-NL"/>
        </w:rPr>
        <w:t>Schone Stranden</w:t>
      </w:r>
      <w:r w:rsidRPr="003375D3">
        <w:rPr>
          <w:rFonts w:eastAsia="Times New Roman" w:cs="Times New Roman"/>
          <w:color w:val="222222"/>
          <w:szCs w:val="18"/>
          <w:lang w:val="nl-NL" w:eastAsia="nl-NL"/>
        </w:rPr>
        <w:t xml:space="preserve"> </w:t>
      </w:r>
      <w:r>
        <w:rPr>
          <w:rFonts w:eastAsia="Times New Roman" w:cs="Times New Roman"/>
          <w:color w:val="222222"/>
          <w:szCs w:val="18"/>
          <w:lang w:val="nl-NL" w:eastAsia="nl-NL"/>
        </w:rPr>
        <w:t xml:space="preserve">(GDSS) </w:t>
      </w:r>
      <w:r w:rsidRPr="003375D3">
        <w:rPr>
          <w:rFonts w:eastAsia="Times New Roman" w:cs="Times New Roman"/>
          <w:color w:val="222222"/>
          <w:szCs w:val="18"/>
          <w:lang w:val="nl-NL" w:eastAsia="nl-NL"/>
        </w:rPr>
        <w:t>gesloten</w:t>
      </w:r>
      <w:r>
        <w:rPr>
          <w:rFonts w:eastAsia="Times New Roman" w:cs="Times New Roman"/>
          <w:color w:val="222222"/>
          <w:szCs w:val="18"/>
          <w:lang w:val="nl-NL" w:eastAsia="nl-NL"/>
        </w:rPr>
        <w:t xml:space="preserve"> om h</w:t>
      </w:r>
      <w:r w:rsidRPr="003375D3">
        <w:rPr>
          <w:rFonts w:eastAsia="Times New Roman" w:cs="Times New Roman"/>
          <w:color w:val="222222"/>
          <w:szCs w:val="18"/>
          <w:lang w:val="nl-NL" w:eastAsia="nl-NL"/>
        </w:rPr>
        <w:t>et zwerfvuil op stranden te verminderen</w:t>
      </w:r>
      <w:r>
        <w:rPr>
          <w:rFonts w:eastAsia="Times New Roman" w:cs="Times New Roman"/>
          <w:color w:val="222222"/>
          <w:szCs w:val="18"/>
          <w:lang w:val="nl-NL" w:eastAsia="nl-NL"/>
        </w:rPr>
        <w:t xml:space="preserve">. Dat doen zij met </w:t>
      </w:r>
      <w:r w:rsidRPr="003375D3">
        <w:rPr>
          <w:rFonts w:eastAsia="Times New Roman" w:cs="Times New Roman"/>
          <w:color w:val="222222"/>
          <w:szCs w:val="18"/>
          <w:lang w:val="nl-NL" w:eastAsia="nl-NL"/>
        </w:rPr>
        <w:t xml:space="preserve">opruimacties, </w:t>
      </w:r>
      <w:r>
        <w:rPr>
          <w:rFonts w:eastAsia="Times New Roman" w:cs="Times New Roman"/>
          <w:color w:val="222222"/>
          <w:szCs w:val="18"/>
          <w:lang w:val="nl-NL" w:eastAsia="nl-NL"/>
        </w:rPr>
        <w:t xml:space="preserve">het aanbrengen van </w:t>
      </w:r>
      <w:r w:rsidRPr="003375D3">
        <w:rPr>
          <w:rFonts w:eastAsia="Times New Roman" w:cs="Times New Roman"/>
          <w:color w:val="222222"/>
          <w:szCs w:val="18"/>
          <w:lang w:val="nl-NL" w:eastAsia="nl-NL"/>
        </w:rPr>
        <w:t xml:space="preserve">opruim- en afvoerfaciliteiten bij stranden en het </w:t>
      </w:r>
      <w:r>
        <w:rPr>
          <w:rFonts w:eastAsia="Times New Roman" w:cs="Times New Roman"/>
          <w:color w:val="222222"/>
          <w:szCs w:val="18"/>
          <w:lang w:val="nl-NL" w:eastAsia="nl-NL"/>
        </w:rPr>
        <w:t xml:space="preserve">invoeren van het </w:t>
      </w:r>
      <w:r w:rsidRPr="003375D3">
        <w:rPr>
          <w:rFonts w:eastAsia="Times New Roman" w:cs="Times New Roman"/>
          <w:color w:val="222222"/>
          <w:szCs w:val="18"/>
          <w:lang w:val="nl-NL" w:eastAsia="nl-NL"/>
        </w:rPr>
        <w:t xml:space="preserve">Green-Key-keurmerk </w:t>
      </w:r>
      <w:r>
        <w:rPr>
          <w:rFonts w:eastAsia="Times New Roman" w:cs="Times New Roman"/>
          <w:color w:val="222222"/>
          <w:szCs w:val="18"/>
          <w:lang w:val="nl-NL" w:eastAsia="nl-NL"/>
        </w:rPr>
        <w:t>voor</w:t>
      </w:r>
      <w:r w:rsidRPr="003375D3">
        <w:rPr>
          <w:rFonts w:eastAsia="Times New Roman" w:cs="Times New Roman"/>
          <w:color w:val="222222"/>
          <w:szCs w:val="18"/>
          <w:lang w:val="nl-NL" w:eastAsia="nl-NL"/>
        </w:rPr>
        <w:t xml:space="preserve"> strandpaviljoens. De </w:t>
      </w:r>
      <w:r>
        <w:rPr>
          <w:rFonts w:eastAsia="Times New Roman" w:cs="Times New Roman"/>
          <w:color w:val="222222"/>
          <w:szCs w:val="18"/>
          <w:lang w:val="nl-NL" w:eastAsia="nl-NL"/>
        </w:rPr>
        <w:t xml:space="preserve">GDSS is een goed voorbeeld van de gezamenlijke inzet en onderlinge afstemming van </w:t>
      </w:r>
      <w:r w:rsidRPr="003375D3">
        <w:rPr>
          <w:rFonts w:eastAsia="Times New Roman" w:cs="Times New Roman"/>
          <w:color w:val="222222"/>
          <w:szCs w:val="18"/>
          <w:lang w:val="nl-NL" w:eastAsia="nl-NL"/>
        </w:rPr>
        <w:t>verschillende partijen voor het schoonmaken en schoonhouden van de Nederlandse Noordzeestranden</w:t>
      </w:r>
      <w:r>
        <w:rPr>
          <w:rFonts w:eastAsia="Times New Roman" w:cs="Times New Roman"/>
          <w:color w:val="222222"/>
          <w:szCs w:val="18"/>
          <w:lang w:val="nl-NL" w:eastAsia="nl-NL"/>
        </w:rPr>
        <w:t>.</w:t>
      </w:r>
      <w:r w:rsidRPr="003375D3">
        <w:rPr>
          <w:rFonts w:eastAsia="Times New Roman" w:cs="Times New Roman"/>
          <w:color w:val="222222"/>
          <w:szCs w:val="18"/>
          <w:lang w:val="nl-NL" w:eastAsia="nl-NL"/>
        </w:rPr>
        <w:t xml:space="preserve"> Initiatieven en acties zoals de Schoonste Stranden-verkiezing (inclusief de daarvoor benodigde monitoring) </w:t>
      </w:r>
      <w:r>
        <w:rPr>
          <w:rFonts w:eastAsia="Times New Roman" w:cs="Times New Roman"/>
          <w:color w:val="222222"/>
          <w:szCs w:val="18"/>
          <w:lang w:val="nl-NL" w:eastAsia="nl-NL"/>
        </w:rPr>
        <w:t>beïnvloeden de</w:t>
      </w:r>
      <w:r w:rsidRPr="003375D3">
        <w:rPr>
          <w:rFonts w:eastAsia="Times New Roman" w:cs="Times New Roman"/>
          <w:color w:val="222222"/>
          <w:szCs w:val="18"/>
          <w:lang w:val="nl-NL" w:eastAsia="nl-NL"/>
        </w:rPr>
        <w:t xml:space="preserve"> agendering bij de gemeenten en </w:t>
      </w:r>
      <w:r>
        <w:rPr>
          <w:rFonts w:eastAsia="Times New Roman" w:cs="Times New Roman"/>
          <w:color w:val="222222"/>
          <w:szCs w:val="18"/>
          <w:lang w:val="nl-NL" w:eastAsia="nl-NL"/>
        </w:rPr>
        <w:t xml:space="preserve">dragen bij aan de </w:t>
      </w:r>
      <w:r w:rsidRPr="003375D3">
        <w:rPr>
          <w:rFonts w:eastAsia="Times New Roman" w:cs="Times New Roman"/>
          <w:color w:val="222222"/>
          <w:szCs w:val="18"/>
          <w:lang w:val="nl-NL" w:eastAsia="nl-NL"/>
        </w:rPr>
        <w:t xml:space="preserve">bewustwording van de </w:t>
      </w:r>
      <w:r w:rsidRPr="00662528">
        <w:rPr>
          <w:lang w:val="nl-NL"/>
        </w:rPr>
        <w:t>strandbezoeker</w:t>
      </w:r>
      <w:r>
        <w:rPr>
          <w:lang w:val="nl-NL"/>
        </w:rPr>
        <w:t>s</w:t>
      </w:r>
      <w:r w:rsidRPr="00662528">
        <w:rPr>
          <w:lang w:val="nl-NL"/>
        </w:rPr>
        <w:t>.</w:t>
      </w:r>
    </w:p>
    <w:p w:rsidRPr="009D6AF4" w:rsidR="000825B2" w:rsidP="000825B2" w:rsidRDefault="000825B2" w14:paraId="1C2ED3D9" w14:textId="77777777">
      <w:pPr>
        <w:spacing w:before="40" w:after="0"/>
        <w:rPr>
          <w:i/>
          <w:iCs/>
          <w:color w:val="5B9BD5" w:themeColor="accent1"/>
          <w:lang w:val="nl-NL"/>
        </w:rPr>
      </w:pPr>
      <w:r w:rsidRPr="00A8638C">
        <w:rPr>
          <w:rStyle w:val="IntenseEmphasis"/>
          <w:lang w:val="nl-NL"/>
        </w:rPr>
        <w:t>Stroomgebieden</w:t>
      </w:r>
    </w:p>
    <w:p w:rsidRPr="00D84201" w:rsidR="000825B2" w:rsidP="000825B2" w:rsidRDefault="000825B2" w14:paraId="4B81EC58" w14:textId="083044A1">
      <w:pPr>
        <w:rPr>
          <w:lang w:val="nl-NL"/>
        </w:rPr>
      </w:pPr>
      <w:r>
        <w:rPr>
          <w:lang w:val="nl-NL"/>
        </w:rPr>
        <w:t xml:space="preserve">Het onderwerp </w:t>
      </w:r>
      <w:r w:rsidRPr="00AF1E71">
        <w:rPr>
          <w:iCs/>
          <w:lang w:val="nl-NL"/>
        </w:rPr>
        <w:t>zwerfvuil</w:t>
      </w:r>
      <w:r w:rsidRPr="00385311">
        <w:rPr>
          <w:lang w:val="nl-NL"/>
        </w:rPr>
        <w:t xml:space="preserve"> </w:t>
      </w:r>
      <w:r>
        <w:rPr>
          <w:iCs/>
          <w:lang w:val="nl-NL"/>
        </w:rPr>
        <w:t>in water</w:t>
      </w:r>
      <w:r w:rsidRPr="00F02C90">
        <w:rPr>
          <w:i/>
          <w:lang w:val="nl-NL"/>
        </w:rPr>
        <w:t xml:space="preserve"> </w:t>
      </w:r>
      <w:r w:rsidRPr="00AF1E71">
        <w:rPr>
          <w:iCs/>
          <w:lang w:val="nl-NL"/>
        </w:rPr>
        <w:t xml:space="preserve">is geagendeerd bij de </w:t>
      </w:r>
      <w:r>
        <w:rPr>
          <w:iCs/>
          <w:lang w:val="nl-NL"/>
        </w:rPr>
        <w:t xml:space="preserve">Nederlandse </w:t>
      </w:r>
      <w:r w:rsidRPr="00AF1E71">
        <w:rPr>
          <w:iCs/>
          <w:lang w:val="nl-NL"/>
        </w:rPr>
        <w:t>waterbeheerders</w:t>
      </w:r>
      <w:r>
        <w:rPr>
          <w:iCs/>
          <w:lang w:val="nl-NL"/>
        </w:rPr>
        <w:t>.</w:t>
      </w:r>
      <w:r>
        <w:rPr>
          <w:lang w:val="nl-NL"/>
        </w:rPr>
        <w:t xml:space="preserve"> Onder leiding van de </w:t>
      </w:r>
      <w:r w:rsidRPr="00866977">
        <w:rPr>
          <w:lang w:val="nl-NL"/>
        </w:rPr>
        <w:t xml:space="preserve">Unie van Waterschappen </w:t>
      </w:r>
      <w:r>
        <w:rPr>
          <w:lang w:val="nl-NL"/>
        </w:rPr>
        <w:t xml:space="preserve">is de </w:t>
      </w:r>
      <w:r w:rsidRPr="007A7F58">
        <w:rPr>
          <w:lang w:val="nl-NL"/>
        </w:rPr>
        <w:t xml:space="preserve">themagroep zwerfvuil </w:t>
      </w:r>
      <w:r>
        <w:rPr>
          <w:lang w:val="nl-NL"/>
        </w:rPr>
        <w:t xml:space="preserve">opgericht die zich richt </w:t>
      </w:r>
      <w:r w:rsidRPr="007A7F58">
        <w:rPr>
          <w:lang w:val="nl-NL"/>
        </w:rPr>
        <w:t>op kennisdeling over zwerf</w:t>
      </w:r>
      <w:r>
        <w:rPr>
          <w:lang w:val="nl-NL"/>
        </w:rPr>
        <w:t xml:space="preserve">vuil </w:t>
      </w:r>
      <w:r w:rsidRPr="007A7F58">
        <w:rPr>
          <w:lang w:val="nl-NL"/>
        </w:rPr>
        <w:t>in w</w:t>
      </w:r>
      <w:r>
        <w:rPr>
          <w:lang w:val="nl-NL"/>
        </w:rPr>
        <w:t xml:space="preserve">ater. </w:t>
      </w:r>
      <w:r w:rsidRPr="007A7F58">
        <w:rPr>
          <w:lang w:val="nl-NL"/>
        </w:rPr>
        <w:t xml:space="preserve">In Zuid-Nederland participeert het waterschap Limburg </w:t>
      </w:r>
      <w:r>
        <w:rPr>
          <w:lang w:val="nl-NL"/>
        </w:rPr>
        <w:t>en Rijkswaterstaat</w:t>
      </w:r>
      <w:r w:rsidRPr="007A7F58">
        <w:rPr>
          <w:lang w:val="nl-NL"/>
        </w:rPr>
        <w:t xml:space="preserve"> in </w:t>
      </w:r>
      <w:r>
        <w:rPr>
          <w:lang w:val="nl-NL"/>
        </w:rPr>
        <w:t>het</w:t>
      </w:r>
      <w:r w:rsidRPr="007A7F58">
        <w:rPr>
          <w:lang w:val="nl-NL"/>
        </w:rPr>
        <w:t xml:space="preserve"> </w:t>
      </w:r>
      <w:r>
        <w:rPr>
          <w:lang w:val="nl-NL"/>
        </w:rPr>
        <w:t>grensoverschrijdend</w:t>
      </w:r>
      <w:r w:rsidRPr="007A7F58">
        <w:rPr>
          <w:lang w:val="nl-NL"/>
        </w:rPr>
        <w:t xml:space="preserve"> </w:t>
      </w:r>
      <w:r>
        <w:rPr>
          <w:lang w:val="nl-NL"/>
        </w:rPr>
        <w:t>EU Interreg</w:t>
      </w:r>
      <w:r w:rsidRPr="007A7F58">
        <w:rPr>
          <w:lang w:val="nl-NL"/>
        </w:rPr>
        <w:t xml:space="preserve"> project </w:t>
      </w:r>
      <w:r>
        <w:rPr>
          <w:lang w:val="nl-NL"/>
        </w:rPr>
        <w:t>LIVES (Euregio Maas- Rijn)</w:t>
      </w:r>
      <w:r w:rsidRPr="007A7F58">
        <w:rPr>
          <w:lang w:val="nl-NL"/>
        </w:rPr>
        <w:t xml:space="preserve"> voor de aanpak van zwerf</w:t>
      </w:r>
      <w:r>
        <w:rPr>
          <w:lang w:val="nl-NL"/>
        </w:rPr>
        <w:t>vuil</w:t>
      </w:r>
      <w:r w:rsidRPr="007A7F58">
        <w:rPr>
          <w:lang w:val="nl-NL"/>
        </w:rPr>
        <w:t xml:space="preserve"> in de Maas</w:t>
      </w:r>
      <w:r w:rsidR="006F41FF">
        <w:rPr>
          <w:lang w:val="nl-NL"/>
        </w:rPr>
        <w:t xml:space="preserve"> [35]</w:t>
      </w:r>
      <w:r w:rsidRPr="007A7F58">
        <w:rPr>
          <w:lang w:val="nl-NL"/>
        </w:rPr>
        <w:t>.</w:t>
      </w:r>
      <w:r>
        <w:rPr>
          <w:lang w:val="nl-NL"/>
        </w:rPr>
        <w:t xml:space="preserve"> Binnen </w:t>
      </w:r>
      <w:r w:rsidRPr="00866977">
        <w:rPr>
          <w:lang w:val="nl-NL"/>
        </w:rPr>
        <w:t>Rijkswaterstaat</w:t>
      </w:r>
      <w:r>
        <w:rPr>
          <w:lang w:val="nl-NL"/>
        </w:rPr>
        <w:t xml:space="preserve"> krijgt het </w:t>
      </w:r>
      <w:r w:rsidRPr="007A7F58">
        <w:rPr>
          <w:lang w:val="nl-NL"/>
        </w:rPr>
        <w:t>onderwerp zwerf</w:t>
      </w:r>
      <w:r>
        <w:rPr>
          <w:lang w:val="nl-NL"/>
        </w:rPr>
        <w:t>vuil s</w:t>
      </w:r>
      <w:r w:rsidRPr="007A7F58">
        <w:rPr>
          <w:lang w:val="nl-NL"/>
        </w:rPr>
        <w:t>teeds meer aandacht</w:t>
      </w:r>
      <w:r>
        <w:rPr>
          <w:lang w:val="nl-NL"/>
        </w:rPr>
        <w:t>. De organisatie</w:t>
      </w:r>
      <w:r w:rsidRPr="007A7F58">
        <w:rPr>
          <w:lang w:val="nl-NL"/>
        </w:rPr>
        <w:t xml:space="preserve"> </w:t>
      </w:r>
      <w:r>
        <w:rPr>
          <w:lang w:val="nl-NL"/>
        </w:rPr>
        <w:t xml:space="preserve">heeft </w:t>
      </w:r>
      <w:r w:rsidRPr="007A7F58">
        <w:rPr>
          <w:lang w:val="nl-NL"/>
        </w:rPr>
        <w:t>een kenniscentrum zwerf</w:t>
      </w:r>
      <w:r>
        <w:rPr>
          <w:lang w:val="nl-NL"/>
        </w:rPr>
        <w:t>vuil</w:t>
      </w:r>
      <w:r w:rsidRPr="007A7F58">
        <w:rPr>
          <w:lang w:val="nl-NL"/>
        </w:rPr>
        <w:t>, faciliteert en participeert in alle samenwerkingsverbanden</w:t>
      </w:r>
      <w:r>
        <w:rPr>
          <w:lang w:val="nl-NL"/>
        </w:rPr>
        <w:t xml:space="preserve"> voor schone rivieren en </w:t>
      </w:r>
      <w:r w:rsidRPr="007A7F58">
        <w:rPr>
          <w:lang w:val="nl-NL"/>
        </w:rPr>
        <w:t>organiseert workshops, netwerkdagen en intervisiebijeenkomsten</w:t>
      </w:r>
      <w:r>
        <w:rPr>
          <w:lang w:val="nl-NL"/>
        </w:rPr>
        <w:t>. Het be</w:t>
      </w:r>
      <w:r w:rsidRPr="007A7F58">
        <w:rPr>
          <w:lang w:val="nl-NL"/>
        </w:rPr>
        <w:t xml:space="preserve">langrijkste doel </w:t>
      </w:r>
      <w:r>
        <w:rPr>
          <w:lang w:val="nl-NL"/>
        </w:rPr>
        <w:t xml:space="preserve">van het kenniscentrum is het op nationaal en internationaal niveau onderhouden van netwerken voor </w:t>
      </w:r>
      <w:r w:rsidRPr="007A7F58">
        <w:rPr>
          <w:lang w:val="nl-NL"/>
        </w:rPr>
        <w:t xml:space="preserve">kennisuitwisseling en het communiceren </w:t>
      </w:r>
      <w:r>
        <w:rPr>
          <w:lang w:val="nl-NL"/>
        </w:rPr>
        <w:t>over</w:t>
      </w:r>
      <w:r w:rsidRPr="007A7F58">
        <w:rPr>
          <w:lang w:val="nl-NL"/>
        </w:rPr>
        <w:t xml:space="preserve"> </w:t>
      </w:r>
      <w:r w:rsidRPr="00AF1E71">
        <w:rPr>
          <w:i/>
          <w:iCs/>
          <w:lang w:val="nl-NL"/>
        </w:rPr>
        <w:t>best practices</w:t>
      </w:r>
      <w:r>
        <w:rPr>
          <w:lang w:val="nl-NL"/>
        </w:rPr>
        <w:t>. Daarnaast</w:t>
      </w:r>
      <w:r w:rsidRPr="007A7F58">
        <w:rPr>
          <w:lang w:val="nl-NL"/>
        </w:rPr>
        <w:t xml:space="preserve"> heeft </w:t>
      </w:r>
      <w:r w:rsidRPr="00866977">
        <w:rPr>
          <w:lang w:val="nl-NL"/>
        </w:rPr>
        <w:t>Rijkswaterstaat</w:t>
      </w:r>
      <w:r w:rsidRPr="007A7F58">
        <w:rPr>
          <w:lang w:val="nl-NL"/>
        </w:rPr>
        <w:t xml:space="preserve"> een kader </w:t>
      </w:r>
      <w:r>
        <w:rPr>
          <w:lang w:val="nl-NL"/>
        </w:rPr>
        <w:t>zwerfvui</w:t>
      </w:r>
      <w:r w:rsidRPr="007A7F58">
        <w:rPr>
          <w:lang w:val="nl-NL"/>
        </w:rPr>
        <w:t>l ontwikkeld</w:t>
      </w:r>
      <w:r>
        <w:rPr>
          <w:lang w:val="nl-NL"/>
        </w:rPr>
        <w:t xml:space="preserve"> dat richting geeft aan beheer- en onderhoudstaken rondom rijkswegen, bermbeheer, verzorgingsplaatsen langs kanalen, afval bij sluizen en stuwen en de grote rivieren.</w:t>
      </w:r>
    </w:p>
    <w:p w:rsidR="000825B2" w:rsidP="000825B2" w:rsidRDefault="000825B2" w14:paraId="5254D4DE" w14:textId="3EC58EEF">
      <w:pPr>
        <w:rPr>
          <w:lang w:val="nl-NL"/>
        </w:rPr>
      </w:pPr>
      <w:r w:rsidRPr="00621AE9">
        <w:rPr>
          <w:lang w:val="nl-NL"/>
        </w:rPr>
        <w:t>Bij de</w:t>
      </w:r>
      <w:r>
        <w:rPr>
          <w:lang w:val="nl-NL"/>
        </w:rPr>
        <w:t xml:space="preserve"> </w:t>
      </w:r>
      <w:r w:rsidRPr="00AF1E71">
        <w:rPr>
          <w:iCs/>
          <w:lang w:val="nl-NL"/>
        </w:rPr>
        <w:t>gebiedsgerichte aanpak zwerfvuil</w:t>
      </w:r>
      <w:r w:rsidRPr="00621AE9">
        <w:rPr>
          <w:lang w:val="nl-NL"/>
        </w:rPr>
        <w:t xml:space="preserve"> zijn stakeholders zoals provincie</w:t>
      </w:r>
      <w:r>
        <w:rPr>
          <w:lang w:val="nl-NL"/>
        </w:rPr>
        <w:t>s</w:t>
      </w:r>
      <w:r w:rsidRPr="00621AE9">
        <w:rPr>
          <w:lang w:val="nl-NL"/>
        </w:rPr>
        <w:t xml:space="preserve">, terreinbeheerders, waterschappen, gemeenten en ngo’s betrokken. Zij nemen hun verantwoordelijkheid </w:t>
      </w:r>
      <w:r>
        <w:rPr>
          <w:lang w:val="nl-NL"/>
        </w:rPr>
        <w:t>voor</w:t>
      </w:r>
      <w:r w:rsidRPr="00621AE9">
        <w:rPr>
          <w:lang w:val="nl-NL"/>
        </w:rPr>
        <w:t xml:space="preserve"> het voorkomen en opruimen van afval in de rivieren. Kenmerkend is de integrale aanpak van zwerfvuil in en rondom het water. Elke partij draagt daaraan bij vanuit de eigen expertise en invloedsfeer.</w:t>
      </w:r>
      <w:r w:rsidRPr="005B35B7">
        <w:rPr>
          <w:lang w:val="nl-NL"/>
        </w:rPr>
        <w:t xml:space="preserve"> </w:t>
      </w:r>
      <w:r w:rsidRPr="00A30F58">
        <w:rPr>
          <w:lang w:val="nl-NL"/>
        </w:rPr>
        <w:t xml:space="preserve">In navolging van de aanpak Schone Maas Limburg zijn </w:t>
      </w:r>
      <w:r w:rsidRPr="00723627">
        <w:rPr>
          <w:lang w:val="nl-NL"/>
        </w:rPr>
        <w:t xml:space="preserve">samenwerkingsverbanden </w:t>
      </w:r>
      <w:r w:rsidRPr="00E23FFD">
        <w:rPr>
          <w:lang w:val="nl-NL"/>
        </w:rPr>
        <w:t xml:space="preserve">opgericht </w:t>
      </w:r>
      <w:r w:rsidRPr="00723627">
        <w:rPr>
          <w:lang w:val="nl-NL"/>
        </w:rPr>
        <w:t xml:space="preserve">voor de aanpak van zwerfvuil </w:t>
      </w:r>
      <w:r>
        <w:rPr>
          <w:lang w:val="nl-NL"/>
        </w:rPr>
        <w:t>in</w:t>
      </w:r>
      <w:r w:rsidRPr="00A30F58">
        <w:rPr>
          <w:lang w:val="nl-NL"/>
        </w:rPr>
        <w:t xml:space="preserve"> de belangrijkste </w:t>
      </w:r>
      <w:r>
        <w:rPr>
          <w:lang w:val="nl-NL"/>
        </w:rPr>
        <w:t>(deel)</w:t>
      </w:r>
      <w:r w:rsidRPr="00A30F58">
        <w:rPr>
          <w:lang w:val="nl-NL"/>
        </w:rPr>
        <w:t xml:space="preserve">stroomgebieden: Waal, Rijn, Lek, IJssel, Schelde, Haringvliet en </w:t>
      </w:r>
      <w:r>
        <w:rPr>
          <w:lang w:val="nl-NL"/>
        </w:rPr>
        <w:t xml:space="preserve">de </w:t>
      </w:r>
      <w:r w:rsidRPr="00A30F58">
        <w:rPr>
          <w:lang w:val="nl-NL"/>
        </w:rPr>
        <w:t xml:space="preserve">Rotterdamse havens. Rondom de Waddenzee is een </w:t>
      </w:r>
      <w:r w:rsidRPr="00AF1E71">
        <w:rPr>
          <w:i/>
          <w:iCs/>
          <w:lang w:val="nl-NL"/>
        </w:rPr>
        <w:t>Community</w:t>
      </w:r>
      <w:r w:rsidRPr="00A30F58">
        <w:rPr>
          <w:lang w:val="nl-NL"/>
        </w:rPr>
        <w:t xml:space="preserve"> Plasticvrije Waddenzee actief</w:t>
      </w:r>
      <w:r>
        <w:rPr>
          <w:lang w:val="nl-NL"/>
        </w:rPr>
        <w:t>, en rondom de Rijn-Maas delta is er een Community of Practice Plastics (CoPP) opgericht.</w:t>
      </w:r>
    </w:p>
    <w:p w:rsidR="000825B2" w:rsidP="000825B2" w:rsidRDefault="000825B2" w14:paraId="1B772DE1" w14:textId="7972CDBA">
      <w:pPr>
        <w:rPr>
          <w:szCs w:val="18"/>
          <w:lang w:val="nl-NL"/>
        </w:rPr>
      </w:pPr>
      <w:r w:rsidRPr="00723627">
        <w:rPr>
          <w:lang w:val="nl-NL"/>
        </w:rPr>
        <w:t xml:space="preserve">Rijkswaterstaat </w:t>
      </w:r>
      <w:r>
        <w:rPr>
          <w:lang w:val="nl-NL"/>
        </w:rPr>
        <w:t>heeft in 2018</w:t>
      </w:r>
      <w:r w:rsidRPr="00A30F58">
        <w:rPr>
          <w:lang w:val="nl-NL"/>
        </w:rPr>
        <w:t xml:space="preserve"> de </w:t>
      </w:r>
      <w:r w:rsidRPr="00AF1E71">
        <w:rPr>
          <w:iCs/>
          <w:lang w:val="nl-NL"/>
        </w:rPr>
        <w:t>Zwerfafvalophaalregeling</w:t>
      </w:r>
      <w:r w:rsidRPr="00F02C90">
        <w:rPr>
          <w:i/>
          <w:lang w:val="nl-NL"/>
        </w:rPr>
        <w:t xml:space="preserve"> (ZOR)</w:t>
      </w:r>
      <w:r w:rsidRPr="00A30F58">
        <w:rPr>
          <w:lang w:val="nl-NL"/>
        </w:rPr>
        <w:t xml:space="preserve"> ingesteld</w:t>
      </w:r>
      <w:r>
        <w:rPr>
          <w:lang w:val="nl-NL"/>
        </w:rPr>
        <w:t xml:space="preserve">. De regeling </w:t>
      </w:r>
      <w:r w:rsidRPr="00762C87">
        <w:rPr>
          <w:lang w:val="nl-NL"/>
        </w:rPr>
        <w:t xml:space="preserve">heeft als doel om </w:t>
      </w:r>
      <w:r>
        <w:rPr>
          <w:lang w:val="nl-NL"/>
        </w:rPr>
        <w:t xml:space="preserve">de Schone Rivieren </w:t>
      </w:r>
      <w:r w:rsidRPr="00762C87">
        <w:rPr>
          <w:lang w:val="nl-NL"/>
        </w:rPr>
        <w:t xml:space="preserve">samenwerkingsverbanden en initiatieven te ondersteunen </w:t>
      </w:r>
      <w:r>
        <w:rPr>
          <w:lang w:val="nl-NL"/>
        </w:rPr>
        <w:t xml:space="preserve">door het ophalen en </w:t>
      </w:r>
      <w:r w:rsidRPr="00762C87">
        <w:rPr>
          <w:lang w:val="nl-NL"/>
        </w:rPr>
        <w:t xml:space="preserve">verwerken van door derden </w:t>
      </w:r>
      <w:r>
        <w:rPr>
          <w:lang w:val="nl-NL"/>
        </w:rPr>
        <w:t xml:space="preserve">langs rivieroevers </w:t>
      </w:r>
      <w:r w:rsidRPr="00762C87">
        <w:rPr>
          <w:lang w:val="nl-NL"/>
        </w:rPr>
        <w:t>ingezameld z</w:t>
      </w:r>
      <w:r>
        <w:rPr>
          <w:lang w:val="nl-NL"/>
        </w:rPr>
        <w:t xml:space="preserve">werfafval te faciliteren. </w:t>
      </w:r>
      <w:r w:rsidRPr="00A30F58">
        <w:rPr>
          <w:szCs w:val="18"/>
          <w:lang w:val="nl-NL"/>
        </w:rPr>
        <w:t xml:space="preserve">De evaluatie van de ZOR </w:t>
      </w:r>
      <w:r>
        <w:rPr>
          <w:szCs w:val="18"/>
          <w:lang w:val="nl-NL"/>
        </w:rPr>
        <w:t>laat zien</w:t>
      </w:r>
      <w:r w:rsidRPr="00A30F58">
        <w:rPr>
          <w:szCs w:val="18"/>
          <w:lang w:val="nl-NL"/>
        </w:rPr>
        <w:t xml:space="preserve"> dat </w:t>
      </w:r>
      <w:r>
        <w:rPr>
          <w:szCs w:val="18"/>
          <w:lang w:val="nl-NL"/>
        </w:rPr>
        <w:t xml:space="preserve">de regeling </w:t>
      </w:r>
      <w:r w:rsidRPr="00A30F58">
        <w:rPr>
          <w:szCs w:val="18"/>
          <w:lang w:val="nl-NL"/>
        </w:rPr>
        <w:t>nog</w:t>
      </w:r>
      <w:r>
        <w:rPr>
          <w:szCs w:val="18"/>
          <w:lang w:val="nl-NL"/>
        </w:rPr>
        <w:t xml:space="preserve"> maar</w:t>
      </w:r>
      <w:r w:rsidRPr="00A30F58">
        <w:rPr>
          <w:szCs w:val="18"/>
          <w:lang w:val="nl-NL"/>
        </w:rPr>
        <w:t xml:space="preserve"> beperkt wordt ge</w:t>
      </w:r>
      <w:r>
        <w:rPr>
          <w:szCs w:val="18"/>
          <w:lang w:val="nl-NL"/>
        </w:rPr>
        <w:t>bruikt.</w:t>
      </w:r>
      <w:r w:rsidRPr="00A30F58">
        <w:rPr>
          <w:szCs w:val="18"/>
          <w:lang w:val="nl-NL"/>
        </w:rPr>
        <w:t xml:space="preserve"> Hoe vaak de ZOR wordt ingezet is mede afhankelijk van het succes van de samenwerkingsverbanden en de bereidwilligheid van gemeenten om het ingezamelde afval op eigen kosten af te voeren en te verwerken. </w:t>
      </w:r>
      <w:r>
        <w:rPr>
          <w:lang w:val="nl-NL"/>
        </w:rPr>
        <w:t>Deze maatregelen worden gecontinueerd. Ze worden toegelicht in de paragraaf over de aangepaste en aanvullende maatregelen.</w:t>
      </w:r>
    </w:p>
    <w:p w:rsidRPr="00B06031" w:rsidR="000825B2" w:rsidP="000825B2" w:rsidRDefault="000825B2" w14:paraId="4627D36D" w14:textId="77777777">
      <w:pPr>
        <w:rPr>
          <w:szCs w:val="18"/>
          <w:lang w:val="nl-NL"/>
        </w:rPr>
      </w:pPr>
      <w:r>
        <w:rPr>
          <w:lang w:val="nl-NL"/>
        </w:rPr>
        <w:t xml:space="preserve">In OSPAR-verband heeft Nederland zich ingezet om vooral door samenwerking met </w:t>
      </w:r>
      <w:r w:rsidRPr="00817975">
        <w:rPr>
          <w:lang w:val="nl-NL"/>
        </w:rPr>
        <w:t>rivierencommissies de afvalstroom vanuit de rivieren naar zee te verminderen. OSPAR heeft in 2016 een inventarisatie gepubliceerd van kennis over afval in rivieren en maatregelen daartegen</w:t>
      </w:r>
      <w:r>
        <w:rPr>
          <w:lang w:val="nl-NL"/>
        </w:rPr>
        <w:t xml:space="preserve"> [21].</w:t>
      </w:r>
      <w:r w:rsidRPr="00817975">
        <w:rPr>
          <w:lang w:val="nl-NL"/>
        </w:rPr>
        <w:t xml:space="preserve"> Op basis van dit rapport is in 2017 een workshop gehouden voor kennisuitwisseling tussen OSPAR-experts en rivierencommissies.</w:t>
      </w:r>
    </w:p>
    <w:p w:rsidRPr="00F45917" w:rsidR="000825B2" w:rsidP="000825B2" w:rsidRDefault="000825B2" w14:paraId="00E6C967" w14:textId="77777777">
      <w:pPr>
        <w:spacing w:before="40" w:after="0"/>
        <w:rPr>
          <w:i/>
          <w:lang w:val="nl-NL"/>
        </w:rPr>
      </w:pPr>
    </w:p>
    <w:p w:rsidRPr="00A8638C" w:rsidR="000825B2" w:rsidP="000825B2" w:rsidRDefault="000825B2" w14:paraId="30C92EDD" w14:textId="77777777">
      <w:pPr>
        <w:spacing w:before="40" w:after="0"/>
        <w:rPr>
          <w:rStyle w:val="IntenseEmphasis"/>
          <w:lang w:val="nl-NL"/>
        </w:rPr>
      </w:pPr>
      <w:r w:rsidRPr="00A8638C">
        <w:rPr>
          <w:rStyle w:val="IntenseEmphasis"/>
          <w:lang w:val="nl-NL"/>
        </w:rPr>
        <w:t>Scheepvaart</w:t>
      </w:r>
    </w:p>
    <w:p w:rsidRPr="008327C7" w:rsidR="000825B2" w:rsidP="000825B2" w:rsidRDefault="000825B2" w14:paraId="3117A1D7" w14:textId="77777777">
      <w:pPr>
        <w:rPr>
          <w:u w:val="single"/>
          <w:lang w:val="nl-NL"/>
        </w:rPr>
      </w:pPr>
      <w:r w:rsidRPr="00BE283A">
        <w:rPr>
          <w:rFonts w:cs="RijksoverheidSerif"/>
          <w:color w:val="000000"/>
          <w:szCs w:val="18"/>
          <w:lang w:val="nl-NL"/>
        </w:rPr>
        <w:t xml:space="preserve">Per 1 januari 2013 is – mede op initiatief van Nederland – de herziene Annex V van het MARPOL-verdrag in werking getreden. De herziening introduceert een </w:t>
      </w:r>
      <w:r w:rsidRPr="008327C7">
        <w:rPr>
          <w:rFonts w:cs="RijksoverheidSerif"/>
          <w:i/>
          <w:color w:val="000000"/>
          <w:szCs w:val="18"/>
          <w:lang w:val="nl-NL"/>
        </w:rPr>
        <w:t>totaalverbod op het lozen van vuilnis door schepen</w:t>
      </w:r>
      <w:r w:rsidRPr="00BE283A">
        <w:rPr>
          <w:rFonts w:cs="RijksoverheidSerif"/>
          <w:color w:val="000000"/>
          <w:szCs w:val="18"/>
          <w:lang w:val="nl-NL"/>
        </w:rPr>
        <w:t>, met (onder voorwaarden) uitzondering van voedselrestanten.</w:t>
      </w:r>
    </w:p>
    <w:p w:rsidR="000825B2" w:rsidP="000825B2" w:rsidRDefault="000825B2" w14:paraId="72A87401" w14:textId="77777777">
      <w:pPr>
        <w:rPr>
          <w:rFonts w:cs="RijksoverheidSerif"/>
          <w:color w:val="000000"/>
          <w:szCs w:val="18"/>
          <w:lang w:val="nl-NL"/>
        </w:rPr>
      </w:pPr>
      <w:r w:rsidRPr="00BE283A">
        <w:rPr>
          <w:rFonts w:cs="RijksoverheidSerif"/>
          <w:color w:val="000000"/>
          <w:szCs w:val="18"/>
          <w:lang w:val="nl-NL"/>
        </w:rPr>
        <w:t xml:space="preserve">De cursus </w:t>
      </w:r>
      <w:r w:rsidRPr="00BE283A">
        <w:rPr>
          <w:rFonts w:cs="RijksoverheidSerif"/>
          <w:i/>
          <w:iCs/>
          <w:color w:val="000000"/>
          <w:szCs w:val="18"/>
          <w:lang w:val="nl-NL"/>
        </w:rPr>
        <w:t>marine environmental awareness</w:t>
      </w:r>
      <w:r w:rsidRPr="00BE283A">
        <w:rPr>
          <w:rFonts w:cs="RijksoverheidSerif"/>
          <w:color w:val="000000"/>
          <w:szCs w:val="18"/>
          <w:lang w:val="nl-NL"/>
        </w:rPr>
        <w:t>, gebaseerd op het voorbeeld van de organisatie ProSea is</w:t>
      </w:r>
      <w:r>
        <w:rPr>
          <w:rFonts w:cs="RijksoverheidSerif"/>
          <w:color w:val="000000"/>
          <w:szCs w:val="18"/>
          <w:lang w:val="nl-NL"/>
        </w:rPr>
        <w:t>,</w:t>
      </w:r>
      <w:r w:rsidRPr="00BE283A">
        <w:rPr>
          <w:rFonts w:cs="RijksoverheidSerif"/>
          <w:color w:val="000000"/>
          <w:szCs w:val="18"/>
          <w:lang w:val="nl-NL"/>
        </w:rPr>
        <w:t xml:space="preserve"> op initiatief van Nederland bij de IMO</w:t>
      </w:r>
      <w:r>
        <w:rPr>
          <w:rFonts w:cs="RijksoverheidSerif"/>
          <w:color w:val="000000"/>
          <w:szCs w:val="18"/>
          <w:lang w:val="nl-NL"/>
        </w:rPr>
        <w:t>,</w:t>
      </w:r>
      <w:r w:rsidRPr="00BE283A">
        <w:rPr>
          <w:rFonts w:cs="RijksoverheidSerif"/>
          <w:color w:val="000000"/>
          <w:szCs w:val="18"/>
          <w:lang w:val="nl-NL"/>
        </w:rPr>
        <w:t xml:space="preserve"> wereldwijd </w:t>
      </w:r>
      <w:r w:rsidRPr="00AA5BF4">
        <w:rPr>
          <w:rFonts w:cs="RijksoverheidSerif"/>
          <w:color w:val="000000"/>
          <w:szCs w:val="18"/>
          <w:lang w:val="nl-NL"/>
        </w:rPr>
        <w:t xml:space="preserve">een </w:t>
      </w:r>
      <w:r w:rsidRPr="00BE283A">
        <w:rPr>
          <w:rFonts w:cs="RijksoverheidSerif"/>
          <w:color w:val="000000"/>
          <w:szCs w:val="18"/>
          <w:lang w:val="nl-NL"/>
        </w:rPr>
        <w:t>verplicht onderdeel geworden van de maritieme opleidingen.</w:t>
      </w:r>
    </w:p>
    <w:p w:rsidR="000825B2" w:rsidP="000825B2" w:rsidRDefault="000825B2" w14:paraId="43774A14" w14:textId="77777777">
      <w:pPr>
        <w:rPr>
          <w:rStyle w:val="A4"/>
          <w:lang w:val="nl-NL"/>
        </w:rPr>
      </w:pPr>
      <w:r>
        <w:rPr>
          <w:rFonts w:cs="RijksoverheidSerif"/>
          <w:color w:val="000000"/>
          <w:szCs w:val="18"/>
          <w:lang w:val="nl-NL"/>
        </w:rPr>
        <w:t xml:space="preserve">Met verschillende partijen in de maritieme keten, zoals havenbedrijven, scheepsleveranciers, </w:t>
      </w:r>
      <w:r w:rsidRPr="00817975">
        <w:rPr>
          <w:rFonts w:cs="RijksoverheidSerif"/>
          <w:color w:val="000000"/>
          <w:szCs w:val="18"/>
          <w:lang w:val="nl-NL"/>
        </w:rPr>
        <w:t xml:space="preserve">overheidsinstanties en maatschappelijke organisaties is in 2014 de </w:t>
      </w:r>
      <w:r w:rsidRPr="00817975">
        <w:rPr>
          <w:rFonts w:cs="RijksoverheidSerif"/>
          <w:i/>
          <w:iCs/>
          <w:color w:val="000000"/>
          <w:szCs w:val="18"/>
          <w:lang w:val="nl-NL"/>
        </w:rPr>
        <w:t>Green Deal</w:t>
      </w:r>
      <w:r w:rsidRPr="00817975">
        <w:rPr>
          <w:rFonts w:cs="RijksoverheidSerif"/>
          <w:color w:val="000000"/>
          <w:szCs w:val="18"/>
          <w:lang w:val="nl-NL"/>
        </w:rPr>
        <w:t xml:space="preserve"> Scheepsafvalketen</w:t>
      </w:r>
      <w:r>
        <w:rPr>
          <w:rFonts w:cs="RijksoverheidSerif"/>
          <w:color w:val="000000"/>
          <w:szCs w:val="18"/>
          <w:lang w:val="nl-NL"/>
        </w:rPr>
        <w:t xml:space="preserve"> gesloten. </w:t>
      </w:r>
      <w:r w:rsidRPr="00BE283A">
        <w:rPr>
          <w:rFonts w:cs="RijksoverheidSerif"/>
          <w:color w:val="000000"/>
          <w:szCs w:val="18"/>
          <w:lang w:val="nl-NL"/>
        </w:rPr>
        <w:t xml:space="preserve">In deze overeenkomst zijn concrete afspraken gemaakt </w:t>
      </w:r>
      <w:r>
        <w:rPr>
          <w:rFonts w:cs="RijksoverheidSerif"/>
          <w:color w:val="000000"/>
          <w:szCs w:val="18"/>
          <w:lang w:val="nl-NL"/>
        </w:rPr>
        <w:t xml:space="preserve">over het sluiten van </w:t>
      </w:r>
      <w:r w:rsidRPr="00BE283A">
        <w:rPr>
          <w:rFonts w:cs="RijksoverheidSerif"/>
          <w:color w:val="000000"/>
          <w:szCs w:val="18"/>
          <w:lang w:val="nl-NL"/>
        </w:rPr>
        <w:t>de maritieme afvalkringloop door afvalpreventie</w:t>
      </w:r>
      <w:r>
        <w:rPr>
          <w:rFonts w:cs="RijksoverheidSerif"/>
          <w:color w:val="000000"/>
          <w:szCs w:val="18"/>
          <w:lang w:val="nl-NL"/>
        </w:rPr>
        <w:t xml:space="preserve"> </w:t>
      </w:r>
      <w:r w:rsidRPr="00BE283A">
        <w:rPr>
          <w:rStyle w:val="A4"/>
          <w:lang w:val="nl-NL"/>
        </w:rPr>
        <w:t xml:space="preserve">bij de bevoorrading, optimalisering van het toezicht, optimalisering van de afvalafgifte in de zeehavens en recycling van plastic scheepsafval aan land. </w:t>
      </w:r>
    </w:p>
    <w:p w:rsidRPr="00931074" w:rsidR="000825B2" w:rsidP="000825B2" w:rsidRDefault="000825B2" w14:paraId="5261BF4D" w14:textId="77777777">
      <w:pPr>
        <w:rPr>
          <w:rStyle w:val="A4"/>
          <w:lang w:val="nl-NL"/>
        </w:rPr>
      </w:pPr>
      <w:r w:rsidRPr="008E24C9">
        <w:rPr>
          <w:rStyle w:val="A4"/>
          <w:lang w:val="nl-NL"/>
        </w:rPr>
        <w:t xml:space="preserve">In OSPAR-verband heeft Nederland zich ingezet om het illegaal vervuilen van het mariene milieu </w:t>
      </w:r>
      <w:r w:rsidRPr="006E669D">
        <w:rPr>
          <w:rStyle w:val="A4"/>
          <w:lang w:val="nl-NL"/>
        </w:rPr>
        <w:t>vanaf schepen te verminderen en de faciliteiten voor het innemen van afval van schepen te verbeteren. Als resultaat van de OSPAR-samenwerking is in 2016 een achtergronddocument gepubliceerd over de verbetering van de ISO-standaard in relatie tot de havenontvangstvoorzieningen</w:t>
      </w:r>
      <w:r>
        <w:rPr>
          <w:rStyle w:val="A4"/>
          <w:lang w:val="nl-NL"/>
        </w:rPr>
        <w:t xml:space="preserve"> [22]</w:t>
      </w:r>
      <w:r w:rsidRPr="006E669D">
        <w:rPr>
          <w:rStyle w:val="A4"/>
          <w:lang w:val="nl-NL"/>
        </w:rPr>
        <w:t>.</w:t>
      </w:r>
    </w:p>
    <w:p w:rsidRPr="00A8638C" w:rsidR="000825B2" w:rsidP="000825B2" w:rsidRDefault="000825B2" w14:paraId="0AF4C53E" w14:textId="77777777">
      <w:pPr>
        <w:spacing w:before="40" w:after="0"/>
        <w:rPr>
          <w:rStyle w:val="IntenseEmphasis"/>
          <w:lang w:val="nl-NL"/>
        </w:rPr>
      </w:pPr>
      <w:r w:rsidRPr="00A8638C">
        <w:rPr>
          <w:rStyle w:val="IntenseEmphasis"/>
          <w:lang w:val="nl-NL"/>
        </w:rPr>
        <w:t>Visserij</w:t>
      </w:r>
    </w:p>
    <w:p w:rsidRPr="004057E2" w:rsidR="000825B2" w:rsidP="000825B2" w:rsidRDefault="000825B2" w14:paraId="6B3F8DF3" w14:textId="77777777">
      <w:pPr>
        <w:spacing w:after="0" w:line="240" w:lineRule="auto"/>
        <w:rPr>
          <w:rStyle w:val="A4"/>
          <w:lang w:val="nl-NL"/>
        </w:rPr>
      </w:pPr>
      <w:r w:rsidRPr="004057E2">
        <w:rPr>
          <w:rStyle w:val="A4"/>
          <w:lang w:val="nl-NL"/>
        </w:rPr>
        <w:t xml:space="preserve">In de Green Deal Visserij voor een Schone Zee zoekt de visserijsector samen met andere partijen (het ministerie van IenW, havens, afvalverwerkers) naar manieren om de afvalkringloop te sluiten. Het gaat onder meer om het inleveren en afvoeren van huishoudelijk afval, netten en kabels, om de verbetering van inzamelfaciliteiten in de haven en om recycling van netten. Het netwerk van de </w:t>
      </w:r>
      <w:r w:rsidRPr="004057E2">
        <w:rPr>
          <w:rStyle w:val="A4"/>
          <w:i/>
          <w:iCs/>
          <w:lang w:val="nl-NL"/>
        </w:rPr>
        <w:t>Green Deal</w:t>
      </w:r>
      <w:r w:rsidRPr="004057E2">
        <w:rPr>
          <w:rStyle w:val="A4"/>
          <w:lang w:val="nl-NL"/>
        </w:rPr>
        <w:t xml:space="preserve"> is gebruikt voor samenwerking rond</w:t>
      </w:r>
      <w:r>
        <w:rPr>
          <w:rStyle w:val="A4"/>
          <w:lang w:val="nl-NL"/>
        </w:rPr>
        <w:t xml:space="preserve"> het VisPluisvrij project,</w:t>
      </w:r>
      <w:r w:rsidRPr="004057E2">
        <w:rPr>
          <w:rStyle w:val="A4"/>
          <w:lang w:val="nl-NL"/>
        </w:rPr>
        <w:t xml:space="preserve"> </w:t>
      </w:r>
      <w:r w:rsidRPr="004057E2">
        <w:rPr>
          <w:rStyle w:val="A4"/>
          <w:i/>
          <w:iCs/>
          <w:lang w:val="nl-NL"/>
        </w:rPr>
        <w:t>Fishing for Litter</w:t>
      </w:r>
      <w:r w:rsidRPr="004057E2">
        <w:rPr>
          <w:rStyle w:val="A4"/>
          <w:lang w:val="nl-NL"/>
        </w:rPr>
        <w:t xml:space="preserve"> en bewustwording in de visserijsector. Nederland heeft de ervaringen en kennis die is opgedaan in dit </w:t>
      </w:r>
      <w:r w:rsidRPr="008E14F1">
        <w:rPr>
          <w:rStyle w:val="A4"/>
          <w:lang w:val="nl-NL"/>
        </w:rPr>
        <w:t xml:space="preserve">samenwerkingsverband ingebracht bij OSPAR. Ons land was sinds 2014 een van de trekkers van de OSPAR-acties om afval vanuit de visserij in het OSPAR-gebied tegen te gaan en heeft meegeschreven aan de </w:t>
      </w:r>
      <w:r w:rsidRPr="008E14F1">
        <w:rPr>
          <w:rStyle w:val="A4"/>
          <w:i/>
          <w:iCs/>
          <w:lang w:val="nl-NL"/>
        </w:rPr>
        <w:t>Scoping study Design and Recycling of Fishing Gear</w:t>
      </w:r>
      <w:r w:rsidRPr="008E14F1">
        <w:rPr>
          <w:rStyle w:val="A4"/>
          <w:lang w:val="nl-NL"/>
        </w:rPr>
        <w:t xml:space="preserve"> van OSPAR</w:t>
      </w:r>
      <w:r>
        <w:rPr>
          <w:rStyle w:val="A4"/>
          <w:lang w:val="nl-NL"/>
        </w:rPr>
        <w:t xml:space="preserve"> [23]</w:t>
      </w:r>
      <w:r w:rsidRPr="008E14F1">
        <w:rPr>
          <w:rStyle w:val="A4"/>
          <w:lang w:val="nl-NL"/>
        </w:rPr>
        <w:t>.</w:t>
      </w:r>
    </w:p>
    <w:p w:rsidRPr="004057E2" w:rsidR="000825B2" w:rsidP="000825B2" w:rsidRDefault="000825B2" w14:paraId="0035867D" w14:textId="77777777">
      <w:pPr>
        <w:spacing w:after="0" w:line="240" w:lineRule="auto"/>
        <w:rPr>
          <w:rStyle w:val="A4"/>
          <w:lang w:val="nl-NL"/>
        </w:rPr>
      </w:pPr>
    </w:p>
    <w:p w:rsidRPr="00FB704F" w:rsidR="000825B2" w:rsidP="000825B2" w:rsidRDefault="000825B2" w14:paraId="20750968" w14:textId="77777777">
      <w:pPr>
        <w:rPr>
          <w:szCs w:val="18"/>
          <w:lang w:val="nl-NL"/>
        </w:rPr>
      </w:pPr>
      <w:r>
        <w:rPr>
          <w:lang w:val="nl-NL"/>
        </w:rPr>
        <w:t>Binnen het VisPluisvrij project werken s</w:t>
      </w:r>
      <w:r w:rsidRPr="00FB704F">
        <w:rPr>
          <w:lang w:val="nl-NL"/>
        </w:rPr>
        <w:t xml:space="preserve">inds 2013 </w:t>
      </w:r>
      <w:r>
        <w:rPr>
          <w:lang w:val="nl-NL"/>
        </w:rPr>
        <w:t>d</w:t>
      </w:r>
      <w:r w:rsidRPr="00FB704F">
        <w:rPr>
          <w:lang w:val="nl-NL"/>
        </w:rPr>
        <w:t xml:space="preserve">e visserijsector, ngo’s, onderzoeksinstituten en overheden samen om een milieuvriendelijk alternatief voor pluis te vinden. Veel materialen zijn getest, met wisselend succes. Er is nog geen alternatief gewonden dat breed toepasbaar is. </w:t>
      </w:r>
      <w:r w:rsidRPr="004057E2">
        <w:rPr>
          <w:rStyle w:val="A4"/>
          <w:lang w:val="nl-NL"/>
        </w:rPr>
        <w:t>Deze maatregel wordt gecontinueerd. Verdere toelichting volgt in de paragraaf over de aangepaste en aanvullende maatregelen</w:t>
      </w:r>
    </w:p>
    <w:p w:rsidRPr="004057E2" w:rsidR="000825B2" w:rsidP="000825B2" w:rsidRDefault="000825B2" w14:paraId="44F6A3C3" w14:textId="77777777">
      <w:pPr>
        <w:spacing w:after="0" w:line="240" w:lineRule="auto"/>
        <w:rPr>
          <w:rStyle w:val="A4"/>
          <w:lang w:val="nl-NL"/>
        </w:rPr>
      </w:pPr>
      <w:r w:rsidRPr="004057E2">
        <w:rPr>
          <w:rStyle w:val="A4"/>
          <w:lang w:val="nl-NL"/>
        </w:rPr>
        <w:t xml:space="preserve">Het programma </w:t>
      </w:r>
      <w:r w:rsidRPr="001E157D">
        <w:rPr>
          <w:rStyle w:val="A4"/>
          <w:i/>
          <w:lang w:val="nl-NL"/>
        </w:rPr>
        <w:t>Fishing for Litter</w:t>
      </w:r>
      <w:r w:rsidRPr="004057E2">
        <w:rPr>
          <w:rStyle w:val="A4"/>
          <w:lang w:val="nl-NL"/>
        </w:rPr>
        <w:t xml:space="preserve">, in 2000 in Nederland als pilot begonnen, is nu binnen Europa uitgebreid. Vissers kunnen afval dat zij als bijvangst aan boord krijgen, zonder kosten voor afvoer en verwerking in de havens afgeven. Inmiddels nemen meer dan 130 schepen deel aan het </w:t>
      </w:r>
      <w:r w:rsidRPr="004057E2">
        <w:rPr>
          <w:rStyle w:val="A4"/>
          <w:i/>
          <w:iCs/>
          <w:lang w:val="nl-NL"/>
        </w:rPr>
        <w:t>Fishing for Litter</w:t>
      </w:r>
      <w:r w:rsidRPr="004057E2">
        <w:rPr>
          <w:rStyle w:val="A4"/>
          <w:lang w:val="nl-NL"/>
        </w:rPr>
        <w:t>-programma. Deze maatregel wordt gecontinueerd. Verdere toelichting volgt in de paragraaf over de aangepaste en aanvullende maatregelen.</w:t>
      </w:r>
    </w:p>
    <w:p w:rsidRPr="004057E2" w:rsidR="000825B2" w:rsidP="000825B2" w:rsidRDefault="000825B2" w14:paraId="44F554EB" w14:textId="77777777">
      <w:pPr>
        <w:spacing w:after="0" w:line="240" w:lineRule="auto"/>
        <w:rPr>
          <w:rStyle w:val="A4"/>
          <w:lang w:val="nl-NL"/>
        </w:rPr>
      </w:pPr>
      <w:r w:rsidRPr="004057E2">
        <w:rPr>
          <w:rStyle w:val="A4"/>
          <w:lang w:val="nl-NL"/>
        </w:rPr>
        <w:t xml:space="preserve">In OSPAR-verband heeft Nederland zich ingespannen om </w:t>
      </w:r>
      <w:r w:rsidRPr="004057E2">
        <w:rPr>
          <w:rStyle w:val="A4"/>
          <w:i/>
          <w:iCs/>
          <w:lang w:val="nl-NL"/>
        </w:rPr>
        <w:t>Fishing for Litter</w:t>
      </w:r>
      <w:r w:rsidRPr="004057E2">
        <w:rPr>
          <w:rStyle w:val="A4"/>
          <w:lang w:val="nl-NL"/>
        </w:rPr>
        <w:t xml:space="preserve"> uit te breiden naar het hele OSPAR-gebied. </w:t>
      </w:r>
      <w:r w:rsidRPr="00AF1E71">
        <w:rPr>
          <w:rStyle w:val="A4"/>
        </w:rPr>
        <w:t xml:space="preserve">Het resultaat is de OSPAR-aanbeveling </w:t>
      </w:r>
      <w:r w:rsidRPr="00AF1E71">
        <w:rPr>
          <w:rStyle w:val="A4"/>
          <w:i/>
          <w:iCs/>
        </w:rPr>
        <w:t>Recommendation 2016/01 on the reduction of marine litter through the implementation of fishing for litter initiatives</w:t>
      </w:r>
      <w:r w:rsidRPr="00AF1E71">
        <w:rPr>
          <w:rStyle w:val="A4"/>
        </w:rPr>
        <w:t xml:space="preserve"> en een update van de bijbehorende </w:t>
      </w:r>
      <w:r w:rsidRPr="00AF1E71">
        <w:rPr>
          <w:rStyle w:val="A4"/>
          <w:i/>
          <w:iCs/>
        </w:rPr>
        <w:t>guidelines</w:t>
      </w:r>
      <w:r w:rsidRPr="00AF1E71">
        <w:rPr>
          <w:rStyle w:val="A4"/>
        </w:rPr>
        <w:t xml:space="preserve">. </w:t>
      </w:r>
      <w:r w:rsidRPr="004057E2">
        <w:rPr>
          <w:rStyle w:val="A4"/>
          <w:lang w:val="nl-NL"/>
        </w:rPr>
        <w:t>In 2019 heeft OSPAR het doel vastgesteld om tussen 2017 en 2021 het aantal schepen dat in het maritieme gebied van OSPAR d</w:t>
      </w:r>
      <w:r>
        <w:rPr>
          <w:rStyle w:val="A4"/>
          <w:lang w:val="nl-NL"/>
        </w:rPr>
        <w:t>e</w:t>
      </w:r>
      <w:r w:rsidRPr="004057E2">
        <w:rPr>
          <w:rStyle w:val="A4"/>
          <w:lang w:val="nl-NL"/>
        </w:rPr>
        <w:t xml:space="preserve">elneemt aan </w:t>
      </w:r>
      <w:r w:rsidRPr="004057E2">
        <w:rPr>
          <w:rStyle w:val="A4"/>
          <w:i/>
          <w:iCs/>
          <w:lang w:val="nl-NL"/>
        </w:rPr>
        <w:t>Fishing for Litter</w:t>
      </w:r>
      <w:r w:rsidRPr="004057E2">
        <w:rPr>
          <w:rStyle w:val="A4"/>
          <w:lang w:val="nl-NL"/>
        </w:rPr>
        <w:t xml:space="preserve"> met 100 procent</w:t>
      </w:r>
      <w:r w:rsidRPr="00AF1E71">
        <w:rPr>
          <w:rStyle w:val="A4"/>
          <w:lang w:val="nl-NL"/>
        </w:rPr>
        <w:t xml:space="preserve"> </w:t>
      </w:r>
      <w:r w:rsidRPr="004057E2">
        <w:rPr>
          <w:rStyle w:val="A4"/>
          <w:lang w:val="nl-NL"/>
        </w:rPr>
        <w:t>te verhogen.</w:t>
      </w:r>
    </w:p>
    <w:p w:rsidRPr="002D6ABC" w:rsidR="000825B2" w:rsidP="000825B2" w:rsidRDefault="000825B2" w14:paraId="12C7967D" w14:textId="77777777">
      <w:pPr>
        <w:spacing w:after="0" w:line="240" w:lineRule="auto"/>
        <w:rPr>
          <w:lang w:val="nl-NL"/>
        </w:rPr>
      </w:pPr>
    </w:p>
    <w:p w:rsidR="000825B2" w:rsidP="000825B2" w:rsidRDefault="000825B2" w14:paraId="0DE4E818" w14:textId="77777777">
      <w:pPr>
        <w:spacing w:after="0" w:line="240" w:lineRule="auto"/>
        <w:rPr>
          <w:lang w:val="nl-NL"/>
        </w:rPr>
      </w:pPr>
      <w:r w:rsidRPr="00DD6EAB">
        <w:rPr>
          <w:lang w:val="nl-NL"/>
        </w:rPr>
        <w:t xml:space="preserve">Om </w:t>
      </w:r>
      <w:r>
        <w:rPr>
          <w:lang w:val="nl-NL"/>
        </w:rPr>
        <w:t xml:space="preserve">de bewustwording van de afvalproblematiek op zee </w:t>
      </w:r>
      <w:r w:rsidRPr="00DD6EAB">
        <w:rPr>
          <w:lang w:val="nl-NL"/>
        </w:rPr>
        <w:t xml:space="preserve">binnen de visserijsector te vergroten, heeft organisatie ProSea een </w:t>
      </w:r>
      <w:r w:rsidRPr="00662528">
        <w:rPr>
          <w:lang w:val="nl-NL"/>
        </w:rPr>
        <w:t>educatietraject</w:t>
      </w:r>
      <w:r w:rsidRPr="00DD6EAB">
        <w:rPr>
          <w:lang w:val="nl-NL"/>
        </w:rPr>
        <w:t xml:space="preserve"> opgezet. Voor vissers in opleiding op visserijscholen is een vierdaagse cursus ‘Vissen met toekomst’ </w:t>
      </w:r>
      <w:r>
        <w:rPr>
          <w:lang w:val="nl-NL"/>
        </w:rPr>
        <w:t>ontwikkeld</w:t>
      </w:r>
      <w:r w:rsidRPr="00DD6EAB">
        <w:rPr>
          <w:lang w:val="nl-NL"/>
        </w:rPr>
        <w:t>. Een van de onderdelen gaat over het voorkomen van afval. Voor vissers die al midden in de praktijk staan</w:t>
      </w:r>
      <w:r>
        <w:rPr>
          <w:lang w:val="nl-NL"/>
        </w:rPr>
        <w:t xml:space="preserve">, bestaat er </w:t>
      </w:r>
      <w:r w:rsidRPr="00DD6EAB">
        <w:rPr>
          <w:lang w:val="nl-NL"/>
        </w:rPr>
        <w:t xml:space="preserve">een serie workshops over ‘actuele uitdagingen op zee’, waarvan afval een onderdeel is. </w:t>
      </w:r>
      <w:r>
        <w:rPr>
          <w:lang w:val="nl-NL"/>
        </w:rPr>
        <w:t>D</w:t>
      </w:r>
      <w:r w:rsidRPr="00DD6EAB">
        <w:rPr>
          <w:lang w:val="nl-NL"/>
        </w:rPr>
        <w:t xml:space="preserve">e </w:t>
      </w:r>
      <w:r w:rsidRPr="00D93D4F">
        <w:rPr>
          <w:lang w:val="nl-NL"/>
        </w:rPr>
        <w:t>cursussen</w:t>
      </w:r>
      <w:r w:rsidRPr="00EC539B">
        <w:rPr>
          <w:lang w:val="nl-NL"/>
        </w:rPr>
        <w:t xml:space="preserve"> </w:t>
      </w:r>
      <w:r w:rsidRPr="00AF1E71">
        <w:rPr>
          <w:i/>
          <w:iCs/>
          <w:lang w:val="nl-NL"/>
        </w:rPr>
        <w:t>marine awareness</w:t>
      </w:r>
      <w:r w:rsidRPr="00DD6EAB">
        <w:rPr>
          <w:lang w:val="nl-NL"/>
        </w:rPr>
        <w:t xml:space="preserve"> voor de visserij </w:t>
      </w:r>
      <w:r>
        <w:rPr>
          <w:lang w:val="nl-NL"/>
        </w:rPr>
        <w:t xml:space="preserve">worden </w:t>
      </w:r>
      <w:r w:rsidRPr="00DD6EAB">
        <w:rPr>
          <w:lang w:val="nl-NL"/>
        </w:rPr>
        <w:t xml:space="preserve">geborgd in </w:t>
      </w:r>
      <w:r>
        <w:rPr>
          <w:lang w:val="nl-NL"/>
        </w:rPr>
        <w:t xml:space="preserve">de </w:t>
      </w:r>
      <w:r w:rsidRPr="00DD6EAB">
        <w:rPr>
          <w:lang w:val="nl-NL"/>
        </w:rPr>
        <w:t xml:space="preserve">kwalificatiedossiers </w:t>
      </w:r>
      <w:r>
        <w:rPr>
          <w:lang w:val="nl-NL"/>
        </w:rPr>
        <w:t xml:space="preserve">van </w:t>
      </w:r>
      <w:r w:rsidRPr="00DD6EAB">
        <w:rPr>
          <w:lang w:val="nl-NL"/>
        </w:rPr>
        <w:t>OCW.</w:t>
      </w:r>
      <w:r>
        <w:rPr>
          <w:lang w:val="nl-NL"/>
        </w:rPr>
        <w:t xml:space="preserve"> Nationale ervaringen hebben ertoe geleid dat Nederland zich in OSPAR-verband heeft ingezet voor duurzame visserij educatie in het OSPAR-gebied. </w:t>
      </w:r>
      <w:r w:rsidRPr="00201136">
        <w:rPr>
          <w:lang w:val="nl-NL"/>
        </w:rPr>
        <w:t xml:space="preserve">In 2019 heeft OSPAR op initiatief van Nederland een </w:t>
      </w:r>
      <w:r>
        <w:rPr>
          <w:lang w:val="nl-NL"/>
        </w:rPr>
        <w:t xml:space="preserve">aanbeveling </w:t>
      </w:r>
      <w:r w:rsidRPr="00201136">
        <w:rPr>
          <w:lang w:val="nl-NL"/>
        </w:rPr>
        <w:t>vastgesteld</w:t>
      </w:r>
      <w:r>
        <w:rPr>
          <w:lang w:val="nl-NL"/>
        </w:rPr>
        <w:t xml:space="preserve"> over de vermindering van marien zwerfvuil door middel van duurzaamheidseducatieprogramma’s voor vissers [24].</w:t>
      </w:r>
    </w:p>
    <w:p w:rsidR="000825B2" w:rsidP="000825B2" w:rsidRDefault="000825B2" w14:paraId="21A89A6A" w14:textId="77777777">
      <w:pPr>
        <w:spacing w:after="0" w:line="240" w:lineRule="auto"/>
        <w:rPr>
          <w:lang w:val="nl-NL"/>
        </w:rPr>
      </w:pPr>
    </w:p>
    <w:p w:rsidRPr="00417294" w:rsidR="000825B2" w:rsidP="000825B2" w:rsidRDefault="000825B2" w14:paraId="5C38A91A" w14:textId="77777777">
      <w:pPr>
        <w:rPr>
          <w:lang w:val="nl-NL"/>
        </w:rPr>
      </w:pPr>
      <w:r>
        <w:rPr>
          <w:lang w:val="nl-NL"/>
        </w:rPr>
        <w:t>De verkenning ‘</w:t>
      </w:r>
      <w:r w:rsidRPr="00041A6B">
        <w:rPr>
          <w:lang w:val="nl-NL"/>
        </w:rPr>
        <w:t>T</w:t>
      </w:r>
      <w:r w:rsidRPr="00AF1E71">
        <w:rPr>
          <w:lang w:val="nl-NL"/>
        </w:rPr>
        <w:t>erugdringen van interactie met vaste vistuigen</w:t>
      </w:r>
      <w:r>
        <w:rPr>
          <w:lang w:val="nl-NL"/>
        </w:rPr>
        <w:t xml:space="preserve">’ is uitgevoerd als onderdeel van het vorige programma van maatregelen. </w:t>
      </w:r>
      <w:r w:rsidRPr="00DD6EAB">
        <w:rPr>
          <w:lang w:val="nl-NL"/>
        </w:rPr>
        <w:t>In het kader van deze verkenning is in 2016 een onderzoeksrapport van IMARES (Jak, 2016) verschenen. De belangrijkste aanbeveling was om betere communicatie te faciliteren tussen staandwantvissers en ande</w:t>
      </w:r>
      <w:r>
        <w:rPr>
          <w:lang w:val="nl-NL"/>
        </w:rPr>
        <w:t>re gebruikers van de kustzone. In Nederland hebben staand</w:t>
      </w:r>
      <w:r w:rsidRPr="00DD6EAB">
        <w:rPr>
          <w:lang w:val="nl-NL"/>
        </w:rPr>
        <w:t xml:space="preserve">wantvissers via (sociale) media contact met andere kustvissers. </w:t>
      </w:r>
      <w:r>
        <w:rPr>
          <w:lang w:val="nl-NL"/>
        </w:rPr>
        <w:t xml:space="preserve">De verbeterde onderlinge communicatie heeft geleid tot minder schade aan vistuig en daardoor tot minder zwerfvuil (zoals spooknetten). </w:t>
      </w:r>
    </w:p>
    <w:p w:rsidRPr="00A8638C" w:rsidR="000825B2" w:rsidP="000825B2" w:rsidRDefault="000825B2" w14:paraId="04BC2710" w14:textId="77777777">
      <w:pPr>
        <w:rPr>
          <w:rStyle w:val="IntenseEmphasis"/>
          <w:i w:val="0"/>
          <w:iCs w:val="0"/>
          <w:color w:val="auto"/>
          <w:lang w:val="nl-NL"/>
        </w:rPr>
      </w:pPr>
      <w:r w:rsidRPr="00FA1325">
        <w:rPr>
          <w:lang w:val="nl-NL"/>
        </w:rPr>
        <w:t xml:space="preserve">In de </w:t>
      </w:r>
      <w:r w:rsidRPr="00487906">
        <w:rPr>
          <w:i/>
          <w:lang w:val="nl-NL"/>
        </w:rPr>
        <w:t xml:space="preserve">Green Deal </w:t>
      </w:r>
      <w:r w:rsidRPr="00AF1E71">
        <w:rPr>
          <w:iCs/>
          <w:lang w:val="nl-NL"/>
        </w:rPr>
        <w:t>Sportvisserij Loodvrij</w:t>
      </w:r>
      <w:r w:rsidRPr="00FA1325">
        <w:rPr>
          <w:lang w:val="nl-NL"/>
        </w:rPr>
        <w:t xml:space="preserve">, ondertekend op 22 mei 2018, werkt de sector samen met de betrokken ministeries (EZK, LNV, IenW, VWS) </w:t>
      </w:r>
      <w:r>
        <w:rPr>
          <w:lang w:val="nl-NL"/>
        </w:rPr>
        <w:t>toe naar</w:t>
      </w:r>
      <w:r w:rsidRPr="00FA1325">
        <w:rPr>
          <w:lang w:val="nl-NL"/>
        </w:rPr>
        <w:t xml:space="preserve"> een uiteindelijke uitfasering van lood in de sportvisserij in 2028. Sportvisserij Nederland en Dibevo zetten zich in </w:t>
      </w:r>
      <w:r>
        <w:rPr>
          <w:lang w:val="nl-NL"/>
        </w:rPr>
        <w:t xml:space="preserve">voor </w:t>
      </w:r>
      <w:r w:rsidRPr="00FA1325">
        <w:rPr>
          <w:lang w:val="nl-NL"/>
        </w:rPr>
        <w:t xml:space="preserve">voldoende </w:t>
      </w:r>
      <w:r>
        <w:rPr>
          <w:lang w:val="nl-NL"/>
        </w:rPr>
        <w:t>be</w:t>
      </w:r>
      <w:r w:rsidRPr="00FA1325">
        <w:rPr>
          <w:lang w:val="nl-NL"/>
        </w:rPr>
        <w:t>schik</w:t>
      </w:r>
      <w:r>
        <w:rPr>
          <w:lang w:val="nl-NL"/>
        </w:rPr>
        <w:t xml:space="preserve">baarheid van </w:t>
      </w:r>
      <w:r w:rsidRPr="00FA1325">
        <w:rPr>
          <w:lang w:val="nl-NL"/>
        </w:rPr>
        <w:t>aantrekkelijke en duurzame alternatieven voor lood</w:t>
      </w:r>
      <w:r>
        <w:rPr>
          <w:lang w:val="nl-NL"/>
        </w:rPr>
        <w:t xml:space="preserve">. Ze </w:t>
      </w:r>
      <w:r w:rsidRPr="00FA1325">
        <w:rPr>
          <w:lang w:val="nl-NL"/>
        </w:rPr>
        <w:t xml:space="preserve">brengen deze alternatieven actief onder de aandacht van de </w:t>
      </w:r>
      <w:r>
        <w:rPr>
          <w:lang w:val="nl-NL"/>
        </w:rPr>
        <w:t>sportvissers</w:t>
      </w:r>
      <w:r w:rsidRPr="00FA1325">
        <w:rPr>
          <w:lang w:val="nl-NL"/>
        </w:rPr>
        <w:t xml:space="preserve"> en stimuleren het gebruik ervan. De alternatieven voor lood mogen niet leiden tot een omslag naar een ander verontreinigend of schaars materiaal dat het milieu of de volksgezondheid belast. Hoewel een periode van tien jaar wordt genomen om de doelstelling te halen, l</w:t>
      </w:r>
      <w:r>
        <w:rPr>
          <w:lang w:val="nl-NL"/>
        </w:rPr>
        <w:t>iep</w:t>
      </w:r>
      <w:r w:rsidRPr="00FA1325">
        <w:rPr>
          <w:lang w:val="nl-NL"/>
        </w:rPr>
        <w:t xml:space="preserve"> de </w:t>
      </w:r>
      <w:r w:rsidRPr="00AF1E71">
        <w:rPr>
          <w:i/>
          <w:iCs/>
          <w:lang w:val="nl-NL"/>
        </w:rPr>
        <w:t>Green Deal</w:t>
      </w:r>
      <w:r w:rsidRPr="00FA1325">
        <w:rPr>
          <w:lang w:val="nl-NL"/>
        </w:rPr>
        <w:t xml:space="preserve"> zelf tot 31 december 2021. Dit moet resulteren in een reductie van het loodgebruik met 30</w:t>
      </w:r>
      <w:r>
        <w:rPr>
          <w:lang w:val="nl-NL"/>
        </w:rPr>
        <w:t xml:space="preserve"> procent</w:t>
      </w:r>
      <w:r w:rsidRPr="00FA1325">
        <w:rPr>
          <w:lang w:val="nl-NL"/>
        </w:rPr>
        <w:t xml:space="preserve"> in 2021 en in een totale uitfasering van loodgebru</w:t>
      </w:r>
      <w:r>
        <w:rPr>
          <w:lang w:val="nl-NL"/>
        </w:rPr>
        <w:t>ik in de sportvisserij in 2027.</w:t>
      </w:r>
    </w:p>
    <w:p w:rsidRPr="00A8638C" w:rsidR="000825B2" w:rsidP="000825B2" w:rsidRDefault="000825B2" w14:paraId="41333168" w14:textId="77777777">
      <w:pPr>
        <w:spacing w:before="40" w:after="0"/>
        <w:rPr>
          <w:rStyle w:val="IntenseEmphasis"/>
          <w:lang w:val="nl-NL"/>
        </w:rPr>
      </w:pPr>
      <w:r w:rsidRPr="00A8638C">
        <w:rPr>
          <w:rStyle w:val="IntenseEmphasis"/>
          <w:lang w:val="nl-NL"/>
        </w:rPr>
        <w:t>Kunststofproducten / Landbronnen van zwerfvuil op zee</w:t>
      </w:r>
    </w:p>
    <w:p w:rsidR="000825B2" w:rsidP="000825B2" w:rsidRDefault="000825B2" w14:paraId="63FB3D25" w14:textId="77777777">
      <w:pPr>
        <w:rPr>
          <w:lang w:val="nl-NL"/>
        </w:rPr>
      </w:pPr>
      <w:r>
        <w:rPr>
          <w:lang w:val="nl-NL"/>
        </w:rPr>
        <w:t xml:space="preserve">De </w:t>
      </w:r>
      <w:r w:rsidRPr="0067297A">
        <w:rPr>
          <w:lang w:val="nl-NL"/>
        </w:rPr>
        <w:t xml:space="preserve">maatregelen in </w:t>
      </w:r>
      <w:r>
        <w:rPr>
          <w:lang w:val="nl-NL"/>
        </w:rPr>
        <w:t>het voorgaande programma van maatregelen</w:t>
      </w:r>
      <w:r w:rsidRPr="0067297A">
        <w:rPr>
          <w:lang w:val="nl-NL"/>
        </w:rPr>
        <w:t xml:space="preserve"> hadden specifiek betrekking op het verminderen van emissies van </w:t>
      </w:r>
      <w:r>
        <w:rPr>
          <w:lang w:val="nl-NL"/>
        </w:rPr>
        <w:t xml:space="preserve">het bestanddeel </w:t>
      </w:r>
      <w:r w:rsidRPr="0067297A">
        <w:rPr>
          <w:lang w:val="nl-NL"/>
        </w:rPr>
        <w:t xml:space="preserve">microplastics in cosmetica en detergenten </w:t>
      </w:r>
      <w:r>
        <w:rPr>
          <w:lang w:val="nl-NL"/>
        </w:rPr>
        <w:t>(</w:t>
      </w:r>
      <w:r w:rsidRPr="0067297A">
        <w:rPr>
          <w:lang w:val="nl-NL"/>
        </w:rPr>
        <w:t xml:space="preserve">via </w:t>
      </w:r>
      <w:r>
        <w:rPr>
          <w:lang w:val="nl-NL"/>
        </w:rPr>
        <w:t xml:space="preserve">een </w:t>
      </w:r>
      <w:r w:rsidRPr="0067297A">
        <w:rPr>
          <w:lang w:val="nl-NL"/>
        </w:rPr>
        <w:t>EU-verbod</w:t>
      </w:r>
      <w:r>
        <w:rPr>
          <w:lang w:val="nl-NL"/>
        </w:rPr>
        <w:t>),</w:t>
      </w:r>
      <w:r w:rsidRPr="0067297A">
        <w:rPr>
          <w:lang w:val="nl-NL"/>
        </w:rPr>
        <w:t xml:space="preserve"> en op het terugdringen van ballonnen.</w:t>
      </w:r>
    </w:p>
    <w:p w:rsidR="000825B2" w:rsidP="000825B2" w:rsidRDefault="000825B2" w14:paraId="38659087" w14:textId="50925C25">
      <w:pPr>
        <w:rPr>
          <w:color w:val="211D1F"/>
          <w:lang w:val="nl-NL"/>
        </w:rPr>
      </w:pPr>
      <w:r w:rsidRPr="0015131D">
        <w:rPr>
          <w:lang w:val="nl-NL"/>
        </w:rPr>
        <w:t xml:space="preserve">Emissies van microplastics in cosmeticaproducten zijn in Nederland </w:t>
      </w:r>
      <w:r>
        <w:rPr>
          <w:lang w:val="nl-NL"/>
        </w:rPr>
        <w:t xml:space="preserve">en andere Europese landen </w:t>
      </w:r>
      <w:r w:rsidRPr="0015131D">
        <w:rPr>
          <w:lang w:val="nl-NL"/>
        </w:rPr>
        <w:t>teruggedrongen door</w:t>
      </w:r>
      <w:r>
        <w:rPr>
          <w:lang w:val="nl-NL"/>
        </w:rPr>
        <w:t xml:space="preserve">dat </w:t>
      </w:r>
      <w:r w:rsidRPr="008D76AA">
        <w:rPr>
          <w:lang w:val="nl-NL"/>
        </w:rPr>
        <w:t>cosmeticabedrijven</w:t>
      </w:r>
      <w:r w:rsidRPr="0015131D">
        <w:rPr>
          <w:lang w:val="nl-NL"/>
        </w:rPr>
        <w:t xml:space="preserve"> </w:t>
      </w:r>
      <w:r w:rsidRPr="008D76AA">
        <w:rPr>
          <w:lang w:val="nl-NL"/>
        </w:rPr>
        <w:t xml:space="preserve">plastic </w:t>
      </w:r>
      <w:r w:rsidRPr="00AF1E71">
        <w:rPr>
          <w:i/>
          <w:iCs/>
          <w:lang w:val="nl-NL"/>
        </w:rPr>
        <w:t>microbeads</w:t>
      </w:r>
      <w:r w:rsidRPr="008D76AA">
        <w:rPr>
          <w:lang w:val="nl-NL"/>
        </w:rPr>
        <w:t xml:space="preserve"> </w:t>
      </w:r>
      <w:r w:rsidRPr="00AF1E71">
        <w:rPr>
          <w:iCs/>
          <w:lang w:val="nl-NL"/>
        </w:rPr>
        <w:t xml:space="preserve">vrijwillig </w:t>
      </w:r>
      <w:r>
        <w:rPr>
          <w:iCs/>
          <w:lang w:val="nl-NL"/>
        </w:rPr>
        <w:t>hebben uitgefaseerd</w:t>
      </w:r>
      <w:r w:rsidRPr="0015131D">
        <w:rPr>
          <w:lang w:val="nl-NL"/>
        </w:rPr>
        <w:t xml:space="preserve">. </w:t>
      </w:r>
      <w:r w:rsidRPr="00E43D25">
        <w:rPr>
          <w:lang w:val="nl-NL"/>
        </w:rPr>
        <w:t xml:space="preserve">Nederland </w:t>
      </w:r>
      <w:r>
        <w:rPr>
          <w:lang w:val="nl-NL"/>
        </w:rPr>
        <w:t xml:space="preserve">heeft </w:t>
      </w:r>
      <w:r w:rsidRPr="00E43D25">
        <w:rPr>
          <w:lang w:val="nl-NL"/>
        </w:rPr>
        <w:t xml:space="preserve">erop aangestuurd dat de EU dit in de </w:t>
      </w:r>
      <w:r w:rsidRPr="00AF1E71">
        <w:rPr>
          <w:i/>
          <w:iCs/>
          <w:lang w:val="nl-NL"/>
        </w:rPr>
        <w:t>Plastics Strategy</w:t>
      </w:r>
      <w:r w:rsidRPr="00E43D25">
        <w:rPr>
          <w:lang w:val="nl-NL"/>
        </w:rPr>
        <w:t xml:space="preserve"> (januari 2018)</w:t>
      </w:r>
      <w:r>
        <w:rPr>
          <w:lang w:val="nl-NL"/>
        </w:rPr>
        <w:t xml:space="preserve"> heeft overgenomen</w:t>
      </w:r>
      <w:r w:rsidRPr="00E43D25">
        <w:rPr>
          <w:lang w:val="nl-NL"/>
        </w:rPr>
        <w:t xml:space="preserve">. </w:t>
      </w:r>
      <w:r w:rsidRPr="0015131D">
        <w:rPr>
          <w:lang w:val="nl-NL"/>
        </w:rPr>
        <w:t xml:space="preserve">Onderzoek van </w:t>
      </w:r>
      <w:r w:rsidRPr="00AF1E71">
        <w:rPr>
          <w:i/>
          <w:iCs/>
          <w:lang w:val="nl-NL"/>
        </w:rPr>
        <w:t>Cosmetics Europe</w:t>
      </w:r>
      <w:r w:rsidRPr="0015131D">
        <w:rPr>
          <w:lang w:val="nl-NL"/>
        </w:rPr>
        <w:t xml:space="preserve"> laat zien dat de plastic </w:t>
      </w:r>
      <w:r w:rsidRPr="00AF1E71">
        <w:rPr>
          <w:i/>
          <w:iCs/>
          <w:lang w:val="nl-NL"/>
        </w:rPr>
        <w:t>microbeads</w:t>
      </w:r>
      <w:r w:rsidRPr="0015131D">
        <w:rPr>
          <w:lang w:val="nl-NL"/>
        </w:rPr>
        <w:t xml:space="preserve"> in cosmetic</w:t>
      </w:r>
      <w:r>
        <w:rPr>
          <w:lang w:val="nl-NL"/>
        </w:rPr>
        <w:t>a</w:t>
      </w:r>
      <w:r w:rsidRPr="0015131D">
        <w:rPr>
          <w:lang w:val="nl-NL"/>
        </w:rPr>
        <w:t xml:space="preserve"> en verzorgingsproducten </w:t>
      </w:r>
      <w:r w:rsidRPr="008D76AA">
        <w:rPr>
          <w:lang w:val="nl-NL"/>
        </w:rPr>
        <w:t>in de periode 2012-2017</w:t>
      </w:r>
      <w:r>
        <w:rPr>
          <w:lang w:val="nl-NL"/>
        </w:rPr>
        <w:t xml:space="preserve"> bijna volledig zijn </w:t>
      </w:r>
      <w:r w:rsidRPr="0015131D">
        <w:rPr>
          <w:lang w:val="nl-NL"/>
        </w:rPr>
        <w:t>uitgefas</w:t>
      </w:r>
      <w:r>
        <w:rPr>
          <w:lang w:val="nl-NL"/>
        </w:rPr>
        <w:t>e</w:t>
      </w:r>
      <w:r w:rsidRPr="0015131D">
        <w:rPr>
          <w:lang w:val="nl-NL"/>
        </w:rPr>
        <w:t xml:space="preserve">erd. </w:t>
      </w:r>
      <w:r w:rsidRPr="0015131D">
        <w:rPr>
          <w:color w:val="211D1F"/>
          <w:lang w:val="nl-NL"/>
        </w:rPr>
        <w:t>Hiermee loopt de Europese cosmetica-industrie vooruit op een Europese restrictie op bewust toegevoegde microplastics</w:t>
      </w:r>
      <w:r>
        <w:rPr>
          <w:color w:val="211D1F"/>
          <w:lang w:val="nl-NL"/>
        </w:rPr>
        <w:t xml:space="preserve">. In deze restrictie zullen naar verwachting zowel het gebruik van microbeads als ook andere vormen van microplastics beperkt worden. Internationaal in OSPAR-verband heeft Nederland zich ingezet om </w:t>
      </w:r>
      <w:r w:rsidRPr="00AF1E71">
        <w:rPr>
          <w:i/>
          <w:iCs/>
          <w:color w:val="211D1F"/>
          <w:lang w:val="nl-NL"/>
        </w:rPr>
        <w:t>microbeads</w:t>
      </w:r>
      <w:r>
        <w:rPr>
          <w:color w:val="211D1F"/>
          <w:lang w:val="nl-NL"/>
        </w:rPr>
        <w:t xml:space="preserve"> in zee tegen te gaan door deelname aan de dialoog met </w:t>
      </w:r>
      <w:r w:rsidRPr="00AF1E71">
        <w:rPr>
          <w:i/>
          <w:iCs/>
          <w:color w:val="211D1F"/>
          <w:lang w:val="nl-NL"/>
        </w:rPr>
        <w:t>Cosmetics Europe</w:t>
      </w:r>
      <w:r>
        <w:rPr>
          <w:color w:val="211D1F"/>
          <w:lang w:val="nl-NL"/>
        </w:rPr>
        <w:t xml:space="preserve">. </w:t>
      </w:r>
    </w:p>
    <w:p w:rsidRPr="0015131D" w:rsidR="000825B2" w:rsidP="000825B2" w:rsidRDefault="000825B2" w14:paraId="2B666DF3" w14:textId="77777777">
      <w:pPr>
        <w:rPr>
          <w:color w:val="211D1F"/>
          <w:lang w:val="nl-NL"/>
        </w:rPr>
      </w:pPr>
      <w:r>
        <w:rPr>
          <w:color w:val="211D1F"/>
          <w:lang w:val="nl-NL"/>
        </w:rPr>
        <w:t xml:space="preserve">Om de problematiek van ballonresten in het milieu terug te dringen, geldt in meer dan 60 procent van de gemeenten </w:t>
      </w:r>
      <w:r w:rsidRPr="00E0635A">
        <w:rPr>
          <w:color w:val="211D1F"/>
          <w:lang w:val="nl-NL"/>
        </w:rPr>
        <w:t xml:space="preserve">een </w:t>
      </w:r>
      <w:r w:rsidRPr="008D76AA">
        <w:rPr>
          <w:color w:val="211D1F"/>
          <w:lang w:val="nl-NL"/>
        </w:rPr>
        <w:t>ontmoedigingsbeleid</w:t>
      </w:r>
      <w:r w:rsidRPr="00E0635A">
        <w:rPr>
          <w:color w:val="211D1F"/>
          <w:lang w:val="nl-NL"/>
        </w:rPr>
        <w:t xml:space="preserve"> </w:t>
      </w:r>
      <w:r>
        <w:rPr>
          <w:color w:val="211D1F"/>
          <w:lang w:val="nl-NL"/>
        </w:rPr>
        <w:t xml:space="preserve">of een </w:t>
      </w:r>
      <w:r w:rsidRPr="00E0635A">
        <w:rPr>
          <w:color w:val="211D1F"/>
          <w:lang w:val="nl-NL"/>
        </w:rPr>
        <w:t xml:space="preserve">verbod </w:t>
      </w:r>
      <w:r>
        <w:rPr>
          <w:color w:val="211D1F"/>
          <w:lang w:val="nl-NL"/>
        </w:rPr>
        <w:t xml:space="preserve">op het oplaten van ballonnen. Hierdoor </w:t>
      </w:r>
      <w:r w:rsidRPr="008E14F1">
        <w:rPr>
          <w:lang w:val="nl-NL"/>
        </w:rPr>
        <w:t>is op de meetstranden een afname van ballonresten te zien</w:t>
      </w:r>
      <w:r w:rsidRPr="008E14F1">
        <w:rPr>
          <w:color w:val="211D1F"/>
          <w:lang w:val="nl-NL"/>
        </w:rPr>
        <w:t>. Deze maatregel wordt gecontinueerd en nader toegelicht in de paragraaf over de aangepaste en aanvullende maatregelen.</w:t>
      </w:r>
    </w:p>
    <w:p w:rsidR="000825B2" w:rsidP="000825B2" w:rsidRDefault="000825B2" w14:paraId="1394D421" w14:textId="77777777">
      <w:pPr>
        <w:rPr>
          <w:lang w:val="nl-NL"/>
        </w:rPr>
      </w:pPr>
      <w:r>
        <w:rPr>
          <w:color w:val="211D1F"/>
          <w:lang w:val="nl-NL"/>
        </w:rPr>
        <w:t xml:space="preserve">In het vorige programma van maatregelen is een verkenning aangekondigd naar de </w:t>
      </w:r>
      <w:r w:rsidRPr="00302862">
        <w:rPr>
          <w:lang w:val="nl-NL"/>
        </w:rPr>
        <w:t xml:space="preserve">mogelijkheden </w:t>
      </w:r>
      <w:r>
        <w:rPr>
          <w:lang w:val="nl-NL"/>
        </w:rPr>
        <w:t xml:space="preserve">om </w:t>
      </w:r>
      <w:r w:rsidRPr="00302862">
        <w:rPr>
          <w:lang w:val="nl-NL"/>
        </w:rPr>
        <w:t>op nationaal niveau</w:t>
      </w:r>
      <w:r>
        <w:rPr>
          <w:lang w:val="nl-NL"/>
        </w:rPr>
        <w:t xml:space="preserve"> te zorgen</w:t>
      </w:r>
      <w:r w:rsidRPr="00302862">
        <w:rPr>
          <w:lang w:val="nl-NL"/>
        </w:rPr>
        <w:t xml:space="preserve"> voor </w:t>
      </w:r>
      <w:r w:rsidRPr="00AF1E71">
        <w:rPr>
          <w:lang w:val="nl-NL"/>
        </w:rPr>
        <w:t>reductie van emissies van microplastics</w:t>
      </w:r>
      <w:r w:rsidRPr="00302862">
        <w:rPr>
          <w:lang w:val="nl-NL"/>
        </w:rPr>
        <w:t xml:space="preserve"> uit autobanden, schurende reinigingsmiddelen en verf. Op basis van deze verkenning </w:t>
      </w:r>
      <w:r>
        <w:rPr>
          <w:lang w:val="nl-NL"/>
        </w:rPr>
        <w:t xml:space="preserve">en van onderzoeken van het RIVM zijn het ‘beleidsprogramma microplastics’ (juni 2018) </w:t>
      </w:r>
      <w:r w:rsidRPr="005F44B9">
        <w:rPr>
          <w:lang w:val="nl-NL"/>
        </w:rPr>
        <w:t xml:space="preserve">en de </w:t>
      </w:r>
      <w:r>
        <w:rPr>
          <w:lang w:val="nl-NL"/>
        </w:rPr>
        <w:t>‘</w:t>
      </w:r>
      <w:r w:rsidRPr="005F44B9">
        <w:rPr>
          <w:lang w:val="nl-NL"/>
        </w:rPr>
        <w:t>gezamenlijke aanpak plastics in rivieren</w:t>
      </w:r>
      <w:r>
        <w:rPr>
          <w:lang w:val="nl-NL"/>
        </w:rPr>
        <w:t>’</w:t>
      </w:r>
      <w:r w:rsidRPr="005F44B9">
        <w:rPr>
          <w:lang w:val="nl-NL"/>
        </w:rPr>
        <w:t xml:space="preserve"> (november 2018) </w:t>
      </w:r>
      <w:r>
        <w:rPr>
          <w:lang w:val="nl-NL"/>
        </w:rPr>
        <w:t>geformuleerd. Hierin zijn in de periode tot 2021 de volgende maatregelen</w:t>
      </w:r>
      <w:r>
        <w:rPr>
          <w:rStyle w:val="FootnoteReference"/>
          <w:lang w:val="nl-NL"/>
        </w:rPr>
        <w:footnoteReference w:id="12"/>
      </w:r>
      <w:r>
        <w:rPr>
          <w:lang w:val="nl-NL"/>
        </w:rPr>
        <w:t xml:space="preserve"> genomen:</w:t>
      </w:r>
    </w:p>
    <w:p w:rsidRPr="00A50076" w:rsidR="000825B2" w:rsidP="000825B2" w:rsidRDefault="000825B2" w14:paraId="4F9AA917" w14:textId="423A74BA">
      <w:pPr>
        <w:pStyle w:val="ListParagraph"/>
        <w:numPr>
          <w:ilvl w:val="0"/>
          <w:numId w:val="93"/>
        </w:numPr>
        <w:autoSpaceDE w:val="0"/>
        <w:autoSpaceDN w:val="0"/>
        <w:adjustRightInd w:val="0"/>
        <w:spacing w:after="0" w:line="240" w:lineRule="auto"/>
        <w:rPr>
          <w:szCs w:val="18"/>
          <w:lang w:val="nl-NL"/>
        </w:rPr>
      </w:pPr>
      <w:r w:rsidRPr="00A50076">
        <w:rPr>
          <w:szCs w:val="18"/>
          <w:lang w:val="nl-NL"/>
        </w:rPr>
        <w:t xml:space="preserve">Onderzoek naar </w:t>
      </w:r>
      <w:r w:rsidRPr="00A50076">
        <w:rPr>
          <w:bCs/>
          <w:szCs w:val="18"/>
          <w:lang w:val="nl-NL"/>
        </w:rPr>
        <w:t xml:space="preserve">gezondheidseffecten van microplastics: de onderzoeksresultaten van de 1-jarige doorbraakprojecten </w:t>
      </w:r>
      <w:r w:rsidR="0054281D">
        <w:rPr>
          <w:bCs/>
          <w:szCs w:val="18"/>
          <w:lang w:val="nl-NL"/>
        </w:rPr>
        <w:t>naar</w:t>
      </w:r>
      <w:r w:rsidRPr="00A50076">
        <w:rPr>
          <w:bCs/>
          <w:szCs w:val="18"/>
          <w:lang w:val="nl-NL"/>
        </w:rPr>
        <w:t xml:space="preserve"> het vermogen van microplastics om darmwand, longen, placenta en bloed-hersenbarrière te passeren en een verstorend effect op lichaamsfuncties</w:t>
      </w:r>
      <w:r w:rsidR="0054281D">
        <w:rPr>
          <w:bCs/>
          <w:szCs w:val="18"/>
          <w:lang w:val="nl-NL"/>
        </w:rPr>
        <w:t>,</w:t>
      </w:r>
      <w:r w:rsidRPr="00A50076">
        <w:rPr>
          <w:bCs/>
          <w:szCs w:val="18"/>
          <w:lang w:val="nl-NL"/>
        </w:rPr>
        <w:t xml:space="preserve"> geven aanleiding om de mogelijke gezondheidseffecten nader te onderzoeken. </w:t>
      </w:r>
      <w:r w:rsidRPr="00A50076">
        <w:rPr>
          <w:rFonts w:cs="Verdana"/>
          <w:szCs w:val="18"/>
          <w:lang w:val="nl-NL"/>
        </w:rPr>
        <w:t>De onderzoekers van ZonMW</w:t>
      </w:r>
      <w:r w:rsidR="006F41FF">
        <w:rPr>
          <w:rFonts w:cs="Verdana"/>
          <w:szCs w:val="18"/>
          <w:lang w:val="nl-NL"/>
        </w:rPr>
        <w:t xml:space="preserve"> (</w:t>
      </w:r>
      <w:r w:rsidRPr="006F41FF" w:rsidR="006F41FF">
        <w:rPr>
          <w:rFonts w:cs="Verdana"/>
          <w:szCs w:val="18"/>
          <w:lang w:val="nl-NL"/>
        </w:rPr>
        <w:t>Zorgonderzoek Nederland Medische Wetenschappen</w:t>
      </w:r>
      <w:r w:rsidR="006F41FF">
        <w:rPr>
          <w:rFonts w:cs="Verdana"/>
          <w:szCs w:val="18"/>
          <w:lang w:val="nl-NL"/>
        </w:rPr>
        <w:t>)</w:t>
      </w:r>
      <w:r w:rsidRPr="00A50076">
        <w:rPr>
          <w:rFonts w:cs="Verdana"/>
          <w:szCs w:val="18"/>
          <w:lang w:val="nl-NL"/>
        </w:rPr>
        <w:t xml:space="preserve"> ontwikkelen methoden waarmee de aanwezigheid van plastic deeltjes in placenta, vruchtwater en bloed kan worden bepaald. Microplastics in oppervlaktewater bleken ook een effectieve drager van ziekteverwekkende bacteriën, virussen en schimmels. De gerelateerde gezondheidsrisico’s zijn nog onzeker. </w:t>
      </w:r>
      <w:r>
        <w:rPr>
          <w:rFonts w:cs="Verdana"/>
          <w:szCs w:val="18"/>
          <w:lang w:val="nl-NL"/>
        </w:rPr>
        <w:t>Er is een strategische kennisagenda ontwikkeld die richting geeft aan het benodigde onderzoek.</w:t>
      </w:r>
      <w:r w:rsidRPr="00A50076">
        <w:rPr>
          <w:rFonts w:cs="Verdana"/>
          <w:szCs w:val="18"/>
          <w:lang w:val="nl-NL"/>
        </w:rPr>
        <w:t xml:space="preserve"> </w:t>
      </w:r>
    </w:p>
    <w:p w:rsidRPr="008E14F1" w:rsidR="000825B2" w:rsidP="000825B2" w:rsidRDefault="000825B2" w14:paraId="7B55AC8C" w14:textId="77777777">
      <w:pPr>
        <w:pStyle w:val="ListParagraph"/>
        <w:numPr>
          <w:ilvl w:val="0"/>
          <w:numId w:val="93"/>
        </w:numPr>
        <w:autoSpaceDE w:val="0"/>
        <w:autoSpaceDN w:val="0"/>
        <w:adjustRightInd w:val="0"/>
        <w:spacing w:after="0" w:line="240" w:lineRule="auto"/>
        <w:rPr>
          <w:szCs w:val="18"/>
          <w:lang w:val="nl-NL"/>
        </w:rPr>
      </w:pPr>
      <w:r w:rsidRPr="008E14F1">
        <w:rPr>
          <w:szCs w:val="18"/>
          <w:lang w:val="nl-NL"/>
        </w:rPr>
        <w:t>Aanpak plastic zwerfvuil in rivieren: experimenteren met het afvangen van zwerfvuil in de rivier, voorkomen van zwerfvuil door samen met gebiedsbeheerders in te zetten op bronaanpak van afval (o.a. recreatie-, bouw, bedrijfsafval) en door bij burgers rond rivieroevers gedragsverandering te bewerkstelligen, en het ontwikkelen van een monitoringsysteem voor microplastics in rivieren.</w:t>
      </w:r>
    </w:p>
    <w:p w:rsidRPr="008E14F1" w:rsidR="000825B2" w:rsidP="000825B2" w:rsidRDefault="000825B2" w14:paraId="20C964DB" w14:textId="77777777">
      <w:pPr>
        <w:pStyle w:val="ListParagraph"/>
        <w:numPr>
          <w:ilvl w:val="0"/>
          <w:numId w:val="3"/>
        </w:numPr>
        <w:rPr>
          <w:szCs w:val="18"/>
          <w:lang w:val="nl-NL"/>
        </w:rPr>
      </w:pPr>
      <w:r w:rsidRPr="008E14F1">
        <w:rPr>
          <w:szCs w:val="18"/>
          <w:lang w:val="nl-NL"/>
        </w:rPr>
        <w:t xml:space="preserve">Nederland zet in op een Europese aanpak van microplastics uit </w:t>
      </w:r>
      <w:r w:rsidRPr="008E14F1">
        <w:rPr>
          <w:bCs/>
          <w:szCs w:val="18"/>
          <w:lang w:val="nl-NL"/>
        </w:rPr>
        <w:t xml:space="preserve">autobanden </w:t>
      </w:r>
      <w:r w:rsidRPr="008E14F1">
        <w:rPr>
          <w:rFonts w:cs="RijksoverheidSerif"/>
          <w:bCs/>
          <w:color w:val="000000"/>
          <w:szCs w:val="18"/>
          <w:lang w:val="nl-NL"/>
        </w:rPr>
        <w:t>en</w:t>
      </w:r>
      <w:r w:rsidRPr="008E14F1">
        <w:rPr>
          <w:rFonts w:cs="RijksoverheidSerif"/>
          <w:color w:val="000000"/>
          <w:szCs w:val="18"/>
          <w:lang w:val="nl-NL"/>
        </w:rPr>
        <w:t xml:space="preserve"> communiceert over het belang van de juiste bandenspanning via de campagne ‘Kies de beste band’. </w:t>
      </w:r>
      <w:r>
        <w:rPr>
          <w:rFonts w:cs="RijksoverheidSerif"/>
          <w:color w:val="000000"/>
          <w:szCs w:val="18"/>
          <w:lang w:val="nl-NL"/>
        </w:rPr>
        <w:t xml:space="preserve">Op Europees niveau is een gedelegeerde handeling aan de Europese Commissie toegekend om, zodra er een uniforme meetmethode is voor bandenslijtage, dit toe te voegen aan het Europese bandenlabel. </w:t>
      </w:r>
    </w:p>
    <w:p w:rsidRPr="008E14F1" w:rsidR="000825B2" w:rsidP="000825B2" w:rsidRDefault="000825B2" w14:paraId="692EF1E9" w14:textId="77777777">
      <w:pPr>
        <w:pStyle w:val="ListParagraph"/>
        <w:numPr>
          <w:ilvl w:val="0"/>
          <w:numId w:val="3"/>
        </w:numPr>
        <w:rPr>
          <w:lang w:val="nl-NL"/>
        </w:rPr>
      </w:pPr>
      <w:r w:rsidRPr="008E14F1">
        <w:rPr>
          <w:szCs w:val="18"/>
          <w:lang w:val="nl-NL"/>
        </w:rPr>
        <w:t xml:space="preserve">Slijtage van </w:t>
      </w:r>
      <w:r w:rsidRPr="008E14F1">
        <w:rPr>
          <w:bCs/>
          <w:szCs w:val="18"/>
          <w:lang w:val="nl-NL"/>
        </w:rPr>
        <w:t>kleding</w:t>
      </w:r>
      <w:r w:rsidRPr="008E14F1">
        <w:rPr>
          <w:b/>
          <w:szCs w:val="18"/>
          <w:lang w:val="nl-NL"/>
        </w:rPr>
        <w:t>:</w:t>
      </w:r>
      <w:r w:rsidRPr="008E14F1">
        <w:rPr>
          <w:szCs w:val="18"/>
          <w:lang w:val="nl-NL"/>
        </w:rPr>
        <w:t xml:space="preserve"> onderzoek van het RIVM laat zien dat een aanpak op meerdere fronten nodig is om </w:t>
      </w:r>
      <w:r w:rsidRPr="008E14F1">
        <w:rPr>
          <w:lang w:val="nl-NL"/>
        </w:rPr>
        <w:t xml:space="preserve">microplasticvezels uit textiel te voorkomen. Daarom </w:t>
      </w:r>
      <w:r>
        <w:rPr>
          <w:lang w:val="nl-NL"/>
        </w:rPr>
        <w:t>werkt</w:t>
      </w:r>
      <w:r w:rsidRPr="008E14F1">
        <w:rPr>
          <w:lang w:val="nl-NL"/>
        </w:rPr>
        <w:t xml:space="preserve"> het Rijk </w:t>
      </w:r>
      <w:r>
        <w:rPr>
          <w:lang w:val="nl-NL"/>
        </w:rPr>
        <w:t>aa</w:t>
      </w:r>
      <w:r w:rsidRPr="008E14F1">
        <w:rPr>
          <w:lang w:val="nl-NL"/>
        </w:rPr>
        <w:t>n</w:t>
      </w:r>
      <w:r>
        <w:rPr>
          <w:lang w:val="nl-NL"/>
        </w:rPr>
        <w:t xml:space="preserve"> een</w:t>
      </w:r>
      <w:r w:rsidRPr="008E14F1">
        <w:rPr>
          <w:lang w:val="nl-NL"/>
        </w:rPr>
        <w:t xml:space="preserve"> gezamenlijke aanpak met alle partijen in de textielketen.</w:t>
      </w:r>
      <w:r>
        <w:rPr>
          <w:lang w:val="nl-NL"/>
        </w:rPr>
        <w:t xml:space="preserve"> Eerste stappen zijn gericht op kennisuitwisseling en het ontwikkelen van een gezamenlijk meetmethode, zodat maatregelen getoetst en onderling vergeleken kunnen worden. </w:t>
      </w:r>
      <w:r w:rsidRPr="008E14F1">
        <w:rPr>
          <w:lang w:val="nl-NL"/>
        </w:rPr>
        <w:t xml:space="preserve"> Europese inzet kan hierbij een welkome aanvulling zijn. </w:t>
      </w:r>
    </w:p>
    <w:p w:rsidRPr="008E14F1" w:rsidR="000825B2" w:rsidP="000825B2" w:rsidRDefault="000825B2" w14:paraId="49035501" w14:textId="77777777">
      <w:pPr>
        <w:pStyle w:val="ListParagraph"/>
        <w:numPr>
          <w:ilvl w:val="0"/>
          <w:numId w:val="3"/>
        </w:numPr>
        <w:rPr>
          <w:lang w:val="nl-NL"/>
        </w:rPr>
      </w:pPr>
      <w:r w:rsidRPr="008E14F1">
        <w:rPr>
          <w:lang w:val="nl-NL"/>
        </w:rPr>
        <w:t xml:space="preserve">In 2020 deed het RIVM onderzoek naar de meest kansrijke mogelijkheden om microplastics in </w:t>
      </w:r>
      <w:r w:rsidRPr="008E14F1">
        <w:rPr>
          <w:bCs/>
          <w:lang w:val="nl-NL"/>
        </w:rPr>
        <w:t>verf</w:t>
      </w:r>
      <w:r w:rsidRPr="008E14F1">
        <w:rPr>
          <w:b/>
          <w:lang w:val="nl-NL"/>
        </w:rPr>
        <w:t xml:space="preserve"> </w:t>
      </w:r>
      <w:r w:rsidRPr="008E14F1">
        <w:rPr>
          <w:lang w:val="nl-NL"/>
        </w:rPr>
        <w:t xml:space="preserve">tegen te gaan, met aandacht voor de rol die innovatie hierbij kan spelen. </w:t>
      </w:r>
      <w:r>
        <w:rPr>
          <w:lang w:val="nl-NL"/>
        </w:rPr>
        <w:t xml:space="preserve">Nederland zal dit op Europees niveau agenderen. </w:t>
      </w:r>
    </w:p>
    <w:p w:rsidRPr="002515DC" w:rsidR="000825B2" w:rsidP="000825B2" w:rsidRDefault="000825B2" w14:paraId="1FE0EDA5" w14:textId="77777777">
      <w:pPr>
        <w:pStyle w:val="ListParagraph"/>
        <w:numPr>
          <w:ilvl w:val="0"/>
          <w:numId w:val="3"/>
        </w:numPr>
        <w:rPr>
          <w:lang w:val="nl-NL"/>
        </w:rPr>
      </w:pPr>
      <w:r w:rsidRPr="008E14F1">
        <w:rPr>
          <w:lang w:val="nl-NL"/>
        </w:rPr>
        <w:t>Het chemicaliënagentschap (ECHA) werkt op verzoek van de Europese Commissie sinds</w:t>
      </w:r>
      <w:r w:rsidRPr="002515DC">
        <w:rPr>
          <w:lang w:val="nl-NL"/>
        </w:rPr>
        <w:t xml:space="preserve"> 2018 aan een </w:t>
      </w:r>
      <w:r w:rsidRPr="00AF1E71">
        <w:rPr>
          <w:bCs/>
          <w:lang w:val="nl-NL"/>
        </w:rPr>
        <w:t xml:space="preserve">restrictie </w:t>
      </w:r>
      <w:r>
        <w:rPr>
          <w:bCs/>
          <w:lang w:val="nl-NL"/>
        </w:rPr>
        <w:t>onder de REACH-verordening van</w:t>
      </w:r>
      <w:r w:rsidRPr="00AF1E71">
        <w:rPr>
          <w:bCs/>
          <w:lang w:val="nl-NL"/>
        </w:rPr>
        <w:t xml:space="preserve"> bewust toegevoegde microplastics</w:t>
      </w:r>
      <w:r w:rsidRPr="002515DC">
        <w:rPr>
          <w:lang w:val="nl-NL"/>
        </w:rPr>
        <w:t xml:space="preserve"> in bijvoorbeeld kunstmest, cosmetica en schurende reinigingsmiddelen. Nederland heeft deze ontwikkeling in Europa aangejaagd en kijkt uit naar het uiteindelijke voorstel van de Commissie.</w:t>
      </w:r>
    </w:p>
    <w:p w:rsidRPr="00613102" w:rsidR="000825B2" w:rsidP="000825B2" w:rsidRDefault="000825B2" w14:paraId="13098419" w14:textId="508EFCB6">
      <w:pPr>
        <w:rPr>
          <w:lang w:val="nl-NL"/>
        </w:rPr>
      </w:pPr>
      <w:r>
        <w:rPr>
          <w:lang w:val="nl-NL"/>
        </w:rPr>
        <w:t>In de kamerbrief van 25 juni 2021</w:t>
      </w:r>
      <w:r w:rsidR="006F41FF">
        <w:rPr>
          <w:lang w:val="nl-NL"/>
        </w:rPr>
        <w:t xml:space="preserve"> [36]</w:t>
      </w:r>
      <w:r>
        <w:rPr>
          <w:lang w:val="nl-NL"/>
        </w:rPr>
        <w:t xml:space="preserve"> wordt in meer detail gerapporteerd over de maatregelen onder het microplastics beleidsprogramma. </w:t>
      </w:r>
      <w:r w:rsidRPr="008E14F1">
        <w:rPr>
          <w:lang w:val="nl-NL"/>
        </w:rPr>
        <w:t>Nederland heeft in OSPAR-verband actief bijgedragen aan het opstellen van een assessmentdocument uit 2017 over microplastics uit bronnen op land die in het marine milieu terechtkomen</w:t>
      </w:r>
      <w:r>
        <w:rPr>
          <w:lang w:val="nl-NL"/>
        </w:rPr>
        <w:t xml:space="preserve"> [25]</w:t>
      </w:r>
      <w:r w:rsidRPr="008E14F1">
        <w:rPr>
          <w:lang w:val="nl-NL"/>
        </w:rPr>
        <w:t>. Twee jaar eerder, in 2015, organiseerde ons land in samenwerking met OSPAR</w:t>
      </w:r>
      <w:r>
        <w:rPr>
          <w:lang w:val="nl-NL"/>
        </w:rPr>
        <w:t xml:space="preserve"> een conferentie </w:t>
      </w:r>
      <w:r w:rsidRPr="004057E2">
        <w:rPr>
          <w:lang w:val="nl-NL"/>
        </w:rPr>
        <w:t>over</w:t>
      </w:r>
      <w:r w:rsidRPr="00454F68">
        <w:rPr>
          <w:lang w:val="nl-NL"/>
        </w:rPr>
        <w:t xml:space="preserve"> het tegengaan van microplastics in het marine milieu</w:t>
      </w:r>
      <w:r>
        <w:rPr>
          <w:lang w:val="nl-NL"/>
        </w:rPr>
        <w:t xml:space="preserve">. Op 1 oktober 2021 heeft OSPAR een aanbeveling aangenomen om </w:t>
      </w:r>
      <w:r w:rsidRPr="00AF1E71">
        <w:rPr>
          <w:i/>
          <w:iCs/>
          <w:lang w:val="nl-NL"/>
        </w:rPr>
        <w:t>pre-production</w:t>
      </w:r>
      <w:r>
        <w:rPr>
          <w:i/>
          <w:iCs/>
          <w:lang w:val="nl-NL"/>
        </w:rPr>
        <w:t xml:space="preserve"> </w:t>
      </w:r>
      <w:r w:rsidRPr="00AF1E71">
        <w:rPr>
          <w:i/>
          <w:iCs/>
          <w:lang w:val="nl-NL"/>
        </w:rPr>
        <w:t>pellets</w:t>
      </w:r>
      <w:r>
        <w:rPr>
          <w:lang w:val="nl-NL"/>
        </w:rPr>
        <w:t xml:space="preserve"> in het milieu tegen te gaan. </w:t>
      </w:r>
    </w:p>
    <w:p w:rsidRPr="00A8638C" w:rsidR="000825B2" w:rsidP="000825B2" w:rsidRDefault="000825B2" w14:paraId="6F1D6C8D" w14:textId="77777777">
      <w:pPr>
        <w:pBdr>
          <w:top w:val="single" w:color="auto" w:sz="4" w:space="1"/>
          <w:left w:val="single" w:color="auto" w:sz="4" w:space="1"/>
          <w:bottom w:val="single" w:color="auto" w:sz="4" w:space="1"/>
          <w:right w:val="single" w:color="auto" w:sz="4" w:space="1"/>
        </w:pBdr>
        <w:spacing w:before="40" w:after="0"/>
        <w:rPr>
          <w:rStyle w:val="IntenseEmphasis"/>
          <w:lang w:val="nl-NL"/>
        </w:rPr>
      </w:pPr>
      <w:r>
        <w:rPr>
          <w:rStyle w:val="IntenseEmphasis"/>
          <w:lang w:val="nl-NL"/>
        </w:rPr>
        <w:t xml:space="preserve">Tekst box 1: </w:t>
      </w:r>
      <w:r w:rsidRPr="00A8638C">
        <w:rPr>
          <w:rStyle w:val="IntenseEmphasis"/>
          <w:lang w:val="nl-NL"/>
        </w:rPr>
        <w:t xml:space="preserve">Resultaten en effectiviteit </w:t>
      </w:r>
      <w:r>
        <w:rPr>
          <w:rStyle w:val="IntenseEmphasis"/>
          <w:lang w:val="nl-NL"/>
        </w:rPr>
        <w:t>Green deals</w:t>
      </w:r>
    </w:p>
    <w:p w:rsidR="000825B2" w:rsidP="000825B2" w:rsidRDefault="000825B2" w14:paraId="56DA4346" w14:textId="6C7B75EB">
      <w:pPr>
        <w:pBdr>
          <w:top w:val="single" w:color="auto" w:sz="4" w:space="1"/>
          <w:left w:val="single" w:color="auto" w:sz="4" w:space="1"/>
          <w:bottom w:val="single" w:color="auto" w:sz="4" w:space="1"/>
          <w:right w:val="single" w:color="auto" w:sz="4" w:space="1"/>
        </w:pBdr>
        <w:rPr>
          <w:szCs w:val="18"/>
          <w:lang w:val="nl-NL"/>
        </w:rPr>
      </w:pPr>
      <w:r w:rsidRPr="00CC27FF">
        <w:rPr>
          <w:szCs w:val="18"/>
          <w:lang w:val="nl-NL"/>
        </w:rPr>
        <w:t xml:space="preserve">De </w:t>
      </w:r>
      <w:r w:rsidRPr="00AF1E71">
        <w:rPr>
          <w:i/>
          <w:iCs/>
          <w:szCs w:val="18"/>
          <w:lang w:val="nl-NL"/>
        </w:rPr>
        <w:t>Green Deals</w:t>
      </w:r>
      <w:r w:rsidRPr="00CC27FF">
        <w:rPr>
          <w:szCs w:val="18"/>
          <w:lang w:val="nl-NL"/>
        </w:rPr>
        <w:t xml:space="preserve"> Schone Stranden, Visserij voor een Schone Zee en Scheepsafvalketen zijn in 2019 geëvalueerd </w:t>
      </w:r>
      <w:r w:rsidR="003C2CC5">
        <w:rPr>
          <w:szCs w:val="18"/>
          <w:lang w:val="nl-NL"/>
        </w:rPr>
        <w:t>[37]</w:t>
      </w:r>
      <w:r>
        <w:rPr>
          <w:szCs w:val="18"/>
          <w:lang w:val="nl-NL"/>
        </w:rPr>
        <w:t xml:space="preserve">. De conclusie was dat de </w:t>
      </w:r>
      <w:r w:rsidRPr="00AF1E71">
        <w:rPr>
          <w:i/>
          <w:iCs/>
          <w:szCs w:val="18"/>
          <w:lang w:val="nl-NL"/>
        </w:rPr>
        <w:t>Green Deals</w:t>
      </w:r>
      <w:r w:rsidRPr="00CC27FF">
        <w:rPr>
          <w:szCs w:val="18"/>
          <w:lang w:val="nl-NL"/>
        </w:rPr>
        <w:t xml:space="preserve"> hebben </w:t>
      </w:r>
      <w:r>
        <w:rPr>
          <w:szCs w:val="18"/>
          <w:lang w:val="nl-NL"/>
        </w:rPr>
        <w:t>bij</w:t>
      </w:r>
      <w:r w:rsidRPr="00CC27FF">
        <w:rPr>
          <w:szCs w:val="18"/>
          <w:lang w:val="nl-NL"/>
        </w:rPr>
        <w:t>gedragen aan de vermindering van zwerf</w:t>
      </w:r>
      <w:r>
        <w:rPr>
          <w:szCs w:val="18"/>
          <w:lang w:val="nl-NL"/>
        </w:rPr>
        <w:t>vuil</w:t>
      </w:r>
      <w:r w:rsidRPr="00CC27FF">
        <w:rPr>
          <w:szCs w:val="18"/>
          <w:lang w:val="nl-NL"/>
        </w:rPr>
        <w:t xml:space="preserve"> op de Nederlandse stranden en in de Noordzee</w:t>
      </w:r>
      <w:r>
        <w:rPr>
          <w:szCs w:val="18"/>
          <w:lang w:val="nl-NL"/>
        </w:rPr>
        <w:t>. Harde</w:t>
      </w:r>
      <w:r w:rsidRPr="00CC27FF">
        <w:rPr>
          <w:szCs w:val="18"/>
          <w:lang w:val="nl-NL"/>
        </w:rPr>
        <w:t xml:space="preserve"> gegevens om de</w:t>
      </w:r>
      <w:r>
        <w:rPr>
          <w:szCs w:val="18"/>
          <w:lang w:val="nl-NL"/>
        </w:rPr>
        <w:t>ze</w:t>
      </w:r>
      <w:r w:rsidRPr="00CC27FF">
        <w:rPr>
          <w:szCs w:val="18"/>
          <w:lang w:val="nl-NL"/>
        </w:rPr>
        <w:t xml:space="preserve"> conclusie te onderbouwen ontbreken</w:t>
      </w:r>
      <w:r>
        <w:rPr>
          <w:szCs w:val="18"/>
          <w:lang w:val="nl-NL"/>
        </w:rPr>
        <w:t xml:space="preserve"> echter</w:t>
      </w:r>
      <w:r w:rsidRPr="00CC27FF">
        <w:rPr>
          <w:szCs w:val="18"/>
          <w:lang w:val="nl-NL"/>
        </w:rPr>
        <w:t>. Uit de OSPAR</w:t>
      </w:r>
      <w:r>
        <w:rPr>
          <w:szCs w:val="18"/>
          <w:lang w:val="nl-NL"/>
        </w:rPr>
        <w:t>-</w:t>
      </w:r>
      <w:r w:rsidRPr="00CC27FF">
        <w:rPr>
          <w:szCs w:val="18"/>
          <w:lang w:val="nl-NL"/>
        </w:rPr>
        <w:t>monitoring kan slechts voor een beperkt aan</w:t>
      </w:r>
      <w:r>
        <w:rPr>
          <w:szCs w:val="18"/>
          <w:lang w:val="nl-NL"/>
        </w:rPr>
        <w:t>tal</w:t>
      </w:r>
      <w:r w:rsidRPr="00CC27FF">
        <w:rPr>
          <w:szCs w:val="18"/>
          <w:lang w:val="nl-NL"/>
        </w:rPr>
        <w:t xml:space="preserve"> items een significant dalende trend worden geconstateerd. </w:t>
      </w:r>
      <w:r>
        <w:rPr>
          <w:szCs w:val="18"/>
          <w:lang w:val="nl-NL"/>
        </w:rPr>
        <w:t>Dit komt m</w:t>
      </w:r>
      <w:r w:rsidRPr="00CC27FF">
        <w:rPr>
          <w:szCs w:val="18"/>
          <w:lang w:val="nl-NL"/>
        </w:rPr>
        <w:t xml:space="preserve">ogelijk </w:t>
      </w:r>
      <w:r>
        <w:rPr>
          <w:szCs w:val="18"/>
          <w:lang w:val="nl-NL"/>
        </w:rPr>
        <w:t>doordat</w:t>
      </w:r>
      <w:r w:rsidRPr="00CC27FF">
        <w:rPr>
          <w:szCs w:val="18"/>
          <w:lang w:val="nl-NL"/>
        </w:rPr>
        <w:t xml:space="preserve"> plastic langdurig in het milieu verblijft en </w:t>
      </w:r>
      <w:r>
        <w:rPr>
          <w:szCs w:val="18"/>
          <w:lang w:val="nl-NL"/>
        </w:rPr>
        <w:t xml:space="preserve">de effecten ervan grensoverschrijdend zijn, terwijl het bereik van de maatregelen zich tot </w:t>
      </w:r>
      <w:r w:rsidRPr="00CC27FF">
        <w:rPr>
          <w:szCs w:val="18"/>
          <w:lang w:val="nl-NL"/>
        </w:rPr>
        <w:t>Nederland beperkt</w:t>
      </w:r>
      <w:r>
        <w:rPr>
          <w:szCs w:val="18"/>
          <w:lang w:val="nl-NL"/>
        </w:rPr>
        <w:t>.</w:t>
      </w:r>
      <w:r w:rsidRPr="00CC27FF">
        <w:rPr>
          <w:szCs w:val="18"/>
          <w:lang w:val="nl-NL"/>
        </w:rPr>
        <w:t xml:space="preserve"> Uit de data wordt ook niet duidelijk of er minder afval op het strand terechtkomt </w:t>
      </w:r>
      <w:r>
        <w:rPr>
          <w:szCs w:val="18"/>
          <w:lang w:val="nl-NL"/>
        </w:rPr>
        <w:t>ó</w:t>
      </w:r>
      <w:r w:rsidRPr="00CC27FF">
        <w:rPr>
          <w:szCs w:val="18"/>
          <w:lang w:val="nl-NL"/>
        </w:rPr>
        <w:t xml:space="preserve">f dat er beter en vaker wordt opgeruimd. </w:t>
      </w:r>
      <w:r>
        <w:rPr>
          <w:szCs w:val="18"/>
          <w:lang w:val="nl-NL"/>
        </w:rPr>
        <w:t>De</w:t>
      </w:r>
      <w:r w:rsidRPr="009D10A2">
        <w:rPr>
          <w:szCs w:val="18"/>
          <w:lang w:val="nl-NL"/>
        </w:rPr>
        <w:t xml:space="preserve"> </w:t>
      </w:r>
      <w:r w:rsidRPr="00AF1E71">
        <w:rPr>
          <w:i/>
          <w:iCs/>
          <w:szCs w:val="18"/>
          <w:lang w:val="nl-NL"/>
        </w:rPr>
        <w:t>Green Deal</w:t>
      </w:r>
      <w:r w:rsidRPr="009D10A2">
        <w:rPr>
          <w:szCs w:val="18"/>
          <w:lang w:val="nl-NL"/>
        </w:rPr>
        <w:t xml:space="preserve"> Sportvisserij Loodvrij </w:t>
      </w:r>
      <w:r>
        <w:rPr>
          <w:szCs w:val="18"/>
          <w:lang w:val="nl-NL"/>
        </w:rPr>
        <w:t>is</w:t>
      </w:r>
      <w:r w:rsidRPr="009D10A2">
        <w:rPr>
          <w:szCs w:val="18"/>
          <w:lang w:val="nl-NL"/>
        </w:rPr>
        <w:t xml:space="preserve"> geëvalueerd in 2021.</w:t>
      </w:r>
      <w:r>
        <w:rPr>
          <w:szCs w:val="18"/>
          <w:lang w:val="nl-NL"/>
        </w:rPr>
        <w:t xml:space="preserve"> </w:t>
      </w:r>
    </w:p>
    <w:p w:rsidR="000825B2" w:rsidP="000825B2" w:rsidRDefault="000825B2" w14:paraId="0E53BD8F" w14:textId="77777777">
      <w:pPr>
        <w:pBdr>
          <w:top w:val="single" w:color="auto" w:sz="4" w:space="1"/>
          <w:left w:val="single" w:color="auto" w:sz="4" w:space="1"/>
          <w:bottom w:val="single" w:color="auto" w:sz="4" w:space="1"/>
          <w:right w:val="single" w:color="auto" w:sz="4" w:space="1"/>
        </w:pBdr>
        <w:rPr>
          <w:szCs w:val="18"/>
          <w:lang w:val="nl-NL"/>
        </w:rPr>
      </w:pPr>
      <w:r w:rsidRPr="00CC27FF">
        <w:rPr>
          <w:szCs w:val="18"/>
          <w:lang w:val="nl-NL"/>
        </w:rPr>
        <w:t>Veruit de grootste toegevoegde waarde</w:t>
      </w:r>
      <w:r>
        <w:rPr>
          <w:szCs w:val="18"/>
          <w:lang w:val="nl-NL"/>
        </w:rPr>
        <w:t xml:space="preserve"> van de </w:t>
      </w:r>
      <w:r w:rsidRPr="00AF1E71">
        <w:rPr>
          <w:i/>
          <w:iCs/>
          <w:szCs w:val="18"/>
          <w:lang w:val="nl-NL"/>
        </w:rPr>
        <w:t>Green Deals</w:t>
      </w:r>
      <w:r w:rsidRPr="00CC27FF">
        <w:rPr>
          <w:szCs w:val="18"/>
          <w:lang w:val="nl-NL"/>
        </w:rPr>
        <w:t xml:space="preserve"> zit in de netwerkfunctie</w:t>
      </w:r>
      <w:r>
        <w:rPr>
          <w:szCs w:val="18"/>
          <w:lang w:val="nl-NL"/>
        </w:rPr>
        <w:t xml:space="preserve"> en de daarmee samenhangende kennisdeling</w:t>
      </w:r>
      <w:r w:rsidRPr="00CC27FF">
        <w:rPr>
          <w:szCs w:val="18"/>
          <w:lang w:val="nl-NL"/>
        </w:rPr>
        <w:t xml:space="preserve">. Ook de centrale coördinatie en </w:t>
      </w:r>
      <w:r>
        <w:rPr>
          <w:szCs w:val="18"/>
          <w:lang w:val="nl-NL"/>
        </w:rPr>
        <w:t>de beschikbaarheid</w:t>
      </w:r>
      <w:r w:rsidRPr="00CC27FF">
        <w:rPr>
          <w:szCs w:val="18"/>
          <w:lang w:val="nl-NL"/>
        </w:rPr>
        <w:t xml:space="preserve"> van pilotgeld </w:t>
      </w:r>
      <w:r>
        <w:rPr>
          <w:szCs w:val="18"/>
          <w:lang w:val="nl-NL"/>
        </w:rPr>
        <w:t>zijn</w:t>
      </w:r>
      <w:r w:rsidRPr="00CC27FF">
        <w:rPr>
          <w:szCs w:val="18"/>
          <w:lang w:val="nl-NL"/>
        </w:rPr>
        <w:t xml:space="preserve"> belangrijk</w:t>
      </w:r>
      <w:r>
        <w:rPr>
          <w:szCs w:val="18"/>
          <w:lang w:val="nl-NL"/>
        </w:rPr>
        <w:t>.</w:t>
      </w:r>
      <w:r w:rsidRPr="00CC27FF">
        <w:rPr>
          <w:szCs w:val="18"/>
          <w:lang w:val="nl-NL"/>
        </w:rPr>
        <w:t xml:space="preserve"> De </w:t>
      </w:r>
      <w:r w:rsidRPr="00AF1E71">
        <w:rPr>
          <w:i/>
          <w:iCs/>
          <w:szCs w:val="18"/>
          <w:lang w:val="nl-NL"/>
        </w:rPr>
        <w:t>Green Deals</w:t>
      </w:r>
      <w:r w:rsidRPr="00CC27FF">
        <w:rPr>
          <w:szCs w:val="18"/>
          <w:lang w:val="nl-NL"/>
        </w:rPr>
        <w:t xml:space="preserve"> hebben </w:t>
      </w:r>
      <w:r>
        <w:rPr>
          <w:szCs w:val="18"/>
          <w:lang w:val="nl-NL"/>
        </w:rPr>
        <w:t>bovendien</w:t>
      </w:r>
      <w:r w:rsidRPr="00CC27FF">
        <w:rPr>
          <w:szCs w:val="18"/>
          <w:lang w:val="nl-NL"/>
        </w:rPr>
        <w:t xml:space="preserve"> grote publicitaire waarde. </w:t>
      </w:r>
      <w:r>
        <w:rPr>
          <w:szCs w:val="18"/>
          <w:lang w:val="nl-NL"/>
        </w:rPr>
        <w:t>O</w:t>
      </w:r>
      <w:r w:rsidRPr="00CC27FF">
        <w:rPr>
          <w:szCs w:val="18"/>
          <w:lang w:val="nl-NL"/>
        </w:rPr>
        <w:t xml:space="preserve">rganisaties </w:t>
      </w:r>
      <w:r>
        <w:rPr>
          <w:szCs w:val="18"/>
          <w:lang w:val="nl-NL"/>
        </w:rPr>
        <w:t xml:space="preserve">kunnen via het </w:t>
      </w:r>
      <w:r w:rsidRPr="00AF1E71">
        <w:rPr>
          <w:i/>
          <w:iCs/>
          <w:szCs w:val="18"/>
          <w:lang w:val="nl-NL"/>
        </w:rPr>
        <w:t>Green Deal</w:t>
      </w:r>
      <w:r>
        <w:rPr>
          <w:szCs w:val="18"/>
          <w:lang w:val="nl-NL"/>
        </w:rPr>
        <w:t xml:space="preserve">-platform </w:t>
      </w:r>
      <w:r w:rsidRPr="00CC27FF">
        <w:rPr>
          <w:szCs w:val="18"/>
          <w:lang w:val="nl-NL"/>
        </w:rPr>
        <w:t xml:space="preserve">hun duurzaamheidsambities uitdragen. Binnen de </w:t>
      </w:r>
      <w:r w:rsidRPr="00AF1E71">
        <w:rPr>
          <w:i/>
          <w:iCs/>
          <w:szCs w:val="18"/>
          <w:lang w:val="nl-NL"/>
        </w:rPr>
        <w:t>Green Deals</w:t>
      </w:r>
      <w:r w:rsidRPr="00CC27FF">
        <w:rPr>
          <w:szCs w:val="18"/>
          <w:lang w:val="nl-NL"/>
        </w:rPr>
        <w:t xml:space="preserve"> wordt verschillend gedacht over </w:t>
      </w:r>
      <w:r>
        <w:rPr>
          <w:szCs w:val="18"/>
          <w:lang w:val="nl-NL"/>
        </w:rPr>
        <w:t>voortzetting</w:t>
      </w:r>
      <w:r w:rsidRPr="00CC27FF">
        <w:rPr>
          <w:szCs w:val="18"/>
          <w:lang w:val="nl-NL"/>
        </w:rPr>
        <w:t xml:space="preserve"> na 2020. Een zeker</w:t>
      </w:r>
      <w:r>
        <w:rPr>
          <w:szCs w:val="18"/>
          <w:lang w:val="nl-NL"/>
        </w:rPr>
        <w:t>e</w:t>
      </w:r>
      <w:r w:rsidRPr="00CC27FF">
        <w:rPr>
          <w:szCs w:val="18"/>
          <w:lang w:val="nl-NL"/>
        </w:rPr>
        <w:t xml:space="preserve"> mate van samenwerking is gewenst</w:t>
      </w:r>
      <w:r>
        <w:rPr>
          <w:szCs w:val="18"/>
          <w:lang w:val="nl-NL"/>
        </w:rPr>
        <w:t>,</w:t>
      </w:r>
      <w:r w:rsidRPr="00CC27FF">
        <w:rPr>
          <w:szCs w:val="18"/>
          <w:lang w:val="nl-NL"/>
        </w:rPr>
        <w:t xml:space="preserve"> maar </w:t>
      </w:r>
      <w:r>
        <w:rPr>
          <w:szCs w:val="18"/>
          <w:lang w:val="nl-NL"/>
        </w:rPr>
        <w:t xml:space="preserve">de </w:t>
      </w:r>
      <w:r w:rsidRPr="00CC27FF">
        <w:rPr>
          <w:szCs w:val="18"/>
          <w:lang w:val="nl-NL"/>
        </w:rPr>
        <w:t>vorm kan verschillen per netwerk.</w:t>
      </w:r>
    </w:p>
    <w:p w:rsidR="000825B2" w:rsidP="000825B2" w:rsidRDefault="000825B2" w14:paraId="3D9BC45B" w14:textId="5767A7DD">
      <w:pPr>
        <w:pBdr>
          <w:top w:val="single" w:color="auto" w:sz="4" w:space="1"/>
          <w:left w:val="single" w:color="auto" w:sz="4" w:space="1"/>
          <w:bottom w:val="single" w:color="auto" w:sz="4" w:space="1"/>
          <w:right w:val="single" w:color="auto" w:sz="4" w:space="1"/>
        </w:pBdr>
        <w:rPr>
          <w:szCs w:val="18"/>
          <w:lang w:val="nl-NL"/>
        </w:rPr>
      </w:pPr>
      <w:r w:rsidRPr="007F04CE">
        <w:rPr>
          <w:szCs w:val="18"/>
          <w:lang w:val="nl-NL"/>
        </w:rPr>
        <w:t xml:space="preserve">De </w:t>
      </w:r>
      <w:r w:rsidRPr="00AF1E71">
        <w:rPr>
          <w:bCs/>
          <w:i/>
          <w:iCs/>
          <w:szCs w:val="18"/>
          <w:lang w:val="nl-NL"/>
        </w:rPr>
        <w:t>Green Deal</w:t>
      </w:r>
      <w:r w:rsidRPr="00AF1E71">
        <w:rPr>
          <w:bCs/>
          <w:szCs w:val="18"/>
          <w:lang w:val="nl-NL"/>
        </w:rPr>
        <w:t xml:space="preserve"> Schone Stranden</w:t>
      </w:r>
      <w:r w:rsidRPr="00B37BAE">
        <w:rPr>
          <w:b/>
          <w:szCs w:val="18"/>
          <w:lang w:val="nl-NL"/>
        </w:rPr>
        <w:t xml:space="preserve"> </w:t>
      </w:r>
      <w:r w:rsidRPr="007F04CE">
        <w:rPr>
          <w:szCs w:val="18"/>
          <w:lang w:val="nl-NL"/>
        </w:rPr>
        <w:t>liep tot en met 2020. Concrete resultaten bleken lastig te meten door het gebrek aan SMART</w:t>
      </w:r>
      <w:r>
        <w:rPr>
          <w:szCs w:val="18"/>
          <w:lang w:val="nl-NL"/>
        </w:rPr>
        <w:t>-</w:t>
      </w:r>
      <w:r w:rsidRPr="007F04CE">
        <w:rPr>
          <w:szCs w:val="18"/>
          <w:lang w:val="nl-NL"/>
        </w:rPr>
        <w:t xml:space="preserve">doelstellingen. Hierdoor is niet vast te stellen of de stranden schoner zijn geworden door </w:t>
      </w:r>
      <w:r>
        <w:rPr>
          <w:szCs w:val="18"/>
          <w:lang w:val="nl-NL"/>
        </w:rPr>
        <w:t xml:space="preserve">toedoen van </w:t>
      </w:r>
      <w:r w:rsidRPr="007F04CE">
        <w:rPr>
          <w:szCs w:val="18"/>
          <w:lang w:val="nl-NL"/>
        </w:rPr>
        <w:t xml:space="preserve">de </w:t>
      </w:r>
      <w:r w:rsidRPr="00AF1E71">
        <w:rPr>
          <w:i/>
          <w:iCs/>
          <w:szCs w:val="18"/>
          <w:lang w:val="nl-NL"/>
        </w:rPr>
        <w:t>Green Deal</w:t>
      </w:r>
      <w:r w:rsidRPr="007F04CE">
        <w:rPr>
          <w:szCs w:val="18"/>
          <w:lang w:val="nl-NL"/>
        </w:rPr>
        <w:t xml:space="preserve"> Schone Strand</w:t>
      </w:r>
      <w:r>
        <w:rPr>
          <w:szCs w:val="18"/>
          <w:lang w:val="nl-NL"/>
        </w:rPr>
        <w:t>en</w:t>
      </w:r>
      <w:r w:rsidRPr="007F04CE">
        <w:rPr>
          <w:szCs w:val="18"/>
          <w:lang w:val="nl-NL"/>
        </w:rPr>
        <w:t xml:space="preserve">. Wel is vastgesteld dat het aantal deelnemers jaarlijks is gestegen en </w:t>
      </w:r>
      <w:r>
        <w:rPr>
          <w:szCs w:val="18"/>
          <w:lang w:val="nl-NL"/>
        </w:rPr>
        <w:t xml:space="preserve">dat </w:t>
      </w:r>
      <w:r w:rsidRPr="007F04CE">
        <w:rPr>
          <w:szCs w:val="18"/>
          <w:lang w:val="nl-NL"/>
        </w:rPr>
        <w:t xml:space="preserve">acties rondom beheer en kennisdeling goed zijn uitgevoerd. </w:t>
      </w:r>
      <w:r>
        <w:rPr>
          <w:szCs w:val="18"/>
          <w:lang w:val="nl-NL"/>
        </w:rPr>
        <w:t>Verkorte OSPAR metingen die na afronding van de evaluatie op toeristische stranden zijn uitgevoerd laten een stevige afname van het aantal gevonden zwerfvuil items in de loop van de jaren zien</w:t>
      </w:r>
      <w:r>
        <w:rPr>
          <w:rStyle w:val="FootnoteReference"/>
          <w:szCs w:val="18"/>
          <w:lang w:val="nl-NL"/>
        </w:rPr>
        <w:footnoteReference w:id="13"/>
      </w:r>
      <w:r>
        <w:rPr>
          <w:szCs w:val="18"/>
          <w:lang w:val="nl-NL"/>
        </w:rPr>
        <w:t xml:space="preserve">. Verantwoord omgaan met afval door strandgasten kan op een betere manier worden gestimuleerd. </w:t>
      </w:r>
      <w:r>
        <w:rPr>
          <w:lang w:val="nl-NL"/>
        </w:rPr>
        <w:t xml:space="preserve">Die beïnvloeding bestond </w:t>
      </w:r>
      <w:r>
        <w:rPr>
          <w:szCs w:val="18"/>
          <w:lang w:val="nl-NL"/>
        </w:rPr>
        <w:t xml:space="preserve">vooral uit </w:t>
      </w:r>
      <w:r w:rsidRPr="00AC2DA8">
        <w:rPr>
          <w:szCs w:val="18"/>
          <w:lang w:val="nl-NL"/>
        </w:rPr>
        <w:t xml:space="preserve">voorlichting en </w:t>
      </w:r>
      <w:r>
        <w:rPr>
          <w:szCs w:val="18"/>
          <w:lang w:val="nl-NL"/>
        </w:rPr>
        <w:t>het plaatsen van extra afval</w:t>
      </w:r>
      <w:r w:rsidRPr="00AC2DA8">
        <w:rPr>
          <w:szCs w:val="18"/>
          <w:lang w:val="nl-NL"/>
        </w:rPr>
        <w:t>voorzieningen</w:t>
      </w:r>
      <w:r>
        <w:rPr>
          <w:szCs w:val="18"/>
          <w:lang w:val="nl-NL"/>
        </w:rPr>
        <w:t>.</w:t>
      </w:r>
    </w:p>
    <w:p w:rsidR="000825B2" w:rsidP="000825B2" w:rsidRDefault="000825B2" w14:paraId="1BC8B3BF" w14:textId="77777777">
      <w:pPr>
        <w:pBdr>
          <w:top w:val="single" w:color="auto" w:sz="4" w:space="1"/>
          <w:left w:val="single" w:color="auto" w:sz="4" w:space="1"/>
          <w:bottom w:val="single" w:color="auto" w:sz="4" w:space="1"/>
          <w:right w:val="single" w:color="auto" w:sz="4" w:space="1"/>
        </w:pBdr>
        <w:rPr>
          <w:szCs w:val="18"/>
          <w:lang w:val="nl-NL"/>
        </w:rPr>
      </w:pPr>
      <w:r w:rsidRPr="00B07B82">
        <w:rPr>
          <w:szCs w:val="18"/>
          <w:lang w:val="nl-NL"/>
        </w:rPr>
        <w:t xml:space="preserve">Binnen de </w:t>
      </w:r>
      <w:r w:rsidRPr="00AF1E71">
        <w:rPr>
          <w:bCs/>
          <w:i/>
          <w:iCs/>
          <w:szCs w:val="18"/>
          <w:lang w:val="nl-NL"/>
        </w:rPr>
        <w:t>Green Deal</w:t>
      </w:r>
      <w:r w:rsidRPr="00AF1E71">
        <w:rPr>
          <w:bCs/>
          <w:szCs w:val="18"/>
          <w:lang w:val="nl-NL"/>
        </w:rPr>
        <w:t xml:space="preserve"> Scheepsafvalketen</w:t>
      </w:r>
      <w:r w:rsidRPr="00B07B82">
        <w:rPr>
          <w:szCs w:val="18"/>
          <w:lang w:val="nl-NL"/>
        </w:rPr>
        <w:t xml:space="preserve"> zijn de resultaten </w:t>
      </w:r>
      <w:r>
        <w:rPr>
          <w:szCs w:val="18"/>
          <w:lang w:val="nl-NL"/>
        </w:rPr>
        <w:t>van</w:t>
      </w:r>
      <w:r w:rsidRPr="00B07B82">
        <w:rPr>
          <w:szCs w:val="18"/>
          <w:lang w:val="nl-NL"/>
        </w:rPr>
        <w:t xml:space="preserve"> het gescheiden afleveren, afvoeren en verwerken van plastics door schepen in de Nederlandse havens zeer dicht in de buurt gekomen van wat werd beoogd. Relatief </w:t>
      </w:r>
      <w:r>
        <w:rPr>
          <w:szCs w:val="18"/>
          <w:lang w:val="nl-NL"/>
        </w:rPr>
        <w:t>laagdrempelige</w:t>
      </w:r>
      <w:r w:rsidRPr="00B07B82">
        <w:rPr>
          <w:szCs w:val="18"/>
          <w:lang w:val="nl-NL"/>
        </w:rPr>
        <w:t xml:space="preserve"> acties, zoals het gescheiden inzamelen van plastic afval</w:t>
      </w:r>
      <w:r>
        <w:rPr>
          <w:szCs w:val="18"/>
          <w:lang w:val="nl-NL"/>
        </w:rPr>
        <w:t>,</w:t>
      </w:r>
      <w:r w:rsidRPr="00B07B82">
        <w:rPr>
          <w:szCs w:val="18"/>
          <w:lang w:val="nl-NL"/>
        </w:rPr>
        <w:t xml:space="preserve"> zijn allemaal uitgevoerd. Daarnaast is in Amsterdam en Rotterdam een financiële prikkel ingevoerd voor het gescheiden afleveren van schoon plastic dat vervolgens gratis wordt opgehaald door de afvalinzamelaar. De meer complexe activiteiten, zoals het afstemmen van de afvalinzameling op bevoorrading</w:t>
      </w:r>
      <w:r>
        <w:rPr>
          <w:szCs w:val="18"/>
          <w:lang w:val="nl-NL"/>
        </w:rPr>
        <w:t>,</w:t>
      </w:r>
      <w:r w:rsidRPr="00B07B82">
        <w:rPr>
          <w:szCs w:val="18"/>
          <w:lang w:val="nl-NL"/>
        </w:rPr>
        <w:t xml:space="preserve"> waren minder succesvol en bleken</w:t>
      </w:r>
      <w:r>
        <w:rPr>
          <w:szCs w:val="18"/>
          <w:lang w:val="nl-NL"/>
        </w:rPr>
        <w:t xml:space="preserve"> haalbaarder </w:t>
      </w:r>
      <w:r w:rsidRPr="00B07B82">
        <w:rPr>
          <w:szCs w:val="18"/>
          <w:lang w:val="nl-NL"/>
        </w:rPr>
        <w:t>in kleinere havens.</w:t>
      </w:r>
    </w:p>
    <w:p w:rsidRPr="00B07B82" w:rsidR="000825B2" w:rsidP="000825B2" w:rsidRDefault="000825B2" w14:paraId="7DA4744F" w14:textId="3E9FADEA">
      <w:pPr>
        <w:pBdr>
          <w:top w:val="single" w:color="auto" w:sz="4" w:space="1"/>
          <w:left w:val="single" w:color="auto" w:sz="4" w:space="1"/>
          <w:bottom w:val="single" w:color="auto" w:sz="4" w:space="1"/>
          <w:right w:val="single" w:color="auto" w:sz="4" w:space="1"/>
        </w:pBdr>
        <w:rPr>
          <w:lang w:val="nl-NL"/>
        </w:rPr>
      </w:pPr>
      <w:r w:rsidRPr="00B07B82">
        <w:rPr>
          <w:lang w:val="nl-NL"/>
        </w:rPr>
        <w:t xml:space="preserve">De evaluatie van de </w:t>
      </w:r>
      <w:r w:rsidRPr="00AF1E71">
        <w:rPr>
          <w:bCs/>
          <w:i/>
          <w:iCs/>
          <w:lang w:val="nl-NL"/>
        </w:rPr>
        <w:t>Green Deal</w:t>
      </w:r>
      <w:r w:rsidRPr="00AF1E71">
        <w:rPr>
          <w:bCs/>
          <w:lang w:val="nl-NL"/>
        </w:rPr>
        <w:t xml:space="preserve"> Visserij voor een Schone</w:t>
      </w:r>
      <w:r w:rsidRPr="00B07B82">
        <w:rPr>
          <w:lang w:val="nl-NL"/>
        </w:rPr>
        <w:t xml:space="preserve"> Zee </w:t>
      </w:r>
      <w:r w:rsidR="003C2CC5">
        <w:rPr>
          <w:lang w:val="nl-NL"/>
        </w:rPr>
        <w:t>[37]</w:t>
      </w:r>
      <w:r w:rsidRPr="00B07B82">
        <w:rPr>
          <w:lang w:val="nl-NL"/>
        </w:rPr>
        <w:t xml:space="preserve"> liet zien dat over het behalen van de meeste doelen positief werd gedacht. </w:t>
      </w:r>
      <w:r>
        <w:rPr>
          <w:lang w:val="nl-NL"/>
        </w:rPr>
        <w:t xml:space="preserve">De </w:t>
      </w:r>
      <w:r w:rsidRPr="00B07B82">
        <w:rPr>
          <w:lang w:val="nl-NL"/>
        </w:rPr>
        <w:t xml:space="preserve">afvalbeheerfaciliteiten </w:t>
      </w:r>
      <w:r>
        <w:rPr>
          <w:lang w:val="nl-NL"/>
        </w:rPr>
        <w:t xml:space="preserve">zijn </w:t>
      </w:r>
      <w:r w:rsidRPr="00B07B82">
        <w:rPr>
          <w:lang w:val="nl-NL"/>
        </w:rPr>
        <w:t>in de meeste havens verbeterd</w:t>
      </w:r>
      <w:r>
        <w:rPr>
          <w:lang w:val="nl-NL"/>
        </w:rPr>
        <w:t xml:space="preserve">, het blijkt </w:t>
      </w:r>
      <w:r w:rsidRPr="00B07B82">
        <w:rPr>
          <w:lang w:val="nl-NL"/>
        </w:rPr>
        <w:t>mogelijk om verschillende afvalstromen in te zamelen</w:t>
      </w:r>
      <w:r>
        <w:rPr>
          <w:lang w:val="nl-NL"/>
        </w:rPr>
        <w:t xml:space="preserve"> en er zijn</w:t>
      </w:r>
      <w:r w:rsidRPr="00B07B82">
        <w:rPr>
          <w:lang w:val="nl-NL"/>
        </w:rPr>
        <w:t xml:space="preserve"> </w:t>
      </w:r>
      <w:r>
        <w:rPr>
          <w:lang w:val="nl-NL"/>
        </w:rPr>
        <w:t>grote</w:t>
      </w:r>
      <w:r w:rsidRPr="00B07B82">
        <w:rPr>
          <w:lang w:val="nl-NL"/>
        </w:rPr>
        <w:t xml:space="preserve"> stappen gezet in </w:t>
      </w:r>
      <w:r>
        <w:rPr>
          <w:lang w:val="nl-NL"/>
        </w:rPr>
        <w:t xml:space="preserve">het </w:t>
      </w:r>
      <w:r w:rsidRPr="00B07B82">
        <w:rPr>
          <w:lang w:val="nl-NL"/>
        </w:rPr>
        <w:t>integraal afvalbeheer en de verwerking van verschillende afvalstromen.</w:t>
      </w:r>
      <w:r>
        <w:rPr>
          <w:lang w:val="nl-NL"/>
        </w:rPr>
        <w:t xml:space="preserve"> </w:t>
      </w:r>
      <w:r w:rsidRPr="00B07B82">
        <w:rPr>
          <w:lang w:val="nl-NL"/>
        </w:rPr>
        <w:t xml:space="preserve">Daarnaast wordt in acht Nederlandse havens </w:t>
      </w:r>
      <w:r w:rsidRPr="00AF1E71">
        <w:rPr>
          <w:i/>
          <w:iCs/>
          <w:lang w:val="nl-NL"/>
        </w:rPr>
        <w:t>end-of-life</w:t>
      </w:r>
      <w:r w:rsidRPr="00B07B82">
        <w:rPr>
          <w:lang w:val="nl-NL"/>
        </w:rPr>
        <w:t xml:space="preserve"> vistuig apart ingezameld en zoveel mogelijk gerecycled</w:t>
      </w:r>
      <w:r>
        <w:rPr>
          <w:lang w:val="nl-NL"/>
        </w:rPr>
        <w:t xml:space="preserve">. In </w:t>
      </w:r>
      <w:r w:rsidRPr="00B07B82">
        <w:rPr>
          <w:lang w:val="nl-NL"/>
        </w:rPr>
        <w:t xml:space="preserve">vijf havens </w:t>
      </w:r>
      <w:r>
        <w:rPr>
          <w:lang w:val="nl-NL"/>
        </w:rPr>
        <w:t xml:space="preserve">kan </w:t>
      </w:r>
      <w:r w:rsidRPr="00B07B82">
        <w:rPr>
          <w:lang w:val="nl-NL"/>
        </w:rPr>
        <w:t xml:space="preserve">pluis apart worden ingeleverd. </w:t>
      </w:r>
      <w:r>
        <w:rPr>
          <w:lang w:val="nl-NL"/>
        </w:rPr>
        <w:t xml:space="preserve">Dat neemt niet weg dat er </w:t>
      </w:r>
      <w:r w:rsidRPr="00B07B82">
        <w:rPr>
          <w:lang w:val="nl-NL"/>
        </w:rPr>
        <w:t>voor de toekomst nog wel uitdagingen</w:t>
      </w:r>
      <w:r>
        <w:rPr>
          <w:lang w:val="nl-NL"/>
        </w:rPr>
        <w:t xml:space="preserve"> zijn</w:t>
      </w:r>
      <w:r w:rsidRPr="00B07B82">
        <w:rPr>
          <w:lang w:val="nl-NL"/>
        </w:rPr>
        <w:t xml:space="preserve">. </w:t>
      </w:r>
      <w:r>
        <w:rPr>
          <w:lang w:val="nl-NL"/>
        </w:rPr>
        <w:t>Vooral</w:t>
      </w:r>
      <w:r w:rsidRPr="00B07B82">
        <w:rPr>
          <w:lang w:val="nl-NL"/>
        </w:rPr>
        <w:t xml:space="preserve"> rondom bewustwordingsmaatregelen en het </w:t>
      </w:r>
      <w:r>
        <w:rPr>
          <w:lang w:val="nl-NL"/>
        </w:rPr>
        <w:t>mogelijk maken</w:t>
      </w:r>
      <w:r w:rsidRPr="00B07B82">
        <w:rPr>
          <w:lang w:val="nl-NL"/>
        </w:rPr>
        <w:t xml:space="preserve"> van recycling ligt er nog een opgave. Gedurende 2020 zijn deze met de partners verder uitgewerkt en</w:t>
      </w:r>
      <w:r>
        <w:rPr>
          <w:lang w:val="nl-NL"/>
        </w:rPr>
        <w:t xml:space="preserve"> meegenomen</w:t>
      </w:r>
      <w:r w:rsidRPr="00B07B82">
        <w:rPr>
          <w:lang w:val="nl-NL"/>
        </w:rPr>
        <w:t xml:space="preserve"> </w:t>
      </w:r>
      <w:r>
        <w:rPr>
          <w:lang w:val="nl-NL"/>
        </w:rPr>
        <w:t>naar</w:t>
      </w:r>
      <w:r w:rsidRPr="00B07B82">
        <w:rPr>
          <w:lang w:val="nl-NL"/>
        </w:rPr>
        <w:t xml:space="preserve"> een nieuwe samenwerkingsvorm. </w:t>
      </w:r>
    </w:p>
    <w:p w:rsidRPr="00B07B82" w:rsidR="000825B2" w:rsidP="000825B2" w:rsidRDefault="000825B2" w14:paraId="290EF74F" w14:textId="77777777">
      <w:pPr>
        <w:pBdr>
          <w:top w:val="single" w:color="auto" w:sz="4" w:space="1"/>
          <w:left w:val="single" w:color="auto" w:sz="4" w:space="1"/>
          <w:bottom w:val="single" w:color="auto" w:sz="4" w:space="1"/>
          <w:right w:val="single" w:color="auto" w:sz="4" w:space="1"/>
        </w:pBdr>
        <w:rPr>
          <w:szCs w:val="18"/>
          <w:lang w:val="nl-NL"/>
        </w:rPr>
      </w:pPr>
      <w:r w:rsidRPr="00B07B82">
        <w:rPr>
          <w:szCs w:val="18"/>
          <w:lang w:val="nl-NL"/>
        </w:rPr>
        <w:t xml:space="preserve">Sinds de </w:t>
      </w:r>
      <w:r w:rsidRPr="00AF1E71">
        <w:rPr>
          <w:bCs/>
          <w:i/>
          <w:iCs/>
          <w:szCs w:val="18"/>
          <w:lang w:val="nl-NL"/>
        </w:rPr>
        <w:t xml:space="preserve">Green Deal </w:t>
      </w:r>
      <w:r w:rsidRPr="00AF1E71">
        <w:rPr>
          <w:bCs/>
          <w:szCs w:val="18"/>
          <w:lang w:val="nl-NL"/>
        </w:rPr>
        <w:t>Sportvisserij Loodvrij</w:t>
      </w:r>
      <w:r w:rsidRPr="00B07B82">
        <w:rPr>
          <w:szCs w:val="18"/>
          <w:lang w:val="nl-NL"/>
        </w:rPr>
        <w:t xml:space="preserve"> </w:t>
      </w:r>
      <w:r>
        <w:rPr>
          <w:szCs w:val="18"/>
          <w:lang w:val="nl-NL"/>
        </w:rPr>
        <w:t xml:space="preserve">van start ging, is </w:t>
      </w:r>
      <w:r w:rsidRPr="00B07B82">
        <w:rPr>
          <w:szCs w:val="18"/>
          <w:lang w:val="nl-NL"/>
        </w:rPr>
        <w:t>via de communicatiekanalen van de sportvisserij</w:t>
      </w:r>
      <w:r>
        <w:rPr>
          <w:szCs w:val="18"/>
          <w:lang w:val="nl-NL"/>
        </w:rPr>
        <w:t xml:space="preserve"> </w:t>
      </w:r>
      <w:r w:rsidRPr="00B07B82">
        <w:rPr>
          <w:szCs w:val="18"/>
          <w:lang w:val="nl-NL"/>
        </w:rPr>
        <w:t xml:space="preserve">gericht </w:t>
      </w:r>
      <w:r>
        <w:rPr>
          <w:szCs w:val="18"/>
          <w:lang w:val="nl-NL"/>
        </w:rPr>
        <w:t>ge</w:t>
      </w:r>
      <w:r w:rsidRPr="00B07B82">
        <w:rPr>
          <w:szCs w:val="18"/>
          <w:lang w:val="nl-NL"/>
        </w:rPr>
        <w:t>communic</w:t>
      </w:r>
      <w:r>
        <w:rPr>
          <w:szCs w:val="18"/>
          <w:lang w:val="nl-NL"/>
        </w:rPr>
        <w:t>eerd</w:t>
      </w:r>
      <w:r w:rsidRPr="00B07B82">
        <w:rPr>
          <w:szCs w:val="18"/>
          <w:lang w:val="nl-NL"/>
        </w:rPr>
        <w:t xml:space="preserve"> over de mogelijkheden tot vermindering van loodgebruik (website, periodieken, hengelsportwinkels en -beurzen). </w:t>
      </w:r>
      <w:r>
        <w:rPr>
          <w:szCs w:val="18"/>
          <w:lang w:val="nl-NL"/>
        </w:rPr>
        <w:t>Ook zijn</w:t>
      </w:r>
      <w:r w:rsidRPr="00B07B82">
        <w:rPr>
          <w:szCs w:val="18"/>
          <w:lang w:val="nl-NL"/>
        </w:rPr>
        <w:t xml:space="preserve"> steeds meer viswedstrijden </w:t>
      </w:r>
      <w:r>
        <w:rPr>
          <w:szCs w:val="18"/>
          <w:lang w:val="nl-NL"/>
        </w:rPr>
        <w:t>‘loodvrij’.</w:t>
      </w:r>
      <w:r w:rsidRPr="00B07B82">
        <w:rPr>
          <w:szCs w:val="18"/>
          <w:lang w:val="nl-NL"/>
        </w:rPr>
        <w:t xml:space="preserve"> </w:t>
      </w:r>
      <w:r>
        <w:rPr>
          <w:szCs w:val="18"/>
          <w:lang w:val="nl-NL"/>
        </w:rPr>
        <w:t>R</w:t>
      </w:r>
      <w:r w:rsidRPr="00B07B82">
        <w:rPr>
          <w:szCs w:val="18"/>
          <w:lang w:val="nl-NL"/>
        </w:rPr>
        <w:t xml:space="preserve">ondom viswateren </w:t>
      </w:r>
      <w:r>
        <w:rPr>
          <w:szCs w:val="18"/>
          <w:lang w:val="nl-NL"/>
        </w:rPr>
        <w:t xml:space="preserve">zijn </w:t>
      </w:r>
      <w:r w:rsidRPr="00B07B82">
        <w:rPr>
          <w:szCs w:val="18"/>
          <w:lang w:val="nl-NL"/>
        </w:rPr>
        <w:t>informatieborden geplaatst</w:t>
      </w:r>
      <w:r>
        <w:rPr>
          <w:szCs w:val="18"/>
          <w:lang w:val="nl-NL"/>
        </w:rPr>
        <w:t>. I</w:t>
      </w:r>
      <w:r w:rsidRPr="00B07B82">
        <w:rPr>
          <w:szCs w:val="18"/>
          <w:lang w:val="nl-NL"/>
        </w:rPr>
        <w:t xml:space="preserve">nruilacties </w:t>
      </w:r>
      <w:r>
        <w:rPr>
          <w:szCs w:val="18"/>
          <w:lang w:val="nl-NL"/>
        </w:rPr>
        <w:t xml:space="preserve">nodigen sportvissers uit om over te stappen op alternatieven voor lood. </w:t>
      </w:r>
      <w:r w:rsidRPr="00B07B82">
        <w:rPr>
          <w:szCs w:val="18"/>
          <w:lang w:val="nl-NL"/>
        </w:rPr>
        <w:t>Veel van deze acties waren in eerste instantie</w:t>
      </w:r>
      <w:r>
        <w:rPr>
          <w:szCs w:val="18"/>
          <w:lang w:val="nl-NL"/>
        </w:rPr>
        <w:t xml:space="preserve"> gericht</w:t>
      </w:r>
      <w:r w:rsidRPr="00B07B82">
        <w:rPr>
          <w:szCs w:val="18"/>
          <w:lang w:val="nl-NL"/>
        </w:rPr>
        <w:t xml:space="preserve"> op de sportvisserij op zoetwater. </w:t>
      </w:r>
      <w:r>
        <w:rPr>
          <w:szCs w:val="18"/>
          <w:lang w:val="nl-NL"/>
        </w:rPr>
        <w:t xml:space="preserve">Niet minder dan 76 procent van het loodverlies komt echter voor rekening van de </w:t>
      </w:r>
      <w:r w:rsidRPr="00B07B82">
        <w:rPr>
          <w:szCs w:val="18"/>
          <w:lang w:val="nl-NL"/>
        </w:rPr>
        <w:t>sportvisserij op zee</w:t>
      </w:r>
      <w:r>
        <w:rPr>
          <w:szCs w:val="18"/>
          <w:lang w:val="nl-NL"/>
        </w:rPr>
        <w:t>. Ook binnen deze tak van de sportvisserij is ge</w:t>
      </w:r>
      <w:r w:rsidRPr="00B07B82">
        <w:rPr>
          <w:szCs w:val="18"/>
          <w:lang w:val="nl-NL"/>
        </w:rPr>
        <w:t>communic</w:t>
      </w:r>
      <w:r>
        <w:rPr>
          <w:szCs w:val="18"/>
          <w:lang w:val="nl-NL"/>
        </w:rPr>
        <w:t xml:space="preserve">eerd over </w:t>
      </w:r>
      <w:r w:rsidRPr="00B07B82">
        <w:rPr>
          <w:szCs w:val="18"/>
          <w:lang w:val="nl-NL"/>
        </w:rPr>
        <w:t xml:space="preserve">vermindering van </w:t>
      </w:r>
      <w:r>
        <w:rPr>
          <w:szCs w:val="18"/>
          <w:lang w:val="nl-NL"/>
        </w:rPr>
        <w:t xml:space="preserve">het gebruik van </w:t>
      </w:r>
      <w:r w:rsidRPr="00B07B82">
        <w:rPr>
          <w:szCs w:val="18"/>
          <w:lang w:val="nl-NL"/>
        </w:rPr>
        <w:t>lood</w:t>
      </w:r>
      <w:r>
        <w:rPr>
          <w:szCs w:val="18"/>
          <w:lang w:val="nl-NL"/>
        </w:rPr>
        <w:t xml:space="preserve">, maar voortzetting van dit traject is nodig. </w:t>
      </w:r>
    </w:p>
    <w:p w:rsidR="000825B2" w:rsidP="000825B2" w:rsidRDefault="000825B2" w14:paraId="3E3247DF" w14:textId="77777777">
      <w:pPr>
        <w:pStyle w:val="CommentText"/>
        <w:rPr>
          <w:b/>
          <w:iCs/>
          <w:color w:val="000000"/>
          <w:sz w:val="18"/>
          <w:szCs w:val="18"/>
          <w:lang w:val="nl-NL"/>
        </w:rPr>
      </w:pPr>
    </w:p>
    <w:p w:rsidRPr="008E14F1" w:rsidR="000825B2" w:rsidP="000825B2" w:rsidRDefault="000825B2" w14:paraId="29FC1C5E" w14:textId="77777777">
      <w:pPr>
        <w:pBdr>
          <w:top w:val="single" w:color="auto" w:sz="4" w:space="1"/>
          <w:left w:val="single" w:color="auto" w:sz="4" w:space="4"/>
          <w:bottom w:val="single" w:color="auto" w:sz="4" w:space="12"/>
          <w:right w:val="single" w:color="auto" w:sz="4" w:space="4"/>
        </w:pBdr>
        <w:rPr>
          <w:rStyle w:val="IntenseEmphasis"/>
          <w:lang w:val="nl-NL"/>
        </w:rPr>
      </w:pPr>
      <w:r w:rsidRPr="008E14F1">
        <w:rPr>
          <w:rStyle w:val="IntenseEmphasis"/>
          <w:lang w:val="nl-NL"/>
        </w:rPr>
        <w:t>Tekstbox 2: Gevolgen van het incident van de MSC Zo</w:t>
      </w:r>
      <w:r>
        <w:rPr>
          <w:rStyle w:val="IntenseEmphasis"/>
          <w:lang w:val="nl-NL"/>
        </w:rPr>
        <w:t>e</w:t>
      </w:r>
      <w:r w:rsidRPr="008E14F1">
        <w:rPr>
          <w:rStyle w:val="IntenseEmphasis"/>
          <w:lang w:val="nl-NL"/>
        </w:rPr>
        <w:t xml:space="preserve"> </w:t>
      </w:r>
    </w:p>
    <w:p w:rsidR="000825B2" w:rsidP="000825B2" w:rsidRDefault="000825B2" w14:paraId="47D8FA45" w14:textId="79400C9C">
      <w:pPr>
        <w:pStyle w:val="CommentText"/>
        <w:pBdr>
          <w:top w:val="single" w:color="auto" w:sz="4" w:space="1"/>
          <w:left w:val="single" w:color="auto" w:sz="4" w:space="4"/>
          <w:bottom w:val="single" w:color="auto" w:sz="4" w:space="12"/>
          <w:right w:val="single" w:color="auto" w:sz="4" w:space="4"/>
        </w:pBdr>
        <w:rPr>
          <w:iCs/>
          <w:color w:val="000000"/>
          <w:sz w:val="18"/>
          <w:szCs w:val="18"/>
          <w:lang w:val="nl-NL"/>
        </w:rPr>
      </w:pPr>
      <w:r w:rsidRPr="0050374C">
        <w:rPr>
          <w:iCs/>
          <w:color w:val="000000"/>
          <w:sz w:val="18"/>
          <w:szCs w:val="18"/>
          <w:lang w:val="nl-NL"/>
        </w:rPr>
        <w:t>In de nacht van 1 op 2 januari 2019 verloor de MS</w:t>
      </w:r>
      <w:r>
        <w:rPr>
          <w:iCs/>
          <w:color w:val="000000"/>
          <w:sz w:val="18"/>
          <w:szCs w:val="18"/>
          <w:lang w:val="nl-NL"/>
        </w:rPr>
        <w:t>C</w:t>
      </w:r>
      <w:r w:rsidRPr="0050374C">
        <w:rPr>
          <w:iCs/>
          <w:color w:val="000000"/>
          <w:sz w:val="18"/>
          <w:szCs w:val="18"/>
          <w:lang w:val="nl-NL"/>
        </w:rPr>
        <w:t xml:space="preserve"> Zo</w:t>
      </w:r>
      <w:r>
        <w:rPr>
          <w:iCs/>
          <w:color w:val="000000"/>
          <w:sz w:val="18"/>
          <w:szCs w:val="18"/>
          <w:lang w:val="nl-NL"/>
        </w:rPr>
        <w:t>e</w:t>
      </w:r>
      <w:r w:rsidRPr="0050374C">
        <w:rPr>
          <w:iCs/>
          <w:color w:val="000000"/>
          <w:sz w:val="18"/>
          <w:szCs w:val="18"/>
          <w:lang w:val="nl-NL"/>
        </w:rPr>
        <w:t xml:space="preserve"> 342 containers. Het gewicht van de verloren containers plus hun inhoud is ongeveer 3260 ton. Tijdens circa 1800 bergingen </w:t>
      </w:r>
      <w:r>
        <w:rPr>
          <w:iCs/>
          <w:color w:val="000000"/>
          <w:sz w:val="18"/>
          <w:szCs w:val="18"/>
          <w:lang w:val="nl-NL"/>
        </w:rPr>
        <w:t>zijn</w:t>
      </w:r>
      <w:r w:rsidRPr="0050374C">
        <w:rPr>
          <w:iCs/>
          <w:color w:val="000000"/>
          <w:sz w:val="18"/>
          <w:szCs w:val="18"/>
          <w:lang w:val="nl-NL"/>
        </w:rPr>
        <w:t xml:space="preserve"> </w:t>
      </w:r>
      <w:r>
        <w:rPr>
          <w:iCs/>
          <w:color w:val="000000"/>
          <w:sz w:val="18"/>
          <w:szCs w:val="18"/>
          <w:lang w:val="nl-NL"/>
        </w:rPr>
        <w:t xml:space="preserve">300 containers en is </w:t>
      </w:r>
      <w:r w:rsidRPr="0050374C">
        <w:rPr>
          <w:iCs/>
          <w:color w:val="000000"/>
          <w:sz w:val="18"/>
          <w:szCs w:val="18"/>
          <w:lang w:val="nl-NL"/>
        </w:rPr>
        <w:t>ruim 2400 ton geborgen. Veel zwerf</w:t>
      </w:r>
      <w:r>
        <w:rPr>
          <w:iCs/>
          <w:color w:val="000000"/>
          <w:sz w:val="18"/>
          <w:szCs w:val="18"/>
          <w:lang w:val="nl-NL"/>
        </w:rPr>
        <w:t>vuil</w:t>
      </w:r>
      <w:r w:rsidRPr="0050374C">
        <w:rPr>
          <w:iCs/>
          <w:color w:val="000000"/>
          <w:sz w:val="18"/>
          <w:szCs w:val="18"/>
          <w:lang w:val="nl-NL"/>
        </w:rPr>
        <w:t xml:space="preserve"> dat afkomstig is van de MSC Zo</w:t>
      </w:r>
      <w:r>
        <w:rPr>
          <w:iCs/>
          <w:color w:val="000000"/>
          <w:sz w:val="18"/>
          <w:szCs w:val="18"/>
          <w:lang w:val="nl-NL"/>
        </w:rPr>
        <w:t>e</w:t>
      </w:r>
      <w:r w:rsidRPr="0050374C">
        <w:rPr>
          <w:iCs/>
          <w:color w:val="000000"/>
          <w:sz w:val="18"/>
          <w:szCs w:val="18"/>
          <w:lang w:val="nl-NL"/>
        </w:rPr>
        <w:t xml:space="preserve"> is tot medio 2020 van Noordzeestranden en Waddenzeeoevers verwijderd</w:t>
      </w:r>
      <w:r>
        <w:rPr>
          <w:iCs/>
          <w:color w:val="000000"/>
          <w:sz w:val="18"/>
          <w:szCs w:val="18"/>
          <w:lang w:val="nl-NL"/>
        </w:rPr>
        <w:t>.</w:t>
      </w:r>
      <w:r w:rsidRPr="0050374C">
        <w:rPr>
          <w:iCs/>
          <w:color w:val="000000"/>
          <w:sz w:val="18"/>
          <w:szCs w:val="18"/>
          <w:lang w:val="nl-NL"/>
        </w:rPr>
        <w:t xml:space="preserve"> Het resterende afval dat niet geborgen kon worden</w:t>
      </w:r>
      <w:r>
        <w:rPr>
          <w:iCs/>
          <w:color w:val="000000"/>
          <w:sz w:val="18"/>
          <w:szCs w:val="18"/>
          <w:lang w:val="nl-NL"/>
        </w:rPr>
        <w:t>,</w:t>
      </w:r>
      <w:r w:rsidRPr="0050374C">
        <w:rPr>
          <w:iCs/>
          <w:color w:val="000000"/>
          <w:sz w:val="18"/>
          <w:szCs w:val="18"/>
          <w:lang w:val="nl-NL"/>
        </w:rPr>
        <w:t xml:space="preserve"> kan de volgende jaren in </w:t>
      </w:r>
      <w:r>
        <w:rPr>
          <w:iCs/>
          <w:color w:val="000000"/>
          <w:sz w:val="18"/>
          <w:szCs w:val="18"/>
          <w:lang w:val="nl-NL"/>
        </w:rPr>
        <w:t>de</w:t>
      </w:r>
      <w:r w:rsidRPr="0050374C">
        <w:rPr>
          <w:iCs/>
          <w:color w:val="000000"/>
          <w:sz w:val="18"/>
          <w:szCs w:val="18"/>
          <w:lang w:val="nl-NL"/>
        </w:rPr>
        <w:t xml:space="preserve"> zwerfvuil op zee monitoring zichtbaar zijn. </w:t>
      </w:r>
    </w:p>
    <w:p w:rsidR="000825B2" w:rsidP="000825B2" w:rsidRDefault="000825B2" w14:paraId="6A0604C7" w14:textId="30EEFFC3">
      <w:pPr>
        <w:pStyle w:val="CommentText"/>
        <w:pBdr>
          <w:top w:val="single" w:color="auto" w:sz="4" w:space="1"/>
          <w:left w:val="single" w:color="auto" w:sz="4" w:space="4"/>
          <w:bottom w:val="single" w:color="auto" w:sz="4" w:space="12"/>
          <w:right w:val="single" w:color="auto" w:sz="4" w:space="4"/>
        </w:pBdr>
        <w:rPr>
          <w:iCs/>
          <w:color w:val="000000"/>
          <w:sz w:val="18"/>
          <w:szCs w:val="18"/>
          <w:lang w:val="nl-NL"/>
        </w:rPr>
      </w:pPr>
      <w:r w:rsidRPr="00814696">
        <w:rPr>
          <w:iCs/>
          <w:color w:val="000000"/>
          <w:sz w:val="18"/>
          <w:szCs w:val="18"/>
          <w:lang w:val="nl-NL"/>
        </w:rPr>
        <w:t xml:space="preserve">Een dergelijk incident kan de goede milieutoestand van de Noordzee beïnvloeden. De verkenning van de ecologische effecten op de lange termijn </w:t>
      </w:r>
      <w:r>
        <w:rPr>
          <w:iCs/>
          <w:color w:val="000000"/>
          <w:sz w:val="18"/>
          <w:szCs w:val="18"/>
          <w:lang w:val="nl-NL"/>
        </w:rPr>
        <w:t>is</w:t>
      </w:r>
      <w:r w:rsidRPr="00814696">
        <w:rPr>
          <w:iCs/>
          <w:color w:val="000000"/>
          <w:sz w:val="18"/>
          <w:szCs w:val="18"/>
          <w:lang w:val="nl-NL"/>
        </w:rPr>
        <w:t xml:space="preserve"> in</w:t>
      </w:r>
      <w:r>
        <w:rPr>
          <w:iCs/>
          <w:color w:val="000000"/>
          <w:sz w:val="18"/>
          <w:szCs w:val="18"/>
          <w:lang w:val="nl-NL"/>
        </w:rPr>
        <w:t xml:space="preserve"> 2021</w:t>
      </w:r>
      <w:r w:rsidRPr="00814696">
        <w:rPr>
          <w:iCs/>
          <w:color w:val="000000"/>
          <w:sz w:val="18"/>
          <w:szCs w:val="18"/>
          <w:lang w:val="nl-NL"/>
        </w:rPr>
        <w:t xml:space="preserve"> </w:t>
      </w:r>
      <w:r>
        <w:rPr>
          <w:iCs/>
          <w:color w:val="000000"/>
          <w:sz w:val="18"/>
          <w:szCs w:val="18"/>
          <w:lang w:val="nl-NL"/>
        </w:rPr>
        <w:t>afgerond. De resultaten laten</w:t>
      </w:r>
      <w:r w:rsidRPr="00814696">
        <w:rPr>
          <w:iCs/>
          <w:color w:val="000000"/>
          <w:sz w:val="18"/>
          <w:szCs w:val="18"/>
          <w:lang w:val="nl-NL"/>
        </w:rPr>
        <w:t xml:space="preserve"> zien dat er geen significante negatieve effecten zijn van de onderzochte microplastics op de (bodem) ecologie van de Waddenzee</w:t>
      </w:r>
      <w:r w:rsidR="003C2CC5">
        <w:rPr>
          <w:iCs/>
          <w:color w:val="000000"/>
          <w:sz w:val="18"/>
          <w:szCs w:val="18"/>
          <w:lang w:val="nl-NL"/>
        </w:rPr>
        <w:t xml:space="preserve"> [38]</w:t>
      </w:r>
      <w:r w:rsidRPr="00814696">
        <w:rPr>
          <w:iCs/>
          <w:color w:val="000000"/>
          <w:sz w:val="18"/>
          <w:szCs w:val="18"/>
          <w:lang w:val="nl-NL"/>
        </w:rPr>
        <w:t xml:space="preserve">. </w:t>
      </w:r>
    </w:p>
    <w:p w:rsidR="000825B2" w:rsidP="000825B2" w:rsidRDefault="000825B2" w14:paraId="03F22CB9" w14:textId="423A8C92">
      <w:pPr>
        <w:pBdr>
          <w:top w:val="single" w:color="auto" w:sz="4" w:space="1"/>
          <w:left w:val="single" w:color="auto" w:sz="4" w:space="4"/>
          <w:bottom w:val="single" w:color="auto" w:sz="4" w:space="12"/>
          <w:right w:val="single" w:color="auto" w:sz="4" w:space="4"/>
        </w:pBdr>
        <w:rPr>
          <w:lang w:val="nl-NL"/>
        </w:rPr>
      </w:pPr>
      <w:r w:rsidRPr="004C6E07">
        <w:rPr>
          <w:iCs/>
          <w:color w:val="000000"/>
          <w:szCs w:val="18"/>
          <w:lang w:val="nl-NL"/>
        </w:rPr>
        <w:t>Er lopen v</w:t>
      </w:r>
      <w:r w:rsidRPr="004C6E07">
        <w:rPr>
          <w:iCs/>
          <w:szCs w:val="18"/>
          <w:lang w:val="nl-NL"/>
        </w:rPr>
        <w:t xml:space="preserve">erschillende trajecten om dit soort incidenten in de toekomst te voorkomen en </w:t>
      </w:r>
      <w:r w:rsidRPr="004C6E07">
        <w:rPr>
          <w:iCs/>
          <w:color w:val="000000"/>
          <w:szCs w:val="18"/>
          <w:lang w:val="nl-NL"/>
        </w:rPr>
        <w:t>om i</w:t>
      </w:r>
      <w:r w:rsidRPr="004C6E07">
        <w:rPr>
          <w:iCs/>
          <w:szCs w:val="18"/>
          <w:lang w:val="nl-NL"/>
        </w:rPr>
        <w:t>n het geval van een nieuw incident sneller en effectiever op te kunnen ruimen. De rampenplannen Noordzee en Waddenzee worden verbeterd (“sneller reageren”). Opties om</w:t>
      </w:r>
      <w:r w:rsidRPr="004C6E07">
        <w:rPr>
          <w:iCs/>
          <w:color w:val="000000"/>
          <w:szCs w:val="18"/>
          <w:lang w:val="nl-NL"/>
        </w:rPr>
        <w:t xml:space="preserve"> het risico op </w:t>
      </w:r>
      <w:r w:rsidRPr="004C6E07">
        <w:rPr>
          <w:iCs/>
          <w:szCs w:val="18"/>
          <w:lang w:val="nl-NL"/>
        </w:rPr>
        <w:t>verlies van container</w:t>
      </w:r>
      <w:r w:rsidRPr="004C6E07">
        <w:rPr>
          <w:iCs/>
          <w:color w:val="000000"/>
          <w:szCs w:val="18"/>
          <w:lang w:val="nl-NL"/>
        </w:rPr>
        <w:t>s</w:t>
      </w:r>
      <w:r w:rsidRPr="004C6E07">
        <w:rPr>
          <w:iCs/>
          <w:szCs w:val="18"/>
          <w:lang w:val="nl-NL"/>
        </w:rPr>
        <w:t xml:space="preserve"> nabij de kust te verminderen zijn al geïmplementeerd en worden verder verkend. Zo worden containerschepen in het gebied boven de Wadden in beide richtingen al gewaarschuwd over het risico van containerverlies tijdens bepaalde weersomstandigheden, en wordt specifieke informatie over golfrichting- en periode in het gebied verstrekt. Verder wordt de rol van diverse overheden in de nasleep van een incident onderzocht om het tijdige opruimen te faciliteren. H</w:t>
      </w:r>
      <w:r w:rsidRPr="004C6E07">
        <w:rPr>
          <w:rFonts w:eastAsia="Times New Roman" w:cs="Times New Roman"/>
          <w:szCs w:val="18"/>
          <w:lang w:val="nl-NL"/>
        </w:rPr>
        <w:t xml:space="preserve">et </w:t>
      </w:r>
      <w:r>
        <w:rPr>
          <w:rFonts w:eastAsia="Times New Roman" w:cs="Times New Roman"/>
          <w:i/>
          <w:szCs w:val="18"/>
          <w:lang w:val="nl-NL"/>
        </w:rPr>
        <w:t xml:space="preserve">Uitvoeringskader Bestrijding Kustverontreiniging Rijkswaterstaat </w:t>
      </w:r>
      <w:r w:rsidRPr="007D2AFE">
        <w:rPr>
          <w:rFonts w:eastAsia="Times New Roman" w:cs="Times New Roman"/>
          <w:szCs w:val="18"/>
          <w:lang w:val="nl-NL"/>
        </w:rPr>
        <w:t>(UBKR), voorheen</w:t>
      </w:r>
      <w:r>
        <w:rPr>
          <w:rFonts w:eastAsia="Times New Roman" w:cs="Times New Roman"/>
          <w:i/>
          <w:szCs w:val="18"/>
          <w:lang w:val="nl-NL"/>
        </w:rPr>
        <w:t xml:space="preserve"> </w:t>
      </w:r>
      <w:r w:rsidRPr="004C6E07">
        <w:rPr>
          <w:i/>
          <w:iCs/>
          <w:lang w:val="nl-NL"/>
        </w:rPr>
        <w:t xml:space="preserve">Samenwerkingsovereenkomst </w:t>
      </w:r>
      <w:r>
        <w:rPr>
          <w:i/>
          <w:iCs/>
          <w:lang w:val="nl-NL"/>
        </w:rPr>
        <w:t>B</w:t>
      </w:r>
      <w:r w:rsidRPr="004C6E07">
        <w:rPr>
          <w:i/>
          <w:iCs/>
          <w:lang w:val="nl-NL"/>
        </w:rPr>
        <w:t>estrijding Kustverontreiniging RWS-diensten</w:t>
      </w:r>
      <w:r w:rsidRPr="004C6E07">
        <w:rPr>
          <w:rFonts w:eastAsia="Times New Roman" w:cs="Times New Roman"/>
          <w:szCs w:val="18"/>
          <w:lang w:val="nl-NL"/>
        </w:rPr>
        <w:t xml:space="preserve"> (SBK)</w:t>
      </w:r>
      <w:r>
        <w:rPr>
          <w:rFonts w:eastAsia="Times New Roman" w:cs="Times New Roman"/>
          <w:szCs w:val="18"/>
          <w:lang w:val="nl-NL"/>
        </w:rPr>
        <w:t>, wordt herzien</w:t>
      </w:r>
      <w:r w:rsidRPr="004C6E07">
        <w:rPr>
          <w:rFonts w:eastAsia="Times New Roman" w:cs="Times New Roman"/>
          <w:szCs w:val="18"/>
          <w:lang w:val="nl-NL"/>
        </w:rPr>
        <w:t xml:space="preserve"> in samenspraak met gemeenten</w:t>
      </w:r>
      <w:r>
        <w:rPr>
          <w:rFonts w:eastAsia="Times New Roman" w:cs="Times New Roman"/>
          <w:szCs w:val="18"/>
          <w:lang w:val="nl-NL"/>
        </w:rPr>
        <w:t>,</w:t>
      </w:r>
      <w:r w:rsidRPr="004C6E07">
        <w:rPr>
          <w:rFonts w:eastAsia="Times New Roman" w:cs="Times New Roman"/>
          <w:szCs w:val="18"/>
          <w:lang w:val="nl-NL"/>
        </w:rPr>
        <w:t xml:space="preserve"> met als doel </w:t>
      </w:r>
      <w:r w:rsidRPr="003D333D">
        <w:rPr>
          <w:rFonts w:eastAsia="Times New Roman" w:cs="Times New Roman"/>
          <w:szCs w:val="18"/>
          <w:lang w:val="nl-NL"/>
        </w:rPr>
        <w:t xml:space="preserve">bij een </w:t>
      </w:r>
      <w:r>
        <w:rPr>
          <w:rFonts w:eastAsia="Times New Roman" w:cs="Times New Roman"/>
          <w:szCs w:val="18"/>
          <w:lang w:val="nl-NL"/>
        </w:rPr>
        <w:t>toekomstig maritiem ongeval</w:t>
      </w:r>
      <w:r w:rsidRPr="003D333D">
        <w:rPr>
          <w:rFonts w:eastAsia="Times New Roman" w:cs="Times New Roman"/>
          <w:szCs w:val="18"/>
          <w:lang w:val="nl-NL"/>
        </w:rPr>
        <w:t xml:space="preserve"> m</w:t>
      </w:r>
      <w:r>
        <w:rPr>
          <w:rFonts w:eastAsia="Times New Roman" w:cs="Times New Roman"/>
          <w:szCs w:val="18"/>
          <w:lang w:val="nl-NL"/>
        </w:rPr>
        <w:t xml:space="preserve">et plastics op zee de </w:t>
      </w:r>
      <w:r w:rsidRPr="004C6E07">
        <w:rPr>
          <w:rFonts w:eastAsia="Times New Roman" w:cs="Times New Roman"/>
          <w:szCs w:val="18"/>
          <w:lang w:val="nl-NL"/>
        </w:rPr>
        <w:t xml:space="preserve">milieuschade te </w:t>
      </w:r>
      <w:r>
        <w:rPr>
          <w:rFonts w:eastAsia="Times New Roman" w:cs="Times New Roman"/>
          <w:szCs w:val="18"/>
          <w:lang w:val="nl-NL"/>
        </w:rPr>
        <w:t>minimaliseren.</w:t>
      </w:r>
      <w:r w:rsidRPr="004C6E07">
        <w:rPr>
          <w:rFonts w:eastAsia="Times New Roman" w:cs="Times New Roman"/>
          <w:szCs w:val="18"/>
          <w:lang w:val="nl-NL"/>
        </w:rPr>
        <w:t xml:space="preserve"> </w:t>
      </w:r>
      <w:r>
        <w:rPr>
          <w:rFonts w:eastAsia="Times New Roman" w:cs="Times New Roman"/>
          <w:szCs w:val="18"/>
          <w:lang w:val="nl-NL"/>
        </w:rPr>
        <w:t>De gewijzigde regeling wordt naar verwachting in 2022 van kracht.</w:t>
      </w:r>
      <w:r w:rsidRPr="003D333D">
        <w:rPr>
          <w:rFonts w:eastAsia="Times New Roman" w:cs="Times New Roman"/>
          <w:szCs w:val="18"/>
          <w:lang w:val="nl-NL"/>
        </w:rPr>
        <w:t xml:space="preserve"> Boven een vast te stellen drempelwaarde </w:t>
      </w:r>
      <w:r>
        <w:rPr>
          <w:rFonts w:eastAsia="Times New Roman" w:cs="Times New Roman"/>
          <w:szCs w:val="18"/>
          <w:lang w:val="nl-NL"/>
        </w:rPr>
        <w:t xml:space="preserve">kunnen gemeenten een beroep doen op Rijkswaterstaat voor assistentie </w:t>
      </w:r>
      <w:r w:rsidRPr="003D333D">
        <w:rPr>
          <w:rFonts w:eastAsia="Times New Roman" w:cs="Times New Roman"/>
          <w:szCs w:val="18"/>
          <w:lang w:val="nl-NL"/>
        </w:rPr>
        <w:t xml:space="preserve">bij het opruimen van verontreiniging na maritieme incidenten. </w:t>
      </w:r>
      <w:r>
        <w:rPr>
          <w:rFonts w:eastAsia="Times New Roman" w:cs="Times New Roman"/>
          <w:szCs w:val="18"/>
          <w:lang w:val="nl-NL"/>
        </w:rPr>
        <w:t xml:space="preserve">Nadere voorwaarden en de vormgeving van de assistentie worden uitgewerkt in het UBKR. </w:t>
      </w:r>
      <w:r w:rsidRPr="004C6E07">
        <w:rPr>
          <w:rFonts w:eastAsia="Times New Roman" w:cs="Times New Roman"/>
          <w:szCs w:val="18"/>
          <w:lang w:val="nl-NL"/>
        </w:rPr>
        <w:t>Tot slot</w:t>
      </w:r>
      <w:r w:rsidR="00A35C23">
        <w:rPr>
          <w:lang w:val="nl-NL"/>
        </w:rPr>
        <w:t xml:space="preserve"> </w:t>
      </w:r>
      <w:r w:rsidRPr="001A27A3">
        <w:rPr>
          <w:lang w:val="nl-NL"/>
        </w:rPr>
        <w:t>heeft het bestuur van</w:t>
      </w:r>
      <w:r w:rsidRPr="004C6E07">
        <w:rPr>
          <w:rFonts w:eastAsia="Times New Roman" w:cs="Times New Roman"/>
          <w:szCs w:val="18"/>
          <w:lang w:val="nl-NL"/>
        </w:rPr>
        <w:t xml:space="preserve"> </w:t>
      </w:r>
      <w:r w:rsidRPr="004C6E07">
        <w:rPr>
          <w:iCs/>
          <w:szCs w:val="18"/>
          <w:lang w:val="nl-NL"/>
        </w:rPr>
        <w:t xml:space="preserve">Rijkswaterstaat </w:t>
      </w:r>
      <w:r w:rsidRPr="001A27A3">
        <w:rPr>
          <w:color w:val="000000"/>
          <w:lang w:val="nl-NL"/>
        </w:rPr>
        <w:t>op 22 oktober 2021 h</w:t>
      </w:r>
      <w:r w:rsidRPr="001A27A3">
        <w:rPr>
          <w:lang w:val="nl-NL"/>
        </w:rPr>
        <w:t xml:space="preserve">et besluit genomen </w:t>
      </w:r>
      <w:r w:rsidRPr="001A27A3">
        <w:rPr>
          <w:color w:val="000000"/>
          <w:lang w:val="nl-NL"/>
        </w:rPr>
        <w:t>dat</w:t>
      </w:r>
      <w:r w:rsidRPr="00FD6C46">
        <w:rPr>
          <w:color w:val="000000"/>
          <w:lang w:val="nl-NL"/>
        </w:rPr>
        <w:t xml:space="preserve"> </w:t>
      </w:r>
      <w:r w:rsidRPr="004C6E07">
        <w:rPr>
          <w:iCs/>
          <w:szCs w:val="18"/>
          <w:lang w:val="nl-NL"/>
        </w:rPr>
        <w:t xml:space="preserve">vrijwilligers </w:t>
      </w:r>
      <w:r w:rsidRPr="001A27A3">
        <w:rPr>
          <w:lang w:val="nl-NL"/>
        </w:rPr>
        <w:t>specifiek</w:t>
      </w:r>
      <w:r w:rsidRPr="004C6E07">
        <w:rPr>
          <w:iCs/>
          <w:szCs w:val="18"/>
          <w:lang w:val="nl-NL"/>
        </w:rPr>
        <w:t xml:space="preserve"> kunnen </w:t>
      </w:r>
      <w:r w:rsidRPr="001A27A3">
        <w:rPr>
          <w:lang w:val="nl-NL"/>
        </w:rPr>
        <w:t xml:space="preserve">worden ingezet bij </w:t>
      </w:r>
      <w:r>
        <w:rPr>
          <w:lang w:val="nl-NL"/>
        </w:rPr>
        <w:t xml:space="preserve">een </w:t>
      </w:r>
      <w:r w:rsidRPr="001A27A3">
        <w:rPr>
          <w:lang w:val="nl-NL"/>
        </w:rPr>
        <w:t>crisis. Inzet van vrijwilligers wordt altijd gedaan in overleg met de betrokken Veiligheidsregio(‘s).</w:t>
      </w:r>
      <w:r w:rsidRPr="004C6E07">
        <w:rPr>
          <w:iCs/>
          <w:szCs w:val="18"/>
          <w:lang w:val="nl-NL"/>
        </w:rPr>
        <w:t xml:space="preserve"> In </w:t>
      </w:r>
      <w:r w:rsidRPr="00374689">
        <w:rPr>
          <w:lang w:val="nl-NL"/>
        </w:rPr>
        <w:t xml:space="preserve">2022 zal dit besluit verder worden geïmplementeerd en geoperationaliseerd. </w:t>
      </w:r>
    </w:p>
    <w:p w:rsidRPr="004C6E07" w:rsidR="000825B2" w:rsidP="000825B2" w:rsidRDefault="000825B2" w14:paraId="7CAA744B" w14:textId="4CEF9992">
      <w:pPr>
        <w:pBdr>
          <w:top w:val="single" w:color="auto" w:sz="4" w:space="1"/>
          <w:left w:val="single" w:color="auto" w:sz="4" w:space="4"/>
          <w:bottom w:val="single" w:color="auto" w:sz="4" w:space="12"/>
          <w:right w:val="single" w:color="auto" w:sz="4" w:space="4"/>
        </w:pBdr>
        <w:rPr>
          <w:iCs/>
          <w:szCs w:val="18"/>
          <w:lang w:val="nl-NL"/>
        </w:rPr>
      </w:pPr>
      <w:r w:rsidRPr="004C6E07">
        <w:rPr>
          <w:iCs/>
          <w:szCs w:val="18"/>
          <w:lang w:val="nl-NL"/>
        </w:rPr>
        <w:t xml:space="preserve">In IMO verband zet Nederland zich in voor: </w:t>
      </w:r>
      <w:r w:rsidRPr="004C6E07">
        <w:rPr>
          <w:iCs/>
          <w:szCs w:val="18"/>
          <w:lang w:val="nl-NL"/>
        </w:rPr>
        <w:br/>
      </w:r>
      <w:r>
        <w:rPr>
          <w:iCs/>
          <w:szCs w:val="18"/>
          <w:lang w:val="nl-NL"/>
        </w:rPr>
        <w:t xml:space="preserve">- </w:t>
      </w:r>
      <w:r w:rsidRPr="004C6E07">
        <w:rPr>
          <w:iCs/>
          <w:szCs w:val="18"/>
          <w:lang w:val="nl-NL"/>
        </w:rPr>
        <w:t>een verbeterde informatiepositie van de bemanning aan boord</w:t>
      </w:r>
      <w:r>
        <w:rPr>
          <w:iCs/>
          <w:szCs w:val="18"/>
          <w:lang w:val="nl-NL"/>
        </w:rPr>
        <w:t xml:space="preserve"> van containerschepen</w:t>
      </w:r>
      <w:r w:rsidRPr="004C6E07">
        <w:rPr>
          <w:iCs/>
          <w:szCs w:val="18"/>
          <w:lang w:val="nl-NL"/>
        </w:rPr>
        <w:t xml:space="preserve">. </w:t>
      </w:r>
    </w:p>
    <w:p w:rsidRPr="004C6E07" w:rsidR="000825B2" w:rsidP="000825B2" w:rsidRDefault="000825B2" w14:paraId="323C5F34" w14:textId="77777777">
      <w:pPr>
        <w:pBdr>
          <w:top w:val="single" w:color="auto" w:sz="4" w:space="1"/>
          <w:left w:val="single" w:color="auto" w:sz="4" w:space="4"/>
          <w:bottom w:val="single" w:color="auto" w:sz="4" w:space="12"/>
          <w:right w:val="single" w:color="auto" w:sz="4" w:space="4"/>
        </w:pBdr>
        <w:rPr>
          <w:iCs/>
          <w:szCs w:val="18"/>
          <w:lang w:val="nl-NL"/>
        </w:rPr>
      </w:pPr>
      <w:r>
        <w:rPr>
          <w:rFonts w:eastAsia="DejaVu Sans" w:cs="Lohit Hindi"/>
          <w:bCs/>
          <w:szCs w:val="18"/>
          <w:lang w:val="nl-NL" w:eastAsia="nl-NL"/>
        </w:rPr>
        <w:t xml:space="preserve">- </w:t>
      </w:r>
      <w:r w:rsidRPr="004C6E07">
        <w:rPr>
          <w:rFonts w:eastAsia="DejaVu Sans" w:cs="Lohit Hindi"/>
          <w:bCs/>
          <w:szCs w:val="18"/>
          <w:lang w:val="nl-NL" w:eastAsia="nl-NL"/>
        </w:rPr>
        <w:t xml:space="preserve">de verplichting van een zogenaamde elektronische inclinometer op containerschepen, die de slingerhoek meet en registreert. </w:t>
      </w:r>
    </w:p>
    <w:p w:rsidRPr="004C6E07" w:rsidR="000825B2" w:rsidP="000825B2" w:rsidRDefault="000825B2" w14:paraId="511D0E67" w14:textId="77777777">
      <w:pPr>
        <w:pBdr>
          <w:top w:val="single" w:color="auto" w:sz="4" w:space="1"/>
          <w:left w:val="single" w:color="auto" w:sz="4" w:space="4"/>
          <w:bottom w:val="single" w:color="auto" w:sz="4" w:space="12"/>
          <w:right w:val="single" w:color="auto" w:sz="4" w:space="4"/>
        </w:pBdr>
        <w:rPr>
          <w:iCs/>
          <w:szCs w:val="18"/>
          <w:lang w:val="nl-NL"/>
        </w:rPr>
      </w:pPr>
      <w:r>
        <w:rPr>
          <w:rFonts w:cs="Mangal" w:eastAsiaTheme="majorEastAsia"/>
          <w:szCs w:val="18"/>
          <w:lang w:val="nl-NL" w:eastAsia="nl-NL"/>
        </w:rPr>
        <w:t xml:space="preserve">- </w:t>
      </w:r>
      <w:r w:rsidRPr="004C6E07">
        <w:rPr>
          <w:rFonts w:cs="Mangal" w:eastAsiaTheme="majorEastAsia"/>
          <w:szCs w:val="18"/>
          <w:lang w:val="nl-NL" w:eastAsia="nl-NL"/>
        </w:rPr>
        <w:t>agendering van de ontwikkeling van maatregelen voor de detectie en rapportage van verloren containers.</w:t>
      </w:r>
    </w:p>
    <w:p w:rsidRPr="004C6E07" w:rsidR="000825B2" w:rsidP="000825B2" w:rsidRDefault="000825B2" w14:paraId="62BE6E51" w14:textId="1EE362D6">
      <w:pPr>
        <w:pBdr>
          <w:top w:val="single" w:color="auto" w:sz="4" w:space="1"/>
          <w:left w:val="single" w:color="auto" w:sz="4" w:space="4"/>
          <w:bottom w:val="single" w:color="auto" w:sz="4" w:space="12"/>
          <w:right w:val="single" w:color="auto" w:sz="4" w:space="4"/>
        </w:pBdr>
        <w:rPr>
          <w:iCs/>
          <w:szCs w:val="18"/>
          <w:lang w:val="nl-NL"/>
        </w:rPr>
      </w:pPr>
      <w:r w:rsidRPr="004C6E07">
        <w:rPr>
          <w:rFonts w:cs="Mangal" w:eastAsiaTheme="majorEastAsia"/>
          <w:szCs w:val="18"/>
          <w:lang w:val="nl-NL" w:eastAsia="nl-NL"/>
        </w:rPr>
        <w:t>Tenslotte wordt nog geïnventariseerd in hoeverre vervolgonderzoek en aanvullende voorstellen in de IMO, bijvoorbeeld in relatie tot het beladen en sjorren van containers</w:t>
      </w:r>
      <w:r>
        <w:rPr>
          <w:rFonts w:cs="Mangal" w:eastAsiaTheme="majorEastAsia"/>
          <w:szCs w:val="18"/>
          <w:lang w:val="nl-NL" w:eastAsia="nl-NL"/>
        </w:rPr>
        <w:t xml:space="preserve"> of strengere richtlijnen rond transport van pellets</w:t>
      </w:r>
      <w:r w:rsidRPr="004C6E07">
        <w:rPr>
          <w:rFonts w:cs="Mangal" w:eastAsiaTheme="majorEastAsia"/>
          <w:szCs w:val="18"/>
          <w:lang w:val="nl-NL" w:eastAsia="nl-NL"/>
        </w:rPr>
        <w:t>, opportuun zijn.</w:t>
      </w:r>
      <w:r>
        <w:rPr>
          <w:rFonts w:cs="Mangal" w:eastAsiaTheme="majorEastAsia"/>
          <w:szCs w:val="18"/>
          <w:lang w:val="nl-NL" w:eastAsia="nl-NL"/>
        </w:rPr>
        <w:t xml:space="preserve"> Een volledig overzicht van de acties van Nederland in de IMO ter vermindering van containerverlies is op 21 juni 2021 aan de Tweede Kamer gestuurd</w:t>
      </w:r>
      <w:r w:rsidR="00386043">
        <w:rPr>
          <w:rFonts w:cs="Mangal" w:eastAsiaTheme="majorEastAsia"/>
          <w:szCs w:val="18"/>
          <w:lang w:val="nl-NL" w:eastAsia="nl-NL"/>
        </w:rPr>
        <w:t>[38]</w:t>
      </w:r>
      <w:r>
        <w:rPr>
          <w:rFonts w:cs="Mangal" w:eastAsiaTheme="majorEastAsia"/>
          <w:szCs w:val="18"/>
          <w:lang w:val="nl-NL" w:eastAsia="nl-NL"/>
        </w:rPr>
        <w:t>.</w:t>
      </w:r>
    </w:p>
    <w:p w:rsidRPr="00A8638C" w:rsidR="000825B2" w:rsidP="000825B2" w:rsidRDefault="000825B2" w14:paraId="3E9AFEA8" w14:textId="77777777">
      <w:pPr>
        <w:spacing w:before="40" w:after="0"/>
        <w:rPr>
          <w:rStyle w:val="IntenseEmphasis"/>
          <w:lang w:val="nl-NL"/>
        </w:rPr>
      </w:pPr>
      <w:r w:rsidRPr="00A8638C">
        <w:rPr>
          <w:rStyle w:val="IntenseEmphasis"/>
          <w:lang w:val="nl-NL"/>
        </w:rPr>
        <w:t>Overig beleid dat</w:t>
      </w:r>
      <w:r>
        <w:rPr>
          <w:rStyle w:val="IntenseEmphasis"/>
          <w:lang w:val="nl-NL"/>
        </w:rPr>
        <w:t xml:space="preserve"> bijdraagt</w:t>
      </w:r>
      <w:r w:rsidRPr="00A8638C">
        <w:rPr>
          <w:rStyle w:val="IntenseEmphasis"/>
          <w:lang w:val="nl-NL"/>
        </w:rPr>
        <w:t xml:space="preserve"> aan KRM</w:t>
      </w:r>
      <w:r>
        <w:rPr>
          <w:rStyle w:val="IntenseEmphasis"/>
          <w:lang w:val="nl-NL"/>
        </w:rPr>
        <w:t>-</w:t>
      </w:r>
      <w:r w:rsidRPr="00A8638C">
        <w:rPr>
          <w:rStyle w:val="IntenseEmphasis"/>
          <w:lang w:val="nl-NL"/>
        </w:rPr>
        <w:t>doelen</w:t>
      </w:r>
    </w:p>
    <w:p w:rsidR="000825B2" w:rsidP="000825B2" w:rsidRDefault="000825B2" w14:paraId="5B2835B7" w14:textId="2BE3D64C">
      <w:pPr>
        <w:rPr>
          <w:lang w:val="nl-NL"/>
        </w:rPr>
      </w:pPr>
      <w:r>
        <w:rPr>
          <w:lang w:val="nl-NL"/>
        </w:rPr>
        <w:t xml:space="preserve">Naast de hiervoor genoemde maatregelen draagt ook het mondiaal, Europees en Nederlands afval- en plasticbeleid bij aan het tegengaan van marien zwerfvuil. </w:t>
      </w:r>
    </w:p>
    <w:p w:rsidRPr="00926544" w:rsidR="000825B2" w:rsidP="000825B2" w:rsidRDefault="000825B2" w14:paraId="30A1A0A6" w14:textId="77777777">
      <w:pPr>
        <w:rPr>
          <w:u w:val="single"/>
          <w:lang w:val="nl-NL"/>
        </w:rPr>
      </w:pPr>
      <w:r w:rsidRPr="00926544">
        <w:rPr>
          <w:u w:val="single"/>
          <w:lang w:val="nl-NL"/>
        </w:rPr>
        <w:t>Internationaal</w:t>
      </w:r>
    </w:p>
    <w:p w:rsidR="000825B2" w:rsidP="000825B2" w:rsidRDefault="000825B2" w14:paraId="439CBAC0" w14:textId="5EA0E4BE">
      <w:pPr>
        <w:rPr>
          <w:lang w:val="nl-NL"/>
        </w:rPr>
      </w:pPr>
      <w:r>
        <w:rPr>
          <w:lang w:val="nl-NL"/>
        </w:rPr>
        <w:t>De United Nations Environment Assembly (</w:t>
      </w:r>
      <w:r w:rsidRPr="00621F91">
        <w:rPr>
          <w:lang w:val="nl-NL"/>
        </w:rPr>
        <w:t>UNEA</w:t>
      </w:r>
      <w:r>
        <w:rPr>
          <w:lang w:val="nl-NL"/>
        </w:rPr>
        <w:t>)</w:t>
      </w:r>
      <w:r w:rsidRPr="00621F91">
        <w:rPr>
          <w:lang w:val="nl-NL"/>
        </w:rPr>
        <w:t xml:space="preserve"> werkt aan meer bewustwording en een effectieve mondiale aanpak, en heeft </w:t>
      </w:r>
      <w:r>
        <w:rPr>
          <w:lang w:val="nl-NL"/>
        </w:rPr>
        <w:t xml:space="preserve">sinds 2014 </w:t>
      </w:r>
      <w:r w:rsidRPr="00621F91">
        <w:rPr>
          <w:lang w:val="nl-NL"/>
        </w:rPr>
        <w:t xml:space="preserve">voor dit doel vier resoluties aangenomen. </w:t>
      </w:r>
      <w:r>
        <w:rPr>
          <w:lang w:val="nl-NL"/>
        </w:rPr>
        <w:t xml:space="preserve">UNEA 5 zal op basis van het verslag van de </w:t>
      </w:r>
      <w:r w:rsidRPr="00621F91">
        <w:rPr>
          <w:i/>
          <w:iCs/>
          <w:lang w:val="nl-NL"/>
        </w:rPr>
        <w:t>Ad Hoc: Open Ended Working Group</w:t>
      </w:r>
      <w:r>
        <w:rPr>
          <w:i/>
          <w:iCs/>
          <w:lang w:val="nl-NL"/>
        </w:rPr>
        <w:t xml:space="preserve"> </w:t>
      </w:r>
      <w:r>
        <w:rPr>
          <w:iCs/>
          <w:lang w:val="nl-NL"/>
        </w:rPr>
        <w:t>in 2022 toekomstige stappen verkennen die mogelijk tot een mondiaal verdrag leiden</w:t>
      </w:r>
      <w:r w:rsidRPr="00621F91">
        <w:rPr>
          <w:lang w:val="nl-NL"/>
        </w:rPr>
        <w:t>. H</w:t>
      </w:r>
      <w:r w:rsidRPr="00422A02">
        <w:rPr>
          <w:lang w:val="nl-NL"/>
        </w:rPr>
        <w:t xml:space="preserve">et Global Partnership of Marine Litter brengt stakeholders bij elkaar voor uitwisseling van kennis en ervaringen. </w:t>
      </w:r>
    </w:p>
    <w:p w:rsidR="000825B2" w:rsidP="000825B2" w:rsidRDefault="000825B2" w14:paraId="6EB5254C" w14:textId="50538C4C">
      <w:pPr>
        <w:rPr>
          <w:lang w:val="nl-NL"/>
        </w:rPr>
      </w:pPr>
      <w:r w:rsidRPr="00422A02">
        <w:rPr>
          <w:lang w:val="nl-NL"/>
        </w:rPr>
        <w:t>De IMO heeft in 2018 een actieplan geadopteerd met het doel om marien zwerfvuil afkomstig van de zeescheepvaart te verminderen. Nederland werkt mee aan de implementatie van deze maatregelen</w:t>
      </w:r>
      <w:r>
        <w:rPr>
          <w:lang w:val="nl-NL"/>
        </w:rPr>
        <w:t>.</w:t>
      </w:r>
      <w:r w:rsidRPr="00422A02">
        <w:rPr>
          <w:lang w:val="nl-NL"/>
        </w:rPr>
        <w:t xml:space="preserve"> </w:t>
      </w:r>
    </w:p>
    <w:p w:rsidR="000825B2" w:rsidP="000825B2" w:rsidRDefault="000825B2" w14:paraId="3664D4BD" w14:textId="77777777">
      <w:pPr>
        <w:rPr>
          <w:lang w:val="nl-NL"/>
        </w:rPr>
      </w:pPr>
      <w:r w:rsidRPr="00422A02">
        <w:rPr>
          <w:lang w:val="nl-NL"/>
        </w:rPr>
        <w:t>Nederland zet zich ook in om de regionale bestrijding van mariene zwerfvuil te stimuleren. Naast de actieve inzet in OSPAR, steunt Nederland regionale initiatieven zoals het opstellen van een regionaal actieplan in het Arcti</w:t>
      </w:r>
      <w:r>
        <w:rPr>
          <w:lang w:val="nl-NL"/>
        </w:rPr>
        <w:t xml:space="preserve">sch Gebied en monitoring in </w:t>
      </w:r>
      <w:r w:rsidRPr="00422A02">
        <w:rPr>
          <w:lang w:val="nl-NL"/>
        </w:rPr>
        <w:t>Caribisch Nederland.</w:t>
      </w:r>
    </w:p>
    <w:p w:rsidRPr="00DB5C50" w:rsidR="000825B2" w:rsidP="000825B2" w:rsidRDefault="000825B2" w14:paraId="55422183" w14:textId="77777777">
      <w:pPr>
        <w:rPr>
          <w:u w:val="single"/>
          <w:lang w:val="nl-NL"/>
        </w:rPr>
      </w:pPr>
      <w:r w:rsidRPr="00DB5C50">
        <w:rPr>
          <w:u w:val="single"/>
          <w:lang w:val="nl-NL"/>
        </w:rPr>
        <w:t>Europees en nationaal</w:t>
      </w:r>
    </w:p>
    <w:p w:rsidRPr="00FF5E8B" w:rsidR="000825B2" w:rsidP="000825B2" w:rsidRDefault="000825B2" w14:paraId="650C8A09" w14:textId="303A0F69">
      <w:pPr>
        <w:autoSpaceDE w:val="0"/>
        <w:autoSpaceDN w:val="0"/>
        <w:adjustRightInd w:val="0"/>
        <w:spacing w:after="0" w:line="240" w:lineRule="auto"/>
        <w:rPr>
          <w:rFonts w:eastAsia="RijksoverheidSerif-Regular" w:cs="RijksoverheidSerif-Regular"/>
          <w:color w:val="000000"/>
          <w:szCs w:val="18"/>
          <w:lang w:val="nl-NL"/>
        </w:rPr>
      </w:pPr>
      <w:r>
        <w:rPr>
          <w:rFonts w:eastAsia="RijksoverheidSerif-Regular" w:cs="RijksoverheidSerif-Regular"/>
          <w:szCs w:val="18"/>
          <w:lang w:val="nl-NL"/>
        </w:rPr>
        <w:t xml:space="preserve">Effectief voorkomen van </w:t>
      </w:r>
      <w:r w:rsidRPr="00DE7B71">
        <w:rPr>
          <w:rFonts w:eastAsia="RijksoverheidSerif-Regular" w:cs="RijksoverheidSerif-Regular"/>
          <w:szCs w:val="18"/>
          <w:lang w:val="nl-NL"/>
        </w:rPr>
        <w:t>marien zwerf</w:t>
      </w:r>
      <w:r>
        <w:rPr>
          <w:rFonts w:eastAsia="RijksoverheidSerif-Regular" w:cs="RijksoverheidSerif-Regular"/>
          <w:szCs w:val="18"/>
          <w:lang w:val="nl-NL"/>
        </w:rPr>
        <w:t>vuil vereist als basis een doordacht, doelmatig en goed georganiseerd af</w:t>
      </w:r>
      <w:r w:rsidRPr="00DE7B71">
        <w:rPr>
          <w:rFonts w:eastAsia="RijksoverheidSerif-Regular" w:cs="RijksoverheidSerif-Regular"/>
          <w:szCs w:val="18"/>
          <w:lang w:val="nl-NL"/>
        </w:rPr>
        <w:t>valmanagement.</w:t>
      </w:r>
      <w:r>
        <w:rPr>
          <w:rFonts w:eastAsia="RijksoverheidSerif-Regular" w:cs="RijksoverheidSerif-Regular"/>
          <w:szCs w:val="18"/>
          <w:lang w:val="nl-NL"/>
        </w:rPr>
        <w:t xml:space="preserve"> </w:t>
      </w:r>
      <w:r w:rsidRPr="00DE7B71">
        <w:rPr>
          <w:rFonts w:eastAsia="RijksoverheidSerif-Regular" w:cs="RijksoverheidSerif-Regular"/>
          <w:szCs w:val="18"/>
          <w:lang w:val="nl-NL"/>
        </w:rPr>
        <w:t xml:space="preserve">Het Nederlandse afvalbeleid is belegd in </w:t>
      </w:r>
      <w:r>
        <w:rPr>
          <w:rFonts w:eastAsia="RijksoverheidSerif-Regular" w:cs="RijksoverheidSerif-Regular"/>
          <w:szCs w:val="18"/>
          <w:lang w:val="nl-NL"/>
        </w:rPr>
        <w:t>E</w:t>
      </w:r>
      <w:r w:rsidRPr="00DE7B71">
        <w:rPr>
          <w:rFonts w:eastAsia="RijksoverheidSerif-Regular" w:cs="RijksoverheidSerif-Regular"/>
          <w:szCs w:val="18"/>
          <w:lang w:val="nl-NL"/>
        </w:rPr>
        <w:t xml:space="preserve">uropese </w:t>
      </w:r>
      <w:r>
        <w:rPr>
          <w:rFonts w:eastAsia="RijksoverheidSerif-Regular" w:cs="RijksoverheidSerif-Regular"/>
          <w:szCs w:val="18"/>
          <w:lang w:val="nl-NL"/>
        </w:rPr>
        <w:t>en</w:t>
      </w:r>
      <w:r w:rsidRPr="00DE7B71">
        <w:rPr>
          <w:rFonts w:eastAsia="RijksoverheidSerif-Regular" w:cs="RijksoverheidSerif-Regular"/>
          <w:szCs w:val="18"/>
          <w:lang w:val="nl-NL"/>
        </w:rPr>
        <w:t xml:space="preserve"> nationale regelgeving</w:t>
      </w:r>
      <w:r>
        <w:rPr>
          <w:rFonts w:eastAsia="RijksoverheidSerif-Regular" w:cs="RijksoverheidSerif-Regular"/>
          <w:szCs w:val="18"/>
          <w:lang w:val="nl-NL"/>
        </w:rPr>
        <w:t xml:space="preserve">. De afgelopen jaren zijn </w:t>
      </w:r>
      <w:r w:rsidRPr="00FF5E8B">
        <w:rPr>
          <w:rFonts w:eastAsia="RijksoverheidSerif-Regular" w:cs="RijksoverheidSerif-Regular"/>
          <w:color w:val="000000"/>
          <w:szCs w:val="18"/>
          <w:lang w:val="nl-NL"/>
        </w:rPr>
        <w:t>binnen Europa diverse voorstellen en richtlijnen aangenomen</w:t>
      </w:r>
      <w:r>
        <w:rPr>
          <w:rFonts w:eastAsia="RijksoverheidSerif-Regular" w:cs="RijksoverheidSerif-Regular"/>
          <w:color w:val="000000"/>
          <w:szCs w:val="18"/>
          <w:lang w:val="nl-NL"/>
        </w:rPr>
        <w:t>,</w:t>
      </w:r>
      <w:r w:rsidRPr="00FF5E8B">
        <w:rPr>
          <w:rFonts w:eastAsia="RijksoverheidSerif-Regular" w:cs="RijksoverheidSerif-Regular"/>
          <w:color w:val="000000"/>
          <w:szCs w:val="18"/>
          <w:lang w:val="nl-NL"/>
        </w:rPr>
        <w:t xml:space="preserve"> waaronder </w:t>
      </w:r>
      <w:r>
        <w:rPr>
          <w:rFonts w:eastAsia="RijksoverheidSerif-Regular" w:cs="RijksoverheidSerif-Regular"/>
          <w:color w:val="000000"/>
          <w:szCs w:val="18"/>
          <w:lang w:val="nl-NL"/>
        </w:rPr>
        <w:t xml:space="preserve">de herziening van de Kaderrichtlijn Afvalstoffen, de Richtlijn </w:t>
      </w:r>
      <w:r>
        <w:rPr>
          <w:rFonts w:eastAsia="RijksoverheidSerif-Regular" w:cs="RijksoverheidSerif-Regular"/>
          <w:i/>
          <w:color w:val="000000"/>
          <w:szCs w:val="18"/>
          <w:lang w:val="nl-NL"/>
        </w:rPr>
        <w:t>S</w:t>
      </w:r>
      <w:r w:rsidRPr="00DB5C50">
        <w:rPr>
          <w:rFonts w:eastAsia="RijksoverheidSerif-Regular" w:cs="RijksoverheidSerif-Regular"/>
          <w:i/>
          <w:color w:val="000000"/>
          <w:szCs w:val="18"/>
          <w:lang w:val="nl-NL"/>
        </w:rPr>
        <w:t>ingle-Use plastics</w:t>
      </w:r>
      <w:r>
        <w:rPr>
          <w:rFonts w:eastAsia="RijksoverheidSerif-Regular" w:cs="RijksoverheidSerif-Regular"/>
          <w:color w:val="000000"/>
          <w:szCs w:val="18"/>
          <w:lang w:val="nl-NL"/>
        </w:rPr>
        <w:t xml:space="preserve"> en</w:t>
      </w:r>
      <w:r w:rsidRPr="00FF5E8B">
        <w:rPr>
          <w:rFonts w:eastAsia="RijksoverheidSerif-Regular" w:cs="RijksoverheidSerif-Regular"/>
          <w:color w:val="000000"/>
          <w:szCs w:val="18"/>
          <w:lang w:val="nl-NL"/>
        </w:rPr>
        <w:t xml:space="preserve"> de herziene </w:t>
      </w:r>
      <w:r w:rsidRPr="000E20E3">
        <w:rPr>
          <w:rFonts w:eastAsia="RijksoverheidSerif-Regular" w:cs="RijksoverheidSerif-Regular"/>
          <w:color w:val="000000"/>
          <w:szCs w:val="18"/>
          <w:lang w:val="nl-NL"/>
        </w:rPr>
        <w:t xml:space="preserve">Richtlijn </w:t>
      </w:r>
      <w:r w:rsidRPr="00FF5E8B">
        <w:rPr>
          <w:rFonts w:eastAsia="RijksoverheidSerif-Regular" w:cs="RijksoverheidSerif-Regular"/>
          <w:color w:val="000000"/>
          <w:szCs w:val="18"/>
          <w:lang w:val="nl-NL"/>
        </w:rPr>
        <w:t>Havenontvangs</w:t>
      </w:r>
      <w:r>
        <w:rPr>
          <w:rFonts w:eastAsia="RijksoverheidSerif-Regular" w:cs="RijksoverheidSerif-Regular"/>
          <w:color w:val="000000"/>
          <w:szCs w:val="18"/>
          <w:lang w:val="nl-NL"/>
        </w:rPr>
        <w:t>tvoorzieningen.</w:t>
      </w:r>
      <w:r w:rsidRPr="00FF5E8B">
        <w:rPr>
          <w:rFonts w:eastAsia="RijksoverheidSerif-Regular" w:cs="RijksoverheidSerif-Regular"/>
          <w:color w:val="000000"/>
          <w:szCs w:val="18"/>
          <w:lang w:val="nl-NL"/>
        </w:rPr>
        <w:t xml:space="preserve"> </w:t>
      </w:r>
    </w:p>
    <w:p w:rsidR="000825B2" w:rsidP="000825B2" w:rsidRDefault="000825B2" w14:paraId="2D18673E" w14:textId="77777777">
      <w:pPr>
        <w:autoSpaceDE w:val="0"/>
        <w:autoSpaceDN w:val="0"/>
        <w:adjustRightInd w:val="0"/>
        <w:spacing w:after="0" w:line="240" w:lineRule="auto"/>
        <w:rPr>
          <w:rFonts w:eastAsia="RijksoverheidSerif-Regular" w:cs="RijksoverheidSerif-Regular"/>
          <w:szCs w:val="18"/>
          <w:lang w:val="nl-NL"/>
        </w:rPr>
      </w:pPr>
    </w:p>
    <w:p w:rsidR="000825B2" w:rsidP="000825B2" w:rsidRDefault="000825B2" w14:paraId="1C3D858D" w14:textId="77777777">
      <w:pPr>
        <w:autoSpaceDE w:val="0"/>
        <w:autoSpaceDN w:val="0"/>
        <w:adjustRightInd w:val="0"/>
        <w:spacing w:after="0" w:line="240" w:lineRule="auto"/>
        <w:rPr>
          <w:rFonts w:eastAsia="RijksoverheidSerif-Regular" w:cs="RijksoverheidSerif-Regular"/>
          <w:szCs w:val="18"/>
          <w:lang w:val="nl-NL"/>
        </w:rPr>
      </w:pPr>
      <w:r w:rsidRPr="002515DC">
        <w:rPr>
          <w:rFonts w:eastAsia="RijksoverheidSerif-Regular" w:cs="RijksoverheidSerif-Regular"/>
          <w:szCs w:val="18"/>
          <w:lang w:val="nl-NL"/>
        </w:rPr>
        <w:t xml:space="preserve">De Nederlandse regelgeving </w:t>
      </w:r>
      <w:r>
        <w:rPr>
          <w:rFonts w:eastAsia="RijksoverheidSerif-Regular" w:cs="RijksoverheidSerif-Regular"/>
          <w:szCs w:val="18"/>
          <w:lang w:val="nl-NL"/>
        </w:rPr>
        <w:t>voor</w:t>
      </w:r>
      <w:r w:rsidRPr="002515DC">
        <w:rPr>
          <w:rFonts w:eastAsia="RijksoverheidSerif-Regular" w:cs="RijksoverheidSerif-Regular"/>
          <w:szCs w:val="18"/>
          <w:lang w:val="nl-NL"/>
        </w:rPr>
        <w:t xml:space="preserve"> het inzamelen van huishoudelijk- en bedrijfsafval is grotendeels gebaseerd op de </w:t>
      </w:r>
      <w:r w:rsidRPr="00F362FC">
        <w:rPr>
          <w:rFonts w:eastAsia="RijksoverheidSerif-Regular" w:cs="RijksoverheidSerif-Regular"/>
          <w:b/>
          <w:szCs w:val="18"/>
          <w:lang w:val="nl-NL"/>
        </w:rPr>
        <w:t xml:space="preserve">Europese </w:t>
      </w:r>
      <w:r w:rsidRPr="00F362FC">
        <w:rPr>
          <w:rFonts w:eastAsia="RijksoverheidSerif-Regular" w:cs="RijksoverheidSerif-Regular"/>
          <w:b/>
          <w:bCs/>
          <w:szCs w:val="18"/>
          <w:lang w:val="nl-NL"/>
        </w:rPr>
        <w:t>Kaderrichtlijn Afvalstoffen</w:t>
      </w:r>
      <w:r w:rsidRPr="0056595B">
        <w:rPr>
          <w:rFonts w:eastAsia="RijksoverheidSerif-Regular" w:cs="RijksoverheidSerif-Regular"/>
          <w:bCs/>
          <w:szCs w:val="18"/>
          <w:lang w:val="nl-NL"/>
        </w:rPr>
        <w:t>.</w:t>
      </w:r>
      <w:r w:rsidRPr="002515DC">
        <w:rPr>
          <w:rFonts w:eastAsia="RijksoverheidSerif-Regular" w:cs="RijksoverheidSerif-Regular"/>
          <w:szCs w:val="18"/>
          <w:lang w:val="nl-NL"/>
        </w:rPr>
        <w:t xml:space="preserve"> In 2018 heeft de EU deze richtlijn gewijzigd. Onder de noemer afvalpreventie moeten alle </w:t>
      </w:r>
      <w:r>
        <w:rPr>
          <w:rFonts w:eastAsia="RijksoverheidSerif-Regular" w:cs="RijksoverheidSerif-Regular"/>
          <w:szCs w:val="18"/>
          <w:lang w:val="nl-NL"/>
        </w:rPr>
        <w:t>EU-</w:t>
      </w:r>
      <w:r w:rsidRPr="002515DC">
        <w:rPr>
          <w:rFonts w:eastAsia="RijksoverheidSerif-Regular" w:cs="RijksoverheidSerif-Regular"/>
          <w:szCs w:val="18"/>
          <w:lang w:val="nl-NL"/>
        </w:rPr>
        <w:t>lidstaten maatregelen nemen om afvalproductie te voorkomen (art.</w:t>
      </w:r>
      <w:r>
        <w:rPr>
          <w:rFonts w:eastAsia="RijksoverheidSerif-Regular" w:cs="RijksoverheidSerif-Regular"/>
          <w:szCs w:val="18"/>
          <w:lang w:val="nl-NL"/>
        </w:rPr>
        <w:t xml:space="preserve"> </w:t>
      </w:r>
      <w:r w:rsidRPr="002515DC">
        <w:rPr>
          <w:rFonts w:eastAsia="RijksoverheidSerif-Regular" w:cs="RijksoverheidSerif-Regular"/>
          <w:szCs w:val="18"/>
          <w:lang w:val="nl-NL"/>
        </w:rPr>
        <w:t xml:space="preserve">33 en 35). </w:t>
      </w:r>
      <w:r>
        <w:rPr>
          <w:rFonts w:eastAsia="RijksoverheidSerif-Regular" w:cs="RijksoverheidSerif-Regular"/>
          <w:szCs w:val="18"/>
          <w:lang w:val="nl-NL"/>
        </w:rPr>
        <w:t>Onder de te treffen maatregelen valt ook het voorkomen en verwijderen</w:t>
      </w:r>
      <w:r w:rsidRPr="002515DC">
        <w:rPr>
          <w:rFonts w:eastAsia="RijksoverheidSerif-Regular" w:cs="RijksoverheidSerif-Regular"/>
          <w:szCs w:val="18"/>
          <w:lang w:val="nl-NL"/>
        </w:rPr>
        <w:t xml:space="preserve"> van zwerfvuil op land en in water.</w:t>
      </w:r>
      <w:r>
        <w:rPr>
          <w:rFonts w:eastAsia="RijksoverheidSerif-Regular" w:cs="RijksoverheidSerif-Regular"/>
          <w:szCs w:val="18"/>
          <w:lang w:val="nl-NL"/>
        </w:rPr>
        <w:t xml:space="preserve"> Dit is opgenomen in het Landelijk Afvalbeheerplan en het Afvalpreventieplan dat momenteel wordt geactualiseerd.</w:t>
      </w:r>
    </w:p>
    <w:p w:rsidR="000825B2" w:rsidP="000825B2" w:rsidRDefault="000825B2" w14:paraId="7F392565" w14:textId="77777777">
      <w:pPr>
        <w:autoSpaceDE w:val="0"/>
        <w:autoSpaceDN w:val="0"/>
        <w:adjustRightInd w:val="0"/>
        <w:spacing w:after="0" w:line="240" w:lineRule="auto"/>
        <w:rPr>
          <w:rFonts w:eastAsia="RijksoverheidSerif-Regular" w:cs="RijksoverheidSerif-Regular"/>
          <w:szCs w:val="18"/>
          <w:lang w:val="nl-NL"/>
        </w:rPr>
      </w:pPr>
    </w:p>
    <w:p w:rsidR="000825B2" w:rsidP="000825B2" w:rsidRDefault="000825B2" w14:paraId="4E5C9637" w14:textId="4F0897AD">
      <w:pPr>
        <w:rPr>
          <w:lang w:val="nl-NL"/>
        </w:rPr>
      </w:pPr>
      <w:r>
        <w:rPr>
          <w:lang w:val="nl-NL"/>
        </w:rPr>
        <w:t xml:space="preserve">Voortbouwend op de resultaten van de geïmplementeerde Educatie maatregelen wordt de rol van educatie verder versterkt met </w:t>
      </w:r>
      <w:r w:rsidRPr="006654EE">
        <w:rPr>
          <w:lang w:val="nl-NL"/>
        </w:rPr>
        <w:t xml:space="preserve">het programma </w:t>
      </w:r>
      <w:r w:rsidRPr="00AF1E71">
        <w:rPr>
          <w:iCs/>
          <w:lang w:val="nl-NL"/>
        </w:rPr>
        <w:t>VANG-Buitenshuis</w:t>
      </w:r>
      <w:r w:rsidRPr="006654EE">
        <w:rPr>
          <w:lang w:val="nl-NL"/>
        </w:rPr>
        <w:t xml:space="preserve"> </w:t>
      </w:r>
      <w:r>
        <w:rPr>
          <w:lang w:val="nl-NL"/>
        </w:rPr>
        <w:t>dat vanaf 2020</w:t>
      </w:r>
      <w:r w:rsidRPr="006654EE">
        <w:rPr>
          <w:lang w:val="nl-NL"/>
        </w:rPr>
        <w:t xml:space="preserve"> </w:t>
      </w:r>
      <w:r>
        <w:rPr>
          <w:lang w:val="nl-NL"/>
        </w:rPr>
        <w:t>via regiobijeenkomsten binnen</w:t>
      </w:r>
      <w:r w:rsidRPr="006654EE">
        <w:rPr>
          <w:lang w:val="nl-NL"/>
        </w:rPr>
        <w:t xml:space="preserve"> het netwerk van scholen, N</w:t>
      </w:r>
      <w:r>
        <w:rPr>
          <w:lang w:val="nl-NL"/>
        </w:rPr>
        <w:t>atuur- en milieu educatie (</w:t>
      </w:r>
      <w:r w:rsidRPr="006654EE">
        <w:rPr>
          <w:lang w:val="nl-NL"/>
        </w:rPr>
        <w:t>NME</w:t>
      </w:r>
      <w:r>
        <w:rPr>
          <w:lang w:val="nl-NL"/>
        </w:rPr>
        <w:t xml:space="preserve">) </w:t>
      </w:r>
      <w:r w:rsidRPr="006654EE">
        <w:rPr>
          <w:lang w:val="nl-NL"/>
        </w:rPr>
        <w:t>centra, gemeenten en inzamelaars</w:t>
      </w:r>
      <w:r>
        <w:rPr>
          <w:lang w:val="nl-NL"/>
        </w:rPr>
        <w:t>,</w:t>
      </w:r>
      <w:r w:rsidRPr="006654EE">
        <w:rPr>
          <w:lang w:val="nl-NL"/>
        </w:rPr>
        <w:t xml:space="preserve"> kennis uit het programma </w:t>
      </w:r>
      <w:r>
        <w:rPr>
          <w:lang w:val="nl-NL"/>
        </w:rPr>
        <w:t>‘</w:t>
      </w:r>
      <w:r w:rsidRPr="006654EE">
        <w:rPr>
          <w:lang w:val="nl-NL"/>
        </w:rPr>
        <w:t>Afval op school</w:t>
      </w:r>
      <w:r>
        <w:rPr>
          <w:lang w:val="nl-NL"/>
        </w:rPr>
        <w:t>’</w:t>
      </w:r>
      <w:r w:rsidRPr="006654EE">
        <w:rPr>
          <w:lang w:val="nl-NL"/>
        </w:rPr>
        <w:t xml:space="preserve"> verder verspreid</w:t>
      </w:r>
      <w:r>
        <w:rPr>
          <w:lang w:val="nl-NL"/>
        </w:rPr>
        <w:t>.</w:t>
      </w:r>
      <w:r w:rsidRPr="006654EE">
        <w:rPr>
          <w:lang w:val="nl-NL"/>
        </w:rPr>
        <w:t xml:space="preserve"> </w:t>
      </w:r>
      <w:r>
        <w:rPr>
          <w:lang w:val="nl-NL"/>
        </w:rPr>
        <w:t xml:space="preserve">Een deel van de opgave is te verkennen hoe </w:t>
      </w:r>
      <w:r w:rsidRPr="006654EE">
        <w:rPr>
          <w:lang w:val="nl-NL"/>
        </w:rPr>
        <w:t xml:space="preserve">het hoger onderwijs (MBO/HBO/WO) beter kan worden ondersteund </w:t>
      </w:r>
      <w:r>
        <w:rPr>
          <w:lang w:val="nl-NL"/>
        </w:rPr>
        <w:t xml:space="preserve">bij het bewerkstelligen van </w:t>
      </w:r>
      <w:r w:rsidRPr="006654EE">
        <w:rPr>
          <w:lang w:val="nl-NL"/>
        </w:rPr>
        <w:t>minder afval en een circulaire bedrijfsvoering.</w:t>
      </w:r>
    </w:p>
    <w:p w:rsidR="000825B2" w:rsidP="000825B2" w:rsidRDefault="000825B2" w14:paraId="50FBA601" w14:textId="59B21280">
      <w:pPr>
        <w:autoSpaceDE w:val="0"/>
        <w:autoSpaceDN w:val="0"/>
        <w:adjustRightInd w:val="0"/>
        <w:spacing w:after="0" w:line="240" w:lineRule="auto"/>
        <w:rPr>
          <w:rFonts w:eastAsia="RijksoverheidSerif-Regular" w:cs="RijksoverheidSerif-Regular"/>
          <w:color w:val="000000"/>
          <w:szCs w:val="18"/>
          <w:lang w:val="nl-NL"/>
        </w:rPr>
      </w:pPr>
      <w:r>
        <w:rPr>
          <w:rFonts w:eastAsia="RijksoverheidSerif-Regular" w:cs="RijksoverheidSerif-Regular"/>
          <w:color w:val="000000"/>
          <w:szCs w:val="18"/>
          <w:lang w:val="nl-NL"/>
        </w:rPr>
        <w:t xml:space="preserve">Na de implementatie van de </w:t>
      </w:r>
      <w:r w:rsidRPr="00F362FC">
        <w:rPr>
          <w:rFonts w:eastAsia="RijksoverheidSerif-Regular" w:cs="RijksoverheidSerif-Regular"/>
          <w:b/>
          <w:color w:val="000000"/>
          <w:szCs w:val="18"/>
          <w:lang w:val="nl-NL"/>
        </w:rPr>
        <w:t>Richtlijn Havenontvangstvoorzieningen</w:t>
      </w:r>
      <w:r>
        <w:rPr>
          <w:rFonts w:eastAsia="RijksoverheidSerif-Regular" w:cs="RijksoverheidSerif-Regular"/>
          <w:color w:val="000000"/>
          <w:szCs w:val="18"/>
          <w:lang w:val="nl-NL"/>
        </w:rPr>
        <w:t>,</w:t>
      </w:r>
      <w:r w:rsidRPr="00AF1E71">
        <w:rPr>
          <w:rFonts w:eastAsia="RijksoverheidSerif-Regular" w:cs="RijksoverheidSerif-Regular"/>
          <w:color w:val="000000"/>
          <w:szCs w:val="18"/>
          <w:lang w:val="nl-NL"/>
        </w:rPr>
        <w:t xml:space="preserve"> HOV (EU/2019/883)</w:t>
      </w:r>
      <w:r w:rsidRPr="00785566">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 xml:space="preserve"> geldt een volledig i</w:t>
      </w:r>
      <w:r w:rsidRPr="00FF5E8B">
        <w:rPr>
          <w:rFonts w:eastAsia="RijksoverheidSerif-Regular" w:cs="RijksoverheidSerif-Regular"/>
          <w:color w:val="000000"/>
          <w:szCs w:val="18"/>
          <w:lang w:val="nl-NL"/>
        </w:rPr>
        <w:t>ndirecte financiering</w:t>
      </w:r>
      <w:r>
        <w:rPr>
          <w:rFonts w:eastAsia="RijksoverheidSerif-Regular" w:cs="RijksoverheidSerif-Regular"/>
          <w:color w:val="000000"/>
          <w:szCs w:val="18"/>
          <w:lang w:val="nl-NL"/>
        </w:rPr>
        <w:t xml:space="preserve"> van het inzamelen en verwijderen van </w:t>
      </w:r>
      <w:r w:rsidRPr="00FF5E8B">
        <w:rPr>
          <w:rFonts w:eastAsia="RijksoverheidSerif-Regular" w:cs="RijksoverheidSerif-Regular"/>
          <w:color w:val="000000"/>
          <w:szCs w:val="18"/>
          <w:lang w:val="nl-NL"/>
        </w:rPr>
        <w:t>vuilnis</w:t>
      </w:r>
      <w:r>
        <w:rPr>
          <w:rFonts w:eastAsia="RijksoverheidSerif-Regular" w:cs="RijksoverheidSerif-Regular"/>
          <w:color w:val="000000"/>
          <w:szCs w:val="18"/>
          <w:lang w:val="nl-NL"/>
        </w:rPr>
        <w:t>, visnetten</w:t>
      </w:r>
      <w:r w:rsidRPr="00FF5E8B">
        <w:rPr>
          <w:rFonts w:eastAsia="RijksoverheidSerif-Regular" w:cs="RijksoverheidSerif-Regular"/>
          <w:color w:val="000000"/>
          <w:szCs w:val="18"/>
          <w:lang w:val="nl-NL"/>
        </w:rPr>
        <w:t xml:space="preserve"> en passief opgevist afval</w:t>
      </w:r>
      <w:r>
        <w:rPr>
          <w:rFonts w:eastAsia="RijksoverheidSerif-Regular" w:cs="RijksoverheidSerif-Regular"/>
          <w:color w:val="000000"/>
          <w:szCs w:val="18"/>
          <w:lang w:val="nl-NL"/>
        </w:rPr>
        <w:t xml:space="preserve">. Dit betekent dat van elk schip een </w:t>
      </w:r>
      <w:r w:rsidRPr="00771EEA">
        <w:rPr>
          <w:rFonts w:eastAsia="RijksoverheidSerif-Regular" w:cs="RijksoverheidSerif-Regular"/>
          <w:color w:val="000000"/>
          <w:szCs w:val="18"/>
          <w:lang w:val="nl-NL"/>
        </w:rPr>
        <w:t>afvalbijdrage wordt gevraagd, onafhankelijk van de hoeveelheid afgegeven afval</w:t>
      </w:r>
      <w:r>
        <w:rPr>
          <w:rFonts w:eastAsia="RijksoverheidSerif-Regular" w:cs="RijksoverheidSerif-Regular"/>
          <w:color w:val="000000"/>
          <w:szCs w:val="18"/>
          <w:lang w:val="nl-NL"/>
        </w:rPr>
        <w:t xml:space="preserve">. Daarnaast wordt een </w:t>
      </w:r>
      <w:r w:rsidRPr="00FF5E8B">
        <w:rPr>
          <w:rFonts w:eastAsia="RijksoverheidSerif-Regular" w:cs="RijksoverheidSerif-Regular"/>
          <w:color w:val="000000"/>
          <w:szCs w:val="18"/>
          <w:lang w:val="nl-NL"/>
        </w:rPr>
        <w:t>afval</w:t>
      </w:r>
      <w:r>
        <w:rPr>
          <w:rFonts w:eastAsia="RijksoverheidSerif-Regular" w:cs="RijksoverheidSerif-Regular"/>
          <w:color w:val="000000"/>
          <w:szCs w:val="18"/>
          <w:lang w:val="nl-NL"/>
        </w:rPr>
        <w:t xml:space="preserve">ontvangstbewijs geïntroduceerd waarmee reders of gezagvoerders bij </w:t>
      </w:r>
      <w:r w:rsidRPr="00AF1E71">
        <w:rPr>
          <w:rFonts w:eastAsia="RijksoverheidSerif-Regular" w:cs="RijksoverheidSerif-Regular"/>
          <w:i/>
          <w:iCs/>
          <w:color w:val="000000"/>
          <w:szCs w:val="18"/>
          <w:lang w:val="nl-NL"/>
        </w:rPr>
        <w:t>Safe Sea Net</w:t>
      </w:r>
      <w:r w:rsidRPr="00FF5E8B">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de afgifte van hun afval kunnen rapporteren. Ook vissersschepen vallen onder de voorschriften van de r</w:t>
      </w:r>
      <w:r w:rsidRPr="00FF5E8B">
        <w:rPr>
          <w:rFonts w:eastAsia="RijksoverheidSerif-Regular" w:cs="RijksoverheidSerif-Regular"/>
          <w:color w:val="000000"/>
          <w:szCs w:val="18"/>
          <w:lang w:val="nl-NL"/>
        </w:rPr>
        <w:t xml:space="preserve">ichtlijn. De </w:t>
      </w:r>
      <w:r>
        <w:rPr>
          <w:rFonts w:eastAsia="RijksoverheidSerif-Regular" w:cs="RijksoverheidSerif-Regular"/>
          <w:color w:val="000000"/>
          <w:szCs w:val="18"/>
          <w:lang w:val="nl-NL"/>
        </w:rPr>
        <w:t>nieuwe</w:t>
      </w:r>
      <w:r w:rsidRPr="00FF5E8B">
        <w:rPr>
          <w:rFonts w:eastAsia="RijksoverheidSerif-Regular" w:cs="RijksoverheidSerif-Regular"/>
          <w:color w:val="000000"/>
          <w:szCs w:val="18"/>
          <w:lang w:val="nl-NL"/>
        </w:rPr>
        <w:t xml:space="preserve"> HOV</w:t>
      </w:r>
      <w:r>
        <w:rPr>
          <w:rFonts w:eastAsia="RijksoverheidSerif-Regular" w:cs="RijksoverheidSerif-Regular"/>
          <w:color w:val="000000"/>
          <w:szCs w:val="18"/>
          <w:lang w:val="nl-NL"/>
        </w:rPr>
        <w:t>-</w:t>
      </w:r>
      <w:r w:rsidRPr="00FF5E8B">
        <w:rPr>
          <w:rFonts w:eastAsia="RijksoverheidSerif-Regular" w:cs="RijksoverheidSerif-Regular"/>
          <w:color w:val="000000"/>
          <w:szCs w:val="18"/>
          <w:lang w:val="nl-NL"/>
        </w:rPr>
        <w:t xml:space="preserve">richtlijn vraagt ook om een regeling voor passief opgevist afval, ook wel bekend als </w:t>
      </w:r>
      <w:r w:rsidRPr="00AF1E71">
        <w:rPr>
          <w:rFonts w:eastAsia="RijksoverheidSerif-Regular" w:cs="RijksoverheidSerif-Regular"/>
          <w:i/>
          <w:iCs/>
          <w:color w:val="000000"/>
          <w:szCs w:val="18"/>
          <w:lang w:val="nl-NL"/>
        </w:rPr>
        <w:t>Fishing for Litter</w:t>
      </w:r>
      <w:r>
        <w:rPr>
          <w:rFonts w:eastAsia="RijksoverheidSerif-Regular" w:cs="RijksoverheidSerif-Regular"/>
          <w:color w:val="000000"/>
          <w:szCs w:val="18"/>
          <w:lang w:val="nl-NL"/>
        </w:rPr>
        <w:t>-</w:t>
      </w:r>
      <w:r w:rsidRPr="00FF5E8B">
        <w:rPr>
          <w:rFonts w:eastAsia="RijksoverheidSerif-Regular" w:cs="RijksoverheidSerif-Regular"/>
          <w:color w:val="000000"/>
          <w:szCs w:val="18"/>
          <w:lang w:val="nl-NL"/>
        </w:rPr>
        <w:t>afval. Faciliteiten hiervoor worden in de havens verplicht gesteld</w:t>
      </w:r>
      <w:r>
        <w:rPr>
          <w:rFonts w:eastAsia="RijksoverheidSerif-Regular" w:cs="RijksoverheidSerif-Regular"/>
          <w:color w:val="000000"/>
          <w:szCs w:val="18"/>
          <w:lang w:val="nl-NL"/>
        </w:rPr>
        <w:t xml:space="preserve"> en bekostigd </w:t>
      </w:r>
      <w:r w:rsidRPr="00FF5E8B">
        <w:rPr>
          <w:rFonts w:eastAsia="RijksoverheidSerif-Regular" w:cs="RijksoverheidSerif-Regular"/>
          <w:color w:val="000000"/>
          <w:szCs w:val="18"/>
          <w:lang w:val="nl-NL"/>
        </w:rPr>
        <w:t xml:space="preserve">via indirecte financiering. </w:t>
      </w:r>
    </w:p>
    <w:p w:rsidR="000825B2" w:rsidP="000825B2" w:rsidRDefault="000825B2" w14:paraId="611C4F06" w14:textId="77777777">
      <w:pPr>
        <w:autoSpaceDE w:val="0"/>
        <w:autoSpaceDN w:val="0"/>
        <w:adjustRightInd w:val="0"/>
        <w:spacing w:after="0" w:line="240" w:lineRule="auto"/>
        <w:rPr>
          <w:rFonts w:eastAsia="RijksoverheidSerif-Regular" w:cs="RijksoverheidSerif-Regular"/>
          <w:color w:val="000000"/>
          <w:szCs w:val="18"/>
          <w:lang w:val="nl-NL"/>
        </w:rPr>
      </w:pPr>
    </w:p>
    <w:p w:rsidR="000825B2" w:rsidP="000825B2" w:rsidRDefault="000825B2" w14:paraId="16109125" w14:textId="77777777">
      <w:pPr>
        <w:autoSpaceDE w:val="0"/>
        <w:autoSpaceDN w:val="0"/>
        <w:adjustRightInd w:val="0"/>
        <w:spacing w:after="0" w:line="240" w:lineRule="auto"/>
        <w:rPr>
          <w:rFonts w:eastAsia="RijksoverheidSerif-Regular" w:cs="RijksoverheidSerif-Regular"/>
          <w:color w:val="000000"/>
          <w:szCs w:val="18"/>
          <w:lang w:val="nl-NL"/>
        </w:rPr>
      </w:pPr>
      <w:r>
        <w:rPr>
          <w:rFonts w:eastAsia="RijksoverheidSerif-Regular" w:cs="RijksoverheidSerif-Regular"/>
          <w:color w:val="000000"/>
          <w:szCs w:val="18"/>
          <w:lang w:val="nl-NL"/>
        </w:rPr>
        <w:t>D</w:t>
      </w:r>
      <w:r w:rsidRPr="00FF5E8B">
        <w:rPr>
          <w:rFonts w:eastAsia="RijksoverheidSerif-Regular" w:cs="RijksoverheidSerif-Regular"/>
          <w:color w:val="000000"/>
          <w:szCs w:val="18"/>
          <w:lang w:val="nl-NL"/>
        </w:rPr>
        <w:t xml:space="preserve">e EU-lidstaten </w:t>
      </w:r>
      <w:r>
        <w:rPr>
          <w:rFonts w:eastAsia="RijksoverheidSerif-Regular" w:cs="RijksoverheidSerif-Regular"/>
          <w:color w:val="000000"/>
          <w:szCs w:val="18"/>
          <w:lang w:val="nl-NL"/>
        </w:rPr>
        <w:t xml:space="preserve">zijn </w:t>
      </w:r>
      <w:r w:rsidRPr="00FF5E8B">
        <w:rPr>
          <w:rFonts w:eastAsia="RijksoverheidSerif-Regular" w:cs="RijksoverheidSerif-Regular"/>
          <w:color w:val="000000"/>
          <w:szCs w:val="18"/>
          <w:lang w:val="nl-NL"/>
        </w:rPr>
        <w:t>aan zet o</w:t>
      </w:r>
      <w:r w:rsidRPr="00785566">
        <w:rPr>
          <w:rFonts w:eastAsia="RijksoverheidSerif-Regular" w:cs="RijksoverheidSerif-Regular"/>
          <w:color w:val="000000"/>
          <w:szCs w:val="18"/>
          <w:lang w:val="nl-NL"/>
        </w:rPr>
        <w:t xml:space="preserve">m de </w:t>
      </w:r>
      <w:r w:rsidRPr="00F362FC">
        <w:rPr>
          <w:rFonts w:eastAsia="RijksoverheidSerif-Regular" w:cs="RijksoverheidSerif-Regular"/>
          <w:b/>
          <w:color w:val="000000"/>
          <w:szCs w:val="18"/>
          <w:lang w:val="nl-NL"/>
        </w:rPr>
        <w:t xml:space="preserve">Richtlijn </w:t>
      </w:r>
      <w:r w:rsidRPr="00F362FC">
        <w:rPr>
          <w:rFonts w:eastAsia="RijksoverheidSerif-Regular" w:cs="RijksoverheidSerif-Regular"/>
          <w:b/>
          <w:i/>
          <w:iCs/>
          <w:color w:val="000000"/>
          <w:szCs w:val="18"/>
          <w:lang w:val="nl-NL"/>
        </w:rPr>
        <w:t>Single Use Plastics</w:t>
      </w:r>
      <w:r w:rsidRPr="00AF1E71">
        <w:rPr>
          <w:rFonts w:eastAsia="RijksoverheidSerif-Regular" w:cs="RijksoverheidSerif-Regular"/>
          <w:color w:val="000000"/>
          <w:szCs w:val="18"/>
          <w:lang w:val="nl-NL"/>
        </w:rPr>
        <w:t xml:space="preserve"> (SUP) (EU/2019/904) </w:t>
      </w:r>
      <w:r w:rsidRPr="00785566">
        <w:rPr>
          <w:rFonts w:eastAsia="RijksoverheidSerif-Regular" w:cs="RijksoverheidSerif-Regular"/>
          <w:color w:val="000000"/>
          <w:szCs w:val="18"/>
          <w:lang w:val="nl-NL"/>
        </w:rPr>
        <w:t xml:space="preserve">om </w:t>
      </w:r>
      <w:r w:rsidRPr="00FF5E8B">
        <w:rPr>
          <w:rFonts w:eastAsia="RijksoverheidSerif-Regular" w:cs="RijksoverheidSerif-Regular"/>
          <w:color w:val="000000"/>
          <w:szCs w:val="18"/>
          <w:lang w:val="nl-NL"/>
        </w:rPr>
        <w:t>te zetten in nationale wetgeving</w:t>
      </w:r>
      <w:r>
        <w:rPr>
          <w:rFonts w:eastAsia="RijksoverheidSerif-Regular" w:cs="RijksoverheidSerif-Regular"/>
          <w:color w:val="000000"/>
          <w:szCs w:val="18"/>
          <w:lang w:val="nl-NL"/>
        </w:rPr>
        <w:t xml:space="preserve">. Het gaat daarbij om het implementeren van maatregelen om </w:t>
      </w:r>
      <w:r w:rsidRPr="00FF5E8B">
        <w:rPr>
          <w:rFonts w:eastAsia="RijksoverheidSerif-Regular" w:cs="RijksoverheidSerif-Regular"/>
          <w:color w:val="000000"/>
          <w:szCs w:val="18"/>
          <w:lang w:val="nl-NL"/>
        </w:rPr>
        <w:t>de effecten van bepaalde kunststofproducten op het milieu</w:t>
      </w:r>
      <w:r>
        <w:rPr>
          <w:rFonts w:eastAsia="RijksoverheidSerif-Regular" w:cs="RijksoverheidSerif-Regular"/>
          <w:color w:val="000000"/>
          <w:szCs w:val="18"/>
          <w:lang w:val="nl-NL"/>
        </w:rPr>
        <w:t xml:space="preserve"> te verminderen</w:t>
      </w:r>
      <w:r w:rsidRPr="00FF5E8B">
        <w:rPr>
          <w:rFonts w:eastAsia="RijksoverheidSerif-Regular" w:cs="RijksoverheidSerif-Regular"/>
          <w:color w:val="000000"/>
          <w:szCs w:val="18"/>
          <w:lang w:val="nl-NL"/>
        </w:rPr>
        <w:t>.</w:t>
      </w:r>
      <w:r w:rsidRPr="002515DC">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Zo is er sinds 3 juli 2021 een verbod ingesteld op e</w:t>
      </w:r>
      <w:r w:rsidRPr="002515DC">
        <w:rPr>
          <w:rFonts w:eastAsia="RijksoverheidSerif-Regular" w:cs="RijksoverheidSerif-Regular"/>
          <w:color w:val="000000"/>
          <w:szCs w:val="18"/>
          <w:lang w:val="nl-NL"/>
        </w:rPr>
        <w:t>en aantal plastic wegwerpproducten die veel op stranden worden gevonden en waar</w:t>
      </w:r>
      <w:r>
        <w:rPr>
          <w:rFonts w:eastAsia="RijksoverheidSerif-Regular" w:cs="RijksoverheidSerif-Regular"/>
          <w:color w:val="000000"/>
          <w:szCs w:val="18"/>
          <w:lang w:val="nl-NL"/>
        </w:rPr>
        <w:t>voor</w:t>
      </w:r>
      <w:r w:rsidRPr="002515DC">
        <w:rPr>
          <w:rFonts w:eastAsia="RijksoverheidSerif-Regular" w:cs="RijksoverheidSerif-Regular"/>
          <w:color w:val="000000"/>
          <w:szCs w:val="18"/>
          <w:lang w:val="nl-NL"/>
        </w:rPr>
        <w:t xml:space="preserve"> alternatieven beschikbaar zijn. Dit zijn wattenstaafjes, bestek, roerstaafjes, rietjes, borden en ballonstokjes. </w:t>
      </w:r>
      <w:r>
        <w:rPr>
          <w:rFonts w:eastAsia="RijksoverheidSerif-Regular" w:cs="RijksoverheidSerif-Regular"/>
          <w:color w:val="000000"/>
          <w:szCs w:val="18"/>
          <w:lang w:val="nl-NL"/>
        </w:rPr>
        <w:t>Ook</w:t>
      </w:r>
      <w:r w:rsidRPr="002515DC">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zijn</w:t>
      </w:r>
      <w:r w:rsidRPr="002515DC">
        <w:rPr>
          <w:rFonts w:eastAsia="RijksoverheidSerif-Regular" w:cs="RijksoverheidSerif-Regular"/>
          <w:color w:val="000000"/>
          <w:szCs w:val="18"/>
          <w:lang w:val="nl-NL"/>
        </w:rPr>
        <w:t xml:space="preserve"> voedsel</w:t>
      </w:r>
      <w:r>
        <w:rPr>
          <w:rFonts w:eastAsia="RijksoverheidSerif-Regular" w:cs="RijksoverheidSerif-Regular"/>
          <w:color w:val="000000"/>
          <w:szCs w:val="18"/>
          <w:lang w:val="nl-NL"/>
        </w:rPr>
        <w:t xml:space="preserve">- en </w:t>
      </w:r>
      <w:r w:rsidRPr="002515DC">
        <w:rPr>
          <w:rFonts w:eastAsia="RijksoverheidSerif-Regular" w:cs="RijksoverheidSerif-Regular"/>
          <w:color w:val="000000"/>
          <w:szCs w:val="18"/>
          <w:lang w:val="nl-NL"/>
        </w:rPr>
        <w:t>drankcontainers</w:t>
      </w:r>
      <w:r>
        <w:rPr>
          <w:rFonts w:eastAsia="RijksoverheidSerif-Regular" w:cs="RijksoverheidSerif-Regular"/>
          <w:color w:val="000000"/>
          <w:szCs w:val="18"/>
          <w:lang w:val="nl-NL"/>
        </w:rPr>
        <w:t xml:space="preserve"> van </w:t>
      </w:r>
      <w:r w:rsidRPr="002515DC">
        <w:rPr>
          <w:rFonts w:eastAsia="RijksoverheidSerif-Regular" w:cs="RijksoverheidSerif-Regular"/>
          <w:color w:val="000000"/>
          <w:szCs w:val="18"/>
          <w:lang w:val="nl-NL"/>
        </w:rPr>
        <w:t>geëxpandeerd polystyreen en alle producten gemaakt van oxo-degradeerbaar plastic verboden.</w:t>
      </w:r>
      <w:r>
        <w:rPr>
          <w:rFonts w:eastAsia="RijksoverheidSerif-Regular" w:cs="RijksoverheidSerif-Regular"/>
          <w:color w:val="000000"/>
          <w:szCs w:val="18"/>
          <w:lang w:val="nl-NL"/>
        </w:rPr>
        <w:t xml:space="preserve"> </w:t>
      </w:r>
      <w:r w:rsidRPr="00FF5E8B">
        <w:rPr>
          <w:rFonts w:eastAsia="RijksoverheidSerif-Regular" w:cs="RijksoverheidSerif-Regular"/>
          <w:color w:val="000000"/>
          <w:szCs w:val="18"/>
          <w:lang w:val="nl-NL"/>
        </w:rPr>
        <w:t xml:space="preserve">De richtlijn </w:t>
      </w:r>
      <w:r>
        <w:rPr>
          <w:rFonts w:eastAsia="RijksoverheidSerif-Regular" w:cs="RijksoverheidSerif-Regular"/>
          <w:color w:val="000000"/>
          <w:szCs w:val="18"/>
          <w:lang w:val="nl-NL"/>
        </w:rPr>
        <w:t>verlangt</w:t>
      </w:r>
      <w:r w:rsidRPr="00FF5E8B">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 xml:space="preserve">daarnaast dat </w:t>
      </w:r>
      <w:r w:rsidRPr="00FF5E8B">
        <w:rPr>
          <w:rFonts w:eastAsia="RijksoverheidSerif-Regular" w:cs="RijksoverheidSerif-Regular"/>
          <w:color w:val="000000"/>
          <w:szCs w:val="18"/>
          <w:lang w:val="nl-NL"/>
        </w:rPr>
        <w:t xml:space="preserve">producenten </w:t>
      </w:r>
      <w:r>
        <w:rPr>
          <w:rFonts w:eastAsia="RijksoverheidSerif-Regular" w:cs="RijksoverheidSerif-Regular"/>
          <w:color w:val="000000"/>
          <w:szCs w:val="18"/>
          <w:lang w:val="nl-NL"/>
        </w:rPr>
        <w:t xml:space="preserve">en importeurs </w:t>
      </w:r>
      <w:r w:rsidRPr="00FF5E8B">
        <w:rPr>
          <w:rFonts w:eastAsia="RijksoverheidSerif-Regular" w:cs="RijksoverheidSerif-Regular"/>
          <w:color w:val="000000"/>
          <w:szCs w:val="18"/>
          <w:lang w:val="nl-NL"/>
        </w:rPr>
        <w:t>van onder meer sigarettenfilters, ballonnen</w:t>
      </w:r>
      <w:r>
        <w:rPr>
          <w:rFonts w:eastAsia="RijksoverheidSerif-Regular" w:cs="RijksoverheidSerif-Regular"/>
          <w:color w:val="000000"/>
          <w:szCs w:val="18"/>
          <w:lang w:val="nl-NL"/>
        </w:rPr>
        <w:t xml:space="preserve">, vistuig, </w:t>
      </w:r>
      <w:r w:rsidRPr="00FF5E8B">
        <w:rPr>
          <w:rFonts w:eastAsia="RijksoverheidSerif-Regular" w:cs="RijksoverheidSerif-Regular"/>
          <w:color w:val="000000"/>
          <w:szCs w:val="18"/>
          <w:lang w:val="nl-NL"/>
        </w:rPr>
        <w:t>specifieke voedsel</w:t>
      </w:r>
      <w:r>
        <w:rPr>
          <w:rFonts w:eastAsia="RijksoverheidSerif-Regular" w:cs="RijksoverheidSerif-Regular"/>
          <w:color w:val="000000"/>
          <w:szCs w:val="18"/>
          <w:lang w:val="nl-NL"/>
        </w:rPr>
        <w:t xml:space="preserve">- en </w:t>
      </w:r>
      <w:r w:rsidRPr="00FF5E8B">
        <w:rPr>
          <w:rFonts w:eastAsia="RijksoverheidSerif-Regular" w:cs="RijksoverheidSerif-Regular"/>
          <w:color w:val="000000"/>
          <w:szCs w:val="18"/>
          <w:lang w:val="nl-NL"/>
        </w:rPr>
        <w:t>drankverpakkingen</w:t>
      </w:r>
      <w:r>
        <w:rPr>
          <w:rFonts w:eastAsia="RijksoverheidSerif-Regular" w:cs="RijksoverheidSerif-Regular"/>
          <w:color w:val="000000"/>
          <w:szCs w:val="18"/>
          <w:lang w:val="nl-NL"/>
        </w:rPr>
        <w:t xml:space="preserve"> en lichte plastic draagtassen</w:t>
      </w:r>
      <w:r w:rsidRPr="00FF5E8B">
        <w:rPr>
          <w:rFonts w:eastAsia="RijksoverheidSerif-Regular" w:cs="RijksoverheidSerif-Regular"/>
          <w:color w:val="000000"/>
          <w:szCs w:val="18"/>
          <w:lang w:val="nl-NL"/>
        </w:rPr>
        <w:t xml:space="preserve"> moeten beta</w:t>
      </w:r>
      <w:r>
        <w:rPr>
          <w:rFonts w:eastAsia="RijksoverheidSerif-Regular" w:cs="RijksoverheidSerif-Regular"/>
          <w:color w:val="000000"/>
          <w:szCs w:val="18"/>
          <w:lang w:val="nl-NL"/>
        </w:rPr>
        <w:t>len voor bewustwordingsmaatregelen en voor de opruimkosten van het</w:t>
      </w:r>
      <w:r w:rsidRPr="00FF5E8B">
        <w:rPr>
          <w:rFonts w:eastAsia="RijksoverheidSerif-Regular" w:cs="RijksoverheidSerif-Regular"/>
          <w:color w:val="000000"/>
          <w:szCs w:val="18"/>
          <w:lang w:val="nl-NL"/>
        </w:rPr>
        <w:t xml:space="preserve"> zwerf</w:t>
      </w:r>
      <w:r>
        <w:rPr>
          <w:rFonts w:eastAsia="RijksoverheidSerif-Regular" w:cs="RijksoverheidSerif-Regular"/>
          <w:color w:val="000000"/>
          <w:szCs w:val="18"/>
          <w:lang w:val="nl-NL"/>
        </w:rPr>
        <w:t>vuil.</w:t>
      </w:r>
    </w:p>
    <w:p w:rsidR="000825B2" w:rsidP="000825B2" w:rsidRDefault="000825B2" w14:paraId="149CE481" w14:textId="77777777">
      <w:pPr>
        <w:autoSpaceDE w:val="0"/>
        <w:autoSpaceDN w:val="0"/>
        <w:adjustRightInd w:val="0"/>
        <w:spacing w:after="0" w:line="240" w:lineRule="auto"/>
        <w:rPr>
          <w:rFonts w:eastAsia="RijksoverheidSerif-Regular" w:cs="RijksoverheidSerif-Regular"/>
          <w:color w:val="000000"/>
          <w:szCs w:val="18"/>
          <w:lang w:val="nl-NL"/>
        </w:rPr>
      </w:pPr>
    </w:p>
    <w:p w:rsidRPr="00486829" w:rsidR="000825B2" w:rsidP="000825B2" w:rsidRDefault="000825B2" w14:paraId="61F6D4D8" w14:textId="77777777">
      <w:pPr>
        <w:autoSpaceDE w:val="0"/>
        <w:autoSpaceDN w:val="0"/>
        <w:adjustRightInd w:val="0"/>
        <w:spacing w:after="0" w:line="240" w:lineRule="auto"/>
        <w:rPr>
          <w:rFonts w:eastAsia="RijksoverheidSerif-Regular" w:cs="RijksoverheidSerif-Regular"/>
          <w:szCs w:val="18"/>
          <w:lang w:val="nl-NL"/>
        </w:rPr>
      </w:pPr>
      <w:r>
        <w:rPr>
          <w:rFonts w:cs="EU Albertina"/>
          <w:color w:val="221E1F"/>
          <w:szCs w:val="18"/>
          <w:lang w:val="nl-NL"/>
        </w:rPr>
        <w:t>De SUP-richtlijn heeft een belangrijke link met de KRM. De maatregelen van de SUP-richtlijn zijn gericht op de items die bij de monitoring van strandafval volgens het OSPAR-protocol het meest worden gevonden. De aanpak van vistuig in zee vanuit de SUP heeft een belangrijke link met de KRM maatregelen voor de visserijsector. Een deel van de items uit de top 80 procent wordt aangepakt via de SUP-richtlijn zelf. Daarom worden hiervoor geen aanvullende maatregelen getroffen vanuit de KRM. De komende jaren zal duidelijk worden welke impact de SUP-maatregelen hebben op de top 80 procent meest gevonden items en wat dit betekent voor de ‘goede milieutoestand’ die de KRM nastreeft.</w:t>
      </w:r>
      <w:r>
        <w:rPr>
          <w:rFonts w:ascii="Times New Roman" w:hAnsi="Times New Roman" w:cs="Times New Roman"/>
          <w:sz w:val="24"/>
          <w:szCs w:val="24"/>
          <w:lang w:val="nl-NL" w:eastAsia="nl-NL"/>
        </w:rPr>
        <w:t xml:space="preserve"> </w:t>
      </w:r>
    </w:p>
    <w:p w:rsidR="000825B2" w:rsidP="000825B2" w:rsidRDefault="000825B2" w14:paraId="55505435" w14:textId="77777777">
      <w:pPr>
        <w:autoSpaceDE w:val="0"/>
        <w:autoSpaceDN w:val="0"/>
        <w:adjustRightInd w:val="0"/>
        <w:spacing w:after="0" w:line="240" w:lineRule="auto"/>
        <w:rPr>
          <w:rFonts w:eastAsia="RijksoverheidSerif-Regular" w:cs="RijksoverheidSerif-Regular"/>
          <w:color w:val="000000"/>
          <w:szCs w:val="18"/>
          <w:lang w:val="nl-NL"/>
        </w:rPr>
      </w:pPr>
    </w:p>
    <w:p w:rsidR="000825B2" w:rsidP="000825B2" w:rsidRDefault="000825B2" w14:paraId="05BB6B1F" w14:textId="77777777">
      <w:pPr>
        <w:autoSpaceDE w:val="0"/>
        <w:autoSpaceDN w:val="0"/>
        <w:adjustRightInd w:val="0"/>
        <w:spacing w:after="0" w:line="240" w:lineRule="auto"/>
        <w:rPr>
          <w:color w:val="211D1F"/>
          <w:szCs w:val="18"/>
          <w:lang w:val="nl-NL"/>
        </w:rPr>
      </w:pPr>
      <w:r>
        <w:rPr>
          <w:rFonts w:eastAsia="RijksoverheidSerif-Regular" w:cs="RijksoverheidSerif-Regular"/>
          <w:color w:val="000000"/>
          <w:szCs w:val="18"/>
          <w:lang w:val="nl-NL"/>
        </w:rPr>
        <w:t>D</w:t>
      </w:r>
      <w:r w:rsidRPr="00FF5E8B">
        <w:rPr>
          <w:rFonts w:eastAsia="RijksoverheidSerif-Regular" w:cs="RijksoverheidSerif-Regular"/>
          <w:color w:val="000000"/>
          <w:szCs w:val="18"/>
          <w:lang w:val="nl-NL"/>
        </w:rPr>
        <w:t xml:space="preserve">e </w:t>
      </w:r>
      <w:r>
        <w:rPr>
          <w:rFonts w:eastAsia="RijksoverheidSerif-Regular" w:cs="RijksoverheidSerif-Regular"/>
          <w:color w:val="000000"/>
          <w:szCs w:val="18"/>
          <w:lang w:val="nl-NL"/>
        </w:rPr>
        <w:t>EU-</w:t>
      </w:r>
      <w:r w:rsidRPr="00FF5E8B">
        <w:rPr>
          <w:rFonts w:eastAsia="RijksoverheidSerif-Regular" w:cs="RijksoverheidSerif-Regular"/>
          <w:color w:val="000000"/>
          <w:szCs w:val="18"/>
          <w:lang w:val="nl-NL"/>
        </w:rPr>
        <w:t xml:space="preserve">richtlijn voor de </w:t>
      </w:r>
      <w:r w:rsidRPr="00AF1E71">
        <w:rPr>
          <w:rFonts w:eastAsia="RijksoverheidSerif-Regular" w:cs="RijksoverheidSerif-Regular"/>
          <w:bCs/>
          <w:color w:val="000000"/>
          <w:szCs w:val="18"/>
          <w:lang w:val="nl-NL"/>
        </w:rPr>
        <w:t xml:space="preserve">vermindering van het verbruik </w:t>
      </w:r>
      <w:r w:rsidRPr="00F362FC">
        <w:rPr>
          <w:rFonts w:eastAsia="RijksoverheidSerif-Regular" w:cs="RijksoverheidSerif-Regular"/>
          <w:b/>
          <w:bCs/>
          <w:color w:val="000000"/>
          <w:szCs w:val="18"/>
          <w:lang w:val="nl-NL"/>
        </w:rPr>
        <w:t>van lichte plastic draagtassen</w:t>
      </w:r>
      <w:r w:rsidRPr="008477A7">
        <w:rPr>
          <w:rFonts w:eastAsia="RijksoverheidSerif-Regular" w:cs="RijksoverheidSerif-Regular"/>
          <w:b/>
          <w:color w:val="000000"/>
          <w:szCs w:val="18"/>
          <w:lang w:val="nl-NL"/>
        </w:rPr>
        <w:t xml:space="preserve"> </w:t>
      </w:r>
      <w:r w:rsidRPr="00910C46">
        <w:rPr>
          <w:rFonts w:eastAsia="RijksoverheidSerif-Regular" w:cs="RijksoverheidSerif-Regular"/>
          <w:color w:val="000000"/>
          <w:szCs w:val="18"/>
          <w:lang w:val="nl-NL"/>
        </w:rPr>
        <w:t>(EU/2015/720</w:t>
      </w:r>
      <w:r>
        <w:rPr>
          <w:rFonts w:eastAsia="RijksoverheidSerif-Regular" w:cs="RijksoverheidSerif-Regular"/>
          <w:color w:val="000000"/>
          <w:szCs w:val="18"/>
          <w:lang w:val="nl-NL"/>
        </w:rPr>
        <w:t>)</w:t>
      </w:r>
      <w:r w:rsidRPr="00DE0B17">
        <w:rPr>
          <w:rFonts w:eastAsia="RijksoverheidSerif-Regular" w:cs="RijksoverheidSerif-Regular"/>
          <w:b/>
          <w:color w:val="000000"/>
          <w:szCs w:val="18"/>
          <w:lang w:val="nl-NL"/>
        </w:rPr>
        <w:t xml:space="preserve"> </w:t>
      </w:r>
      <w:r>
        <w:rPr>
          <w:rFonts w:eastAsia="RijksoverheidSerif-Regular" w:cs="RijksoverheidSerif-Regular"/>
          <w:color w:val="000000"/>
          <w:szCs w:val="18"/>
          <w:lang w:val="nl-NL"/>
        </w:rPr>
        <w:t>verplicht de l</w:t>
      </w:r>
      <w:r w:rsidRPr="00FF5E8B">
        <w:rPr>
          <w:rFonts w:eastAsia="RijksoverheidSerif-Regular" w:cs="RijksoverheidSerif-Regular"/>
          <w:color w:val="000000"/>
          <w:szCs w:val="18"/>
          <w:lang w:val="nl-NL"/>
        </w:rPr>
        <w:t xml:space="preserve">idstaten </w:t>
      </w:r>
      <w:r>
        <w:rPr>
          <w:rFonts w:eastAsia="RijksoverheidSerif-Regular" w:cs="RijksoverheidSerif-Regular"/>
          <w:color w:val="000000"/>
          <w:szCs w:val="18"/>
          <w:lang w:val="nl-NL"/>
        </w:rPr>
        <w:t xml:space="preserve">tot duurzame maatregelen om </w:t>
      </w:r>
      <w:r w:rsidRPr="00FF5E8B">
        <w:rPr>
          <w:rFonts w:eastAsia="RijksoverheidSerif-Regular" w:cs="RijksoverheidSerif-Regular"/>
          <w:color w:val="000000"/>
          <w:szCs w:val="18"/>
          <w:lang w:val="nl-NL"/>
        </w:rPr>
        <w:t xml:space="preserve">het verbruik van </w:t>
      </w:r>
      <w:r>
        <w:rPr>
          <w:rFonts w:eastAsia="RijksoverheidSerif-Regular" w:cs="RijksoverheidSerif-Regular"/>
          <w:color w:val="000000"/>
          <w:szCs w:val="18"/>
          <w:lang w:val="nl-NL"/>
        </w:rPr>
        <w:t>deze</w:t>
      </w:r>
      <w:r w:rsidRPr="00FF5E8B">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 xml:space="preserve">tassen </w:t>
      </w:r>
      <w:r w:rsidRPr="00FF5E8B">
        <w:rPr>
          <w:rFonts w:eastAsia="RijksoverheidSerif-Regular" w:cs="RijksoverheidSerif-Regular"/>
          <w:color w:val="000000"/>
          <w:szCs w:val="18"/>
          <w:lang w:val="nl-NL"/>
        </w:rPr>
        <w:t xml:space="preserve">aanzienlijk </w:t>
      </w:r>
      <w:r>
        <w:rPr>
          <w:rFonts w:eastAsia="RijksoverheidSerif-Regular" w:cs="RijksoverheidSerif-Regular"/>
          <w:color w:val="000000"/>
          <w:szCs w:val="18"/>
          <w:lang w:val="nl-NL"/>
        </w:rPr>
        <w:t xml:space="preserve">te reduceren, zonder dat dit leidt tot </w:t>
      </w:r>
      <w:r w:rsidRPr="00FF5E8B">
        <w:rPr>
          <w:rFonts w:eastAsia="RijksoverheidSerif-Regular" w:cs="RijksoverheidSerif-Regular"/>
          <w:color w:val="000000"/>
          <w:szCs w:val="18"/>
          <w:lang w:val="nl-NL"/>
        </w:rPr>
        <w:t>een algemene stijging van de productie van verpakkingen.</w:t>
      </w:r>
      <w:r>
        <w:rPr>
          <w:rFonts w:eastAsia="RijksoverheidSerif-Regular" w:cs="RijksoverheidSerif-Regular"/>
          <w:color w:val="000000"/>
          <w:szCs w:val="18"/>
          <w:lang w:val="nl-NL"/>
        </w:rPr>
        <w:t xml:space="preserve"> </w:t>
      </w:r>
    </w:p>
    <w:p w:rsidRPr="00486829" w:rsidR="000825B2" w:rsidP="000825B2" w:rsidRDefault="000825B2" w14:paraId="02092D07" w14:textId="77777777">
      <w:pPr>
        <w:autoSpaceDE w:val="0"/>
        <w:autoSpaceDN w:val="0"/>
        <w:adjustRightInd w:val="0"/>
        <w:spacing w:after="0" w:line="240" w:lineRule="auto"/>
        <w:rPr>
          <w:rFonts w:eastAsia="RijksoverheidSerif-Regular" w:cs="RijksoverheidSerif-Regular"/>
          <w:szCs w:val="18"/>
          <w:lang w:val="nl-NL"/>
        </w:rPr>
      </w:pPr>
      <w:r w:rsidRPr="00486829">
        <w:rPr>
          <w:szCs w:val="18"/>
          <w:lang w:val="nl-NL"/>
        </w:rPr>
        <w:t xml:space="preserve">Naar aanleiding van deze richtlijn </w:t>
      </w:r>
      <w:r>
        <w:rPr>
          <w:szCs w:val="18"/>
          <w:lang w:val="nl-NL"/>
        </w:rPr>
        <w:t>geldt in</w:t>
      </w:r>
      <w:r w:rsidRPr="00486829">
        <w:rPr>
          <w:szCs w:val="18"/>
          <w:lang w:val="nl-NL"/>
        </w:rPr>
        <w:t xml:space="preserve"> Nederland sinds 1 januari 2016 een verbod op het gratis weggeven van plastic tassen. Een evaluatie in 2019 liet zien dat er 80</w:t>
      </w:r>
      <w:r>
        <w:rPr>
          <w:szCs w:val="18"/>
          <w:lang w:val="nl-NL"/>
        </w:rPr>
        <w:t xml:space="preserve"> procent</w:t>
      </w:r>
      <w:r w:rsidRPr="00486829">
        <w:rPr>
          <w:szCs w:val="18"/>
          <w:lang w:val="nl-NL"/>
        </w:rPr>
        <w:t xml:space="preserve"> minder plastic draagtassen worden gebruikt en dat er 60</w:t>
      </w:r>
      <w:r>
        <w:rPr>
          <w:szCs w:val="18"/>
          <w:lang w:val="nl-NL"/>
        </w:rPr>
        <w:t xml:space="preserve"> procent</w:t>
      </w:r>
      <w:r w:rsidRPr="00486829">
        <w:rPr>
          <w:szCs w:val="18"/>
          <w:lang w:val="nl-NL"/>
        </w:rPr>
        <w:t xml:space="preserve"> minder draagtasjes in het zwerfvuil worden gevonden. </w:t>
      </w:r>
    </w:p>
    <w:p w:rsidR="000825B2" w:rsidP="000825B2" w:rsidRDefault="000825B2" w14:paraId="351111D4" w14:textId="77777777">
      <w:pPr>
        <w:autoSpaceDE w:val="0"/>
        <w:autoSpaceDN w:val="0"/>
        <w:adjustRightInd w:val="0"/>
        <w:spacing w:after="0" w:line="240" w:lineRule="auto"/>
        <w:rPr>
          <w:rFonts w:eastAsia="RijksoverheidSerif-Regular" w:cs="RijksoverheidSerif-Regular"/>
          <w:szCs w:val="18"/>
          <w:lang w:val="nl-NL"/>
        </w:rPr>
      </w:pPr>
    </w:p>
    <w:p w:rsidR="000825B2" w:rsidP="000825B2" w:rsidRDefault="000825B2" w14:paraId="6AE5B2E7" w14:textId="30FE9226">
      <w:pPr>
        <w:spacing w:after="0" w:line="240" w:lineRule="auto"/>
        <w:rPr>
          <w:rFonts w:ascii="Times New Roman" w:hAnsi="Times New Roman" w:cs="Times New Roman"/>
          <w:sz w:val="24"/>
          <w:szCs w:val="24"/>
          <w:lang w:val="nl-NL" w:eastAsia="nl-NL"/>
        </w:rPr>
      </w:pPr>
      <w:r>
        <w:rPr>
          <w:lang w:val="nl-NL"/>
        </w:rPr>
        <w:t xml:space="preserve">Op het gebied van de </w:t>
      </w:r>
      <w:r w:rsidRPr="00436946">
        <w:rPr>
          <w:lang w:val="nl-NL"/>
        </w:rPr>
        <w:t>verdere verduurzaming</w:t>
      </w:r>
      <w:r w:rsidRPr="00833ADA">
        <w:rPr>
          <w:lang w:val="nl-NL"/>
        </w:rPr>
        <w:t xml:space="preserve"> </w:t>
      </w:r>
      <w:r w:rsidRPr="00AF1E71">
        <w:rPr>
          <w:lang w:val="nl-NL"/>
        </w:rPr>
        <w:t>van verpakkingen</w:t>
      </w:r>
      <w:r>
        <w:rPr>
          <w:lang w:val="nl-NL"/>
        </w:rPr>
        <w:t xml:space="preserve"> regelt de </w:t>
      </w:r>
      <w:r w:rsidRPr="003B3DCA">
        <w:rPr>
          <w:color w:val="211D1F"/>
          <w:szCs w:val="18"/>
          <w:lang w:val="nl-NL"/>
        </w:rPr>
        <w:t xml:space="preserve">Raamovereenkomst verpakkingen de producentenverantwoordelijkheid voor </w:t>
      </w:r>
      <w:r w:rsidRPr="003B3DCA">
        <w:rPr>
          <w:color w:val="211D1E"/>
          <w:szCs w:val="18"/>
          <w:lang w:val="nl-NL"/>
        </w:rPr>
        <w:t xml:space="preserve">de terugname en recycling van verpakkingen. </w:t>
      </w:r>
      <w:r>
        <w:rPr>
          <w:color w:val="211D1E"/>
          <w:szCs w:val="18"/>
          <w:lang w:val="nl-NL"/>
        </w:rPr>
        <w:t xml:space="preserve">Naast deze maatregelen is per 1 juli 2021 statiegeld op kleine plastic flessen ingevoerd en is besloten per 31 december 2022 ook statiegeld op blik in te voeren. </w:t>
      </w:r>
      <w:r w:rsidRPr="003B3DCA">
        <w:rPr>
          <w:color w:val="211D1E"/>
          <w:szCs w:val="18"/>
          <w:lang w:val="nl-NL"/>
        </w:rPr>
        <w:t>Met de implementatie van de SUP</w:t>
      </w:r>
      <w:r>
        <w:rPr>
          <w:color w:val="211D1E"/>
          <w:szCs w:val="18"/>
          <w:lang w:val="nl-NL"/>
        </w:rPr>
        <w:t>-</w:t>
      </w:r>
      <w:r w:rsidRPr="003B3DCA">
        <w:rPr>
          <w:color w:val="211D1E"/>
          <w:szCs w:val="18"/>
          <w:lang w:val="nl-NL"/>
        </w:rPr>
        <w:t>richtlijn worden producenten ook verantwoordelijk voor de kosten van zwerf</w:t>
      </w:r>
      <w:r>
        <w:rPr>
          <w:color w:val="211D1E"/>
          <w:szCs w:val="18"/>
          <w:lang w:val="nl-NL"/>
        </w:rPr>
        <w:t>vuil</w:t>
      </w:r>
      <w:r w:rsidRPr="003B3DCA">
        <w:rPr>
          <w:color w:val="211D1E"/>
          <w:szCs w:val="18"/>
          <w:lang w:val="nl-NL"/>
        </w:rPr>
        <w:t xml:space="preserve"> en bewustwordingsmaatregelen. </w:t>
      </w:r>
      <w:r>
        <w:rPr>
          <w:color w:val="211D1E"/>
          <w:szCs w:val="18"/>
          <w:lang w:val="nl-NL"/>
        </w:rPr>
        <w:t>De producenten van single use kunststof voedsel- en drankverpakkingen, lichte kunststof draagtassen, vochtige doekjes, ballonnen en tabaksfilters worden verplicht om bij te dragen aan de kosten die publieke gebiedsbeheerders hebben in het opruimen van zwerfvuil. In de Kamerbrief van 26 oktober 2021</w:t>
      </w:r>
      <w:r w:rsidR="00386043">
        <w:rPr>
          <w:color w:val="211D1E"/>
          <w:szCs w:val="18"/>
          <w:lang w:val="nl-NL"/>
        </w:rPr>
        <w:t xml:space="preserve">[39] </w:t>
      </w:r>
      <w:r>
        <w:rPr>
          <w:color w:val="211D1E"/>
          <w:szCs w:val="18"/>
          <w:lang w:val="nl-NL"/>
        </w:rPr>
        <w:t xml:space="preserve">wordt de werking van de uitgebreide producentenverantwoordelijkheid (UPV) nader toegelicht. Als onderdeel van de UPV worden deze producenten ook verplicht tot het nemen van bewustmakingsmaatregelen, gericht op het voorkomen van zwerfvuil. Dit is aanvullend op de communicatie die vanuit het Rijk over zwerfvuil gevoerd wordt en de communicatie van vele maatschappelijke partijen. Vele van deze partijen nemen deel aan het platform Schouders onder Schoon. Dit platform is in 2020 opgericht ten bate van kennisuitwisseling, afstemming en samenwerking, met het doel om voor effectievere communicatie te zorgen. </w:t>
      </w:r>
    </w:p>
    <w:p w:rsidR="000825B2" w:rsidP="000825B2" w:rsidRDefault="000825B2" w14:paraId="090D444D" w14:textId="579EBEA0">
      <w:pPr>
        <w:rPr>
          <w:color w:val="211D1E"/>
          <w:szCs w:val="18"/>
          <w:lang w:val="nl-NL"/>
        </w:rPr>
      </w:pPr>
    </w:p>
    <w:p w:rsidRPr="00F362FC" w:rsidR="000825B2" w:rsidP="000825B2" w:rsidRDefault="000825B2" w14:paraId="5D020587" w14:textId="77777777">
      <w:pPr>
        <w:autoSpaceDE w:val="0"/>
        <w:autoSpaceDN w:val="0"/>
        <w:adjustRightInd w:val="0"/>
        <w:spacing w:after="0" w:line="240" w:lineRule="auto"/>
        <w:rPr>
          <w:rFonts w:eastAsia="RijksoverheidSerif-Regular" w:cs="RijksoverheidSerif-Regular"/>
          <w:szCs w:val="18"/>
          <w:u w:val="single"/>
          <w:lang w:val="nl-NL"/>
        </w:rPr>
      </w:pPr>
      <w:r w:rsidRPr="00F362FC">
        <w:rPr>
          <w:rFonts w:eastAsia="RijksoverheidSerif-Regular" w:cs="RijksoverheidSerif-Regular"/>
          <w:szCs w:val="18"/>
          <w:u w:val="single"/>
          <w:lang w:val="nl-NL"/>
        </w:rPr>
        <w:t>Verdere ontwikkelingen</w:t>
      </w:r>
    </w:p>
    <w:p w:rsidRPr="006654EE" w:rsidR="000825B2" w:rsidP="000825B2" w:rsidRDefault="000825B2" w14:paraId="319AF7CB" w14:textId="77777777">
      <w:pPr>
        <w:rPr>
          <w:color w:val="211D1F"/>
          <w:szCs w:val="18"/>
          <w:lang w:val="nl-NL"/>
        </w:rPr>
      </w:pPr>
      <w:r w:rsidRPr="00486829">
        <w:rPr>
          <w:szCs w:val="18"/>
          <w:lang w:val="nl-NL"/>
        </w:rPr>
        <w:t xml:space="preserve">In het programma </w:t>
      </w:r>
      <w:r w:rsidRPr="00AF1E71">
        <w:rPr>
          <w:iCs/>
          <w:szCs w:val="18"/>
          <w:lang w:val="nl-NL"/>
        </w:rPr>
        <w:t>Nederland Circulair in 2050</w:t>
      </w:r>
      <w:r w:rsidRPr="00486829">
        <w:rPr>
          <w:szCs w:val="18"/>
          <w:lang w:val="nl-NL"/>
        </w:rPr>
        <w:t xml:space="preserve"> geeft het Rijk aan hoe </w:t>
      </w:r>
      <w:r>
        <w:rPr>
          <w:szCs w:val="18"/>
          <w:lang w:val="nl-NL"/>
        </w:rPr>
        <w:t>het</w:t>
      </w:r>
      <w:r w:rsidRPr="00486829">
        <w:rPr>
          <w:szCs w:val="18"/>
          <w:lang w:val="nl-NL"/>
        </w:rPr>
        <w:t xml:space="preserve"> samen met stakeholders de transitie wil maken naar een volledig circulaire economie in 2050</w:t>
      </w:r>
      <w:r>
        <w:rPr>
          <w:szCs w:val="18"/>
          <w:lang w:val="nl-NL"/>
        </w:rPr>
        <w:t xml:space="preserve">, </w:t>
      </w:r>
      <w:r>
        <w:rPr>
          <w:lang w:val="nl-NL"/>
        </w:rPr>
        <w:t xml:space="preserve">voor een </w:t>
      </w:r>
      <w:r w:rsidRPr="00486829">
        <w:rPr>
          <w:lang w:val="nl-NL"/>
        </w:rPr>
        <w:t xml:space="preserve">toekomst </w:t>
      </w:r>
      <w:r>
        <w:rPr>
          <w:lang w:val="nl-NL"/>
        </w:rPr>
        <w:t xml:space="preserve">waarin </w:t>
      </w:r>
      <w:r w:rsidRPr="00486829">
        <w:rPr>
          <w:lang w:val="nl-NL"/>
        </w:rPr>
        <w:t xml:space="preserve">geen plastics meer in het milieu terechtkomen. </w:t>
      </w:r>
      <w:r>
        <w:rPr>
          <w:lang w:val="nl-NL"/>
        </w:rPr>
        <w:t xml:space="preserve">Deze transitie is in gang gezet met onder andere </w:t>
      </w:r>
      <w:r w:rsidRPr="00486829">
        <w:rPr>
          <w:lang w:val="nl-NL"/>
        </w:rPr>
        <w:t xml:space="preserve">de transitieagenda Kunststoffen. </w:t>
      </w:r>
      <w:r>
        <w:rPr>
          <w:lang w:val="nl-NL"/>
        </w:rPr>
        <w:t xml:space="preserve">Het Nederlands Plastic Pact is onderdeel van die agenda. </w:t>
      </w:r>
      <w:r>
        <w:rPr>
          <w:color w:val="211D1F"/>
          <w:szCs w:val="18"/>
          <w:lang w:val="nl-NL"/>
        </w:rPr>
        <w:t xml:space="preserve">Dit, in </w:t>
      </w:r>
      <w:r w:rsidRPr="006A640B">
        <w:rPr>
          <w:lang w:val="nl-NL"/>
        </w:rPr>
        <w:t xml:space="preserve">februari 2019 </w:t>
      </w:r>
      <w:r>
        <w:rPr>
          <w:lang w:val="nl-NL"/>
        </w:rPr>
        <w:t xml:space="preserve">gesloten, pact stimuleert </w:t>
      </w:r>
      <w:r w:rsidRPr="0061329D">
        <w:rPr>
          <w:color w:val="211D1F"/>
          <w:szCs w:val="18"/>
          <w:lang w:val="nl-NL"/>
        </w:rPr>
        <w:t xml:space="preserve">op nationale schaal </w:t>
      </w:r>
      <w:r>
        <w:rPr>
          <w:color w:val="211D1F"/>
          <w:szCs w:val="18"/>
          <w:lang w:val="nl-NL"/>
        </w:rPr>
        <w:t xml:space="preserve">hergebruik </w:t>
      </w:r>
      <w:r w:rsidRPr="0061329D">
        <w:rPr>
          <w:color w:val="211D1F"/>
          <w:szCs w:val="18"/>
          <w:lang w:val="nl-NL"/>
        </w:rPr>
        <w:t xml:space="preserve">van plastic en </w:t>
      </w:r>
      <w:r>
        <w:rPr>
          <w:color w:val="211D1F"/>
          <w:szCs w:val="18"/>
          <w:lang w:val="nl-NL"/>
        </w:rPr>
        <w:t xml:space="preserve">gaat </w:t>
      </w:r>
      <w:r w:rsidRPr="0061329D">
        <w:rPr>
          <w:color w:val="211D1F"/>
          <w:szCs w:val="18"/>
          <w:lang w:val="nl-NL"/>
        </w:rPr>
        <w:t xml:space="preserve">onnodig gebruik van plastic </w:t>
      </w:r>
      <w:r>
        <w:rPr>
          <w:color w:val="211D1F"/>
          <w:szCs w:val="18"/>
          <w:lang w:val="nl-NL"/>
        </w:rPr>
        <w:t>tegen. Het uiteindelijke doel is de</w:t>
      </w:r>
      <w:r w:rsidRPr="0061329D">
        <w:rPr>
          <w:color w:val="211D1F"/>
          <w:szCs w:val="18"/>
          <w:lang w:val="nl-NL"/>
        </w:rPr>
        <w:t xml:space="preserve"> kunststofketen te sluiten.</w:t>
      </w:r>
      <w:r>
        <w:rPr>
          <w:color w:val="211D1F"/>
          <w:szCs w:val="18"/>
          <w:lang w:val="nl-NL"/>
        </w:rPr>
        <w:t xml:space="preserve"> Deze aanpak is op Europees niveau overgenomen in het Europese </w:t>
      </w:r>
      <w:r w:rsidRPr="00B943C1">
        <w:rPr>
          <w:color w:val="211D1F"/>
          <w:szCs w:val="18"/>
          <w:lang w:val="nl-NL"/>
        </w:rPr>
        <w:t>Plastic Pact</w:t>
      </w:r>
      <w:r>
        <w:rPr>
          <w:color w:val="211D1F"/>
          <w:szCs w:val="18"/>
          <w:lang w:val="nl-NL"/>
        </w:rPr>
        <w:t>,</w:t>
      </w:r>
      <w:r w:rsidRPr="00B943C1">
        <w:rPr>
          <w:color w:val="211D1F"/>
          <w:szCs w:val="18"/>
          <w:lang w:val="nl-NL"/>
        </w:rPr>
        <w:t xml:space="preserve"> waarbij </w:t>
      </w:r>
      <w:r>
        <w:rPr>
          <w:color w:val="211D1F"/>
          <w:szCs w:val="18"/>
          <w:lang w:val="nl-NL"/>
        </w:rPr>
        <w:t xml:space="preserve">dertien </w:t>
      </w:r>
      <w:r w:rsidRPr="00B943C1">
        <w:rPr>
          <w:color w:val="211D1F"/>
          <w:szCs w:val="18"/>
          <w:lang w:val="nl-NL"/>
        </w:rPr>
        <w:t>landen en 66 Europese bedrijven zijn aangesloten.</w:t>
      </w:r>
      <w:r>
        <w:rPr>
          <w:color w:val="211D1F"/>
          <w:szCs w:val="18"/>
          <w:lang w:val="nl-NL"/>
        </w:rPr>
        <w:t xml:space="preserve"> </w:t>
      </w:r>
      <w:r w:rsidRPr="0061329D">
        <w:rPr>
          <w:color w:val="211D1F"/>
          <w:szCs w:val="18"/>
          <w:lang w:val="nl-NL"/>
        </w:rPr>
        <w:t>Met de Europese Commissi</w:t>
      </w:r>
      <w:r>
        <w:rPr>
          <w:color w:val="211D1F"/>
          <w:szCs w:val="18"/>
          <w:lang w:val="nl-NL"/>
        </w:rPr>
        <w:t xml:space="preserve">e als waarnemer is er ook perspectief op een bijdrage </w:t>
      </w:r>
      <w:r w:rsidRPr="0061329D">
        <w:rPr>
          <w:color w:val="211D1F"/>
          <w:szCs w:val="18"/>
          <w:lang w:val="nl-NL"/>
        </w:rPr>
        <w:t xml:space="preserve">aan het nieuwe Europese plasticbeleid </w:t>
      </w:r>
      <w:r>
        <w:rPr>
          <w:color w:val="211D1F"/>
          <w:szCs w:val="18"/>
          <w:lang w:val="nl-NL"/>
        </w:rPr>
        <w:t xml:space="preserve">in het kader van de Europese </w:t>
      </w:r>
      <w:r w:rsidRPr="00AF1E71">
        <w:rPr>
          <w:i/>
          <w:iCs/>
          <w:color w:val="211D1F"/>
          <w:szCs w:val="18"/>
          <w:lang w:val="nl-NL"/>
        </w:rPr>
        <w:t>Green Deal</w:t>
      </w:r>
      <w:r>
        <w:rPr>
          <w:color w:val="211D1F"/>
          <w:szCs w:val="18"/>
          <w:lang w:val="nl-NL"/>
        </w:rPr>
        <w:t>.</w:t>
      </w:r>
    </w:p>
    <w:p w:rsidRPr="00AB6128" w:rsidR="000825B2" w:rsidP="000825B2" w:rsidRDefault="000825B2" w14:paraId="2120E1DE" w14:textId="77777777">
      <w:pPr>
        <w:pStyle w:val="TOCHeading"/>
      </w:pPr>
      <w:r w:rsidRPr="00AB6128">
        <w:t xml:space="preserve">Huidige </w:t>
      </w:r>
      <w:r>
        <w:t>milieutoestand</w:t>
      </w:r>
    </w:p>
    <w:p w:rsidRPr="000D5EC2" w:rsidR="000825B2" w:rsidP="000825B2" w:rsidRDefault="000825B2" w14:paraId="0585C131" w14:textId="77777777">
      <w:pPr>
        <w:autoSpaceDE w:val="0"/>
        <w:autoSpaceDN w:val="0"/>
        <w:spacing w:after="0" w:line="240" w:lineRule="auto"/>
        <w:rPr>
          <w:color w:val="000000"/>
          <w:lang w:val="nl-NL"/>
        </w:rPr>
      </w:pPr>
      <w:r w:rsidRPr="00E609E9">
        <w:rPr>
          <w:rFonts w:eastAsia="RijksoverheidSerif-Regular" w:cs="RijksoverheidSerif-Regular"/>
          <w:color w:val="000000"/>
          <w:szCs w:val="18"/>
          <w:lang w:val="nl-NL"/>
        </w:rPr>
        <w:t xml:space="preserve">De OSPAR-beoordelingen van strandafval, afval op de zeebodem en plastic in de magen van </w:t>
      </w:r>
      <w:r>
        <w:rPr>
          <w:rFonts w:eastAsia="RijksoverheidSerif-Regular" w:cs="RijksoverheidSerif-Regular"/>
          <w:color w:val="000000"/>
          <w:szCs w:val="18"/>
          <w:lang w:val="nl-NL"/>
        </w:rPr>
        <w:t xml:space="preserve">noordse </w:t>
      </w:r>
      <w:r w:rsidRPr="00E609E9">
        <w:rPr>
          <w:rFonts w:eastAsia="RijksoverheidSerif-Regular" w:cs="RijksoverheidSerif-Regular"/>
          <w:color w:val="000000"/>
          <w:szCs w:val="18"/>
          <w:lang w:val="nl-NL"/>
        </w:rPr>
        <w:t>stormvogels laten zien dat afval (waaronder vooral plastic) veel voorkomt op de stranden, in de waterkolom en op de bodem van de Noordzee</w:t>
      </w:r>
      <w:r>
        <w:rPr>
          <w:rFonts w:eastAsia="RijksoverheidSerif-Regular" w:cs="RijksoverheidSerif-Regular"/>
          <w:color w:val="000000"/>
          <w:szCs w:val="18"/>
          <w:lang w:val="nl-NL"/>
        </w:rPr>
        <w:t xml:space="preserve"> [26 en 27]</w:t>
      </w:r>
      <w:r w:rsidRPr="00E609E9">
        <w:rPr>
          <w:rFonts w:eastAsia="RijksoverheidSerif-Regular" w:cs="RijksoverheidSerif-Regular"/>
          <w:color w:val="000000"/>
          <w:szCs w:val="18"/>
          <w:lang w:val="nl-NL"/>
        </w:rPr>
        <w:t>. Op Noordzeeniveau is nog geen sprake van significante afname</w:t>
      </w:r>
      <w:r>
        <w:rPr>
          <w:rFonts w:eastAsia="RijksoverheidSerif-Regular" w:cs="RijksoverheidSerif-Regular"/>
          <w:color w:val="000000"/>
          <w:szCs w:val="18"/>
          <w:lang w:val="nl-NL"/>
        </w:rPr>
        <w:t xml:space="preserve"> van strandafval.</w:t>
      </w:r>
      <w:r w:rsidRPr="00E609E9">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 xml:space="preserve">Op </w:t>
      </w:r>
      <w:r w:rsidRPr="00E609E9">
        <w:rPr>
          <w:rFonts w:eastAsia="RijksoverheidSerif-Regular" w:cs="RijksoverheidSerif-Regular"/>
          <w:color w:val="000000"/>
          <w:szCs w:val="18"/>
          <w:lang w:val="nl-NL"/>
        </w:rPr>
        <w:t xml:space="preserve">de Nederlandse stranden </w:t>
      </w:r>
      <w:r>
        <w:rPr>
          <w:rFonts w:eastAsia="RijksoverheidSerif-Regular" w:cs="RijksoverheidSerif-Regular"/>
          <w:color w:val="000000"/>
          <w:szCs w:val="18"/>
          <w:lang w:val="nl-NL"/>
        </w:rPr>
        <w:t xml:space="preserve">zijn in de periode 2014-2019 </w:t>
      </w:r>
      <w:r w:rsidRPr="00E609E9">
        <w:rPr>
          <w:rFonts w:eastAsia="RijksoverheidSerif-Regular" w:cs="RijksoverheidSerif-Regular"/>
          <w:color w:val="000000"/>
          <w:szCs w:val="18"/>
          <w:lang w:val="nl-NL"/>
        </w:rPr>
        <w:t xml:space="preserve">wel significante afnames vastgesteld </w:t>
      </w:r>
      <w:r w:rsidRPr="00C92F7F">
        <w:rPr>
          <w:rFonts w:eastAsia="RijksoverheidSerif-Regular" w:cs="RijksoverheidSerif-Regular"/>
          <w:color w:val="000000"/>
          <w:szCs w:val="18"/>
          <w:lang w:val="nl-NL"/>
        </w:rPr>
        <w:t>voor een aantal specifieke afvalitems, en een bijna significante afname van het totale aantal afvalitems.</w:t>
      </w:r>
      <w:r>
        <w:rPr>
          <w:rFonts w:eastAsia="RijksoverheidSerif-Regular" w:cs="RijksoverheidSerif-Regular"/>
          <w:color w:val="000000"/>
          <w:szCs w:val="18"/>
          <w:lang w:val="nl-NL"/>
        </w:rPr>
        <w:t xml:space="preserve"> </w:t>
      </w:r>
    </w:p>
    <w:p w:rsidRPr="00630594" w:rsidR="000825B2" w:rsidP="000825B2" w:rsidRDefault="000825B2" w14:paraId="77512979" w14:textId="77777777">
      <w:pPr>
        <w:autoSpaceDE w:val="0"/>
        <w:autoSpaceDN w:val="0"/>
        <w:adjustRightInd w:val="0"/>
        <w:spacing w:after="0" w:line="240" w:lineRule="auto"/>
        <w:rPr>
          <w:rFonts w:eastAsia="RijksoverheidSerif-Regular" w:cs="RijksoverheidSerif-Regular"/>
          <w:color w:val="000000"/>
          <w:szCs w:val="18"/>
          <w:lang w:val="nl-NL"/>
        </w:rPr>
      </w:pPr>
      <w:r>
        <w:rPr>
          <w:rFonts w:eastAsia="RijksoverheidSerif-Regular" w:cs="RijksoverheidSerif-Regular"/>
          <w:color w:val="000000"/>
          <w:szCs w:val="18"/>
          <w:lang w:val="nl-NL"/>
        </w:rPr>
        <w:t xml:space="preserve">In de meest recente OSPAR beoordeling van plastics in stormvogelmagen [30] is </w:t>
      </w:r>
      <w:r w:rsidRPr="00E609E9">
        <w:rPr>
          <w:rFonts w:eastAsia="RijksoverheidSerif-Regular" w:cs="RijksoverheidSerif-Regular"/>
          <w:color w:val="000000"/>
          <w:szCs w:val="18"/>
          <w:lang w:val="nl-NL"/>
        </w:rPr>
        <w:t>een significante afname gesignaleerd van plastics in de magen van</w:t>
      </w:r>
      <w:r>
        <w:rPr>
          <w:rFonts w:eastAsia="RijksoverheidSerif-Regular" w:cs="RijksoverheidSerif-Regular"/>
          <w:color w:val="000000"/>
          <w:szCs w:val="18"/>
          <w:lang w:val="nl-NL"/>
        </w:rPr>
        <w:t xml:space="preserve"> </w:t>
      </w:r>
      <w:r w:rsidRPr="00E609E9">
        <w:rPr>
          <w:rFonts w:eastAsia="RijksoverheidSerif-Regular" w:cs="RijksoverheidSerif-Regular"/>
          <w:color w:val="000000"/>
          <w:szCs w:val="18"/>
          <w:lang w:val="nl-NL"/>
        </w:rPr>
        <w:t>noordse stormvogels</w:t>
      </w:r>
      <w:r>
        <w:rPr>
          <w:rFonts w:eastAsia="RijksoverheidSerif-Regular" w:cs="RijksoverheidSerif-Regular"/>
          <w:color w:val="000000"/>
          <w:szCs w:val="18"/>
          <w:lang w:val="nl-NL"/>
        </w:rPr>
        <w:t>. Ook in de stormvogels</w:t>
      </w:r>
      <w:r w:rsidRPr="00E609E9">
        <w:rPr>
          <w:rFonts w:eastAsia="RijksoverheidSerif-Regular" w:cs="RijksoverheidSerif-Regular"/>
          <w:color w:val="000000"/>
          <w:szCs w:val="18"/>
          <w:lang w:val="nl-NL"/>
        </w:rPr>
        <w:t xml:space="preserve"> die op de Nederlandse kust aanspoelden</w:t>
      </w:r>
      <w:r>
        <w:rPr>
          <w:rFonts w:eastAsia="RijksoverheidSerif-Regular" w:cs="RijksoverheidSerif-Regular"/>
          <w:color w:val="000000"/>
          <w:szCs w:val="18"/>
          <w:lang w:val="nl-NL"/>
        </w:rPr>
        <w:t xml:space="preserve"> wordt over de periode 2002-2019 een significante afname </w:t>
      </w:r>
      <w:r w:rsidRPr="00ED0FEA">
        <w:rPr>
          <w:rFonts w:eastAsia="RijksoverheidSerif-Regular" w:cs="RijksoverheidSerif-Regular"/>
          <w:color w:val="000000"/>
          <w:szCs w:val="18"/>
          <w:lang w:val="nl-NL"/>
        </w:rPr>
        <w:t>van de plastics in de maag waargenomen [31].</w:t>
      </w:r>
      <w:r>
        <w:rPr>
          <w:rFonts w:eastAsia="RijksoverheidSerif-Regular" w:cs="RijksoverheidSerif-Regular"/>
          <w:color w:val="000000"/>
          <w:szCs w:val="18"/>
          <w:lang w:val="nl-NL"/>
        </w:rPr>
        <w:t xml:space="preserve">  </w:t>
      </w:r>
    </w:p>
    <w:p w:rsidR="000825B2" w:rsidP="000825B2" w:rsidRDefault="000825B2" w14:paraId="7FB0FB64" w14:textId="77777777">
      <w:pPr>
        <w:rPr>
          <w:lang w:val="nl-NL"/>
        </w:rPr>
      </w:pPr>
    </w:p>
    <w:p w:rsidR="000825B2" w:rsidP="000825B2" w:rsidRDefault="000825B2" w14:paraId="43A93605" w14:textId="36714AC5">
      <w:pPr>
        <w:rPr>
          <w:lang w:val="nl-NL"/>
        </w:rPr>
      </w:pPr>
      <w:r w:rsidRPr="00E21FB0">
        <w:rPr>
          <w:lang w:val="nl-NL"/>
        </w:rPr>
        <w:t xml:space="preserve">In de cijfers van de strandafvalmonitoring is een afname te zien van het totaal aantal items dat op stranden wordt gevonden. </w:t>
      </w:r>
      <w:r w:rsidRPr="0099501B">
        <w:rPr>
          <w:lang w:val="nl-NL"/>
        </w:rPr>
        <w:t xml:space="preserve">De score daalde van </w:t>
      </w:r>
      <w:r>
        <w:rPr>
          <w:lang w:val="nl-NL"/>
        </w:rPr>
        <w:t>231</w:t>
      </w:r>
      <w:r w:rsidRPr="0099501B">
        <w:rPr>
          <w:lang w:val="nl-NL"/>
        </w:rPr>
        <w:t xml:space="preserve"> items per honderd meter strand in </w:t>
      </w:r>
      <w:r w:rsidRPr="00A00F0A">
        <w:rPr>
          <w:lang w:val="nl-NL"/>
        </w:rPr>
        <w:t>20</w:t>
      </w:r>
      <w:r>
        <w:rPr>
          <w:lang w:val="nl-NL"/>
        </w:rPr>
        <w:t>12</w:t>
      </w:r>
      <w:r w:rsidRPr="00E21FB0">
        <w:rPr>
          <w:lang w:val="nl-NL"/>
        </w:rPr>
        <w:t xml:space="preserve">, naar </w:t>
      </w:r>
      <w:r>
        <w:rPr>
          <w:lang w:val="nl-NL"/>
        </w:rPr>
        <w:t xml:space="preserve">140 </w:t>
      </w:r>
      <w:r w:rsidRPr="00E21FB0">
        <w:rPr>
          <w:lang w:val="nl-NL"/>
        </w:rPr>
        <w:t xml:space="preserve">items per 100 meter in </w:t>
      </w:r>
      <w:r>
        <w:rPr>
          <w:lang w:val="nl-NL"/>
        </w:rPr>
        <w:t xml:space="preserve">2019 </w:t>
      </w:r>
      <w:r w:rsidRPr="00E21FB0">
        <w:rPr>
          <w:lang w:val="nl-NL"/>
        </w:rPr>
        <w:t xml:space="preserve">(tabel </w:t>
      </w:r>
      <w:r w:rsidRPr="0099501B">
        <w:rPr>
          <w:lang w:val="nl-NL"/>
        </w:rPr>
        <w:t>1)</w:t>
      </w:r>
      <w:r>
        <w:rPr>
          <w:lang w:val="nl-NL"/>
        </w:rPr>
        <w:t>, een afname van bijna 40%</w:t>
      </w:r>
      <w:r>
        <w:rPr>
          <w:rStyle w:val="FootnoteReference"/>
          <w:lang w:val="nl-NL"/>
        </w:rPr>
        <w:footnoteReference w:id="14"/>
      </w:r>
      <w:r>
        <w:rPr>
          <w:lang w:val="nl-NL"/>
        </w:rPr>
        <w:t>. Hoewel er maar beperkt directe gegevens zijn om te onderbouwen dat de vermindering van het marien zwerfvuil het gevolg is van de getroffen maatregelen, is wel een aantal trends te zien (tabel 2)</w:t>
      </w:r>
      <w:r>
        <w:rPr>
          <w:rStyle w:val="FootnoteReference"/>
          <w:lang w:val="nl-NL"/>
        </w:rPr>
        <w:footnoteReference w:id="15"/>
      </w:r>
      <w:r>
        <w:rPr>
          <w:lang w:val="nl-NL"/>
        </w:rPr>
        <w:t xml:space="preserve">. Het aantal items in de categorie vistuig </w:t>
      </w:r>
      <w:r w:rsidRPr="00907C54">
        <w:rPr>
          <w:lang w:val="nl-NL"/>
        </w:rPr>
        <w:t>nam in de periode tussen 2014-2019 af met gemiddeld 6.47 items per 100 meter per jaar</w:t>
      </w:r>
      <w:r>
        <w:rPr>
          <w:lang w:val="nl-NL"/>
        </w:rPr>
        <w:t xml:space="preserve"> </w:t>
      </w:r>
      <w:r w:rsidRPr="00907C54">
        <w:rPr>
          <w:lang w:val="nl-NL"/>
        </w:rPr>
        <w:t xml:space="preserve">(tabel 3). </w:t>
      </w:r>
      <w:r>
        <w:rPr>
          <w:lang w:val="nl-NL"/>
        </w:rPr>
        <w:t xml:space="preserve">Maatregelen zoals de </w:t>
      </w:r>
      <w:r w:rsidRPr="001E157D">
        <w:rPr>
          <w:i/>
          <w:lang w:val="nl-NL"/>
        </w:rPr>
        <w:t>Green Deal</w:t>
      </w:r>
      <w:r>
        <w:rPr>
          <w:lang w:val="nl-NL"/>
        </w:rPr>
        <w:t xml:space="preserve"> Visserij voor een Schone Zee, het </w:t>
      </w:r>
      <w:r w:rsidRPr="001E157D">
        <w:rPr>
          <w:i/>
          <w:iCs/>
          <w:lang w:val="nl-NL"/>
        </w:rPr>
        <w:t>F</w:t>
      </w:r>
      <w:r w:rsidRPr="001E157D">
        <w:rPr>
          <w:i/>
          <w:lang w:val="nl-NL"/>
        </w:rPr>
        <w:t xml:space="preserve">ishing for </w:t>
      </w:r>
      <w:r w:rsidRPr="001E157D">
        <w:rPr>
          <w:i/>
          <w:iCs/>
          <w:lang w:val="nl-NL"/>
        </w:rPr>
        <w:t>L</w:t>
      </w:r>
      <w:r w:rsidRPr="001E157D">
        <w:rPr>
          <w:i/>
          <w:lang w:val="nl-NL"/>
        </w:rPr>
        <w:t>itter</w:t>
      </w:r>
      <w:r>
        <w:rPr>
          <w:lang w:val="nl-NL"/>
        </w:rPr>
        <w:t xml:space="preserve"> programma, en de verbetering van de </w:t>
      </w:r>
      <w:r w:rsidRPr="00C92F7F">
        <w:rPr>
          <w:lang w:val="nl-NL"/>
        </w:rPr>
        <w:t xml:space="preserve">havenontvangstvoorzieningen </w:t>
      </w:r>
      <w:r>
        <w:rPr>
          <w:lang w:val="nl-NL"/>
        </w:rPr>
        <w:t xml:space="preserve">hebben </w:t>
      </w:r>
      <w:r w:rsidRPr="00C92F7F">
        <w:rPr>
          <w:lang w:val="nl-NL"/>
        </w:rPr>
        <w:t>waarschijnlijk bijgedragen aan de vermindering van absolute aantallen</w:t>
      </w:r>
      <w:r>
        <w:rPr>
          <w:lang w:val="nl-NL"/>
        </w:rPr>
        <w:t xml:space="preserve"> strandafval afkomstig uit de visserijsector. Relatief worden visserij-items nog wel het meest gevonden (45%). Sinds de ingang van het verbod op gratis plastic tassen is een beduidende afname te zien van de hoeveelheid plastic tassen die op de stranden worden gevonden. In het vorige programma van maatregelen stonden plastic tassen nog op de derde plek van meest gevonden items. Nu behoren ze al niet meer tot de 80 procent meest gevonden items. Ook het gemiddeld aantal gevonden ballonnen is gedaald, wat deels het gevolg kan zijn van het </w:t>
      </w:r>
      <w:r w:rsidRPr="00436946">
        <w:rPr>
          <w:lang w:val="nl-NL"/>
        </w:rPr>
        <w:t>ontmoedigingsbeleid</w:t>
      </w:r>
      <w:r w:rsidRPr="00436946" w:rsidDel="007A7C75">
        <w:rPr>
          <w:lang w:val="nl-NL"/>
        </w:rPr>
        <w:t xml:space="preserve"> </w:t>
      </w:r>
      <w:r>
        <w:rPr>
          <w:lang w:val="nl-NL"/>
        </w:rPr>
        <w:t xml:space="preserve">of het verbod </w:t>
      </w:r>
      <w:r w:rsidRPr="00436946">
        <w:rPr>
          <w:lang w:val="nl-NL"/>
        </w:rPr>
        <w:t xml:space="preserve">van gemeenten </w:t>
      </w:r>
      <w:r>
        <w:rPr>
          <w:lang w:val="nl-NL"/>
        </w:rPr>
        <w:t xml:space="preserve">om ballonnen op te laten. </w:t>
      </w:r>
    </w:p>
    <w:p w:rsidRPr="008E14F1" w:rsidR="000825B2" w:rsidP="000825B2" w:rsidRDefault="000825B2" w14:paraId="4D8A400C" w14:textId="77777777">
      <w:pPr>
        <w:rPr>
          <w:lang w:val="nl-NL"/>
        </w:rPr>
      </w:pPr>
      <w:r w:rsidRPr="008E14F1">
        <w:rPr>
          <w:lang w:val="nl-NL"/>
        </w:rPr>
        <w:t xml:space="preserve">Tabel 1. Gemiddelden en medianen (met en zonder meso-plastics) van het totaal aantal items per 100 m strand, geaggregeerd voor de vier Nederlandse monitoringstranden (2019 en 2012). </w:t>
      </w:r>
    </w:p>
    <w:tbl>
      <w:tblPr>
        <w:tblStyle w:val="TableGrid"/>
        <w:tblW w:w="0" w:type="auto"/>
        <w:tblLook w:val="04A0" w:firstRow="1" w:lastRow="0" w:firstColumn="1" w:lastColumn="0" w:noHBand="0" w:noVBand="1"/>
      </w:tblPr>
      <w:tblGrid>
        <w:gridCol w:w="1838"/>
        <w:gridCol w:w="2037"/>
        <w:gridCol w:w="1829"/>
        <w:gridCol w:w="1678"/>
        <w:gridCol w:w="1635"/>
      </w:tblGrid>
      <w:tr w:rsidRPr="000F24F6" w:rsidR="000825B2" w:rsidTr="00230FC9" w14:paraId="2EE7091A" w14:textId="77777777">
        <w:tc>
          <w:tcPr>
            <w:tcW w:w="1838" w:type="dxa"/>
          </w:tcPr>
          <w:p w:rsidRPr="000F24F6" w:rsidR="000825B2" w:rsidP="00230FC9" w:rsidRDefault="000825B2" w14:paraId="4BC7EB38" w14:textId="77777777">
            <w:pPr>
              <w:rPr>
                <w:b/>
                <w:sz w:val="16"/>
                <w:szCs w:val="16"/>
                <w:lang w:val="nl-NL"/>
              </w:rPr>
            </w:pPr>
            <w:r w:rsidRPr="000F24F6">
              <w:rPr>
                <w:b/>
                <w:sz w:val="16"/>
                <w:szCs w:val="16"/>
                <w:lang w:val="nl-NL"/>
              </w:rPr>
              <w:t>Methode</w:t>
            </w:r>
          </w:p>
        </w:tc>
        <w:tc>
          <w:tcPr>
            <w:tcW w:w="2037" w:type="dxa"/>
          </w:tcPr>
          <w:p w:rsidRPr="000F24F6" w:rsidR="000825B2" w:rsidP="00230FC9" w:rsidRDefault="000825B2" w14:paraId="4F979B89" w14:textId="77777777">
            <w:pPr>
              <w:rPr>
                <w:b/>
                <w:sz w:val="16"/>
                <w:szCs w:val="16"/>
                <w:lang w:val="nl-NL"/>
              </w:rPr>
            </w:pPr>
            <w:r w:rsidRPr="000F24F6">
              <w:rPr>
                <w:b/>
                <w:sz w:val="16"/>
                <w:szCs w:val="16"/>
                <w:lang w:val="nl-NL"/>
              </w:rPr>
              <w:t>Gemiddelde + meso-plastics</w:t>
            </w:r>
          </w:p>
        </w:tc>
        <w:tc>
          <w:tcPr>
            <w:tcW w:w="1829" w:type="dxa"/>
          </w:tcPr>
          <w:p w:rsidRPr="000F24F6" w:rsidR="000825B2" w:rsidP="00230FC9" w:rsidRDefault="000825B2" w14:paraId="0636A898" w14:textId="77777777">
            <w:pPr>
              <w:rPr>
                <w:b/>
                <w:sz w:val="16"/>
                <w:szCs w:val="16"/>
                <w:lang w:val="nl-NL"/>
              </w:rPr>
            </w:pPr>
            <w:r w:rsidRPr="000F24F6">
              <w:rPr>
                <w:b/>
                <w:sz w:val="16"/>
                <w:szCs w:val="16"/>
                <w:lang w:val="nl-NL"/>
              </w:rPr>
              <w:t>Gemiddelde – meso-plastics</w:t>
            </w:r>
          </w:p>
        </w:tc>
        <w:tc>
          <w:tcPr>
            <w:tcW w:w="1678" w:type="dxa"/>
          </w:tcPr>
          <w:p w:rsidRPr="000F24F6" w:rsidR="000825B2" w:rsidP="00230FC9" w:rsidRDefault="000825B2" w14:paraId="79EE902E" w14:textId="77777777">
            <w:pPr>
              <w:rPr>
                <w:b/>
                <w:sz w:val="16"/>
                <w:szCs w:val="16"/>
                <w:lang w:val="nl-NL"/>
              </w:rPr>
            </w:pPr>
            <w:r w:rsidRPr="000F24F6">
              <w:rPr>
                <w:b/>
                <w:sz w:val="16"/>
                <w:szCs w:val="16"/>
                <w:lang w:val="nl-NL"/>
              </w:rPr>
              <w:t>Mediaan + meso-plastics</w:t>
            </w:r>
          </w:p>
        </w:tc>
        <w:tc>
          <w:tcPr>
            <w:tcW w:w="1635" w:type="dxa"/>
          </w:tcPr>
          <w:p w:rsidRPr="000F24F6" w:rsidR="000825B2" w:rsidP="00230FC9" w:rsidRDefault="000825B2" w14:paraId="501E210E" w14:textId="77777777">
            <w:pPr>
              <w:rPr>
                <w:b/>
                <w:sz w:val="16"/>
                <w:szCs w:val="16"/>
                <w:lang w:val="nl-NL"/>
              </w:rPr>
            </w:pPr>
            <w:r w:rsidRPr="000F24F6">
              <w:rPr>
                <w:b/>
                <w:sz w:val="16"/>
                <w:szCs w:val="16"/>
                <w:lang w:val="nl-NL"/>
              </w:rPr>
              <w:t xml:space="preserve">Mediaan – meso-plastics </w:t>
            </w:r>
          </w:p>
        </w:tc>
      </w:tr>
      <w:tr w:rsidRPr="000F24F6" w:rsidR="000825B2" w:rsidTr="00230FC9" w14:paraId="73FA8A7D" w14:textId="77777777">
        <w:tc>
          <w:tcPr>
            <w:tcW w:w="1838" w:type="dxa"/>
          </w:tcPr>
          <w:p w:rsidRPr="000F24F6" w:rsidR="000825B2" w:rsidP="00230FC9" w:rsidRDefault="000825B2" w14:paraId="7054FD50" w14:textId="77777777">
            <w:pPr>
              <w:rPr>
                <w:sz w:val="16"/>
                <w:szCs w:val="16"/>
                <w:lang w:val="nl-NL"/>
              </w:rPr>
            </w:pPr>
            <w:r w:rsidRPr="000F24F6">
              <w:rPr>
                <w:sz w:val="16"/>
                <w:szCs w:val="16"/>
                <w:lang w:val="nl-NL"/>
              </w:rPr>
              <w:t>2012</w:t>
            </w:r>
          </w:p>
        </w:tc>
        <w:tc>
          <w:tcPr>
            <w:tcW w:w="2037" w:type="dxa"/>
          </w:tcPr>
          <w:p w:rsidRPr="000F24F6" w:rsidR="000825B2" w:rsidP="00230FC9" w:rsidRDefault="000825B2" w14:paraId="0786E239" w14:textId="77777777">
            <w:pPr>
              <w:jc w:val="center"/>
              <w:rPr>
                <w:sz w:val="16"/>
                <w:szCs w:val="16"/>
                <w:lang w:val="nl-NL"/>
              </w:rPr>
            </w:pPr>
            <w:r w:rsidRPr="000F24F6">
              <w:rPr>
                <w:sz w:val="16"/>
                <w:szCs w:val="16"/>
                <w:lang w:val="nl-NL"/>
              </w:rPr>
              <w:t>315</w:t>
            </w:r>
          </w:p>
        </w:tc>
        <w:tc>
          <w:tcPr>
            <w:tcW w:w="1829" w:type="dxa"/>
          </w:tcPr>
          <w:p w:rsidRPr="000F24F6" w:rsidR="000825B2" w:rsidP="00230FC9" w:rsidRDefault="000825B2" w14:paraId="5CA1576F" w14:textId="77777777">
            <w:pPr>
              <w:jc w:val="center"/>
              <w:rPr>
                <w:sz w:val="16"/>
                <w:szCs w:val="16"/>
                <w:lang w:val="nl-NL"/>
              </w:rPr>
            </w:pPr>
            <w:r w:rsidRPr="000F24F6">
              <w:rPr>
                <w:sz w:val="16"/>
                <w:szCs w:val="16"/>
                <w:lang w:val="nl-NL"/>
              </w:rPr>
              <w:t>293</w:t>
            </w:r>
          </w:p>
        </w:tc>
        <w:tc>
          <w:tcPr>
            <w:tcW w:w="1678" w:type="dxa"/>
          </w:tcPr>
          <w:p w:rsidRPr="000F24F6" w:rsidR="000825B2" w:rsidP="00230FC9" w:rsidRDefault="000825B2" w14:paraId="34A4160A" w14:textId="77777777">
            <w:pPr>
              <w:jc w:val="center"/>
              <w:rPr>
                <w:sz w:val="16"/>
                <w:szCs w:val="16"/>
                <w:lang w:val="nl-NL"/>
              </w:rPr>
            </w:pPr>
            <w:r w:rsidRPr="000F24F6">
              <w:rPr>
                <w:sz w:val="16"/>
                <w:szCs w:val="16"/>
                <w:lang w:val="nl-NL"/>
              </w:rPr>
              <w:t>259</w:t>
            </w:r>
          </w:p>
        </w:tc>
        <w:tc>
          <w:tcPr>
            <w:tcW w:w="1635" w:type="dxa"/>
          </w:tcPr>
          <w:p w:rsidRPr="000F24F6" w:rsidR="000825B2" w:rsidP="00230FC9" w:rsidRDefault="000825B2" w14:paraId="15EE59DF" w14:textId="77777777">
            <w:pPr>
              <w:jc w:val="center"/>
              <w:rPr>
                <w:b/>
                <w:bCs/>
                <w:sz w:val="16"/>
                <w:szCs w:val="16"/>
                <w:lang w:val="nl-NL"/>
              </w:rPr>
            </w:pPr>
            <w:r w:rsidRPr="000F24F6">
              <w:rPr>
                <w:b/>
                <w:bCs/>
                <w:sz w:val="16"/>
                <w:szCs w:val="16"/>
                <w:lang w:val="nl-NL"/>
              </w:rPr>
              <w:t>231</w:t>
            </w:r>
          </w:p>
        </w:tc>
      </w:tr>
      <w:tr w:rsidRPr="000F24F6" w:rsidR="000825B2" w:rsidTr="00230FC9" w14:paraId="3CDE7671" w14:textId="77777777">
        <w:tc>
          <w:tcPr>
            <w:tcW w:w="1838" w:type="dxa"/>
          </w:tcPr>
          <w:p w:rsidRPr="000F24F6" w:rsidR="000825B2" w:rsidP="00230FC9" w:rsidRDefault="000825B2" w14:paraId="6D9FCC60" w14:textId="77777777">
            <w:pPr>
              <w:rPr>
                <w:sz w:val="16"/>
                <w:szCs w:val="16"/>
                <w:lang w:val="nl-NL"/>
              </w:rPr>
            </w:pPr>
            <w:r w:rsidRPr="000F24F6">
              <w:rPr>
                <w:sz w:val="16"/>
                <w:szCs w:val="16"/>
                <w:lang w:val="nl-NL"/>
              </w:rPr>
              <w:t>2019</w:t>
            </w:r>
          </w:p>
        </w:tc>
        <w:tc>
          <w:tcPr>
            <w:tcW w:w="2037" w:type="dxa"/>
          </w:tcPr>
          <w:p w:rsidRPr="000F24F6" w:rsidR="000825B2" w:rsidP="00230FC9" w:rsidRDefault="000825B2" w14:paraId="26707F87" w14:textId="77777777">
            <w:pPr>
              <w:jc w:val="center"/>
              <w:rPr>
                <w:sz w:val="16"/>
                <w:szCs w:val="16"/>
                <w:lang w:val="nl-NL"/>
              </w:rPr>
            </w:pPr>
            <w:r w:rsidRPr="000F24F6">
              <w:rPr>
                <w:sz w:val="16"/>
                <w:szCs w:val="16"/>
                <w:lang w:val="nl-NL"/>
              </w:rPr>
              <w:t>251</w:t>
            </w:r>
          </w:p>
        </w:tc>
        <w:tc>
          <w:tcPr>
            <w:tcW w:w="1829" w:type="dxa"/>
          </w:tcPr>
          <w:p w:rsidRPr="000F24F6" w:rsidR="000825B2" w:rsidP="00230FC9" w:rsidRDefault="000825B2" w14:paraId="44D9333D" w14:textId="77777777">
            <w:pPr>
              <w:jc w:val="center"/>
              <w:rPr>
                <w:sz w:val="16"/>
                <w:szCs w:val="16"/>
                <w:lang w:val="nl-NL"/>
              </w:rPr>
            </w:pPr>
            <w:r w:rsidRPr="000F24F6">
              <w:rPr>
                <w:sz w:val="16"/>
                <w:szCs w:val="16"/>
                <w:lang w:val="nl-NL"/>
              </w:rPr>
              <w:t>209</w:t>
            </w:r>
          </w:p>
        </w:tc>
        <w:tc>
          <w:tcPr>
            <w:tcW w:w="1678" w:type="dxa"/>
          </w:tcPr>
          <w:p w:rsidRPr="000F24F6" w:rsidR="000825B2" w:rsidP="00230FC9" w:rsidRDefault="000825B2" w14:paraId="5B8F72CA" w14:textId="77777777">
            <w:pPr>
              <w:jc w:val="center"/>
              <w:rPr>
                <w:sz w:val="16"/>
                <w:szCs w:val="16"/>
                <w:lang w:val="nl-NL"/>
              </w:rPr>
            </w:pPr>
            <w:r w:rsidRPr="000F24F6">
              <w:rPr>
                <w:sz w:val="16"/>
                <w:szCs w:val="16"/>
                <w:lang w:val="nl-NL"/>
              </w:rPr>
              <w:t>168</w:t>
            </w:r>
          </w:p>
        </w:tc>
        <w:tc>
          <w:tcPr>
            <w:tcW w:w="1635" w:type="dxa"/>
          </w:tcPr>
          <w:p w:rsidRPr="000F24F6" w:rsidR="000825B2" w:rsidP="00230FC9" w:rsidRDefault="000825B2" w14:paraId="2933A21A" w14:textId="77777777">
            <w:pPr>
              <w:jc w:val="center"/>
              <w:rPr>
                <w:b/>
                <w:bCs/>
                <w:sz w:val="16"/>
                <w:szCs w:val="16"/>
                <w:lang w:val="nl-NL"/>
              </w:rPr>
            </w:pPr>
            <w:r w:rsidRPr="000F24F6">
              <w:rPr>
                <w:b/>
                <w:bCs/>
                <w:sz w:val="16"/>
                <w:szCs w:val="16"/>
                <w:lang w:val="nl-NL"/>
              </w:rPr>
              <w:t>140</w:t>
            </w:r>
          </w:p>
        </w:tc>
      </w:tr>
      <w:tr w:rsidRPr="000F24F6" w:rsidR="000825B2" w:rsidTr="00230FC9" w14:paraId="0AD93E19" w14:textId="77777777">
        <w:tc>
          <w:tcPr>
            <w:tcW w:w="1838" w:type="dxa"/>
          </w:tcPr>
          <w:p w:rsidRPr="000F24F6" w:rsidR="000825B2" w:rsidP="00230FC9" w:rsidRDefault="000825B2" w14:paraId="3D72B354" w14:textId="77777777">
            <w:pPr>
              <w:rPr>
                <w:sz w:val="16"/>
                <w:szCs w:val="16"/>
                <w:lang w:val="nl-NL"/>
              </w:rPr>
            </w:pPr>
            <w:r w:rsidRPr="000F24F6">
              <w:rPr>
                <w:sz w:val="16"/>
                <w:szCs w:val="16"/>
                <w:lang w:val="nl-NL"/>
              </w:rPr>
              <w:t>Reductie</w:t>
            </w:r>
          </w:p>
          <w:p w:rsidRPr="000F24F6" w:rsidR="000825B2" w:rsidP="00230FC9" w:rsidRDefault="000825B2" w14:paraId="74567507" w14:textId="77777777">
            <w:pPr>
              <w:rPr>
                <w:sz w:val="16"/>
                <w:szCs w:val="16"/>
                <w:lang w:val="nl-NL"/>
              </w:rPr>
            </w:pPr>
            <w:r w:rsidRPr="000F24F6">
              <w:rPr>
                <w:sz w:val="16"/>
                <w:szCs w:val="16"/>
                <w:lang w:val="nl-NL"/>
              </w:rPr>
              <w:t>2019 tov 2012</w:t>
            </w:r>
          </w:p>
        </w:tc>
        <w:tc>
          <w:tcPr>
            <w:tcW w:w="2037" w:type="dxa"/>
          </w:tcPr>
          <w:p w:rsidRPr="000F24F6" w:rsidR="000825B2" w:rsidP="00230FC9" w:rsidRDefault="000825B2" w14:paraId="33D493BE" w14:textId="77777777">
            <w:pPr>
              <w:jc w:val="center"/>
              <w:rPr>
                <w:sz w:val="16"/>
                <w:szCs w:val="16"/>
                <w:lang w:val="nl-NL"/>
              </w:rPr>
            </w:pPr>
            <w:r w:rsidRPr="000F24F6">
              <w:rPr>
                <w:sz w:val="16"/>
                <w:szCs w:val="16"/>
                <w:lang w:val="nl-NL"/>
              </w:rPr>
              <w:t>20%</w:t>
            </w:r>
          </w:p>
        </w:tc>
        <w:tc>
          <w:tcPr>
            <w:tcW w:w="1829" w:type="dxa"/>
          </w:tcPr>
          <w:p w:rsidRPr="000F24F6" w:rsidR="000825B2" w:rsidP="00230FC9" w:rsidRDefault="000825B2" w14:paraId="7D349FC9" w14:textId="77777777">
            <w:pPr>
              <w:jc w:val="center"/>
              <w:rPr>
                <w:sz w:val="16"/>
                <w:szCs w:val="16"/>
                <w:lang w:val="nl-NL"/>
              </w:rPr>
            </w:pPr>
            <w:r w:rsidRPr="000F24F6">
              <w:rPr>
                <w:sz w:val="16"/>
                <w:szCs w:val="16"/>
                <w:lang w:val="nl-NL"/>
              </w:rPr>
              <w:t>29%</w:t>
            </w:r>
          </w:p>
        </w:tc>
        <w:tc>
          <w:tcPr>
            <w:tcW w:w="1678" w:type="dxa"/>
          </w:tcPr>
          <w:p w:rsidRPr="000F24F6" w:rsidR="000825B2" w:rsidP="00230FC9" w:rsidRDefault="000825B2" w14:paraId="66E2D1F6" w14:textId="77777777">
            <w:pPr>
              <w:jc w:val="center"/>
              <w:rPr>
                <w:sz w:val="16"/>
                <w:szCs w:val="16"/>
                <w:lang w:val="nl-NL"/>
              </w:rPr>
            </w:pPr>
            <w:r w:rsidRPr="000F24F6">
              <w:rPr>
                <w:sz w:val="16"/>
                <w:szCs w:val="16"/>
                <w:lang w:val="nl-NL"/>
              </w:rPr>
              <w:t>35%</w:t>
            </w:r>
          </w:p>
        </w:tc>
        <w:tc>
          <w:tcPr>
            <w:tcW w:w="1635" w:type="dxa"/>
          </w:tcPr>
          <w:p w:rsidRPr="000F24F6" w:rsidR="000825B2" w:rsidP="00230FC9" w:rsidRDefault="000825B2" w14:paraId="269DB298" w14:textId="77777777">
            <w:pPr>
              <w:jc w:val="center"/>
              <w:rPr>
                <w:b/>
                <w:bCs/>
                <w:sz w:val="16"/>
                <w:szCs w:val="16"/>
                <w:lang w:val="nl-NL"/>
              </w:rPr>
            </w:pPr>
            <w:r w:rsidRPr="000F24F6">
              <w:rPr>
                <w:b/>
                <w:bCs/>
                <w:sz w:val="16"/>
                <w:szCs w:val="16"/>
                <w:lang w:val="nl-NL"/>
              </w:rPr>
              <w:t>39%</w:t>
            </w:r>
          </w:p>
        </w:tc>
      </w:tr>
      <w:tr w:rsidRPr="000F24F6" w:rsidR="000825B2" w:rsidTr="00230FC9" w14:paraId="0DCCB1FE" w14:textId="77777777">
        <w:tc>
          <w:tcPr>
            <w:tcW w:w="1838" w:type="dxa"/>
          </w:tcPr>
          <w:p w:rsidRPr="000F24F6" w:rsidR="000825B2" w:rsidP="00230FC9" w:rsidRDefault="000825B2" w14:paraId="4B30067E" w14:textId="77777777">
            <w:pPr>
              <w:rPr>
                <w:sz w:val="16"/>
                <w:szCs w:val="16"/>
                <w:lang w:val="nl-NL"/>
              </w:rPr>
            </w:pPr>
            <w:r w:rsidRPr="000F24F6">
              <w:rPr>
                <w:sz w:val="16"/>
                <w:szCs w:val="16"/>
                <w:lang w:val="nl-NL"/>
              </w:rPr>
              <w:t>Opmerking</w:t>
            </w:r>
          </w:p>
        </w:tc>
        <w:tc>
          <w:tcPr>
            <w:tcW w:w="2037" w:type="dxa"/>
          </w:tcPr>
          <w:p w:rsidRPr="000F24F6" w:rsidR="000825B2" w:rsidP="00230FC9" w:rsidRDefault="000825B2" w14:paraId="0C75FF92" w14:textId="77777777">
            <w:pPr>
              <w:jc w:val="center"/>
              <w:rPr>
                <w:sz w:val="16"/>
                <w:szCs w:val="16"/>
                <w:lang w:val="nl-NL"/>
              </w:rPr>
            </w:pPr>
            <w:r w:rsidRPr="000F24F6">
              <w:rPr>
                <w:sz w:val="16"/>
                <w:szCs w:val="16"/>
                <w:lang w:val="nl-NL"/>
              </w:rPr>
              <w:t>Oude methode</w:t>
            </w:r>
          </w:p>
        </w:tc>
        <w:tc>
          <w:tcPr>
            <w:tcW w:w="1829" w:type="dxa"/>
          </w:tcPr>
          <w:p w:rsidRPr="000F24F6" w:rsidR="000825B2" w:rsidP="00230FC9" w:rsidRDefault="000825B2" w14:paraId="25DA37D1" w14:textId="77777777">
            <w:pPr>
              <w:jc w:val="center"/>
              <w:rPr>
                <w:sz w:val="16"/>
                <w:szCs w:val="16"/>
                <w:lang w:val="nl-NL"/>
              </w:rPr>
            </w:pPr>
          </w:p>
        </w:tc>
        <w:tc>
          <w:tcPr>
            <w:tcW w:w="1678" w:type="dxa"/>
          </w:tcPr>
          <w:p w:rsidRPr="000F24F6" w:rsidR="000825B2" w:rsidP="00230FC9" w:rsidRDefault="000825B2" w14:paraId="3F9C141C" w14:textId="77777777">
            <w:pPr>
              <w:jc w:val="center"/>
              <w:rPr>
                <w:sz w:val="16"/>
                <w:szCs w:val="16"/>
                <w:lang w:val="nl-NL"/>
              </w:rPr>
            </w:pPr>
          </w:p>
        </w:tc>
        <w:tc>
          <w:tcPr>
            <w:tcW w:w="1635" w:type="dxa"/>
          </w:tcPr>
          <w:p w:rsidRPr="000F24F6" w:rsidR="000825B2" w:rsidP="00230FC9" w:rsidRDefault="000825B2" w14:paraId="61BC3F13" w14:textId="77777777">
            <w:pPr>
              <w:jc w:val="center"/>
              <w:rPr>
                <w:sz w:val="16"/>
                <w:szCs w:val="16"/>
                <w:lang w:val="nl-NL"/>
              </w:rPr>
            </w:pPr>
            <w:r w:rsidRPr="000F24F6">
              <w:rPr>
                <w:sz w:val="16"/>
                <w:szCs w:val="16"/>
                <w:lang w:val="nl-NL"/>
              </w:rPr>
              <w:t>EU/OSPAR 2020 methode</w:t>
            </w:r>
          </w:p>
        </w:tc>
      </w:tr>
    </w:tbl>
    <w:p w:rsidRPr="00584D97" w:rsidR="000825B2" w:rsidP="000825B2" w:rsidRDefault="000825B2" w14:paraId="00D51AF2" w14:textId="77777777">
      <w:pPr>
        <w:rPr>
          <w:lang w:val="nl-NL"/>
        </w:rPr>
      </w:pPr>
    </w:p>
    <w:p w:rsidRPr="008E14F1" w:rsidR="000825B2" w:rsidP="000825B2" w:rsidRDefault="000825B2" w14:paraId="0A7755D6" w14:textId="77777777">
      <w:pPr>
        <w:rPr>
          <w:lang w:val="nl-NL"/>
        </w:rPr>
      </w:pPr>
      <w:r w:rsidRPr="008E14F1">
        <w:rPr>
          <w:lang w:val="nl-NL"/>
        </w:rPr>
        <w:t xml:space="preserve">Tabel 2. Top 80% meest gevonden items langs de Nederlandse kust in de periode 2014-2019 </w:t>
      </w:r>
      <w:r>
        <w:rPr>
          <w:lang w:val="nl-NL"/>
        </w:rPr>
        <w:t>[32]</w:t>
      </w:r>
      <w:r w:rsidRPr="008E14F1">
        <w:rPr>
          <w:lang w:val="nl-NL"/>
        </w:rPr>
        <w:t>. Significante trends zijn dik gedrukt.</w:t>
      </w:r>
    </w:p>
    <w:tbl>
      <w:tblPr>
        <w:tblStyle w:val="TableGrid"/>
        <w:tblW w:w="0" w:type="auto"/>
        <w:tblLook w:val="04A0" w:firstRow="1" w:lastRow="0" w:firstColumn="1" w:lastColumn="0" w:noHBand="0" w:noVBand="1"/>
      </w:tblPr>
      <w:tblGrid>
        <w:gridCol w:w="670"/>
        <w:gridCol w:w="3153"/>
        <w:gridCol w:w="1559"/>
        <w:gridCol w:w="1738"/>
        <w:gridCol w:w="1897"/>
      </w:tblGrid>
      <w:tr w:rsidRPr="000F24F6" w:rsidR="000825B2" w:rsidTr="00230FC9" w14:paraId="5C7E02C8" w14:textId="77777777">
        <w:trPr>
          <w:trHeight w:val="510"/>
        </w:trPr>
        <w:tc>
          <w:tcPr>
            <w:tcW w:w="0" w:type="auto"/>
            <w:hideMark/>
          </w:tcPr>
          <w:p w:rsidRPr="000F24F6" w:rsidR="000825B2" w:rsidP="00230FC9" w:rsidRDefault="000825B2" w14:paraId="1F24B4C2" w14:textId="77777777">
            <w:pPr>
              <w:rPr>
                <w:b/>
                <w:sz w:val="16"/>
                <w:szCs w:val="16"/>
                <w:lang w:val="nl-NL"/>
              </w:rPr>
            </w:pPr>
            <w:r w:rsidRPr="000F24F6">
              <w:rPr>
                <w:b/>
                <w:sz w:val="16"/>
                <w:szCs w:val="16"/>
                <w:lang w:val="nl-NL"/>
              </w:rPr>
              <w:t>Rank</w:t>
            </w:r>
          </w:p>
        </w:tc>
        <w:tc>
          <w:tcPr>
            <w:tcW w:w="3153" w:type="dxa"/>
            <w:hideMark/>
          </w:tcPr>
          <w:p w:rsidRPr="000F24F6" w:rsidR="000825B2" w:rsidP="00230FC9" w:rsidRDefault="000825B2" w14:paraId="5E37366D" w14:textId="77777777">
            <w:pPr>
              <w:rPr>
                <w:b/>
                <w:sz w:val="16"/>
                <w:szCs w:val="16"/>
                <w:lang w:val="nl-NL"/>
              </w:rPr>
            </w:pPr>
            <w:r w:rsidRPr="000F24F6">
              <w:rPr>
                <w:b/>
                <w:sz w:val="16"/>
                <w:szCs w:val="16"/>
                <w:lang w:val="nl-NL"/>
              </w:rPr>
              <w:t>Litter type</w:t>
            </w:r>
          </w:p>
        </w:tc>
        <w:tc>
          <w:tcPr>
            <w:tcW w:w="1559" w:type="dxa"/>
            <w:hideMark/>
          </w:tcPr>
          <w:p w:rsidRPr="000F24F6" w:rsidR="000825B2" w:rsidP="00230FC9" w:rsidRDefault="000825B2" w14:paraId="072FE1C9" w14:textId="77777777">
            <w:pPr>
              <w:rPr>
                <w:b/>
                <w:sz w:val="16"/>
                <w:szCs w:val="16"/>
                <w:lang w:val="nl-NL"/>
              </w:rPr>
            </w:pPr>
            <w:r w:rsidRPr="000F24F6">
              <w:rPr>
                <w:b/>
                <w:sz w:val="16"/>
                <w:szCs w:val="16"/>
                <w:lang w:val="nl-NL"/>
              </w:rPr>
              <w:t>mediaan</w:t>
            </w:r>
          </w:p>
        </w:tc>
        <w:tc>
          <w:tcPr>
            <w:tcW w:w="1738" w:type="dxa"/>
          </w:tcPr>
          <w:p w:rsidRPr="000F24F6" w:rsidR="000825B2" w:rsidP="00230FC9" w:rsidRDefault="000825B2" w14:paraId="52F58049" w14:textId="77777777">
            <w:pPr>
              <w:rPr>
                <w:b/>
                <w:sz w:val="16"/>
                <w:szCs w:val="16"/>
                <w:lang w:val="nl-NL"/>
              </w:rPr>
            </w:pPr>
            <w:r w:rsidRPr="000F24F6">
              <w:rPr>
                <w:b/>
                <w:sz w:val="16"/>
                <w:szCs w:val="16"/>
                <w:lang w:val="nl-NL"/>
              </w:rPr>
              <w:t>% van totale hoeveelheid</w:t>
            </w:r>
          </w:p>
        </w:tc>
        <w:tc>
          <w:tcPr>
            <w:tcW w:w="0" w:type="auto"/>
            <w:hideMark/>
          </w:tcPr>
          <w:p w:rsidRPr="000F24F6" w:rsidR="000825B2" w:rsidP="00230FC9" w:rsidRDefault="000825B2" w14:paraId="2F474710" w14:textId="77777777">
            <w:pPr>
              <w:rPr>
                <w:b/>
                <w:sz w:val="16"/>
                <w:szCs w:val="16"/>
                <w:lang w:val="nl-NL"/>
              </w:rPr>
            </w:pPr>
            <w:r w:rsidRPr="000F24F6">
              <w:rPr>
                <w:b/>
                <w:sz w:val="16"/>
                <w:szCs w:val="16"/>
                <w:lang w:val="nl-NL"/>
              </w:rPr>
              <w:t>Trend [aantal/jaar]</w:t>
            </w:r>
          </w:p>
        </w:tc>
      </w:tr>
      <w:tr w:rsidRPr="000F24F6" w:rsidR="000825B2" w:rsidTr="00230FC9" w14:paraId="2C505C61" w14:textId="77777777">
        <w:trPr>
          <w:trHeight w:val="290"/>
        </w:trPr>
        <w:tc>
          <w:tcPr>
            <w:tcW w:w="0" w:type="auto"/>
            <w:hideMark/>
          </w:tcPr>
          <w:p w:rsidRPr="000F24F6" w:rsidR="000825B2" w:rsidP="00230FC9" w:rsidRDefault="000825B2" w14:paraId="693DA7EB" w14:textId="77777777">
            <w:pPr>
              <w:jc w:val="both"/>
              <w:rPr>
                <w:rFonts w:cs="Times New Roman"/>
                <w:sz w:val="16"/>
                <w:szCs w:val="18"/>
              </w:rPr>
            </w:pPr>
            <w:r w:rsidRPr="000F24F6">
              <w:rPr>
                <w:rFonts w:cs="Times New Roman"/>
                <w:sz w:val="16"/>
                <w:szCs w:val="18"/>
              </w:rPr>
              <w:t>1</w:t>
            </w:r>
          </w:p>
        </w:tc>
        <w:tc>
          <w:tcPr>
            <w:tcW w:w="3153" w:type="dxa"/>
            <w:hideMark/>
          </w:tcPr>
          <w:p w:rsidRPr="000F24F6" w:rsidR="000825B2" w:rsidP="00230FC9" w:rsidRDefault="000825B2" w14:paraId="7D5FC679" w14:textId="77777777">
            <w:pPr>
              <w:jc w:val="both"/>
              <w:rPr>
                <w:rFonts w:cs="Times New Roman"/>
                <w:b/>
                <w:sz w:val="16"/>
                <w:szCs w:val="18"/>
              </w:rPr>
            </w:pPr>
            <w:r w:rsidRPr="000F24F6">
              <w:rPr>
                <w:rFonts w:cs="Times New Roman"/>
                <w:b/>
                <w:sz w:val="16"/>
                <w:szCs w:val="18"/>
              </w:rPr>
              <w:t>Plastic: string [32]</w:t>
            </w:r>
          </w:p>
        </w:tc>
        <w:tc>
          <w:tcPr>
            <w:tcW w:w="1559" w:type="dxa"/>
            <w:hideMark/>
          </w:tcPr>
          <w:p w:rsidRPr="000F24F6" w:rsidR="000825B2" w:rsidP="00230FC9" w:rsidRDefault="000825B2" w14:paraId="5E4E0392" w14:textId="77777777">
            <w:pPr>
              <w:jc w:val="both"/>
              <w:rPr>
                <w:rFonts w:cs="Times New Roman"/>
                <w:sz w:val="16"/>
                <w:szCs w:val="18"/>
              </w:rPr>
            </w:pPr>
            <w:r w:rsidRPr="000F24F6">
              <w:rPr>
                <w:rFonts w:cs="Times New Roman"/>
                <w:sz w:val="16"/>
                <w:szCs w:val="18"/>
              </w:rPr>
              <w:t>59</w:t>
            </w:r>
          </w:p>
        </w:tc>
        <w:tc>
          <w:tcPr>
            <w:tcW w:w="1738" w:type="dxa"/>
            <w:vAlign w:val="bottom"/>
          </w:tcPr>
          <w:p w:rsidRPr="000F24F6" w:rsidR="000825B2" w:rsidP="00230FC9" w:rsidRDefault="000825B2" w14:paraId="71EBDC5E" w14:textId="77777777">
            <w:pPr>
              <w:jc w:val="both"/>
              <w:rPr>
                <w:rFonts w:cs="Times New Roman"/>
                <w:sz w:val="16"/>
                <w:szCs w:val="18"/>
              </w:rPr>
            </w:pPr>
            <w:r w:rsidRPr="000F24F6">
              <w:rPr>
                <w:rFonts w:cs="Arial"/>
                <w:sz w:val="16"/>
                <w:szCs w:val="18"/>
              </w:rPr>
              <w:t>34,3</w:t>
            </w:r>
          </w:p>
        </w:tc>
        <w:tc>
          <w:tcPr>
            <w:tcW w:w="0" w:type="auto"/>
            <w:hideMark/>
          </w:tcPr>
          <w:p w:rsidRPr="000F24F6" w:rsidR="000825B2" w:rsidP="00230FC9" w:rsidRDefault="000825B2" w14:paraId="0071E44F" w14:textId="77777777">
            <w:pPr>
              <w:jc w:val="both"/>
              <w:rPr>
                <w:rFonts w:cs="Times New Roman"/>
                <w:b/>
                <w:sz w:val="16"/>
                <w:szCs w:val="18"/>
              </w:rPr>
            </w:pPr>
            <w:r w:rsidRPr="000F24F6">
              <w:rPr>
                <w:rFonts w:cs="Times New Roman"/>
                <w:b/>
                <w:sz w:val="16"/>
                <w:szCs w:val="18"/>
              </w:rPr>
              <w:t>-6.79</w:t>
            </w:r>
          </w:p>
        </w:tc>
      </w:tr>
      <w:tr w:rsidRPr="000F24F6" w:rsidR="000825B2" w:rsidTr="00230FC9" w14:paraId="4DEDB521" w14:textId="77777777">
        <w:trPr>
          <w:trHeight w:val="290"/>
        </w:trPr>
        <w:tc>
          <w:tcPr>
            <w:tcW w:w="0" w:type="auto"/>
            <w:hideMark/>
          </w:tcPr>
          <w:p w:rsidRPr="000F24F6" w:rsidR="000825B2" w:rsidP="00230FC9" w:rsidRDefault="000825B2" w14:paraId="21F4B920" w14:textId="77777777">
            <w:pPr>
              <w:jc w:val="both"/>
              <w:rPr>
                <w:rFonts w:cs="Times New Roman"/>
                <w:sz w:val="16"/>
                <w:szCs w:val="18"/>
              </w:rPr>
            </w:pPr>
            <w:r w:rsidRPr="000F24F6">
              <w:rPr>
                <w:rFonts w:cs="Times New Roman"/>
                <w:sz w:val="16"/>
                <w:szCs w:val="18"/>
              </w:rPr>
              <w:t>2</w:t>
            </w:r>
          </w:p>
        </w:tc>
        <w:tc>
          <w:tcPr>
            <w:tcW w:w="3153" w:type="dxa"/>
            <w:hideMark/>
          </w:tcPr>
          <w:p w:rsidRPr="000F24F6" w:rsidR="000825B2" w:rsidP="00230FC9" w:rsidRDefault="000825B2" w14:paraId="446ED555" w14:textId="77777777">
            <w:pPr>
              <w:jc w:val="both"/>
              <w:rPr>
                <w:rFonts w:cs="Times New Roman"/>
                <w:sz w:val="16"/>
                <w:szCs w:val="18"/>
              </w:rPr>
            </w:pPr>
            <w:r w:rsidRPr="000F24F6">
              <w:rPr>
                <w:rFonts w:cs="Times New Roman"/>
                <w:sz w:val="16"/>
                <w:szCs w:val="18"/>
              </w:rPr>
              <w:t>Plastic: plastic_large [46]</w:t>
            </w:r>
          </w:p>
        </w:tc>
        <w:tc>
          <w:tcPr>
            <w:tcW w:w="1559" w:type="dxa"/>
            <w:hideMark/>
          </w:tcPr>
          <w:p w:rsidRPr="000F24F6" w:rsidR="000825B2" w:rsidP="00230FC9" w:rsidRDefault="000825B2" w14:paraId="6AFAF1C2" w14:textId="77777777">
            <w:pPr>
              <w:jc w:val="both"/>
              <w:rPr>
                <w:rFonts w:cs="Times New Roman"/>
                <w:sz w:val="16"/>
                <w:szCs w:val="18"/>
              </w:rPr>
            </w:pPr>
            <w:r w:rsidRPr="000F24F6">
              <w:rPr>
                <w:rFonts w:cs="Times New Roman"/>
                <w:sz w:val="16"/>
                <w:szCs w:val="18"/>
              </w:rPr>
              <w:t>15</w:t>
            </w:r>
          </w:p>
        </w:tc>
        <w:tc>
          <w:tcPr>
            <w:tcW w:w="1738" w:type="dxa"/>
            <w:vAlign w:val="bottom"/>
          </w:tcPr>
          <w:p w:rsidRPr="000F24F6" w:rsidR="000825B2" w:rsidP="00230FC9" w:rsidRDefault="000825B2" w14:paraId="381999C3" w14:textId="77777777">
            <w:pPr>
              <w:jc w:val="both"/>
              <w:rPr>
                <w:rFonts w:cs="Times New Roman"/>
                <w:sz w:val="16"/>
                <w:szCs w:val="18"/>
              </w:rPr>
            </w:pPr>
            <w:r w:rsidRPr="000F24F6">
              <w:rPr>
                <w:rFonts w:cs="Arial"/>
                <w:sz w:val="16"/>
                <w:szCs w:val="18"/>
              </w:rPr>
              <w:t>9,02</w:t>
            </w:r>
          </w:p>
        </w:tc>
        <w:tc>
          <w:tcPr>
            <w:tcW w:w="0" w:type="auto"/>
            <w:hideMark/>
          </w:tcPr>
          <w:p w:rsidRPr="000F24F6" w:rsidR="000825B2" w:rsidP="00230FC9" w:rsidRDefault="000825B2" w14:paraId="492C9219" w14:textId="77777777">
            <w:pPr>
              <w:jc w:val="both"/>
              <w:rPr>
                <w:rFonts w:cs="Times New Roman"/>
                <w:sz w:val="16"/>
                <w:szCs w:val="18"/>
              </w:rPr>
            </w:pPr>
            <w:r w:rsidRPr="000F24F6">
              <w:rPr>
                <w:rFonts w:cs="Times New Roman"/>
                <w:sz w:val="16"/>
                <w:szCs w:val="18"/>
              </w:rPr>
              <w:t>-1.14</w:t>
            </w:r>
          </w:p>
        </w:tc>
      </w:tr>
      <w:tr w:rsidRPr="000F24F6" w:rsidR="000825B2" w:rsidTr="00230FC9" w14:paraId="65BBD691" w14:textId="77777777">
        <w:trPr>
          <w:trHeight w:val="290"/>
        </w:trPr>
        <w:tc>
          <w:tcPr>
            <w:tcW w:w="0" w:type="auto"/>
            <w:hideMark/>
          </w:tcPr>
          <w:p w:rsidRPr="000F24F6" w:rsidR="000825B2" w:rsidP="00230FC9" w:rsidRDefault="000825B2" w14:paraId="334A89FB" w14:textId="77777777">
            <w:pPr>
              <w:jc w:val="both"/>
              <w:rPr>
                <w:rFonts w:cs="Times New Roman"/>
                <w:sz w:val="16"/>
                <w:szCs w:val="18"/>
              </w:rPr>
            </w:pPr>
            <w:r w:rsidRPr="000F24F6">
              <w:rPr>
                <w:rFonts w:cs="Times New Roman"/>
                <w:sz w:val="16"/>
                <w:szCs w:val="18"/>
              </w:rPr>
              <w:t>3</w:t>
            </w:r>
          </w:p>
        </w:tc>
        <w:tc>
          <w:tcPr>
            <w:tcW w:w="3153" w:type="dxa"/>
            <w:hideMark/>
          </w:tcPr>
          <w:p w:rsidRPr="000F24F6" w:rsidR="000825B2" w:rsidP="00230FC9" w:rsidRDefault="000825B2" w14:paraId="4D9C379A" w14:textId="77777777">
            <w:pPr>
              <w:jc w:val="both"/>
              <w:rPr>
                <w:rFonts w:cs="Times New Roman"/>
                <w:sz w:val="16"/>
                <w:szCs w:val="18"/>
              </w:rPr>
            </w:pPr>
            <w:r w:rsidRPr="000F24F6">
              <w:rPr>
                <w:rFonts w:cs="Times New Roman"/>
                <w:sz w:val="16"/>
                <w:szCs w:val="18"/>
              </w:rPr>
              <w:t>Plastic: caps [15]</w:t>
            </w:r>
          </w:p>
        </w:tc>
        <w:tc>
          <w:tcPr>
            <w:tcW w:w="1559" w:type="dxa"/>
            <w:hideMark/>
          </w:tcPr>
          <w:p w:rsidRPr="000F24F6" w:rsidR="000825B2" w:rsidP="00230FC9" w:rsidRDefault="000825B2" w14:paraId="7D0DEB7A" w14:textId="77777777">
            <w:pPr>
              <w:jc w:val="both"/>
              <w:rPr>
                <w:rFonts w:cs="Times New Roman"/>
                <w:sz w:val="16"/>
                <w:szCs w:val="18"/>
              </w:rPr>
            </w:pPr>
            <w:r w:rsidRPr="000F24F6">
              <w:rPr>
                <w:rFonts w:cs="Times New Roman"/>
                <w:sz w:val="16"/>
                <w:szCs w:val="18"/>
              </w:rPr>
              <w:t>9</w:t>
            </w:r>
          </w:p>
        </w:tc>
        <w:tc>
          <w:tcPr>
            <w:tcW w:w="1738" w:type="dxa"/>
            <w:vAlign w:val="bottom"/>
          </w:tcPr>
          <w:p w:rsidRPr="000F24F6" w:rsidR="000825B2" w:rsidP="00230FC9" w:rsidRDefault="000825B2" w14:paraId="1A0FB40A" w14:textId="77777777">
            <w:pPr>
              <w:jc w:val="both"/>
              <w:rPr>
                <w:rFonts w:cs="Times New Roman"/>
                <w:sz w:val="16"/>
                <w:szCs w:val="18"/>
              </w:rPr>
            </w:pPr>
            <w:r w:rsidRPr="000F24F6">
              <w:rPr>
                <w:rFonts w:cs="Arial"/>
                <w:sz w:val="16"/>
                <w:szCs w:val="18"/>
              </w:rPr>
              <w:t>5,96</w:t>
            </w:r>
          </w:p>
        </w:tc>
        <w:tc>
          <w:tcPr>
            <w:tcW w:w="0" w:type="auto"/>
            <w:hideMark/>
          </w:tcPr>
          <w:p w:rsidRPr="000F24F6" w:rsidR="000825B2" w:rsidP="00230FC9" w:rsidRDefault="000825B2" w14:paraId="677A9BE7" w14:textId="77777777">
            <w:pPr>
              <w:jc w:val="both"/>
              <w:rPr>
                <w:rFonts w:cs="Times New Roman"/>
                <w:sz w:val="16"/>
                <w:szCs w:val="18"/>
              </w:rPr>
            </w:pPr>
            <w:r w:rsidRPr="000F24F6">
              <w:rPr>
                <w:rFonts w:cs="Times New Roman"/>
                <w:sz w:val="16"/>
                <w:szCs w:val="18"/>
              </w:rPr>
              <w:t>-0.4</w:t>
            </w:r>
          </w:p>
        </w:tc>
      </w:tr>
      <w:tr w:rsidRPr="000F24F6" w:rsidR="000825B2" w:rsidTr="00230FC9" w14:paraId="798B71C7" w14:textId="77777777">
        <w:trPr>
          <w:trHeight w:val="290"/>
        </w:trPr>
        <w:tc>
          <w:tcPr>
            <w:tcW w:w="0" w:type="auto"/>
            <w:hideMark/>
          </w:tcPr>
          <w:p w:rsidRPr="000F24F6" w:rsidR="000825B2" w:rsidP="00230FC9" w:rsidRDefault="000825B2" w14:paraId="722356DC" w14:textId="77777777">
            <w:pPr>
              <w:jc w:val="both"/>
              <w:rPr>
                <w:rFonts w:cs="Times New Roman"/>
                <w:sz w:val="16"/>
                <w:szCs w:val="18"/>
              </w:rPr>
            </w:pPr>
            <w:r w:rsidRPr="000F24F6">
              <w:rPr>
                <w:rFonts w:cs="Times New Roman"/>
                <w:sz w:val="16"/>
                <w:szCs w:val="18"/>
              </w:rPr>
              <w:t>4</w:t>
            </w:r>
          </w:p>
        </w:tc>
        <w:tc>
          <w:tcPr>
            <w:tcW w:w="3153" w:type="dxa"/>
            <w:hideMark/>
          </w:tcPr>
          <w:p w:rsidRPr="000F24F6" w:rsidR="000825B2" w:rsidP="00230FC9" w:rsidRDefault="000825B2" w14:paraId="50C81C20" w14:textId="77777777">
            <w:pPr>
              <w:jc w:val="both"/>
              <w:rPr>
                <w:rFonts w:cs="Times New Roman"/>
                <w:sz w:val="16"/>
                <w:szCs w:val="18"/>
              </w:rPr>
            </w:pPr>
            <w:r w:rsidRPr="000F24F6">
              <w:rPr>
                <w:rFonts w:cs="Times New Roman"/>
                <w:sz w:val="16"/>
                <w:szCs w:val="18"/>
              </w:rPr>
              <w:t>Plastic: foam_sponge [45]</w:t>
            </w:r>
          </w:p>
        </w:tc>
        <w:tc>
          <w:tcPr>
            <w:tcW w:w="1559" w:type="dxa"/>
            <w:hideMark/>
          </w:tcPr>
          <w:p w:rsidRPr="000F24F6" w:rsidR="000825B2" w:rsidP="00230FC9" w:rsidRDefault="000825B2" w14:paraId="27EBC82D" w14:textId="77777777">
            <w:pPr>
              <w:jc w:val="both"/>
              <w:rPr>
                <w:rFonts w:cs="Times New Roman"/>
                <w:sz w:val="16"/>
                <w:szCs w:val="18"/>
              </w:rPr>
            </w:pPr>
            <w:r w:rsidRPr="000F24F6">
              <w:rPr>
                <w:rFonts w:cs="Times New Roman"/>
                <w:sz w:val="16"/>
                <w:szCs w:val="18"/>
              </w:rPr>
              <w:t>6</w:t>
            </w:r>
          </w:p>
        </w:tc>
        <w:tc>
          <w:tcPr>
            <w:tcW w:w="1738" w:type="dxa"/>
            <w:vAlign w:val="bottom"/>
          </w:tcPr>
          <w:p w:rsidRPr="000F24F6" w:rsidR="000825B2" w:rsidP="00230FC9" w:rsidRDefault="000825B2" w14:paraId="1B6B23F1" w14:textId="77777777">
            <w:pPr>
              <w:jc w:val="both"/>
              <w:rPr>
                <w:rFonts w:cs="Times New Roman"/>
                <w:sz w:val="16"/>
                <w:szCs w:val="18"/>
              </w:rPr>
            </w:pPr>
            <w:r w:rsidRPr="000F24F6">
              <w:rPr>
                <w:rFonts w:cs="Arial"/>
                <w:sz w:val="16"/>
                <w:szCs w:val="18"/>
              </w:rPr>
              <w:t>5,22</w:t>
            </w:r>
          </w:p>
        </w:tc>
        <w:tc>
          <w:tcPr>
            <w:tcW w:w="0" w:type="auto"/>
            <w:hideMark/>
          </w:tcPr>
          <w:p w:rsidRPr="000F24F6" w:rsidR="000825B2" w:rsidP="00230FC9" w:rsidRDefault="000825B2" w14:paraId="784E93DD" w14:textId="77777777">
            <w:pPr>
              <w:jc w:val="both"/>
              <w:rPr>
                <w:rFonts w:cs="Times New Roman"/>
                <w:sz w:val="16"/>
                <w:szCs w:val="18"/>
              </w:rPr>
            </w:pPr>
            <w:r w:rsidRPr="000F24F6">
              <w:rPr>
                <w:rFonts w:cs="Times New Roman"/>
                <w:sz w:val="16"/>
                <w:szCs w:val="18"/>
              </w:rPr>
              <w:t>0</w:t>
            </w:r>
          </w:p>
        </w:tc>
      </w:tr>
      <w:tr w:rsidRPr="000F24F6" w:rsidR="000825B2" w:rsidTr="00230FC9" w14:paraId="74756066" w14:textId="77777777">
        <w:trPr>
          <w:trHeight w:val="290"/>
        </w:trPr>
        <w:tc>
          <w:tcPr>
            <w:tcW w:w="0" w:type="auto"/>
            <w:hideMark/>
          </w:tcPr>
          <w:p w:rsidRPr="000F24F6" w:rsidR="000825B2" w:rsidP="00230FC9" w:rsidRDefault="000825B2" w14:paraId="7598E017" w14:textId="77777777">
            <w:pPr>
              <w:jc w:val="both"/>
              <w:rPr>
                <w:rFonts w:cs="Times New Roman"/>
                <w:sz w:val="16"/>
                <w:szCs w:val="18"/>
              </w:rPr>
            </w:pPr>
            <w:r w:rsidRPr="000F24F6">
              <w:rPr>
                <w:rFonts w:cs="Times New Roman"/>
                <w:sz w:val="16"/>
                <w:szCs w:val="18"/>
              </w:rPr>
              <w:t>5</w:t>
            </w:r>
          </w:p>
        </w:tc>
        <w:tc>
          <w:tcPr>
            <w:tcW w:w="3153" w:type="dxa"/>
            <w:hideMark/>
          </w:tcPr>
          <w:p w:rsidRPr="000F24F6" w:rsidR="000825B2" w:rsidP="00230FC9" w:rsidRDefault="000825B2" w14:paraId="04D9DBDA" w14:textId="77777777">
            <w:pPr>
              <w:jc w:val="both"/>
              <w:rPr>
                <w:rFonts w:cs="Times New Roman"/>
                <w:sz w:val="16"/>
                <w:szCs w:val="18"/>
              </w:rPr>
            </w:pPr>
            <w:r w:rsidRPr="000F24F6">
              <w:rPr>
                <w:rFonts w:cs="Times New Roman"/>
                <w:sz w:val="16"/>
                <w:szCs w:val="18"/>
              </w:rPr>
              <w:t>Plastic: crisp [19]</w:t>
            </w:r>
          </w:p>
        </w:tc>
        <w:tc>
          <w:tcPr>
            <w:tcW w:w="1559" w:type="dxa"/>
            <w:hideMark/>
          </w:tcPr>
          <w:p w:rsidRPr="000F24F6" w:rsidR="000825B2" w:rsidP="00230FC9" w:rsidRDefault="000825B2" w14:paraId="34D3F9A9" w14:textId="77777777">
            <w:pPr>
              <w:jc w:val="both"/>
              <w:rPr>
                <w:rFonts w:cs="Times New Roman"/>
                <w:sz w:val="16"/>
                <w:szCs w:val="18"/>
              </w:rPr>
            </w:pPr>
            <w:r w:rsidRPr="000F24F6">
              <w:rPr>
                <w:rFonts w:cs="Times New Roman"/>
                <w:sz w:val="16"/>
                <w:szCs w:val="18"/>
              </w:rPr>
              <w:t>8</w:t>
            </w:r>
          </w:p>
        </w:tc>
        <w:tc>
          <w:tcPr>
            <w:tcW w:w="1738" w:type="dxa"/>
            <w:vAlign w:val="bottom"/>
          </w:tcPr>
          <w:p w:rsidRPr="000F24F6" w:rsidR="000825B2" w:rsidP="00230FC9" w:rsidRDefault="000825B2" w14:paraId="431D9C77" w14:textId="77777777">
            <w:pPr>
              <w:jc w:val="both"/>
              <w:rPr>
                <w:rFonts w:cs="Times New Roman"/>
                <w:sz w:val="16"/>
                <w:szCs w:val="18"/>
              </w:rPr>
            </w:pPr>
            <w:r w:rsidRPr="000F24F6">
              <w:rPr>
                <w:rFonts w:cs="Arial"/>
                <w:sz w:val="16"/>
                <w:szCs w:val="18"/>
              </w:rPr>
              <w:t>4,83</w:t>
            </w:r>
          </w:p>
        </w:tc>
        <w:tc>
          <w:tcPr>
            <w:tcW w:w="0" w:type="auto"/>
            <w:hideMark/>
          </w:tcPr>
          <w:p w:rsidRPr="000F24F6" w:rsidR="000825B2" w:rsidP="00230FC9" w:rsidRDefault="000825B2" w14:paraId="6208536D" w14:textId="77777777">
            <w:pPr>
              <w:jc w:val="both"/>
              <w:rPr>
                <w:rFonts w:cs="Times New Roman"/>
                <w:sz w:val="16"/>
                <w:szCs w:val="18"/>
              </w:rPr>
            </w:pPr>
            <w:r w:rsidRPr="000F24F6">
              <w:rPr>
                <w:rFonts w:cs="Times New Roman"/>
                <w:sz w:val="16"/>
                <w:szCs w:val="18"/>
              </w:rPr>
              <w:t>0</w:t>
            </w:r>
          </w:p>
        </w:tc>
      </w:tr>
      <w:tr w:rsidRPr="000F24F6" w:rsidR="000825B2" w:rsidTr="00230FC9" w14:paraId="021F04F8" w14:textId="77777777">
        <w:trPr>
          <w:trHeight w:val="290"/>
        </w:trPr>
        <w:tc>
          <w:tcPr>
            <w:tcW w:w="0" w:type="auto"/>
            <w:hideMark/>
          </w:tcPr>
          <w:p w:rsidRPr="000F24F6" w:rsidR="000825B2" w:rsidP="00230FC9" w:rsidRDefault="000825B2" w14:paraId="56002728" w14:textId="77777777">
            <w:pPr>
              <w:jc w:val="both"/>
              <w:rPr>
                <w:rFonts w:cs="Times New Roman"/>
                <w:sz w:val="16"/>
                <w:szCs w:val="18"/>
              </w:rPr>
            </w:pPr>
            <w:r w:rsidRPr="000F24F6">
              <w:rPr>
                <w:rFonts w:cs="Times New Roman"/>
                <w:sz w:val="16"/>
                <w:szCs w:val="18"/>
              </w:rPr>
              <w:t>6</w:t>
            </w:r>
          </w:p>
        </w:tc>
        <w:tc>
          <w:tcPr>
            <w:tcW w:w="3153" w:type="dxa"/>
            <w:hideMark/>
          </w:tcPr>
          <w:p w:rsidRPr="000F24F6" w:rsidR="000825B2" w:rsidP="00230FC9" w:rsidRDefault="000825B2" w14:paraId="5EEB1E58" w14:textId="77777777">
            <w:pPr>
              <w:jc w:val="both"/>
              <w:rPr>
                <w:rFonts w:cs="Times New Roman"/>
                <w:b/>
                <w:sz w:val="16"/>
                <w:szCs w:val="18"/>
              </w:rPr>
            </w:pPr>
            <w:r w:rsidRPr="000F24F6">
              <w:rPr>
                <w:rFonts w:cs="Times New Roman"/>
                <w:b/>
                <w:sz w:val="16"/>
                <w:szCs w:val="18"/>
              </w:rPr>
              <w:t>Plastic: fishing_net_small [115]</w:t>
            </w:r>
          </w:p>
        </w:tc>
        <w:tc>
          <w:tcPr>
            <w:tcW w:w="1559" w:type="dxa"/>
            <w:hideMark/>
          </w:tcPr>
          <w:p w:rsidRPr="000F24F6" w:rsidR="000825B2" w:rsidP="00230FC9" w:rsidRDefault="000825B2" w14:paraId="7CF7F69F" w14:textId="77777777">
            <w:pPr>
              <w:jc w:val="both"/>
              <w:rPr>
                <w:rFonts w:cs="Times New Roman"/>
                <w:sz w:val="16"/>
                <w:szCs w:val="18"/>
              </w:rPr>
            </w:pPr>
            <w:r w:rsidRPr="000F24F6">
              <w:rPr>
                <w:rFonts w:cs="Times New Roman"/>
                <w:sz w:val="16"/>
                <w:szCs w:val="18"/>
              </w:rPr>
              <w:t>4</w:t>
            </w:r>
          </w:p>
        </w:tc>
        <w:tc>
          <w:tcPr>
            <w:tcW w:w="1738" w:type="dxa"/>
            <w:vAlign w:val="bottom"/>
          </w:tcPr>
          <w:p w:rsidRPr="000F24F6" w:rsidR="000825B2" w:rsidP="00230FC9" w:rsidRDefault="000825B2" w14:paraId="4FBD3E1A" w14:textId="77777777">
            <w:pPr>
              <w:jc w:val="both"/>
              <w:rPr>
                <w:rFonts w:cs="Times New Roman"/>
                <w:sz w:val="16"/>
                <w:szCs w:val="18"/>
              </w:rPr>
            </w:pPr>
            <w:r w:rsidRPr="000F24F6">
              <w:rPr>
                <w:rFonts w:cs="Arial"/>
                <w:sz w:val="16"/>
                <w:szCs w:val="18"/>
              </w:rPr>
              <w:t>4,62</w:t>
            </w:r>
          </w:p>
        </w:tc>
        <w:tc>
          <w:tcPr>
            <w:tcW w:w="0" w:type="auto"/>
            <w:hideMark/>
          </w:tcPr>
          <w:p w:rsidRPr="000F24F6" w:rsidR="000825B2" w:rsidP="00230FC9" w:rsidRDefault="000825B2" w14:paraId="2A044D87" w14:textId="77777777">
            <w:pPr>
              <w:jc w:val="both"/>
              <w:rPr>
                <w:rFonts w:cs="Times New Roman"/>
                <w:b/>
                <w:sz w:val="16"/>
                <w:szCs w:val="18"/>
              </w:rPr>
            </w:pPr>
            <w:r w:rsidRPr="000F24F6">
              <w:rPr>
                <w:rFonts w:cs="Times New Roman"/>
                <w:b/>
                <w:sz w:val="16"/>
                <w:szCs w:val="18"/>
              </w:rPr>
              <w:t>0.909</w:t>
            </w:r>
          </w:p>
        </w:tc>
      </w:tr>
      <w:tr w:rsidRPr="000F24F6" w:rsidR="000825B2" w:rsidTr="00230FC9" w14:paraId="19FE9948" w14:textId="77777777">
        <w:trPr>
          <w:trHeight w:val="290"/>
        </w:trPr>
        <w:tc>
          <w:tcPr>
            <w:tcW w:w="0" w:type="auto"/>
            <w:hideMark/>
          </w:tcPr>
          <w:p w:rsidRPr="000F24F6" w:rsidR="000825B2" w:rsidP="00230FC9" w:rsidRDefault="000825B2" w14:paraId="7B0E5829" w14:textId="77777777">
            <w:pPr>
              <w:jc w:val="both"/>
              <w:rPr>
                <w:rFonts w:cs="Times New Roman"/>
                <w:sz w:val="16"/>
                <w:szCs w:val="18"/>
              </w:rPr>
            </w:pPr>
            <w:r w:rsidRPr="000F24F6">
              <w:rPr>
                <w:rFonts w:cs="Times New Roman"/>
                <w:sz w:val="16"/>
                <w:szCs w:val="18"/>
              </w:rPr>
              <w:t>7</w:t>
            </w:r>
          </w:p>
        </w:tc>
        <w:tc>
          <w:tcPr>
            <w:tcW w:w="3153" w:type="dxa"/>
            <w:hideMark/>
          </w:tcPr>
          <w:p w:rsidRPr="000F24F6" w:rsidR="000825B2" w:rsidP="00230FC9" w:rsidRDefault="000825B2" w14:paraId="70591454" w14:textId="77777777">
            <w:pPr>
              <w:jc w:val="both"/>
              <w:rPr>
                <w:rFonts w:cs="Times New Roman"/>
                <w:sz w:val="16"/>
                <w:szCs w:val="18"/>
              </w:rPr>
            </w:pPr>
            <w:r w:rsidRPr="000F24F6">
              <w:rPr>
                <w:rFonts w:cs="Times New Roman"/>
                <w:sz w:val="16"/>
                <w:szCs w:val="18"/>
              </w:rPr>
              <w:t>Plastic: tangled [33]</w:t>
            </w:r>
          </w:p>
        </w:tc>
        <w:tc>
          <w:tcPr>
            <w:tcW w:w="1559" w:type="dxa"/>
            <w:hideMark/>
          </w:tcPr>
          <w:p w:rsidRPr="000F24F6" w:rsidR="000825B2" w:rsidP="00230FC9" w:rsidRDefault="000825B2" w14:paraId="246DDFF7" w14:textId="77777777">
            <w:pPr>
              <w:jc w:val="both"/>
              <w:rPr>
                <w:rFonts w:cs="Times New Roman"/>
                <w:sz w:val="16"/>
                <w:szCs w:val="18"/>
              </w:rPr>
            </w:pPr>
            <w:r w:rsidRPr="000F24F6">
              <w:rPr>
                <w:rFonts w:cs="Times New Roman"/>
                <w:sz w:val="16"/>
                <w:szCs w:val="18"/>
              </w:rPr>
              <w:t>6</w:t>
            </w:r>
          </w:p>
        </w:tc>
        <w:tc>
          <w:tcPr>
            <w:tcW w:w="1738" w:type="dxa"/>
            <w:vAlign w:val="bottom"/>
          </w:tcPr>
          <w:p w:rsidRPr="000F24F6" w:rsidR="000825B2" w:rsidP="00230FC9" w:rsidRDefault="000825B2" w14:paraId="2635CD8A" w14:textId="77777777">
            <w:pPr>
              <w:jc w:val="both"/>
              <w:rPr>
                <w:rFonts w:cs="Times New Roman"/>
                <w:sz w:val="16"/>
                <w:szCs w:val="18"/>
              </w:rPr>
            </w:pPr>
            <w:r w:rsidRPr="000F24F6">
              <w:rPr>
                <w:rFonts w:cs="Arial"/>
                <w:sz w:val="16"/>
                <w:szCs w:val="18"/>
              </w:rPr>
              <w:t>3,95</w:t>
            </w:r>
          </w:p>
        </w:tc>
        <w:tc>
          <w:tcPr>
            <w:tcW w:w="0" w:type="auto"/>
            <w:hideMark/>
          </w:tcPr>
          <w:p w:rsidRPr="000F24F6" w:rsidR="000825B2" w:rsidP="00230FC9" w:rsidRDefault="000825B2" w14:paraId="791AF38E" w14:textId="77777777">
            <w:pPr>
              <w:jc w:val="both"/>
              <w:rPr>
                <w:rFonts w:cs="Times New Roman"/>
                <w:sz w:val="16"/>
                <w:szCs w:val="18"/>
              </w:rPr>
            </w:pPr>
            <w:r w:rsidRPr="000F24F6">
              <w:rPr>
                <w:rFonts w:cs="Times New Roman"/>
                <w:sz w:val="16"/>
                <w:szCs w:val="18"/>
              </w:rPr>
              <w:t>-0.251</w:t>
            </w:r>
          </w:p>
        </w:tc>
      </w:tr>
      <w:tr w:rsidRPr="000F24F6" w:rsidR="000825B2" w:rsidTr="00230FC9" w14:paraId="36AADC65" w14:textId="77777777">
        <w:trPr>
          <w:trHeight w:val="290"/>
        </w:trPr>
        <w:tc>
          <w:tcPr>
            <w:tcW w:w="0" w:type="auto"/>
            <w:hideMark/>
          </w:tcPr>
          <w:p w:rsidRPr="000F24F6" w:rsidR="000825B2" w:rsidP="00230FC9" w:rsidRDefault="000825B2" w14:paraId="574B1B06" w14:textId="77777777">
            <w:pPr>
              <w:jc w:val="both"/>
              <w:rPr>
                <w:rFonts w:cs="Times New Roman"/>
                <w:sz w:val="16"/>
                <w:szCs w:val="18"/>
              </w:rPr>
            </w:pPr>
            <w:r w:rsidRPr="000F24F6">
              <w:rPr>
                <w:rFonts w:cs="Times New Roman"/>
                <w:sz w:val="16"/>
                <w:szCs w:val="18"/>
              </w:rPr>
              <w:t>8</w:t>
            </w:r>
          </w:p>
        </w:tc>
        <w:tc>
          <w:tcPr>
            <w:tcW w:w="3153" w:type="dxa"/>
            <w:hideMark/>
          </w:tcPr>
          <w:p w:rsidRPr="000F24F6" w:rsidR="000825B2" w:rsidP="00230FC9" w:rsidRDefault="000825B2" w14:paraId="77589409" w14:textId="77777777">
            <w:pPr>
              <w:jc w:val="both"/>
              <w:rPr>
                <w:rFonts w:cs="Times New Roman"/>
                <w:b/>
                <w:sz w:val="16"/>
                <w:szCs w:val="18"/>
              </w:rPr>
            </w:pPr>
            <w:r w:rsidRPr="000F24F6">
              <w:rPr>
                <w:rFonts w:cs="Times New Roman"/>
                <w:b/>
                <w:sz w:val="16"/>
                <w:szCs w:val="18"/>
              </w:rPr>
              <w:t>Plastic: industrial [40]</w:t>
            </w:r>
          </w:p>
        </w:tc>
        <w:tc>
          <w:tcPr>
            <w:tcW w:w="1559" w:type="dxa"/>
            <w:hideMark/>
          </w:tcPr>
          <w:p w:rsidRPr="000F24F6" w:rsidR="000825B2" w:rsidP="00230FC9" w:rsidRDefault="000825B2" w14:paraId="1C341BD3" w14:textId="77777777">
            <w:pPr>
              <w:jc w:val="both"/>
              <w:rPr>
                <w:rFonts w:cs="Times New Roman"/>
                <w:sz w:val="16"/>
                <w:szCs w:val="18"/>
              </w:rPr>
            </w:pPr>
            <w:r w:rsidRPr="000F24F6">
              <w:rPr>
                <w:rFonts w:cs="Times New Roman"/>
                <w:sz w:val="16"/>
                <w:szCs w:val="18"/>
              </w:rPr>
              <w:t>6</w:t>
            </w:r>
          </w:p>
        </w:tc>
        <w:tc>
          <w:tcPr>
            <w:tcW w:w="1738" w:type="dxa"/>
            <w:vAlign w:val="bottom"/>
          </w:tcPr>
          <w:p w:rsidRPr="000F24F6" w:rsidR="000825B2" w:rsidP="00230FC9" w:rsidRDefault="000825B2" w14:paraId="161C3F8D" w14:textId="77777777">
            <w:pPr>
              <w:jc w:val="both"/>
              <w:rPr>
                <w:rFonts w:cs="Times New Roman"/>
                <w:sz w:val="16"/>
                <w:szCs w:val="18"/>
              </w:rPr>
            </w:pPr>
            <w:r w:rsidRPr="000F24F6">
              <w:rPr>
                <w:rFonts w:cs="Arial"/>
                <w:sz w:val="16"/>
                <w:szCs w:val="18"/>
              </w:rPr>
              <w:t>3,46</w:t>
            </w:r>
          </w:p>
        </w:tc>
        <w:tc>
          <w:tcPr>
            <w:tcW w:w="0" w:type="auto"/>
            <w:hideMark/>
          </w:tcPr>
          <w:p w:rsidRPr="000F24F6" w:rsidR="000825B2" w:rsidP="00230FC9" w:rsidRDefault="000825B2" w14:paraId="54BECC27" w14:textId="77777777">
            <w:pPr>
              <w:jc w:val="both"/>
              <w:rPr>
                <w:rFonts w:cs="Times New Roman"/>
                <w:b/>
                <w:sz w:val="16"/>
                <w:szCs w:val="18"/>
              </w:rPr>
            </w:pPr>
            <w:r w:rsidRPr="000F24F6">
              <w:rPr>
                <w:rFonts w:cs="Times New Roman"/>
                <w:b/>
                <w:sz w:val="16"/>
                <w:szCs w:val="18"/>
              </w:rPr>
              <w:t>-0.505</w:t>
            </w:r>
          </w:p>
        </w:tc>
      </w:tr>
      <w:tr w:rsidRPr="000F24F6" w:rsidR="000825B2" w:rsidTr="00230FC9" w14:paraId="387CE419" w14:textId="77777777">
        <w:trPr>
          <w:trHeight w:val="290"/>
        </w:trPr>
        <w:tc>
          <w:tcPr>
            <w:tcW w:w="0" w:type="auto"/>
            <w:hideMark/>
          </w:tcPr>
          <w:p w:rsidRPr="000F24F6" w:rsidR="000825B2" w:rsidP="00230FC9" w:rsidRDefault="000825B2" w14:paraId="53D5DB91" w14:textId="77777777">
            <w:pPr>
              <w:jc w:val="both"/>
              <w:rPr>
                <w:rFonts w:cs="Times New Roman"/>
                <w:sz w:val="16"/>
                <w:szCs w:val="18"/>
              </w:rPr>
            </w:pPr>
            <w:r w:rsidRPr="000F24F6">
              <w:rPr>
                <w:rFonts w:cs="Times New Roman"/>
                <w:sz w:val="16"/>
                <w:szCs w:val="18"/>
              </w:rPr>
              <w:t>9</w:t>
            </w:r>
          </w:p>
        </w:tc>
        <w:tc>
          <w:tcPr>
            <w:tcW w:w="3153" w:type="dxa"/>
            <w:hideMark/>
          </w:tcPr>
          <w:p w:rsidRPr="000F24F6" w:rsidR="000825B2" w:rsidP="00230FC9" w:rsidRDefault="000825B2" w14:paraId="4E553173" w14:textId="77777777">
            <w:pPr>
              <w:jc w:val="both"/>
              <w:rPr>
                <w:rFonts w:cs="Times New Roman"/>
                <w:b/>
                <w:sz w:val="16"/>
                <w:szCs w:val="18"/>
              </w:rPr>
            </w:pPr>
            <w:r w:rsidRPr="000F24F6">
              <w:rPr>
                <w:rFonts w:cs="Times New Roman"/>
                <w:b/>
                <w:sz w:val="16"/>
                <w:szCs w:val="18"/>
              </w:rPr>
              <w:t>Rubber: balloons [49]</w:t>
            </w:r>
          </w:p>
        </w:tc>
        <w:tc>
          <w:tcPr>
            <w:tcW w:w="1559" w:type="dxa"/>
            <w:hideMark/>
          </w:tcPr>
          <w:p w:rsidRPr="000F24F6" w:rsidR="000825B2" w:rsidP="00230FC9" w:rsidRDefault="000825B2" w14:paraId="3556F892" w14:textId="77777777">
            <w:pPr>
              <w:jc w:val="both"/>
              <w:rPr>
                <w:rFonts w:cs="Times New Roman"/>
                <w:sz w:val="16"/>
                <w:szCs w:val="18"/>
              </w:rPr>
            </w:pPr>
            <w:r w:rsidRPr="000F24F6">
              <w:rPr>
                <w:rFonts w:cs="Times New Roman"/>
                <w:sz w:val="16"/>
                <w:szCs w:val="18"/>
              </w:rPr>
              <w:t>6</w:t>
            </w:r>
          </w:p>
        </w:tc>
        <w:tc>
          <w:tcPr>
            <w:tcW w:w="1738" w:type="dxa"/>
            <w:vAlign w:val="bottom"/>
          </w:tcPr>
          <w:p w:rsidRPr="000F24F6" w:rsidR="000825B2" w:rsidP="00230FC9" w:rsidRDefault="000825B2" w14:paraId="648AD32D" w14:textId="77777777">
            <w:pPr>
              <w:jc w:val="both"/>
              <w:rPr>
                <w:rFonts w:cs="Times New Roman"/>
                <w:sz w:val="16"/>
                <w:szCs w:val="18"/>
              </w:rPr>
            </w:pPr>
            <w:r w:rsidRPr="000F24F6">
              <w:rPr>
                <w:rFonts w:cs="Arial"/>
                <w:sz w:val="16"/>
                <w:szCs w:val="18"/>
              </w:rPr>
              <w:t>3,09</w:t>
            </w:r>
          </w:p>
        </w:tc>
        <w:tc>
          <w:tcPr>
            <w:tcW w:w="0" w:type="auto"/>
            <w:hideMark/>
          </w:tcPr>
          <w:p w:rsidRPr="000F24F6" w:rsidR="000825B2" w:rsidP="00230FC9" w:rsidRDefault="000825B2" w14:paraId="3CD452E5" w14:textId="77777777">
            <w:pPr>
              <w:jc w:val="both"/>
              <w:rPr>
                <w:rFonts w:cs="Times New Roman"/>
                <w:b/>
                <w:sz w:val="16"/>
                <w:szCs w:val="18"/>
              </w:rPr>
            </w:pPr>
            <w:r w:rsidRPr="000F24F6">
              <w:rPr>
                <w:rFonts w:cs="Times New Roman"/>
                <w:b/>
                <w:sz w:val="16"/>
                <w:szCs w:val="18"/>
              </w:rPr>
              <w:t>-0.836</w:t>
            </w:r>
          </w:p>
        </w:tc>
      </w:tr>
      <w:tr w:rsidRPr="000F24F6" w:rsidR="000825B2" w:rsidTr="00230FC9" w14:paraId="3BF6B2FE" w14:textId="77777777">
        <w:trPr>
          <w:trHeight w:val="290"/>
        </w:trPr>
        <w:tc>
          <w:tcPr>
            <w:tcW w:w="0" w:type="auto"/>
            <w:hideMark/>
          </w:tcPr>
          <w:p w:rsidRPr="000F24F6" w:rsidR="000825B2" w:rsidP="00230FC9" w:rsidRDefault="000825B2" w14:paraId="2A4762CF" w14:textId="77777777">
            <w:pPr>
              <w:jc w:val="both"/>
              <w:rPr>
                <w:rFonts w:cs="Times New Roman"/>
                <w:sz w:val="16"/>
                <w:szCs w:val="18"/>
              </w:rPr>
            </w:pPr>
            <w:r w:rsidRPr="000F24F6">
              <w:rPr>
                <w:rFonts w:cs="Times New Roman"/>
                <w:sz w:val="16"/>
                <w:szCs w:val="18"/>
              </w:rPr>
              <w:t>10</w:t>
            </w:r>
          </w:p>
        </w:tc>
        <w:tc>
          <w:tcPr>
            <w:tcW w:w="3153" w:type="dxa"/>
            <w:hideMark/>
          </w:tcPr>
          <w:p w:rsidRPr="000F24F6" w:rsidR="000825B2" w:rsidP="00230FC9" w:rsidRDefault="000825B2" w14:paraId="0FA65CDE" w14:textId="77777777">
            <w:pPr>
              <w:jc w:val="both"/>
              <w:rPr>
                <w:rFonts w:cs="Times New Roman"/>
                <w:sz w:val="16"/>
                <w:szCs w:val="18"/>
              </w:rPr>
            </w:pPr>
            <w:r w:rsidRPr="000F24F6">
              <w:rPr>
                <w:rFonts w:cs="Times New Roman"/>
                <w:sz w:val="16"/>
                <w:szCs w:val="18"/>
              </w:rPr>
              <w:t>Plastic: cutlery [22]</w:t>
            </w:r>
          </w:p>
        </w:tc>
        <w:tc>
          <w:tcPr>
            <w:tcW w:w="1559" w:type="dxa"/>
            <w:hideMark/>
          </w:tcPr>
          <w:p w:rsidRPr="000F24F6" w:rsidR="000825B2" w:rsidP="00230FC9" w:rsidRDefault="000825B2" w14:paraId="7C4576EE" w14:textId="77777777">
            <w:pPr>
              <w:jc w:val="both"/>
              <w:rPr>
                <w:rFonts w:cs="Times New Roman"/>
                <w:sz w:val="16"/>
                <w:szCs w:val="18"/>
              </w:rPr>
            </w:pPr>
            <w:r w:rsidRPr="000F24F6">
              <w:rPr>
                <w:rFonts w:cs="Times New Roman"/>
                <w:sz w:val="16"/>
                <w:szCs w:val="18"/>
              </w:rPr>
              <w:t>2</w:t>
            </w:r>
          </w:p>
        </w:tc>
        <w:tc>
          <w:tcPr>
            <w:tcW w:w="1738" w:type="dxa"/>
            <w:vAlign w:val="bottom"/>
          </w:tcPr>
          <w:p w:rsidRPr="000F24F6" w:rsidR="000825B2" w:rsidP="00230FC9" w:rsidRDefault="000825B2" w14:paraId="0FF070D7" w14:textId="77777777">
            <w:pPr>
              <w:jc w:val="both"/>
              <w:rPr>
                <w:rFonts w:cs="Times New Roman"/>
                <w:sz w:val="16"/>
                <w:szCs w:val="18"/>
              </w:rPr>
            </w:pPr>
            <w:r w:rsidRPr="000F24F6">
              <w:rPr>
                <w:rFonts w:cs="Arial"/>
                <w:sz w:val="16"/>
                <w:szCs w:val="18"/>
              </w:rPr>
              <w:t>1,76</w:t>
            </w:r>
          </w:p>
        </w:tc>
        <w:tc>
          <w:tcPr>
            <w:tcW w:w="0" w:type="auto"/>
            <w:hideMark/>
          </w:tcPr>
          <w:p w:rsidRPr="000F24F6" w:rsidR="000825B2" w:rsidP="00230FC9" w:rsidRDefault="000825B2" w14:paraId="16259CA2" w14:textId="77777777">
            <w:pPr>
              <w:jc w:val="both"/>
              <w:rPr>
                <w:rFonts w:cs="Times New Roman"/>
                <w:sz w:val="16"/>
                <w:szCs w:val="18"/>
              </w:rPr>
            </w:pPr>
            <w:r w:rsidRPr="000F24F6">
              <w:rPr>
                <w:rFonts w:cs="Times New Roman"/>
                <w:sz w:val="16"/>
                <w:szCs w:val="18"/>
              </w:rPr>
              <w:t>0</w:t>
            </w:r>
          </w:p>
        </w:tc>
      </w:tr>
      <w:tr w:rsidRPr="000F24F6" w:rsidR="000825B2" w:rsidTr="00230FC9" w14:paraId="390B7BCC" w14:textId="77777777">
        <w:trPr>
          <w:trHeight w:val="300"/>
        </w:trPr>
        <w:tc>
          <w:tcPr>
            <w:tcW w:w="0" w:type="auto"/>
            <w:hideMark/>
          </w:tcPr>
          <w:p w:rsidRPr="000F24F6" w:rsidR="000825B2" w:rsidP="00230FC9" w:rsidRDefault="000825B2" w14:paraId="023D8056" w14:textId="77777777">
            <w:pPr>
              <w:jc w:val="both"/>
              <w:rPr>
                <w:rFonts w:cs="Times New Roman"/>
                <w:sz w:val="16"/>
                <w:szCs w:val="18"/>
              </w:rPr>
            </w:pPr>
            <w:r w:rsidRPr="000F24F6">
              <w:rPr>
                <w:rFonts w:cs="Times New Roman"/>
                <w:sz w:val="16"/>
                <w:szCs w:val="18"/>
              </w:rPr>
              <w:t>11</w:t>
            </w:r>
          </w:p>
        </w:tc>
        <w:tc>
          <w:tcPr>
            <w:tcW w:w="3153" w:type="dxa"/>
            <w:hideMark/>
          </w:tcPr>
          <w:p w:rsidRPr="000F24F6" w:rsidR="000825B2" w:rsidP="00230FC9" w:rsidRDefault="000825B2" w14:paraId="0C71105A" w14:textId="77777777">
            <w:pPr>
              <w:jc w:val="both"/>
              <w:rPr>
                <w:rFonts w:cs="Times New Roman"/>
                <w:sz w:val="16"/>
                <w:szCs w:val="18"/>
              </w:rPr>
            </w:pPr>
            <w:r w:rsidRPr="000F24F6">
              <w:rPr>
                <w:rFonts w:cs="Times New Roman"/>
                <w:sz w:val="16"/>
                <w:szCs w:val="18"/>
              </w:rPr>
              <w:t>Sanitary: buds [98]</w:t>
            </w:r>
          </w:p>
        </w:tc>
        <w:tc>
          <w:tcPr>
            <w:tcW w:w="1559" w:type="dxa"/>
            <w:hideMark/>
          </w:tcPr>
          <w:p w:rsidRPr="000F24F6" w:rsidR="000825B2" w:rsidP="00230FC9" w:rsidRDefault="000825B2" w14:paraId="688D0D82" w14:textId="77777777">
            <w:pPr>
              <w:jc w:val="both"/>
              <w:rPr>
                <w:rFonts w:cs="Times New Roman"/>
                <w:sz w:val="16"/>
                <w:szCs w:val="18"/>
              </w:rPr>
            </w:pPr>
            <w:r w:rsidRPr="000F24F6">
              <w:rPr>
                <w:rFonts w:cs="Times New Roman"/>
                <w:sz w:val="16"/>
                <w:szCs w:val="18"/>
              </w:rPr>
              <w:t>2</w:t>
            </w:r>
          </w:p>
        </w:tc>
        <w:tc>
          <w:tcPr>
            <w:tcW w:w="1738" w:type="dxa"/>
            <w:vAlign w:val="bottom"/>
          </w:tcPr>
          <w:p w:rsidRPr="000F24F6" w:rsidR="000825B2" w:rsidP="00230FC9" w:rsidRDefault="000825B2" w14:paraId="064C29A2" w14:textId="77777777">
            <w:pPr>
              <w:jc w:val="both"/>
              <w:rPr>
                <w:rFonts w:cs="Times New Roman"/>
                <w:sz w:val="16"/>
                <w:szCs w:val="18"/>
              </w:rPr>
            </w:pPr>
            <w:r w:rsidRPr="000F24F6">
              <w:rPr>
                <w:rFonts w:cs="Arial"/>
                <w:sz w:val="16"/>
                <w:szCs w:val="18"/>
              </w:rPr>
              <w:t>1,61</w:t>
            </w:r>
          </w:p>
        </w:tc>
        <w:tc>
          <w:tcPr>
            <w:tcW w:w="0" w:type="auto"/>
            <w:hideMark/>
          </w:tcPr>
          <w:p w:rsidRPr="000F24F6" w:rsidR="000825B2" w:rsidP="00230FC9" w:rsidRDefault="000825B2" w14:paraId="32E5E83F" w14:textId="77777777">
            <w:pPr>
              <w:jc w:val="both"/>
              <w:rPr>
                <w:rFonts w:cs="Times New Roman"/>
                <w:sz w:val="16"/>
                <w:szCs w:val="18"/>
              </w:rPr>
            </w:pPr>
            <w:r w:rsidRPr="000F24F6">
              <w:rPr>
                <w:rFonts w:cs="Times New Roman"/>
                <w:sz w:val="16"/>
                <w:szCs w:val="18"/>
              </w:rPr>
              <w:t>0</w:t>
            </w:r>
          </w:p>
        </w:tc>
      </w:tr>
    </w:tbl>
    <w:p w:rsidR="000825B2" w:rsidP="000825B2" w:rsidRDefault="000825B2" w14:paraId="089922D2" w14:textId="77777777"/>
    <w:p w:rsidRPr="001333CB" w:rsidR="000825B2" w:rsidP="000825B2" w:rsidRDefault="000825B2" w14:paraId="75D9805E" w14:textId="77777777">
      <w:pPr>
        <w:rPr>
          <w:lang w:val="nl-NL"/>
        </w:rPr>
      </w:pPr>
      <w:r w:rsidRPr="001333CB">
        <w:rPr>
          <w:lang w:val="nl-NL"/>
        </w:rPr>
        <w:t>Tabel 3. Gemiddelde aantallen (mediaan) en trends van Single Use Plastics (SUP) en Visserij-gerelateerde items (FISH). De significante trend (FISH) is dik gedrukt (periode 2014-2019).</w:t>
      </w:r>
    </w:p>
    <w:tbl>
      <w:tblPr>
        <w:tblW w:w="0" w:type="auto"/>
        <w:tblBorders>
          <w:left w:val="single" w:color="6D6D6D" w:sz="8" w:space="0"/>
          <w:right w:val="single" w:color="6D6D6D" w:sz="8" w:space="0"/>
        </w:tblBorders>
        <w:tblLook w:val="0000" w:firstRow="0" w:lastRow="0" w:firstColumn="0" w:lastColumn="0" w:noHBand="0" w:noVBand="0"/>
      </w:tblPr>
      <w:tblGrid>
        <w:gridCol w:w="2542"/>
        <w:gridCol w:w="1134"/>
        <w:gridCol w:w="2977"/>
        <w:gridCol w:w="2354"/>
      </w:tblGrid>
      <w:tr w:rsidRPr="000F24F6" w:rsidR="000825B2" w:rsidTr="00230FC9" w14:paraId="0F068A9A" w14:textId="77777777">
        <w:trPr>
          <w:trHeight w:val="453"/>
        </w:trPr>
        <w:tc>
          <w:tcPr>
            <w:tcW w:w="2542" w:type="dxa"/>
            <w:tcBorders>
              <w:top w:val="single" w:color="6D6D6D" w:sz="8" w:space="0"/>
              <w:left w:val="single" w:color="000000" w:sz="8" w:space="0"/>
              <w:bottom w:val="single" w:color="000000" w:sz="8" w:space="0"/>
              <w:right w:val="single" w:color="000000" w:sz="8" w:space="0"/>
            </w:tcBorders>
            <w:vAlign w:val="center"/>
          </w:tcPr>
          <w:p w:rsidRPr="000F24F6" w:rsidR="000825B2" w:rsidP="00230FC9" w:rsidRDefault="000825B2" w14:paraId="341E8B30" w14:textId="77777777">
            <w:pPr>
              <w:spacing w:after="0" w:line="240" w:lineRule="auto"/>
              <w:rPr>
                <w:b/>
                <w:sz w:val="16"/>
                <w:szCs w:val="16"/>
                <w:lang w:val="nl-NL"/>
              </w:rPr>
            </w:pPr>
            <w:r w:rsidRPr="000F24F6">
              <w:rPr>
                <w:b/>
                <w:sz w:val="16"/>
                <w:szCs w:val="16"/>
                <w:lang w:val="nl-NL"/>
              </w:rPr>
              <w:t>Materiaal categorie </w:t>
            </w:r>
          </w:p>
        </w:tc>
        <w:tc>
          <w:tcPr>
            <w:tcW w:w="1134" w:type="dxa"/>
            <w:tcBorders>
              <w:top w:val="single" w:color="6D6D6D" w:sz="8" w:space="0"/>
              <w:left w:val="single" w:color="6D6D6D" w:sz="8" w:space="0"/>
              <w:bottom w:val="single" w:color="000000" w:sz="8" w:space="0"/>
              <w:right w:val="single" w:color="6D6D6D" w:sz="8" w:space="0"/>
            </w:tcBorders>
          </w:tcPr>
          <w:p w:rsidRPr="000F24F6" w:rsidR="000825B2" w:rsidP="00230FC9" w:rsidRDefault="000825B2" w14:paraId="12CE7FCA" w14:textId="77777777">
            <w:pPr>
              <w:spacing w:after="0" w:line="240" w:lineRule="auto"/>
              <w:rPr>
                <w:b/>
                <w:sz w:val="16"/>
                <w:szCs w:val="16"/>
                <w:lang w:val="nl-NL"/>
              </w:rPr>
            </w:pPr>
            <w:r w:rsidRPr="000F24F6">
              <w:rPr>
                <w:b/>
                <w:sz w:val="16"/>
                <w:szCs w:val="16"/>
                <w:lang w:val="nl-NL"/>
              </w:rPr>
              <w:t>mediaan</w:t>
            </w:r>
          </w:p>
        </w:tc>
        <w:tc>
          <w:tcPr>
            <w:tcW w:w="2977" w:type="dxa"/>
            <w:tcBorders>
              <w:top w:val="single" w:color="6D6D6D" w:sz="8" w:space="0"/>
              <w:left w:val="single" w:color="6D6D6D" w:sz="8" w:space="0"/>
              <w:bottom w:val="single" w:color="000000" w:sz="8" w:space="0"/>
              <w:right w:val="single" w:color="6D6D6D" w:sz="8" w:space="0"/>
            </w:tcBorders>
          </w:tcPr>
          <w:p w:rsidRPr="000F24F6" w:rsidR="000825B2" w:rsidP="00230FC9" w:rsidRDefault="000825B2" w14:paraId="17092993" w14:textId="77777777">
            <w:pPr>
              <w:spacing w:after="0" w:line="240" w:lineRule="auto"/>
              <w:rPr>
                <w:b/>
                <w:sz w:val="16"/>
                <w:szCs w:val="16"/>
                <w:lang w:val="nl-NL"/>
              </w:rPr>
            </w:pPr>
            <w:r w:rsidRPr="000F24F6">
              <w:rPr>
                <w:b/>
                <w:sz w:val="16"/>
                <w:szCs w:val="16"/>
                <w:lang w:val="nl-NL"/>
              </w:rPr>
              <w:t>% van totale hoeveelheid</w:t>
            </w:r>
          </w:p>
        </w:tc>
        <w:tc>
          <w:tcPr>
            <w:tcW w:w="2354" w:type="dxa"/>
            <w:tcBorders>
              <w:top w:val="single" w:color="6D6D6D" w:sz="8" w:space="0"/>
              <w:left w:val="single" w:color="6D6D6D" w:sz="8" w:space="0"/>
              <w:bottom w:val="single" w:color="000000" w:sz="8" w:space="0"/>
              <w:right w:val="single" w:color="000000" w:sz="8" w:space="0"/>
            </w:tcBorders>
            <w:vAlign w:val="center"/>
          </w:tcPr>
          <w:p w:rsidRPr="000F24F6" w:rsidR="000825B2" w:rsidP="00230FC9" w:rsidRDefault="000825B2" w14:paraId="558CA0ED" w14:textId="77777777">
            <w:pPr>
              <w:spacing w:after="0" w:line="240" w:lineRule="auto"/>
              <w:rPr>
                <w:b/>
                <w:sz w:val="16"/>
                <w:szCs w:val="16"/>
                <w:lang w:val="nl-NL"/>
              </w:rPr>
            </w:pPr>
            <w:r w:rsidRPr="000F24F6">
              <w:rPr>
                <w:b/>
                <w:sz w:val="16"/>
                <w:szCs w:val="16"/>
                <w:lang w:val="nl-NL"/>
              </w:rPr>
              <w:t>Trend [aantal/jaar]</w:t>
            </w:r>
          </w:p>
        </w:tc>
      </w:tr>
      <w:tr w:rsidRPr="000F24F6" w:rsidR="000825B2" w:rsidTr="00230FC9" w14:paraId="582B2EC9" w14:textId="77777777">
        <w:trPr>
          <w:trHeight w:val="466"/>
        </w:trPr>
        <w:tc>
          <w:tcPr>
            <w:tcW w:w="2542" w:type="dxa"/>
            <w:tcBorders>
              <w:top w:val="single" w:color="6D6D6D" w:sz="8" w:space="0"/>
              <w:left w:val="single" w:color="000000" w:sz="8" w:space="0"/>
              <w:bottom w:val="single" w:color="000000" w:sz="8" w:space="0"/>
              <w:right w:val="single" w:color="000000" w:sz="8" w:space="0"/>
            </w:tcBorders>
            <w:vAlign w:val="bottom"/>
          </w:tcPr>
          <w:p w:rsidRPr="000F24F6" w:rsidR="000825B2" w:rsidP="00230FC9" w:rsidRDefault="000825B2" w14:paraId="08FFFC02" w14:textId="77777777">
            <w:pPr>
              <w:spacing w:line="240" w:lineRule="auto"/>
              <w:jc w:val="both"/>
              <w:rPr>
                <w:rFonts w:cs="Tahoma"/>
                <w:sz w:val="16"/>
                <w:szCs w:val="18"/>
              </w:rPr>
            </w:pPr>
            <w:r w:rsidRPr="000F24F6">
              <w:rPr>
                <w:rFonts w:cs="Arial"/>
                <w:color w:val="333333"/>
                <w:sz w:val="16"/>
                <w:szCs w:val="18"/>
              </w:rPr>
              <w:t>Single Use Plastics (SUP)</w:t>
            </w:r>
          </w:p>
        </w:tc>
        <w:tc>
          <w:tcPr>
            <w:tcW w:w="1134" w:type="dxa"/>
            <w:tcBorders>
              <w:top w:val="single" w:color="6D6D6D" w:sz="8" w:space="0"/>
              <w:left w:val="single" w:color="6D6D6D" w:sz="8" w:space="0"/>
              <w:bottom w:val="single" w:color="000000" w:sz="8" w:space="0"/>
              <w:right w:val="single" w:color="6D6D6D" w:sz="8" w:space="0"/>
            </w:tcBorders>
            <w:vAlign w:val="bottom"/>
          </w:tcPr>
          <w:p w:rsidRPr="000F24F6" w:rsidR="000825B2" w:rsidP="00230FC9" w:rsidRDefault="000825B2" w14:paraId="5F7385D5" w14:textId="77777777">
            <w:pPr>
              <w:spacing w:line="240" w:lineRule="auto"/>
              <w:jc w:val="center"/>
              <w:rPr>
                <w:rFonts w:cs="Arial"/>
                <w:color w:val="333333"/>
                <w:sz w:val="16"/>
                <w:szCs w:val="18"/>
              </w:rPr>
            </w:pPr>
            <w:r w:rsidRPr="000F24F6">
              <w:rPr>
                <w:rFonts w:cs="Arial"/>
                <w:color w:val="333333"/>
                <w:sz w:val="16"/>
                <w:szCs w:val="18"/>
              </w:rPr>
              <w:t>45</w:t>
            </w:r>
          </w:p>
        </w:tc>
        <w:tc>
          <w:tcPr>
            <w:tcW w:w="2977" w:type="dxa"/>
            <w:tcBorders>
              <w:top w:val="single" w:color="6D6D6D" w:sz="8" w:space="0"/>
              <w:left w:val="single" w:color="6D6D6D" w:sz="8" w:space="0"/>
              <w:bottom w:val="single" w:color="000000" w:sz="8" w:space="0"/>
              <w:right w:val="single" w:color="6D6D6D" w:sz="8" w:space="0"/>
            </w:tcBorders>
            <w:vAlign w:val="bottom"/>
          </w:tcPr>
          <w:p w:rsidRPr="000F24F6" w:rsidR="000825B2" w:rsidP="00230FC9" w:rsidRDefault="000825B2" w14:paraId="6DE2238D" w14:textId="77777777">
            <w:pPr>
              <w:spacing w:after="0" w:line="240" w:lineRule="auto"/>
              <w:jc w:val="center"/>
              <w:rPr>
                <w:rFonts w:cs="Arial"/>
                <w:color w:val="333333"/>
                <w:sz w:val="16"/>
                <w:szCs w:val="18"/>
                <w:lang w:val="nl-NL"/>
              </w:rPr>
            </w:pPr>
            <w:r w:rsidRPr="000F24F6">
              <w:rPr>
                <w:rFonts w:cs="Arial"/>
                <w:color w:val="333333"/>
                <w:sz w:val="16"/>
                <w:szCs w:val="18"/>
              </w:rPr>
              <w:t>25.5</w:t>
            </w:r>
          </w:p>
          <w:p w:rsidRPr="000F24F6" w:rsidR="000825B2" w:rsidP="00230FC9" w:rsidRDefault="000825B2" w14:paraId="177ADD00" w14:textId="77777777">
            <w:pPr>
              <w:spacing w:after="0" w:line="240" w:lineRule="auto"/>
              <w:jc w:val="center"/>
              <w:rPr>
                <w:rFonts w:cs="Arial"/>
                <w:color w:val="333333"/>
                <w:sz w:val="16"/>
                <w:szCs w:val="18"/>
                <w:lang w:val="nl-NL"/>
              </w:rPr>
            </w:pPr>
          </w:p>
        </w:tc>
        <w:tc>
          <w:tcPr>
            <w:tcW w:w="2354" w:type="dxa"/>
            <w:tcBorders>
              <w:top w:val="single" w:color="6D6D6D" w:sz="8" w:space="0"/>
              <w:left w:val="single" w:color="6D6D6D" w:sz="8" w:space="0"/>
              <w:bottom w:val="single" w:color="000000" w:sz="8" w:space="0"/>
              <w:right w:val="single" w:color="000000" w:sz="8" w:space="0"/>
            </w:tcBorders>
            <w:vAlign w:val="bottom"/>
          </w:tcPr>
          <w:p w:rsidRPr="000F24F6" w:rsidR="000825B2" w:rsidP="00230FC9" w:rsidRDefault="000825B2" w14:paraId="5F7CF761" w14:textId="77777777">
            <w:pPr>
              <w:spacing w:line="240" w:lineRule="auto"/>
              <w:jc w:val="center"/>
              <w:rPr>
                <w:rFonts w:cs="Tahoma"/>
                <w:sz w:val="16"/>
                <w:szCs w:val="18"/>
              </w:rPr>
            </w:pPr>
            <w:r w:rsidRPr="000F24F6">
              <w:rPr>
                <w:rFonts w:cs="Arial"/>
                <w:color w:val="333333"/>
                <w:sz w:val="16"/>
                <w:szCs w:val="18"/>
              </w:rPr>
              <w:t>-3.08</w:t>
            </w:r>
          </w:p>
        </w:tc>
      </w:tr>
      <w:tr w:rsidRPr="000F24F6" w:rsidR="000825B2" w:rsidTr="00230FC9" w14:paraId="17F09AA5" w14:textId="77777777">
        <w:trPr>
          <w:trHeight w:val="466"/>
        </w:trPr>
        <w:tc>
          <w:tcPr>
            <w:tcW w:w="2542" w:type="dxa"/>
            <w:tcBorders>
              <w:top w:val="single" w:color="6D6D6D" w:sz="8" w:space="0"/>
              <w:left w:val="single" w:color="000000" w:sz="8" w:space="0"/>
              <w:bottom w:val="single" w:color="000000" w:sz="8" w:space="0"/>
              <w:right w:val="single" w:color="000000" w:sz="8" w:space="0"/>
            </w:tcBorders>
            <w:vAlign w:val="bottom"/>
          </w:tcPr>
          <w:p w:rsidRPr="000F24F6" w:rsidR="000825B2" w:rsidP="00230FC9" w:rsidRDefault="000825B2" w14:paraId="0BAEBA1A" w14:textId="77777777">
            <w:pPr>
              <w:spacing w:line="240" w:lineRule="auto"/>
              <w:rPr>
                <w:rFonts w:cs="Tahoma"/>
                <w:b/>
                <w:sz w:val="16"/>
                <w:szCs w:val="18"/>
              </w:rPr>
            </w:pPr>
            <w:r w:rsidRPr="000F24F6">
              <w:rPr>
                <w:rFonts w:cs="Arial"/>
                <w:b/>
                <w:color w:val="333333"/>
                <w:sz w:val="16"/>
                <w:szCs w:val="18"/>
              </w:rPr>
              <w:t>Fishing related litter (FISH)</w:t>
            </w:r>
          </w:p>
        </w:tc>
        <w:tc>
          <w:tcPr>
            <w:tcW w:w="1134" w:type="dxa"/>
            <w:tcBorders>
              <w:top w:val="single" w:color="6D6D6D" w:sz="8" w:space="0"/>
              <w:left w:val="single" w:color="6D6D6D" w:sz="8" w:space="0"/>
              <w:bottom w:val="single" w:color="000000" w:sz="8" w:space="0"/>
              <w:right w:val="single" w:color="6D6D6D" w:sz="8" w:space="0"/>
            </w:tcBorders>
            <w:vAlign w:val="bottom"/>
          </w:tcPr>
          <w:p w:rsidRPr="000F24F6" w:rsidR="000825B2" w:rsidP="00230FC9" w:rsidRDefault="000825B2" w14:paraId="49262C32" w14:textId="77777777">
            <w:pPr>
              <w:spacing w:after="0" w:line="240" w:lineRule="auto"/>
              <w:jc w:val="center"/>
              <w:rPr>
                <w:rFonts w:cs="Arial"/>
                <w:color w:val="333333"/>
                <w:sz w:val="16"/>
                <w:szCs w:val="18"/>
              </w:rPr>
            </w:pPr>
            <w:r w:rsidRPr="000F24F6">
              <w:rPr>
                <w:rFonts w:cs="Arial"/>
                <w:color w:val="333333"/>
                <w:sz w:val="16"/>
                <w:szCs w:val="18"/>
              </w:rPr>
              <w:t>85</w:t>
            </w:r>
          </w:p>
        </w:tc>
        <w:tc>
          <w:tcPr>
            <w:tcW w:w="2977" w:type="dxa"/>
            <w:tcBorders>
              <w:top w:val="single" w:color="6D6D6D" w:sz="8" w:space="0"/>
              <w:left w:val="single" w:color="6D6D6D" w:sz="8" w:space="0"/>
              <w:bottom w:val="single" w:color="000000" w:sz="8" w:space="0"/>
              <w:right w:val="single" w:color="6D6D6D" w:sz="8" w:space="0"/>
            </w:tcBorders>
            <w:vAlign w:val="bottom"/>
          </w:tcPr>
          <w:p w:rsidRPr="000F24F6" w:rsidR="000825B2" w:rsidP="00230FC9" w:rsidRDefault="000825B2" w14:paraId="587A4F35" w14:textId="77777777">
            <w:pPr>
              <w:spacing w:after="0" w:line="240" w:lineRule="auto"/>
              <w:jc w:val="center"/>
              <w:rPr>
                <w:rFonts w:cs="Arial"/>
                <w:color w:val="333333"/>
                <w:sz w:val="16"/>
                <w:szCs w:val="18"/>
                <w:lang w:val="nl-NL"/>
              </w:rPr>
            </w:pPr>
            <w:r w:rsidRPr="000F24F6">
              <w:rPr>
                <w:rFonts w:cs="Arial"/>
                <w:color w:val="333333"/>
                <w:sz w:val="16"/>
                <w:szCs w:val="18"/>
              </w:rPr>
              <w:t>45.5</w:t>
            </w:r>
          </w:p>
          <w:p w:rsidRPr="000F24F6" w:rsidR="000825B2" w:rsidP="00230FC9" w:rsidRDefault="000825B2" w14:paraId="673D844F" w14:textId="77777777">
            <w:pPr>
              <w:spacing w:line="240" w:lineRule="auto"/>
              <w:jc w:val="center"/>
              <w:rPr>
                <w:rFonts w:cs="Arial"/>
                <w:color w:val="333333"/>
                <w:sz w:val="16"/>
                <w:szCs w:val="18"/>
              </w:rPr>
            </w:pPr>
          </w:p>
        </w:tc>
        <w:tc>
          <w:tcPr>
            <w:tcW w:w="2354" w:type="dxa"/>
            <w:tcBorders>
              <w:top w:val="single" w:color="6D6D6D" w:sz="8" w:space="0"/>
              <w:left w:val="single" w:color="6D6D6D" w:sz="8" w:space="0"/>
              <w:bottom w:val="single" w:color="000000" w:sz="8" w:space="0"/>
              <w:right w:val="single" w:color="000000" w:sz="8" w:space="0"/>
            </w:tcBorders>
            <w:vAlign w:val="bottom"/>
          </w:tcPr>
          <w:p w:rsidRPr="000F24F6" w:rsidR="000825B2" w:rsidP="00230FC9" w:rsidRDefault="000825B2" w14:paraId="3E09C5A8" w14:textId="77777777">
            <w:pPr>
              <w:spacing w:line="240" w:lineRule="auto"/>
              <w:jc w:val="center"/>
              <w:rPr>
                <w:rFonts w:cs="Tahoma"/>
                <w:b/>
                <w:sz w:val="16"/>
                <w:szCs w:val="18"/>
              </w:rPr>
            </w:pPr>
            <w:r w:rsidRPr="000F24F6">
              <w:rPr>
                <w:rFonts w:cs="Arial"/>
                <w:b/>
                <w:color w:val="333333"/>
                <w:sz w:val="16"/>
                <w:szCs w:val="18"/>
              </w:rPr>
              <w:t>-6.47</w:t>
            </w:r>
          </w:p>
        </w:tc>
      </w:tr>
    </w:tbl>
    <w:p w:rsidR="000825B2" w:rsidP="000825B2" w:rsidRDefault="000825B2" w14:paraId="046972E7" w14:textId="77777777"/>
    <w:p w:rsidRPr="00B96E5E" w:rsidR="000825B2" w:rsidP="000825B2" w:rsidRDefault="000825B2" w14:paraId="5C69BBEB" w14:textId="334E34B5">
      <w:pPr>
        <w:rPr>
          <w:lang w:val="nl-NL"/>
        </w:rPr>
      </w:pPr>
      <w:r w:rsidRPr="0024684A">
        <w:rPr>
          <w:szCs w:val="18"/>
          <w:lang w:val="nl-NL"/>
        </w:rPr>
        <w:t xml:space="preserve">Vanwege het gebrek aan </w:t>
      </w:r>
      <w:r>
        <w:rPr>
          <w:szCs w:val="18"/>
          <w:lang w:val="nl-NL"/>
        </w:rPr>
        <w:t xml:space="preserve">de nodige </w:t>
      </w:r>
      <w:r w:rsidRPr="0024684A">
        <w:rPr>
          <w:szCs w:val="18"/>
          <w:lang w:val="nl-NL"/>
        </w:rPr>
        <w:t xml:space="preserve">kennis om de goede milieutoestand exact te kunnen bepalen en vanuit de behoefte om meer inzicht te krijgen in de </w:t>
      </w:r>
      <w:r w:rsidRPr="00F54866">
        <w:rPr>
          <w:szCs w:val="18"/>
          <w:lang w:val="nl-NL"/>
        </w:rPr>
        <w:t>bron</w:t>
      </w:r>
      <w:r>
        <w:rPr>
          <w:szCs w:val="18"/>
          <w:lang w:val="nl-NL"/>
        </w:rPr>
        <w:t xml:space="preserve">nen </w:t>
      </w:r>
      <w:r w:rsidRPr="0024684A">
        <w:rPr>
          <w:szCs w:val="18"/>
          <w:lang w:val="nl-NL"/>
        </w:rPr>
        <w:t>van zwerfvuil, zijn de afgelopen periode verscheidene kennistrajecten voor rivierafval en microplastics</w:t>
      </w:r>
      <w:r>
        <w:rPr>
          <w:szCs w:val="18"/>
          <w:lang w:val="nl-NL"/>
        </w:rPr>
        <w:t xml:space="preserve"> uitgevoerd</w:t>
      </w:r>
      <w:r w:rsidRPr="0024684A">
        <w:rPr>
          <w:szCs w:val="18"/>
          <w:lang w:val="nl-NL"/>
        </w:rPr>
        <w:t xml:space="preserve">. </w:t>
      </w:r>
      <w:r>
        <w:rPr>
          <w:szCs w:val="18"/>
          <w:lang w:val="nl-NL"/>
        </w:rPr>
        <w:t>Deze</w:t>
      </w:r>
      <w:r w:rsidRPr="00E609E9">
        <w:rPr>
          <w:szCs w:val="18"/>
          <w:lang w:val="nl-NL"/>
        </w:rPr>
        <w:t xml:space="preserve"> onderzoeken rondom rivierafval hebben inzicht gegeven in items, hoeveelheden en bronnen</w:t>
      </w:r>
      <w:r>
        <w:rPr>
          <w:szCs w:val="18"/>
          <w:lang w:val="nl-NL"/>
        </w:rPr>
        <w:t xml:space="preserve"> (tabel 4)</w:t>
      </w:r>
      <w:r w:rsidRPr="00E609E9">
        <w:rPr>
          <w:szCs w:val="18"/>
          <w:lang w:val="nl-NL"/>
        </w:rPr>
        <w:t>.</w:t>
      </w:r>
    </w:p>
    <w:p w:rsidRPr="0029188E" w:rsidR="000825B2" w:rsidP="000825B2" w:rsidRDefault="000825B2" w14:paraId="5F5B0275" w14:textId="77777777">
      <w:pPr>
        <w:rPr>
          <w:lang w:val="nl-NL"/>
        </w:rPr>
      </w:pPr>
      <w:r w:rsidRPr="0029188E">
        <w:rPr>
          <w:lang w:val="nl-NL"/>
        </w:rPr>
        <w:t>Tabel 4. Top 15 rivierafval en bronindicatie: wat spoelt er aan op rivieroevers? Resultaten van twee jaar afvalmonitoring aan de oevers van de Maas en de Waal.</w:t>
      </w:r>
    </w:p>
    <w:tbl>
      <w:tblPr>
        <w:tblStyle w:val="Tabelraster1"/>
        <w:tblW w:w="0" w:type="auto"/>
        <w:tblLook w:val="04A0" w:firstRow="1" w:lastRow="0" w:firstColumn="1" w:lastColumn="0" w:noHBand="0" w:noVBand="1"/>
      </w:tblPr>
      <w:tblGrid>
        <w:gridCol w:w="496"/>
        <w:gridCol w:w="4035"/>
        <w:gridCol w:w="1761"/>
        <w:gridCol w:w="2725"/>
      </w:tblGrid>
      <w:tr w:rsidRPr="000F24F6" w:rsidR="000825B2" w:rsidTr="00230FC9" w14:paraId="4F72A630" w14:textId="77777777">
        <w:tc>
          <w:tcPr>
            <w:tcW w:w="496" w:type="dxa"/>
          </w:tcPr>
          <w:p w:rsidRPr="000F24F6" w:rsidR="000825B2" w:rsidP="00230FC9" w:rsidRDefault="000825B2" w14:paraId="417A2569" w14:textId="77777777">
            <w:pPr>
              <w:rPr>
                <w:rFonts w:ascii="Verdana" w:hAnsi="Verdana"/>
                <w:b/>
                <w:sz w:val="16"/>
                <w:szCs w:val="16"/>
              </w:rPr>
            </w:pPr>
            <w:r w:rsidRPr="000F24F6">
              <w:rPr>
                <w:rFonts w:ascii="Verdana" w:hAnsi="Verdana"/>
                <w:b/>
                <w:sz w:val="16"/>
                <w:szCs w:val="16"/>
              </w:rPr>
              <w:t>#</w:t>
            </w:r>
          </w:p>
        </w:tc>
        <w:tc>
          <w:tcPr>
            <w:tcW w:w="4035" w:type="dxa"/>
          </w:tcPr>
          <w:p w:rsidRPr="000F24F6" w:rsidR="000825B2" w:rsidP="00230FC9" w:rsidRDefault="000825B2" w14:paraId="05F9FDFF" w14:textId="77777777">
            <w:pPr>
              <w:rPr>
                <w:rFonts w:ascii="Verdana" w:hAnsi="Verdana"/>
                <w:b/>
                <w:sz w:val="16"/>
                <w:szCs w:val="16"/>
              </w:rPr>
            </w:pPr>
            <w:r w:rsidRPr="000F24F6">
              <w:rPr>
                <w:rFonts w:ascii="Verdana" w:hAnsi="Verdana"/>
                <w:b/>
                <w:sz w:val="16"/>
                <w:szCs w:val="16"/>
              </w:rPr>
              <w:t>Type</w:t>
            </w:r>
          </w:p>
        </w:tc>
        <w:tc>
          <w:tcPr>
            <w:tcW w:w="1761" w:type="dxa"/>
          </w:tcPr>
          <w:p w:rsidRPr="000F24F6" w:rsidR="000825B2" w:rsidP="00230FC9" w:rsidRDefault="000825B2" w14:paraId="6291D2BC" w14:textId="77777777">
            <w:pPr>
              <w:rPr>
                <w:rFonts w:ascii="Verdana" w:hAnsi="Verdana"/>
                <w:b/>
                <w:sz w:val="16"/>
                <w:szCs w:val="16"/>
                <w:lang w:val="nl-NL"/>
              </w:rPr>
            </w:pPr>
            <w:r w:rsidRPr="000F24F6">
              <w:rPr>
                <w:rFonts w:ascii="Verdana" w:hAnsi="Verdana"/>
                <w:b/>
                <w:sz w:val="16"/>
                <w:szCs w:val="16"/>
                <w:lang w:val="nl-NL"/>
              </w:rPr>
              <w:t>Gemiddeld aantal per 100 m rivieroever</w:t>
            </w:r>
          </w:p>
        </w:tc>
        <w:tc>
          <w:tcPr>
            <w:tcW w:w="2725" w:type="dxa"/>
          </w:tcPr>
          <w:p w:rsidRPr="000F24F6" w:rsidR="000825B2" w:rsidP="00230FC9" w:rsidRDefault="000825B2" w14:paraId="0F4E71DB" w14:textId="77777777">
            <w:pPr>
              <w:rPr>
                <w:rFonts w:ascii="Verdana" w:hAnsi="Verdana"/>
                <w:b/>
                <w:sz w:val="16"/>
                <w:szCs w:val="16"/>
                <w:lang w:val="nl-NL"/>
              </w:rPr>
            </w:pPr>
            <w:r w:rsidRPr="000F24F6">
              <w:rPr>
                <w:rFonts w:ascii="Verdana" w:hAnsi="Verdana"/>
                <w:b/>
                <w:sz w:val="16"/>
                <w:szCs w:val="16"/>
                <w:lang w:val="nl-NL"/>
              </w:rPr>
              <w:t>Indicatie bronnen</w:t>
            </w:r>
          </w:p>
        </w:tc>
      </w:tr>
      <w:tr w:rsidRPr="000F24F6" w:rsidR="000825B2" w:rsidTr="00230FC9" w14:paraId="08CAE4F4" w14:textId="77777777">
        <w:tc>
          <w:tcPr>
            <w:tcW w:w="496" w:type="dxa"/>
          </w:tcPr>
          <w:p w:rsidRPr="000F24F6" w:rsidR="000825B2" w:rsidP="00230FC9" w:rsidRDefault="000825B2" w14:paraId="7C5E7226" w14:textId="77777777">
            <w:pPr>
              <w:rPr>
                <w:rFonts w:ascii="Verdana" w:hAnsi="Verdana"/>
                <w:sz w:val="16"/>
                <w:szCs w:val="16"/>
                <w:lang w:val="nl-NL"/>
              </w:rPr>
            </w:pPr>
            <w:r w:rsidRPr="000F24F6">
              <w:rPr>
                <w:rFonts w:ascii="Verdana" w:hAnsi="Verdana"/>
                <w:sz w:val="16"/>
                <w:szCs w:val="16"/>
                <w:lang w:val="nl-NL"/>
              </w:rPr>
              <w:t>1</w:t>
            </w:r>
          </w:p>
        </w:tc>
        <w:tc>
          <w:tcPr>
            <w:tcW w:w="4035" w:type="dxa"/>
          </w:tcPr>
          <w:p w:rsidRPr="000F24F6" w:rsidR="000825B2" w:rsidP="00230FC9" w:rsidRDefault="000825B2" w14:paraId="4E4E1F87" w14:textId="77777777">
            <w:pPr>
              <w:rPr>
                <w:rFonts w:ascii="Verdana" w:hAnsi="Verdana"/>
                <w:sz w:val="16"/>
                <w:szCs w:val="16"/>
                <w:lang w:val="nl-NL"/>
              </w:rPr>
            </w:pPr>
            <w:r w:rsidRPr="000F24F6">
              <w:rPr>
                <w:rFonts w:ascii="Verdana" w:hAnsi="Verdana"/>
                <w:sz w:val="16"/>
                <w:szCs w:val="16"/>
                <w:lang w:val="nl-NL"/>
              </w:rPr>
              <w:t>Ondefinieerbare stukken zacht/hard plastic en folie plastic &lt; 50 cm (incl. piepschuim)</w:t>
            </w:r>
          </w:p>
        </w:tc>
        <w:tc>
          <w:tcPr>
            <w:tcW w:w="1761" w:type="dxa"/>
          </w:tcPr>
          <w:p w:rsidRPr="000F24F6" w:rsidR="000825B2" w:rsidP="00230FC9" w:rsidRDefault="000825B2" w14:paraId="261C6479" w14:textId="77777777">
            <w:pPr>
              <w:rPr>
                <w:rFonts w:ascii="Verdana" w:hAnsi="Verdana"/>
                <w:sz w:val="16"/>
                <w:szCs w:val="16"/>
                <w:lang w:val="nl-NL"/>
              </w:rPr>
            </w:pPr>
            <w:r w:rsidRPr="000F24F6">
              <w:rPr>
                <w:rFonts w:ascii="Verdana" w:hAnsi="Verdana"/>
                <w:sz w:val="16"/>
                <w:szCs w:val="16"/>
                <w:lang w:val="nl-NL"/>
              </w:rPr>
              <w:t>217</w:t>
            </w:r>
          </w:p>
        </w:tc>
        <w:tc>
          <w:tcPr>
            <w:tcW w:w="2725" w:type="dxa"/>
          </w:tcPr>
          <w:p w:rsidRPr="000F24F6" w:rsidR="000825B2" w:rsidP="00230FC9" w:rsidRDefault="000825B2" w14:paraId="2A47350C" w14:textId="77777777">
            <w:pPr>
              <w:rPr>
                <w:rFonts w:ascii="Verdana" w:hAnsi="Verdana"/>
                <w:sz w:val="16"/>
                <w:szCs w:val="16"/>
                <w:lang w:val="nl-NL"/>
              </w:rPr>
            </w:pPr>
            <w:r w:rsidRPr="000F24F6">
              <w:rPr>
                <w:rFonts w:ascii="Verdana" w:hAnsi="Verdana"/>
                <w:sz w:val="16"/>
                <w:szCs w:val="16"/>
                <w:lang w:val="nl-NL"/>
              </w:rPr>
              <w:t>Diverse bronnen</w:t>
            </w:r>
          </w:p>
        </w:tc>
      </w:tr>
      <w:tr w:rsidRPr="000F24F6" w:rsidR="000825B2" w:rsidTr="00230FC9" w14:paraId="1EAB9C07" w14:textId="77777777">
        <w:tc>
          <w:tcPr>
            <w:tcW w:w="496" w:type="dxa"/>
          </w:tcPr>
          <w:p w:rsidRPr="000F24F6" w:rsidR="000825B2" w:rsidP="00230FC9" w:rsidRDefault="000825B2" w14:paraId="6ABE2514" w14:textId="77777777">
            <w:pPr>
              <w:rPr>
                <w:rFonts w:ascii="Verdana" w:hAnsi="Verdana"/>
                <w:sz w:val="16"/>
                <w:szCs w:val="16"/>
                <w:lang w:val="nl-NL"/>
              </w:rPr>
            </w:pPr>
            <w:r w:rsidRPr="000F24F6">
              <w:rPr>
                <w:rFonts w:ascii="Verdana" w:hAnsi="Verdana"/>
                <w:sz w:val="16"/>
                <w:szCs w:val="16"/>
                <w:lang w:val="nl-NL"/>
              </w:rPr>
              <w:t>2</w:t>
            </w:r>
          </w:p>
        </w:tc>
        <w:tc>
          <w:tcPr>
            <w:tcW w:w="4035" w:type="dxa"/>
          </w:tcPr>
          <w:p w:rsidRPr="000F24F6" w:rsidR="000825B2" w:rsidP="00230FC9" w:rsidRDefault="000825B2" w14:paraId="1BA15233" w14:textId="77777777">
            <w:pPr>
              <w:rPr>
                <w:rFonts w:ascii="Verdana" w:hAnsi="Verdana"/>
                <w:sz w:val="16"/>
                <w:szCs w:val="16"/>
                <w:lang w:val="nl-NL"/>
              </w:rPr>
            </w:pPr>
            <w:r w:rsidRPr="000F24F6">
              <w:rPr>
                <w:rFonts w:ascii="Verdana" w:hAnsi="Verdana"/>
                <w:sz w:val="16"/>
                <w:szCs w:val="16"/>
                <w:lang w:val="nl-NL"/>
              </w:rPr>
              <w:t>Snoep-, snack-, en chipsverpakkingen en lolliestokjes</w:t>
            </w:r>
          </w:p>
        </w:tc>
        <w:tc>
          <w:tcPr>
            <w:tcW w:w="1761" w:type="dxa"/>
          </w:tcPr>
          <w:p w:rsidRPr="000F24F6" w:rsidR="000825B2" w:rsidP="00230FC9" w:rsidRDefault="000825B2" w14:paraId="16DB3184" w14:textId="77777777">
            <w:pPr>
              <w:rPr>
                <w:rFonts w:ascii="Verdana" w:hAnsi="Verdana"/>
                <w:sz w:val="16"/>
                <w:szCs w:val="16"/>
                <w:lang w:val="nl-NL"/>
              </w:rPr>
            </w:pPr>
            <w:r w:rsidRPr="000F24F6">
              <w:rPr>
                <w:rFonts w:ascii="Verdana" w:hAnsi="Verdana"/>
                <w:sz w:val="16"/>
                <w:szCs w:val="16"/>
                <w:lang w:val="nl-NL"/>
              </w:rPr>
              <w:t>29</w:t>
            </w:r>
          </w:p>
        </w:tc>
        <w:tc>
          <w:tcPr>
            <w:tcW w:w="2725" w:type="dxa"/>
          </w:tcPr>
          <w:p w:rsidRPr="000F24F6" w:rsidR="000825B2" w:rsidP="00230FC9" w:rsidRDefault="000825B2" w14:paraId="72075743" w14:textId="77777777">
            <w:pPr>
              <w:rPr>
                <w:rFonts w:ascii="Verdana" w:hAnsi="Verdana"/>
                <w:sz w:val="16"/>
                <w:szCs w:val="16"/>
                <w:lang w:val="nl-NL"/>
              </w:rPr>
            </w:pPr>
            <w:r w:rsidRPr="000F24F6">
              <w:rPr>
                <w:rFonts w:ascii="Verdana" w:hAnsi="Verdana"/>
                <w:sz w:val="16"/>
                <w:szCs w:val="16"/>
                <w:lang w:val="nl-NL"/>
              </w:rPr>
              <w:t>Recreatie/industrie</w:t>
            </w:r>
          </w:p>
        </w:tc>
      </w:tr>
      <w:tr w:rsidRPr="000F24F6" w:rsidR="000825B2" w:rsidTr="00230FC9" w14:paraId="5702CF47" w14:textId="77777777">
        <w:tc>
          <w:tcPr>
            <w:tcW w:w="496" w:type="dxa"/>
          </w:tcPr>
          <w:p w:rsidRPr="000F24F6" w:rsidR="000825B2" w:rsidP="00230FC9" w:rsidRDefault="000825B2" w14:paraId="388D8798" w14:textId="77777777">
            <w:pPr>
              <w:rPr>
                <w:rFonts w:ascii="Verdana" w:hAnsi="Verdana"/>
                <w:sz w:val="16"/>
                <w:szCs w:val="16"/>
                <w:lang w:val="nl-NL"/>
              </w:rPr>
            </w:pPr>
            <w:r w:rsidRPr="000F24F6">
              <w:rPr>
                <w:rFonts w:ascii="Verdana" w:hAnsi="Verdana"/>
                <w:sz w:val="16"/>
                <w:szCs w:val="16"/>
                <w:lang w:val="nl-NL"/>
              </w:rPr>
              <w:t>3</w:t>
            </w:r>
          </w:p>
        </w:tc>
        <w:tc>
          <w:tcPr>
            <w:tcW w:w="4035" w:type="dxa"/>
          </w:tcPr>
          <w:p w:rsidRPr="000F24F6" w:rsidR="000825B2" w:rsidP="00230FC9" w:rsidRDefault="000825B2" w14:paraId="28979DE6" w14:textId="77777777">
            <w:pPr>
              <w:rPr>
                <w:rFonts w:ascii="Verdana" w:hAnsi="Verdana"/>
                <w:sz w:val="16"/>
                <w:szCs w:val="16"/>
                <w:lang w:val="nl-NL"/>
              </w:rPr>
            </w:pPr>
            <w:r w:rsidRPr="000F24F6">
              <w:rPr>
                <w:rFonts w:ascii="Verdana" w:hAnsi="Verdana"/>
                <w:sz w:val="16"/>
                <w:szCs w:val="16"/>
                <w:lang w:val="nl-NL"/>
              </w:rPr>
              <w:t>Plastic drankverpakkingen (flessen, wikkels en doppen)</w:t>
            </w:r>
          </w:p>
        </w:tc>
        <w:tc>
          <w:tcPr>
            <w:tcW w:w="1761" w:type="dxa"/>
          </w:tcPr>
          <w:p w:rsidRPr="000F24F6" w:rsidR="000825B2" w:rsidP="00230FC9" w:rsidRDefault="000825B2" w14:paraId="5B914590" w14:textId="77777777">
            <w:pPr>
              <w:rPr>
                <w:rFonts w:ascii="Verdana" w:hAnsi="Verdana"/>
                <w:sz w:val="16"/>
                <w:szCs w:val="16"/>
                <w:lang w:val="nl-NL"/>
              </w:rPr>
            </w:pPr>
            <w:r w:rsidRPr="000F24F6">
              <w:rPr>
                <w:rFonts w:ascii="Verdana" w:hAnsi="Verdana"/>
                <w:sz w:val="16"/>
                <w:szCs w:val="16"/>
                <w:lang w:val="nl-NL"/>
              </w:rPr>
              <w:t>27</w:t>
            </w:r>
          </w:p>
        </w:tc>
        <w:tc>
          <w:tcPr>
            <w:tcW w:w="2725" w:type="dxa"/>
          </w:tcPr>
          <w:p w:rsidRPr="000F24F6" w:rsidR="000825B2" w:rsidP="00230FC9" w:rsidRDefault="000825B2" w14:paraId="6F268A50" w14:textId="77777777">
            <w:pPr>
              <w:rPr>
                <w:rFonts w:ascii="Verdana" w:hAnsi="Verdana"/>
                <w:sz w:val="16"/>
                <w:szCs w:val="16"/>
                <w:lang w:val="nl-NL"/>
              </w:rPr>
            </w:pPr>
            <w:r w:rsidRPr="000F24F6">
              <w:rPr>
                <w:rFonts w:ascii="Verdana" w:hAnsi="Verdana"/>
                <w:sz w:val="16"/>
                <w:szCs w:val="16"/>
                <w:lang w:val="nl-NL"/>
              </w:rPr>
              <w:t>Recreatie/industrie</w:t>
            </w:r>
          </w:p>
          <w:p w:rsidRPr="000F24F6" w:rsidR="000825B2" w:rsidP="00230FC9" w:rsidRDefault="000825B2" w14:paraId="34951992" w14:textId="77777777">
            <w:pPr>
              <w:rPr>
                <w:rFonts w:ascii="Verdana" w:hAnsi="Verdana"/>
                <w:sz w:val="16"/>
                <w:szCs w:val="16"/>
                <w:lang w:val="nl-NL"/>
              </w:rPr>
            </w:pPr>
          </w:p>
        </w:tc>
      </w:tr>
      <w:tr w:rsidRPr="000F24F6" w:rsidR="000825B2" w:rsidTr="00230FC9" w14:paraId="245B8D0E" w14:textId="77777777">
        <w:tc>
          <w:tcPr>
            <w:tcW w:w="496" w:type="dxa"/>
          </w:tcPr>
          <w:p w:rsidRPr="000F24F6" w:rsidR="000825B2" w:rsidP="00230FC9" w:rsidRDefault="000825B2" w14:paraId="21D6BD72" w14:textId="77777777">
            <w:pPr>
              <w:rPr>
                <w:rFonts w:ascii="Verdana" w:hAnsi="Verdana"/>
                <w:sz w:val="16"/>
                <w:szCs w:val="16"/>
                <w:lang w:val="nl-NL"/>
              </w:rPr>
            </w:pPr>
            <w:r w:rsidRPr="000F24F6">
              <w:rPr>
                <w:rFonts w:ascii="Verdana" w:hAnsi="Verdana"/>
                <w:sz w:val="16"/>
                <w:szCs w:val="16"/>
                <w:lang w:val="nl-NL"/>
              </w:rPr>
              <w:t>4</w:t>
            </w:r>
          </w:p>
        </w:tc>
        <w:tc>
          <w:tcPr>
            <w:tcW w:w="4035" w:type="dxa"/>
          </w:tcPr>
          <w:p w:rsidRPr="000F24F6" w:rsidR="000825B2" w:rsidP="00230FC9" w:rsidRDefault="000825B2" w14:paraId="462E9269" w14:textId="77777777">
            <w:pPr>
              <w:rPr>
                <w:rFonts w:ascii="Verdana" w:hAnsi="Verdana"/>
                <w:sz w:val="16"/>
                <w:szCs w:val="16"/>
                <w:lang w:val="nl-NL"/>
              </w:rPr>
            </w:pPr>
            <w:r w:rsidRPr="000F24F6">
              <w:rPr>
                <w:rFonts w:ascii="Verdana" w:hAnsi="Verdana"/>
                <w:sz w:val="16"/>
                <w:szCs w:val="16"/>
                <w:lang w:val="nl-NL"/>
              </w:rPr>
              <w:t>Plastic voedselverpakkingen (o.a. frietbakjes)</w:t>
            </w:r>
          </w:p>
        </w:tc>
        <w:tc>
          <w:tcPr>
            <w:tcW w:w="1761" w:type="dxa"/>
          </w:tcPr>
          <w:p w:rsidRPr="000F24F6" w:rsidR="000825B2" w:rsidP="00230FC9" w:rsidRDefault="000825B2" w14:paraId="03B39160" w14:textId="77777777">
            <w:pPr>
              <w:rPr>
                <w:rFonts w:ascii="Verdana" w:hAnsi="Verdana"/>
                <w:sz w:val="16"/>
                <w:szCs w:val="16"/>
                <w:lang w:val="nl-NL"/>
              </w:rPr>
            </w:pPr>
            <w:r w:rsidRPr="000F24F6">
              <w:rPr>
                <w:rFonts w:ascii="Verdana" w:hAnsi="Verdana"/>
                <w:sz w:val="16"/>
                <w:szCs w:val="16"/>
                <w:lang w:val="nl-NL"/>
              </w:rPr>
              <w:t>9</w:t>
            </w:r>
          </w:p>
        </w:tc>
        <w:tc>
          <w:tcPr>
            <w:tcW w:w="2725" w:type="dxa"/>
          </w:tcPr>
          <w:p w:rsidRPr="000F24F6" w:rsidR="000825B2" w:rsidP="00230FC9" w:rsidRDefault="000825B2" w14:paraId="1ADCD171" w14:textId="77777777">
            <w:pPr>
              <w:rPr>
                <w:rFonts w:ascii="Verdana" w:hAnsi="Verdana"/>
                <w:sz w:val="16"/>
                <w:szCs w:val="16"/>
                <w:lang w:val="nl-NL"/>
              </w:rPr>
            </w:pPr>
            <w:r w:rsidRPr="000F24F6">
              <w:rPr>
                <w:rFonts w:ascii="Verdana" w:hAnsi="Verdana"/>
                <w:sz w:val="16"/>
                <w:szCs w:val="16"/>
                <w:lang w:val="nl-NL"/>
              </w:rPr>
              <w:t>Recreatie/industrie</w:t>
            </w:r>
          </w:p>
        </w:tc>
      </w:tr>
      <w:tr w:rsidRPr="000F24F6" w:rsidR="000825B2" w:rsidTr="00230FC9" w14:paraId="431D38F2" w14:textId="77777777">
        <w:tc>
          <w:tcPr>
            <w:tcW w:w="496" w:type="dxa"/>
          </w:tcPr>
          <w:p w:rsidRPr="000F24F6" w:rsidR="000825B2" w:rsidP="00230FC9" w:rsidRDefault="000825B2" w14:paraId="673F23FB" w14:textId="77777777">
            <w:pPr>
              <w:rPr>
                <w:rFonts w:ascii="Verdana" w:hAnsi="Verdana"/>
                <w:sz w:val="16"/>
                <w:szCs w:val="16"/>
                <w:lang w:val="nl-NL"/>
              </w:rPr>
            </w:pPr>
            <w:r w:rsidRPr="000F24F6">
              <w:rPr>
                <w:rFonts w:ascii="Verdana" w:hAnsi="Verdana"/>
                <w:sz w:val="16"/>
                <w:szCs w:val="16"/>
                <w:lang w:val="nl-NL"/>
              </w:rPr>
              <w:t>5</w:t>
            </w:r>
          </w:p>
        </w:tc>
        <w:tc>
          <w:tcPr>
            <w:tcW w:w="4035" w:type="dxa"/>
          </w:tcPr>
          <w:p w:rsidRPr="000F24F6" w:rsidR="000825B2" w:rsidP="00230FC9" w:rsidRDefault="000825B2" w14:paraId="7C54427A" w14:textId="77777777">
            <w:pPr>
              <w:rPr>
                <w:rFonts w:ascii="Verdana" w:hAnsi="Verdana"/>
                <w:sz w:val="16"/>
                <w:szCs w:val="16"/>
                <w:lang w:val="nl-NL"/>
              </w:rPr>
            </w:pPr>
            <w:r w:rsidRPr="000F24F6">
              <w:rPr>
                <w:rFonts w:ascii="Verdana" w:hAnsi="Verdana"/>
                <w:sz w:val="16"/>
                <w:szCs w:val="16"/>
                <w:lang w:val="nl-NL"/>
              </w:rPr>
              <w:t>Plastic wattenstaafjes</w:t>
            </w:r>
          </w:p>
        </w:tc>
        <w:tc>
          <w:tcPr>
            <w:tcW w:w="1761" w:type="dxa"/>
          </w:tcPr>
          <w:p w:rsidRPr="000F24F6" w:rsidR="000825B2" w:rsidP="00230FC9" w:rsidRDefault="000825B2" w14:paraId="47872A8C" w14:textId="77777777">
            <w:pPr>
              <w:rPr>
                <w:rFonts w:ascii="Verdana" w:hAnsi="Verdana"/>
                <w:sz w:val="16"/>
                <w:szCs w:val="16"/>
                <w:lang w:val="nl-NL"/>
              </w:rPr>
            </w:pPr>
            <w:r w:rsidRPr="000F24F6">
              <w:rPr>
                <w:rFonts w:ascii="Verdana" w:hAnsi="Verdana"/>
                <w:sz w:val="16"/>
                <w:szCs w:val="16"/>
                <w:lang w:val="nl-NL"/>
              </w:rPr>
              <w:t>8</w:t>
            </w:r>
          </w:p>
        </w:tc>
        <w:tc>
          <w:tcPr>
            <w:tcW w:w="2725" w:type="dxa"/>
          </w:tcPr>
          <w:p w:rsidRPr="000F24F6" w:rsidR="000825B2" w:rsidP="00230FC9" w:rsidRDefault="000825B2" w14:paraId="277809D0" w14:textId="77777777">
            <w:pPr>
              <w:rPr>
                <w:rFonts w:ascii="Verdana" w:hAnsi="Verdana"/>
                <w:sz w:val="16"/>
                <w:szCs w:val="16"/>
                <w:lang w:val="nl-NL"/>
              </w:rPr>
            </w:pPr>
            <w:r w:rsidRPr="000F24F6">
              <w:rPr>
                <w:rFonts w:ascii="Verdana" w:hAnsi="Verdana"/>
                <w:sz w:val="16"/>
                <w:szCs w:val="16"/>
                <w:lang w:val="nl-NL"/>
              </w:rPr>
              <w:t>Riooloverstort</w:t>
            </w:r>
          </w:p>
        </w:tc>
      </w:tr>
      <w:tr w:rsidRPr="000F24F6" w:rsidR="000825B2" w:rsidTr="00230FC9" w14:paraId="560C9529" w14:textId="77777777">
        <w:tc>
          <w:tcPr>
            <w:tcW w:w="496" w:type="dxa"/>
          </w:tcPr>
          <w:p w:rsidRPr="000F24F6" w:rsidR="000825B2" w:rsidP="00230FC9" w:rsidRDefault="000825B2" w14:paraId="531E6139" w14:textId="77777777">
            <w:pPr>
              <w:rPr>
                <w:rFonts w:ascii="Verdana" w:hAnsi="Verdana"/>
                <w:sz w:val="16"/>
                <w:szCs w:val="16"/>
                <w:lang w:val="nl-NL"/>
              </w:rPr>
            </w:pPr>
            <w:r w:rsidRPr="000F24F6">
              <w:rPr>
                <w:rFonts w:ascii="Verdana" w:hAnsi="Verdana"/>
                <w:sz w:val="16"/>
                <w:szCs w:val="16"/>
                <w:lang w:val="nl-NL"/>
              </w:rPr>
              <w:t>6</w:t>
            </w:r>
          </w:p>
        </w:tc>
        <w:tc>
          <w:tcPr>
            <w:tcW w:w="4035" w:type="dxa"/>
          </w:tcPr>
          <w:p w:rsidRPr="000F24F6" w:rsidR="000825B2" w:rsidP="00230FC9" w:rsidRDefault="000825B2" w14:paraId="4F84A238" w14:textId="77777777">
            <w:pPr>
              <w:rPr>
                <w:rFonts w:ascii="Verdana" w:hAnsi="Verdana"/>
                <w:sz w:val="16"/>
                <w:szCs w:val="16"/>
                <w:lang w:val="nl-NL"/>
              </w:rPr>
            </w:pPr>
            <w:r w:rsidRPr="000F24F6">
              <w:rPr>
                <w:rFonts w:ascii="Verdana" w:hAnsi="Verdana"/>
                <w:sz w:val="16"/>
                <w:szCs w:val="16"/>
                <w:lang w:val="nl-NL"/>
              </w:rPr>
              <w:t>Diverse herkenbare plastic stukken</w:t>
            </w:r>
          </w:p>
        </w:tc>
        <w:tc>
          <w:tcPr>
            <w:tcW w:w="1761" w:type="dxa"/>
          </w:tcPr>
          <w:p w:rsidRPr="000F24F6" w:rsidR="000825B2" w:rsidP="00230FC9" w:rsidRDefault="000825B2" w14:paraId="2E50285E" w14:textId="77777777">
            <w:pPr>
              <w:rPr>
                <w:rFonts w:ascii="Verdana" w:hAnsi="Verdana"/>
                <w:sz w:val="16"/>
                <w:szCs w:val="16"/>
                <w:lang w:val="nl-NL"/>
              </w:rPr>
            </w:pPr>
            <w:r w:rsidRPr="000F24F6">
              <w:rPr>
                <w:rFonts w:ascii="Verdana" w:hAnsi="Verdana"/>
                <w:sz w:val="16"/>
                <w:szCs w:val="16"/>
                <w:lang w:val="nl-NL"/>
              </w:rPr>
              <w:t>8</w:t>
            </w:r>
          </w:p>
        </w:tc>
        <w:tc>
          <w:tcPr>
            <w:tcW w:w="2725" w:type="dxa"/>
          </w:tcPr>
          <w:p w:rsidRPr="000F24F6" w:rsidR="000825B2" w:rsidP="00230FC9" w:rsidRDefault="000825B2" w14:paraId="542978D0" w14:textId="77777777">
            <w:pPr>
              <w:rPr>
                <w:rFonts w:ascii="Verdana" w:hAnsi="Verdana"/>
                <w:sz w:val="16"/>
                <w:szCs w:val="16"/>
                <w:lang w:val="nl-NL"/>
              </w:rPr>
            </w:pPr>
            <w:r w:rsidRPr="000F24F6">
              <w:rPr>
                <w:rFonts w:ascii="Verdana" w:hAnsi="Verdana"/>
                <w:sz w:val="16"/>
                <w:szCs w:val="16"/>
                <w:lang w:val="nl-NL"/>
              </w:rPr>
              <w:t>Recreatie/dumping/ industrie</w:t>
            </w:r>
          </w:p>
        </w:tc>
      </w:tr>
      <w:tr w:rsidRPr="000F24F6" w:rsidR="000825B2" w:rsidTr="00230FC9" w14:paraId="51B291A7" w14:textId="77777777">
        <w:tc>
          <w:tcPr>
            <w:tcW w:w="496" w:type="dxa"/>
          </w:tcPr>
          <w:p w:rsidRPr="000F24F6" w:rsidR="000825B2" w:rsidP="00230FC9" w:rsidRDefault="000825B2" w14:paraId="3BC31851" w14:textId="77777777">
            <w:pPr>
              <w:rPr>
                <w:rFonts w:ascii="Verdana" w:hAnsi="Verdana"/>
                <w:sz w:val="16"/>
                <w:szCs w:val="16"/>
                <w:lang w:val="nl-NL"/>
              </w:rPr>
            </w:pPr>
            <w:r w:rsidRPr="000F24F6">
              <w:rPr>
                <w:rFonts w:ascii="Verdana" w:hAnsi="Verdana"/>
                <w:sz w:val="16"/>
                <w:szCs w:val="16"/>
                <w:lang w:val="nl-NL"/>
              </w:rPr>
              <w:t>7</w:t>
            </w:r>
          </w:p>
        </w:tc>
        <w:tc>
          <w:tcPr>
            <w:tcW w:w="4035" w:type="dxa"/>
          </w:tcPr>
          <w:p w:rsidRPr="000F24F6" w:rsidR="000825B2" w:rsidP="00230FC9" w:rsidRDefault="000825B2" w14:paraId="4688ADC6" w14:textId="77777777">
            <w:pPr>
              <w:rPr>
                <w:rFonts w:ascii="Verdana" w:hAnsi="Verdana"/>
                <w:sz w:val="16"/>
                <w:szCs w:val="16"/>
                <w:lang w:val="nl-NL"/>
              </w:rPr>
            </w:pPr>
            <w:r w:rsidRPr="000F24F6">
              <w:rPr>
                <w:rFonts w:ascii="Verdana" w:hAnsi="Verdana"/>
                <w:sz w:val="16"/>
                <w:szCs w:val="16"/>
                <w:lang w:val="nl-NL"/>
              </w:rPr>
              <w:t>Diverse textiel (o.a. sanitaire doekjes)</w:t>
            </w:r>
          </w:p>
        </w:tc>
        <w:tc>
          <w:tcPr>
            <w:tcW w:w="1761" w:type="dxa"/>
          </w:tcPr>
          <w:p w:rsidRPr="000F24F6" w:rsidR="000825B2" w:rsidP="00230FC9" w:rsidRDefault="000825B2" w14:paraId="047F5050" w14:textId="77777777">
            <w:pPr>
              <w:rPr>
                <w:rFonts w:ascii="Verdana" w:hAnsi="Verdana"/>
                <w:sz w:val="16"/>
                <w:szCs w:val="16"/>
                <w:lang w:val="nl-NL"/>
              </w:rPr>
            </w:pPr>
            <w:r w:rsidRPr="000F24F6">
              <w:rPr>
                <w:rFonts w:ascii="Verdana" w:hAnsi="Verdana"/>
                <w:sz w:val="16"/>
                <w:szCs w:val="16"/>
                <w:lang w:val="nl-NL"/>
              </w:rPr>
              <w:t>8</w:t>
            </w:r>
          </w:p>
        </w:tc>
        <w:tc>
          <w:tcPr>
            <w:tcW w:w="2725" w:type="dxa"/>
          </w:tcPr>
          <w:p w:rsidRPr="000F24F6" w:rsidR="000825B2" w:rsidP="00230FC9" w:rsidRDefault="000825B2" w14:paraId="2338B633" w14:textId="77777777">
            <w:pPr>
              <w:rPr>
                <w:rFonts w:ascii="Verdana" w:hAnsi="Verdana"/>
                <w:sz w:val="16"/>
                <w:szCs w:val="16"/>
                <w:lang w:val="nl-NL"/>
              </w:rPr>
            </w:pPr>
            <w:r w:rsidRPr="000F24F6">
              <w:rPr>
                <w:rFonts w:ascii="Verdana" w:hAnsi="Verdana"/>
                <w:sz w:val="16"/>
                <w:szCs w:val="16"/>
                <w:lang w:val="nl-NL"/>
              </w:rPr>
              <w:t>Recreatie/dumping</w:t>
            </w:r>
          </w:p>
        </w:tc>
      </w:tr>
      <w:tr w:rsidRPr="000F24F6" w:rsidR="000825B2" w:rsidTr="00230FC9" w14:paraId="5F506068" w14:textId="77777777">
        <w:tc>
          <w:tcPr>
            <w:tcW w:w="496" w:type="dxa"/>
          </w:tcPr>
          <w:p w:rsidRPr="000F24F6" w:rsidR="000825B2" w:rsidP="00230FC9" w:rsidRDefault="000825B2" w14:paraId="4A8A8650" w14:textId="77777777">
            <w:pPr>
              <w:rPr>
                <w:rFonts w:ascii="Verdana" w:hAnsi="Verdana"/>
                <w:sz w:val="16"/>
                <w:szCs w:val="16"/>
                <w:lang w:val="nl-NL"/>
              </w:rPr>
            </w:pPr>
            <w:r w:rsidRPr="000F24F6">
              <w:rPr>
                <w:rFonts w:ascii="Verdana" w:hAnsi="Verdana"/>
                <w:sz w:val="16"/>
                <w:szCs w:val="16"/>
                <w:lang w:val="nl-NL"/>
              </w:rPr>
              <w:t>8</w:t>
            </w:r>
          </w:p>
        </w:tc>
        <w:tc>
          <w:tcPr>
            <w:tcW w:w="4035" w:type="dxa"/>
          </w:tcPr>
          <w:p w:rsidRPr="000F24F6" w:rsidR="000825B2" w:rsidP="00230FC9" w:rsidRDefault="000825B2" w14:paraId="3F4F9250" w14:textId="77777777">
            <w:pPr>
              <w:rPr>
                <w:rFonts w:ascii="Verdana" w:hAnsi="Verdana"/>
                <w:sz w:val="16"/>
                <w:szCs w:val="16"/>
                <w:lang w:val="nl-NL"/>
              </w:rPr>
            </w:pPr>
            <w:r w:rsidRPr="000F24F6">
              <w:rPr>
                <w:rFonts w:ascii="Verdana" w:hAnsi="Verdana"/>
                <w:sz w:val="16"/>
                <w:szCs w:val="16"/>
                <w:lang w:val="nl-NL"/>
              </w:rPr>
              <w:t>Stukjes touw met diameter &lt; 1 cm</w:t>
            </w:r>
          </w:p>
        </w:tc>
        <w:tc>
          <w:tcPr>
            <w:tcW w:w="1761" w:type="dxa"/>
          </w:tcPr>
          <w:p w:rsidRPr="000F24F6" w:rsidR="000825B2" w:rsidP="00230FC9" w:rsidRDefault="000825B2" w14:paraId="6AACEC70" w14:textId="77777777">
            <w:pPr>
              <w:rPr>
                <w:rFonts w:ascii="Verdana" w:hAnsi="Verdana"/>
                <w:sz w:val="16"/>
                <w:szCs w:val="16"/>
                <w:lang w:val="nl-NL"/>
              </w:rPr>
            </w:pPr>
            <w:r w:rsidRPr="000F24F6">
              <w:rPr>
                <w:rFonts w:ascii="Verdana" w:hAnsi="Verdana"/>
                <w:sz w:val="16"/>
                <w:szCs w:val="16"/>
                <w:lang w:val="nl-NL"/>
              </w:rPr>
              <w:t>6</w:t>
            </w:r>
          </w:p>
        </w:tc>
        <w:tc>
          <w:tcPr>
            <w:tcW w:w="2725" w:type="dxa"/>
          </w:tcPr>
          <w:p w:rsidRPr="000F24F6" w:rsidR="000825B2" w:rsidP="00230FC9" w:rsidRDefault="000825B2" w14:paraId="06F77BAD" w14:textId="77777777">
            <w:pPr>
              <w:rPr>
                <w:rFonts w:ascii="Verdana" w:hAnsi="Verdana"/>
                <w:sz w:val="16"/>
                <w:szCs w:val="16"/>
                <w:lang w:val="nl-NL"/>
              </w:rPr>
            </w:pPr>
            <w:r w:rsidRPr="000F24F6">
              <w:rPr>
                <w:rFonts w:ascii="Verdana" w:hAnsi="Verdana"/>
                <w:sz w:val="16"/>
                <w:szCs w:val="16"/>
                <w:lang w:val="nl-NL"/>
              </w:rPr>
              <w:t>Recreatie (oa sportvisserij)/industrie</w:t>
            </w:r>
          </w:p>
        </w:tc>
      </w:tr>
      <w:tr w:rsidRPr="000F24F6" w:rsidR="000825B2" w:rsidTr="00230FC9" w14:paraId="0D73EF84" w14:textId="77777777">
        <w:tc>
          <w:tcPr>
            <w:tcW w:w="496" w:type="dxa"/>
          </w:tcPr>
          <w:p w:rsidRPr="000F24F6" w:rsidR="000825B2" w:rsidP="00230FC9" w:rsidRDefault="000825B2" w14:paraId="298F5757" w14:textId="77777777">
            <w:pPr>
              <w:rPr>
                <w:rFonts w:ascii="Verdana" w:hAnsi="Verdana"/>
                <w:sz w:val="16"/>
                <w:szCs w:val="16"/>
                <w:lang w:val="nl-NL"/>
              </w:rPr>
            </w:pPr>
            <w:r w:rsidRPr="000F24F6">
              <w:rPr>
                <w:rFonts w:ascii="Verdana" w:hAnsi="Verdana"/>
                <w:sz w:val="16"/>
                <w:szCs w:val="16"/>
                <w:lang w:val="nl-NL"/>
              </w:rPr>
              <w:t>9</w:t>
            </w:r>
          </w:p>
        </w:tc>
        <w:tc>
          <w:tcPr>
            <w:tcW w:w="4035" w:type="dxa"/>
          </w:tcPr>
          <w:p w:rsidRPr="000F24F6" w:rsidR="000825B2" w:rsidP="00230FC9" w:rsidRDefault="000825B2" w14:paraId="7B166B1C" w14:textId="77777777">
            <w:pPr>
              <w:rPr>
                <w:rFonts w:ascii="Verdana" w:hAnsi="Verdana"/>
                <w:sz w:val="16"/>
                <w:szCs w:val="16"/>
                <w:lang w:val="nl-NL"/>
              </w:rPr>
            </w:pPr>
            <w:r w:rsidRPr="000F24F6">
              <w:rPr>
                <w:rFonts w:ascii="Verdana" w:hAnsi="Verdana"/>
                <w:sz w:val="16"/>
                <w:szCs w:val="16"/>
                <w:lang w:val="nl-NL"/>
              </w:rPr>
              <w:t>Glazen potten en/of delen daarvan o.a. van voedsel- en drankverpakkingen</w:t>
            </w:r>
          </w:p>
        </w:tc>
        <w:tc>
          <w:tcPr>
            <w:tcW w:w="1761" w:type="dxa"/>
          </w:tcPr>
          <w:p w:rsidRPr="000F24F6" w:rsidR="000825B2" w:rsidP="00230FC9" w:rsidRDefault="000825B2" w14:paraId="26180E74" w14:textId="77777777">
            <w:pPr>
              <w:rPr>
                <w:rFonts w:ascii="Verdana" w:hAnsi="Verdana"/>
                <w:sz w:val="16"/>
                <w:szCs w:val="16"/>
                <w:lang w:val="nl-NL"/>
              </w:rPr>
            </w:pPr>
            <w:r w:rsidRPr="000F24F6">
              <w:rPr>
                <w:rFonts w:ascii="Verdana" w:hAnsi="Verdana"/>
                <w:sz w:val="16"/>
                <w:szCs w:val="16"/>
                <w:lang w:val="nl-NL"/>
              </w:rPr>
              <w:t>6</w:t>
            </w:r>
          </w:p>
        </w:tc>
        <w:tc>
          <w:tcPr>
            <w:tcW w:w="2725" w:type="dxa"/>
          </w:tcPr>
          <w:p w:rsidRPr="000F24F6" w:rsidR="000825B2" w:rsidP="00230FC9" w:rsidRDefault="000825B2" w14:paraId="03EF4698" w14:textId="77777777">
            <w:pPr>
              <w:rPr>
                <w:rFonts w:ascii="Verdana" w:hAnsi="Verdana"/>
                <w:sz w:val="16"/>
                <w:szCs w:val="16"/>
                <w:lang w:val="nl-NL"/>
              </w:rPr>
            </w:pPr>
            <w:r w:rsidRPr="000F24F6">
              <w:rPr>
                <w:rFonts w:ascii="Verdana" w:hAnsi="Verdana"/>
                <w:sz w:val="16"/>
                <w:szCs w:val="16"/>
                <w:lang w:val="nl-NL"/>
              </w:rPr>
              <w:t>Recreatie/dumping</w:t>
            </w:r>
          </w:p>
        </w:tc>
      </w:tr>
      <w:tr w:rsidRPr="000F24F6" w:rsidR="000825B2" w:rsidTr="00230FC9" w14:paraId="07E2E26F" w14:textId="77777777">
        <w:tc>
          <w:tcPr>
            <w:tcW w:w="496" w:type="dxa"/>
          </w:tcPr>
          <w:p w:rsidRPr="000F24F6" w:rsidR="000825B2" w:rsidP="00230FC9" w:rsidRDefault="000825B2" w14:paraId="33B85A91" w14:textId="77777777">
            <w:pPr>
              <w:rPr>
                <w:rFonts w:ascii="Verdana" w:hAnsi="Verdana"/>
                <w:sz w:val="16"/>
                <w:szCs w:val="16"/>
                <w:lang w:val="nl-NL"/>
              </w:rPr>
            </w:pPr>
            <w:r w:rsidRPr="000F24F6">
              <w:rPr>
                <w:rFonts w:ascii="Verdana" w:hAnsi="Verdana"/>
                <w:sz w:val="16"/>
                <w:szCs w:val="16"/>
                <w:lang w:val="nl-NL"/>
              </w:rPr>
              <w:t>10</w:t>
            </w:r>
          </w:p>
        </w:tc>
        <w:tc>
          <w:tcPr>
            <w:tcW w:w="4035" w:type="dxa"/>
          </w:tcPr>
          <w:p w:rsidRPr="000F24F6" w:rsidR="000825B2" w:rsidP="00230FC9" w:rsidRDefault="000825B2" w14:paraId="42774EAF" w14:textId="77777777">
            <w:pPr>
              <w:rPr>
                <w:rFonts w:ascii="Verdana" w:hAnsi="Verdana"/>
                <w:sz w:val="16"/>
                <w:szCs w:val="16"/>
                <w:lang w:val="nl-NL"/>
              </w:rPr>
            </w:pPr>
            <w:r w:rsidRPr="000F24F6">
              <w:rPr>
                <w:rFonts w:ascii="Verdana" w:hAnsi="Verdana"/>
                <w:sz w:val="16"/>
                <w:szCs w:val="16"/>
                <w:lang w:val="nl-NL"/>
              </w:rPr>
              <w:t xml:space="preserve">Drankblikjes </w:t>
            </w:r>
          </w:p>
        </w:tc>
        <w:tc>
          <w:tcPr>
            <w:tcW w:w="1761" w:type="dxa"/>
          </w:tcPr>
          <w:p w:rsidRPr="000F24F6" w:rsidR="000825B2" w:rsidP="00230FC9" w:rsidRDefault="000825B2" w14:paraId="76125987" w14:textId="77777777">
            <w:pPr>
              <w:rPr>
                <w:rFonts w:ascii="Verdana" w:hAnsi="Verdana"/>
                <w:sz w:val="16"/>
                <w:szCs w:val="16"/>
                <w:lang w:val="nl-NL"/>
              </w:rPr>
            </w:pPr>
            <w:r w:rsidRPr="000F24F6">
              <w:rPr>
                <w:rFonts w:ascii="Verdana" w:hAnsi="Verdana"/>
                <w:sz w:val="16"/>
                <w:szCs w:val="16"/>
                <w:lang w:val="nl-NL"/>
              </w:rPr>
              <w:t>4</w:t>
            </w:r>
          </w:p>
        </w:tc>
        <w:tc>
          <w:tcPr>
            <w:tcW w:w="2725" w:type="dxa"/>
          </w:tcPr>
          <w:p w:rsidRPr="000F24F6" w:rsidR="000825B2" w:rsidP="00230FC9" w:rsidRDefault="000825B2" w14:paraId="39017499" w14:textId="77777777">
            <w:pPr>
              <w:rPr>
                <w:rFonts w:ascii="Verdana" w:hAnsi="Verdana"/>
                <w:sz w:val="16"/>
                <w:szCs w:val="16"/>
                <w:lang w:val="nl-NL"/>
              </w:rPr>
            </w:pPr>
            <w:r w:rsidRPr="000F24F6">
              <w:rPr>
                <w:rFonts w:ascii="Verdana" w:hAnsi="Verdana"/>
                <w:sz w:val="16"/>
                <w:szCs w:val="16"/>
                <w:lang w:val="nl-NL"/>
              </w:rPr>
              <w:t>Recreatie</w:t>
            </w:r>
          </w:p>
        </w:tc>
      </w:tr>
      <w:tr w:rsidRPr="000F24F6" w:rsidR="000825B2" w:rsidTr="00230FC9" w14:paraId="4ECBDB37" w14:textId="77777777">
        <w:tc>
          <w:tcPr>
            <w:tcW w:w="496" w:type="dxa"/>
          </w:tcPr>
          <w:p w:rsidRPr="000F24F6" w:rsidR="000825B2" w:rsidP="00230FC9" w:rsidRDefault="000825B2" w14:paraId="26156F6D" w14:textId="77777777">
            <w:pPr>
              <w:rPr>
                <w:rFonts w:ascii="Verdana" w:hAnsi="Verdana"/>
                <w:sz w:val="16"/>
                <w:szCs w:val="16"/>
                <w:lang w:val="nl-NL"/>
              </w:rPr>
            </w:pPr>
            <w:r w:rsidRPr="000F24F6">
              <w:rPr>
                <w:rFonts w:ascii="Verdana" w:hAnsi="Verdana"/>
                <w:sz w:val="16"/>
                <w:szCs w:val="16"/>
                <w:lang w:val="nl-NL"/>
              </w:rPr>
              <w:t>11</w:t>
            </w:r>
          </w:p>
        </w:tc>
        <w:tc>
          <w:tcPr>
            <w:tcW w:w="4035" w:type="dxa"/>
          </w:tcPr>
          <w:p w:rsidRPr="000F24F6" w:rsidR="000825B2" w:rsidP="00230FC9" w:rsidRDefault="000825B2" w14:paraId="1F607DCB" w14:textId="77777777">
            <w:pPr>
              <w:rPr>
                <w:rFonts w:ascii="Verdana" w:hAnsi="Verdana"/>
                <w:sz w:val="16"/>
                <w:szCs w:val="16"/>
                <w:lang w:val="nl-NL"/>
              </w:rPr>
            </w:pPr>
            <w:r w:rsidRPr="000F24F6">
              <w:rPr>
                <w:rFonts w:ascii="Verdana" w:hAnsi="Verdana"/>
                <w:sz w:val="16"/>
                <w:szCs w:val="16"/>
                <w:lang w:val="nl-NL"/>
              </w:rPr>
              <w:t>Plastic bekers of delen daarvan</w:t>
            </w:r>
          </w:p>
        </w:tc>
        <w:tc>
          <w:tcPr>
            <w:tcW w:w="1761" w:type="dxa"/>
          </w:tcPr>
          <w:p w:rsidRPr="000F24F6" w:rsidR="000825B2" w:rsidP="00230FC9" w:rsidRDefault="000825B2" w14:paraId="53C69C60" w14:textId="77777777">
            <w:pPr>
              <w:rPr>
                <w:rFonts w:ascii="Verdana" w:hAnsi="Verdana"/>
                <w:sz w:val="16"/>
                <w:szCs w:val="16"/>
                <w:lang w:val="nl-NL"/>
              </w:rPr>
            </w:pPr>
            <w:r w:rsidRPr="000F24F6">
              <w:rPr>
                <w:rFonts w:ascii="Verdana" w:hAnsi="Verdana"/>
                <w:sz w:val="16"/>
                <w:szCs w:val="16"/>
                <w:lang w:val="nl-NL"/>
              </w:rPr>
              <w:t>4</w:t>
            </w:r>
          </w:p>
        </w:tc>
        <w:tc>
          <w:tcPr>
            <w:tcW w:w="2725" w:type="dxa"/>
          </w:tcPr>
          <w:p w:rsidRPr="000F24F6" w:rsidR="000825B2" w:rsidP="00230FC9" w:rsidRDefault="000825B2" w14:paraId="056A0198" w14:textId="77777777">
            <w:pPr>
              <w:rPr>
                <w:rFonts w:ascii="Verdana" w:hAnsi="Verdana"/>
                <w:sz w:val="16"/>
                <w:szCs w:val="16"/>
                <w:lang w:val="nl-NL"/>
              </w:rPr>
            </w:pPr>
            <w:r w:rsidRPr="000F24F6">
              <w:rPr>
                <w:rFonts w:ascii="Verdana" w:hAnsi="Verdana"/>
                <w:sz w:val="16"/>
                <w:szCs w:val="16"/>
                <w:lang w:val="nl-NL"/>
              </w:rPr>
              <w:t>Recreatie</w:t>
            </w:r>
          </w:p>
        </w:tc>
      </w:tr>
      <w:tr w:rsidRPr="000F24F6" w:rsidR="000825B2" w:rsidTr="00230FC9" w14:paraId="1A3BA566" w14:textId="77777777">
        <w:tc>
          <w:tcPr>
            <w:tcW w:w="496" w:type="dxa"/>
          </w:tcPr>
          <w:p w:rsidRPr="000F24F6" w:rsidR="000825B2" w:rsidP="00230FC9" w:rsidRDefault="000825B2" w14:paraId="7DA5B341" w14:textId="77777777">
            <w:pPr>
              <w:rPr>
                <w:rFonts w:ascii="Verdana" w:hAnsi="Verdana"/>
                <w:sz w:val="16"/>
                <w:szCs w:val="16"/>
                <w:lang w:val="nl-NL"/>
              </w:rPr>
            </w:pPr>
            <w:r w:rsidRPr="000F24F6">
              <w:rPr>
                <w:rFonts w:ascii="Verdana" w:hAnsi="Verdana"/>
                <w:sz w:val="16"/>
                <w:szCs w:val="16"/>
                <w:lang w:val="nl-NL"/>
              </w:rPr>
              <w:t>12</w:t>
            </w:r>
          </w:p>
        </w:tc>
        <w:tc>
          <w:tcPr>
            <w:tcW w:w="4035" w:type="dxa"/>
          </w:tcPr>
          <w:p w:rsidRPr="000F24F6" w:rsidR="000825B2" w:rsidP="00230FC9" w:rsidRDefault="000825B2" w14:paraId="58DAC27E" w14:textId="77777777">
            <w:pPr>
              <w:rPr>
                <w:rFonts w:ascii="Verdana" w:hAnsi="Verdana"/>
                <w:sz w:val="16"/>
                <w:szCs w:val="16"/>
                <w:lang w:val="nl-NL"/>
              </w:rPr>
            </w:pPr>
            <w:r w:rsidRPr="000F24F6">
              <w:rPr>
                <w:rFonts w:ascii="Verdana" w:hAnsi="Verdana"/>
                <w:sz w:val="16"/>
                <w:szCs w:val="16"/>
                <w:lang w:val="nl-NL"/>
              </w:rPr>
              <w:t xml:space="preserve">Sigarettenfilters </w:t>
            </w:r>
          </w:p>
        </w:tc>
        <w:tc>
          <w:tcPr>
            <w:tcW w:w="1761" w:type="dxa"/>
          </w:tcPr>
          <w:p w:rsidRPr="000F24F6" w:rsidR="000825B2" w:rsidP="00230FC9" w:rsidRDefault="000825B2" w14:paraId="5B643B9B" w14:textId="77777777">
            <w:pPr>
              <w:rPr>
                <w:rFonts w:ascii="Verdana" w:hAnsi="Verdana"/>
                <w:sz w:val="16"/>
                <w:szCs w:val="16"/>
                <w:lang w:val="nl-NL"/>
              </w:rPr>
            </w:pPr>
            <w:r w:rsidRPr="000F24F6">
              <w:rPr>
                <w:rFonts w:ascii="Verdana" w:hAnsi="Verdana"/>
                <w:sz w:val="16"/>
                <w:szCs w:val="16"/>
                <w:lang w:val="nl-NL"/>
              </w:rPr>
              <w:t>4</w:t>
            </w:r>
          </w:p>
        </w:tc>
        <w:tc>
          <w:tcPr>
            <w:tcW w:w="2725" w:type="dxa"/>
          </w:tcPr>
          <w:p w:rsidRPr="000F24F6" w:rsidR="000825B2" w:rsidP="00230FC9" w:rsidRDefault="000825B2" w14:paraId="2F4F8F5D" w14:textId="77777777">
            <w:pPr>
              <w:rPr>
                <w:rFonts w:ascii="Verdana" w:hAnsi="Verdana"/>
                <w:sz w:val="16"/>
                <w:szCs w:val="16"/>
                <w:lang w:val="nl-NL"/>
              </w:rPr>
            </w:pPr>
            <w:r w:rsidRPr="000F24F6">
              <w:rPr>
                <w:rFonts w:ascii="Verdana" w:hAnsi="Verdana"/>
                <w:sz w:val="16"/>
                <w:szCs w:val="16"/>
                <w:lang w:val="nl-NL"/>
              </w:rPr>
              <w:t xml:space="preserve">Recreatie </w:t>
            </w:r>
          </w:p>
        </w:tc>
      </w:tr>
      <w:tr w:rsidRPr="000F24F6" w:rsidR="000825B2" w:rsidTr="00230FC9" w14:paraId="1C607A2D" w14:textId="77777777">
        <w:tc>
          <w:tcPr>
            <w:tcW w:w="496" w:type="dxa"/>
          </w:tcPr>
          <w:p w:rsidRPr="000F24F6" w:rsidR="000825B2" w:rsidP="00230FC9" w:rsidRDefault="000825B2" w14:paraId="7D44FFE2" w14:textId="77777777">
            <w:pPr>
              <w:rPr>
                <w:rFonts w:ascii="Verdana" w:hAnsi="Verdana"/>
                <w:sz w:val="16"/>
                <w:szCs w:val="16"/>
                <w:lang w:val="nl-NL"/>
              </w:rPr>
            </w:pPr>
            <w:r w:rsidRPr="000F24F6">
              <w:rPr>
                <w:rFonts w:ascii="Verdana" w:hAnsi="Verdana"/>
                <w:sz w:val="16"/>
                <w:szCs w:val="16"/>
                <w:lang w:val="nl-NL"/>
              </w:rPr>
              <w:t>13</w:t>
            </w:r>
          </w:p>
        </w:tc>
        <w:tc>
          <w:tcPr>
            <w:tcW w:w="4035" w:type="dxa"/>
          </w:tcPr>
          <w:p w:rsidRPr="000F24F6" w:rsidR="000825B2" w:rsidP="00230FC9" w:rsidRDefault="000825B2" w14:paraId="5B198C64" w14:textId="77777777">
            <w:pPr>
              <w:rPr>
                <w:rFonts w:ascii="Verdana" w:hAnsi="Verdana"/>
                <w:sz w:val="16"/>
                <w:szCs w:val="16"/>
                <w:lang w:val="nl-NL"/>
              </w:rPr>
            </w:pPr>
            <w:r w:rsidRPr="000F24F6">
              <w:rPr>
                <w:rFonts w:ascii="Verdana" w:hAnsi="Verdana"/>
                <w:sz w:val="16"/>
                <w:szCs w:val="16"/>
                <w:lang w:val="nl-NL"/>
              </w:rPr>
              <w:t>Maandverband of verpakkingen daarvan</w:t>
            </w:r>
          </w:p>
        </w:tc>
        <w:tc>
          <w:tcPr>
            <w:tcW w:w="1761" w:type="dxa"/>
          </w:tcPr>
          <w:p w:rsidRPr="000F24F6" w:rsidR="000825B2" w:rsidP="00230FC9" w:rsidRDefault="000825B2" w14:paraId="7E2BCBF0" w14:textId="77777777">
            <w:pPr>
              <w:rPr>
                <w:rFonts w:ascii="Verdana" w:hAnsi="Verdana"/>
                <w:sz w:val="16"/>
                <w:szCs w:val="16"/>
                <w:lang w:val="nl-NL"/>
              </w:rPr>
            </w:pPr>
            <w:r w:rsidRPr="000F24F6">
              <w:rPr>
                <w:rFonts w:ascii="Verdana" w:hAnsi="Verdana"/>
                <w:sz w:val="16"/>
                <w:szCs w:val="16"/>
                <w:lang w:val="nl-NL"/>
              </w:rPr>
              <w:t>3</w:t>
            </w:r>
          </w:p>
        </w:tc>
        <w:tc>
          <w:tcPr>
            <w:tcW w:w="2725" w:type="dxa"/>
          </w:tcPr>
          <w:p w:rsidRPr="000F24F6" w:rsidR="000825B2" w:rsidP="00230FC9" w:rsidRDefault="000825B2" w14:paraId="713BC0CD" w14:textId="77777777">
            <w:pPr>
              <w:rPr>
                <w:rFonts w:ascii="Verdana" w:hAnsi="Verdana"/>
                <w:sz w:val="16"/>
                <w:szCs w:val="16"/>
                <w:lang w:val="nl-NL"/>
              </w:rPr>
            </w:pPr>
            <w:r w:rsidRPr="000F24F6">
              <w:rPr>
                <w:rFonts w:ascii="Verdana" w:hAnsi="Verdana"/>
                <w:sz w:val="16"/>
                <w:szCs w:val="16"/>
                <w:lang w:val="nl-NL"/>
              </w:rPr>
              <w:t>Riooloverstort</w:t>
            </w:r>
          </w:p>
        </w:tc>
      </w:tr>
      <w:tr w:rsidRPr="000F24F6" w:rsidR="000825B2" w:rsidTr="00230FC9" w14:paraId="1C7ECAAA" w14:textId="77777777">
        <w:tc>
          <w:tcPr>
            <w:tcW w:w="496" w:type="dxa"/>
          </w:tcPr>
          <w:p w:rsidRPr="000F24F6" w:rsidR="000825B2" w:rsidP="00230FC9" w:rsidRDefault="000825B2" w14:paraId="3C3BD402" w14:textId="77777777">
            <w:pPr>
              <w:rPr>
                <w:rFonts w:ascii="Verdana" w:hAnsi="Verdana"/>
                <w:sz w:val="16"/>
                <w:szCs w:val="16"/>
                <w:lang w:val="nl-NL"/>
              </w:rPr>
            </w:pPr>
            <w:r w:rsidRPr="000F24F6">
              <w:rPr>
                <w:rFonts w:ascii="Verdana" w:hAnsi="Verdana"/>
                <w:sz w:val="16"/>
                <w:szCs w:val="16"/>
                <w:lang w:val="nl-NL"/>
              </w:rPr>
              <w:t>14</w:t>
            </w:r>
          </w:p>
        </w:tc>
        <w:tc>
          <w:tcPr>
            <w:tcW w:w="4035" w:type="dxa"/>
          </w:tcPr>
          <w:p w:rsidRPr="000F24F6" w:rsidR="000825B2" w:rsidP="00230FC9" w:rsidRDefault="000825B2" w14:paraId="5E412B63" w14:textId="77777777">
            <w:pPr>
              <w:rPr>
                <w:rFonts w:ascii="Verdana" w:hAnsi="Verdana"/>
                <w:sz w:val="16"/>
                <w:szCs w:val="16"/>
                <w:lang w:val="nl-NL"/>
              </w:rPr>
            </w:pPr>
            <w:r w:rsidRPr="000F24F6">
              <w:rPr>
                <w:rFonts w:ascii="Verdana" w:hAnsi="Verdana"/>
                <w:sz w:val="16"/>
                <w:szCs w:val="16"/>
                <w:lang w:val="nl-NL"/>
              </w:rPr>
              <w:t>Plastic bestek</w:t>
            </w:r>
          </w:p>
        </w:tc>
        <w:tc>
          <w:tcPr>
            <w:tcW w:w="1761" w:type="dxa"/>
          </w:tcPr>
          <w:p w:rsidRPr="000F24F6" w:rsidR="000825B2" w:rsidP="00230FC9" w:rsidRDefault="000825B2" w14:paraId="052A6CEE" w14:textId="77777777">
            <w:pPr>
              <w:rPr>
                <w:rFonts w:ascii="Verdana" w:hAnsi="Verdana"/>
                <w:sz w:val="16"/>
                <w:szCs w:val="16"/>
                <w:lang w:val="nl-NL"/>
              </w:rPr>
            </w:pPr>
            <w:r w:rsidRPr="000F24F6">
              <w:rPr>
                <w:rFonts w:ascii="Verdana" w:hAnsi="Verdana"/>
                <w:sz w:val="16"/>
                <w:szCs w:val="16"/>
                <w:lang w:val="nl-NL"/>
              </w:rPr>
              <w:t>2</w:t>
            </w:r>
          </w:p>
        </w:tc>
        <w:tc>
          <w:tcPr>
            <w:tcW w:w="2725" w:type="dxa"/>
          </w:tcPr>
          <w:p w:rsidRPr="000F24F6" w:rsidR="000825B2" w:rsidP="00230FC9" w:rsidRDefault="000825B2" w14:paraId="47A19285" w14:textId="77777777">
            <w:pPr>
              <w:rPr>
                <w:rFonts w:ascii="Verdana" w:hAnsi="Verdana"/>
                <w:sz w:val="16"/>
                <w:szCs w:val="16"/>
                <w:lang w:val="nl-NL"/>
              </w:rPr>
            </w:pPr>
            <w:r w:rsidRPr="000F24F6">
              <w:rPr>
                <w:rFonts w:ascii="Verdana" w:hAnsi="Verdana"/>
                <w:sz w:val="16"/>
                <w:szCs w:val="16"/>
                <w:lang w:val="nl-NL"/>
              </w:rPr>
              <w:t xml:space="preserve">Recreatie </w:t>
            </w:r>
          </w:p>
        </w:tc>
      </w:tr>
      <w:tr w:rsidRPr="000F24F6" w:rsidR="000825B2" w:rsidTr="00230FC9" w14:paraId="1857C165" w14:textId="77777777">
        <w:tc>
          <w:tcPr>
            <w:tcW w:w="496" w:type="dxa"/>
          </w:tcPr>
          <w:p w:rsidRPr="000F24F6" w:rsidR="000825B2" w:rsidP="00230FC9" w:rsidRDefault="000825B2" w14:paraId="4731A723" w14:textId="77777777">
            <w:pPr>
              <w:rPr>
                <w:rFonts w:ascii="Verdana" w:hAnsi="Verdana"/>
                <w:sz w:val="16"/>
                <w:szCs w:val="16"/>
                <w:lang w:val="nl-NL"/>
              </w:rPr>
            </w:pPr>
            <w:r w:rsidRPr="000F24F6">
              <w:rPr>
                <w:rFonts w:ascii="Verdana" w:hAnsi="Verdana"/>
                <w:sz w:val="16"/>
                <w:szCs w:val="16"/>
                <w:lang w:val="nl-NL"/>
              </w:rPr>
              <w:t>15</w:t>
            </w:r>
          </w:p>
        </w:tc>
        <w:tc>
          <w:tcPr>
            <w:tcW w:w="4035" w:type="dxa"/>
          </w:tcPr>
          <w:p w:rsidRPr="000F24F6" w:rsidR="000825B2" w:rsidP="00230FC9" w:rsidRDefault="000825B2" w14:paraId="56E5B936" w14:textId="77777777">
            <w:pPr>
              <w:rPr>
                <w:rFonts w:ascii="Verdana" w:hAnsi="Verdana"/>
                <w:sz w:val="16"/>
                <w:szCs w:val="16"/>
                <w:lang w:val="nl-NL"/>
              </w:rPr>
            </w:pPr>
            <w:r w:rsidRPr="000F24F6">
              <w:rPr>
                <w:rFonts w:ascii="Verdana" w:hAnsi="Verdana"/>
                <w:sz w:val="16"/>
                <w:szCs w:val="16"/>
                <w:lang w:val="nl-NL"/>
              </w:rPr>
              <w:t>Plastic speelgoed</w:t>
            </w:r>
          </w:p>
        </w:tc>
        <w:tc>
          <w:tcPr>
            <w:tcW w:w="1761" w:type="dxa"/>
          </w:tcPr>
          <w:p w:rsidRPr="000F24F6" w:rsidR="000825B2" w:rsidP="00230FC9" w:rsidRDefault="000825B2" w14:paraId="45FF421B" w14:textId="77777777">
            <w:pPr>
              <w:rPr>
                <w:rFonts w:ascii="Verdana" w:hAnsi="Verdana"/>
                <w:sz w:val="16"/>
                <w:szCs w:val="16"/>
                <w:lang w:val="nl-NL"/>
              </w:rPr>
            </w:pPr>
            <w:r w:rsidRPr="000F24F6">
              <w:rPr>
                <w:rFonts w:ascii="Verdana" w:hAnsi="Verdana"/>
                <w:sz w:val="16"/>
                <w:szCs w:val="16"/>
                <w:lang w:val="nl-NL"/>
              </w:rPr>
              <w:t>2</w:t>
            </w:r>
          </w:p>
        </w:tc>
        <w:tc>
          <w:tcPr>
            <w:tcW w:w="2725" w:type="dxa"/>
          </w:tcPr>
          <w:p w:rsidRPr="000F24F6" w:rsidR="000825B2" w:rsidP="00230FC9" w:rsidRDefault="000825B2" w14:paraId="6C97D874" w14:textId="77777777">
            <w:pPr>
              <w:rPr>
                <w:rFonts w:ascii="Verdana" w:hAnsi="Verdana"/>
                <w:sz w:val="16"/>
                <w:szCs w:val="16"/>
                <w:lang w:val="nl-NL"/>
              </w:rPr>
            </w:pPr>
            <w:r w:rsidRPr="000F24F6">
              <w:rPr>
                <w:rFonts w:ascii="Verdana" w:hAnsi="Verdana"/>
                <w:sz w:val="16"/>
                <w:szCs w:val="16"/>
                <w:lang w:val="nl-NL"/>
              </w:rPr>
              <w:t>Recreatie/dumping</w:t>
            </w:r>
          </w:p>
        </w:tc>
      </w:tr>
    </w:tbl>
    <w:p w:rsidRPr="000F24F6" w:rsidR="000825B2" w:rsidP="000825B2" w:rsidRDefault="000825B2" w14:paraId="79A2FEDA" w14:textId="77777777">
      <w:pPr>
        <w:rPr>
          <w:i/>
          <w:sz w:val="16"/>
          <w:szCs w:val="18"/>
          <w:lang w:val="nl-NL"/>
        </w:rPr>
      </w:pPr>
      <w:r w:rsidRPr="000F24F6">
        <w:rPr>
          <w:i/>
          <w:sz w:val="16"/>
          <w:szCs w:val="18"/>
          <w:lang w:val="nl-NL"/>
        </w:rPr>
        <w:t>Schone Rivieren (IVN/Plastic Soup Foundation/Stichting de Noordzee), 2019</w:t>
      </w:r>
    </w:p>
    <w:p w:rsidR="000825B2" w:rsidP="000825B2" w:rsidRDefault="000825B2" w14:paraId="7D17F61D" w14:textId="77777777">
      <w:pPr>
        <w:rPr>
          <w:szCs w:val="18"/>
          <w:lang w:val="nl-NL"/>
        </w:rPr>
      </w:pPr>
      <w:r>
        <w:rPr>
          <w:szCs w:val="18"/>
          <w:lang w:val="nl-NL"/>
        </w:rPr>
        <w:t>H</w:t>
      </w:r>
      <w:r w:rsidRPr="00FF0801">
        <w:rPr>
          <w:szCs w:val="18"/>
          <w:lang w:val="nl-NL"/>
        </w:rPr>
        <w:t>et rivierafvalonderzoek is onderdeel van</w:t>
      </w:r>
      <w:r>
        <w:rPr>
          <w:szCs w:val="18"/>
          <w:lang w:val="nl-NL"/>
        </w:rPr>
        <w:t xml:space="preserve"> het (citizen science) project</w:t>
      </w:r>
      <w:r w:rsidRPr="00FF0801">
        <w:rPr>
          <w:szCs w:val="18"/>
          <w:lang w:val="nl-NL"/>
        </w:rPr>
        <w:t xml:space="preserve"> Schone Rivieren, een initiatief van IVN Natuureducatie, Stichting De Noordzee en de Plastic Soup Foundation. Met behulp va</w:t>
      </w:r>
      <w:r>
        <w:rPr>
          <w:szCs w:val="18"/>
          <w:lang w:val="nl-NL"/>
        </w:rPr>
        <w:t>n burgerwetenschap verzamelen z</w:t>
      </w:r>
      <w:r w:rsidRPr="00247912">
        <w:rPr>
          <w:szCs w:val="18"/>
          <w:lang w:val="nl-NL"/>
        </w:rPr>
        <w:t>ij</w:t>
      </w:r>
      <w:r w:rsidRPr="00FF0801">
        <w:rPr>
          <w:szCs w:val="18"/>
          <w:lang w:val="nl-NL"/>
        </w:rPr>
        <w:t xml:space="preserve"> sinds 2017 gegevens over de hoeveelheid, samenstelling en herkomst van rivierafval. Er zijn inmiddels 1</w:t>
      </w:r>
      <w:r>
        <w:rPr>
          <w:szCs w:val="18"/>
          <w:lang w:val="nl-NL"/>
        </w:rPr>
        <w:t>.</w:t>
      </w:r>
      <w:r w:rsidRPr="00FF0801">
        <w:rPr>
          <w:szCs w:val="18"/>
          <w:lang w:val="nl-NL"/>
        </w:rPr>
        <w:t>113 actieve vrijwillige rivierafvalonderzoekers die in het voorjaar en in het najaar metingen uitvoeren. Het onderzoek is het grootste afvalonderzoek in de Nederlandse rivierdelta</w:t>
      </w:r>
      <w:r>
        <w:rPr>
          <w:szCs w:val="18"/>
          <w:lang w:val="nl-NL"/>
        </w:rPr>
        <w:t>.</w:t>
      </w:r>
    </w:p>
    <w:p w:rsidRPr="00247912" w:rsidR="000825B2" w:rsidP="000825B2" w:rsidRDefault="000825B2" w14:paraId="1B49BFBB" w14:textId="35872321">
      <w:pPr>
        <w:rPr>
          <w:szCs w:val="18"/>
          <w:lang w:val="nl-NL"/>
        </w:rPr>
      </w:pPr>
      <w:r>
        <w:rPr>
          <w:szCs w:val="18"/>
          <w:lang w:val="nl-NL"/>
        </w:rPr>
        <w:t xml:space="preserve">In 2020 </w:t>
      </w:r>
      <w:r w:rsidRPr="00FF0801">
        <w:rPr>
          <w:szCs w:val="18"/>
          <w:lang w:val="nl-NL"/>
        </w:rPr>
        <w:t>is het rivierafvalonderzoek opgeschaald en zijn er inmiddels onderzoekslocaties op de oevers van alle grote Nederlandse rivieren.</w:t>
      </w:r>
      <w:r>
        <w:rPr>
          <w:szCs w:val="18"/>
          <w:lang w:val="nl-NL"/>
        </w:rPr>
        <w:t xml:space="preserve"> Bij de voorjaarsmeting van 2021 zijn 512 metingen uitgevoerd. </w:t>
      </w:r>
      <w:r w:rsidRPr="00FF0801">
        <w:rPr>
          <w:szCs w:val="18"/>
          <w:lang w:val="nl-NL"/>
        </w:rPr>
        <w:t xml:space="preserve"> </w:t>
      </w:r>
      <w:r>
        <w:rPr>
          <w:szCs w:val="18"/>
          <w:lang w:val="nl-NL"/>
        </w:rPr>
        <w:t xml:space="preserve">Gemiddeld </w:t>
      </w:r>
      <w:r w:rsidRPr="00247912">
        <w:rPr>
          <w:szCs w:val="18"/>
          <w:lang w:val="nl-NL"/>
        </w:rPr>
        <w:t xml:space="preserve">zijn </w:t>
      </w:r>
      <w:r>
        <w:rPr>
          <w:szCs w:val="18"/>
          <w:lang w:val="nl-NL"/>
        </w:rPr>
        <w:t xml:space="preserve">daarbij </w:t>
      </w:r>
      <w:r w:rsidRPr="00FF0801">
        <w:rPr>
          <w:szCs w:val="18"/>
          <w:lang w:val="nl-NL"/>
        </w:rPr>
        <w:t>409 stuks afval op 100 meter rivieroever aangetroffen</w:t>
      </w:r>
      <w:r w:rsidRPr="00247912">
        <w:rPr>
          <w:szCs w:val="18"/>
          <w:lang w:val="nl-NL"/>
        </w:rPr>
        <w:t xml:space="preserve"> waarvan </w:t>
      </w:r>
      <w:r>
        <w:rPr>
          <w:szCs w:val="18"/>
          <w:lang w:val="nl-NL"/>
        </w:rPr>
        <w:t>84</w:t>
      </w:r>
      <w:r w:rsidRPr="00FF0801">
        <w:rPr>
          <w:szCs w:val="18"/>
          <w:lang w:val="nl-NL"/>
        </w:rPr>
        <w:t>% van het aangetroffen afval bestaat uit plastic.</w:t>
      </w:r>
      <w:r>
        <w:rPr>
          <w:szCs w:val="18"/>
          <w:lang w:val="nl-NL"/>
        </w:rPr>
        <w:t xml:space="preserve"> </w:t>
      </w:r>
      <w:r w:rsidRPr="00FF0801">
        <w:rPr>
          <w:szCs w:val="18"/>
          <w:lang w:val="nl-NL"/>
        </w:rPr>
        <w:t>Dit is inclusief plastic sanitair en medisch afval zoals wattenstaafjes en pillenstrips.</w:t>
      </w:r>
      <w:r>
        <w:rPr>
          <w:szCs w:val="18"/>
          <w:lang w:val="nl-NL"/>
        </w:rPr>
        <w:t xml:space="preserve"> O</w:t>
      </w:r>
      <w:r w:rsidRPr="00FF0801">
        <w:rPr>
          <w:szCs w:val="18"/>
          <w:lang w:val="nl-NL"/>
        </w:rPr>
        <w:t>ndefinieerbare stukjes plastic (inclusief piepschuim) zijn het meest gevon</w:t>
      </w:r>
      <w:r w:rsidRPr="00247912">
        <w:rPr>
          <w:szCs w:val="18"/>
          <w:lang w:val="nl-NL"/>
        </w:rPr>
        <w:t xml:space="preserve">den. Van deze stukjes is </w:t>
      </w:r>
      <w:r w:rsidRPr="00FF0801">
        <w:rPr>
          <w:szCs w:val="18"/>
          <w:lang w:val="nl-NL"/>
        </w:rPr>
        <w:t xml:space="preserve">geen bron meer </w:t>
      </w:r>
      <w:r>
        <w:rPr>
          <w:szCs w:val="18"/>
          <w:lang w:val="nl-NL"/>
        </w:rPr>
        <w:t xml:space="preserve">te </w:t>
      </w:r>
      <w:r w:rsidRPr="00FF0801">
        <w:rPr>
          <w:szCs w:val="18"/>
          <w:lang w:val="nl-NL"/>
        </w:rPr>
        <w:t xml:space="preserve">herleiden. </w:t>
      </w:r>
      <w:r w:rsidRPr="00A572DC">
        <w:rPr>
          <w:lang w:val="nl-NL"/>
        </w:rPr>
        <w:t>De belangrijkste indicatieve bronnen zijn de industrie</w:t>
      </w:r>
      <w:r>
        <w:rPr>
          <w:lang w:val="nl-NL"/>
        </w:rPr>
        <w:t>,</w:t>
      </w:r>
      <w:r w:rsidRPr="00A572DC">
        <w:rPr>
          <w:lang w:val="nl-NL"/>
        </w:rPr>
        <w:t xml:space="preserve"> waaronder de plasticsector </w:t>
      </w:r>
      <w:r>
        <w:rPr>
          <w:lang w:val="nl-NL"/>
        </w:rPr>
        <w:t xml:space="preserve">(op veel meetpunten zijn pellets </w:t>
      </w:r>
      <w:r w:rsidRPr="00A30F58">
        <w:rPr>
          <w:lang w:val="nl-NL"/>
        </w:rPr>
        <w:t>aangetroffen</w:t>
      </w:r>
      <w:r w:rsidRPr="00A572DC">
        <w:rPr>
          <w:lang w:val="nl-NL"/>
        </w:rPr>
        <w:t>), de bouwsector en de transportsector (in het bijzonder binnenvaart), de zandwinning</w:t>
      </w:r>
      <w:r>
        <w:rPr>
          <w:lang w:val="nl-NL"/>
        </w:rPr>
        <w:t xml:space="preserve"> en het grondtransport bij </w:t>
      </w:r>
      <w:r w:rsidRPr="00A572DC">
        <w:rPr>
          <w:lang w:val="nl-NL"/>
        </w:rPr>
        <w:t xml:space="preserve">verondieping </w:t>
      </w:r>
      <w:r w:rsidRPr="00D84201">
        <w:rPr>
          <w:lang w:val="nl-NL"/>
        </w:rPr>
        <w:t>van zandwinplassen (met bagger</w:t>
      </w:r>
      <w:r>
        <w:rPr>
          <w:lang w:val="nl-NL"/>
        </w:rPr>
        <w:t xml:space="preserve">/grond waar ook plastic in zit), </w:t>
      </w:r>
      <w:r w:rsidRPr="00A572DC">
        <w:rPr>
          <w:lang w:val="nl-NL"/>
        </w:rPr>
        <w:t xml:space="preserve">en </w:t>
      </w:r>
      <w:r>
        <w:rPr>
          <w:lang w:val="nl-NL"/>
        </w:rPr>
        <w:t xml:space="preserve">de </w:t>
      </w:r>
      <w:r w:rsidRPr="00A572DC">
        <w:rPr>
          <w:lang w:val="nl-NL"/>
        </w:rPr>
        <w:t>recreatie (bewust of onbewust achtergelaten afval, vaak wegwerpplastic).</w:t>
      </w:r>
      <w:r>
        <w:rPr>
          <w:lang w:val="nl-NL"/>
        </w:rPr>
        <w:t xml:space="preserve"> </w:t>
      </w:r>
      <w:r w:rsidRPr="00FF0801">
        <w:rPr>
          <w:szCs w:val="18"/>
          <w:lang w:val="nl-NL"/>
        </w:rPr>
        <w:t xml:space="preserve"> </w:t>
      </w:r>
      <w:r>
        <w:rPr>
          <w:szCs w:val="18"/>
          <w:lang w:val="nl-NL"/>
        </w:rPr>
        <w:t>In de top 15 van meest gevonden afvalsoorten staan z</w:t>
      </w:r>
      <w:r w:rsidRPr="00FF0801">
        <w:rPr>
          <w:szCs w:val="18"/>
          <w:lang w:val="nl-NL"/>
        </w:rPr>
        <w:t>es so</w:t>
      </w:r>
      <w:r w:rsidRPr="00247912">
        <w:rPr>
          <w:szCs w:val="18"/>
          <w:lang w:val="nl-NL"/>
        </w:rPr>
        <w:t xml:space="preserve">orten afval wegwerpplastics die vallen onder de </w:t>
      </w:r>
      <w:r w:rsidRPr="00FF0801">
        <w:rPr>
          <w:szCs w:val="18"/>
          <w:lang w:val="nl-NL"/>
        </w:rPr>
        <w:t>Single Use Plastics (SUP)</w:t>
      </w:r>
      <w:r>
        <w:rPr>
          <w:szCs w:val="18"/>
          <w:lang w:val="nl-NL"/>
        </w:rPr>
        <w:t>.</w:t>
      </w:r>
    </w:p>
    <w:p w:rsidRPr="00A572DC" w:rsidR="000825B2" w:rsidP="000825B2" w:rsidRDefault="000825B2" w14:paraId="67A61304" w14:textId="3BFA463B">
      <w:pPr>
        <w:rPr>
          <w:lang w:val="nl-NL"/>
        </w:rPr>
      </w:pPr>
      <w:r w:rsidRPr="00417294">
        <w:rPr>
          <w:szCs w:val="18"/>
          <w:lang w:val="nl-NL"/>
        </w:rPr>
        <w:t>Daarnaast is steeds meer bekend over de bronnen van microplastics en over de aanwezigheid en effecten van microplastics in zee.</w:t>
      </w:r>
      <w:r>
        <w:rPr>
          <w:szCs w:val="18"/>
          <w:lang w:val="nl-NL"/>
        </w:rPr>
        <w:t xml:space="preserve"> Er kan onderscheid worden gemaakt tussen primaire microplastics en secundaire microplastics. Primaire microplastics zijn plastic deeltjes die bewust aan producten worden toegevoegd, zoals aan cosmetica, wasmiddelen, verf en kunstmest. Ook plastic pellets waar nog producten van moeten worden</w:t>
      </w:r>
      <w:r w:rsidRPr="005A44A7">
        <w:rPr>
          <w:szCs w:val="18"/>
          <w:lang w:val="nl-NL"/>
        </w:rPr>
        <w:t xml:space="preserve"> </w:t>
      </w:r>
      <w:r>
        <w:rPr>
          <w:szCs w:val="18"/>
          <w:lang w:val="nl-NL"/>
        </w:rPr>
        <w:t>gemaakt, horen bij de primaire microplastics. De secundaire microplastics ontstaan door slijtage van producten zoals autobanden, zwerfvuil, verf of textiel</w:t>
      </w:r>
      <w:r w:rsidRPr="000D1807">
        <w:rPr>
          <w:szCs w:val="18"/>
          <w:lang w:val="nl-NL"/>
        </w:rPr>
        <w:t xml:space="preserve"> </w:t>
      </w:r>
      <w:r>
        <w:rPr>
          <w:szCs w:val="18"/>
          <w:lang w:val="nl-NL"/>
        </w:rPr>
        <w:t xml:space="preserve">of het vergaan/desintegreren van plastic (wegwerp)producten. </w:t>
      </w:r>
      <w:r w:rsidRPr="00417294">
        <w:rPr>
          <w:szCs w:val="18"/>
          <w:lang w:val="nl-NL"/>
        </w:rPr>
        <w:t>Microplastics komen in zee door emissies vanuit bronnen op het land</w:t>
      </w:r>
      <w:r>
        <w:rPr>
          <w:szCs w:val="18"/>
          <w:lang w:val="nl-NL"/>
        </w:rPr>
        <w:t xml:space="preserve"> naar het water.</w:t>
      </w:r>
      <w:r w:rsidRPr="00417294">
        <w:rPr>
          <w:szCs w:val="18"/>
          <w:lang w:val="nl-NL"/>
        </w:rPr>
        <w:t xml:space="preserve"> </w:t>
      </w:r>
      <w:r>
        <w:rPr>
          <w:szCs w:val="18"/>
          <w:lang w:val="nl-NL"/>
        </w:rPr>
        <w:t xml:space="preserve">Ze ontstaan ook in zee doordat </w:t>
      </w:r>
      <w:r w:rsidRPr="00417294">
        <w:rPr>
          <w:szCs w:val="18"/>
          <w:lang w:val="nl-NL"/>
        </w:rPr>
        <w:t>kunststof zwerfvuil dat al in het mariene milieu aanwezig is, tot steeds kleinere deeltjes verbrokkelt</w:t>
      </w:r>
      <w:r>
        <w:rPr>
          <w:szCs w:val="18"/>
          <w:lang w:val="nl-NL"/>
        </w:rPr>
        <w:t>.</w:t>
      </w:r>
      <w:r w:rsidRPr="00417294">
        <w:rPr>
          <w:szCs w:val="18"/>
          <w:lang w:val="nl-NL"/>
        </w:rPr>
        <w:t xml:space="preserve"> Er zi</w:t>
      </w:r>
      <w:r>
        <w:rPr>
          <w:szCs w:val="18"/>
          <w:lang w:val="nl-NL"/>
        </w:rPr>
        <w:t xml:space="preserve">jn aanwijzingen van potentiële nadelige effecten </w:t>
      </w:r>
      <w:r w:rsidRPr="00417294">
        <w:rPr>
          <w:szCs w:val="18"/>
          <w:lang w:val="nl-NL"/>
        </w:rPr>
        <w:t xml:space="preserve">voor zeedieren </w:t>
      </w:r>
      <w:r>
        <w:rPr>
          <w:szCs w:val="18"/>
          <w:lang w:val="nl-NL"/>
        </w:rPr>
        <w:t xml:space="preserve">(onder andere accumulatie, ontstekingsreacties, </w:t>
      </w:r>
      <w:r w:rsidRPr="00540A52">
        <w:rPr>
          <w:lang w:val="nl-NL"/>
        </w:rPr>
        <w:t>oxidatieve stress</w:t>
      </w:r>
      <w:r>
        <w:rPr>
          <w:lang w:val="nl-NL"/>
        </w:rPr>
        <w:t xml:space="preserve">) </w:t>
      </w:r>
      <w:r w:rsidRPr="00417294">
        <w:rPr>
          <w:szCs w:val="18"/>
          <w:lang w:val="nl-NL"/>
        </w:rPr>
        <w:t>en van overdracht binnen de voedselketen. Recent onderzoek toont aan dat microplastics in wisselende hoeveelheden in alle compartimenten (water, sediment, biota) van het mariene milieu worden aangetroffen. Dit is een basis voor de ontwikkeling van een (OSPAR</w:t>
      </w:r>
      <w:r>
        <w:rPr>
          <w:szCs w:val="18"/>
          <w:lang w:val="nl-NL"/>
        </w:rPr>
        <w:t>-</w:t>
      </w:r>
      <w:r w:rsidRPr="00417294">
        <w:rPr>
          <w:szCs w:val="18"/>
          <w:lang w:val="nl-NL"/>
        </w:rPr>
        <w:t xml:space="preserve">)indicator voor microplastics in sediment. Er </w:t>
      </w:r>
      <w:r>
        <w:rPr>
          <w:szCs w:val="18"/>
          <w:lang w:val="nl-NL"/>
        </w:rPr>
        <w:t xml:space="preserve">is </w:t>
      </w:r>
      <w:r w:rsidRPr="00417294">
        <w:rPr>
          <w:szCs w:val="18"/>
          <w:lang w:val="nl-NL"/>
        </w:rPr>
        <w:t>meer onderzoek nodig naar de aanwezigheid</w:t>
      </w:r>
      <w:r>
        <w:rPr>
          <w:szCs w:val="18"/>
          <w:lang w:val="nl-NL"/>
        </w:rPr>
        <w:t xml:space="preserve"> </w:t>
      </w:r>
      <w:r w:rsidRPr="00417294">
        <w:rPr>
          <w:szCs w:val="18"/>
          <w:lang w:val="nl-NL"/>
        </w:rPr>
        <w:t>en de milieueffecten van microplastics</w:t>
      </w:r>
      <w:r>
        <w:rPr>
          <w:szCs w:val="18"/>
          <w:lang w:val="nl-NL"/>
        </w:rPr>
        <w:t>, waaronder de mate van blootstelling en de gevolgen daarvan</w:t>
      </w:r>
      <w:r w:rsidRPr="00417294">
        <w:rPr>
          <w:szCs w:val="18"/>
          <w:lang w:val="nl-NL"/>
        </w:rPr>
        <w:t>.</w:t>
      </w:r>
    </w:p>
    <w:p w:rsidRPr="00AB6128" w:rsidR="000825B2" w:rsidP="000825B2" w:rsidRDefault="000825B2" w14:paraId="693477A9" w14:textId="77777777">
      <w:pPr>
        <w:pStyle w:val="TOCHeading"/>
      </w:pPr>
      <w:r>
        <w:t>Aanvullende b</w:t>
      </w:r>
      <w:r w:rsidRPr="00AB6128">
        <w:t>eleidsopgave</w:t>
      </w:r>
    </w:p>
    <w:p w:rsidR="000825B2" w:rsidP="000825B2" w:rsidRDefault="000825B2" w14:paraId="1CDF8E3A" w14:textId="3EA4B22D">
      <w:pPr>
        <w:rPr>
          <w:highlight w:val="yellow"/>
          <w:lang w:val="nl-NL"/>
        </w:rPr>
      </w:pPr>
      <w:r>
        <w:rPr>
          <w:lang w:val="nl-NL"/>
        </w:rPr>
        <w:t>D</w:t>
      </w:r>
      <w:r w:rsidRPr="0063390F">
        <w:rPr>
          <w:lang w:val="nl-NL"/>
        </w:rPr>
        <w:t xml:space="preserve">e paragraaf </w:t>
      </w:r>
      <w:r>
        <w:rPr>
          <w:lang w:val="nl-NL"/>
        </w:rPr>
        <w:t xml:space="preserve">‘geïmplementeerde maatregelen’ geeft aan </w:t>
      </w:r>
      <w:r w:rsidRPr="0063390F">
        <w:rPr>
          <w:lang w:val="nl-NL"/>
        </w:rPr>
        <w:t xml:space="preserve">dat in </w:t>
      </w:r>
      <w:r>
        <w:rPr>
          <w:lang w:val="nl-NL"/>
        </w:rPr>
        <w:t>de afgelopen periode in Nederland veel is gedaan om het zwerfvuilprobleem aan te pakken en een betere milieutoestand te bereiken. De paragraaf “overig beleid dat aan de KRM bijdraagt” schetst andere relevante beleidsontwikkelingen die naar verwachting bijdragen aan de vermindering van zwerfvuil in zee. In de komende jaren zal bijvoorbeeld de implementatie van de SUP-richtlijn zorgen voor een afname van zwerfvuil. Daarbij streeft Nederland naar synergie tussen de transitie naar een circulaire duurzame economie en de aanpak van marien zwerfvuil. Ondanks deze inzet ligt er voor de komende jaren nog steeds een beleidsopgave.</w:t>
      </w:r>
    </w:p>
    <w:p w:rsidR="000825B2" w:rsidP="000825B2" w:rsidRDefault="000825B2" w14:paraId="4769668D" w14:textId="4D675D56">
      <w:pPr>
        <w:autoSpaceDE w:val="0"/>
        <w:autoSpaceDN w:val="0"/>
        <w:adjustRightInd w:val="0"/>
        <w:spacing w:after="0" w:line="240" w:lineRule="auto"/>
        <w:rPr>
          <w:rFonts w:eastAsia="RijksoverheidSerif-Regular" w:cs="RijksoverheidSerif-Regular"/>
          <w:color w:val="000000"/>
          <w:szCs w:val="18"/>
          <w:lang w:val="nl-NL"/>
        </w:rPr>
      </w:pPr>
      <w:r w:rsidRPr="00FF5E8B">
        <w:rPr>
          <w:rFonts w:eastAsia="RijksoverheidSerif-Regular" w:cs="RijksoverheidSerif-Regular"/>
          <w:color w:val="000000"/>
          <w:szCs w:val="18"/>
          <w:lang w:val="nl-NL"/>
        </w:rPr>
        <w:t>Het uitgangspunt van het kabinet is dat zwerfvuil niet in zee thuishoort.</w:t>
      </w:r>
      <w:r>
        <w:rPr>
          <w:rFonts w:eastAsia="RijksoverheidSerif-Regular" w:cs="RijksoverheidSerif-Regular"/>
          <w:color w:val="000000"/>
          <w:szCs w:val="18"/>
          <w:lang w:val="nl-NL"/>
        </w:rPr>
        <w:t xml:space="preserve"> </w:t>
      </w:r>
      <w:r w:rsidRPr="00FF5E8B">
        <w:rPr>
          <w:rFonts w:eastAsia="RijksoverheidSerif-Regular" w:cs="RijksoverheidSerif-Regular"/>
          <w:color w:val="000000"/>
          <w:szCs w:val="18"/>
          <w:lang w:val="nl-NL"/>
        </w:rPr>
        <w:t xml:space="preserve">Hoewel de hoeveelheid zwerfvuil in het Nederlandse deel van de Noordzee lijkt af te nemen, zijn de </w:t>
      </w:r>
      <w:r>
        <w:rPr>
          <w:rFonts w:eastAsia="RijksoverheidSerif-Regular" w:cs="RijksoverheidSerif-Regular"/>
          <w:color w:val="000000"/>
          <w:szCs w:val="18"/>
          <w:lang w:val="nl-NL"/>
        </w:rPr>
        <w:t xml:space="preserve">vrachten die het mariene milieu belasten </w:t>
      </w:r>
      <w:r w:rsidRPr="00FF5E8B">
        <w:rPr>
          <w:rFonts w:eastAsia="RijksoverheidSerif-Regular" w:cs="RijksoverheidSerif-Regular"/>
          <w:color w:val="000000"/>
          <w:szCs w:val="18"/>
          <w:lang w:val="nl-NL"/>
        </w:rPr>
        <w:t>nog steeds groot. Ook is nog veel onbekend over de bronnen</w:t>
      </w:r>
      <w:r>
        <w:rPr>
          <w:rFonts w:eastAsia="RijksoverheidSerif-Regular" w:cs="RijksoverheidSerif-Regular"/>
          <w:color w:val="000000"/>
          <w:szCs w:val="18"/>
          <w:lang w:val="nl-NL"/>
        </w:rPr>
        <w:t xml:space="preserve"> en</w:t>
      </w:r>
      <w:r w:rsidRPr="00FF5E8B">
        <w:rPr>
          <w:rFonts w:eastAsia="RijksoverheidSerif-Regular" w:cs="RijksoverheidSerif-Regular"/>
          <w:color w:val="000000"/>
          <w:szCs w:val="18"/>
          <w:lang w:val="nl-NL"/>
        </w:rPr>
        <w:t xml:space="preserve"> verspreidingsroutes en </w:t>
      </w:r>
      <w:r>
        <w:rPr>
          <w:rFonts w:eastAsia="RijksoverheidSerif-Regular" w:cs="RijksoverheidSerif-Regular"/>
          <w:color w:val="000000"/>
          <w:szCs w:val="18"/>
          <w:lang w:val="nl-NL"/>
        </w:rPr>
        <w:t xml:space="preserve">over </w:t>
      </w:r>
      <w:r w:rsidRPr="00FF5E8B">
        <w:rPr>
          <w:rFonts w:eastAsia="RijksoverheidSerif-Regular" w:cs="RijksoverheidSerif-Regular"/>
          <w:color w:val="000000"/>
          <w:szCs w:val="18"/>
          <w:lang w:val="nl-NL"/>
        </w:rPr>
        <w:t xml:space="preserve">de effecten op het ecosysteem. </w:t>
      </w:r>
      <w:r>
        <w:rPr>
          <w:rFonts w:eastAsia="RijksoverheidSerif-Regular" w:cs="RijksoverheidSerif-Regular"/>
          <w:color w:val="000000"/>
          <w:szCs w:val="18"/>
          <w:lang w:val="nl-NL"/>
        </w:rPr>
        <w:t xml:space="preserve">Plastics zijn </w:t>
      </w:r>
      <w:r w:rsidRPr="00FF5E8B">
        <w:rPr>
          <w:rFonts w:eastAsia="RijksoverheidSerif-Regular" w:cs="RijksoverheidSerif-Regular"/>
          <w:color w:val="000000"/>
          <w:szCs w:val="18"/>
          <w:lang w:val="nl-NL"/>
        </w:rPr>
        <w:t>persistente stof</w:t>
      </w:r>
      <w:r>
        <w:rPr>
          <w:rFonts w:eastAsia="RijksoverheidSerif-Regular" w:cs="RijksoverheidSerif-Regular"/>
          <w:color w:val="000000"/>
          <w:szCs w:val="18"/>
          <w:lang w:val="nl-NL"/>
        </w:rPr>
        <w:t>fen</w:t>
      </w:r>
      <w:r w:rsidRPr="00FF5E8B">
        <w:rPr>
          <w:rFonts w:eastAsia="RijksoverheidSerif-Regular" w:cs="RijksoverheidSerif-Regular"/>
          <w:color w:val="000000"/>
          <w:szCs w:val="18"/>
          <w:lang w:val="nl-NL"/>
        </w:rPr>
        <w:t xml:space="preserve"> die niet of nauwelijks op een natuurlijke wijze afbre</w:t>
      </w:r>
      <w:r>
        <w:rPr>
          <w:rFonts w:eastAsia="RijksoverheidSerif-Regular" w:cs="RijksoverheidSerif-Regular"/>
          <w:color w:val="000000"/>
          <w:szCs w:val="18"/>
          <w:lang w:val="nl-NL"/>
        </w:rPr>
        <w:t xml:space="preserve">ken. Dit afval blijft zich </w:t>
      </w:r>
      <w:r w:rsidRPr="00FF5E8B">
        <w:rPr>
          <w:rFonts w:eastAsia="RijksoverheidSerif-Regular" w:cs="RijksoverheidSerif-Regular"/>
          <w:color w:val="000000"/>
          <w:szCs w:val="18"/>
          <w:lang w:val="nl-NL"/>
        </w:rPr>
        <w:t xml:space="preserve">over een langere periode in het mariene milieu ophopen. </w:t>
      </w:r>
      <w:r>
        <w:rPr>
          <w:rFonts w:eastAsia="RijksoverheidSerif-Regular" w:cs="RijksoverheidSerif-Regular"/>
          <w:color w:val="000000"/>
          <w:szCs w:val="18"/>
          <w:lang w:val="nl-NL"/>
        </w:rPr>
        <w:t>Gezien de ontwikkelingen op andere beleidsterreinen leggen de aangepaste en aanvullende maatregelen in deze herziene Nederlandse Mariene Strategie Deel 3 de nadruk op de bestrijding van afval dat vanuit de stranden en vanuit de visserijsector in zee belandt en in mindere mate vanuit de scheepvaart en kunststofproducten.</w:t>
      </w:r>
      <w:r w:rsidRPr="00FF5E8B">
        <w:rPr>
          <w:rFonts w:eastAsia="RijksoverheidSerif-Regular" w:cs="RijksoverheidSerif-Regular"/>
          <w:color w:val="000000"/>
          <w:szCs w:val="18"/>
          <w:lang w:val="nl-NL"/>
        </w:rPr>
        <w:t xml:space="preserve"> Speciale aandacht </w:t>
      </w:r>
      <w:r>
        <w:rPr>
          <w:rFonts w:eastAsia="RijksoverheidSerif-Regular" w:cs="RijksoverheidSerif-Regular"/>
          <w:color w:val="000000"/>
          <w:szCs w:val="18"/>
          <w:lang w:val="nl-NL"/>
        </w:rPr>
        <w:t>blijft</w:t>
      </w:r>
      <w:r w:rsidRPr="00FF5E8B">
        <w:rPr>
          <w:rFonts w:eastAsia="RijksoverheidSerif-Regular" w:cs="RijksoverheidSerif-Regular"/>
          <w:color w:val="000000"/>
          <w:szCs w:val="18"/>
          <w:lang w:val="nl-NL"/>
        </w:rPr>
        <w:t xml:space="preserve"> </w:t>
      </w:r>
      <w:r>
        <w:rPr>
          <w:rFonts w:eastAsia="RijksoverheidSerif-Regular" w:cs="RijksoverheidSerif-Regular"/>
          <w:color w:val="000000"/>
          <w:szCs w:val="18"/>
          <w:lang w:val="nl-NL"/>
        </w:rPr>
        <w:t>verder</w:t>
      </w:r>
      <w:r w:rsidRPr="00FF5E8B">
        <w:rPr>
          <w:rFonts w:eastAsia="RijksoverheidSerif-Regular" w:cs="RijksoverheidSerif-Regular"/>
          <w:color w:val="000000"/>
          <w:szCs w:val="18"/>
          <w:lang w:val="nl-NL"/>
        </w:rPr>
        <w:t xml:space="preserve"> geboden voor</w:t>
      </w:r>
      <w:r>
        <w:rPr>
          <w:rFonts w:eastAsia="RijksoverheidSerif-Regular" w:cs="RijksoverheidSerif-Regular"/>
          <w:color w:val="000000"/>
          <w:szCs w:val="18"/>
          <w:lang w:val="nl-NL"/>
        </w:rPr>
        <w:t xml:space="preserve"> afval (waaronder vooral </w:t>
      </w:r>
      <w:r w:rsidRPr="00FF5E8B">
        <w:rPr>
          <w:rFonts w:eastAsia="RijksoverheidSerif-Regular" w:cs="RijksoverheidSerif-Regular"/>
          <w:color w:val="000000"/>
          <w:szCs w:val="18"/>
          <w:lang w:val="nl-NL"/>
        </w:rPr>
        <w:t>microplastics</w:t>
      </w:r>
      <w:r>
        <w:rPr>
          <w:rFonts w:eastAsia="RijksoverheidSerif-Regular" w:cs="RijksoverheidSerif-Regular"/>
          <w:color w:val="000000"/>
          <w:szCs w:val="18"/>
          <w:lang w:val="nl-NL"/>
        </w:rPr>
        <w:t>) dat via de rivieren naar zee blijft stromen</w:t>
      </w:r>
      <w:r w:rsidRPr="00FF5E8B">
        <w:rPr>
          <w:rFonts w:eastAsia="RijksoverheidSerif-Regular" w:cs="RijksoverheidSerif-Regular"/>
          <w:color w:val="000000"/>
          <w:szCs w:val="18"/>
          <w:lang w:val="nl-NL"/>
        </w:rPr>
        <w:t>. Over de exacte omvang van de</w:t>
      </w:r>
      <w:r>
        <w:rPr>
          <w:rFonts w:eastAsia="RijksoverheidSerif-Regular" w:cs="RijksoverheidSerif-Regular"/>
          <w:color w:val="000000"/>
          <w:szCs w:val="18"/>
          <w:lang w:val="nl-NL"/>
        </w:rPr>
        <w:t xml:space="preserve"> bronnen en vrachten </w:t>
      </w:r>
      <w:r w:rsidRPr="00FF5E8B">
        <w:rPr>
          <w:rFonts w:eastAsia="RijksoverheidSerif-Regular" w:cs="RijksoverheidSerif-Regular"/>
          <w:color w:val="000000"/>
          <w:szCs w:val="18"/>
          <w:lang w:val="nl-NL"/>
        </w:rPr>
        <w:t xml:space="preserve">is </w:t>
      </w:r>
      <w:r>
        <w:rPr>
          <w:rFonts w:eastAsia="RijksoverheidSerif-Regular" w:cs="RijksoverheidSerif-Regular"/>
          <w:color w:val="000000"/>
          <w:szCs w:val="18"/>
          <w:lang w:val="nl-NL"/>
        </w:rPr>
        <w:t>ook</w:t>
      </w:r>
      <w:r w:rsidRPr="00FF5E8B">
        <w:rPr>
          <w:rFonts w:eastAsia="RijksoverheidSerif-Regular" w:cs="RijksoverheidSerif-Regular"/>
          <w:color w:val="000000"/>
          <w:szCs w:val="18"/>
          <w:lang w:val="nl-NL"/>
        </w:rPr>
        <w:t xml:space="preserve"> nog weinig bekend</w:t>
      </w:r>
      <w:r>
        <w:rPr>
          <w:rFonts w:eastAsia="RijksoverheidSerif-Regular" w:cs="RijksoverheidSerif-Regular"/>
          <w:color w:val="000000"/>
          <w:szCs w:val="18"/>
          <w:lang w:val="nl-NL"/>
        </w:rPr>
        <w:t xml:space="preserve">. Onderzoek </w:t>
      </w:r>
      <w:r w:rsidRPr="00FF5E8B">
        <w:rPr>
          <w:rFonts w:eastAsia="RijksoverheidSerif-Regular" w:cs="RijksoverheidSerif-Regular"/>
          <w:color w:val="000000"/>
          <w:szCs w:val="18"/>
          <w:lang w:val="nl-NL"/>
        </w:rPr>
        <w:t xml:space="preserve">geeft al wel een eerste indicatie van de omvang van primaire en secundaire bronnen </w:t>
      </w:r>
      <w:r>
        <w:rPr>
          <w:rFonts w:eastAsia="RijksoverheidSerif-Regular" w:cs="RijksoverheidSerif-Regular"/>
          <w:color w:val="000000"/>
          <w:szCs w:val="18"/>
          <w:lang w:val="nl-NL"/>
        </w:rPr>
        <w:t xml:space="preserve">en van de </w:t>
      </w:r>
      <w:r w:rsidRPr="00FF5E8B">
        <w:rPr>
          <w:rFonts w:eastAsia="RijksoverheidSerif-Regular" w:cs="RijksoverheidSerif-Regular"/>
          <w:color w:val="000000"/>
          <w:szCs w:val="18"/>
          <w:lang w:val="nl-NL"/>
        </w:rPr>
        <w:t xml:space="preserve">aanvoer </w:t>
      </w:r>
      <w:r>
        <w:rPr>
          <w:rFonts w:eastAsia="RijksoverheidSerif-Regular" w:cs="RijksoverheidSerif-Regular"/>
          <w:color w:val="000000"/>
          <w:szCs w:val="18"/>
          <w:lang w:val="nl-NL"/>
        </w:rPr>
        <w:t>via</w:t>
      </w:r>
      <w:r w:rsidRPr="00FF5E8B">
        <w:rPr>
          <w:rFonts w:eastAsia="RijksoverheidSerif-Regular" w:cs="RijksoverheidSerif-Regular"/>
          <w:color w:val="000000"/>
          <w:szCs w:val="18"/>
          <w:lang w:val="nl-NL"/>
        </w:rPr>
        <w:t xml:space="preserve"> de Nederlandse rivieren</w:t>
      </w:r>
      <w:r>
        <w:rPr>
          <w:rFonts w:eastAsia="RijksoverheidSerif-Regular" w:cs="RijksoverheidSerif-Regular"/>
          <w:color w:val="000000"/>
          <w:szCs w:val="18"/>
          <w:lang w:val="nl-NL"/>
        </w:rPr>
        <w:t xml:space="preserve">, maar </w:t>
      </w:r>
      <w:r w:rsidRPr="00FF5E8B">
        <w:rPr>
          <w:rFonts w:eastAsia="RijksoverheidSerif-Regular" w:cs="RijksoverheidSerif-Regular"/>
          <w:color w:val="000000"/>
          <w:szCs w:val="18"/>
          <w:lang w:val="nl-NL"/>
        </w:rPr>
        <w:t xml:space="preserve">aanvullend onderzoek </w:t>
      </w:r>
      <w:r>
        <w:rPr>
          <w:rFonts w:eastAsia="RijksoverheidSerif-Regular" w:cs="RijksoverheidSerif-Regular"/>
          <w:color w:val="000000"/>
          <w:szCs w:val="18"/>
          <w:lang w:val="nl-NL"/>
        </w:rPr>
        <w:t xml:space="preserve">is </w:t>
      </w:r>
      <w:r w:rsidRPr="00FF5E8B">
        <w:rPr>
          <w:rFonts w:eastAsia="RijksoverheidSerif-Regular" w:cs="RijksoverheidSerif-Regular"/>
          <w:color w:val="000000"/>
          <w:szCs w:val="18"/>
          <w:lang w:val="nl-NL"/>
        </w:rPr>
        <w:t xml:space="preserve">nog steeds </w:t>
      </w:r>
      <w:r>
        <w:rPr>
          <w:rFonts w:eastAsia="RijksoverheidSerif-Regular" w:cs="RijksoverheidSerif-Regular"/>
          <w:color w:val="000000"/>
          <w:szCs w:val="18"/>
          <w:lang w:val="nl-NL"/>
        </w:rPr>
        <w:t>essentieel</w:t>
      </w:r>
      <w:r w:rsidRPr="00FF5E8B">
        <w:rPr>
          <w:rFonts w:eastAsia="RijksoverheidSerif-Regular" w:cs="RijksoverheidSerif-Regular"/>
          <w:color w:val="000000"/>
          <w:szCs w:val="18"/>
          <w:lang w:val="nl-NL"/>
        </w:rPr>
        <w:t>.</w:t>
      </w:r>
      <w:r>
        <w:rPr>
          <w:rFonts w:eastAsia="RijksoverheidSerif-Regular" w:cs="RijksoverheidSerif-Regular"/>
          <w:color w:val="000000"/>
          <w:szCs w:val="18"/>
          <w:lang w:val="nl-NL"/>
        </w:rPr>
        <w:t xml:space="preserve"> Dat geldt ook voor </w:t>
      </w:r>
      <w:r w:rsidRPr="00FF5E8B">
        <w:rPr>
          <w:rFonts w:eastAsia="RijksoverheidSerif-Regular" w:cs="RijksoverheidSerif-Regular"/>
          <w:color w:val="000000"/>
          <w:szCs w:val="18"/>
          <w:lang w:val="nl-NL"/>
        </w:rPr>
        <w:t xml:space="preserve">de </w:t>
      </w:r>
      <w:r>
        <w:rPr>
          <w:rFonts w:eastAsia="RijksoverheidSerif-Regular" w:cs="RijksoverheidSerif-Regular"/>
          <w:color w:val="000000"/>
          <w:szCs w:val="18"/>
          <w:lang w:val="nl-NL"/>
        </w:rPr>
        <w:t xml:space="preserve">kennis over de </w:t>
      </w:r>
      <w:r w:rsidRPr="00FF5E8B">
        <w:rPr>
          <w:rFonts w:eastAsia="RijksoverheidSerif-Regular" w:cs="RijksoverheidSerif-Regular"/>
          <w:color w:val="000000"/>
          <w:szCs w:val="18"/>
          <w:lang w:val="nl-NL"/>
        </w:rPr>
        <w:t>effecten van microplastics</w:t>
      </w:r>
      <w:r>
        <w:rPr>
          <w:rFonts w:eastAsia="RijksoverheidSerif-Regular" w:cs="RijksoverheidSerif-Regular"/>
          <w:color w:val="000000"/>
          <w:szCs w:val="18"/>
          <w:lang w:val="nl-NL"/>
        </w:rPr>
        <w:t>.</w:t>
      </w:r>
    </w:p>
    <w:p w:rsidRPr="00FF5E8B" w:rsidR="000825B2" w:rsidP="000825B2" w:rsidRDefault="000825B2" w14:paraId="318FFB93" w14:textId="5AB36F74">
      <w:pPr>
        <w:autoSpaceDE w:val="0"/>
        <w:autoSpaceDN w:val="0"/>
        <w:adjustRightInd w:val="0"/>
        <w:spacing w:after="0" w:line="240" w:lineRule="auto"/>
        <w:rPr>
          <w:rFonts w:eastAsia="RijksoverheidSerif-Regular" w:cs="RijksoverheidSerif-Regular"/>
          <w:b/>
          <w:color w:val="000000"/>
          <w:szCs w:val="18"/>
          <w:lang w:val="nl-NL"/>
        </w:rPr>
      </w:pPr>
      <w:r w:rsidRPr="00FF5E8B">
        <w:rPr>
          <w:rFonts w:eastAsia="RijksoverheidSerif-Regular" w:cs="RijksoverheidSerif-Regular"/>
          <w:color w:val="000000"/>
          <w:szCs w:val="18"/>
          <w:lang w:val="nl-NL"/>
        </w:rPr>
        <w:t xml:space="preserve">De monitoringgegevens en de beoordeling wijzen op </w:t>
      </w:r>
      <w:r>
        <w:rPr>
          <w:rFonts w:eastAsia="RijksoverheidSerif-Regular" w:cs="RijksoverheidSerif-Regular"/>
          <w:color w:val="000000"/>
          <w:szCs w:val="18"/>
          <w:lang w:val="nl-NL"/>
        </w:rPr>
        <w:t xml:space="preserve">verdere </w:t>
      </w:r>
      <w:r w:rsidRPr="00FF5E8B">
        <w:rPr>
          <w:rFonts w:eastAsia="RijksoverheidSerif-Regular" w:cs="RijksoverheidSerif-Regular"/>
          <w:color w:val="000000"/>
          <w:szCs w:val="18"/>
          <w:lang w:val="nl-NL"/>
        </w:rPr>
        <w:t xml:space="preserve">afname van zwerfvuil in het Nederlands deel van de Noordzee. Naar verwachting hebben het bestaande beleid, de (voorgenomen) maatregelen en initiatieven vanuit de maatschappij tot resultaat dat deze trend doorzet. </w:t>
      </w:r>
      <w:r>
        <w:rPr>
          <w:rFonts w:eastAsia="RijksoverheidSerif-Regular" w:cs="RijksoverheidSerif-Regular"/>
          <w:color w:val="000000"/>
          <w:szCs w:val="18"/>
          <w:lang w:val="nl-NL"/>
        </w:rPr>
        <w:t xml:space="preserve">De </w:t>
      </w:r>
      <w:r w:rsidRPr="00FF5E8B">
        <w:rPr>
          <w:rFonts w:eastAsia="RijksoverheidSerif-Regular" w:cs="RijksoverheidSerif-Regular"/>
          <w:color w:val="000000"/>
          <w:szCs w:val="18"/>
          <w:lang w:val="nl-NL"/>
        </w:rPr>
        <w:t xml:space="preserve">effectiviteit en het tempo van de maatregelen </w:t>
      </w:r>
      <w:r>
        <w:rPr>
          <w:rFonts w:eastAsia="RijksoverheidSerif-Regular" w:cs="RijksoverheidSerif-Regular"/>
          <w:color w:val="000000"/>
          <w:szCs w:val="18"/>
          <w:lang w:val="nl-NL"/>
        </w:rPr>
        <w:t>is echter nog niet goed aan te tonen. D</w:t>
      </w:r>
      <w:r w:rsidRPr="00FF5E8B">
        <w:rPr>
          <w:rFonts w:eastAsia="RijksoverheidSerif-Regular" w:cs="RijksoverheidSerif-Regular"/>
          <w:color w:val="000000"/>
          <w:szCs w:val="18"/>
          <w:lang w:val="nl-NL"/>
        </w:rPr>
        <w:t>aarom</w:t>
      </w:r>
      <w:r>
        <w:rPr>
          <w:rFonts w:eastAsia="RijksoverheidSerif-Regular" w:cs="RijksoverheidSerif-Regular"/>
          <w:color w:val="000000"/>
          <w:szCs w:val="18"/>
          <w:lang w:val="nl-NL"/>
        </w:rPr>
        <w:t xml:space="preserve"> is in de Mariene Strategie deel 1 (2018)</w:t>
      </w:r>
      <w:r w:rsidR="00DD4F15">
        <w:rPr>
          <w:rFonts w:eastAsia="RijksoverheidSerif-Regular" w:cs="RijksoverheidSerif-Regular"/>
          <w:color w:val="000000"/>
          <w:szCs w:val="18"/>
          <w:lang w:val="nl-NL"/>
        </w:rPr>
        <w:t xml:space="preserve"> [11]</w:t>
      </w:r>
      <w:r>
        <w:rPr>
          <w:rFonts w:eastAsia="RijksoverheidSerif-Regular" w:cs="RijksoverheidSerif-Regular"/>
          <w:color w:val="000000"/>
          <w:szCs w:val="18"/>
          <w:lang w:val="nl-NL"/>
        </w:rPr>
        <w:t xml:space="preserve"> </w:t>
      </w:r>
      <w:r w:rsidRPr="00FF5E8B">
        <w:rPr>
          <w:rFonts w:eastAsia="RijksoverheidSerif-Regular" w:cs="RijksoverheidSerif-Regular"/>
          <w:color w:val="000000"/>
          <w:szCs w:val="18"/>
          <w:lang w:val="nl-NL"/>
        </w:rPr>
        <w:t xml:space="preserve">besloten de </w:t>
      </w:r>
      <w:r w:rsidRPr="00682276">
        <w:rPr>
          <w:rFonts w:eastAsia="RijksoverheidSerif-Regular" w:cs="RijksoverheidSerif-Regular"/>
          <w:color w:val="000000"/>
          <w:szCs w:val="18"/>
          <w:lang w:val="nl-NL"/>
        </w:rPr>
        <w:t>beleidsinzet uit 2012 voort te zetten. Wel is aanpassing en/of aanvulling van maatregelen nodig</w:t>
      </w:r>
      <w:r>
        <w:rPr>
          <w:rFonts w:eastAsia="RijksoverheidSerif-Regular" w:cs="RijksoverheidSerif-Regular"/>
          <w:color w:val="000000"/>
          <w:szCs w:val="18"/>
          <w:lang w:val="nl-NL"/>
        </w:rPr>
        <w:t xml:space="preserve"> en moet rekening worden gehouden met de implementatie van ander beleid dat bijdraagt aan de KRM-doelen, zoals de SUP-richtlijn.</w:t>
      </w:r>
    </w:p>
    <w:p w:rsidR="000825B2" w:rsidP="000825B2" w:rsidRDefault="000825B2" w14:paraId="7BB313C2" w14:textId="77777777">
      <w:pPr>
        <w:pStyle w:val="TOCHeading"/>
      </w:pPr>
      <w:r>
        <w:t xml:space="preserve">Aangepaste en aanvullende maatregelen </w:t>
      </w:r>
    </w:p>
    <w:p w:rsidR="000825B2" w:rsidP="000825B2" w:rsidRDefault="000825B2" w14:paraId="200A061F" w14:textId="77777777">
      <w:pPr>
        <w:spacing w:after="0" w:line="240" w:lineRule="auto"/>
        <w:rPr>
          <w:rFonts w:ascii="Times New Roman" w:hAnsi="Times New Roman" w:cs="Times New Roman"/>
          <w:sz w:val="24"/>
          <w:szCs w:val="24"/>
          <w:lang w:val="nl-NL" w:eastAsia="nl-NL"/>
        </w:rPr>
      </w:pPr>
      <w:r>
        <w:rPr>
          <w:lang w:val="nl-NL"/>
        </w:rPr>
        <w:t xml:space="preserve">In deze paragraaf worden per cluster de aangepaste en aanvullende maatregelen uiteengezet. Diverse maatregelen en acties die onder het vorige programma van maatregelen in gang zijn gezet, worden </w:t>
      </w:r>
      <w:r w:rsidRPr="000E20E3">
        <w:rPr>
          <w:lang w:val="nl-NL"/>
        </w:rPr>
        <w:t>in de komende jaren</w:t>
      </w:r>
      <w:r>
        <w:rPr>
          <w:lang w:val="nl-NL"/>
        </w:rPr>
        <w:t xml:space="preserve"> in aangepaste vorm gecontinueerd. Daarnaast worden voor de meeste clusters ook nieuwe aanvullende maatregelen getroffen. Dit zijn nieuwe programma’s of acties die nodig zijn om de verontreiniging door zwerfvuil verder te verminderen en daarmee bij te dragen aan het bereiken van een betere milieutoestand. Nationale en internationale samenwerking tussen overheden, bedrijfs</w:t>
      </w:r>
      <w:r w:rsidRPr="00124C64">
        <w:rPr>
          <w:lang w:val="nl-NL"/>
        </w:rPr>
        <w:t xml:space="preserve">leven, kennisinstituten en maatschappelijke organisaties </w:t>
      </w:r>
      <w:r>
        <w:rPr>
          <w:lang w:val="nl-NL"/>
        </w:rPr>
        <w:t>is hierbij essentieel</w:t>
      </w:r>
      <w:r w:rsidRPr="00124C64">
        <w:rPr>
          <w:lang w:val="nl-NL"/>
        </w:rPr>
        <w:t>.</w:t>
      </w:r>
      <w:r>
        <w:rPr>
          <w:lang w:val="nl-NL"/>
        </w:rPr>
        <w:t xml:space="preserve"> </w:t>
      </w:r>
      <w:r w:rsidRPr="000C2DCD">
        <w:rPr>
          <w:lang w:val="nl-NL"/>
        </w:rPr>
        <w:t>Voor een effectieve implementatie van de maatregelen zullen verwachte resultaten, indicatoren en tijdlijnen nog verder uitgewerkt worden</w:t>
      </w:r>
      <w:r>
        <w:rPr>
          <w:lang w:val="nl-NL"/>
        </w:rPr>
        <w:t>. Naast de maatregelen die hieronder per cluster worden toegelicht, wordt er ook gewerkt aan een herziene regeling voor het opruimen van kustverontreiniging na maritieme ongevallen, met het doel om milieuschade te minimaliseren</w:t>
      </w:r>
      <w:r>
        <w:rPr>
          <w:rStyle w:val="FootnoteReference"/>
          <w:lang w:val="nl-NL"/>
        </w:rPr>
        <w:footnoteReference w:id="16"/>
      </w:r>
      <w:r>
        <w:rPr>
          <w:lang w:val="nl-NL"/>
        </w:rPr>
        <w:t>.</w:t>
      </w:r>
      <w:r>
        <w:rPr>
          <w:rFonts w:ascii="Times New Roman" w:hAnsi="Times New Roman" w:cs="Times New Roman"/>
          <w:sz w:val="24"/>
          <w:szCs w:val="24"/>
          <w:lang w:val="nl-NL" w:eastAsia="nl-NL"/>
        </w:rPr>
        <w:t xml:space="preserve"> </w:t>
      </w:r>
    </w:p>
    <w:p w:rsidR="000825B2" w:rsidP="000825B2" w:rsidRDefault="000825B2" w14:paraId="3B99847D" w14:textId="77777777">
      <w:pPr>
        <w:spacing w:before="40" w:after="0"/>
        <w:rPr>
          <w:lang w:val="nl-NL"/>
        </w:rPr>
      </w:pPr>
    </w:p>
    <w:p w:rsidR="000825B2" w:rsidP="000825B2" w:rsidRDefault="000825B2" w14:paraId="0B7C9637" w14:textId="0DF93D1D">
      <w:pPr>
        <w:spacing w:before="40" w:after="0"/>
        <w:rPr>
          <w:lang w:val="nl-NL"/>
        </w:rPr>
      </w:pPr>
      <w:r>
        <w:rPr>
          <w:lang w:val="nl-NL"/>
        </w:rPr>
        <w:t xml:space="preserve">Op veel terreinen nemen publieke en private partijen actie om de problematiek van zwerfvuil in zee op te lossen. Het programma van maatregelen vult al bestaande initiatieven en beleid zo veel mogelijk aan, om zo de hoeveelheid marien zwerfvuil te verminderen. De beleidscontext is snel veranderd, onder andere door de implementatie van de SUP-richtlijn en uitvoering van het beleidsprogramma microplastics. Het is belangrijk om regelmatig te toetsen of aanpassingen of aanvullingen in de doelstellingen en maatregelen van de KRM nodig zijn (adaptief management). </w:t>
      </w:r>
    </w:p>
    <w:p w:rsidR="000825B2" w:rsidP="000825B2" w:rsidRDefault="000825B2" w14:paraId="459B778C" w14:textId="77777777">
      <w:pPr>
        <w:spacing w:before="40" w:after="0"/>
        <w:rPr>
          <w:lang w:val="nl-NL"/>
        </w:rPr>
      </w:pPr>
    </w:p>
    <w:p w:rsidRPr="00A8638C" w:rsidR="000825B2" w:rsidP="000825B2" w:rsidRDefault="000825B2" w14:paraId="78461F35" w14:textId="77777777">
      <w:pPr>
        <w:spacing w:before="40" w:after="0"/>
        <w:rPr>
          <w:rStyle w:val="IntenseEmphasis"/>
          <w:lang w:val="nl-NL"/>
        </w:rPr>
      </w:pPr>
      <w:r w:rsidRPr="00A8638C">
        <w:rPr>
          <w:rStyle w:val="IntenseEmphasis"/>
          <w:lang w:val="nl-NL"/>
        </w:rPr>
        <w:t>Stranden</w:t>
      </w:r>
    </w:p>
    <w:p w:rsidRPr="00673D7B" w:rsidR="000825B2" w:rsidP="000825B2" w:rsidRDefault="000825B2" w14:paraId="5EEAA6DC" w14:textId="7544EB52">
      <w:pPr>
        <w:spacing w:before="40" w:after="0"/>
        <w:rPr>
          <w:lang w:val="nl-NL"/>
        </w:rPr>
      </w:pPr>
      <w:r>
        <w:rPr>
          <w:lang w:val="nl-NL"/>
        </w:rPr>
        <w:t xml:space="preserve">De aanpak van zwerfvuil dat vanuit stranden in zee terecht komt bouwt voort op de ervaringen en het netwerk van de </w:t>
      </w:r>
      <w:r w:rsidRPr="000F1144">
        <w:rPr>
          <w:i/>
          <w:lang w:val="nl-NL"/>
        </w:rPr>
        <w:t>Green Deal</w:t>
      </w:r>
      <w:r>
        <w:rPr>
          <w:lang w:val="nl-NL"/>
        </w:rPr>
        <w:t xml:space="preserve"> Schone Stranden. Op enkele acties wordt aanvullend ingezet. </w:t>
      </w:r>
      <w:r w:rsidRPr="00C019A1">
        <w:rPr>
          <w:lang w:val="nl-NL"/>
        </w:rPr>
        <w:t>De maatregelen voor de a</w:t>
      </w:r>
      <w:r>
        <w:rPr>
          <w:lang w:val="nl-NL"/>
        </w:rPr>
        <w:t xml:space="preserve">anpak van strandafval zullen naar verwachting leiden tot een verdere afname in de hoeveelheid afval op toeristische stranden, onder andere door de beschikbaarheid van kwalitatief goede afvalvoorzieningen bij de meeste strandpaviljoens. </w:t>
      </w:r>
    </w:p>
    <w:p w:rsidR="000825B2" w:rsidP="000825B2" w:rsidRDefault="000825B2" w14:paraId="6B101BF0" w14:textId="77777777">
      <w:pPr>
        <w:spacing w:before="40" w:after="0"/>
        <w:rPr>
          <w:i/>
          <w:lang w:val="nl-NL"/>
        </w:rPr>
      </w:pPr>
      <w:r w:rsidRPr="00A02727">
        <w:rPr>
          <w:i/>
          <w:lang w:val="nl-NL"/>
        </w:rPr>
        <w:t>Aangepast</w:t>
      </w:r>
      <w:r>
        <w:rPr>
          <w:i/>
          <w:lang w:val="nl-NL"/>
        </w:rPr>
        <w:t>e</w:t>
      </w:r>
      <w:r w:rsidRPr="00A02727">
        <w:rPr>
          <w:i/>
          <w:lang w:val="nl-NL"/>
        </w:rPr>
        <w:t xml:space="preserve"> maatregelen</w:t>
      </w:r>
    </w:p>
    <w:p w:rsidR="000825B2" w:rsidP="000825B2" w:rsidRDefault="000825B2" w14:paraId="640CB41B" w14:textId="77777777">
      <w:pPr>
        <w:rPr>
          <w:lang w:val="nl-NL"/>
        </w:rPr>
      </w:pPr>
      <w:r>
        <w:rPr>
          <w:lang w:val="nl-NL"/>
        </w:rPr>
        <w:t>D</w:t>
      </w:r>
      <w:r w:rsidRPr="003F484B">
        <w:rPr>
          <w:lang w:val="nl-NL"/>
        </w:rPr>
        <w:t xml:space="preserve">e </w:t>
      </w:r>
      <w:r w:rsidRPr="00AF1E71">
        <w:rPr>
          <w:i/>
          <w:iCs/>
          <w:lang w:val="nl-NL"/>
        </w:rPr>
        <w:t>Green Deal</w:t>
      </w:r>
      <w:r>
        <w:rPr>
          <w:lang w:val="nl-NL"/>
        </w:rPr>
        <w:t xml:space="preserve"> Schone stranden is</w:t>
      </w:r>
      <w:r w:rsidRPr="003F484B">
        <w:rPr>
          <w:lang w:val="nl-NL"/>
        </w:rPr>
        <w:t xml:space="preserve"> vervangen door een Programma</w:t>
      </w:r>
      <w:r>
        <w:rPr>
          <w:lang w:val="nl-NL"/>
        </w:rPr>
        <w:t xml:space="preserve"> Schone</w:t>
      </w:r>
      <w:r w:rsidRPr="003F484B">
        <w:rPr>
          <w:lang w:val="nl-NL"/>
        </w:rPr>
        <w:t xml:space="preserve"> Stranden</w:t>
      </w:r>
      <w:r>
        <w:rPr>
          <w:lang w:val="nl-NL"/>
        </w:rPr>
        <w:t>.</w:t>
      </w:r>
      <w:r w:rsidRPr="003F484B">
        <w:rPr>
          <w:lang w:val="nl-NL"/>
        </w:rPr>
        <w:t xml:space="preserve"> </w:t>
      </w:r>
      <w:r>
        <w:rPr>
          <w:lang w:val="nl-NL"/>
        </w:rPr>
        <w:t xml:space="preserve">Dit programma richt zich op kennisuitwisseling, ondersteuning van samenwerkingsprojecten en verbetering van de lokale samenwerking tussen gemeenten en ondernemers. De volgende </w:t>
      </w:r>
      <w:r w:rsidRPr="003F484B">
        <w:rPr>
          <w:lang w:val="nl-NL"/>
        </w:rPr>
        <w:t>set van maatregelen</w:t>
      </w:r>
      <w:r>
        <w:rPr>
          <w:lang w:val="nl-NL"/>
        </w:rPr>
        <w:t xml:space="preserve"> moet leiden</w:t>
      </w:r>
      <w:r w:rsidRPr="003F484B">
        <w:rPr>
          <w:lang w:val="nl-NL"/>
        </w:rPr>
        <w:t xml:space="preserve"> </w:t>
      </w:r>
      <w:r>
        <w:rPr>
          <w:lang w:val="nl-NL"/>
        </w:rPr>
        <w:t xml:space="preserve">tot </w:t>
      </w:r>
      <w:r w:rsidRPr="003F484B">
        <w:rPr>
          <w:lang w:val="nl-NL"/>
        </w:rPr>
        <w:t xml:space="preserve">het structureel schoon houden van </w:t>
      </w:r>
      <w:r>
        <w:rPr>
          <w:lang w:val="nl-NL"/>
        </w:rPr>
        <w:t xml:space="preserve">de Nederlandse </w:t>
      </w:r>
      <w:r w:rsidRPr="003F484B">
        <w:rPr>
          <w:lang w:val="nl-NL"/>
        </w:rPr>
        <w:t>stranden</w:t>
      </w:r>
      <w:r>
        <w:rPr>
          <w:lang w:val="nl-NL"/>
        </w:rPr>
        <w:t>.</w:t>
      </w:r>
      <w:r w:rsidRPr="003F484B">
        <w:rPr>
          <w:lang w:val="nl-NL"/>
        </w:rPr>
        <w:t xml:space="preserve"> </w:t>
      </w:r>
    </w:p>
    <w:p w:rsidRPr="00C91364" w:rsidR="000825B2" w:rsidP="000825B2" w:rsidRDefault="000825B2" w14:paraId="56665BA1" w14:textId="77777777">
      <w:pPr>
        <w:numPr>
          <w:ilvl w:val="0"/>
          <w:numId w:val="4"/>
        </w:numPr>
        <w:spacing w:line="240" w:lineRule="exact"/>
        <w:contextualSpacing/>
        <w:rPr>
          <w:lang w:val="nl-NL"/>
        </w:rPr>
      </w:pPr>
      <w:r>
        <w:rPr>
          <w:lang w:val="nl-NL"/>
        </w:rPr>
        <w:t>Bijstelling/ verfijning en u</w:t>
      </w:r>
      <w:r w:rsidRPr="00716973">
        <w:rPr>
          <w:lang w:val="nl-NL"/>
        </w:rPr>
        <w:t>itvoering</w:t>
      </w:r>
      <w:r w:rsidRPr="00AF1E71">
        <w:rPr>
          <w:lang w:val="nl-NL"/>
        </w:rPr>
        <w:t xml:space="preserve"> </w:t>
      </w:r>
      <w:r w:rsidRPr="005B5F0C">
        <w:rPr>
          <w:lang w:val="nl-NL"/>
        </w:rPr>
        <w:t xml:space="preserve">van </w:t>
      </w:r>
      <w:r>
        <w:rPr>
          <w:lang w:val="nl-NL"/>
        </w:rPr>
        <w:t xml:space="preserve">de </w:t>
      </w:r>
      <w:r w:rsidRPr="00AF1E71">
        <w:rPr>
          <w:lang w:val="nl-NL"/>
        </w:rPr>
        <w:t>monitoring</w:t>
      </w:r>
      <w:r w:rsidRPr="00AF1E71">
        <w:rPr>
          <w:iCs/>
          <w:lang w:val="nl-NL"/>
        </w:rPr>
        <w:t xml:space="preserve"> </w:t>
      </w:r>
      <w:r>
        <w:rPr>
          <w:iCs/>
          <w:lang w:val="nl-NL"/>
        </w:rPr>
        <w:t>van toeristen</w:t>
      </w:r>
      <w:r w:rsidRPr="00AF1E71">
        <w:rPr>
          <w:iCs/>
          <w:lang w:val="nl-NL"/>
        </w:rPr>
        <w:t>stranden</w:t>
      </w:r>
      <w:r>
        <w:rPr>
          <w:lang w:val="nl-NL"/>
        </w:rPr>
        <w:t xml:space="preserve">. Hierbij wordt ook geprobeerd zicht te krijgen op het door de beheerders opgeruimde en afgevoerde afval. </w:t>
      </w:r>
      <w:r w:rsidRPr="00C91364">
        <w:rPr>
          <w:lang w:val="nl-NL"/>
        </w:rPr>
        <w:t xml:space="preserve">Deze monitoring is </w:t>
      </w:r>
      <w:r>
        <w:rPr>
          <w:lang w:val="nl-NL"/>
        </w:rPr>
        <w:t>gekoppeld aan</w:t>
      </w:r>
      <w:r w:rsidRPr="00C91364">
        <w:rPr>
          <w:lang w:val="nl-NL"/>
        </w:rPr>
        <w:t xml:space="preserve"> de jaarlijkse publicatie Schone Stranden.</w:t>
      </w:r>
      <w:r>
        <w:rPr>
          <w:lang w:val="nl-NL"/>
        </w:rPr>
        <w:t xml:space="preserve"> De resultaten zijn per gemeente/opgang en paviljoen beschikbaar op </w:t>
      </w:r>
      <w:hyperlink w:history="1" r:id="rId20">
        <w:r w:rsidRPr="0081677A">
          <w:rPr>
            <w:rStyle w:val="Hyperlink"/>
            <w:lang w:val="nl-NL"/>
          </w:rPr>
          <w:t>www.strandinspecties.nl</w:t>
        </w:r>
      </w:hyperlink>
      <w:r>
        <w:rPr>
          <w:lang w:val="nl-NL"/>
        </w:rPr>
        <w:t xml:space="preserve">. De gemeenten en paviljoens gebruiken de door de strandinspecties verzamelde resultaten voor het nemen van aanvullende acties.  </w:t>
      </w:r>
    </w:p>
    <w:p w:rsidRPr="00C91364" w:rsidR="000825B2" w:rsidP="000825B2" w:rsidRDefault="000825B2" w14:paraId="2FD617F1" w14:textId="77777777">
      <w:pPr>
        <w:numPr>
          <w:ilvl w:val="0"/>
          <w:numId w:val="4"/>
        </w:numPr>
        <w:spacing w:line="240" w:lineRule="exact"/>
        <w:contextualSpacing/>
        <w:rPr>
          <w:lang w:val="nl-NL"/>
        </w:rPr>
      </w:pPr>
      <w:r w:rsidRPr="00C91364">
        <w:rPr>
          <w:lang w:val="nl-NL"/>
        </w:rPr>
        <w:t xml:space="preserve">Om de </w:t>
      </w:r>
      <w:r w:rsidRPr="00AF1E71">
        <w:rPr>
          <w:iCs/>
          <w:lang w:val="nl-NL"/>
        </w:rPr>
        <w:t>kennisuitwisseling</w:t>
      </w:r>
      <w:r w:rsidRPr="005B5F0C">
        <w:rPr>
          <w:iCs/>
          <w:lang w:val="nl-NL"/>
        </w:rPr>
        <w:t xml:space="preserve"> </w:t>
      </w:r>
      <w:r w:rsidRPr="00C91364">
        <w:rPr>
          <w:lang w:val="nl-NL"/>
        </w:rPr>
        <w:t>tussen verschillende organisaties te bevorderen</w:t>
      </w:r>
      <w:r>
        <w:rPr>
          <w:lang w:val="nl-NL"/>
        </w:rPr>
        <w:t>,</w:t>
      </w:r>
      <w:r w:rsidRPr="00C91364">
        <w:rPr>
          <w:lang w:val="nl-NL"/>
        </w:rPr>
        <w:t xml:space="preserve"> worden jaarlijks kennissessies georganiseerd voor </w:t>
      </w:r>
      <w:r>
        <w:rPr>
          <w:lang w:val="nl-NL"/>
        </w:rPr>
        <w:t>de</w:t>
      </w:r>
      <w:r w:rsidRPr="00C91364">
        <w:rPr>
          <w:lang w:val="nl-NL"/>
        </w:rPr>
        <w:t xml:space="preserve"> doelgroepen strandgemeenten en andere beheerders, paviljoenhouders en </w:t>
      </w:r>
      <w:r>
        <w:rPr>
          <w:lang w:val="nl-NL"/>
        </w:rPr>
        <w:t>ngo</w:t>
      </w:r>
      <w:r w:rsidRPr="00C91364">
        <w:rPr>
          <w:lang w:val="nl-NL"/>
        </w:rPr>
        <w:t>’s/vrijwilligersorganisaties.</w:t>
      </w:r>
    </w:p>
    <w:p w:rsidRPr="00C91364" w:rsidR="000825B2" w:rsidP="000825B2" w:rsidRDefault="000825B2" w14:paraId="436133F8" w14:textId="77777777">
      <w:pPr>
        <w:numPr>
          <w:ilvl w:val="0"/>
          <w:numId w:val="4"/>
        </w:numPr>
        <w:spacing w:line="240" w:lineRule="exact"/>
        <w:contextualSpacing/>
        <w:rPr>
          <w:lang w:val="nl-NL"/>
        </w:rPr>
      </w:pPr>
      <w:r w:rsidRPr="00AF1E71">
        <w:rPr>
          <w:iCs/>
          <w:lang w:val="nl-NL"/>
        </w:rPr>
        <w:t xml:space="preserve">Maatwerkadvisering </w:t>
      </w:r>
      <w:r>
        <w:rPr>
          <w:iCs/>
          <w:lang w:val="nl-NL"/>
        </w:rPr>
        <w:t>aan kust</w:t>
      </w:r>
      <w:r w:rsidRPr="00AF1E71">
        <w:rPr>
          <w:iCs/>
          <w:lang w:val="nl-NL"/>
        </w:rPr>
        <w:t>gemeenten</w:t>
      </w:r>
      <w:r w:rsidRPr="00C91364">
        <w:rPr>
          <w:lang w:val="nl-NL"/>
        </w:rPr>
        <w:t>: ondersteuning</w:t>
      </w:r>
      <w:r>
        <w:rPr>
          <w:lang w:val="nl-NL"/>
        </w:rPr>
        <w:t xml:space="preserve"> van</w:t>
      </w:r>
      <w:r w:rsidRPr="00C91364">
        <w:rPr>
          <w:lang w:val="nl-NL"/>
        </w:rPr>
        <w:t xml:space="preserve"> en kennisoverdracht </w:t>
      </w:r>
      <w:r>
        <w:rPr>
          <w:lang w:val="nl-NL"/>
        </w:rPr>
        <w:t>aan</w:t>
      </w:r>
      <w:r w:rsidRPr="00C91364">
        <w:rPr>
          <w:lang w:val="nl-NL"/>
        </w:rPr>
        <w:t xml:space="preserve"> gemeentelijke beheerders </w:t>
      </w:r>
      <w:r>
        <w:rPr>
          <w:lang w:val="nl-NL"/>
        </w:rPr>
        <w:t xml:space="preserve">en paviljoens </w:t>
      </w:r>
      <w:r w:rsidRPr="00C91364">
        <w:rPr>
          <w:lang w:val="nl-NL"/>
        </w:rPr>
        <w:t>die daar behoefte aan hebben.</w:t>
      </w:r>
      <w:r>
        <w:rPr>
          <w:lang w:val="nl-NL"/>
        </w:rPr>
        <w:t xml:space="preserve"> Dit wordt onder andere gedaan door adviezen hoe gedrag beïnvloed kan worden, een checklist en het aanspreken en adviseren van minder goed - presterende gemeenten en paviljoens. </w:t>
      </w:r>
    </w:p>
    <w:p w:rsidRPr="00716973" w:rsidR="000825B2" w:rsidP="000825B2" w:rsidRDefault="000825B2" w14:paraId="03138C83" w14:textId="079EBE33">
      <w:pPr>
        <w:numPr>
          <w:ilvl w:val="0"/>
          <w:numId w:val="4"/>
        </w:numPr>
        <w:spacing w:line="240" w:lineRule="exact"/>
        <w:contextualSpacing/>
        <w:rPr>
          <w:lang w:val="nl-NL"/>
        </w:rPr>
      </w:pPr>
      <w:r w:rsidRPr="00AF1E71">
        <w:rPr>
          <w:iCs/>
          <w:lang w:val="nl-NL"/>
        </w:rPr>
        <w:t>Ondersteunen van</w:t>
      </w:r>
      <w:r w:rsidRPr="004057E2">
        <w:rPr>
          <w:iCs/>
          <w:lang w:val="nl-NL"/>
        </w:rPr>
        <w:t xml:space="preserve"> </w:t>
      </w:r>
      <w:r w:rsidRPr="00AF1E71">
        <w:rPr>
          <w:iCs/>
          <w:lang w:val="nl-NL"/>
        </w:rPr>
        <w:t>gemeenten</w:t>
      </w:r>
      <w:r>
        <w:rPr>
          <w:iCs/>
          <w:lang w:val="nl-NL"/>
        </w:rPr>
        <w:t>,</w:t>
      </w:r>
      <w:r w:rsidRPr="00AF1E71">
        <w:rPr>
          <w:iCs/>
          <w:lang w:val="nl-NL"/>
        </w:rPr>
        <w:t xml:space="preserve"> paviljoenhouders </w:t>
      </w:r>
      <w:r>
        <w:rPr>
          <w:iCs/>
          <w:lang w:val="nl-NL"/>
        </w:rPr>
        <w:t>en NGO’s</w:t>
      </w:r>
      <w:r w:rsidRPr="00AF1E71">
        <w:rPr>
          <w:iCs/>
          <w:lang w:val="nl-NL"/>
        </w:rPr>
        <w:t xml:space="preserve"> bij innovatieve pilots</w:t>
      </w:r>
      <w:r>
        <w:rPr>
          <w:iCs/>
          <w:lang w:val="nl-NL"/>
        </w:rPr>
        <w:t xml:space="preserve"> voor het schoonhouden van stranden</w:t>
      </w:r>
      <w:r>
        <w:rPr>
          <w:lang w:val="nl-NL"/>
        </w:rPr>
        <w:t>.</w:t>
      </w:r>
      <w:r w:rsidRPr="00716973">
        <w:rPr>
          <w:lang w:val="nl-NL"/>
        </w:rPr>
        <w:t xml:space="preserve"> </w:t>
      </w:r>
    </w:p>
    <w:p w:rsidRPr="00C91364" w:rsidR="000825B2" w:rsidP="000825B2" w:rsidRDefault="000825B2" w14:paraId="200221C8" w14:textId="77777777">
      <w:pPr>
        <w:numPr>
          <w:ilvl w:val="0"/>
          <w:numId w:val="4"/>
        </w:numPr>
        <w:spacing w:line="240" w:lineRule="exact"/>
        <w:contextualSpacing/>
        <w:rPr>
          <w:lang w:val="nl-NL"/>
        </w:rPr>
      </w:pPr>
      <w:r>
        <w:rPr>
          <w:lang w:val="nl-NL"/>
        </w:rPr>
        <w:t>Beïnvloeden van</w:t>
      </w:r>
      <w:r w:rsidRPr="00C91364">
        <w:rPr>
          <w:lang w:val="nl-NL"/>
        </w:rPr>
        <w:t xml:space="preserve"> </w:t>
      </w:r>
      <w:r w:rsidRPr="00AF1E71">
        <w:rPr>
          <w:iCs/>
          <w:lang w:val="nl-NL"/>
        </w:rPr>
        <w:t xml:space="preserve">gedrag en </w:t>
      </w:r>
      <w:r>
        <w:rPr>
          <w:iCs/>
          <w:lang w:val="nl-NL"/>
        </w:rPr>
        <w:t>motiveren tot participatie, onder andere door middel van beloningsapps.</w:t>
      </w:r>
      <w:r w:rsidRPr="00C91364">
        <w:rPr>
          <w:lang w:val="nl-NL"/>
        </w:rPr>
        <w:t xml:space="preserve"> </w:t>
      </w:r>
      <w:r>
        <w:rPr>
          <w:lang w:val="nl-NL"/>
        </w:rPr>
        <w:t xml:space="preserve">Doel is </w:t>
      </w:r>
      <w:r w:rsidRPr="008064A1">
        <w:rPr>
          <w:lang w:val="nl-NL"/>
        </w:rPr>
        <w:t xml:space="preserve">de grote aantallen bezoekers </w:t>
      </w:r>
      <w:r>
        <w:rPr>
          <w:lang w:val="nl-NL"/>
        </w:rPr>
        <w:t xml:space="preserve">tijdens hun bezoek te doordringen van het belang van het schoonhouden van onze stranden, en daardoor hun </w:t>
      </w:r>
      <w:r w:rsidRPr="00C91364">
        <w:rPr>
          <w:lang w:val="nl-NL"/>
        </w:rPr>
        <w:t xml:space="preserve">gedrag, beleving en </w:t>
      </w:r>
      <w:r>
        <w:rPr>
          <w:lang w:val="nl-NL"/>
        </w:rPr>
        <w:t xml:space="preserve">participatie te </w:t>
      </w:r>
      <w:r w:rsidRPr="00C91364">
        <w:rPr>
          <w:lang w:val="nl-NL"/>
        </w:rPr>
        <w:t>beïnvloeden</w:t>
      </w:r>
      <w:r>
        <w:rPr>
          <w:lang w:val="nl-NL"/>
        </w:rPr>
        <w:t xml:space="preserve">. Dat zal bewust en onbewust </w:t>
      </w:r>
      <w:r w:rsidRPr="00C91364">
        <w:rPr>
          <w:lang w:val="nl-NL"/>
        </w:rPr>
        <w:t xml:space="preserve">ook invloed hebben op hun </w:t>
      </w:r>
      <w:r>
        <w:rPr>
          <w:lang w:val="nl-NL"/>
        </w:rPr>
        <w:t xml:space="preserve">bereidheid om </w:t>
      </w:r>
      <w:r w:rsidRPr="00C91364">
        <w:rPr>
          <w:lang w:val="nl-NL"/>
        </w:rPr>
        <w:t>in hun eigen woon- en werkomgeving</w:t>
      </w:r>
      <w:r>
        <w:rPr>
          <w:lang w:val="nl-NL"/>
        </w:rPr>
        <w:t xml:space="preserve"> bij te dragen aan het voorkomen van zwerfvuil.</w:t>
      </w:r>
    </w:p>
    <w:p w:rsidRPr="0096777C" w:rsidR="000825B2" w:rsidP="00BA1F6B" w:rsidRDefault="000825B2" w14:paraId="26595588" w14:textId="5B017370">
      <w:pPr>
        <w:spacing w:line="240" w:lineRule="exact"/>
        <w:ind w:left="360"/>
        <w:contextualSpacing/>
        <w:rPr>
          <w:lang w:val="nl-NL"/>
        </w:rPr>
      </w:pPr>
      <w:r w:rsidRPr="00C91364">
        <w:rPr>
          <w:lang w:val="nl-NL"/>
        </w:rPr>
        <w:t xml:space="preserve">Een </w:t>
      </w:r>
      <w:r>
        <w:rPr>
          <w:lang w:val="nl-NL"/>
        </w:rPr>
        <w:t>kennis</w:t>
      </w:r>
      <w:r w:rsidRPr="00C91364">
        <w:rPr>
          <w:lang w:val="nl-NL"/>
        </w:rPr>
        <w:t xml:space="preserve">bijdrage </w:t>
      </w:r>
      <w:r>
        <w:rPr>
          <w:lang w:val="nl-NL"/>
        </w:rPr>
        <w:t>over het schoonhouden van stranden</w:t>
      </w:r>
      <w:r w:rsidRPr="00C91364">
        <w:rPr>
          <w:lang w:val="nl-NL"/>
        </w:rPr>
        <w:t xml:space="preserve"> aan een eventueel convenant Duurzame Stranden.</w:t>
      </w:r>
    </w:p>
    <w:p w:rsidRPr="008B06D6" w:rsidR="000825B2" w:rsidP="000825B2" w:rsidRDefault="000825B2" w14:paraId="4C3307DD" w14:textId="77777777">
      <w:pPr>
        <w:spacing w:line="240" w:lineRule="exact"/>
        <w:contextualSpacing/>
        <w:rPr>
          <w:lang w:val="nl-NL"/>
        </w:rPr>
      </w:pPr>
    </w:p>
    <w:p w:rsidRPr="00C91364" w:rsidR="000825B2" w:rsidP="000825B2" w:rsidRDefault="000825B2" w14:paraId="5CC191BC" w14:textId="77777777">
      <w:pPr>
        <w:spacing w:before="40" w:after="0"/>
        <w:rPr>
          <w:i/>
          <w:lang w:val="nl-NL"/>
        </w:rPr>
      </w:pPr>
      <w:r w:rsidRPr="00C91364">
        <w:rPr>
          <w:i/>
          <w:lang w:val="nl-NL"/>
        </w:rPr>
        <w:t>Aanvullende maatregelen</w:t>
      </w:r>
    </w:p>
    <w:p w:rsidRPr="00C91364" w:rsidR="000825B2" w:rsidP="000825B2" w:rsidRDefault="000825B2" w14:paraId="0900BB15" w14:textId="77777777">
      <w:pPr>
        <w:pStyle w:val="ListParagraph"/>
        <w:numPr>
          <w:ilvl w:val="0"/>
          <w:numId w:val="4"/>
        </w:numPr>
        <w:spacing w:line="240" w:lineRule="exact"/>
        <w:rPr>
          <w:lang w:val="nl-NL"/>
        </w:rPr>
      </w:pPr>
      <w:r w:rsidRPr="00AF1E71">
        <w:rPr>
          <w:iCs/>
          <w:lang w:val="nl-NL"/>
        </w:rPr>
        <w:t>Website</w:t>
      </w:r>
      <w:r>
        <w:rPr>
          <w:i/>
          <w:lang w:val="nl-NL"/>
        </w:rPr>
        <w:t xml:space="preserve"> </w:t>
      </w:r>
      <w:r w:rsidRPr="00C91364">
        <w:rPr>
          <w:lang w:val="nl-NL"/>
        </w:rPr>
        <w:t xml:space="preserve">(bestaand) </w:t>
      </w:r>
      <w:r w:rsidRPr="00AF1E71">
        <w:rPr>
          <w:iCs/>
          <w:lang w:val="nl-NL"/>
        </w:rPr>
        <w:t>en</w:t>
      </w:r>
      <w:r w:rsidRPr="00BE225C">
        <w:rPr>
          <w:i/>
          <w:lang w:val="nl-NL"/>
        </w:rPr>
        <w:t xml:space="preserve"> </w:t>
      </w:r>
      <w:r w:rsidRPr="00AF1E71">
        <w:rPr>
          <w:iCs/>
          <w:lang w:val="nl-NL"/>
        </w:rPr>
        <w:t>nieuwsbrief</w:t>
      </w:r>
      <w:r w:rsidRPr="005B5F0C">
        <w:rPr>
          <w:iCs/>
          <w:lang w:val="nl-NL"/>
        </w:rPr>
        <w:t xml:space="preserve"> </w:t>
      </w:r>
      <w:r w:rsidRPr="00C91364">
        <w:rPr>
          <w:lang w:val="nl-NL"/>
        </w:rPr>
        <w:t xml:space="preserve">vanuit KIMO (nieuw) </w:t>
      </w:r>
      <w:r>
        <w:rPr>
          <w:lang w:val="nl-NL"/>
        </w:rPr>
        <w:t>voor kennisoverdracht en</w:t>
      </w:r>
      <w:r w:rsidRPr="00C91364">
        <w:rPr>
          <w:lang w:val="nl-NL"/>
        </w:rPr>
        <w:t xml:space="preserve"> het informeren </w:t>
      </w:r>
      <w:r>
        <w:rPr>
          <w:lang w:val="nl-NL"/>
        </w:rPr>
        <w:t>van</w:t>
      </w:r>
      <w:r w:rsidRPr="00C91364">
        <w:rPr>
          <w:lang w:val="nl-NL"/>
        </w:rPr>
        <w:t xml:space="preserve"> de hierboven genoemde doelgroepen</w:t>
      </w:r>
      <w:r>
        <w:rPr>
          <w:lang w:val="nl-NL"/>
        </w:rPr>
        <w:t xml:space="preserve">. Zie </w:t>
      </w:r>
      <w:hyperlink w:history="1" r:id="rId21">
        <w:r w:rsidRPr="0081677A">
          <w:rPr>
            <w:rStyle w:val="Hyperlink"/>
            <w:lang w:val="nl-NL"/>
          </w:rPr>
          <w:t>www.schonestranden.nl</w:t>
        </w:r>
      </w:hyperlink>
      <w:r>
        <w:rPr>
          <w:lang w:val="nl-NL"/>
        </w:rPr>
        <w:t xml:space="preserve">. </w:t>
      </w:r>
    </w:p>
    <w:p w:rsidRPr="00C91364" w:rsidR="000825B2" w:rsidP="000825B2" w:rsidRDefault="000825B2" w14:paraId="7C15C9AD" w14:textId="77777777">
      <w:pPr>
        <w:pStyle w:val="ListParagraph"/>
        <w:numPr>
          <w:ilvl w:val="0"/>
          <w:numId w:val="4"/>
        </w:numPr>
        <w:spacing w:line="240" w:lineRule="exact"/>
        <w:rPr>
          <w:lang w:val="nl-NL"/>
        </w:rPr>
      </w:pPr>
      <w:r w:rsidRPr="00AF1E71">
        <w:rPr>
          <w:iCs/>
          <w:lang w:val="nl-NL"/>
        </w:rPr>
        <w:t>Activiteitenmonitoring bij strandstakeholders</w:t>
      </w:r>
      <w:r w:rsidRPr="005B5F0C">
        <w:rPr>
          <w:iCs/>
          <w:lang w:val="nl-NL"/>
        </w:rPr>
        <w:t>.</w:t>
      </w:r>
      <w:r w:rsidRPr="00C91364">
        <w:rPr>
          <w:lang w:val="nl-NL"/>
        </w:rPr>
        <w:t xml:space="preserve"> De informatie wordt voor alle partijen toegankelijk gemaakt zodat kennisuitwisseling, afstemming en samenwerking makkelijker word</w:t>
      </w:r>
      <w:r>
        <w:rPr>
          <w:lang w:val="nl-NL"/>
        </w:rPr>
        <w:t>en</w:t>
      </w:r>
      <w:r w:rsidRPr="00C91364">
        <w:rPr>
          <w:lang w:val="nl-NL"/>
        </w:rPr>
        <w:t>.</w:t>
      </w:r>
    </w:p>
    <w:p w:rsidR="000825B2" w:rsidP="000825B2" w:rsidRDefault="000825B2" w14:paraId="6AE6E2C3" w14:textId="77777777">
      <w:pPr>
        <w:pStyle w:val="ListParagraph"/>
        <w:numPr>
          <w:ilvl w:val="0"/>
          <w:numId w:val="4"/>
        </w:numPr>
        <w:spacing w:line="240" w:lineRule="exact"/>
        <w:rPr>
          <w:lang w:val="nl-NL"/>
        </w:rPr>
      </w:pPr>
      <w:r w:rsidRPr="00AF1E71">
        <w:rPr>
          <w:iCs/>
          <w:lang w:val="nl-NL"/>
        </w:rPr>
        <w:t>Bijdrage</w:t>
      </w:r>
      <w:r>
        <w:rPr>
          <w:iCs/>
          <w:lang w:val="nl-NL"/>
        </w:rPr>
        <w:t>n</w:t>
      </w:r>
      <w:r w:rsidRPr="00AF1E71">
        <w:rPr>
          <w:iCs/>
          <w:lang w:val="nl-NL"/>
        </w:rPr>
        <w:t xml:space="preserve"> aan landelijke bijeenkomsten</w:t>
      </w:r>
      <w:r w:rsidRPr="00C91364">
        <w:rPr>
          <w:lang w:val="nl-NL"/>
        </w:rPr>
        <w:t xml:space="preserve"> over het strand ten behoeve van kennisuitwisseling en netwerkversterking.</w:t>
      </w:r>
      <w:r>
        <w:rPr>
          <w:lang w:val="nl-NL"/>
        </w:rPr>
        <w:t xml:space="preserve"> Dit gebeurt onder andere tijdens de Landelijks Stranddag en door het landelijk platform Schouders Onder Schoon (www.schoudersonderschoon.nl).</w:t>
      </w:r>
    </w:p>
    <w:p w:rsidRPr="00673D7B" w:rsidR="000825B2" w:rsidP="000825B2" w:rsidRDefault="000825B2" w14:paraId="369648DA" w14:textId="77777777">
      <w:pPr>
        <w:spacing w:before="40" w:after="0"/>
        <w:rPr>
          <w:rStyle w:val="IntenseEmphasis"/>
          <w:lang w:val="nl-NL"/>
        </w:rPr>
      </w:pPr>
      <w:r w:rsidRPr="00673D7B">
        <w:rPr>
          <w:rStyle w:val="IntenseEmphasis"/>
          <w:lang w:val="nl-NL"/>
        </w:rPr>
        <w:t>Stroomgebieden</w:t>
      </w:r>
    </w:p>
    <w:p w:rsidRPr="00947003" w:rsidR="000825B2" w:rsidP="000825B2" w:rsidRDefault="000825B2" w14:paraId="43FA7E40" w14:textId="51FA0785">
      <w:pPr>
        <w:spacing w:before="40" w:after="0"/>
        <w:rPr>
          <w:rStyle w:val="IntenseEmphasis"/>
          <w:color w:val="auto"/>
          <w:lang w:val="nl-NL"/>
        </w:rPr>
      </w:pPr>
      <w:r>
        <w:rPr>
          <w:lang w:val="nl-NL"/>
        </w:rPr>
        <w:t>De aanpak van zwerfvuil in rivieren bouwt voort op de ervaringen en het netwerk van de stroomgebiedsgerichte aanpak zwerfvuil en inzet van de Zwerfvuilophaalregeling. Er is steeds meer bekend over de hoeveelheid, samenstelling en de bronnen van afval in rivieren. In het kader van het Beleidsprogramma Microplastics zijn pilots uitgevoerd voor het voorkomen van rivierenafval. Na afloop van dit programma wordt</w:t>
      </w:r>
      <w:r w:rsidRPr="002E7303">
        <w:rPr>
          <w:color w:val="000000" w:themeColor="text1"/>
          <w:lang w:val="nl-NL"/>
        </w:rPr>
        <w:t xml:space="preserve"> </w:t>
      </w:r>
      <w:r>
        <w:rPr>
          <w:color w:val="000000" w:themeColor="text1"/>
          <w:lang w:val="nl-NL"/>
        </w:rPr>
        <w:t>gekeken hoe de verschillende onderdelen van het programma voortgezet kunnen worden, met name voor het bestrijden van afval en microplastics in rivieren</w:t>
      </w:r>
      <w:r>
        <w:rPr>
          <w:lang w:val="nl-NL"/>
        </w:rPr>
        <w:t xml:space="preserve">. Aanvullend wordt vanuit de KRM ingezet op agendering en borging van de zwerfvuilproblematiek. Bij de aanpak van zwerfvuil in rivieren wordt ingezet op versterking van de samenwerking tussen partijen, wat naar verwachting zal leiden tot een afname van de hoeveelheid rivierafval in Nederland. Daarbij </w:t>
      </w:r>
      <w:r w:rsidRPr="0092634B">
        <w:rPr>
          <w:lang w:val="nl-NL"/>
        </w:rPr>
        <w:t>wordt ingezet op afspraken op bestuurlijk niveau.</w:t>
      </w:r>
    </w:p>
    <w:p w:rsidRPr="00797EF3" w:rsidR="000825B2" w:rsidP="000825B2" w:rsidRDefault="000825B2" w14:paraId="7BCA4120" w14:textId="77777777">
      <w:pPr>
        <w:spacing w:before="40" w:after="0"/>
        <w:rPr>
          <w:rStyle w:val="IntenseEmphasis"/>
          <w:color w:val="auto"/>
          <w:lang w:val="nl-NL"/>
        </w:rPr>
      </w:pPr>
      <w:r w:rsidRPr="00797EF3">
        <w:rPr>
          <w:rStyle w:val="IntenseEmphasis"/>
          <w:color w:val="auto"/>
          <w:lang w:val="nl-NL"/>
        </w:rPr>
        <w:t>Aangepaste maatregelen</w:t>
      </w:r>
    </w:p>
    <w:p w:rsidRPr="006E3F15" w:rsidR="000825B2" w:rsidP="000825B2" w:rsidRDefault="000825B2" w14:paraId="19316DB3" w14:textId="77777777">
      <w:pPr>
        <w:pStyle w:val="ListParagraph"/>
        <w:numPr>
          <w:ilvl w:val="0"/>
          <w:numId w:val="5"/>
        </w:numPr>
        <w:spacing w:after="0" w:line="240" w:lineRule="auto"/>
        <w:rPr>
          <w:lang w:val="nl-NL"/>
        </w:rPr>
      </w:pPr>
      <w:r w:rsidRPr="0065104B">
        <w:rPr>
          <w:i/>
          <w:lang w:val="nl-NL"/>
        </w:rPr>
        <w:t>Stroomgebiedsgerichte aanpak zwerfvuil</w:t>
      </w:r>
      <w:r w:rsidRPr="00AF1E71">
        <w:rPr>
          <w:iCs/>
          <w:lang w:val="nl-NL"/>
        </w:rPr>
        <w:br/>
      </w:r>
      <w:r>
        <w:rPr>
          <w:lang w:val="nl-NL"/>
        </w:rPr>
        <w:t>Zoals aangegeven bij de geïmplementeerde maatregelen, zijn</w:t>
      </w:r>
      <w:r w:rsidRPr="00621AE9">
        <w:rPr>
          <w:lang w:val="nl-NL"/>
        </w:rPr>
        <w:t xml:space="preserve"> de afgelopen jaren </w:t>
      </w:r>
      <w:r>
        <w:rPr>
          <w:lang w:val="nl-NL"/>
        </w:rPr>
        <w:t xml:space="preserve">langs de (deel)stroomgebieden </w:t>
      </w:r>
      <w:r w:rsidRPr="0065104B">
        <w:rPr>
          <w:lang w:val="nl-NL"/>
        </w:rPr>
        <w:t xml:space="preserve">Maas, Waal, Rijn, Lek, IJssel, Schelde, Haringvliet en Rotterdamse havens </w:t>
      </w:r>
      <w:r w:rsidRPr="00621AE9">
        <w:rPr>
          <w:lang w:val="nl-NL"/>
        </w:rPr>
        <w:t xml:space="preserve">samenwerkingsverbanden </w:t>
      </w:r>
      <w:r>
        <w:rPr>
          <w:lang w:val="nl-NL"/>
        </w:rPr>
        <w:t xml:space="preserve">opgericht </w:t>
      </w:r>
      <w:r w:rsidRPr="00621AE9">
        <w:rPr>
          <w:lang w:val="nl-NL"/>
        </w:rPr>
        <w:t>voor de aanpak van zwerf</w:t>
      </w:r>
      <w:r>
        <w:rPr>
          <w:lang w:val="nl-NL"/>
        </w:rPr>
        <w:t>vuil</w:t>
      </w:r>
      <w:r w:rsidRPr="00621AE9">
        <w:rPr>
          <w:lang w:val="nl-NL"/>
        </w:rPr>
        <w:t xml:space="preserve"> in rivieren</w:t>
      </w:r>
      <w:r>
        <w:rPr>
          <w:lang w:val="nl-NL"/>
        </w:rPr>
        <w:t>.</w:t>
      </w:r>
      <w:r w:rsidRPr="00621AE9">
        <w:rPr>
          <w:lang w:val="nl-NL"/>
        </w:rPr>
        <w:t xml:space="preserve"> </w:t>
      </w:r>
      <w:r>
        <w:rPr>
          <w:lang w:val="nl-NL"/>
        </w:rPr>
        <w:t>De c</w:t>
      </w:r>
      <w:r w:rsidRPr="00621AE9">
        <w:rPr>
          <w:lang w:val="nl-NL"/>
        </w:rPr>
        <w:t xml:space="preserve">oördinatie </w:t>
      </w:r>
      <w:r>
        <w:rPr>
          <w:lang w:val="nl-NL"/>
        </w:rPr>
        <w:t xml:space="preserve">is </w:t>
      </w:r>
      <w:r w:rsidRPr="00621AE9">
        <w:rPr>
          <w:lang w:val="nl-NL"/>
        </w:rPr>
        <w:t xml:space="preserve">grotendeels </w:t>
      </w:r>
      <w:r>
        <w:rPr>
          <w:lang w:val="nl-NL"/>
        </w:rPr>
        <w:t>in handen van</w:t>
      </w:r>
      <w:r w:rsidRPr="00621AE9">
        <w:rPr>
          <w:lang w:val="nl-NL"/>
        </w:rPr>
        <w:t xml:space="preserve"> IVN en Rijkswaterstaat. Continuering en uitbreiding van de samenwerkingsverbanden is nodig om te werken aan een structurele en brede aanpak van zwerf</w:t>
      </w:r>
      <w:r>
        <w:rPr>
          <w:lang w:val="nl-NL"/>
        </w:rPr>
        <w:t>vuil</w:t>
      </w:r>
      <w:r w:rsidRPr="00621AE9">
        <w:rPr>
          <w:lang w:val="nl-NL"/>
        </w:rPr>
        <w:t xml:space="preserve"> (‘schoonmaken’ en ‘schoonhouden’).</w:t>
      </w:r>
      <w:r>
        <w:rPr>
          <w:lang w:val="nl-NL"/>
        </w:rPr>
        <w:t xml:space="preserve"> Er zal gekeken worden of er </w:t>
      </w:r>
      <w:r w:rsidRPr="00A00F0A">
        <w:rPr>
          <w:rFonts w:cstheme="minorHAnsi"/>
          <w:color w:val="000000"/>
          <w:lang w:val="nl-NL" w:eastAsia="nl-NL"/>
        </w:rPr>
        <w:t xml:space="preserve">per samenwerkingsverband een ambitie en –daar waar mogelijk- concrete doelen kunnen worden gesteld. </w:t>
      </w:r>
      <w:r w:rsidRPr="006E3F15">
        <w:rPr>
          <w:lang w:val="nl-NL"/>
        </w:rPr>
        <w:t xml:space="preserve"> </w:t>
      </w:r>
    </w:p>
    <w:p w:rsidRPr="004778BD" w:rsidR="000825B2" w:rsidP="000825B2" w:rsidRDefault="000825B2" w14:paraId="184A3649" w14:textId="77777777">
      <w:pPr>
        <w:pStyle w:val="ListParagraph"/>
        <w:numPr>
          <w:ilvl w:val="0"/>
          <w:numId w:val="6"/>
        </w:numPr>
        <w:spacing w:after="0" w:line="240" w:lineRule="auto"/>
        <w:contextualSpacing w:val="0"/>
        <w:rPr>
          <w:lang w:val="nl-NL"/>
        </w:rPr>
      </w:pPr>
      <w:r w:rsidRPr="0065104B">
        <w:rPr>
          <w:i/>
          <w:lang w:val="nl-NL"/>
        </w:rPr>
        <w:t>Uitrol Zwerfafvalophaalregeling</w:t>
      </w:r>
      <w:r w:rsidRPr="004778BD">
        <w:rPr>
          <w:i/>
          <w:lang w:val="nl-NL"/>
        </w:rPr>
        <w:br/>
      </w:r>
      <w:r>
        <w:rPr>
          <w:lang w:val="nl-NL"/>
        </w:rPr>
        <w:t>Rijkswaterstaat heeft in 2018 d</w:t>
      </w:r>
      <w:r w:rsidRPr="004778BD">
        <w:rPr>
          <w:lang w:val="nl-NL"/>
        </w:rPr>
        <w:t xml:space="preserve">e </w:t>
      </w:r>
      <w:r>
        <w:rPr>
          <w:lang w:val="nl-NL"/>
        </w:rPr>
        <w:t>Z</w:t>
      </w:r>
      <w:r w:rsidRPr="004778BD">
        <w:rPr>
          <w:lang w:val="nl-NL"/>
        </w:rPr>
        <w:t xml:space="preserve">werfafvalophaalregeling (ZOR) </w:t>
      </w:r>
      <w:r>
        <w:rPr>
          <w:lang w:val="nl-NL"/>
        </w:rPr>
        <w:t>als pilot in het leven geroepen. De organisatie</w:t>
      </w:r>
      <w:r w:rsidRPr="004778BD">
        <w:rPr>
          <w:lang w:val="nl-NL"/>
        </w:rPr>
        <w:t xml:space="preserve"> zorgt voor het afvoeren en verwerken </w:t>
      </w:r>
      <w:r>
        <w:rPr>
          <w:lang w:val="nl-NL"/>
        </w:rPr>
        <w:t>van</w:t>
      </w:r>
      <w:r w:rsidRPr="004778BD">
        <w:rPr>
          <w:lang w:val="nl-NL"/>
        </w:rPr>
        <w:t xml:space="preserve"> door derden langs oevers ingezameld zwerf</w:t>
      </w:r>
      <w:r>
        <w:rPr>
          <w:lang w:val="nl-NL"/>
        </w:rPr>
        <w:t>vuil</w:t>
      </w:r>
      <w:r w:rsidRPr="004778BD">
        <w:rPr>
          <w:lang w:val="nl-NL"/>
        </w:rPr>
        <w:t xml:space="preserve">. </w:t>
      </w:r>
      <w:r>
        <w:rPr>
          <w:lang w:val="nl-NL"/>
        </w:rPr>
        <w:t>De pilot is succesvol gebleken en wordt verder verankerd in het regulier beheer en onderhoud van hoofdwatersystemen door Rijkswaterstaat.</w:t>
      </w:r>
    </w:p>
    <w:p w:rsidRPr="00A02727" w:rsidR="000825B2" w:rsidP="000825B2" w:rsidRDefault="000825B2" w14:paraId="72114238" w14:textId="77777777">
      <w:pPr>
        <w:rPr>
          <w:i/>
          <w:lang w:val="nl-NL"/>
        </w:rPr>
      </w:pPr>
    </w:p>
    <w:p w:rsidR="000825B2" w:rsidP="000825B2" w:rsidRDefault="000825B2" w14:paraId="1B2644EC" w14:textId="77777777">
      <w:pPr>
        <w:spacing w:before="40" w:after="0"/>
        <w:rPr>
          <w:i/>
          <w:lang w:val="nl-NL"/>
        </w:rPr>
      </w:pPr>
      <w:r w:rsidRPr="00A02727">
        <w:rPr>
          <w:i/>
          <w:lang w:val="nl-NL"/>
        </w:rPr>
        <w:t>Aanvullende maatregelen</w:t>
      </w:r>
    </w:p>
    <w:p w:rsidRPr="00474A37" w:rsidR="000825B2" w:rsidP="000825B2" w:rsidRDefault="000825B2" w14:paraId="262EDED6" w14:textId="77777777">
      <w:pPr>
        <w:pStyle w:val="ListParagraph"/>
        <w:numPr>
          <w:ilvl w:val="0"/>
          <w:numId w:val="6"/>
        </w:numPr>
        <w:rPr>
          <w:lang w:val="nl-NL"/>
        </w:rPr>
      </w:pPr>
      <w:r w:rsidRPr="00B06CD4">
        <w:rPr>
          <w:i/>
          <w:lang w:val="nl-NL"/>
        </w:rPr>
        <w:t>Agendering zwerf</w:t>
      </w:r>
      <w:r>
        <w:rPr>
          <w:i/>
          <w:lang w:val="nl-NL"/>
        </w:rPr>
        <w:t>vui</w:t>
      </w:r>
      <w:r w:rsidRPr="00B06CD4">
        <w:rPr>
          <w:i/>
          <w:lang w:val="nl-NL"/>
        </w:rPr>
        <w:t>lproblematiek en borging van een brede aanpak zwerf</w:t>
      </w:r>
      <w:r>
        <w:rPr>
          <w:i/>
          <w:lang w:val="nl-NL"/>
        </w:rPr>
        <w:t>vuil</w:t>
      </w:r>
      <w:r w:rsidRPr="00B06CD4">
        <w:rPr>
          <w:i/>
          <w:lang w:val="nl-NL"/>
        </w:rPr>
        <w:br/>
      </w:r>
      <w:r w:rsidRPr="001069DF">
        <w:rPr>
          <w:szCs w:val="18"/>
          <w:lang w:val="nl-NL"/>
        </w:rPr>
        <w:t>Deze maatregel is gericht op het vergroten van bewustwording van de zwerf</w:t>
      </w:r>
      <w:r>
        <w:rPr>
          <w:szCs w:val="18"/>
          <w:lang w:val="nl-NL"/>
        </w:rPr>
        <w:t>vuil</w:t>
      </w:r>
      <w:r w:rsidRPr="001069DF">
        <w:rPr>
          <w:szCs w:val="18"/>
          <w:lang w:val="nl-NL"/>
        </w:rPr>
        <w:t>problematiek bij terrein- en waterbeheerders langs rivieren</w:t>
      </w:r>
      <w:r>
        <w:rPr>
          <w:szCs w:val="18"/>
          <w:lang w:val="nl-NL"/>
        </w:rPr>
        <w:t xml:space="preserve">. Zo wordt meer (bestuurlijk) draagvlak gecreëerd voor het treffen van structurele maatregelen in hun beheergebied, waardoor </w:t>
      </w:r>
      <w:r w:rsidRPr="001069DF">
        <w:rPr>
          <w:szCs w:val="18"/>
          <w:lang w:val="nl-NL"/>
        </w:rPr>
        <w:t xml:space="preserve">aanpak </w:t>
      </w:r>
      <w:r>
        <w:rPr>
          <w:szCs w:val="18"/>
          <w:lang w:val="nl-NL"/>
        </w:rPr>
        <w:t xml:space="preserve">en </w:t>
      </w:r>
      <w:r w:rsidRPr="001069DF">
        <w:rPr>
          <w:szCs w:val="18"/>
          <w:lang w:val="nl-NL"/>
        </w:rPr>
        <w:t>preventie van zwerf</w:t>
      </w:r>
      <w:r>
        <w:rPr>
          <w:szCs w:val="18"/>
          <w:lang w:val="nl-NL"/>
        </w:rPr>
        <w:t xml:space="preserve">vuil </w:t>
      </w:r>
      <w:r w:rsidRPr="001069DF">
        <w:rPr>
          <w:szCs w:val="18"/>
          <w:lang w:val="nl-NL"/>
        </w:rPr>
        <w:t xml:space="preserve">onderdeel </w:t>
      </w:r>
      <w:r w:rsidRPr="00A17E44">
        <w:rPr>
          <w:szCs w:val="18"/>
          <w:lang w:val="nl-NL"/>
        </w:rPr>
        <w:t>word</w:t>
      </w:r>
      <w:r>
        <w:rPr>
          <w:szCs w:val="18"/>
          <w:lang w:val="nl-NL"/>
        </w:rPr>
        <w:t>en</w:t>
      </w:r>
      <w:r w:rsidRPr="00A17E44">
        <w:rPr>
          <w:szCs w:val="18"/>
          <w:lang w:val="nl-NL"/>
        </w:rPr>
        <w:t xml:space="preserve"> van </w:t>
      </w:r>
      <w:r>
        <w:rPr>
          <w:szCs w:val="18"/>
          <w:lang w:val="nl-NL"/>
        </w:rPr>
        <w:t>het</w:t>
      </w:r>
      <w:r w:rsidRPr="00A17E44">
        <w:rPr>
          <w:szCs w:val="18"/>
          <w:lang w:val="nl-NL"/>
        </w:rPr>
        <w:t xml:space="preserve"> regulier</w:t>
      </w:r>
      <w:r>
        <w:rPr>
          <w:szCs w:val="18"/>
          <w:lang w:val="nl-NL"/>
        </w:rPr>
        <w:t>e</w:t>
      </w:r>
      <w:r w:rsidRPr="00A17E44">
        <w:rPr>
          <w:szCs w:val="18"/>
          <w:lang w:val="nl-NL"/>
        </w:rPr>
        <w:t xml:space="preserve"> beheer.</w:t>
      </w:r>
      <w:r>
        <w:rPr>
          <w:szCs w:val="18"/>
          <w:lang w:val="nl-NL"/>
        </w:rPr>
        <w:t xml:space="preserve"> </w:t>
      </w:r>
      <w:r w:rsidRPr="00A17E44">
        <w:rPr>
          <w:szCs w:val="18"/>
          <w:lang w:val="nl-NL"/>
        </w:rPr>
        <w:t xml:space="preserve">Dit kan door bijvoorbeeld preventie van zwerfvuil op te nemen in vergunningen </w:t>
      </w:r>
      <w:r>
        <w:rPr>
          <w:szCs w:val="18"/>
          <w:lang w:val="nl-NL"/>
        </w:rPr>
        <w:t>en</w:t>
      </w:r>
      <w:r w:rsidRPr="00A17E44">
        <w:rPr>
          <w:szCs w:val="18"/>
          <w:lang w:val="nl-NL"/>
        </w:rPr>
        <w:t xml:space="preserve"> werkprocessen. </w:t>
      </w:r>
    </w:p>
    <w:p w:rsidRPr="00474A37" w:rsidR="000825B2" w:rsidP="000825B2" w:rsidRDefault="000825B2" w14:paraId="6F278E0F" w14:textId="7FFF595F">
      <w:pPr>
        <w:pStyle w:val="ListParagraph"/>
        <w:ind w:left="360"/>
        <w:rPr>
          <w:lang w:val="nl-NL"/>
        </w:rPr>
      </w:pPr>
      <w:r w:rsidRPr="00474A37">
        <w:rPr>
          <w:szCs w:val="18"/>
          <w:lang w:val="nl-NL"/>
        </w:rPr>
        <w:t xml:space="preserve">Om te komen tot een structurele (brede) zwerfvuilaanpak </w:t>
      </w:r>
      <w:r>
        <w:rPr>
          <w:szCs w:val="18"/>
          <w:lang w:val="nl-NL"/>
        </w:rPr>
        <w:t>krijgen oever-, water- en kadebeheerders en brancheorganisaties ondersteuning bij het ontwikkelen van</w:t>
      </w:r>
      <w:r w:rsidRPr="00216984">
        <w:rPr>
          <w:szCs w:val="18"/>
          <w:lang w:val="nl-NL"/>
        </w:rPr>
        <w:t xml:space="preserve"> een zwerfvuilaanpak </w:t>
      </w:r>
      <w:r>
        <w:rPr>
          <w:szCs w:val="18"/>
          <w:lang w:val="nl-NL"/>
        </w:rPr>
        <w:t xml:space="preserve">en het </w:t>
      </w:r>
      <w:r w:rsidRPr="00216984">
        <w:rPr>
          <w:szCs w:val="18"/>
          <w:lang w:val="nl-NL"/>
        </w:rPr>
        <w:t xml:space="preserve">borgen </w:t>
      </w:r>
      <w:r>
        <w:rPr>
          <w:szCs w:val="18"/>
          <w:lang w:val="nl-NL"/>
        </w:rPr>
        <w:t xml:space="preserve">daarvan </w:t>
      </w:r>
      <w:r w:rsidRPr="00216984">
        <w:rPr>
          <w:szCs w:val="18"/>
          <w:lang w:val="nl-NL"/>
        </w:rPr>
        <w:t xml:space="preserve">in hun eigen (beheer)processen. </w:t>
      </w:r>
      <w:r>
        <w:rPr>
          <w:szCs w:val="18"/>
          <w:lang w:val="nl-NL"/>
        </w:rPr>
        <w:t xml:space="preserve">Denk aan beheerders en organisaties als </w:t>
      </w:r>
      <w:r w:rsidRPr="00216984">
        <w:rPr>
          <w:szCs w:val="18"/>
          <w:lang w:val="nl-NL"/>
        </w:rPr>
        <w:t>Rijkswaterstaat, provincies, gemeenten</w:t>
      </w:r>
      <w:r>
        <w:rPr>
          <w:szCs w:val="18"/>
          <w:lang w:val="nl-NL"/>
        </w:rPr>
        <w:t xml:space="preserve">, </w:t>
      </w:r>
      <w:r w:rsidRPr="00216984">
        <w:rPr>
          <w:szCs w:val="18"/>
          <w:lang w:val="nl-NL"/>
        </w:rPr>
        <w:t>waterschappen</w:t>
      </w:r>
      <w:r>
        <w:rPr>
          <w:szCs w:val="18"/>
          <w:lang w:val="nl-NL"/>
        </w:rPr>
        <w:t>,</w:t>
      </w:r>
      <w:r w:rsidRPr="00216984" w:rsidDel="00216984">
        <w:rPr>
          <w:szCs w:val="18"/>
          <w:lang w:val="nl-NL"/>
        </w:rPr>
        <w:t xml:space="preserve"> </w:t>
      </w:r>
      <w:r w:rsidRPr="00474A37">
        <w:rPr>
          <w:lang w:val="nl-NL"/>
        </w:rPr>
        <w:t xml:space="preserve">Staatsbosbeheer, Natuurmonumenten, regionale natuurorganisaties, en brancheorganisaties </w:t>
      </w:r>
      <w:r>
        <w:rPr>
          <w:lang w:val="nl-NL"/>
        </w:rPr>
        <w:t xml:space="preserve">als </w:t>
      </w:r>
      <w:r w:rsidRPr="00474A37">
        <w:rPr>
          <w:lang w:val="nl-NL"/>
        </w:rPr>
        <w:t>Bouwend N</w:t>
      </w:r>
      <w:r>
        <w:rPr>
          <w:lang w:val="nl-NL"/>
        </w:rPr>
        <w:t>ederland</w:t>
      </w:r>
      <w:r w:rsidRPr="00474A37">
        <w:rPr>
          <w:lang w:val="nl-NL"/>
        </w:rPr>
        <w:t xml:space="preserve"> en Sportvisserij Nederland</w:t>
      </w:r>
      <w:r>
        <w:rPr>
          <w:lang w:val="nl-NL"/>
        </w:rPr>
        <w:t>.</w:t>
      </w:r>
      <w:r w:rsidRPr="00474A37">
        <w:rPr>
          <w:lang w:val="nl-NL"/>
        </w:rPr>
        <w:t xml:space="preserve"> </w:t>
      </w:r>
    </w:p>
    <w:p w:rsidR="000825B2" w:rsidP="000825B2" w:rsidRDefault="000825B2" w14:paraId="5B81B8E1" w14:textId="695DB447">
      <w:pPr>
        <w:pStyle w:val="ListParagraph"/>
        <w:ind w:left="360"/>
        <w:rPr>
          <w:lang w:val="nl-NL"/>
        </w:rPr>
      </w:pPr>
      <w:r>
        <w:rPr>
          <w:lang w:val="nl-NL"/>
        </w:rPr>
        <w:br/>
        <w:t>Om</w:t>
      </w:r>
      <w:r w:rsidRPr="001371E7">
        <w:rPr>
          <w:lang w:val="nl-NL"/>
        </w:rPr>
        <w:t xml:space="preserve"> </w:t>
      </w:r>
      <w:r>
        <w:rPr>
          <w:lang w:val="nl-NL"/>
        </w:rPr>
        <w:t>de agendering en borging van de brede en stroomgebiedsgerichte aanpak van zwerfvuil te kunnen ondersteunen, is meer duidelijkheid nodig over de verantwoordelijkheden van nationale en lokale overheden en hoe deze verantwoordelijkheden en de aanpak van zwerfvuil zich verhouden tot de</w:t>
      </w:r>
      <w:r w:rsidRPr="001371E7">
        <w:rPr>
          <w:lang w:val="nl-NL"/>
        </w:rPr>
        <w:t xml:space="preserve"> Europese regelgeving (zoals KRM, KRW en KRA)</w:t>
      </w:r>
      <w:r>
        <w:rPr>
          <w:lang w:val="nl-NL"/>
        </w:rPr>
        <w:t>.</w:t>
      </w:r>
      <w:r w:rsidRPr="001371E7">
        <w:rPr>
          <w:lang w:val="nl-NL"/>
        </w:rPr>
        <w:t xml:space="preserve"> </w:t>
      </w:r>
      <w:r>
        <w:rPr>
          <w:lang w:val="nl-NL"/>
        </w:rPr>
        <w:t>De uitwerking hiervan is onderdeel van deze aanvullende maatregel.</w:t>
      </w:r>
    </w:p>
    <w:p w:rsidRPr="00A8638C" w:rsidR="000825B2" w:rsidP="000825B2" w:rsidRDefault="000825B2" w14:paraId="1A9E6B14" w14:textId="77777777">
      <w:pPr>
        <w:spacing w:before="40" w:after="0"/>
        <w:rPr>
          <w:rStyle w:val="IntenseEmphasis"/>
          <w:lang w:val="nl-NL"/>
        </w:rPr>
      </w:pPr>
      <w:r w:rsidRPr="00A8638C">
        <w:rPr>
          <w:rStyle w:val="IntenseEmphasis"/>
          <w:lang w:val="nl-NL"/>
        </w:rPr>
        <w:t>Scheepsvaart</w:t>
      </w:r>
    </w:p>
    <w:p w:rsidRPr="002D1AD7" w:rsidR="000825B2" w:rsidP="000825B2" w:rsidRDefault="000825B2" w14:paraId="4A7EA1DA" w14:textId="77777777">
      <w:pPr>
        <w:spacing w:before="40" w:after="0"/>
        <w:rPr>
          <w:lang w:val="nl-NL"/>
        </w:rPr>
      </w:pPr>
      <w:r>
        <w:rPr>
          <w:lang w:val="nl-NL"/>
        </w:rPr>
        <w:t xml:space="preserve">De </w:t>
      </w:r>
      <w:r w:rsidRPr="000F1144">
        <w:rPr>
          <w:i/>
          <w:lang w:val="nl-NL"/>
        </w:rPr>
        <w:t>Green Deal</w:t>
      </w:r>
      <w:r>
        <w:rPr>
          <w:lang w:val="nl-NL"/>
        </w:rPr>
        <w:t xml:space="preserve"> Scheepsafvalketen wordt niet voorgezet. Deels maken acties zoals het gescheiden inzamelen van scheepsafval deel uit van de nieuwe HOV – richtlijn. Wel worden aanvullende maatregelen genomen voor het verminderen van persistent stollende ladingrestanten in zee. Omdat er geen maatregelen worden opgenomen voor de binnenvaart, gelden de volgende maatregelen alleen voor zeevaart.</w:t>
      </w:r>
    </w:p>
    <w:p w:rsidR="000825B2" w:rsidP="000825B2" w:rsidRDefault="000825B2" w14:paraId="7713FBE3" w14:textId="77777777">
      <w:pPr>
        <w:spacing w:before="40" w:after="0"/>
        <w:rPr>
          <w:lang w:val="nl-NL"/>
        </w:rPr>
      </w:pPr>
    </w:p>
    <w:p w:rsidRPr="009B1901" w:rsidR="000825B2" w:rsidP="000825B2" w:rsidRDefault="000825B2" w14:paraId="54B32F8C" w14:textId="77777777">
      <w:pPr>
        <w:rPr>
          <w:i/>
          <w:iCs/>
          <w:szCs w:val="18"/>
        </w:rPr>
      </w:pPr>
      <w:r w:rsidRPr="009B1901">
        <w:rPr>
          <w:i/>
          <w:iCs/>
          <w:szCs w:val="18"/>
        </w:rPr>
        <w:t>Aanvullende maatregelen</w:t>
      </w:r>
    </w:p>
    <w:p w:rsidRPr="009B1901" w:rsidR="000825B2" w:rsidP="000825B2" w:rsidRDefault="000825B2" w14:paraId="7933DFE7" w14:textId="27A89EE0">
      <w:pPr>
        <w:pStyle w:val="ListParagraph"/>
        <w:numPr>
          <w:ilvl w:val="0"/>
          <w:numId w:val="68"/>
        </w:numPr>
        <w:spacing w:after="0" w:line="240" w:lineRule="auto"/>
        <w:rPr>
          <w:szCs w:val="18"/>
          <w:lang w:val="nl-NL"/>
        </w:rPr>
      </w:pPr>
      <w:r w:rsidRPr="009B1901">
        <w:rPr>
          <w:i/>
          <w:iCs/>
          <w:szCs w:val="18"/>
          <w:lang w:val="nl-NL"/>
        </w:rPr>
        <w:t>Implementatie afgifteplicht van persistent stollende ladingrestanten vanaf 2021</w:t>
      </w:r>
      <w:r w:rsidRPr="009B1901">
        <w:rPr>
          <w:i/>
          <w:iCs/>
          <w:szCs w:val="18"/>
          <w:lang w:val="nl-NL"/>
        </w:rPr>
        <w:br/>
      </w:r>
      <w:r w:rsidRPr="009B1901">
        <w:rPr>
          <w:szCs w:val="18"/>
          <w:lang w:val="nl-NL"/>
        </w:rPr>
        <w:t xml:space="preserve">Alle schepen die hun lading </w:t>
      </w:r>
      <w:r>
        <w:rPr>
          <w:szCs w:val="18"/>
          <w:lang w:val="nl-NL"/>
        </w:rPr>
        <w:t>lossen</w:t>
      </w:r>
      <w:r w:rsidRPr="009B1901">
        <w:rPr>
          <w:szCs w:val="18"/>
          <w:lang w:val="nl-NL"/>
        </w:rPr>
        <w:t xml:space="preserve"> in een Europese haven binnen het afgebakende zeegebied</w:t>
      </w:r>
      <w:r>
        <w:rPr>
          <w:szCs w:val="18"/>
          <w:lang w:val="nl-NL"/>
        </w:rPr>
        <w:t xml:space="preserve">, </w:t>
      </w:r>
      <w:r w:rsidRPr="009B1901">
        <w:rPr>
          <w:szCs w:val="18"/>
          <w:lang w:val="nl-NL"/>
        </w:rPr>
        <w:t xml:space="preserve">aangegeven in MARPOL Annex II, Regulation 13, moeten </w:t>
      </w:r>
      <w:r>
        <w:rPr>
          <w:szCs w:val="18"/>
          <w:lang w:val="nl-NL"/>
        </w:rPr>
        <w:t>sinds</w:t>
      </w:r>
      <w:r w:rsidRPr="009B1901">
        <w:rPr>
          <w:szCs w:val="18"/>
          <w:lang w:val="nl-NL"/>
        </w:rPr>
        <w:t xml:space="preserve"> 1 januari 2021 waswater met persistente stollende ladingrestanten, zoals paraffine waxen, afgeven aan de wal. De wijzigingen in </w:t>
      </w:r>
      <w:r w:rsidR="00C6220E">
        <w:rPr>
          <w:szCs w:val="18"/>
          <w:lang w:val="nl-NL"/>
        </w:rPr>
        <w:t>Annex</w:t>
      </w:r>
      <w:r w:rsidRPr="009B1901" w:rsidR="00C6220E">
        <w:rPr>
          <w:szCs w:val="18"/>
          <w:lang w:val="nl-NL"/>
        </w:rPr>
        <w:t xml:space="preserve"> </w:t>
      </w:r>
      <w:r w:rsidRPr="009B1901">
        <w:rPr>
          <w:szCs w:val="18"/>
          <w:lang w:val="nl-NL"/>
        </w:rPr>
        <w:t>II van MARPOL stellen voorwasvereisten in een ontvangsthaven voor specifieke stoffen waarvan ladingrestanten stollen na lozing op zee. De nieuwe lozingsvereisten zijn van toepassing op ‘persistent stollende’ stoffen met een hoge viscositeit. Hiermee wordt bedoeld een viscositeit gelijk aan of groter dan 50 mPa∙s bij 20 ° C en/of met een smeltpunt gelijk aan of hoger dan 0°C. De voorwasprocedure moet voor deze stoffen worden toegepast na het lossen in een ontvangsthaven. Het residu/watermengsel dat tijdens de voorwas ontstaat, moet worden afgevoerd naar een ontvangst</w:t>
      </w:r>
      <w:r>
        <w:rPr>
          <w:szCs w:val="18"/>
          <w:lang w:val="nl-NL"/>
        </w:rPr>
        <w:t>faciliteit in een ontvangsthaven</w:t>
      </w:r>
      <w:r w:rsidRPr="009B1901">
        <w:rPr>
          <w:szCs w:val="18"/>
          <w:lang w:val="nl-NL"/>
        </w:rPr>
        <w:t xml:space="preserve">. </w:t>
      </w:r>
    </w:p>
    <w:p w:rsidRPr="00620F86" w:rsidR="000825B2" w:rsidP="000825B2" w:rsidRDefault="000825B2" w14:paraId="56219D26" w14:textId="0AE3CAC6">
      <w:pPr>
        <w:pStyle w:val="ListParagraph"/>
        <w:numPr>
          <w:ilvl w:val="0"/>
          <w:numId w:val="68"/>
        </w:numPr>
        <w:spacing w:line="252" w:lineRule="auto"/>
        <w:rPr>
          <w:szCs w:val="18"/>
          <w:lang w:val="nl-NL"/>
        </w:rPr>
      </w:pPr>
      <w:r w:rsidRPr="009B1901">
        <w:rPr>
          <w:i/>
          <w:iCs/>
          <w:szCs w:val="18"/>
          <w:lang w:val="nl-NL"/>
        </w:rPr>
        <w:t xml:space="preserve">Verbeterde voorwasprocedure </w:t>
      </w:r>
      <w:r w:rsidRPr="009B1901">
        <w:rPr>
          <w:i/>
          <w:iCs/>
          <w:szCs w:val="18"/>
          <w:lang w:val="nl-NL"/>
        </w:rPr>
        <w:br/>
      </w:r>
      <w:r w:rsidRPr="00314481">
        <w:rPr>
          <w:szCs w:val="18"/>
          <w:lang w:val="nl-NL"/>
        </w:rPr>
        <w:t xml:space="preserve">In het verleden zijn Nederlandse stranden vervuild door paraffine was. </w:t>
      </w:r>
      <w:r>
        <w:rPr>
          <w:szCs w:val="18"/>
          <w:lang w:val="nl-NL"/>
        </w:rPr>
        <w:t>In aanvulling op de MARPOL wetgeving heeft</w:t>
      </w:r>
      <w:r w:rsidRPr="00314481">
        <w:rPr>
          <w:szCs w:val="18"/>
          <w:lang w:val="nl-NL"/>
        </w:rPr>
        <w:t xml:space="preserve"> Nederland aanvullende maatregelen genomen voor het wassen van de geloste tanks. Hierover hebben de betrokken bedrijven afspraken gemaakt</w:t>
      </w:r>
      <w:r>
        <w:rPr>
          <w:rStyle w:val="FootnoteReference"/>
          <w:szCs w:val="18"/>
          <w:lang w:val="nl-NL"/>
        </w:rPr>
        <w:footnoteReference w:id="17"/>
      </w:r>
      <w:r>
        <w:rPr>
          <w:szCs w:val="18"/>
          <w:lang w:val="nl-NL"/>
        </w:rPr>
        <w:t>.</w:t>
      </w:r>
      <w:r w:rsidRPr="009B1901">
        <w:rPr>
          <w:szCs w:val="18"/>
          <w:lang w:val="nl-NL"/>
        </w:rPr>
        <w:t xml:space="preserve"> Het doel hiervan is dat er minder persistente stollende stoffen (zoals paraffine waxen) in het milieu terecht komen, simpelweg omdat de ladingtanks beter gereinigd zijn. </w:t>
      </w:r>
      <w:r>
        <w:rPr>
          <w:szCs w:val="18"/>
          <w:lang w:val="nl-NL"/>
        </w:rPr>
        <w:t xml:space="preserve">De verbeterde voorwasprocedure zal bij de Internationale Maritieme Organisatie onder de aandacht worden gebracht. </w:t>
      </w:r>
    </w:p>
    <w:p w:rsidRPr="00F90928" w:rsidR="000825B2" w:rsidP="000825B2" w:rsidRDefault="000825B2" w14:paraId="62969AF0" w14:textId="77777777">
      <w:pPr>
        <w:spacing w:before="40" w:after="0"/>
        <w:rPr>
          <w:rStyle w:val="IntenseEmphasis"/>
          <w:lang w:val="nl-NL"/>
        </w:rPr>
      </w:pPr>
      <w:r w:rsidRPr="00F90928">
        <w:rPr>
          <w:rStyle w:val="IntenseEmphasis"/>
          <w:lang w:val="nl-NL"/>
        </w:rPr>
        <w:t>Visserij</w:t>
      </w:r>
    </w:p>
    <w:p w:rsidR="000825B2" w:rsidP="000825B2" w:rsidRDefault="000825B2" w14:paraId="3902D23E" w14:textId="5DD6E3DD">
      <w:pPr>
        <w:spacing w:before="40" w:after="0"/>
        <w:rPr>
          <w:lang w:val="nl-NL"/>
        </w:rPr>
      </w:pPr>
      <w:r>
        <w:rPr>
          <w:lang w:val="nl-NL"/>
        </w:rPr>
        <w:t xml:space="preserve">De aanpak van zwerfvuil dat vanuit visserij in zee terecht komt, bouwt voort op de ervaringen en het netwerk van de </w:t>
      </w:r>
      <w:r w:rsidRPr="00B66529">
        <w:rPr>
          <w:lang w:val="nl-NL"/>
        </w:rPr>
        <w:t>Green Deal</w:t>
      </w:r>
      <w:r>
        <w:rPr>
          <w:lang w:val="nl-NL"/>
        </w:rPr>
        <w:t xml:space="preserve"> Visserij voor een Schone Zee en stemt optimaal af op de implementatie van de SUP-richtlijn en de HOV richtlijn. Op enkele acties wordt aanvullend ingezet, namelijk de vermindering van pluis en lood in zee. </w:t>
      </w:r>
      <w:r w:rsidRPr="00B66529">
        <w:rPr>
          <w:lang w:val="nl-NL"/>
        </w:rPr>
        <w:t>De maatregelen onder het cluster visserij zullen naar verwachting bijdragen aan het afnemen van de hoeveelheid afval in zee vanuit de Nederlandse visserijsector.</w:t>
      </w:r>
    </w:p>
    <w:p w:rsidR="000825B2" w:rsidP="000825B2" w:rsidRDefault="000825B2" w14:paraId="3C485BDB" w14:textId="77777777">
      <w:pPr>
        <w:spacing w:before="40" w:after="0"/>
        <w:rPr>
          <w:i/>
          <w:lang w:val="nl-NL"/>
        </w:rPr>
      </w:pPr>
      <w:r w:rsidRPr="00A02727">
        <w:rPr>
          <w:i/>
          <w:lang w:val="nl-NL"/>
        </w:rPr>
        <w:t>Aangepast</w:t>
      </w:r>
      <w:r>
        <w:rPr>
          <w:i/>
          <w:lang w:val="nl-NL"/>
        </w:rPr>
        <w:t>e</w:t>
      </w:r>
      <w:r w:rsidRPr="00A02727">
        <w:rPr>
          <w:i/>
          <w:lang w:val="nl-NL"/>
        </w:rPr>
        <w:t xml:space="preserve"> maatregelen</w:t>
      </w:r>
    </w:p>
    <w:p w:rsidRPr="00A51758" w:rsidR="000825B2" w:rsidP="000825B2" w:rsidRDefault="000825B2" w14:paraId="3EF8B767" w14:textId="5D44161A">
      <w:pPr>
        <w:pStyle w:val="ListParagraph"/>
        <w:numPr>
          <w:ilvl w:val="0"/>
          <w:numId w:val="6"/>
        </w:numPr>
        <w:rPr>
          <w:b/>
          <w:lang w:val="nl-NL"/>
        </w:rPr>
      </w:pPr>
      <w:r>
        <w:rPr>
          <w:i/>
          <w:lang w:val="nl-NL"/>
        </w:rPr>
        <w:t>Programma</w:t>
      </w:r>
      <w:r w:rsidRPr="00042582">
        <w:rPr>
          <w:i/>
          <w:lang w:val="nl-NL"/>
        </w:rPr>
        <w:t xml:space="preserve"> Visserij voor een Schone Zee</w:t>
      </w:r>
      <w:r w:rsidRPr="00042582">
        <w:rPr>
          <w:i/>
          <w:lang w:val="nl-NL"/>
        </w:rPr>
        <w:br/>
      </w:r>
      <w:r w:rsidRPr="00042582">
        <w:rPr>
          <w:lang w:val="nl-NL"/>
        </w:rPr>
        <w:t xml:space="preserve">Dit </w:t>
      </w:r>
      <w:r>
        <w:rPr>
          <w:lang w:val="nl-NL"/>
        </w:rPr>
        <w:t>programma</w:t>
      </w:r>
      <w:r w:rsidRPr="00042582">
        <w:rPr>
          <w:lang w:val="nl-NL"/>
        </w:rPr>
        <w:t xml:space="preserve"> is het vervolg op de </w:t>
      </w:r>
      <w:r w:rsidRPr="00AF1E71">
        <w:rPr>
          <w:i/>
          <w:iCs/>
          <w:lang w:val="nl-NL"/>
        </w:rPr>
        <w:t>Green Deal</w:t>
      </w:r>
      <w:r w:rsidRPr="00042582">
        <w:rPr>
          <w:lang w:val="nl-NL"/>
        </w:rPr>
        <w:t xml:space="preserve"> Visserij voor een Schone Zee. Vooral rondom bewustwordingsmaatregelen en het stimuleren van recycling ligt er nog een opgave.</w:t>
      </w:r>
      <w:r w:rsidRPr="00A51758">
        <w:rPr>
          <w:lang w:val="nl-NL"/>
        </w:rPr>
        <w:t xml:space="preserve"> Het </w:t>
      </w:r>
      <w:r>
        <w:rPr>
          <w:lang w:val="nl-NL"/>
        </w:rPr>
        <w:t>programma</w:t>
      </w:r>
      <w:r w:rsidRPr="00A51758">
        <w:rPr>
          <w:lang w:val="nl-NL"/>
        </w:rPr>
        <w:t xml:space="preserve"> zal verder bouwen op de basis die </w:t>
      </w:r>
      <w:r w:rsidRPr="00620F86">
        <w:rPr>
          <w:lang w:val="nl-NL"/>
        </w:rPr>
        <w:t xml:space="preserve">is gelegd met de </w:t>
      </w:r>
      <w:r w:rsidRPr="00B66529">
        <w:rPr>
          <w:i/>
          <w:lang w:val="nl-NL"/>
        </w:rPr>
        <w:t>Green Deal</w:t>
      </w:r>
      <w:r w:rsidRPr="00620F86">
        <w:rPr>
          <w:iCs/>
          <w:lang w:val="nl-NL"/>
        </w:rPr>
        <w:t xml:space="preserve">. Aan de hand van vier werkthema’s (goed afvalbeheer aan boord en in havens, recycling, bewustwording en educatie, en afstemming en coherentie), zal toegewerkt worden naar de doelstelling om in 2027 de ingezette daling van visserijafval op stranden </w:t>
      </w:r>
      <w:r>
        <w:rPr>
          <w:iCs/>
          <w:lang w:val="nl-NL"/>
        </w:rPr>
        <w:t xml:space="preserve">ten opzichte van 2021 </w:t>
      </w:r>
      <w:r w:rsidRPr="00620F86">
        <w:rPr>
          <w:iCs/>
          <w:lang w:val="nl-NL"/>
        </w:rPr>
        <w:t>minimaal door te zetten</w:t>
      </w:r>
      <w:r>
        <w:rPr>
          <w:iCs/>
          <w:lang w:val="nl-NL"/>
        </w:rPr>
        <w:t>, en om meer visserijafval te recyclen</w:t>
      </w:r>
      <w:r w:rsidRPr="00620F86">
        <w:rPr>
          <w:iCs/>
          <w:lang w:val="nl-NL"/>
        </w:rPr>
        <w:t xml:space="preserve">. </w:t>
      </w:r>
      <w:r w:rsidRPr="00620F86">
        <w:rPr>
          <w:lang w:val="nl-NL"/>
        </w:rPr>
        <w:t>De ketenaanpak is daarbij het uitgangspunt. De SUP-richtlijn, waarin de producenten een rol krijgen in de inzameling, recycling en bewustwording rondom vistuig, zal een belangrijk thema zijn voor afstemming tussen de partijen. Afstemming zal er</w:t>
      </w:r>
      <w:r w:rsidRPr="00A51758">
        <w:rPr>
          <w:lang w:val="nl-NL"/>
        </w:rPr>
        <w:t xml:space="preserve"> ook zijn </w:t>
      </w:r>
      <w:r>
        <w:rPr>
          <w:lang w:val="nl-NL"/>
        </w:rPr>
        <w:t xml:space="preserve">met het nieuwe </w:t>
      </w:r>
      <w:r w:rsidRPr="00B66529">
        <w:rPr>
          <w:i/>
          <w:lang w:val="nl-NL"/>
        </w:rPr>
        <w:t>Fishing for Litter</w:t>
      </w:r>
      <w:r>
        <w:rPr>
          <w:lang w:val="nl-NL"/>
        </w:rPr>
        <w:t xml:space="preserve"> programma, inclusief d</w:t>
      </w:r>
      <w:r w:rsidRPr="00042582">
        <w:rPr>
          <w:lang w:val="nl-NL"/>
        </w:rPr>
        <w:t xml:space="preserve">e uitwerking </w:t>
      </w:r>
      <w:r>
        <w:rPr>
          <w:lang w:val="nl-NL"/>
        </w:rPr>
        <w:t xml:space="preserve">binnen </w:t>
      </w:r>
      <w:r w:rsidRPr="00042582">
        <w:rPr>
          <w:lang w:val="nl-NL"/>
        </w:rPr>
        <w:t>de nieuwe HOV-</w:t>
      </w:r>
      <w:r w:rsidRPr="00A51758">
        <w:rPr>
          <w:lang w:val="nl-NL"/>
        </w:rPr>
        <w:t>richtlijn</w:t>
      </w:r>
      <w:r>
        <w:rPr>
          <w:lang w:val="nl-NL"/>
        </w:rPr>
        <w:t>.</w:t>
      </w:r>
      <w:r>
        <w:rPr>
          <w:lang w:val="nl-NL"/>
        </w:rPr>
        <w:br/>
      </w:r>
    </w:p>
    <w:p w:rsidRPr="00B30780" w:rsidR="000825B2" w:rsidP="000825B2" w:rsidRDefault="000825B2" w14:paraId="66A0B1E6" w14:textId="53371431">
      <w:pPr>
        <w:pStyle w:val="ListParagraph"/>
        <w:numPr>
          <w:ilvl w:val="0"/>
          <w:numId w:val="6"/>
        </w:numPr>
        <w:rPr>
          <w:b/>
          <w:lang w:val="nl-NL"/>
        </w:rPr>
      </w:pPr>
      <w:r w:rsidRPr="00B30780">
        <w:rPr>
          <w:i/>
          <w:lang w:val="nl-NL"/>
        </w:rPr>
        <w:t>Fishing for Litter</w:t>
      </w:r>
      <w:r w:rsidRPr="00B30780" w:rsidDel="00645FC0">
        <w:rPr>
          <w:i/>
          <w:lang w:val="nl-NL"/>
        </w:rPr>
        <w:t xml:space="preserve"> </w:t>
      </w:r>
      <w:r w:rsidRPr="00B30780">
        <w:rPr>
          <w:i/>
          <w:lang w:val="nl-NL"/>
        </w:rPr>
        <w:br/>
      </w:r>
      <w:r w:rsidRPr="00AF1E71">
        <w:rPr>
          <w:i/>
          <w:iCs/>
          <w:lang w:val="nl-NL"/>
        </w:rPr>
        <w:t>Fishing for litter</w:t>
      </w:r>
      <w:r w:rsidRPr="00B30780">
        <w:rPr>
          <w:lang w:val="nl-NL"/>
        </w:rPr>
        <w:t xml:space="preserve"> is een </w:t>
      </w:r>
      <w:r>
        <w:rPr>
          <w:lang w:val="nl-NL"/>
        </w:rPr>
        <w:t xml:space="preserve">middel voor </w:t>
      </w:r>
      <w:r w:rsidRPr="00B30780">
        <w:rPr>
          <w:lang w:val="nl-NL"/>
        </w:rPr>
        <w:t xml:space="preserve">bewustwording binnen de visserijsector. </w:t>
      </w:r>
      <w:r>
        <w:rPr>
          <w:lang w:val="nl-NL"/>
        </w:rPr>
        <w:t xml:space="preserve">Uitvoering van het programma leidt ertoe dat de </w:t>
      </w:r>
      <w:r w:rsidRPr="00B30780">
        <w:rPr>
          <w:lang w:val="nl-NL"/>
        </w:rPr>
        <w:t xml:space="preserve">zeebodem schoner </w:t>
      </w:r>
      <w:r>
        <w:rPr>
          <w:lang w:val="nl-NL"/>
        </w:rPr>
        <w:t xml:space="preserve">wordt en dat </w:t>
      </w:r>
      <w:r w:rsidRPr="00B30780">
        <w:rPr>
          <w:lang w:val="nl-NL"/>
        </w:rPr>
        <w:t xml:space="preserve">nuttige gegevens </w:t>
      </w:r>
      <w:r>
        <w:rPr>
          <w:lang w:val="nl-NL"/>
        </w:rPr>
        <w:t>beschikbaar komen</w:t>
      </w:r>
      <w:r w:rsidRPr="00B30780">
        <w:rPr>
          <w:lang w:val="nl-NL"/>
        </w:rPr>
        <w:t xml:space="preserve"> over zwerfvuil op de zeebodem</w:t>
      </w:r>
      <w:r>
        <w:rPr>
          <w:lang w:val="nl-NL"/>
        </w:rPr>
        <w:t xml:space="preserve">. Dit </w:t>
      </w:r>
      <w:r w:rsidRPr="00B30780">
        <w:rPr>
          <w:lang w:val="nl-NL"/>
        </w:rPr>
        <w:t xml:space="preserve">in aanvulling op de reguliere </w:t>
      </w:r>
      <w:r w:rsidRPr="00794CEE">
        <w:rPr>
          <w:lang w:val="nl-NL"/>
        </w:rPr>
        <w:t>monitoringsurveys zeebodemafval</w:t>
      </w:r>
      <w:r w:rsidRPr="00B30780">
        <w:rPr>
          <w:lang w:val="nl-NL"/>
        </w:rPr>
        <w:t>.</w:t>
      </w:r>
      <w:r>
        <w:rPr>
          <w:lang w:val="nl-NL"/>
        </w:rPr>
        <w:t xml:space="preserve"> </w:t>
      </w:r>
      <w:r w:rsidRPr="00B30780">
        <w:rPr>
          <w:lang w:val="nl-NL"/>
        </w:rPr>
        <w:t xml:space="preserve">De herziene </w:t>
      </w:r>
      <w:r>
        <w:rPr>
          <w:lang w:val="nl-NL"/>
        </w:rPr>
        <w:t xml:space="preserve">Richtlijn </w:t>
      </w:r>
      <w:r w:rsidRPr="00B30780">
        <w:rPr>
          <w:lang w:val="nl-NL"/>
        </w:rPr>
        <w:t xml:space="preserve">Havenontvangstvoorzieningen vraagt om een regeling voor passief opgevist afval, ook wel bekend als </w:t>
      </w:r>
      <w:r w:rsidRPr="00AF1E71">
        <w:rPr>
          <w:i/>
          <w:iCs/>
          <w:lang w:val="nl-NL"/>
        </w:rPr>
        <w:t>Fishing for Litter</w:t>
      </w:r>
      <w:r>
        <w:rPr>
          <w:lang w:val="nl-NL"/>
        </w:rPr>
        <w:t>-</w:t>
      </w:r>
      <w:r w:rsidRPr="00B30780">
        <w:rPr>
          <w:lang w:val="nl-NL"/>
        </w:rPr>
        <w:t xml:space="preserve">afval. </w:t>
      </w:r>
      <w:r>
        <w:rPr>
          <w:lang w:val="nl-NL"/>
        </w:rPr>
        <w:t>Ontvangstf</w:t>
      </w:r>
      <w:r w:rsidRPr="00B30780">
        <w:rPr>
          <w:lang w:val="nl-NL"/>
        </w:rPr>
        <w:t>aciliteiten hiervoor worden in de havens verplicht gesteld</w:t>
      </w:r>
      <w:r>
        <w:rPr>
          <w:lang w:val="nl-NL"/>
        </w:rPr>
        <w:t>. De</w:t>
      </w:r>
      <w:r w:rsidRPr="00B30780">
        <w:rPr>
          <w:lang w:val="nl-NL"/>
        </w:rPr>
        <w:t xml:space="preserve"> kosten moeten </w:t>
      </w:r>
      <w:r>
        <w:rPr>
          <w:lang w:val="nl-NL"/>
        </w:rPr>
        <w:t xml:space="preserve">worden </w:t>
      </w:r>
      <w:r w:rsidRPr="00B30780">
        <w:rPr>
          <w:lang w:val="nl-NL"/>
        </w:rPr>
        <w:t xml:space="preserve">gedekt via indirecte financiering. Tijdens de implementatie van de </w:t>
      </w:r>
      <w:r>
        <w:rPr>
          <w:lang w:val="nl-NL"/>
        </w:rPr>
        <w:t xml:space="preserve">Richtlijn </w:t>
      </w:r>
      <w:r w:rsidRPr="00B30780">
        <w:rPr>
          <w:lang w:val="nl-NL"/>
        </w:rPr>
        <w:t>Havenontvangstvoorzieningen</w:t>
      </w:r>
      <w:r w:rsidRPr="00B30780" w:rsidDel="007E14F8">
        <w:rPr>
          <w:lang w:val="nl-NL"/>
        </w:rPr>
        <w:t xml:space="preserve"> </w:t>
      </w:r>
      <w:r>
        <w:rPr>
          <w:lang w:val="nl-NL"/>
        </w:rPr>
        <w:t xml:space="preserve">wordt </w:t>
      </w:r>
      <w:r w:rsidRPr="00B30780">
        <w:rPr>
          <w:lang w:val="nl-NL"/>
        </w:rPr>
        <w:t xml:space="preserve">met de betrokken </w:t>
      </w:r>
      <w:r>
        <w:rPr>
          <w:lang w:val="nl-NL"/>
        </w:rPr>
        <w:t>FFL-</w:t>
      </w:r>
      <w:r w:rsidRPr="00B30780">
        <w:rPr>
          <w:lang w:val="nl-NL"/>
        </w:rPr>
        <w:t xml:space="preserve">partners bekeken hoe het programma het beste vorm kan </w:t>
      </w:r>
      <w:r>
        <w:rPr>
          <w:lang w:val="nl-NL"/>
        </w:rPr>
        <w:t>krijgen</w:t>
      </w:r>
      <w:r w:rsidRPr="00B30780">
        <w:rPr>
          <w:lang w:val="nl-NL"/>
        </w:rPr>
        <w:t xml:space="preserve"> binnen de nieuwe richtlijn</w:t>
      </w:r>
      <w:r>
        <w:rPr>
          <w:lang w:val="nl-NL"/>
        </w:rPr>
        <w:t xml:space="preserve"> en hoe het eventueel nog verder verbeterd kan worden</w:t>
      </w:r>
      <w:r w:rsidRPr="00B30780">
        <w:rPr>
          <w:lang w:val="nl-NL"/>
        </w:rPr>
        <w:t xml:space="preserve">. </w:t>
      </w:r>
    </w:p>
    <w:p w:rsidRPr="00A82F3F" w:rsidR="000825B2" w:rsidP="000825B2" w:rsidRDefault="000825B2" w14:paraId="3DD5A955" w14:textId="77777777">
      <w:pPr>
        <w:spacing w:before="40" w:after="0"/>
        <w:rPr>
          <w:i/>
          <w:lang w:val="nl-NL"/>
        </w:rPr>
      </w:pPr>
      <w:r w:rsidRPr="00A82F3F">
        <w:rPr>
          <w:i/>
          <w:lang w:val="nl-NL"/>
        </w:rPr>
        <w:t>Aanvullende maatregelen</w:t>
      </w:r>
    </w:p>
    <w:p w:rsidRPr="009F3ACF" w:rsidR="000825B2" w:rsidP="000825B2" w:rsidRDefault="000825B2" w14:paraId="48CE077B" w14:textId="1E0330A4">
      <w:pPr>
        <w:pStyle w:val="ListParagraph"/>
        <w:numPr>
          <w:ilvl w:val="0"/>
          <w:numId w:val="7"/>
        </w:numPr>
        <w:spacing w:after="0" w:line="240" w:lineRule="auto"/>
        <w:rPr>
          <w:lang w:val="nl-NL"/>
        </w:rPr>
      </w:pPr>
      <w:r w:rsidRPr="009F3ACF">
        <w:rPr>
          <w:i/>
          <w:lang w:val="nl-NL"/>
        </w:rPr>
        <w:t>Uitfasering van pluis met stimulerende maatregelen</w:t>
      </w:r>
      <w:r w:rsidRPr="009F3ACF">
        <w:rPr>
          <w:i/>
          <w:lang w:val="nl-NL"/>
        </w:rPr>
        <w:br/>
      </w:r>
      <w:r w:rsidRPr="009F3ACF">
        <w:rPr>
          <w:lang w:val="nl-NL"/>
        </w:rPr>
        <w:t xml:space="preserve">Sinds 2013 werken de visserijsector, </w:t>
      </w:r>
      <w:r>
        <w:rPr>
          <w:lang w:val="nl-NL"/>
        </w:rPr>
        <w:t>ngo</w:t>
      </w:r>
      <w:r w:rsidRPr="009F3ACF">
        <w:rPr>
          <w:lang w:val="nl-NL"/>
        </w:rPr>
        <w:t>’s, onderzoeksinstituten en overheden samen om een alternatief voor pluis te vinden. In het vorige KRM</w:t>
      </w:r>
      <w:r>
        <w:rPr>
          <w:lang w:val="nl-NL"/>
        </w:rPr>
        <w:t>-</w:t>
      </w:r>
      <w:r w:rsidRPr="009F3ACF">
        <w:rPr>
          <w:lang w:val="nl-NL"/>
        </w:rPr>
        <w:t xml:space="preserve">programma van maatregelen </w:t>
      </w:r>
      <w:r>
        <w:rPr>
          <w:lang w:val="nl-NL"/>
        </w:rPr>
        <w:t>is</w:t>
      </w:r>
      <w:r w:rsidRPr="009F3ACF">
        <w:rPr>
          <w:lang w:val="nl-NL"/>
        </w:rPr>
        <w:t xml:space="preserve"> een verkenning opgenomen </w:t>
      </w:r>
      <w:r>
        <w:rPr>
          <w:lang w:val="nl-NL"/>
        </w:rPr>
        <w:t>naar</w:t>
      </w:r>
      <w:r w:rsidRPr="009F3ACF">
        <w:rPr>
          <w:lang w:val="nl-NL"/>
        </w:rPr>
        <w:t xml:space="preserve"> alternatieven</w:t>
      </w:r>
      <w:r>
        <w:rPr>
          <w:lang w:val="nl-NL"/>
        </w:rPr>
        <w:t>.</w:t>
      </w:r>
      <w:r w:rsidRPr="009F3ACF">
        <w:rPr>
          <w:lang w:val="nl-NL"/>
        </w:rPr>
        <w:t xml:space="preserve"> </w:t>
      </w:r>
      <w:r>
        <w:rPr>
          <w:lang w:val="nl-NL"/>
        </w:rPr>
        <w:t>Sindsdien zijn v</w:t>
      </w:r>
      <w:r w:rsidRPr="009F3ACF">
        <w:rPr>
          <w:lang w:val="nl-NL"/>
        </w:rPr>
        <w:t xml:space="preserve">erschillende materialen getest, met wisselend succes. </w:t>
      </w:r>
      <w:r w:rsidRPr="00D2439F">
        <w:rPr>
          <w:lang w:val="nl-NL"/>
        </w:rPr>
        <w:t>Biologisch afbreekbaar pluis l</w:t>
      </w:r>
      <w:r>
        <w:rPr>
          <w:lang w:val="nl-NL"/>
        </w:rPr>
        <w:t>iet</w:t>
      </w:r>
      <w:r w:rsidRPr="00D2439F">
        <w:rPr>
          <w:lang w:val="nl-NL"/>
        </w:rPr>
        <w:t xml:space="preserve"> goede </w:t>
      </w:r>
      <w:r>
        <w:rPr>
          <w:lang w:val="nl-NL"/>
        </w:rPr>
        <w:t>test</w:t>
      </w:r>
      <w:r w:rsidRPr="00D2439F">
        <w:rPr>
          <w:lang w:val="nl-NL"/>
        </w:rPr>
        <w:t>resultaten zien</w:t>
      </w:r>
      <w:r>
        <w:rPr>
          <w:lang w:val="nl-NL"/>
        </w:rPr>
        <w:t>, maar</w:t>
      </w:r>
      <w:r w:rsidRPr="00D2439F">
        <w:rPr>
          <w:lang w:val="nl-NL"/>
        </w:rPr>
        <w:t xml:space="preserve"> </w:t>
      </w:r>
      <w:r w:rsidRPr="00794CEE">
        <w:rPr>
          <w:lang w:val="nl-NL"/>
        </w:rPr>
        <w:t xml:space="preserve">het bedrijfseconomisch toepasbaar maken </w:t>
      </w:r>
      <w:r>
        <w:rPr>
          <w:lang w:val="nl-NL"/>
        </w:rPr>
        <w:t xml:space="preserve">is nog een </w:t>
      </w:r>
      <w:r w:rsidRPr="00D2439F">
        <w:rPr>
          <w:lang w:val="nl-NL"/>
        </w:rPr>
        <w:t xml:space="preserve">uitdaging. </w:t>
      </w:r>
      <w:r>
        <w:rPr>
          <w:lang w:val="nl-NL"/>
        </w:rPr>
        <w:t>Het streven is</w:t>
      </w:r>
      <w:r w:rsidRPr="00D2439F">
        <w:rPr>
          <w:lang w:val="nl-NL"/>
        </w:rPr>
        <w:t xml:space="preserve"> om de inzet van alternatieve oplossingen te stimuleren en het gebruik van conventioneel pluis geleidelijk uit te faseren </w:t>
      </w:r>
      <w:r>
        <w:rPr>
          <w:lang w:val="nl-NL"/>
        </w:rPr>
        <w:t>tot</w:t>
      </w:r>
      <w:r w:rsidRPr="00D2439F">
        <w:rPr>
          <w:lang w:val="nl-NL"/>
        </w:rPr>
        <w:t xml:space="preserve"> het jaar 2027</w:t>
      </w:r>
      <w:r>
        <w:rPr>
          <w:lang w:val="nl-NL"/>
        </w:rPr>
        <w:t>. Dat gebeurt</w:t>
      </w:r>
      <w:r w:rsidRPr="00D2439F">
        <w:rPr>
          <w:lang w:val="nl-NL"/>
        </w:rPr>
        <w:t xml:space="preserve"> door middel van:</w:t>
      </w:r>
    </w:p>
    <w:p w:rsidR="000825B2" w:rsidP="000825B2" w:rsidRDefault="000825B2" w14:paraId="2301DF37" w14:textId="77777777">
      <w:pPr>
        <w:pStyle w:val="ListParagraph"/>
        <w:numPr>
          <w:ilvl w:val="0"/>
          <w:numId w:val="10"/>
        </w:numPr>
        <w:rPr>
          <w:lang w:val="nl-NL"/>
        </w:rPr>
      </w:pPr>
      <w:r w:rsidRPr="00BE225C">
        <w:rPr>
          <w:i/>
          <w:lang w:val="nl-NL"/>
        </w:rPr>
        <w:t>Uitfasering door stimulans</w:t>
      </w:r>
      <w:r w:rsidRPr="001812D1">
        <w:rPr>
          <w:lang w:val="nl-NL"/>
        </w:rPr>
        <w:t xml:space="preserve">: een financiële (fiscale) stimulans om </w:t>
      </w:r>
      <w:r>
        <w:rPr>
          <w:lang w:val="nl-NL"/>
        </w:rPr>
        <w:t>milieuvriendelijke</w:t>
      </w:r>
      <w:r w:rsidRPr="001812D1">
        <w:rPr>
          <w:lang w:val="nl-NL"/>
        </w:rPr>
        <w:t xml:space="preserve"> alternatieven van pluis financieel aantrekkelijker en bedrijfseconomisch haalbaar te maken</w:t>
      </w:r>
      <w:r>
        <w:rPr>
          <w:lang w:val="nl-NL"/>
        </w:rPr>
        <w:t>.</w:t>
      </w:r>
    </w:p>
    <w:p w:rsidR="000825B2" w:rsidP="000825B2" w:rsidRDefault="000825B2" w14:paraId="19DCF92E" w14:textId="77777777">
      <w:pPr>
        <w:pStyle w:val="ListParagraph"/>
        <w:numPr>
          <w:ilvl w:val="0"/>
          <w:numId w:val="10"/>
        </w:numPr>
        <w:rPr>
          <w:lang w:val="nl-NL"/>
        </w:rPr>
      </w:pPr>
      <w:r w:rsidRPr="00BE225C">
        <w:rPr>
          <w:i/>
          <w:lang w:val="nl-NL"/>
        </w:rPr>
        <w:t xml:space="preserve">Faciliteren/organiseren van </w:t>
      </w:r>
      <w:r>
        <w:rPr>
          <w:i/>
          <w:lang w:val="nl-NL"/>
        </w:rPr>
        <w:t xml:space="preserve">activiteiten </w:t>
      </w:r>
      <w:r>
        <w:rPr>
          <w:lang w:val="nl-NL"/>
        </w:rPr>
        <w:t>om</w:t>
      </w:r>
      <w:r w:rsidRPr="008F2A7A">
        <w:rPr>
          <w:lang w:val="nl-NL"/>
        </w:rPr>
        <w:t xml:space="preserve"> </w:t>
      </w:r>
      <w:r>
        <w:rPr>
          <w:lang w:val="nl-NL"/>
        </w:rPr>
        <w:t xml:space="preserve">milieuvriendelijke </w:t>
      </w:r>
      <w:r w:rsidRPr="008F2A7A">
        <w:rPr>
          <w:lang w:val="nl-NL"/>
        </w:rPr>
        <w:t xml:space="preserve">alternatieven </w:t>
      </w:r>
      <w:r>
        <w:rPr>
          <w:lang w:val="nl-NL"/>
        </w:rPr>
        <w:t>te promoten en</w:t>
      </w:r>
      <w:r w:rsidRPr="008F2A7A">
        <w:rPr>
          <w:lang w:val="nl-NL"/>
        </w:rPr>
        <w:t xml:space="preserve"> bekendheid en bewustwording te vergroten.</w:t>
      </w:r>
      <w:r>
        <w:rPr>
          <w:lang w:val="nl-NL"/>
        </w:rPr>
        <w:t xml:space="preserve"> Dit sluit aan bij de bewustwordingsmaatregel gericht op verantwoord vistuig, die vanuit de SUP-richtlijn moet worden uitgevoerd.</w:t>
      </w:r>
    </w:p>
    <w:p w:rsidR="000825B2" w:rsidP="000825B2" w:rsidRDefault="000825B2" w14:paraId="4D501607" w14:textId="24D10371">
      <w:pPr>
        <w:rPr>
          <w:lang w:val="nl-NL"/>
        </w:rPr>
      </w:pPr>
      <w:r w:rsidRPr="00C55E48">
        <w:rPr>
          <w:lang w:val="nl-NL"/>
        </w:rPr>
        <w:t>Onderzocht wordt of deze maatregel ingepast kan worden in de Kottervisie en de innovatietrajecten voor vistuig die daarbinnen plaatsvinden</w:t>
      </w:r>
      <w:r>
        <w:rPr>
          <w:lang w:val="nl-NL"/>
        </w:rPr>
        <w:t>. In de uitwerking hiervan wordt invulling gegeven aan de motie De Groot (2021)</w:t>
      </w:r>
      <w:r w:rsidR="00386043">
        <w:rPr>
          <w:lang w:val="nl-NL"/>
        </w:rPr>
        <w:t xml:space="preserve"> [40]</w:t>
      </w:r>
      <w:r>
        <w:rPr>
          <w:lang w:val="nl-NL"/>
        </w:rPr>
        <w:t>, die vraagt om een heldere routekaart voor de uitfasering van conventioneel vispluis.</w:t>
      </w:r>
    </w:p>
    <w:p w:rsidRPr="00620F86" w:rsidR="000825B2" w:rsidP="000825B2" w:rsidRDefault="000825B2" w14:paraId="1469ECDA" w14:textId="77777777">
      <w:pPr>
        <w:pStyle w:val="ListParagraph"/>
        <w:numPr>
          <w:ilvl w:val="0"/>
          <w:numId w:val="7"/>
        </w:numPr>
        <w:spacing w:after="0"/>
        <w:ind w:left="357" w:hanging="357"/>
        <w:rPr>
          <w:i/>
          <w:lang w:val="nl-NL"/>
        </w:rPr>
      </w:pPr>
      <w:r w:rsidRPr="00620F86">
        <w:rPr>
          <w:i/>
          <w:lang w:val="nl-NL"/>
        </w:rPr>
        <w:t>Standaardisatie voor circulair design en ketenaanpak van vistuig</w:t>
      </w:r>
    </w:p>
    <w:p w:rsidRPr="00C53913" w:rsidR="000825B2" w:rsidP="000825B2" w:rsidRDefault="000825B2" w14:paraId="3EB026A9" w14:textId="2791741F">
      <w:pPr>
        <w:ind w:left="284"/>
        <w:rPr>
          <w:i/>
          <w:lang w:val="nl-NL"/>
        </w:rPr>
      </w:pPr>
      <w:r w:rsidRPr="00C53913">
        <w:rPr>
          <w:lang w:val="nl-NL"/>
        </w:rPr>
        <w:t xml:space="preserve">Binnen de context van de SUP-richtlijn voert NEN het secretariaat van CEN werkgroep 466, die werkt aan standaards voor circulair ontwerp en de afvalketen van vistuig. NEN faciliteert ook de Nederlandse schaduwgroep. Het gaat hierbij om het opstellen van (vrijwillige) standaards voor technische vereisten aan ontwerp, materiaalgebruik en circulariteit van het vistuig. Maar ook </w:t>
      </w:r>
      <w:r w:rsidR="008C428E">
        <w:rPr>
          <w:lang w:val="nl-NL"/>
        </w:rPr>
        <w:t>voor</w:t>
      </w:r>
      <w:r w:rsidRPr="00C53913" w:rsidR="008C428E">
        <w:rPr>
          <w:lang w:val="nl-NL"/>
        </w:rPr>
        <w:t xml:space="preserve"> </w:t>
      </w:r>
      <w:r w:rsidRPr="00C53913">
        <w:rPr>
          <w:lang w:val="nl-NL"/>
        </w:rPr>
        <w:t>inzameling, monitoring, traceerbaarheid, reparatie</w:t>
      </w:r>
      <w:r>
        <w:rPr>
          <w:lang w:val="nl-NL"/>
        </w:rPr>
        <w:t xml:space="preserve"> en</w:t>
      </w:r>
      <w:r w:rsidRPr="00C53913">
        <w:rPr>
          <w:lang w:val="nl-NL"/>
        </w:rPr>
        <w:t xml:space="preserve"> recycling van vistuig. Een dergelijke ketenaanpak sluit goed aan bij eerdere KRM-initiatieven zoals de </w:t>
      </w:r>
      <w:r w:rsidRPr="00C53913">
        <w:rPr>
          <w:i/>
          <w:iCs/>
          <w:lang w:val="nl-NL"/>
        </w:rPr>
        <w:t>Green Deal</w:t>
      </w:r>
      <w:r w:rsidRPr="00C53913">
        <w:rPr>
          <w:lang w:val="nl-NL"/>
        </w:rPr>
        <w:t xml:space="preserve"> Visserij voor een Schone Zee. </w:t>
      </w:r>
      <w:r>
        <w:rPr>
          <w:lang w:val="nl-NL"/>
        </w:rPr>
        <w:t xml:space="preserve">De </w:t>
      </w:r>
      <w:r w:rsidRPr="00C53913">
        <w:rPr>
          <w:lang w:val="nl-NL"/>
        </w:rPr>
        <w:t xml:space="preserve">Rijksoverheid ondersteunt dit initiatief zowel financieel als inhoudelijk. De inspanningen moeten uiteindelijk leiden tot een CEN standaard eind 2024, die bij kan dragen aan minder afval in zee en een hogere recycling graad van visserijafval,  </w:t>
      </w:r>
    </w:p>
    <w:p w:rsidR="000825B2" w:rsidP="000825B2" w:rsidRDefault="000825B2" w14:paraId="06C7F578" w14:textId="77777777">
      <w:pPr>
        <w:pStyle w:val="ListParagraph"/>
        <w:numPr>
          <w:ilvl w:val="0"/>
          <w:numId w:val="2"/>
        </w:numPr>
        <w:ind w:left="284"/>
        <w:rPr>
          <w:i/>
          <w:lang w:val="nl-NL"/>
        </w:rPr>
      </w:pPr>
      <w:r w:rsidRPr="008F2A7A">
        <w:rPr>
          <w:i/>
          <w:lang w:val="nl-NL"/>
        </w:rPr>
        <w:t>Inzet vermindering lood in sportvisserij</w:t>
      </w:r>
      <w:r>
        <w:rPr>
          <w:i/>
          <w:lang w:val="nl-NL"/>
        </w:rPr>
        <w:t xml:space="preserve"> op zee</w:t>
      </w:r>
    </w:p>
    <w:p w:rsidR="00A35C23" w:rsidP="000825B2" w:rsidRDefault="000825B2" w14:paraId="76530194" w14:textId="2F161B67">
      <w:pPr>
        <w:spacing w:before="40" w:after="0"/>
        <w:rPr>
          <w:szCs w:val="18"/>
          <w:lang w:val="nl-NL"/>
        </w:rPr>
      </w:pPr>
      <w:r w:rsidRPr="00C96E28">
        <w:rPr>
          <w:szCs w:val="18"/>
          <w:lang w:val="nl-NL"/>
        </w:rPr>
        <w:t xml:space="preserve">Hoewel </w:t>
      </w:r>
      <w:r w:rsidRPr="00C96E28">
        <w:rPr>
          <w:rFonts w:cs="Arial"/>
          <w:szCs w:val="18"/>
          <w:lang w:val="nl-NL"/>
        </w:rPr>
        <w:t>het aanbod van loodvrije visgewichten groeit, is het ten opzichte van het brede scala aan loodhoudende visgewichten nog altijd zeer beperkt.</w:t>
      </w:r>
      <w:r w:rsidRPr="00FA1325">
        <w:rPr>
          <w:lang w:val="nl-NL"/>
        </w:rPr>
        <w:t xml:space="preserve"> </w:t>
      </w:r>
      <w:r w:rsidRPr="00C96E28">
        <w:rPr>
          <w:lang w:val="nl-NL"/>
        </w:rPr>
        <w:t xml:space="preserve"> B</w:t>
      </w:r>
      <w:r>
        <w:rPr>
          <w:lang w:val="nl-NL"/>
        </w:rPr>
        <w:t xml:space="preserve">ovendien verschilt </w:t>
      </w:r>
      <w:r w:rsidRPr="00FA1325">
        <w:rPr>
          <w:lang w:val="nl-NL"/>
        </w:rPr>
        <w:t xml:space="preserve">het aanbod </w:t>
      </w:r>
      <w:r>
        <w:rPr>
          <w:lang w:val="nl-NL"/>
        </w:rPr>
        <w:t xml:space="preserve">per </w:t>
      </w:r>
      <w:r w:rsidRPr="00FA1325">
        <w:rPr>
          <w:lang w:val="nl-NL"/>
        </w:rPr>
        <w:t>soort visserij</w:t>
      </w:r>
      <w:r>
        <w:rPr>
          <w:lang w:val="nl-NL"/>
        </w:rPr>
        <w:t>.</w:t>
      </w:r>
      <w:r w:rsidRPr="00FA1325">
        <w:rPr>
          <w:lang w:val="nl-NL"/>
        </w:rPr>
        <w:t xml:space="preserve"> </w:t>
      </w:r>
      <w:r>
        <w:rPr>
          <w:lang w:val="nl-NL"/>
        </w:rPr>
        <w:t>Daardoor is</w:t>
      </w:r>
      <w:r w:rsidRPr="00FA1325">
        <w:rPr>
          <w:lang w:val="nl-NL"/>
        </w:rPr>
        <w:t xml:space="preserve"> tot dusver </w:t>
      </w:r>
      <w:r w:rsidRPr="00211233">
        <w:rPr>
          <w:lang w:val="nl-NL"/>
        </w:rPr>
        <w:t xml:space="preserve">in de communicatie </w:t>
      </w:r>
      <w:r>
        <w:rPr>
          <w:lang w:val="nl-NL"/>
        </w:rPr>
        <w:t>met</w:t>
      </w:r>
      <w:r w:rsidRPr="00211233">
        <w:rPr>
          <w:lang w:val="nl-NL"/>
        </w:rPr>
        <w:t xml:space="preserve"> zee-sportvissers</w:t>
      </w:r>
      <w:r w:rsidRPr="00211233" w:rsidDel="00211233">
        <w:rPr>
          <w:lang w:val="nl-NL"/>
        </w:rPr>
        <w:t xml:space="preserve"> </w:t>
      </w:r>
      <w:r>
        <w:rPr>
          <w:lang w:val="nl-NL"/>
        </w:rPr>
        <w:t xml:space="preserve">de overstap op alternatieven </w:t>
      </w:r>
      <w:r w:rsidRPr="00FA1325">
        <w:rPr>
          <w:lang w:val="nl-NL"/>
        </w:rPr>
        <w:t xml:space="preserve">beperkt </w:t>
      </w:r>
      <w:r>
        <w:rPr>
          <w:lang w:val="nl-NL"/>
        </w:rPr>
        <w:t>gestimuleerd</w:t>
      </w:r>
      <w:r w:rsidRPr="00FA1325">
        <w:rPr>
          <w:lang w:val="nl-NL"/>
        </w:rPr>
        <w:t xml:space="preserve">. </w:t>
      </w:r>
      <w:r w:rsidRPr="001A27A3">
        <w:rPr>
          <w:lang w:val="nl-NL"/>
        </w:rPr>
        <w:t xml:space="preserve">Het streefdoel van de </w:t>
      </w:r>
      <w:r w:rsidRPr="005F767A">
        <w:rPr>
          <w:i/>
          <w:iCs/>
          <w:lang w:val="nl-NL"/>
        </w:rPr>
        <w:t>Green Deal</w:t>
      </w:r>
      <w:r w:rsidRPr="001A27A3">
        <w:rPr>
          <w:lang w:val="nl-NL"/>
        </w:rPr>
        <w:t xml:space="preserve"> Sportvisserij </w:t>
      </w:r>
      <w:r>
        <w:rPr>
          <w:lang w:val="nl-NL"/>
        </w:rPr>
        <w:t xml:space="preserve">Loodvrij </w:t>
      </w:r>
      <w:r w:rsidRPr="001A27A3">
        <w:rPr>
          <w:lang w:val="nl-NL"/>
        </w:rPr>
        <w:t xml:space="preserve">voor 2021 was 30 procent reductie </w:t>
      </w:r>
      <w:r>
        <w:rPr>
          <w:lang w:val="nl-NL"/>
        </w:rPr>
        <w:t xml:space="preserve">(ten opzichte van 2018) </w:t>
      </w:r>
      <w:r w:rsidRPr="001A27A3">
        <w:rPr>
          <w:lang w:val="nl-NL"/>
        </w:rPr>
        <w:t xml:space="preserve">van het loodgebruik door sportvissers. Na de evaluatie </w:t>
      </w:r>
      <w:r>
        <w:rPr>
          <w:lang w:val="nl-NL"/>
        </w:rPr>
        <w:t xml:space="preserve">van eind 2021 </w:t>
      </w:r>
      <w:r w:rsidR="00A35C23">
        <w:rPr>
          <w:lang w:val="nl-NL"/>
        </w:rPr>
        <w:t>zal</w:t>
      </w:r>
      <w:r w:rsidRPr="001A27A3">
        <w:rPr>
          <w:lang w:val="nl-NL"/>
        </w:rPr>
        <w:t xml:space="preserve"> worden verkend of nieuwe stappen nodig zijn om het streefdoel van uitfasering in 2027 te behalen</w:t>
      </w:r>
      <w:r>
        <w:rPr>
          <w:lang w:val="nl-NL"/>
        </w:rPr>
        <w:t xml:space="preserve">. </w:t>
      </w:r>
      <w:r w:rsidR="00A35C23">
        <w:rPr>
          <w:szCs w:val="18"/>
          <w:lang w:val="nl-NL"/>
        </w:rPr>
        <w:t>Het effect van een mogelijk Europees gebruiks- en verkoopverbod op vislood zal daarin meegenomen worden.</w:t>
      </w:r>
    </w:p>
    <w:p w:rsidRPr="00FD7AF5" w:rsidR="000825B2" w:rsidP="000825B2" w:rsidRDefault="000825B2" w14:paraId="4020A86D" w14:textId="4C911EAF">
      <w:pPr>
        <w:spacing w:before="40" w:after="0"/>
        <w:rPr>
          <w:lang w:val="nl-NL"/>
        </w:rPr>
      </w:pPr>
      <w:r w:rsidRPr="00FA1325">
        <w:rPr>
          <w:lang w:val="nl-NL"/>
        </w:rPr>
        <w:t xml:space="preserve">Om een inhaalslag te </w:t>
      </w:r>
      <w:r>
        <w:rPr>
          <w:lang w:val="nl-NL"/>
        </w:rPr>
        <w:t>kunnen maken, zijn de volgende maatregelen gepland</w:t>
      </w:r>
      <w:r w:rsidRPr="00FA1325">
        <w:rPr>
          <w:lang w:val="nl-NL"/>
        </w:rPr>
        <w:t>:</w:t>
      </w:r>
    </w:p>
    <w:p w:rsidRPr="00FA1325" w:rsidR="000825B2" w:rsidP="000825B2" w:rsidRDefault="000825B2" w14:paraId="3FEA4167" w14:textId="77777777">
      <w:pPr>
        <w:pStyle w:val="ListParagraph"/>
        <w:numPr>
          <w:ilvl w:val="0"/>
          <w:numId w:val="11"/>
        </w:numPr>
        <w:rPr>
          <w:i/>
          <w:lang w:val="nl-NL"/>
        </w:rPr>
      </w:pPr>
      <w:r w:rsidRPr="00AF1E71">
        <w:rPr>
          <w:iCs/>
          <w:lang w:val="nl-NL"/>
        </w:rPr>
        <w:t xml:space="preserve">Een inventarisatie maken van de </w:t>
      </w:r>
      <w:r>
        <w:rPr>
          <w:iCs/>
          <w:lang w:val="nl-NL"/>
        </w:rPr>
        <w:t xml:space="preserve">beschikbare </w:t>
      </w:r>
      <w:r w:rsidRPr="00AF1E71">
        <w:rPr>
          <w:iCs/>
          <w:lang w:val="nl-NL"/>
        </w:rPr>
        <w:t>alternatieven</w:t>
      </w:r>
      <w:r w:rsidRPr="005B5F0C">
        <w:rPr>
          <w:iCs/>
          <w:lang w:val="nl-NL"/>
        </w:rPr>
        <w:t xml:space="preserve"> v</w:t>
      </w:r>
      <w:r w:rsidRPr="00AC7166">
        <w:rPr>
          <w:iCs/>
          <w:lang w:val="nl-NL"/>
        </w:rPr>
        <w:t>oor</w:t>
      </w:r>
      <w:r w:rsidRPr="00FA1325">
        <w:rPr>
          <w:lang w:val="nl-NL"/>
        </w:rPr>
        <w:t xml:space="preserve"> lood </w:t>
      </w:r>
      <w:r>
        <w:rPr>
          <w:lang w:val="nl-NL"/>
        </w:rPr>
        <w:t xml:space="preserve">per type </w:t>
      </w:r>
      <w:r w:rsidRPr="00FA1325">
        <w:rPr>
          <w:lang w:val="nl-NL"/>
        </w:rPr>
        <w:t>zee-sportvisserij</w:t>
      </w:r>
      <w:r>
        <w:rPr>
          <w:lang w:val="nl-NL"/>
        </w:rPr>
        <w:t>. Doel is om</w:t>
      </w:r>
      <w:r w:rsidRPr="00FA1325">
        <w:rPr>
          <w:lang w:val="nl-NL"/>
        </w:rPr>
        <w:t xml:space="preserve"> een completer overzicht te </w:t>
      </w:r>
      <w:r>
        <w:rPr>
          <w:lang w:val="nl-NL"/>
        </w:rPr>
        <w:t>krijgen</w:t>
      </w:r>
      <w:r w:rsidRPr="00FA1325">
        <w:rPr>
          <w:lang w:val="nl-NL"/>
        </w:rPr>
        <w:t xml:space="preserve"> van de milieuvriendelijkheid, functionaliteit, kosten en beschikbaarheid van</w:t>
      </w:r>
      <w:r>
        <w:rPr>
          <w:lang w:val="nl-NL"/>
        </w:rPr>
        <w:t xml:space="preserve"> deze alternatieven</w:t>
      </w:r>
      <w:r w:rsidRPr="00FA1325">
        <w:rPr>
          <w:lang w:val="nl-NL"/>
        </w:rPr>
        <w:t xml:space="preserve"> in vergelijking met lood. </w:t>
      </w:r>
    </w:p>
    <w:p w:rsidR="000825B2" w:rsidP="000825B2" w:rsidRDefault="000825B2" w14:paraId="46CCC745" w14:textId="7E261422">
      <w:pPr>
        <w:spacing w:before="40" w:after="0"/>
        <w:rPr>
          <w:rFonts w:cs="Arial"/>
          <w:szCs w:val="18"/>
          <w:lang w:val="nl-NL"/>
        </w:rPr>
      </w:pPr>
      <w:r w:rsidRPr="00926544">
        <w:rPr>
          <w:lang w:val="nl-NL"/>
        </w:rPr>
        <w:t xml:space="preserve">Met de resultaten van deze inventarisatie kan gerichter met de zee-sportvissers worden </w:t>
      </w:r>
      <w:r w:rsidRPr="00926544">
        <w:rPr>
          <w:iCs/>
          <w:lang w:val="nl-NL"/>
        </w:rPr>
        <w:t>gecommuniceerd om meer bewustwording</w:t>
      </w:r>
      <w:r w:rsidRPr="00926544">
        <w:rPr>
          <w:lang w:val="nl-NL"/>
        </w:rPr>
        <w:t xml:space="preserve"> te creëren over de impact van lood en over de mogelijke alternatieven. Denk aan communicatie in havens, bij trailerhellingen, op populaire stranden en sportvischarterschepen, en in winkels, bijvoorbeeld door middel van posters, folders en magazines. </w:t>
      </w:r>
    </w:p>
    <w:p w:rsidR="000825B2" w:rsidP="000825B2" w:rsidRDefault="000825B2" w14:paraId="39057BC2" w14:textId="77777777">
      <w:pPr>
        <w:spacing w:before="40" w:after="0"/>
        <w:rPr>
          <w:szCs w:val="18"/>
          <w:lang w:val="nl-NL"/>
        </w:rPr>
      </w:pPr>
      <w:r w:rsidRPr="008575A3">
        <w:rPr>
          <w:rFonts w:cs="Arial"/>
          <w:szCs w:val="18"/>
          <w:lang w:val="nl-NL"/>
        </w:rPr>
        <w:t xml:space="preserve">Met het voorstel van de </w:t>
      </w:r>
      <w:r w:rsidRPr="007C6C60">
        <w:rPr>
          <w:i/>
          <w:iCs/>
          <w:lang w:val="nl-NL"/>
        </w:rPr>
        <w:t>European Chemicals Agency</w:t>
      </w:r>
      <w:r w:rsidRPr="00FD6C46">
        <w:rPr>
          <w:lang w:val="nl-NL"/>
        </w:rPr>
        <w:t xml:space="preserve"> </w:t>
      </w:r>
      <w:r w:rsidRPr="008575A3">
        <w:rPr>
          <w:rFonts w:cs="Arial"/>
          <w:szCs w:val="18"/>
          <w:lang w:val="nl-NL"/>
        </w:rPr>
        <w:t>aan de Europese Commissie</w:t>
      </w:r>
      <w:r w:rsidRPr="00FD6C46">
        <w:rPr>
          <w:lang w:val="nl-NL"/>
        </w:rPr>
        <w:t xml:space="preserve"> voor </w:t>
      </w:r>
      <w:r w:rsidRPr="008575A3">
        <w:rPr>
          <w:rFonts w:cs="Arial"/>
          <w:szCs w:val="18"/>
          <w:lang w:val="nl-NL"/>
        </w:rPr>
        <w:t>een volledig gebruiks-</w:t>
      </w:r>
      <w:r w:rsidRPr="00FD6C46">
        <w:rPr>
          <w:lang w:val="nl-NL"/>
        </w:rPr>
        <w:t xml:space="preserve"> en </w:t>
      </w:r>
      <w:r w:rsidRPr="00B07F74">
        <w:rPr>
          <w:rFonts w:cs="Arial"/>
          <w:szCs w:val="18"/>
          <w:lang w:val="nl-NL"/>
        </w:rPr>
        <w:t>verkoopverbod</w:t>
      </w:r>
      <w:r w:rsidRPr="00FD6C46">
        <w:rPr>
          <w:lang w:val="nl-NL"/>
        </w:rPr>
        <w:t xml:space="preserve"> van </w:t>
      </w:r>
      <w:r w:rsidRPr="008575A3">
        <w:rPr>
          <w:rFonts w:cs="Arial"/>
          <w:szCs w:val="18"/>
          <w:lang w:val="nl-NL"/>
        </w:rPr>
        <w:t>vislood</w:t>
      </w:r>
      <w:r w:rsidRPr="00FD6C46">
        <w:rPr>
          <w:lang w:val="nl-NL"/>
        </w:rPr>
        <w:t xml:space="preserve"> in </w:t>
      </w:r>
      <w:r w:rsidRPr="008575A3">
        <w:rPr>
          <w:rFonts w:cs="Arial"/>
          <w:szCs w:val="18"/>
          <w:lang w:val="nl-NL"/>
        </w:rPr>
        <w:t>de EU, zijn er concrete stappen gezet om tot Europese regelgeving te komen.</w:t>
      </w:r>
      <w:r w:rsidRPr="007C6C60">
        <w:rPr>
          <w:lang w:val="nl-NL"/>
        </w:rPr>
        <w:t xml:space="preserve"> De Europese Commissie zal </w:t>
      </w:r>
      <w:r w:rsidRPr="00612A1A">
        <w:rPr>
          <w:szCs w:val="18"/>
          <w:lang w:val="nl-NL"/>
        </w:rPr>
        <w:t xml:space="preserve">naar verwachting </w:t>
      </w:r>
      <w:r w:rsidRPr="007C6C60">
        <w:rPr>
          <w:lang w:val="nl-NL"/>
        </w:rPr>
        <w:t>eind 2022 over dit voorstel een besluit nemen.</w:t>
      </w:r>
      <w:r w:rsidRPr="00612A1A">
        <w:rPr>
          <w:szCs w:val="18"/>
          <w:lang w:val="nl-NL"/>
        </w:rPr>
        <w:t xml:space="preserve"> De partijen binnen de </w:t>
      </w:r>
      <w:r w:rsidRPr="00B07F74">
        <w:rPr>
          <w:i/>
          <w:iCs/>
          <w:szCs w:val="18"/>
          <w:lang w:val="nl-NL"/>
        </w:rPr>
        <w:t>Green Deal</w:t>
      </w:r>
      <w:r w:rsidRPr="00612A1A">
        <w:rPr>
          <w:szCs w:val="18"/>
          <w:lang w:val="nl-NL"/>
        </w:rPr>
        <w:t xml:space="preserve"> zijn het erover eens dat maatregelen hieromtrent in Europees verband een positieve ontwikkeling zijn</w:t>
      </w:r>
      <w:r>
        <w:rPr>
          <w:szCs w:val="18"/>
          <w:lang w:val="nl-NL"/>
        </w:rPr>
        <w:t>.</w:t>
      </w:r>
    </w:p>
    <w:p w:rsidRPr="00926544" w:rsidR="000825B2" w:rsidP="000825B2" w:rsidRDefault="000825B2" w14:paraId="22698537" w14:textId="77777777">
      <w:pPr>
        <w:spacing w:before="40" w:after="0"/>
        <w:rPr>
          <w:lang w:val="nl-NL"/>
        </w:rPr>
      </w:pPr>
    </w:p>
    <w:p w:rsidRPr="00F9083F" w:rsidR="000825B2" w:rsidP="000825B2" w:rsidRDefault="000825B2" w14:paraId="45284A40" w14:textId="77777777">
      <w:pPr>
        <w:spacing w:before="40" w:after="0"/>
        <w:rPr>
          <w:i/>
          <w:iCs/>
          <w:color w:val="5B9BD5" w:themeColor="accent1"/>
          <w:lang w:val="nl-NL"/>
        </w:rPr>
      </w:pPr>
      <w:r w:rsidRPr="00F9083F">
        <w:rPr>
          <w:rStyle w:val="IntenseEmphasis"/>
          <w:lang w:val="nl-NL"/>
        </w:rPr>
        <w:t xml:space="preserve">Kunststofproducten / Landbronnen van zwerfvuil op zee </w:t>
      </w:r>
    </w:p>
    <w:p w:rsidRPr="00A313A2" w:rsidR="000825B2" w:rsidP="000825B2" w:rsidRDefault="000825B2" w14:paraId="35B546BA" w14:textId="77777777">
      <w:pPr>
        <w:rPr>
          <w:lang w:val="nl-NL"/>
        </w:rPr>
      </w:pPr>
      <w:r w:rsidRPr="00A313A2">
        <w:rPr>
          <w:color w:val="211D1E"/>
          <w:szCs w:val="18"/>
          <w:lang w:val="nl-NL"/>
        </w:rPr>
        <w:t>De aangepaste en aanvullende KRM maatregelen betreffen aanpak ballonnen en pre-productiepellets.</w:t>
      </w:r>
      <w:r>
        <w:rPr>
          <w:i/>
          <w:color w:val="211D1E"/>
          <w:szCs w:val="18"/>
          <w:lang w:val="nl-NL"/>
        </w:rPr>
        <w:t xml:space="preserve"> </w:t>
      </w:r>
      <w:r>
        <w:rPr>
          <w:lang w:val="nl-NL"/>
        </w:rPr>
        <w:t xml:space="preserve">Omdat een groot deel van de aanpak van kunststofproducten in het zwerfvuil via de SUP-richtlijn en de Richtlijn Plastic tassen loopt, worden </w:t>
      </w:r>
      <w:r w:rsidRPr="00234718">
        <w:rPr>
          <w:lang w:val="nl-NL"/>
        </w:rPr>
        <w:t xml:space="preserve">in de KRM </w:t>
      </w:r>
      <w:r>
        <w:rPr>
          <w:lang w:val="nl-NL"/>
        </w:rPr>
        <w:t xml:space="preserve">geen aanvullende maatregelen </w:t>
      </w:r>
      <w:r w:rsidRPr="00A13CCA">
        <w:rPr>
          <w:lang w:val="nl-NL"/>
        </w:rPr>
        <w:t xml:space="preserve">opgenomen. </w:t>
      </w:r>
      <w:r w:rsidRPr="008E2931">
        <w:rPr>
          <w:lang w:val="nl-NL"/>
        </w:rPr>
        <w:t xml:space="preserve">Wél blijft er vanuit de KRM betrokkenheid bij de ontwikkelingen rond deze richtlijnen. </w:t>
      </w:r>
      <w:r w:rsidRPr="00A313A2">
        <w:rPr>
          <w:lang w:val="nl-NL"/>
        </w:rPr>
        <w:t>Zo nodig kunnen te zijner tijd aanvullend maatregelen worden getroffen.</w:t>
      </w:r>
    </w:p>
    <w:p w:rsidR="000825B2" w:rsidP="000825B2" w:rsidRDefault="000825B2" w14:paraId="0667205F" w14:textId="19DB05CE">
      <w:pPr>
        <w:rPr>
          <w:i/>
          <w:color w:val="211D1E"/>
          <w:szCs w:val="18"/>
          <w:lang w:val="nl-NL"/>
        </w:rPr>
      </w:pPr>
      <w:r>
        <w:rPr>
          <w:lang w:val="nl-NL"/>
        </w:rPr>
        <w:t xml:space="preserve">De beleidsinspanning wordt voortgezet </w:t>
      </w:r>
      <w:r w:rsidRPr="0016699B">
        <w:rPr>
          <w:lang w:val="nl-NL"/>
        </w:rPr>
        <w:t>om</w:t>
      </w:r>
      <w:r>
        <w:rPr>
          <w:lang w:val="nl-NL"/>
        </w:rPr>
        <w:t xml:space="preserve"> de </w:t>
      </w:r>
      <w:r w:rsidRPr="0016699B">
        <w:rPr>
          <w:lang w:val="nl-NL"/>
        </w:rPr>
        <w:t>microplasticvervuiling aan te pakken. Het is aan een nieuw kabinet om verder te investeren in de benodigde kennisbasis ten aanzien van microplastics en</w:t>
      </w:r>
      <w:r>
        <w:rPr>
          <w:lang w:val="nl-NL"/>
        </w:rPr>
        <w:t xml:space="preserve"> de ingezette acties voor</w:t>
      </w:r>
      <w:r w:rsidRPr="00A313A2">
        <w:rPr>
          <w:lang w:val="nl-NL"/>
        </w:rPr>
        <w:t xml:space="preserve">microplastics en rivierafval </w:t>
      </w:r>
      <w:r>
        <w:rPr>
          <w:lang w:val="nl-NL"/>
        </w:rPr>
        <w:t>in het kader van</w:t>
      </w:r>
      <w:r w:rsidRPr="00A313A2">
        <w:rPr>
          <w:lang w:val="nl-NL"/>
        </w:rPr>
        <w:t xml:space="preserve"> het beleidsprogramma microplastics</w:t>
      </w:r>
      <w:r>
        <w:rPr>
          <w:lang w:val="nl-NL"/>
        </w:rPr>
        <w:t xml:space="preserve"> voort te zetten.</w:t>
      </w:r>
    </w:p>
    <w:p w:rsidRPr="00BF6DDC" w:rsidR="000825B2" w:rsidP="000825B2" w:rsidRDefault="000825B2" w14:paraId="3D5184F9" w14:textId="77777777">
      <w:pPr>
        <w:rPr>
          <w:i/>
          <w:color w:val="211D1E"/>
          <w:szCs w:val="18"/>
          <w:lang w:val="nl-NL"/>
        </w:rPr>
      </w:pPr>
      <w:r w:rsidRPr="00BF6DDC">
        <w:rPr>
          <w:i/>
          <w:color w:val="211D1E"/>
          <w:szCs w:val="18"/>
          <w:lang w:val="nl-NL"/>
        </w:rPr>
        <w:t>Aangepaste maatregelen</w:t>
      </w:r>
    </w:p>
    <w:p w:rsidRPr="00B730A9" w:rsidR="000825B2" w:rsidP="000825B2" w:rsidRDefault="000825B2" w14:paraId="7B672197" w14:textId="2D0FBC6D">
      <w:pPr>
        <w:pStyle w:val="ListParagraph"/>
        <w:numPr>
          <w:ilvl w:val="0"/>
          <w:numId w:val="8"/>
        </w:numPr>
        <w:rPr>
          <w:color w:val="211D1E"/>
          <w:szCs w:val="18"/>
          <w:lang w:val="nl-NL"/>
        </w:rPr>
      </w:pPr>
      <w:r w:rsidRPr="00685747">
        <w:rPr>
          <w:i/>
          <w:lang w:val="nl-NL"/>
        </w:rPr>
        <w:t xml:space="preserve">Bevordering van het terugdringen </w:t>
      </w:r>
      <w:r>
        <w:rPr>
          <w:i/>
          <w:lang w:val="nl-NL"/>
        </w:rPr>
        <w:t xml:space="preserve">van </w:t>
      </w:r>
      <w:r w:rsidRPr="00685747">
        <w:rPr>
          <w:i/>
          <w:lang w:val="nl-NL"/>
        </w:rPr>
        <w:t>ballonnen</w:t>
      </w:r>
      <w:r w:rsidRPr="00685747">
        <w:rPr>
          <w:i/>
          <w:lang w:val="nl-NL"/>
        </w:rPr>
        <w:br/>
      </w:r>
      <w:r w:rsidRPr="003B3DCA">
        <w:rPr>
          <w:color w:val="211D1F"/>
          <w:szCs w:val="18"/>
          <w:lang w:val="nl-NL"/>
        </w:rPr>
        <w:t xml:space="preserve">Het kabinet </w:t>
      </w:r>
      <w:r>
        <w:rPr>
          <w:color w:val="211D1F"/>
          <w:szCs w:val="18"/>
          <w:lang w:val="nl-NL"/>
        </w:rPr>
        <w:t xml:space="preserve">gaat door met het </w:t>
      </w:r>
      <w:r w:rsidRPr="00F9083F">
        <w:rPr>
          <w:color w:val="211D1F"/>
          <w:szCs w:val="18"/>
          <w:lang w:val="nl-NL"/>
        </w:rPr>
        <w:t>onder de aandacht brengen</w:t>
      </w:r>
      <w:r w:rsidRPr="003B3DCA">
        <w:rPr>
          <w:color w:val="211D1F"/>
          <w:szCs w:val="18"/>
          <w:lang w:val="nl-NL"/>
        </w:rPr>
        <w:t xml:space="preserve"> </w:t>
      </w:r>
      <w:r>
        <w:rPr>
          <w:color w:val="211D1F"/>
          <w:szCs w:val="18"/>
          <w:lang w:val="nl-NL"/>
        </w:rPr>
        <w:t xml:space="preserve">van </w:t>
      </w:r>
      <w:r w:rsidRPr="003B3DCA">
        <w:rPr>
          <w:color w:val="211D1F"/>
          <w:szCs w:val="18"/>
          <w:lang w:val="nl-NL"/>
        </w:rPr>
        <w:t>de problematiek van ballonresten in het milieu</w:t>
      </w:r>
      <w:r>
        <w:rPr>
          <w:color w:val="211D1F"/>
          <w:szCs w:val="18"/>
          <w:lang w:val="nl-NL"/>
        </w:rPr>
        <w:t xml:space="preserve"> en blijft gemeenten wijzen op de beleidsmogelijkheid die ze hebben </w:t>
      </w:r>
      <w:r w:rsidRPr="003B3DCA">
        <w:rPr>
          <w:color w:val="211D1F"/>
          <w:szCs w:val="18"/>
          <w:lang w:val="nl-NL"/>
        </w:rPr>
        <w:t>om het oplaten van ballon</w:t>
      </w:r>
      <w:r>
        <w:rPr>
          <w:color w:val="211D1F"/>
          <w:szCs w:val="18"/>
          <w:lang w:val="nl-NL"/>
        </w:rPr>
        <w:t>n</w:t>
      </w:r>
      <w:r w:rsidRPr="003B3DCA">
        <w:rPr>
          <w:color w:val="211D1F"/>
          <w:szCs w:val="18"/>
          <w:lang w:val="nl-NL"/>
        </w:rPr>
        <w:t>en terug te dringen.</w:t>
      </w:r>
      <w:r w:rsidRPr="00FD7AF5">
        <w:rPr>
          <w:color w:val="211D1F"/>
          <w:lang w:val="nl-NL"/>
        </w:rPr>
        <w:t xml:space="preserve"> </w:t>
      </w:r>
      <w:r>
        <w:rPr>
          <w:lang w:val="nl-NL"/>
        </w:rPr>
        <w:t xml:space="preserve">Dit wordt meegenomen in de ondersteuning van gemeenten op het gebied van zwerfvuil door Rijkswaterstaat. </w:t>
      </w:r>
      <w:r>
        <w:rPr>
          <w:color w:val="211D1F"/>
          <w:szCs w:val="18"/>
          <w:lang w:val="nl-NL"/>
        </w:rPr>
        <w:t>Deze aanpak zal naar verwachting bijdragen aan een significante afname van de hoeveelheid ballonnen in het mariene milieu ten opzichte van 2021.</w:t>
      </w:r>
      <w:r w:rsidRPr="00685747">
        <w:rPr>
          <w:lang w:val="nl-NL"/>
        </w:rPr>
        <w:t xml:space="preserve"> </w:t>
      </w:r>
      <w:r>
        <w:rPr>
          <w:lang w:val="nl-NL"/>
        </w:rPr>
        <w:t xml:space="preserve">Kanalen die gebruikt zullen worden zijn o.a. het afvalblad GRAM, en het platform www.schoudersonderschoon.nl. Dit door RWS getrokken platform is gericht op het ondersteunen van stakeholders met zwerfvuil campagnes. Andere acties die het Rijk gaat overwegen zijn bijeenkomsten over het voorkomen van ballonnenafval en het opstellen van een internationale handreiking. Dit draagt tevens bij aan kennisuitwisseling. </w:t>
      </w:r>
      <w:r w:rsidRPr="00685747">
        <w:rPr>
          <w:lang w:val="nl-NL"/>
        </w:rPr>
        <w:t xml:space="preserve">Inmiddels </w:t>
      </w:r>
      <w:r>
        <w:rPr>
          <w:lang w:val="nl-NL"/>
        </w:rPr>
        <w:t xml:space="preserve">geldt in </w:t>
      </w:r>
      <w:r w:rsidRPr="003B3DCA">
        <w:rPr>
          <w:color w:val="211D1F"/>
          <w:szCs w:val="18"/>
          <w:lang w:val="nl-NL"/>
        </w:rPr>
        <w:t>meer dan 60</w:t>
      </w:r>
      <w:r>
        <w:rPr>
          <w:color w:val="211D1F"/>
          <w:szCs w:val="18"/>
          <w:lang w:val="nl-NL"/>
        </w:rPr>
        <w:t xml:space="preserve"> procent</w:t>
      </w:r>
      <w:r w:rsidRPr="003B3DCA">
        <w:rPr>
          <w:color w:val="211D1F"/>
          <w:szCs w:val="18"/>
          <w:lang w:val="nl-NL"/>
        </w:rPr>
        <w:t xml:space="preserve"> van de gemeenten </w:t>
      </w:r>
      <w:r>
        <w:rPr>
          <w:color w:val="211D1F"/>
          <w:szCs w:val="18"/>
          <w:lang w:val="nl-NL"/>
        </w:rPr>
        <w:t xml:space="preserve">een </w:t>
      </w:r>
      <w:r w:rsidRPr="00F9083F">
        <w:rPr>
          <w:color w:val="211D1F"/>
          <w:szCs w:val="18"/>
          <w:lang w:val="nl-NL"/>
        </w:rPr>
        <w:t>ontmoedigingsbeleid</w:t>
      </w:r>
      <w:r>
        <w:rPr>
          <w:color w:val="211D1F"/>
          <w:szCs w:val="18"/>
          <w:lang w:val="nl-NL"/>
        </w:rPr>
        <w:t xml:space="preserve"> of </w:t>
      </w:r>
      <w:r w:rsidRPr="003B3DCA">
        <w:rPr>
          <w:color w:val="211D1F"/>
          <w:szCs w:val="18"/>
          <w:lang w:val="nl-NL"/>
        </w:rPr>
        <w:t xml:space="preserve">een verbod </w:t>
      </w:r>
      <w:r>
        <w:rPr>
          <w:color w:val="211D1F"/>
          <w:szCs w:val="18"/>
          <w:lang w:val="nl-NL"/>
        </w:rPr>
        <w:t xml:space="preserve">op het oplaten van ballonnen. </w:t>
      </w:r>
      <w:r w:rsidRPr="003B3DCA">
        <w:rPr>
          <w:color w:val="211D1F"/>
          <w:szCs w:val="18"/>
          <w:lang w:val="nl-NL"/>
        </w:rPr>
        <w:t xml:space="preserve">Aanvullend </w:t>
      </w:r>
      <w:r>
        <w:rPr>
          <w:color w:val="211D1F"/>
          <w:szCs w:val="18"/>
          <w:lang w:val="nl-NL"/>
        </w:rPr>
        <w:t xml:space="preserve">worden door de invoering van </w:t>
      </w:r>
      <w:r w:rsidRPr="003B3DCA">
        <w:rPr>
          <w:color w:val="211D1F"/>
          <w:szCs w:val="18"/>
          <w:lang w:val="nl-NL"/>
        </w:rPr>
        <w:t>de SUP</w:t>
      </w:r>
      <w:r>
        <w:rPr>
          <w:color w:val="211D1F"/>
          <w:szCs w:val="18"/>
          <w:lang w:val="nl-NL"/>
        </w:rPr>
        <w:t xml:space="preserve">-richtlijn ook producenten van ballonnen op hun </w:t>
      </w:r>
      <w:r w:rsidRPr="003B3DCA">
        <w:rPr>
          <w:color w:val="211D1F"/>
          <w:szCs w:val="18"/>
          <w:lang w:val="nl-NL"/>
        </w:rPr>
        <w:t xml:space="preserve">verantwoordelijkheid </w:t>
      </w:r>
      <w:r>
        <w:rPr>
          <w:color w:val="211D1F"/>
          <w:szCs w:val="18"/>
          <w:lang w:val="nl-NL"/>
        </w:rPr>
        <w:t>aangesproken</w:t>
      </w:r>
      <w:r w:rsidRPr="003B3DCA">
        <w:rPr>
          <w:color w:val="211D1F"/>
          <w:szCs w:val="18"/>
          <w:lang w:val="nl-NL"/>
        </w:rPr>
        <w:t xml:space="preserve">. </w:t>
      </w:r>
    </w:p>
    <w:p w:rsidRPr="009F2177" w:rsidR="000825B2" w:rsidP="000825B2" w:rsidRDefault="000825B2" w14:paraId="3E809597" w14:textId="77777777">
      <w:pPr>
        <w:rPr>
          <w:i/>
          <w:color w:val="211D1E"/>
          <w:szCs w:val="18"/>
          <w:lang w:val="nl-NL"/>
        </w:rPr>
      </w:pPr>
      <w:r w:rsidRPr="009F2177">
        <w:rPr>
          <w:i/>
          <w:color w:val="211D1E"/>
          <w:szCs w:val="18"/>
          <w:lang w:val="nl-NL"/>
        </w:rPr>
        <w:t>Aanvullende maatregelen</w:t>
      </w:r>
    </w:p>
    <w:p w:rsidRPr="00BF6DDC" w:rsidR="000825B2" w:rsidP="000825B2" w:rsidRDefault="000825B2" w14:paraId="65F7A5E2" w14:textId="4EFC4463">
      <w:pPr>
        <w:pStyle w:val="ListParagraph"/>
        <w:numPr>
          <w:ilvl w:val="0"/>
          <w:numId w:val="12"/>
        </w:numPr>
        <w:rPr>
          <w:i/>
          <w:lang w:val="nl-NL"/>
        </w:rPr>
      </w:pPr>
      <w:r w:rsidRPr="00B730A9">
        <w:rPr>
          <w:i/>
          <w:lang w:val="nl-NL"/>
        </w:rPr>
        <w:t>Pre</w:t>
      </w:r>
      <w:r>
        <w:rPr>
          <w:i/>
          <w:lang w:val="nl-NL"/>
        </w:rPr>
        <w:t>-</w:t>
      </w:r>
      <w:r w:rsidRPr="00B730A9">
        <w:rPr>
          <w:i/>
          <w:lang w:val="nl-NL"/>
        </w:rPr>
        <w:t>producti</w:t>
      </w:r>
      <w:r>
        <w:rPr>
          <w:i/>
          <w:lang w:val="nl-NL"/>
        </w:rPr>
        <w:t>e</w:t>
      </w:r>
      <w:r w:rsidRPr="00B730A9">
        <w:rPr>
          <w:i/>
          <w:lang w:val="nl-NL"/>
        </w:rPr>
        <w:t xml:space="preserve">pellets </w:t>
      </w:r>
      <w:r w:rsidRPr="00B730A9">
        <w:rPr>
          <w:i/>
          <w:lang w:val="nl-NL"/>
        </w:rPr>
        <w:br/>
      </w:r>
      <w:r w:rsidRPr="00FD6D18">
        <w:rPr>
          <w:lang w:val="nl-NL"/>
        </w:rPr>
        <w:t>Het kabinet zal de OSPAR-aanbeveling</w:t>
      </w:r>
      <w:r>
        <w:rPr>
          <w:lang w:val="nl-NL"/>
        </w:rPr>
        <w:t xml:space="preserve"> 2021/06 </w:t>
      </w:r>
      <w:r w:rsidRPr="00FD6D18">
        <w:rPr>
          <w:lang w:val="nl-NL"/>
        </w:rPr>
        <w:t>uitvoeren om de aanwezigheid van plastic pellets in het milieu tegen te gaan.</w:t>
      </w:r>
      <w:r>
        <w:rPr>
          <w:lang w:val="nl-NL"/>
        </w:rPr>
        <w:t xml:space="preserve"> </w:t>
      </w:r>
      <w:r w:rsidRPr="00260839">
        <w:rPr>
          <w:lang w:val="nl-NL"/>
        </w:rPr>
        <w:t xml:space="preserve">Plastic pellets, ook wel </w:t>
      </w:r>
      <w:r w:rsidRPr="00AF1E71">
        <w:rPr>
          <w:i/>
          <w:iCs/>
          <w:lang w:val="nl-NL"/>
        </w:rPr>
        <w:t>nurdles</w:t>
      </w:r>
      <w:r w:rsidRPr="00260839">
        <w:rPr>
          <w:lang w:val="nl-NL"/>
        </w:rPr>
        <w:t xml:space="preserve"> of pre</w:t>
      </w:r>
      <w:r>
        <w:rPr>
          <w:lang w:val="nl-NL"/>
        </w:rPr>
        <w:t>-</w:t>
      </w:r>
      <w:r w:rsidRPr="00260839">
        <w:rPr>
          <w:lang w:val="nl-NL"/>
        </w:rPr>
        <w:t>productiepellets genoemd, kunnen</w:t>
      </w:r>
      <w:r w:rsidRPr="004057E2">
        <w:rPr>
          <w:lang w:val="nl-NL"/>
        </w:rPr>
        <w:t xml:space="preserve"> als microplastics </w:t>
      </w:r>
      <w:r w:rsidRPr="00FD6D18">
        <w:rPr>
          <w:lang w:val="nl-NL"/>
        </w:rPr>
        <w:t>in het milieu komen</w:t>
      </w:r>
      <w:r w:rsidRPr="00260839">
        <w:rPr>
          <w:lang w:val="nl-NL"/>
        </w:rPr>
        <w:t xml:space="preserve"> tijdens productie, opslag, transport of verwerking</w:t>
      </w:r>
      <w:r>
        <w:rPr>
          <w:lang w:val="nl-NL"/>
        </w:rPr>
        <w:t>.</w:t>
      </w:r>
      <w:r w:rsidRPr="00260839">
        <w:rPr>
          <w:lang w:val="nl-NL"/>
        </w:rPr>
        <w:t xml:space="preserve"> De </w:t>
      </w:r>
      <w:r>
        <w:rPr>
          <w:lang w:val="nl-NL"/>
        </w:rPr>
        <w:t xml:space="preserve">verantwoordelijkheid voor de aanpak van </w:t>
      </w:r>
      <w:r w:rsidRPr="00FD6D18">
        <w:rPr>
          <w:lang w:val="nl-NL"/>
        </w:rPr>
        <w:t>pre</w:t>
      </w:r>
      <w:r>
        <w:rPr>
          <w:lang w:val="nl-NL"/>
        </w:rPr>
        <w:t>-</w:t>
      </w:r>
      <w:r w:rsidRPr="00FD6D18">
        <w:rPr>
          <w:lang w:val="nl-NL"/>
        </w:rPr>
        <w:t xml:space="preserve">productiepellets </w:t>
      </w:r>
      <w:r w:rsidRPr="00260839">
        <w:rPr>
          <w:lang w:val="nl-NL"/>
        </w:rPr>
        <w:t>ligt primair bij de industrie, die hier</w:t>
      </w:r>
      <w:r>
        <w:rPr>
          <w:lang w:val="nl-NL"/>
        </w:rPr>
        <w:t>voor</w:t>
      </w:r>
      <w:r w:rsidRPr="00260839">
        <w:rPr>
          <w:lang w:val="nl-NL"/>
        </w:rPr>
        <w:t xml:space="preserve"> </w:t>
      </w:r>
      <w:r w:rsidRPr="00AF1E71">
        <w:rPr>
          <w:i/>
          <w:iCs/>
          <w:lang w:val="nl-NL"/>
        </w:rPr>
        <w:t>Operation Clean Sweep</w:t>
      </w:r>
      <w:r w:rsidRPr="00260839">
        <w:rPr>
          <w:lang w:val="nl-NL"/>
        </w:rPr>
        <w:t xml:space="preserve"> in het leven </w:t>
      </w:r>
      <w:r>
        <w:rPr>
          <w:lang w:val="nl-NL"/>
        </w:rPr>
        <w:t>heeft</w:t>
      </w:r>
      <w:r w:rsidRPr="00260839">
        <w:rPr>
          <w:lang w:val="nl-NL"/>
        </w:rPr>
        <w:t xml:space="preserve"> geroepen</w:t>
      </w:r>
      <w:r>
        <w:rPr>
          <w:lang w:val="nl-NL"/>
        </w:rPr>
        <w:t xml:space="preserve">. Plastics Europe werkt op dit moment aan de uitwerking van een certificeringssysteem. </w:t>
      </w:r>
      <w:r w:rsidRPr="00A43D3A">
        <w:rPr>
          <w:lang w:val="nl-NL"/>
        </w:rPr>
        <w:t>Het Rijk zet zich ervoor in dat zo veel mogelijk partijen zich laten certificeren op een manier die aansluit bij de OSPAR-aanbeveling</w:t>
      </w:r>
      <w:r>
        <w:rPr>
          <w:lang w:val="nl-NL"/>
        </w:rPr>
        <w:t>.</w:t>
      </w:r>
    </w:p>
    <w:p w:rsidR="000825B2" w:rsidP="000825B2" w:rsidRDefault="000825B2" w14:paraId="68A3BBBF" w14:textId="77777777">
      <w:pPr>
        <w:pStyle w:val="TOCHeading"/>
      </w:pPr>
      <w:r>
        <w:t>Verkenningen</w:t>
      </w:r>
    </w:p>
    <w:p w:rsidR="000825B2" w:rsidP="000825B2" w:rsidRDefault="000825B2" w14:paraId="6C6676C2" w14:textId="77777777">
      <w:pPr>
        <w:rPr>
          <w:lang w:val="nl-NL"/>
        </w:rPr>
      </w:pPr>
      <w:r w:rsidRPr="00CB158A">
        <w:rPr>
          <w:lang w:val="nl-NL"/>
        </w:rPr>
        <w:t xml:space="preserve">De ambitie </w:t>
      </w:r>
      <w:r>
        <w:rPr>
          <w:lang w:val="nl-NL"/>
        </w:rPr>
        <w:t xml:space="preserve">om te komen tot </w:t>
      </w:r>
      <w:r w:rsidRPr="00CB158A">
        <w:rPr>
          <w:lang w:val="nl-NL"/>
        </w:rPr>
        <w:t xml:space="preserve">een gezonde </w:t>
      </w:r>
      <w:r>
        <w:rPr>
          <w:lang w:val="nl-NL"/>
        </w:rPr>
        <w:t xml:space="preserve">en duurzaam gebruikte </w:t>
      </w:r>
      <w:r w:rsidRPr="00CB158A">
        <w:rPr>
          <w:lang w:val="nl-NL"/>
        </w:rPr>
        <w:t>zee vraagt</w:t>
      </w:r>
      <w:r>
        <w:rPr>
          <w:lang w:val="nl-NL"/>
        </w:rPr>
        <w:t xml:space="preserve"> niet alleen om maatregelen die de huidige beleidsopgaven oplossen, maar ook</w:t>
      </w:r>
      <w:r w:rsidRPr="00CB158A">
        <w:rPr>
          <w:lang w:val="nl-NL"/>
        </w:rPr>
        <w:t xml:space="preserve"> om voortdurende alertheid op kansen</w:t>
      </w:r>
      <w:r>
        <w:rPr>
          <w:lang w:val="nl-NL"/>
        </w:rPr>
        <w:t xml:space="preserve"> </w:t>
      </w:r>
      <w:r w:rsidRPr="00CB158A">
        <w:rPr>
          <w:lang w:val="nl-NL"/>
        </w:rPr>
        <w:t xml:space="preserve">om </w:t>
      </w:r>
      <w:r>
        <w:rPr>
          <w:lang w:val="nl-NL"/>
        </w:rPr>
        <w:t xml:space="preserve">het </w:t>
      </w:r>
      <w:r w:rsidRPr="00CB158A">
        <w:rPr>
          <w:lang w:val="nl-NL"/>
        </w:rPr>
        <w:t>duurzaam gebruik van de Noordzee te vergroten, de</w:t>
      </w:r>
      <w:r>
        <w:rPr>
          <w:lang w:val="nl-NL"/>
        </w:rPr>
        <w:t xml:space="preserve"> </w:t>
      </w:r>
      <w:r w:rsidRPr="00CB158A">
        <w:rPr>
          <w:lang w:val="nl-NL"/>
        </w:rPr>
        <w:t>druk op het mariene milieu en het ecosysteem verder te</w:t>
      </w:r>
      <w:r>
        <w:rPr>
          <w:lang w:val="nl-NL"/>
        </w:rPr>
        <w:t xml:space="preserve"> </w:t>
      </w:r>
      <w:r w:rsidRPr="00CB158A">
        <w:rPr>
          <w:lang w:val="nl-NL"/>
        </w:rPr>
        <w:t>beperken en – waar mogelijk – het Noordzee-ecosysteem</w:t>
      </w:r>
      <w:r>
        <w:rPr>
          <w:lang w:val="nl-NL"/>
        </w:rPr>
        <w:t xml:space="preserve"> </w:t>
      </w:r>
      <w:r w:rsidRPr="00CB158A">
        <w:rPr>
          <w:lang w:val="nl-NL"/>
        </w:rPr>
        <w:t>actief te herstellen.</w:t>
      </w:r>
      <w:r>
        <w:rPr>
          <w:lang w:val="nl-NL"/>
        </w:rPr>
        <w:t xml:space="preserve"> </w:t>
      </w:r>
      <w:r w:rsidRPr="00CB158A">
        <w:rPr>
          <w:lang w:val="nl-NL"/>
        </w:rPr>
        <w:t xml:space="preserve">Vanuit deze </w:t>
      </w:r>
      <w:r>
        <w:rPr>
          <w:lang w:val="nl-NL"/>
        </w:rPr>
        <w:t xml:space="preserve">benadering, </w:t>
      </w:r>
      <w:r w:rsidRPr="00CB158A">
        <w:rPr>
          <w:lang w:val="nl-NL"/>
        </w:rPr>
        <w:t>kansen</w:t>
      </w:r>
      <w:r>
        <w:rPr>
          <w:lang w:val="nl-NL"/>
        </w:rPr>
        <w:t xml:space="preserve"> </w:t>
      </w:r>
      <w:r w:rsidRPr="00CB158A">
        <w:rPr>
          <w:lang w:val="nl-NL"/>
        </w:rPr>
        <w:t>benutten en (potentiële) problemen o</w:t>
      </w:r>
      <w:r>
        <w:rPr>
          <w:lang w:val="nl-NL"/>
        </w:rPr>
        <w:t>p</w:t>
      </w:r>
      <w:r w:rsidRPr="00CB158A">
        <w:rPr>
          <w:lang w:val="nl-NL"/>
        </w:rPr>
        <w:t>lossen</w:t>
      </w:r>
      <w:r>
        <w:rPr>
          <w:lang w:val="nl-NL"/>
        </w:rPr>
        <w:t>,</w:t>
      </w:r>
      <w:r w:rsidRPr="00CB158A">
        <w:rPr>
          <w:lang w:val="nl-NL"/>
        </w:rPr>
        <w:t xml:space="preserve"> </w:t>
      </w:r>
      <w:r>
        <w:rPr>
          <w:lang w:val="nl-NL"/>
        </w:rPr>
        <w:t>worden enkele</w:t>
      </w:r>
      <w:r w:rsidRPr="00CB158A">
        <w:rPr>
          <w:lang w:val="nl-NL"/>
        </w:rPr>
        <w:t xml:space="preserve"> verkenningen </w:t>
      </w:r>
      <w:r>
        <w:rPr>
          <w:lang w:val="nl-NL"/>
        </w:rPr>
        <w:t>uitgevoerd</w:t>
      </w:r>
      <w:r w:rsidRPr="00CB158A">
        <w:rPr>
          <w:lang w:val="nl-NL"/>
        </w:rPr>
        <w:t>. De uitkomsten van</w:t>
      </w:r>
      <w:r>
        <w:rPr>
          <w:lang w:val="nl-NL"/>
        </w:rPr>
        <w:t xml:space="preserve"> </w:t>
      </w:r>
      <w:r w:rsidRPr="00CB158A">
        <w:rPr>
          <w:lang w:val="nl-NL"/>
        </w:rPr>
        <w:t>de verkenningen</w:t>
      </w:r>
      <w:r>
        <w:rPr>
          <w:lang w:val="nl-NL"/>
        </w:rPr>
        <w:t xml:space="preserve"> zijn input voor de toekomstige actualisaties van de KRM-doelen en -maatregelen,</w:t>
      </w:r>
      <w:r w:rsidRPr="00CB158A">
        <w:rPr>
          <w:lang w:val="nl-NL"/>
        </w:rPr>
        <w:t xml:space="preserve"> of leiden al</w:t>
      </w:r>
      <w:r>
        <w:rPr>
          <w:lang w:val="nl-NL"/>
        </w:rPr>
        <w:t xml:space="preserve"> </w:t>
      </w:r>
      <w:r w:rsidRPr="00CB158A">
        <w:rPr>
          <w:lang w:val="nl-NL"/>
        </w:rPr>
        <w:t>eerder tot aanpassingen als dat wenselijk en mogelijk is</w:t>
      </w:r>
      <w:r>
        <w:rPr>
          <w:lang w:val="nl-NL"/>
        </w:rPr>
        <w:t xml:space="preserve">. </w:t>
      </w:r>
    </w:p>
    <w:p w:rsidRPr="00FF5A40" w:rsidR="000825B2" w:rsidP="000825B2" w:rsidRDefault="000825B2" w14:paraId="31E6F1A7" w14:textId="77777777">
      <w:pPr>
        <w:rPr>
          <w:rStyle w:val="IntenseEmphasis"/>
          <w:iCs w:val="0"/>
          <w:color w:val="auto"/>
        </w:rPr>
      </w:pPr>
      <w:r w:rsidRPr="00FF5A40">
        <w:rPr>
          <w:rStyle w:val="IntenseEmphasis"/>
        </w:rPr>
        <w:t>Educatie en bewustwording</w:t>
      </w:r>
    </w:p>
    <w:p w:rsidR="000825B2" w:rsidP="000825B2" w:rsidRDefault="000825B2" w14:paraId="03D17335" w14:textId="77777777">
      <w:pPr>
        <w:pStyle w:val="ListParagraph"/>
        <w:numPr>
          <w:ilvl w:val="0"/>
          <w:numId w:val="13"/>
        </w:numPr>
        <w:rPr>
          <w:lang w:val="nl-NL"/>
        </w:rPr>
      </w:pPr>
      <w:r w:rsidRPr="00FF5A40">
        <w:rPr>
          <w:i/>
          <w:lang w:val="nl-NL"/>
        </w:rPr>
        <w:t>Plastic soep in afvalprogramma’s</w:t>
      </w:r>
      <w:r w:rsidRPr="00FF5A40">
        <w:rPr>
          <w:i/>
          <w:lang w:val="nl-NL"/>
        </w:rPr>
        <w:br/>
      </w:r>
      <w:r w:rsidRPr="00FF5A40">
        <w:rPr>
          <w:lang w:val="nl-NL"/>
        </w:rPr>
        <w:t xml:space="preserve">De nadruk bij het programma Afval op school lag op </w:t>
      </w:r>
      <w:r>
        <w:rPr>
          <w:lang w:val="nl-NL"/>
        </w:rPr>
        <w:t xml:space="preserve">educatie over </w:t>
      </w:r>
      <w:r w:rsidRPr="00FF5A40">
        <w:rPr>
          <w:lang w:val="nl-NL"/>
        </w:rPr>
        <w:t>het voorkomen, verminderen en scheiden van afval dat binnen de school ontstaat</w:t>
      </w:r>
      <w:r>
        <w:rPr>
          <w:lang w:val="nl-NL"/>
        </w:rPr>
        <w:t>.</w:t>
      </w:r>
      <w:r w:rsidRPr="00FF5A40">
        <w:rPr>
          <w:lang w:val="nl-NL"/>
        </w:rPr>
        <w:t xml:space="preserve"> Een overkoepelend thema was gedragsverandering van de leerlingen</w:t>
      </w:r>
      <w:r>
        <w:rPr>
          <w:lang w:val="nl-NL"/>
        </w:rPr>
        <w:t>:</w:t>
      </w:r>
      <w:r w:rsidRPr="00FF5A40">
        <w:rPr>
          <w:lang w:val="nl-NL"/>
        </w:rPr>
        <w:t xml:space="preserve"> </w:t>
      </w:r>
      <w:r>
        <w:rPr>
          <w:lang w:val="nl-NL"/>
        </w:rPr>
        <w:t>door</w:t>
      </w:r>
      <w:r w:rsidRPr="00FF5A40">
        <w:rPr>
          <w:lang w:val="nl-NL"/>
        </w:rPr>
        <w:t xml:space="preserve"> de waarde van grondstoffen </w:t>
      </w:r>
      <w:r>
        <w:rPr>
          <w:lang w:val="nl-NL"/>
        </w:rPr>
        <w:t xml:space="preserve">in </w:t>
      </w:r>
      <w:r w:rsidRPr="00FF5A40">
        <w:rPr>
          <w:lang w:val="nl-NL"/>
        </w:rPr>
        <w:t>te zien</w:t>
      </w:r>
      <w:r>
        <w:rPr>
          <w:lang w:val="nl-NL"/>
        </w:rPr>
        <w:t xml:space="preserve">, zouden ze </w:t>
      </w:r>
      <w:r w:rsidRPr="00FF5A40">
        <w:rPr>
          <w:lang w:val="nl-NL"/>
        </w:rPr>
        <w:t xml:space="preserve">anders met afval omgaan. </w:t>
      </w:r>
      <w:r>
        <w:rPr>
          <w:lang w:val="nl-NL"/>
        </w:rPr>
        <w:t xml:space="preserve">Gedragsverandering heeft ook invloed op zwerfvuil, dat immers ontstaat door afval weg te gooien. Zwerfvuil </w:t>
      </w:r>
      <w:r w:rsidRPr="00FF5A40">
        <w:rPr>
          <w:lang w:val="nl-NL"/>
        </w:rPr>
        <w:t xml:space="preserve">als onderwerp op zich </w:t>
      </w:r>
      <w:r>
        <w:rPr>
          <w:lang w:val="nl-NL"/>
        </w:rPr>
        <w:t>kreeg</w:t>
      </w:r>
      <w:r w:rsidRPr="00FF5A40">
        <w:rPr>
          <w:lang w:val="nl-NL"/>
        </w:rPr>
        <w:t xml:space="preserve"> tijdens het programma minder aandacht</w:t>
      </w:r>
      <w:r>
        <w:rPr>
          <w:lang w:val="nl-NL"/>
        </w:rPr>
        <w:t>.</w:t>
      </w:r>
      <w:r w:rsidRPr="00FF5A40">
        <w:rPr>
          <w:lang w:val="nl-NL"/>
        </w:rPr>
        <w:t xml:space="preserve"> Uit een onderzoek kwam naar voren dat docenten enthousiast reageren op het </w:t>
      </w:r>
      <w:r>
        <w:rPr>
          <w:lang w:val="nl-NL"/>
        </w:rPr>
        <w:t>thema</w:t>
      </w:r>
      <w:r w:rsidRPr="00FF5A40">
        <w:rPr>
          <w:lang w:val="nl-NL"/>
        </w:rPr>
        <w:t xml:space="preserve"> plastic soep en minder enthousiast op het thema afval, terwijl deze </w:t>
      </w:r>
      <w:r>
        <w:rPr>
          <w:lang w:val="nl-NL"/>
        </w:rPr>
        <w:t xml:space="preserve">thema’s </w:t>
      </w:r>
      <w:r w:rsidRPr="00FF5A40">
        <w:rPr>
          <w:lang w:val="nl-NL"/>
        </w:rPr>
        <w:t xml:space="preserve">onlosmakelijk met elkaar </w:t>
      </w:r>
      <w:r>
        <w:rPr>
          <w:lang w:val="nl-NL"/>
        </w:rPr>
        <w:t xml:space="preserve">zijn </w:t>
      </w:r>
      <w:r w:rsidRPr="00FF5A40">
        <w:rPr>
          <w:lang w:val="nl-NL"/>
        </w:rPr>
        <w:t xml:space="preserve">verbonden. </w:t>
      </w:r>
      <w:r w:rsidRPr="00FF5A40">
        <w:rPr>
          <w:lang w:val="nl-NL"/>
        </w:rPr>
        <w:br/>
        <w:t>Deze verkenning zoekt uit of plastic soep beter in de educatieprogramma</w:t>
      </w:r>
      <w:r>
        <w:rPr>
          <w:lang w:val="nl-NL"/>
        </w:rPr>
        <w:t>’</w:t>
      </w:r>
      <w:r w:rsidRPr="00FF5A40">
        <w:rPr>
          <w:lang w:val="nl-NL"/>
        </w:rPr>
        <w:t xml:space="preserve">s </w:t>
      </w:r>
      <w:r>
        <w:rPr>
          <w:lang w:val="nl-NL"/>
        </w:rPr>
        <w:t xml:space="preserve">kan worden </w:t>
      </w:r>
      <w:r w:rsidRPr="00FF5A40">
        <w:rPr>
          <w:lang w:val="nl-NL"/>
        </w:rPr>
        <w:t>opgenomen</w:t>
      </w:r>
      <w:r>
        <w:rPr>
          <w:lang w:val="nl-NL"/>
        </w:rPr>
        <w:t>,</w:t>
      </w:r>
      <w:r w:rsidRPr="00FF5A40">
        <w:rPr>
          <w:lang w:val="nl-NL"/>
        </w:rPr>
        <w:t xml:space="preserve"> om zo de bewustwording rondom het plasticprobleem te vergroten. </w:t>
      </w:r>
      <w:r>
        <w:rPr>
          <w:lang w:val="nl-NL"/>
        </w:rPr>
        <w:t xml:space="preserve">Er is een overzicht gemaakt van bruikbaar lesmateriaal </w:t>
      </w:r>
      <w:hyperlink w:history="1" r:id="rId22">
        <w:r w:rsidRPr="00FF0801">
          <w:rPr>
            <w:rStyle w:val="Hyperlink"/>
            <w:lang w:val="nl-NL"/>
          </w:rPr>
          <w:t>Websites over afval voor scholieren en scholen (en ieder ander die interesse heeft) - Afval Circulair</w:t>
        </w:r>
      </w:hyperlink>
      <w:r w:rsidRPr="00FF0801">
        <w:rPr>
          <w:lang w:val="nl-NL"/>
        </w:rPr>
        <w:t xml:space="preserve">) en dat er is bijgedragen aan de programma’s voor verschillende niveaus onderwijs, te vinden op </w:t>
      </w:r>
      <w:hyperlink w:history="1" r:id="rId23">
        <w:r w:rsidRPr="00FF0801">
          <w:rPr>
            <w:rStyle w:val="Hyperlink"/>
            <w:lang w:val="nl-NL"/>
          </w:rPr>
          <w:t>Aan de slag met afval</w:t>
        </w:r>
      </w:hyperlink>
      <w:r w:rsidRPr="00FF0801">
        <w:rPr>
          <w:lang w:val="nl-NL"/>
        </w:rPr>
        <w:t>.</w:t>
      </w:r>
    </w:p>
    <w:p w:rsidRPr="00FA1457" w:rsidR="000825B2" w:rsidP="000825B2" w:rsidRDefault="000825B2" w14:paraId="153D5C13" w14:textId="04A3145D">
      <w:pPr>
        <w:pStyle w:val="ListParagraph"/>
        <w:numPr>
          <w:ilvl w:val="0"/>
          <w:numId w:val="13"/>
        </w:numPr>
        <w:rPr>
          <w:szCs w:val="18"/>
          <w:lang w:val="nl-NL"/>
        </w:rPr>
      </w:pPr>
      <w:r w:rsidRPr="00926544">
        <w:rPr>
          <w:i/>
          <w:szCs w:val="18"/>
          <w:lang w:val="nl-NL"/>
        </w:rPr>
        <w:t>Landelijk communicatie initiatief</w:t>
      </w:r>
      <w:r w:rsidRPr="00926544">
        <w:rPr>
          <w:i/>
          <w:szCs w:val="18"/>
          <w:lang w:val="nl-NL"/>
        </w:rPr>
        <w:br/>
      </w:r>
      <w:r w:rsidRPr="00926544">
        <w:rPr>
          <w:szCs w:val="18"/>
          <w:lang w:val="nl-NL"/>
        </w:rPr>
        <w:t xml:space="preserve">Naar aanleiding van een Kamervraag heeft de staatssecretaris ingezet op een landelijke communicatie initiatief voor de aanpak van </w:t>
      </w:r>
      <w:r>
        <w:rPr>
          <w:szCs w:val="18"/>
          <w:lang w:val="nl-NL"/>
        </w:rPr>
        <w:t>zwerfvuil</w:t>
      </w:r>
      <w:r w:rsidRPr="00926544">
        <w:rPr>
          <w:szCs w:val="18"/>
          <w:lang w:val="nl-NL"/>
        </w:rPr>
        <w:t xml:space="preserve">. Daarbij worden de krachten van circa 30 stakeholders vanuit overheden, bedrijfsleven en NGO’s gebundeld om in 2021 en 2022 te komen tot een breed en breed gedragen palet aan acties om het schoon-gedrag van burgers en bedrijven verder te verbeteren. De rol van de Rijksoverheid daarbij is verbinden, versterken en ondersteunen. Het initiatief is medio 2020 gestart. </w:t>
      </w:r>
      <w:r>
        <w:rPr>
          <w:szCs w:val="18"/>
          <w:lang w:val="nl-NL"/>
        </w:rPr>
        <w:t xml:space="preserve">In 2021 is het platform verder vormgegeven. Hierbij wordt ingezet op: onderzoek, kennissessies, ontwikkeling van tools, beschikbaar stellen van communicatiemiddelen. Een belangrijk medium voor het beschikbaar stellen van informatie, kennis, netwerk en tools is de site </w:t>
      </w:r>
      <w:hyperlink w:history="1" r:id="rId24">
        <w:r w:rsidRPr="0081677A">
          <w:rPr>
            <w:rStyle w:val="Hyperlink"/>
            <w:szCs w:val="18"/>
            <w:lang w:val="nl-NL"/>
          </w:rPr>
          <w:t>www.schoudersonderschoon.nl</w:t>
        </w:r>
      </w:hyperlink>
      <w:r>
        <w:rPr>
          <w:szCs w:val="18"/>
          <w:lang w:val="nl-NL"/>
        </w:rPr>
        <w:t xml:space="preserve">. Om tegemoet te komen aan de wens van vele stakeholders is eind 2021 gestart met de voorbereiding van een landelijke Rijkscampagne. </w:t>
      </w:r>
    </w:p>
    <w:p w:rsidRPr="00926544" w:rsidR="000825B2" w:rsidP="000825B2" w:rsidRDefault="000825B2" w14:paraId="6E01F1A2" w14:textId="77777777">
      <w:pPr>
        <w:pStyle w:val="ListParagraph"/>
        <w:ind w:left="360"/>
        <w:rPr>
          <w:szCs w:val="18"/>
          <w:lang w:val="nl-NL"/>
        </w:rPr>
      </w:pPr>
    </w:p>
    <w:p w:rsidRPr="00A36808" w:rsidR="000825B2" w:rsidP="000825B2" w:rsidRDefault="000825B2" w14:paraId="5B9FBE8C" w14:textId="77777777">
      <w:pPr>
        <w:rPr>
          <w:rStyle w:val="IntenseEmphasis"/>
          <w:lang w:val="nl-NL"/>
        </w:rPr>
      </w:pPr>
      <w:r w:rsidRPr="00A36808">
        <w:rPr>
          <w:rStyle w:val="IntenseEmphasis"/>
          <w:lang w:val="nl-NL"/>
        </w:rPr>
        <w:t xml:space="preserve">Stranden </w:t>
      </w:r>
    </w:p>
    <w:p w:rsidRPr="00FD6C46" w:rsidR="000825B2" w:rsidP="000825B2" w:rsidRDefault="000825B2" w14:paraId="1A5DF3E0" w14:textId="77777777">
      <w:pPr>
        <w:pStyle w:val="ListParagraph"/>
        <w:numPr>
          <w:ilvl w:val="0"/>
          <w:numId w:val="13"/>
        </w:numPr>
        <w:rPr>
          <w:lang w:val="nl-NL"/>
        </w:rPr>
      </w:pPr>
      <w:r w:rsidRPr="00926544">
        <w:rPr>
          <w:i/>
          <w:lang w:val="nl-NL"/>
        </w:rPr>
        <w:t>Verkennen, ontwikkelen en uitdragen van beleidsdoelen zwerfvuil voor toeristische stranden</w:t>
      </w:r>
      <w:r w:rsidRPr="00A00F0A">
        <w:rPr>
          <w:lang w:val="nl-NL"/>
        </w:rPr>
        <w:br/>
      </w:r>
      <w:r w:rsidRPr="00FD6C46">
        <w:rPr>
          <w:lang w:val="nl-NL"/>
        </w:rPr>
        <w:t>Doelstellingen vormen de basis voor beleid en maatregelen. Tot en met 2020 waren er geen concrete doelstellingen voor de “schoonheidsgraad” van toeristische stranden. Om de inspanningen van de partijen die aan het vervolg van de Green Deal Schone Stranden betrokken zijn te richten en het effect ervan te kunnen interpreteren, wordt er gewerkt aan zulke doelstellingen. Uiteraard moeten die gesteld worden in termen die aansluiten op de wijze van monitoring</w:t>
      </w:r>
      <w:r w:rsidRPr="00FD6C46">
        <w:rPr>
          <w:color w:val="000000"/>
          <w:lang w:val="nl-NL"/>
        </w:rPr>
        <w:t xml:space="preserve"> en op de Europese en regionale ontwikkelingen, zoals de EU Threshold Value voor strandafval</w:t>
      </w:r>
      <w:r w:rsidRPr="00FD6C46">
        <w:rPr>
          <w:lang w:val="nl-NL"/>
        </w:rPr>
        <w:t>.</w:t>
      </w:r>
    </w:p>
    <w:p w:rsidRPr="001E157D" w:rsidR="000825B2" w:rsidP="000825B2" w:rsidRDefault="000825B2" w14:paraId="2161AB3F" w14:textId="77777777">
      <w:pPr>
        <w:pStyle w:val="ListParagraph"/>
        <w:numPr>
          <w:ilvl w:val="0"/>
          <w:numId w:val="13"/>
        </w:numPr>
        <w:rPr>
          <w:lang w:val="nl-NL"/>
        </w:rPr>
      </w:pPr>
      <w:bookmarkStart w:name="_Hlk90390424" w:id="58"/>
      <w:r>
        <w:rPr>
          <w:i/>
          <w:lang w:val="nl-NL"/>
        </w:rPr>
        <w:t>Verkenning naar meldpunt voor afval op stranden</w:t>
      </w:r>
    </w:p>
    <w:bookmarkEnd w:id="58"/>
    <w:p w:rsidRPr="00612A1A" w:rsidR="000825B2" w:rsidP="000825B2" w:rsidRDefault="000825B2" w14:paraId="3AF365AE" w14:textId="2AA0E462">
      <w:pPr>
        <w:pStyle w:val="ListParagraph"/>
        <w:ind w:left="360"/>
        <w:rPr>
          <w:lang w:val="nl-NL"/>
        </w:rPr>
      </w:pPr>
      <w:r w:rsidRPr="00612A1A">
        <w:rPr>
          <w:lang w:val="nl-NL"/>
        </w:rPr>
        <w:t xml:space="preserve">Een andere </w:t>
      </w:r>
      <w:bookmarkStart w:name="_Hlk92809344" w:id="59"/>
      <w:r w:rsidRPr="00612A1A">
        <w:rPr>
          <w:lang w:val="nl-NL"/>
        </w:rPr>
        <w:t xml:space="preserve">verkenning betreft een meldpunt voor afval op stranden, waarmee strandbezoekers en –gebruikers het aangetroffen afval, zoals paraffine, brokstukken of plastic pellets, kunnen melden bij de betreffende beheerder. </w:t>
      </w:r>
      <w:bookmarkEnd w:id="59"/>
      <w:r>
        <w:rPr>
          <w:lang w:val="nl-NL"/>
        </w:rPr>
        <w:t>Hiermee wordt aanvullende kennis verzameld. Ook kan e</w:t>
      </w:r>
      <w:r w:rsidRPr="00612A1A">
        <w:rPr>
          <w:lang w:val="nl-NL"/>
        </w:rPr>
        <w:t>en snelle ingreep dan voorkomen dat het afval weer in zee belandt.</w:t>
      </w:r>
    </w:p>
    <w:p w:rsidRPr="00926544" w:rsidR="000825B2" w:rsidP="000825B2" w:rsidRDefault="000825B2" w14:paraId="26909D3A" w14:textId="77777777">
      <w:pPr>
        <w:spacing w:after="0" w:line="240" w:lineRule="auto"/>
        <w:rPr>
          <w:lang w:val="nl-NL"/>
        </w:rPr>
      </w:pPr>
    </w:p>
    <w:p w:rsidRPr="00AD5157" w:rsidR="000825B2" w:rsidP="000825B2" w:rsidRDefault="000825B2" w14:paraId="14EC8BD2" w14:textId="77777777">
      <w:pPr>
        <w:rPr>
          <w:rStyle w:val="IntenseEmphasis"/>
        </w:rPr>
      </w:pPr>
      <w:r w:rsidRPr="00AD5157">
        <w:rPr>
          <w:rStyle w:val="IntenseEmphasis"/>
        </w:rPr>
        <w:t>Scheepvaart</w:t>
      </w:r>
    </w:p>
    <w:p w:rsidRPr="00926544" w:rsidR="000825B2" w:rsidP="000825B2" w:rsidRDefault="000825B2" w14:paraId="51BCB148" w14:textId="77777777">
      <w:pPr>
        <w:pStyle w:val="ListParagraph"/>
        <w:numPr>
          <w:ilvl w:val="0"/>
          <w:numId w:val="29"/>
        </w:numPr>
        <w:rPr>
          <w:rStyle w:val="IntenseEmphasis"/>
          <w:i w:val="0"/>
          <w:color w:val="auto"/>
          <w:lang w:val="nl-NL"/>
        </w:rPr>
      </w:pPr>
      <w:r w:rsidRPr="00926544">
        <w:rPr>
          <w:rStyle w:val="IntenseEmphasis"/>
          <w:iCs w:val="0"/>
          <w:color w:val="auto"/>
          <w:lang w:val="nl-NL"/>
        </w:rPr>
        <w:t>Aanvullende maatregelen voor aanpak zwerfvuil bij de binnenvaart</w:t>
      </w:r>
      <w:r w:rsidRPr="00926544">
        <w:rPr>
          <w:rStyle w:val="IntenseEmphasis"/>
          <w:iCs w:val="0"/>
          <w:color w:val="auto"/>
          <w:lang w:val="nl-NL"/>
        </w:rPr>
        <w:br/>
      </w:r>
      <w:r w:rsidRPr="00926544">
        <w:rPr>
          <w:rStyle w:val="IntenseEmphasis"/>
          <w:i w:val="0"/>
          <w:color w:val="auto"/>
          <w:lang w:val="nl-NL"/>
        </w:rPr>
        <w:t xml:space="preserve">Vanuit het project Bronaanpak is een pilot binnenvaart gestart, die een beter beeld zal geven van de problematiek rondom zwerfvuil dat afkomstig is van de binnenvaart. Wanneer de omvang van het probleem beter bekend is, kunnen in de periode 2022-2027 aanvullende maatregelen worden getroffen. </w:t>
      </w:r>
    </w:p>
    <w:p w:rsidRPr="00926544" w:rsidR="000825B2" w:rsidP="000825B2" w:rsidRDefault="000825B2" w14:paraId="4EEA079F" w14:textId="77777777">
      <w:pPr>
        <w:pStyle w:val="ListParagraph"/>
        <w:numPr>
          <w:ilvl w:val="0"/>
          <w:numId w:val="29"/>
        </w:numPr>
        <w:rPr>
          <w:rStyle w:val="IntenseEmphasis"/>
          <w:i w:val="0"/>
          <w:color w:val="auto"/>
          <w:lang w:val="nl-NL"/>
        </w:rPr>
      </w:pPr>
      <w:r w:rsidRPr="00926544">
        <w:rPr>
          <w:rStyle w:val="IntenseEmphasis"/>
          <w:color w:val="auto"/>
          <w:lang w:val="nl-NL"/>
        </w:rPr>
        <w:t>Verkenning mogelijkheden aanpak purschuim</w:t>
      </w:r>
      <w:r w:rsidRPr="00926544">
        <w:rPr>
          <w:rStyle w:val="IntenseEmphasis"/>
          <w:color w:val="auto"/>
          <w:lang w:val="nl-NL"/>
        </w:rPr>
        <w:br/>
      </w:r>
      <w:r w:rsidRPr="00926544">
        <w:rPr>
          <w:rFonts w:eastAsia="Times New Roman" w:cstheme="minorHAnsi"/>
          <w:color w:val="000000"/>
          <w:shd w:val="clear" w:color="auto" w:fill="FFFFFF"/>
          <w:lang w:val="nl-NL" w:eastAsia="nl-NL"/>
        </w:rPr>
        <w:t>Purschuim staat nu in de top 5 van meest gevonden afvaltypen. Dit type materiaal wordt veelal gebruikt door de scheepvaart voor diverse toepassingen. Verkenning naar mogelijkheden voor het nemen van maatregelen voor de aanpak hiervan. Mogelijk gaat dit verder dan alleen scheepvaart.</w:t>
      </w:r>
    </w:p>
    <w:p w:rsidRPr="00BE225C" w:rsidR="000825B2" w:rsidP="000825B2" w:rsidRDefault="000825B2" w14:paraId="03335142" w14:textId="77777777">
      <w:pPr>
        <w:rPr>
          <w:rStyle w:val="IntenseEmphasis"/>
          <w:lang w:val="nl-NL"/>
        </w:rPr>
      </w:pPr>
      <w:r w:rsidRPr="00BE225C">
        <w:rPr>
          <w:rStyle w:val="IntenseEmphasis"/>
          <w:lang w:val="nl-NL"/>
        </w:rPr>
        <w:t>Kunststoffen/Landbronnen van zwerfvuil op zee</w:t>
      </w:r>
    </w:p>
    <w:p w:rsidR="000825B2" w:rsidP="000825B2" w:rsidRDefault="000825B2" w14:paraId="62C0F311" w14:textId="61DA463F">
      <w:pPr>
        <w:pStyle w:val="ListParagraph"/>
        <w:numPr>
          <w:ilvl w:val="0"/>
          <w:numId w:val="14"/>
        </w:numPr>
        <w:spacing w:after="0" w:line="240" w:lineRule="auto"/>
        <w:contextualSpacing w:val="0"/>
        <w:rPr>
          <w:color w:val="000000" w:themeColor="text1"/>
          <w:lang w:val="nl-NL"/>
        </w:rPr>
      </w:pPr>
      <w:r w:rsidRPr="00AD30D1">
        <w:rPr>
          <w:i/>
          <w:lang w:val="nl-NL"/>
        </w:rPr>
        <w:t>Vervolg beleidsprogramma microplastic</w:t>
      </w:r>
      <w:r w:rsidRPr="002E7303">
        <w:rPr>
          <w:i/>
          <w:lang w:val="nl-NL"/>
        </w:rPr>
        <w:br/>
      </w:r>
      <w:r>
        <w:rPr>
          <w:color w:val="000000" w:themeColor="text1"/>
          <w:lang w:val="nl-NL"/>
        </w:rPr>
        <w:t>Voor</w:t>
      </w:r>
      <w:r w:rsidRPr="002E7303">
        <w:rPr>
          <w:color w:val="000000" w:themeColor="text1"/>
          <w:lang w:val="nl-NL"/>
        </w:rPr>
        <w:t xml:space="preserve"> de afloop van het microplastics beleidsprogramma in 2021-2022 </w:t>
      </w:r>
      <w:r>
        <w:rPr>
          <w:color w:val="000000" w:themeColor="text1"/>
          <w:lang w:val="nl-NL"/>
        </w:rPr>
        <w:t>zal gekeken worden hoe de verschillende onderdelen van het programma voortgezet kunnen worden, met name voor het bestrijden van afval en microplastics in rivieren. Hierbij is het essentieel om de Europese ontwikkelingen in acht te nemen, zoals de aankondiging van de Europese Commissie om beleid voor zowel bewust toegevoegde als onbewust ontstane microplastics te gaan voeren.</w:t>
      </w:r>
    </w:p>
    <w:p w:rsidRPr="002E7303" w:rsidR="000825B2" w:rsidP="000825B2" w:rsidRDefault="000825B2" w14:paraId="1F39C5D2" w14:textId="77777777">
      <w:pPr>
        <w:spacing w:after="0" w:line="240" w:lineRule="auto"/>
        <w:rPr>
          <w:color w:val="000000" w:themeColor="text1"/>
          <w:lang w:val="nl-NL"/>
        </w:rPr>
      </w:pPr>
    </w:p>
    <w:p w:rsidR="000825B2" w:rsidP="000825B2" w:rsidRDefault="000825B2" w14:paraId="5C01D059" w14:textId="77777777">
      <w:pPr>
        <w:pStyle w:val="TOCHeading"/>
      </w:pPr>
      <w:r>
        <w:t>Kennisagenda</w:t>
      </w:r>
      <w:r w:rsidRPr="00B96268">
        <w:t xml:space="preserve"> </w:t>
      </w:r>
    </w:p>
    <w:p w:rsidRPr="00106967" w:rsidR="000825B2" w:rsidP="000825B2" w:rsidRDefault="000825B2" w14:paraId="4CA2DA05" w14:textId="77777777">
      <w:pPr>
        <w:rPr>
          <w:lang w:val="nl-NL" w:eastAsia="nl-NL"/>
        </w:rPr>
      </w:pPr>
      <w:r w:rsidRPr="00106967">
        <w:rPr>
          <w:lang w:val="nl-NL" w:eastAsia="nl-NL"/>
        </w:rPr>
        <w:t xml:space="preserve">Vanwege het gebrek aan kennis om de goede milieutoestand exact te kunnen bepalen en vanuit de behoefte om meer inzicht te krijgen in de effecten van zwerfvuil, zijn sinds 2012 verscheidene kennistrajecten voor rivierafval en microplastics uitgevoerd. Diverse onderzoeken rondom rivierafval hebben inzicht in items, hoeveelheden en bronnen gegeven. Er zijn aanwijzingen van mogelijke nadelige effecten voor zeedieren en van overdracht binnen de voedselketen. Recent onderzoek toont aan dat microplastics in wisselende hoeveelheden in alle compartimenten (water, sediment, biota) van het mariene milieu worden aangetroffen. Dit is een basis voor de ontwikkeling van een (OSPAR)-indicator voor microplastics in sediment. </w:t>
      </w:r>
    </w:p>
    <w:p w:rsidR="000825B2" w:rsidP="000825B2" w:rsidRDefault="000825B2" w14:paraId="1E92DD0B" w14:textId="7ED6A172">
      <w:pPr>
        <w:spacing w:after="0"/>
        <w:rPr>
          <w:lang w:val="nl-NL"/>
        </w:rPr>
      </w:pPr>
      <w:r w:rsidRPr="00106967">
        <w:rPr>
          <w:lang w:val="nl-NL"/>
        </w:rPr>
        <w:t>Veel acties voortkomende uit de kennisvragen zoals geformuleerd in de herziene M</w:t>
      </w:r>
      <w:r w:rsidR="005F767A">
        <w:rPr>
          <w:lang w:val="nl-NL"/>
        </w:rPr>
        <w:t xml:space="preserve">ariene Strategie deel </w:t>
      </w:r>
      <w:r w:rsidRPr="00106967">
        <w:rPr>
          <w:lang w:val="nl-NL"/>
        </w:rPr>
        <w:t>1 (2018)</w:t>
      </w:r>
      <w:r w:rsidR="00DD4F15">
        <w:rPr>
          <w:lang w:val="nl-NL"/>
        </w:rPr>
        <w:t xml:space="preserve"> [11]</w:t>
      </w:r>
      <w:r w:rsidRPr="00106967">
        <w:rPr>
          <w:lang w:val="nl-NL"/>
        </w:rPr>
        <w:t>, herziene M</w:t>
      </w:r>
      <w:r w:rsidR="005F767A">
        <w:rPr>
          <w:lang w:val="nl-NL"/>
        </w:rPr>
        <w:t xml:space="preserve">ariene Strategie deel </w:t>
      </w:r>
      <w:r w:rsidRPr="00106967">
        <w:rPr>
          <w:lang w:val="nl-NL"/>
        </w:rPr>
        <w:t>2 (2020)</w:t>
      </w:r>
      <w:r w:rsidR="00FF2F23">
        <w:rPr>
          <w:lang w:val="nl-NL"/>
        </w:rPr>
        <w:t xml:space="preserve"> [34]</w:t>
      </w:r>
      <w:r w:rsidRPr="00106967">
        <w:rPr>
          <w:lang w:val="nl-NL"/>
        </w:rPr>
        <w:t xml:space="preserve"> en M</w:t>
      </w:r>
      <w:r w:rsidR="005F767A">
        <w:rPr>
          <w:lang w:val="nl-NL"/>
        </w:rPr>
        <w:t xml:space="preserve">ariene Strategie deel </w:t>
      </w:r>
      <w:r w:rsidRPr="00106967">
        <w:rPr>
          <w:lang w:val="nl-NL"/>
        </w:rPr>
        <w:t>3 (2016)</w:t>
      </w:r>
      <w:r w:rsidR="00DD4F15">
        <w:rPr>
          <w:lang w:val="nl-NL"/>
        </w:rPr>
        <w:t xml:space="preserve"> [12]</w:t>
      </w:r>
      <w:r w:rsidRPr="00106967">
        <w:rPr>
          <w:lang w:val="nl-NL"/>
        </w:rPr>
        <w:t xml:space="preserve"> lopen nog en/of zijn continu</w:t>
      </w:r>
      <w:r>
        <w:rPr>
          <w:lang w:val="nl-NL"/>
        </w:rPr>
        <w:t xml:space="preserve">. </w:t>
      </w:r>
      <w:r w:rsidRPr="00106967">
        <w:rPr>
          <w:lang w:val="nl-NL"/>
        </w:rPr>
        <w:t>Dit betreft onder andere</w:t>
      </w:r>
      <w:r>
        <w:rPr>
          <w:lang w:val="nl-NL"/>
        </w:rPr>
        <w:t>:</w:t>
      </w:r>
    </w:p>
    <w:p w:rsidR="000825B2" w:rsidP="000825B2" w:rsidRDefault="000825B2" w14:paraId="03369FB4" w14:textId="77777777">
      <w:pPr>
        <w:pStyle w:val="ListParagraph"/>
        <w:numPr>
          <w:ilvl w:val="0"/>
          <w:numId w:val="15"/>
        </w:numPr>
        <w:rPr>
          <w:lang w:val="nl-NL"/>
        </w:rPr>
      </w:pPr>
      <w:r w:rsidRPr="00203E1A">
        <w:rPr>
          <w:lang w:val="nl-NL"/>
        </w:rPr>
        <w:t xml:space="preserve">het ontwikkelen van nieuwe indicatoren waarvoor diverse trajecten lopen (microplastics in sediment; verbeteren of aanvullen zeebodemafval en drijvend afval indicatoren; integratie mariene zwerfvuil indicatoren), </w:t>
      </w:r>
    </w:p>
    <w:p w:rsidR="000825B2" w:rsidP="000825B2" w:rsidRDefault="000825B2" w14:paraId="6199726A" w14:textId="77777777">
      <w:pPr>
        <w:pStyle w:val="ListParagraph"/>
        <w:numPr>
          <w:ilvl w:val="0"/>
          <w:numId w:val="15"/>
        </w:numPr>
        <w:rPr>
          <w:lang w:val="nl-NL"/>
        </w:rPr>
      </w:pPr>
      <w:r w:rsidRPr="00203E1A">
        <w:rPr>
          <w:lang w:val="nl-NL"/>
        </w:rPr>
        <w:t>het bepalen van effecten microplastics</w:t>
      </w:r>
      <w:r>
        <w:rPr>
          <w:lang w:val="nl-NL"/>
        </w:rPr>
        <w:t xml:space="preserve"> </w:t>
      </w:r>
      <w:r w:rsidRPr="00203E1A">
        <w:rPr>
          <w:lang w:val="nl-NL"/>
        </w:rPr>
        <w:t>/</w:t>
      </w:r>
      <w:r>
        <w:rPr>
          <w:lang w:val="nl-NL"/>
        </w:rPr>
        <w:t xml:space="preserve"> </w:t>
      </w:r>
      <w:r w:rsidRPr="00203E1A">
        <w:rPr>
          <w:lang w:val="nl-NL"/>
        </w:rPr>
        <w:t>nanoplastics (er lopen diverse trajecten, via EU Technische Groep Marine Litter maar ook via ZONMw)</w:t>
      </w:r>
      <w:r>
        <w:rPr>
          <w:rStyle w:val="FootnoteReference"/>
        </w:rPr>
        <w:footnoteReference w:id="18"/>
      </w:r>
      <w:r w:rsidRPr="00203E1A">
        <w:rPr>
          <w:lang w:val="nl-NL"/>
        </w:rPr>
        <w:t xml:space="preserve">, </w:t>
      </w:r>
    </w:p>
    <w:p w:rsidRPr="00507B40" w:rsidR="000825B2" w:rsidP="000825B2" w:rsidRDefault="000825B2" w14:paraId="56C724ED" w14:textId="172142AF">
      <w:pPr>
        <w:pStyle w:val="ListParagraph"/>
        <w:numPr>
          <w:ilvl w:val="0"/>
          <w:numId w:val="15"/>
        </w:numPr>
        <w:spacing w:after="0"/>
        <w:rPr>
          <w:szCs w:val="18"/>
          <w:lang w:val="nl-NL"/>
        </w:rPr>
      </w:pPr>
      <w:r w:rsidRPr="00B06031">
        <w:rPr>
          <w:lang w:val="nl-NL"/>
        </w:rPr>
        <w:t xml:space="preserve">het bepalen van trends en vrachten van afval naar zee voor macro- en microafval. Dit gebeurt onder andere door </w:t>
      </w:r>
      <w:r>
        <w:rPr>
          <w:lang w:val="nl-NL"/>
        </w:rPr>
        <w:t>het</w:t>
      </w:r>
      <w:r w:rsidRPr="00B06031">
        <w:rPr>
          <w:lang w:val="nl-NL"/>
        </w:rPr>
        <w:t xml:space="preserve"> MICRO project en door het ontwikkelen van een monitoringsstrategie voor zwerfafval in rivieren. </w:t>
      </w:r>
      <w:r w:rsidRPr="00D95136">
        <w:rPr>
          <w:lang w:val="nl-NL"/>
        </w:rPr>
        <w:t xml:space="preserve"> Deze monitoringstrategie moet belangrijke beleids- en beheersvragen beantwoorden over </w:t>
      </w:r>
      <w:r w:rsidRPr="000C3C45">
        <w:rPr>
          <w:lang w:val="nl-NL"/>
        </w:rPr>
        <w:t xml:space="preserve">o.a. hoeveelheden, samenstelling, bronnen en trends. Hiertoe worden </w:t>
      </w:r>
      <w:r w:rsidRPr="00A62F95">
        <w:rPr>
          <w:lang w:val="nl-NL"/>
        </w:rPr>
        <w:t xml:space="preserve">nulmetingen verricht en meettechnieken en meetprotocollen ontwikkeld voor oevers, wateroppervlakte en waterkolom, </w:t>
      </w:r>
      <w:r w:rsidRPr="00B66529">
        <w:rPr>
          <w:lang w:val="nl-NL"/>
        </w:rPr>
        <w:t>in voorbereiding</w:t>
      </w:r>
      <w:r w:rsidRPr="009B254C">
        <w:rPr>
          <w:lang w:val="nl-NL"/>
        </w:rPr>
        <w:t xml:space="preserve"> op lange</w:t>
      </w:r>
      <w:r w:rsidRPr="00804585">
        <w:rPr>
          <w:lang w:val="nl-NL"/>
        </w:rPr>
        <w:t xml:space="preserve"> </w:t>
      </w:r>
      <w:r w:rsidRPr="000F1144">
        <w:rPr>
          <w:lang w:val="nl-NL"/>
        </w:rPr>
        <w:t>termijn-monitoring.</w:t>
      </w:r>
      <w:r w:rsidRPr="00EF0EC8">
        <w:rPr>
          <w:lang w:val="nl-NL"/>
        </w:rPr>
        <w:t xml:space="preserve">  </w:t>
      </w:r>
    </w:p>
    <w:p w:rsidRPr="00203E1A" w:rsidR="000825B2" w:rsidP="000825B2" w:rsidRDefault="000825B2" w14:paraId="30E06F77" w14:textId="77777777">
      <w:pPr>
        <w:rPr>
          <w:lang w:val="nl-NL"/>
        </w:rPr>
      </w:pPr>
      <w:r w:rsidRPr="00203E1A">
        <w:rPr>
          <w:lang w:val="nl-NL"/>
        </w:rPr>
        <w:t>Nederland volgt deze ontwikkelingen, houdt een vinger aan de pols en neemt actief deel aan de EU en OSPAR processen. Zo nodig zal aanvullend onderzoek worden uitgevoerd.</w:t>
      </w:r>
    </w:p>
    <w:p w:rsidR="000825B2" w:rsidP="000825B2" w:rsidRDefault="000825B2" w14:paraId="2D20FA21" w14:textId="330F9CB7">
      <w:pPr>
        <w:rPr>
          <w:lang w:val="nl-NL" w:eastAsia="nl-NL"/>
        </w:rPr>
      </w:pPr>
      <w:r>
        <w:rPr>
          <w:lang w:val="nl-NL" w:eastAsia="nl-NL"/>
        </w:rPr>
        <w:t>N</w:t>
      </w:r>
      <w:r w:rsidRPr="005B315A">
        <w:rPr>
          <w:lang w:val="nl-NL" w:eastAsia="nl-NL"/>
        </w:rPr>
        <w:t>ieuwe kennisvragen voor de</w:t>
      </w:r>
      <w:r w:rsidR="00D80004">
        <w:rPr>
          <w:lang w:val="nl-NL" w:eastAsia="nl-NL"/>
        </w:rPr>
        <w:t xml:space="preserve"> periode 2022-2027</w:t>
      </w:r>
      <w:r w:rsidRPr="005B315A">
        <w:rPr>
          <w:lang w:val="nl-NL" w:eastAsia="nl-NL"/>
        </w:rPr>
        <w:t xml:space="preserve"> zijn: </w:t>
      </w:r>
    </w:p>
    <w:p w:rsidR="000825B2" w:rsidP="000825B2" w:rsidRDefault="000825B2" w14:paraId="65288BEB" w14:textId="78FBF46A">
      <w:pPr>
        <w:spacing w:line="252" w:lineRule="auto"/>
        <w:rPr>
          <w:color w:val="000000"/>
          <w:szCs w:val="18"/>
          <w:lang w:val="nl-NL" w:eastAsia="nl-NL"/>
        </w:rPr>
      </w:pPr>
      <w:r>
        <w:rPr>
          <w:color w:val="000000"/>
          <w:szCs w:val="18"/>
          <w:lang w:val="nl-NL" w:eastAsia="nl-NL"/>
        </w:rPr>
        <w:t xml:space="preserve">1. </w:t>
      </w:r>
      <w:r w:rsidRPr="00B31809">
        <w:rPr>
          <w:color w:val="000000"/>
          <w:szCs w:val="18"/>
          <w:lang w:val="nl-NL" w:eastAsia="nl-NL"/>
        </w:rPr>
        <w:t>Bronneniden</w:t>
      </w:r>
      <w:r>
        <w:rPr>
          <w:color w:val="000000"/>
          <w:szCs w:val="18"/>
          <w:lang w:val="nl-NL" w:eastAsia="nl-NL"/>
        </w:rPr>
        <w:t>tificatie en verspreidingsroutes</w:t>
      </w:r>
      <w:r w:rsidRPr="00B31809">
        <w:rPr>
          <w:color w:val="000000"/>
          <w:szCs w:val="18"/>
          <w:lang w:val="nl-NL" w:eastAsia="nl-NL"/>
        </w:rPr>
        <w:t xml:space="preserve"> van zwerfvuil</w:t>
      </w:r>
    </w:p>
    <w:p w:rsidR="000825B2" w:rsidP="000825B2" w:rsidRDefault="000825B2" w14:paraId="5F8C9E98" w14:textId="74DC81D6">
      <w:pPr>
        <w:pStyle w:val="ListParagraph"/>
        <w:numPr>
          <w:ilvl w:val="0"/>
          <w:numId w:val="92"/>
        </w:numPr>
        <w:spacing w:line="252" w:lineRule="auto"/>
        <w:rPr>
          <w:color w:val="000000"/>
          <w:szCs w:val="18"/>
          <w:lang w:val="nl-NL" w:eastAsia="nl-NL"/>
        </w:rPr>
      </w:pPr>
      <w:bookmarkStart w:name="_Hlk92809749" w:id="60"/>
      <w:r w:rsidRPr="00B31809">
        <w:rPr>
          <w:color w:val="000000"/>
          <w:szCs w:val="18"/>
          <w:lang w:val="nl-NL" w:eastAsia="nl-NL"/>
        </w:rPr>
        <w:t xml:space="preserve">verkennen gestandaardiseerde methodiek voor bronclassificatie van afvalbronnen van met name rivierafval </w:t>
      </w:r>
      <w:r>
        <w:rPr>
          <w:color w:val="000000"/>
          <w:szCs w:val="18"/>
          <w:lang w:val="nl-NL" w:eastAsia="nl-NL"/>
        </w:rPr>
        <w:t xml:space="preserve">als bron van zwerfvuil in zee </w:t>
      </w:r>
      <w:r w:rsidRPr="00B31809">
        <w:rPr>
          <w:color w:val="000000"/>
          <w:szCs w:val="18"/>
          <w:lang w:val="nl-NL" w:eastAsia="nl-NL"/>
        </w:rPr>
        <w:t>voor een gerichtere aanpak</w:t>
      </w:r>
      <w:r w:rsidR="00D80004">
        <w:rPr>
          <w:color w:val="000000"/>
          <w:szCs w:val="18"/>
          <w:lang w:val="nl-NL" w:eastAsia="nl-NL"/>
        </w:rPr>
        <w:t>,</w:t>
      </w:r>
    </w:p>
    <w:p w:rsidR="000825B2" w:rsidP="000825B2" w:rsidRDefault="000825B2" w14:paraId="30AD2076" w14:textId="4A6DEE58">
      <w:pPr>
        <w:pStyle w:val="ListParagraph"/>
        <w:numPr>
          <w:ilvl w:val="0"/>
          <w:numId w:val="92"/>
        </w:numPr>
        <w:spacing w:line="252" w:lineRule="auto"/>
        <w:rPr>
          <w:color w:val="000000"/>
          <w:szCs w:val="18"/>
          <w:lang w:val="nl-NL" w:eastAsia="nl-NL"/>
        </w:rPr>
      </w:pPr>
      <w:r>
        <w:rPr>
          <w:color w:val="000000"/>
          <w:szCs w:val="18"/>
          <w:lang w:val="nl-NL" w:eastAsia="nl-NL"/>
        </w:rPr>
        <w:t xml:space="preserve">onderzoek naar bronnen van afval, in specifieke hotspots zoals mogelijk bij ankerplaatsen en hotspots geïdentificeerd door nadere analyse van </w:t>
      </w:r>
      <w:r w:rsidRPr="0022093E">
        <w:rPr>
          <w:i/>
          <w:color w:val="000000"/>
          <w:lang w:val="nl-NL"/>
        </w:rPr>
        <w:t xml:space="preserve">Fishing for </w:t>
      </w:r>
      <w:r w:rsidRPr="0022093E">
        <w:rPr>
          <w:i/>
          <w:iCs/>
          <w:color w:val="000000"/>
          <w:szCs w:val="18"/>
          <w:lang w:val="nl-NL" w:eastAsia="nl-NL"/>
        </w:rPr>
        <w:t>L</w:t>
      </w:r>
      <w:r w:rsidRPr="0022093E">
        <w:rPr>
          <w:i/>
          <w:color w:val="000000"/>
          <w:lang w:val="nl-NL"/>
        </w:rPr>
        <w:t>itter</w:t>
      </w:r>
      <w:r>
        <w:rPr>
          <w:color w:val="000000"/>
          <w:szCs w:val="18"/>
          <w:lang w:val="nl-NL" w:eastAsia="nl-NL"/>
        </w:rPr>
        <w:t xml:space="preserve"> afval</w:t>
      </w:r>
      <w:r w:rsidR="00D80004">
        <w:rPr>
          <w:color w:val="000000"/>
          <w:szCs w:val="18"/>
          <w:lang w:val="nl-NL" w:eastAsia="nl-NL"/>
        </w:rPr>
        <w:t>.</w:t>
      </w:r>
    </w:p>
    <w:bookmarkEnd w:id="60"/>
    <w:p w:rsidRPr="00B31809" w:rsidR="000825B2" w:rsidP="000825B2" w:rsidRDefault="000825B2" w14:paraId="7CC31047" w14:textId="1E3FBF33">
      <w:pPr>
        <w:spacing w:line="252" w:lineRule="auto"/>
        <w:rPr>
          <w:rFonts w:ascii="Calibri" w:hAnsi="Calibri"/>
          <w:sz w:val="22"/>
          <w:lang w:val="nl-NL" w:eastAsia="nl-NL"/>
        </w:rPr>
      </w:pPr>
      <w:r>
        <w:rPr>
          <w:color w:val="000000"/>
          <w:szCs w:val="18"/>
          <w:lang w:val="nl-NL" w:eastAsia="nl-NL"/>
        </w:rPr>
        <w:t xml:space="preserve">2. </w:t>
      </w:r>
      <w:bookmarkStart w:name="_Hlk92809780" w:id="61"/>
      <w:r w:rsidRPr="00B31809">
        <w:rPr>
          <w:color w:val="000000"/>
          <w:szCs w:val="18"/>
          <w:lang w:val="nl-NL" w:eastAsia="nl-NL"/>
        </w:rPr>
        <w:t>Zorgen voor een betere aansluiting van de methoden voor het monitoren van microplastics in zoute wateren en in zoete wateren</w:t>
      </w:r>
      <w:r w:rsidR="00D80004">
        <w:rPr>
          <w:color w:val="000000"/>
          <w:szCs w:val="18"/>
          <w:lang w:val="nl-NL" w:eastAsia="nl-NL"/>
        </w:rPr>
        <w:t>.</w:t>
      </w:r>
      <w:bookmarkEnd w:id="61"/>
    </w:p>
    <w:p w:rsidRPr="00E625C4" w:rsidR="000825B2" w:rsidP="000825B2" w:rsidRDefault="000825B2" w14:paraId="62546396" w14:textId="4FDC8CC9">
      <w:pPr>
        <w:spacing w:after="0" w:line="240" w:lineRule="auto"/>
        <w:rPr>
          <w:szCs w:val="18"/>
          <w:lang w:val="nl-NL"/>
        </w:rPr>
      </w:pPr>
      <w:r>
        <w:rPr>
          <w:szCs w:val="18"/>
          <w:lang w:val="nl-NL"/>
        </w:rPr>
        <w:t xml:space="preserve">3. </w:t>
      </w:r>
      <w:bookmarkStart w:name="_Hlk92809797" w:id="62"/>
      <w:r>
        <w:rPr>
          <w:szCs w:val="18"/>
          <w:lang w:val="nl-NL"/>
        </w:rPr>
        <w:t>Integratie van onderzoek en monitoringsgegevens van zwerfvuil in water (zee, rivieren en estuaria), inclusief specifiek o</w:t>
      </w:r>
      <w:r w:rsidRPr="00B31809">
        <w:rPr>
          <w:szCs w:val="18"/>
          <w:lang w:val="nl-NL"/>
        </w:rPr>
        <w:t>nderzoek naar integreren, harmoniseren, vergelijken en uitwisselen van onderzoeks- en meetgegevens van RWS en stakeholders van zwerf</w:t>
      </w:r>
      <w:r>
        <w:rPr>
          <w:szCs w:val="18"/>
          <w:lang w:val="nl-NL"/>
        </w:rPr>
        <w:t>vuil</w:t>
      </w:r>
      <w:r w:rsidRPr="00B31809">
        <w:rPr>
          <w:szCs w:val="18"/>
          <w:lang w:val="nl-NL"/>
        </w:rPr>
        <w:t>/plastics in</w:t>
      </w:r>
      <w:r>
        <w:rPr>
          <w:szCs w:val="18"/>
          <w:lang w:val="nl-NL"/>
        </w:rPr>
        <w:t xml:space="preserve"> </w:t>
      </w:r>
      <w:r w:rsidRPr="00B31809">
        <w:rPr>
          <w:szCs w:val="18"/>
          <w:lang w:val="nl-NL"/>
        </w:rPr>
        <w:t>rivieren</w:t>
      </w:r>
      <w:r w:rsidR="00D80004">
        <w:rPr>
          <w:szCs w:val="18"/>
          <w:lang w:val="nl-NL"/>
        </w:rPr>
        <w:t>,</w:t>
      </w:r>
      <w:r>
        <w:rPr>
          <w:szCs w:val="18"/>
          <w:lang w:val="nl-NL"/>
        </w:rPr>
        <w:t xml:space="preserve"> </w:t>
      </w:r>
      <w:r w:rsidRPr="00B31809">
        <w:rPr>
          <w:szCs w:val="18"/>
          <w:lang w:val="nl-NL"/>
        </w:rPr>
        <w:t xml:space="preserve">onderbrengen in </w:t>
      </w:r>
      <w:r>
        <w:rPr>
          <w:szCs w:val="18"/>
          <w:lang w:val="nl-NL"/>
        </w:rPr>
        <w:t>één</w:t>
      </w:r>
      <w:r w:rsidRPr="00B31809">
        <w:rPr>
          <w:szCs w:val="18"/>
          <w:lang w:val="nl-NL"/>
        </w:rPr>
        <w:t xml:space="preserve"> datasysteem en koppelen met relevante reeds bestaande meet- en modelgegevens</w:t>
      </w:r>
      <w:r w:rsidR="00D80004">
        <w:rPr>
          <w:szCs w:val="18"/>
          <w:lang w:val="nl-NL"/>
        </w:rPr>
        <w:t>.</w:t>
      </w:r>
      <w:bookmarkEnd w:id="62"/>
    </w:p>
    <w:p w:rsidRPr="00C94F53" w:rsidR="000825B2" w:rsidP="000825B2" w:rsidRDefault="000825B2" w14:paraId="13CB4D09" w14:textId="77777777">
      <w:pPr>
        <w:rPr>
          <w:lang w:val="nl-NL" w:eastAsia="nl-NL"/>
        </w:rPr>
      </w:pPr>
    </w:p>
    <w:p w:rsidRPr="00550FF4" w:rsidR="0070550F" w:rsidP="00746E9B" w:rsidRDefault="0070550F" w14:paraId="7580CCEF" w14:textId="77777777">
      <w:pPr>
        <w:pStyle w:val="Stijl1"/>
        <w:numPr>
          <w:ilvl w:val="1"/>
          <w:numId w:val="16"/>
        </w:numPr>
        <w:rPr>
          <w:lang w:val="nl-NL"/>
        </w:rPr>
      </w:pPr>
      <w:bookmarkStart w:name="_Toc59455636" w:id="63"/>
      <w:r w:rsidRPr="00550FF4">
        <w:rPr>
          <w:lang w:val="nl-NL"/>
        </w:rPr>
        <w:t>Toevoer van energie, waaronder onderwatergeluid (D11)</w:t>
      </w:r>
      <w:bookmarkEnd w:id="63"/>
    </w:p>
    <w:p w:rsidRPr="00D74768" w:rsidR="003004C6" w:rsidP="003004C6" w:rsidRDefault="003004C6" w14:paraId="4813F67A" w14:textId="77777777">
      <w:pPr>
        <w:pStyle w:val="TOCHeading"/>
      </w:pPr>
      <w:r>
        <w:t>Goede milieutoestand en doelen</w:t>
      </w:r>
    </w:p>
    <w:p w:rsidR="003004C6" w:rsidP="003004C6" w:rsidRDefault="003004C6" w14:paraId="41BEF532" w14:textId="77777777">
      <w:pPr>
        <w:rPr>
          <w:lang w:val="nl-NL"/>
        </w:rPr>
      </w:pPr>
      <w:r w:rsidRPr="001D5B87">
        <w:rPr>
          <w:lang w:val="nl-NL"/>
        </w:rPr>
        <w:t xml:space="preserve">Het door menselijke activiteiten geproduceerd (antropogeen) geluid </w:t>
      </w:r>
      <w:r>
        <w:rPr>
          <w:lang w:val="nl-NL"/>
        </w:rPr>
        <w:t xml:space="preserve">onder water </w:t>
      </w:r>
      <w:r w:rsidRPr="001D5B87">
        <w:rPr>
          <w:lang w:val="nl-NL"/>
        </w:rPr>
        <w:t xml:space="preserve">heeft andere kenmerken dan de van nature aanwezige geluiden van golven, branding, neerslag en zeedieren. </w:t>
      </w:r>
      <w:r w:rsidRPr="00D45D30">
        <w:rPr>
          <w:lang w:val="nl-NL"/>
        </w:rPr>
        <w:t xml:space="preserve">Antropogene bronnen van onderwatergeluid zijn onder meer: heiwerkzaamheden, seismisch onderzoek en scheepvaart. </w:t>
      </w:r>
      <w:r>
        <w:rPr>
          <w:lang w:val="nl-NL"/>
        </w:rPr>
        <w:t xml:space="preserve">Soms zijn de onderwatergeluiden van relatief </w:t>
      </w:r>
      <w:r w:rsidRPr="00D45D30">
        <w:rPr>
          <w:lang w:val="nl-NL"/>
        </w:rPr>
        <w:t xml:space="preserve">korte duur, zoals </w:t>
      </w:r>
      <w:r>
        <w:rPr>
          <w:lang w:val="nl-NL"/>
        </w:rPr>
        <w:t xml:space="preserve">bij </w:t>
      </w:r>
      <w:r w:rsidRPr="00D45D30">
        <w:rPr>
          <w:lang w:val="nl-NL"/>
        </w:rPr>
        <w:t xml:space="preserve">het heien </w:t>
      </w:r>
      <w:r>
        <w:rPr>
          <w:lang w:val="nl-NL"/>
        </w:rPr>
        <w:t>tijdens</w:t>
      </w:r>
      <w:r w:rsidRPr="00D45D30">
        <w:rPr>
          <w:lang w:val="nl-NL"/>
        </w:rPr>
        <w:t xml:space="preserve"> bouwactiviteiten op zee</w:t>
      </w:r>
      <w:r>
        <w:rPr>
          <w:lang w:val="nl-NL"/>
        </w:rPr>
        <w:t xml:space="preserve">, andere keren houden ze langer aan. </w:t>
      </w:r>
      <w:r w:rsidRPr="001D5B87">
        <w:rPr>
          <w:lang w:val="nl-NL"/>
        </w:rPr>
        <w:t xml:space="preserve">De effecten van antropogeen onderwatergeluid op zeezoogdieren variëren van subtiele gedragsverandering tot vermijding van gebieden en verminderde gehoorcapaciteit, en – in extreme gevallen – zelfs direct sterven. Ook andere dieren </w:t>
      </w:r>
      <w:r>
        <w:rPr>
          <w:lang w:val="nl-NL"/>
        </w:rPr>
        <w:t xml:space="preserve">in en op het water </w:t>
      </w:r>
      <w:r w:rsidRPr="001D5B87">
        <w:rPr>
          <w:lang w:val="nl-NL"/>
        </w:rPr>
        <w:t>kunnen reageren op geluid. Vissen bijvoorbeeld zijn veelal gevoelig voor lage frequenties.</w:t>
      </w:r>
    </w:p>
    <w:p w:rsidR="003004C6" w:rsidP="003004C6" w:rsidRDefault="003004C6" w14:paraId="57CA7810" w14:textId="77777777">
      <w:pPr>
        <w:rPr>
          <w:lang w:val="nl-NL"/>
        </w:rPr>
      </w:pPr>
      <w:r w:rsidRPr="007565A6">
        <w:rPr>
          <w:lang w:val="nl-NL"/>
        </w:rPr>
        <w:t>De goede milieutoestand is bereikt als de toevoer van energie, waaronder onderwatergeluid, een niveau heeft dat het mariene milieu geen schade toebrengt. Een</w:t>
      </w:r>
      <w:r>
        <w:rPr>
          <w:lang w:val="nl-NL"/>
        </w:rPr>
        <w:t xml:space="preserve"> </w:t>
      </w:r>
      <w:r w:rsidRPr="007565A6">
        <w:rPr>
          <w:lang w:val="nl-NL"/>
        </w:rPr>
        <w:t>tweede voorwaarde is dat ononderbroken geluid met</w:t>
      </w:r>
      <w:r>
        <w:rPr>
          <w:lang w:val="nl-NL"/>
        </w:rPr>
        <w:t xml:space="preserve"> </w:t>
      </w:r>
      <w:r w:rsidRPr="007565A6">
        <w:rPr>
          <w:lang w:val="nl-NL"/>
        </w:rPr>
        <w:t>een lage frequentie en luide impulsgeluiden met een</w:t>
      </w:r>
      <w:r>
        <w:rPr>
          <w:lang w:val="nl-NL"/>
        </w:rPr>
        <w:t xml:space="preserve"> </w:t>
      </w:r>
      <w:r w:rsidRPr="007565A6">
        <w:rPr>
          <w:lang w:val="nl-NL"/>
        </w:rPr>
        <w:t>lage en middenfrequentie die als gevolg van menselijke</w:t>
      </w:r>
      <w:r>
        <w:rPr>
          <w:lang w:val="nl-NL"/>
        </w:rPr>
        <w:t xml:space="preserve"> </w:t>
      </w:r>
      <w:r w:rsidRPr="007565A6">
        <w:rPr>
          <w:lang w:val="nl-NL"/>
        </w:rPr>
        <w:t>activiteiten onder water klinken, geen nadelige invloed hebben op ecosystemen.</w:t>
      </w:r>
      <w:r>
        <w:rPr>
          <w:lang w:val="nl-NL"/>
        </w:rPr>
        <w:t xml:space="preserve"> De milieutoestand en doelen zijn in onderstaande tabel samengevat.</w:t>
      </w:r>
    </w:p>
    <w:tbl>
      <w:tblPr>
        <w:tblStyle w:val="TableGrid"/>
        <w:tblW w:w="0" w:type="auto"/>
        <w:tblLook w:val="04A0" w:firstRow="1" w:lastRow="0" w:firstColumn="1" w:lastColumn="0" w:noHBand="0" w:noVBand="1"/>
      </w:tblPr>
      <w:tblGrid>
        <w:gridCol w:w="1413"/>
        <w:gridCol w:w="7604"/>
      </w:tblGrid>
      <w:tr w:rsidRPr="0084482C" w:rsidR="003004C6" w:rsidTr="00D929DD" w14:paraId="56048010" w14:textId="77777777">
        <w:tc>
          <w:tcPr>
            <w:tcW w:w="1413" w:type="dxa"/>
          </w:tcPr>
          <w:p w:rsidRPr="006A68F5" w:rsidR="003004C6" w:rsidP="00D929DD" w:rsidRDefault="003004C6" w14:paraId="76FD78BE" w14:textId="77777777">
            <w:pPr>
              <w:rPr>
                <w:sz w:val="16"/>
              </w:rPr>
            </w:pPr>
            <w:r w:rsidRPr="006A68F5">
              <w:rPr>
                <w:sz w:val="16"/>
              </w:rPr>
              <w:t>Goede milieutoestand</w:t>
            </w:r>
          </w:p>
          <w:p w:rsidRPr="006A68F5" w:rsidR="003004C6" w:rsidP="00D929DD" w:rsidRDefault="003004C6" w14:paraId="1D96943C" w14:textId="77777777">
            <w:pPr>
              <w:rPr>
                <w:sz w:val="16"/>
              </w:rPr>
            </w:pPr>
          </w:p>
        </w:tc>
        <w:tc>
          <w:tcPr>
            <w:tcW w:w="7604" w:type="dxa"/>
          </w:tcPr>
          <w:p w:rsidRPr="006A68F5" w:rsidR="003004C6" w:rsidP="00D929DD" w:rsidRDefault="003004C6" w14:paraId="05D57C97" w14:textId="77777777">
            <w:pPr>
              <w:rPr>
                <w:sz w:val="16"/>
                <w:lang w:val="nl-NL"/>
              </w:rPr>
            </w:pPr>
            <w:r w:rsidRPr="006A68F5">
              <w:rPr>
                <w:sz w:val="16"/>
                <w:lang w:val="nl-NL"/>
              </w:rPr>
              <w:t>Overkoepelend: ruimtelijke spreiding, tijdsduur en geluidsniveaus van luide impulsbronnen zijn zodanig dat directe en indirecte effecten van luid impulsgeluid niet de gunstige staat van instandhouding van soorten in gevaar k</w:t>
            </w:r>
            <w:r>
              <w:rPr>
                <w:sz w:val="16"/>
                <w:lang w:val="nl-NL"/>
              </w:rPr>
              <w:t>unnen</w:t>
            </w:r>
            <w:r w:rsidRPr="006A68F5">
              <w:rPr>
                <w:sz w:val="16"/>
                <w:lang w:val="nl-NL"/>
              </w:rPr>
              <w:t xml:space="preserve"> brengen.</w:t>
            </w:r>
          </w:p>
          <w:p w:rsidRPr="006A68F5" w:rsidR="003004C6" w:rsidP="00D929DD" w:rsidRDefault="003004C6" w14:paraId="2CC5B42A" w14:textId="77777777">
            <w:pPr>
              <w:pStyle w:val="ListParagraph"/>
              <w:numPr>
                <w:ilvl w:val="0"/>
                <w:numId w:val="40"/>
              </w:numPr>
              <w:rPr>
                <w:sz w:val="16"/>
                <w:lang w:val="nl-NL"/>
              </w:rPr>
            </w:pPr>
            <w:r w:rsidRPr="006A68F5">
              <w:rPr>
                <w:sz w:val="16"/>
                <w:lang w:val="nl-NL"/>
              </w:rPr>
              <w:t>D11C1: voor bruinvissen wordt reductie van populatiegrootte voorkomen door het stellen van een limiet aan het aantal bruinvisverstoringsdagen.</w:t>
            </w:r>
          </w:p>
          <w:p w:rsidRPr="006A68F5" w:rsidR="003004C6" w:rsidP="00D929DD" w:rsidRDefault="003004C6" w14:paraId="2A2C22AA" w14:textId="77777777">
            <w:pPr>
              <w:rPr>
                <w:sz w:val="16"/>
                <w:lang w:val="nl-NL"/>
              </w:rPr>
            </w:pPr>
          </w:p>
          <w:p w:rsidRPr="006A68F5" w:rsidR="003004C6" w:rsidP="00D929DD" w:rsidRDefault="003004C6" w14:paraId="12885407" w14:textId="77777777">
            <w:pPr>
              <w:rPr>
                <w:sz w:val="16"/>
                <w:lang w:val="nl-NL"/>
              </w:rPr>
            </w:pPr>
            <w:r w:rsidRPr="006A68F5">
              <w:rPr>
                <w:sz w:val="16"/>
                <w:lang w:val="nl-NL"/>
              </w:rPr>
              <w:t>Overkoepelend: ruimtelijke spreiding, tijdsduur en niveaus van achtergrondgeluid zijn zodanig dat ze niet de gunstige staat van instandhouding van soorten in gevaar kunnen brengen.</w:t>
            </w:r>
          </w:p>
          <w:p w:rsidRPr="006A68F5" w:rsidR="003004C6" w:rsidP="00D929DD" w:rsidRDefault="003004C6" w14:paraId="2B3EEAD8" w14:textId="77777777">
            <w:pPr>
              <w:pStyle w:val="ListParagraph"/>
              <w:numPr>
                <w:ilvl w:val="0"/>
                <w:numId w:val="40"/>
              </w:numPr>
              <w:rPr>
                <w:sz w:val="16"/>
                <w:lang w:val="nl-NL"/>
              </w:rPr>
            </w:pPr>
            <w:r w:rsidRPr="006A68F5">
              <w:rPr>
                <w:sz w:val="16"/>
                <w:lang w:val="nl-NL"/>
              </w:rPr>
              <w:t>D11C2: voor dit criterium is het nog niet mogelijk om kwantitatieve omschrijvingen van de goede milieutoestand op te stellen.</w:t>
            </w:r>
          </w:p>
        </w:tc>
      </w:tr>
      <w:tr w:rsidRPr="0084482C" w:rsidR="003004C6" w:rsidTr="00D929DD" w14:paraId="0CF2D998" w14:textId="77777777">
        <w:tc>
          <w:tcPr>
            <w:tcW w:w="1413" w:type="dxa"/>
          </w:tcPr>
          <w:p w:rsidRPr="006A68F5" w:rsidR="003004C6" w:rsidP="00D929DD" w:rsidRDefault="003004C6" w14:paraId="232054E0" w14:textId="77777777">
            <w:pPr>
              <w:rPr>
                <w:sz w:val="16"/>
              </w:rPr>
            </w:pPr>
            <w:r w:rsidRPr="006A68F5">
              <w:rPr>
                <w:sz w:val="16"/>
              </w:rPr>
              <w:t>Milieudoelen</w:t>
            </w:r>
          </w:p>
        </w:tc>
        <w:tc>
          <w:tcPr>
            <w:tcW w:w="7604" w:type="dxa"/>
          </w:tcPr>
          <w:p w:rsidRPr="006A68F5" w:rsidR="003004C6" w:rsidP="00D929DD" w:rsidRDefault="003004C6" w14:paraId="7F08B0A8" w14:textId="77777777">
            <w:pPr>
              <w:pStyle w:val="ListParagraph"/>
              <w:numPr>
                <w:ilvl w:val="0"/>
                <w:numId w:val="41"/>
              </w:numPr>
              <w:rPr>
                <w:sz w:val="16"/>
                <w:lang w:val="nl-NL"/>
              </w:rPr>
            </w:pPr>
            <w:r w:rsidRPr="006A68F5">
              <w:rPr>
                <w:sz w:val="16"/>
                <w:lang w:val="nl-NL"/>
              </w:rPr>
              <w:t>D11T1: het voortzetten van de aangescherpte regelgeving omtrent de preventie van schadelijke effecten door impulsgeluid.</w:t>
            </w:r>
          </w:p>
          <w:p w:rsidRPr="006A68F5" w:rsidR="003004C6" w:rsidP="00D929DD" w:rsidRDefault="003004C6" w14:paraId="24E35B75" w14:textId="77777777">
            <w:pPr>
              <w:pStyle w:val="ListParagraph"/>
              <w:numPr>
                <w:ilvl w:val="0"/>
                <w:numId w:val="41"/>
              </w:numPr>
              <w:rPr>
                <w:sz w:val="16"/>
                <w:lang w:val="nl-NL"/>
              </w:rPr>
            </w:pPr>
            <w:r w:rsidRPr="006A68F5">
              <w:rPr>
                <w:sz w:val="16"/>
                <w:lang w:val="nl-NL"/>
              </w:rPr>
              <w:t>D11T2: ontwikkelen van een limiet voor het aantal verstoringsdagen op regionaal niveau (OSPAR).</w:t>
            </w:r>
          </w:p>
          <w:p w:rsidRPr="006A68F5" w:rsidR="003004C6" w:rsidP="00D929DD" w:rsidRDefault="003004C6" w14:paraId="5B477C15" w14:textId="77777777">
            <w:pPr>
              <w:pStyle w:val="ListParagraph"/>
              <w:numPr>
                <w:ilvl w:val="0"/>
                <w:numId w:val="41"/>
              </w:numPr>
              <w:rPr>
                <w:sz w:val="16"/>
                <w:lang w:val="nl-NL"/>
              </w:rPr>
            </w:pPr>
            <w:r w:rsidRPr="006A68F5">
              <w:rPr>
                <w:sz w:val="16"/>
                <w:lang w:val="nl-NL"/>
              </w:rPr>
              <w:t>D11T3: het opstarten van een internationaal monitoringprogramma voor continugeluid om het niveau en de verspreiding van continugeluid in kaart te brengen.</w:t>
            </w:r>
          </w:p>
        </w:tc>
      </w:tr>
    </w:tbl>
    <w:p w:rsidRPr="00763211" w:rsidR="003004C6" w:rsidP="003004C6" w:rsidRDefault="003004C6" w14:paraId="63E64A1F" w14:textId="77777777">
      <w:pPr>
        <w:rPr>
          <w:lang w:val="nl-NL"/>
        </w:rPr>
      </w:pPr>
    </w:p>
    <w:p w:rsidR="003004C6" w:rsidP="003004C6" w:rsidRDefault="003004C6" w14:paraId="5D8FF077" w14:textId="77777777">
      <w:pPr>
        <w:pStyle w:val="TOCHeading"/>
      </w:pPr>
      <w:r>
        <w:t>Geïmplementeerde maatregelen</w:t>
      </w:r>
    </w:p>
    <w:p w:rsidRPr="002F5B3F" w:rsidR="003004C6" w:rsidP="003004C6" w:rsidRDefault="003004C6" w14:paraId="2D80B0F4" w14:textId="77777777">
      <w:pPr>
        <w:rPr>
          <w:lang w:val="nl-NL" w:eastAsia="nl-NL"/>
        </w:rPr>
      </w:pPr>
      <w:r>
        <w:rPr>
          <w:lang w:val="nl-NL"/>
        </w:rPr>
        <w:t>Het uitgangspunt voor de maatregelen voor onderwatergeluid is een reductie aan de bron. Geluid plant zich over grote afstanden voort en is bovendien op zee vrijwel niet af te schermen. Hierdoor zijn alleen maatregelen aan de bron effectief.</w:t>
      </w:r>
    </w:p>
    <w:p w:rsidR="00150556" w:rsidP="003004C6" w:rsidRDefault="003004C6" w14:paraId="0B6DC325" w14:textId="7ED94586">
      <w:pPr>
        <w:rPr>
          <w:lang w:val="nl-NL"/>
        </w:rPr>
      </w:pPr>
      <w:r>
        <w:rPr>
          <w:lang w:val="nl-NL"/>
        </w:rPr>
        <w:t>Het vergunningsregime voor windparken is aangepast. Het Wo</w:t>
      </w:r>
      <w:r w:rsidR="0077504C">
        <w:rPr>
          <w:lang w:val="nl-NL"/>
        </w:rPr>
        <w:t>zep</w:t>
      </w:r>
      <w:r>
        <w:rPr>
          <w:lang w:val="nl-NL"/>
        </w:rPr>
        <w:t>-programma (Wind op</w:t>
      </w:r>
      <w:r w:rsidRPr="008A024D">
        <w:rPr>
          <w:lang w:val="nl-NL"/>
        </w:rPr>
        <w:t xml:space="preserve"> Zee Ecologisch Programma) </w:t>
      </w:r>
      <w:r>
        <w:rPr>
          <w:lang w:val="nl-NL"/>
        </w:rPr>
        <w:t>besteedt</w:t>
      </w:r>
      <w:r w:rsidRPr="008A024D">
        <w:rPr>
          <w:lang w:val="nl-NL"/>
        </w:rPr>
        <w:t xml:space="preserve"> veel aandacht </w:t>
      </w:r>
      <w:r>
        <w:rPr>
          <w:lang w:val="nl-NL"/>
        </w:rPr>
        <w:t>aan</w:t>
      </w:r>
      <w:r w:rsidRPr="008A024D">
        <w:rPr>
          <w:lang w:val="nl-NL"/>
        </w:rPr>
        <w:t xml:space="preserve"> onderwatergeluid. Dit heeft geleid tot aanscherping van de vergunning</w:t>
      </w:r>
      <w:r>
        <w:rPr>
          <w:lang w:val="nl-NL"/>
        </w:rPr>
        <w:t>s</w:t>
      </w:r>
      <w:r w:rsidRPr="008A024D">
        <w:rPr>
          <w:lang w:val="nl-NL"/>
        </w:rPr>
        <w:t xml:space="preserve">voorwaarden en tot beter inzicht in de effecten van impulsgeluid. Hierdoor kan het voorzorgprincipe preciezer worden </w:t>
      </w:r>
      <w:r>
        <w:rPr>
          <w:lang w:val="nl-NL"/>
        </w:rPr>
        <w:t>gehanteerd</w:t>
      </w:r>
      <w:r w:rsidRPr="008A024D">
        <w:rPr>
          <w:lang w:val="nl-NL"/>
        </w:rPr>
        <w:t>.</w:t>
      </w:r>
      <w:r>
        <w:rPr>
          <w:lang w:val="nl-NL"/>
        </w:rPr>
        <w:t xml:space="preserve"> In de Kavelbesluiten wordt een maximum toelaatbaar geluidsniveau voorgeschreven. Er is een kader ontwikkeld (Kader Ecologie en Cumulatie, KEC) </w:t>
      </w:r>
      <w:r w:rsidR="007E05D0">
        <w:rPr>
          <w:lang w:val="nl-NL"/>
        </w:rPr>
        <w:t xml:space="preserve">[28] </w:t>
      </w:r>
      <w:r>
        <w:rPr>
          <w:lang w:val="nl-NL"/>
        </w:rPr>
        <w:t xml:space="preserve">om de effecten van de aanleg van windparken te toetsen en de vergunningseisen te bepalen. </w:t>
      </w:r>
    </w:p>
    <w:p w:rsidR="00150556" w:rsidP="00816A0C" w:rsidRDefault="00150556" w14:paraId="70575235" w14:textId="3D147B13">
      <w:pPr>
        <w:rPr>
          <w:lang w:val="nl-NL"/>
        </w:rPr>
      </w:pPr>
      <w:r w:rsidRPr="00150556">
        <w:rPr>
          <w:lang w:val="nl-NL"/>
        </w:rPr>
        <w:t>Voor gebruik van sonarsystemen en explosievenruiming zijn regels vastgesteld om deze activiteiten verantwoord uit te voeren. Het ministerie van Defensie investeert in kennis om verantwoord gebruik blijvend zeker te stellen. Specifiek voor het ruimen van explosieven wordt, waar mogelijk in internationaal verband, onderzoek gedaan naar alternatieve technologie om met minder effecten op gevoelige soorten gevaarlijke historische munitie onschadelijk te maken en veilig gebruik van de zee daarmee zeker te stellen. Daarnaast wordt intern CZSK</w:t>
      </w:r>
      <w:r>
        <w:rPr>
          <w:lang w:val="nl-NL"/>
        </w:rPr>
        <w:t xml:space="preserve"> (Commando Zeestrijdkrachten)</w:t>
      </w:r>
      <w:r w:rsidRPr="00150556">
        <w:rPr>
          <w:lang w:val="nl-NL"/>
        </w:rPr>
        <w:t xml:space="preserve"> gewerkt met voorschriften m</w:t>
      </w:r>
      <w:r w:rsidR="00700583">
        <w:rPr>
          <w:lang w:val="nl-NL"/>
        </w:rPr>
        <w:t>et betrekking tot</w:t>
      </w:r>
      <w:r w:rsidRPr="00150556">
        <w:rPr>
          <w:lang w:val="nl-NL"/>
        </w:rPr>
        <w:t xml:space="preserve"> explosievenruiming. </w:t>
      </w:r>
    </w:p>
    <w:p w:rsidR="00816A0C" w:rsidP="00150556" w:rsidRDefault="003004C6" w14:paraId="29BC2DE5" w14:textId="5507CFD8">
      <w:pPr>
        <w:rPr>
          <w:lang w:val="nl-NL"/>
        </w:rPr>
      </w:pPr>
      <w:r>
        <w:rPr>
          <w:lang w:val="nl-NL"/>
        </w:rPr>
        <w:t>Regelgeving omtrent seismisch onderzoek is aangepast. V</w:t>
      </w:r>
      <w:r w:rsidRPr="005C22F7">
        <w:rPr>
          <w:lang w:val="nl-NL"/>
        </w:rPr>
        <w:t xml:space="preserve">oor het schieten van seismiek op zee </w:t>
      </w:r>
      <w:r>
        <w:rPr>
          <w:lang w:val="nl-NL"/>
        </w:rPr>
        <w:t xml:space="preserve">is </w:t>
      </w:r>
      <w:r w:rsidRPr="005C22F7">
        <w:rPr>
          <w:lang w:val="nl-NL"/>
        </w:rPr>
        <w:t xml:space="preserve">een vergunning op grond van de </w:t>
      </w:r>
      <w:r w:rsidR="00A9405C">
        <w:rPr>
          <w:lang w:val="nl-NL"/>
        </w:rPr>
        <w:t xml:space="preserve">Wet natuurbescherming </w:t>
      </w:r>
      <w:r w:rsidRPr="005C22F7">
        <w:rPr>
          <w:lang w:val="nl-NL"/>
        </w:rPr>
        <w:t>nodig.</w:t>
      </w:r>
      <w:r>
        <w:rPr>
          <w:lang w:val="nl-NL"/>
        </w:rPr>
        <w:t xml:space="preserve"> </w:t>
      </w:r>
      <w:r w:rsidRPr="00A0359E">
        <w:rPr>
          <w:lang w:val="nl-NL"/>
        </w:rPr>
        <w:t>Daarnaast zij</w:t>
      </w:r>
      <w:r w:rsidR="00527DE0">
        <w:rPr>
          <w:lang w:val="nl-NL"/>
        </w:rPr>
        <w:t>n</w:t>
      </w:r>
      <w:r>
        <w:rPr>
          <w:lang w:val="nl-NL"/>
        </w:rPr>
        <w:t xml:space="preserve"> vrijwillige </w:t>
      </w:r>
      <w:r w:rsidRPr="00AF1E71">
        <w:rPr>
          <w:i/>
          <w:iCs/>
          <w:lang w:val="nl-NL"/>
        </w:rPr>
        <w:t>guidelines</w:t>
      </w:r>
      <w:r>
        <w:rPr>
          <w:lang w:val="nl-NL"/>
        </w:rPr>
        <w:t xml:space="preserve"> opgesteld om de effecten van licht van platforms te verminderen. </w:t>
      </w:r>
    </w:p>
    <w:p w:rsidR="00BA1AC5" w:rsidP="00150556" w:rsidRDefault="003004C6" w14:paraId="30D72407" w14:textId="144ABA27">
      <w:pPr>
        <w:rPr>
          <w:lang w:val="nl-NL"/>
        </w:rPr>
      </w:pPr>
      <w:r>
        <w:rPr>
          <w:lang w:val="nl-NL"/>
        </w:rPr>
        <w:t xml:space="preserve">Tot slot heeft de IMO richtlijnen aangenomen om het onderwatergeluid door commerciële scheepvaart te reduceren. Daarnaast </w:t>
      </w:r>
      <w:r w:rsidR="009A25A2">
        <w:rPr>
          <w:lang w:val="nl-NL"/>
        </w:rPr>
        <w:t xml:space="preserve">leidt </w:t>
      </w:r>
      <w:r w:rsidRPr="008A024D">
        <w:rPr>
          <w:lang w:val="nl-NL"/>
        </w:rPr>
        <w:t>Nederland een EU</w:t>
      </w:r>
      <w:r>
        <w:rPr>
          <w:lang w:val="nl-NL"/>
        </w:rPr>
        <w:t>-</w:t>
      </w:r>
      <w:r w:rsidRPr="008A024D">
        <w:rPr>
          <w:lang w:val="nl-NL"/>
        </w:rPr>
        <w:t xml:space="preserve">project om monitoring </w:t>
      </w:r>
      <w:r>
        <w:rPr>
          <w:lang w:val="nl-NL"/>
        </w:rPr>
        <w:t>van</w:t>
      </w:r>
      <w:r w:rsidRPr="00D45D30">
        <w:rPr>
          <w:lang w:val="nl-NL"/>
        </w:rPr>
        <w:t xml:space="preserve"> continugeluid </w:t>
      </w:r>
      <w:r w:rsidRPr="008A024D">
        <w:rPr>
          <w:lang w:val="nl-NL"/>
        </w:rPr>
        <w:t>op de Noordzee op te zetten (</w:t>
      </w:r>
      <w:r w:rsidRPr="00166FFF">
        <w:rPr>
          <w:iCs/>
          <w:lang w:val="nl-NL"/>
        </w:rPr>
        <w:t>Joint Monitoring of Ambient Noise in the North Sea</w:t>
      </w:r>
      <w:r w:rsidRPr="008A024D">
        <w:rPr>
          <w:lang w:val="nl-NL"/>
        </w:rPr>
        <w:t xml:space="preserve"> </w:t>
      </w:r>
      <w:r w:rsidR="005F5515">
        <w:rPr>
          <w:lang w:val="nl-NL"/>
        </w:rPr>
        <w:t>–</w:t>
      </w:r>
      <w:r>
        <w:rPr>
          <w:lang w:val="nl-NL"/>
        </w:rPr>
        <w:t xml:space="preserve"> </w:t>
      </w:r>
      <w:r w:rsidRPr="008A024D">
        <w:rPr>
          <w:lang w:val="nl-NL"/>
        </w:rPr>
        <w:t>Jomopans</w:t>
      </w:r>
      <w:r>
        <w:rPr>
          <w:lang w:val="nl-NL"/>
        </w:rPr>
        <w:t>, 2018-202</w:t>
      </w:r>
      <w:r w:rsidR="009A25A2">
        <w:rPr>
          <w:lang w:val="nl-NL"/>
        </w:rPr>
        <w:t>2</w:t>
      </w:r>
      <w:r w:rsidRPr="008A024D">
        <w:rPr>
          <w:lang w:val="nl-NL"/>
        </w:rPr>
        <w:t xml:space="preserve">). </w:t>
      </w:r>
      <w:r w:rsidRPr="00700583" w:rsidR="00700583">
        <w:rPr>
          <w:lang w:val="nl-NL"/>
        </w:rPr>
        <w:t xml:space="preserve"> </w:t>
      </w:r>
    </w:p>
    <w:p w:rsidR="003004C6" w:rsidP="003004C6" w:rsidRDefault="003004C6" w14:paraId="20E0D910" w14:textId="6796EE3B">
      <w:pPr>
        <w:pStyle w:val="TOCHeading"/>
      </w:pPr>
      <w:r>
        <w:t>Huidige situatie</w:t>
      </w:r>
    </w:p>
    <w:p w:rsidRPr="00D803C8" w:rsidR="003004C6" w:rsidP="003004C6" w:rsidRDefault="003004C6" w14:paraId="7EE87D54" w14:textId="1561017D">
      <w:pPr>
        <w:rPr>
          <w:lang w:val="nl-NL"/>
        </w:rPr>
      </w:pPr>
      <w:r>
        <w:rPr>
          <w:lang w:val="nl-NL"/>
        </w:rPr>
        <w:t>Door de toename van menselijke activiteiten op de Noordzee neemt ook de hoeveelheid onderwatergeluid toe als daartegen geen aanvullende maatregelen worden genomen. Sinds de vorige Mariene Strategie deel 3 wordt onderwatergeluid gemonitord. O</w:t>
      </w:r>
      <w:r w:rsidRPr="00AF2886">
        <w:rPr>
          <w:lang w:val="nl-NL"/>
        </w:rPr>
        <w:t xml:space="preserve">p initiatief van OSPAR </w:t>
      </w:r>
      <w:r>
        <w:rPr>
          <w:lang w:val="nl-NL"/>
        </w:rPr>
        <w:t xml:space="preserve">is bij ICES een register voor </w:t>
      </w:r>
      <w:r w:rsidRPr="00AF2886">
        <w:rPr>
          <w:lang w:val="nl-NL"/>
        </w:rPr>
        <w:t xml:space="preserve">impulsgeluid </w:t>
      </w:r>
      <w:r>
        <w:rPr>
          <w:lang w:val="nl-NL"/>
        </w:rPr>
        <w:t xml:space="preserve">opgezet, waarin alle </w:t>
      </w:r>
      <w:r w:rsidRPr="00AF2886">
        <w:rPr>
          <w:lang w:val="nl-NL"/>
        </w:rPr>
        <w:t xml:space="preserve">activiteiten </w:t>
      </w:r>
      <w:r>
        <w:rPr>
          <w:lang w:val="nl-NL"/>
        </w:rPr>
        <w:t xml:space="preserve">die geluid produceren worden geregistreerd. Door het Jomopans project is beter inzicht ontstaan in de hoeveelheid en de spreiding van continu onderwatergeluid. De resultaten van diverse onderzoeken hebben ertoe geleid dat er grenswaarden aan de geluidproductie bij de aanleg van windmolenparken zijn gesteld. </w:t>
      </w:r>
    </w:p>
    <w:p w:rsidRPr="007A3BBF" w:rsidR="003004C6" w:rsidP="003004C6" w:rsidRDefault="006A5AEC" w14:paraId="3EBFF6E3" w14:textId="77777777">
      <w:pPr>
        <w:pStyle w:val="TOCHeading"/>
      </w:pPr>
      <w:r>
        <w:t>Aanvullende b</w:t>
      </w:r>
      <w:r w:rsidR="003004C6">
        <w:t xml:space="preserve">eleidsopgave </w:t>
      </w:r>
    </w:p>
    <w:p w:rsidR="003004C6" w:rsidP="003004C6" w:rsidRDefault="003004C6" w14:paraId="542CA7AC" w14:textId="77777777">
      <w:pPr>
        <w:rPr>
          <w:lang w:val="nl-NL"/>
        </w:rPr>
      </w:pPr>
      <w:r w:rsidRPr="00260839">
        <w:rPr>
          <w:lang w:val="nl-NL"/>
        </w:rPr>
        <w:t xml:space="preserve">Voortzetting van de </w:t>
      </w:r>
      <w:r>
        <w:rPr>
          <w:lang w:val="nl-NL"/>
        </w:rPr>
        <w:t xml:space="preserve">huidige </w:t>
      </w:r>
      <w:r w:rsidRPr="00260839">
        <w:rPr>
          <w:lang w:val="nl-NL"/>
        </w:rPr>
        <w:t xml:space="preserve">inzet </w:t>
      </w:r>
      <w:r>
        <w:rPr>
          <w:lang w:val="nl-NL"/>
        </w:rPr>
        <w:t xml:space="preserve">en onderzoeksinspanning </w:t>
      </w:r>
      <w:r w:rsidRPr="00260839">
        <w:rPr>
          <w:lang w:val="nl-NL"/>
        </w:rPr>
        <w:t xml:space="preserve">is nodig. </w:t>
      </w:r>
    </w:p>
    <w:p w:rsidR="003004C6" w:rsidP="003004C6" w:rsidRDefault="003004C6" w14:paraId="50D6E295" w14:textId="77777777">
      <w:pPr>
        <w:pStyle w:val="TOCHeading"/>
      </w:pPr>
      <w:r>
        <w:t>Aanvullende maatregelen</w:t>
      </w:r>
    </w:p>
    <w:p w:rsidRPr="00C51201" w:rsidR="003004C6" w:rsidP="003004C6" w:rsidRDefault="006F4DA0" w14:paraId="1209FAED" w14:textId="20EB3B91">
      <w:pPr>
        <w:rPr>
          <w:lang w:val="nl-NL"/>
        </w:rPr>
      </w:pPr>
      <w:r>
        <w:rPr>
          <w:i/>
          <w:lang w:val="nl-NL"/>
        </w:rPr>
        <w:t xml:space="preserve">Impuls geluid: </w:t>
      </w:r>
      <w:r w:rsidRPr="0029293A" w:rsidR="003004C6">
        <w:rPr>
          <w:i/>
          <w:lang w:val="nl-NL"/>
        </w:rPr>
        <w:t>Geluidsbudget voor seismisch onderzoek</w:t>
      </w:r>
      <w:r w:rsidRPr="0029293A" w:rsidR="003004C6">
        <w:rPr>
          <w:i/>
          <w:lang w:val="nl-NL"/>
        </w:rPr>
        <w:br/>
      </w:r>
      <w:r w:rsidR="003004C6">
        <w:rPr>
          <w:lang w:val="nl-NL"/>
        </w:rPr>
        <w:t>E</w:t>
      </w:r>
      <w:r w:rsidRPr="005B5F0C" w:rsidR="003004C6">
        <w:rPr>
          <w:lang w:val="nl-NL"/>
        </w:rPr>
        <w:t xml:space="preserve">en van de impulsieve geluidsbronnen </w:t>
      </w:r>
      <w:r w:rsidR="003004C6">
        <w:rPr>
          <w:lang w:val="nl-NL"/>
        </w:rPr>
        <w:t>is h</w:t>
      </w:r>
      <w:r w:rsidRPr="00C51201" w:rsidR="003004C6">
        <w:rPr>
          <w:lang w:val="nl-NL"/>
        </w:rPr>
        <w:t xml:space="preserve">et gebruik van </w:t>
      </w:r>
      <w:r w:rsidRPr="00166FFF" w:rsidR="003004C6">
        <w:rPr>
          <w:iCs/>
          <w:lang w:val="nl-NL"/>
        </w:rPr>
        <w:t>airguns</w:t>
      </w:r>
      <w:r w:rsidRPr="00AF1E71" w:rsidR="003004C6">
        <w:rPr>
          <w:i/>
          <w:iCs/>
          <w:lang w:val="nl-NL"/>
        </w:rPr>
        <w:t xml:space="preserve"> </w:t>
      </w:r>
      <w:r w:rsidRPr="00C51201" w:rsidR="003004C6">
        <w:rPr>
          <w:lang w:val="nl-NL"/>
        </w:rPr>
        <w:t xml:space="preserve">bij seismisch onderzoek voor het opsporen van olie- en gasvoorraden onder de zeebodem. </w:t>
      </w:r>
      <w:r w:rsidR="003004C6">
        <w:rPr>
          <w:lang w:val="nl-NL"/>
        </w:rPr>
        <w:t xml:space="preserve">In samenwerking met de industrie zal worden gewerkt aan een beoordelingskader voor seismisch onderzoek in analogie met het KEC. Verdere voorwaarden kunnen hierop worden gebaseerd. Dit is in lijn met de afspraken in het Noordzeeakkoord en het Bruinvisbeschermingsplan. </w:t>
      </w:r>
      <w:r w:rsidRPr="00C51201" w:rsidR="003004C6">
        <w:rPr>
          <w:lang w:val="nl-NL"/>
        </w:rPr>
        <w:t>Een geluidsbudget</w:t>
      </w:r>
      <w:r w:rsidR="003004C6">
        <w:rPr>
          <w:lang w:val="nl-NL"/>
        </w:rPr>
        <w:t>,</w:t>
      </w:r>
      <w:r w:rsidRPr="00C51201" w:rsidR="003004C6">
        <w:rPr>
          <w:lang w:val="nl-NL"/>
        </w:rPr>
        <w:t xml:space="preserve"> </w:t>
      </w:r>
      <w:r w:rsidR="003004C6">
        <w:rPr>
          <w:lang w:val="nl-NL"/>
        </w:rPr>
        <w:t xml:space="preserve">dat de tijd </w:t>
      </w:r>
      <w:r w:rsidRPr="00C51201" w:rsidR="003004C6">
        <w:rPr>
          <w:lang w:val="nl-NL"/>
        </w:rPr>
        <w:t>reguleert waar</w:t>
      </w:r>
      <w:r w:rsidR="003004C6">
        <w:rPr>
          <w:lang w:val="nl-NL"/>
        </w:rPr>
        <w:t>in</w:t>
      </w:r>
      <w:r w:rsidRPr="00C51201" w:rsidR="003004C6">
        <w:rPr>
          <w:lang w:val="nl-NL"/>
        </w:rPr>
        <w:t xml:space="preserve"> impulsgeluid </w:t>
      </w:r>
      <w:r w:rsidR="003004C6">
        <w:rPr>
          <w:lang w:val="nl-NL"/>
        </w:rPr>
        <w:t xml:space="preserve">wordt </w:t>
      </w:r>
      <w:r w:rsidRPr="00C51201" w:rsidR="003004C6">
        <w:rPr>
          <w:lang w:val="nl-NL"/>
        </w:rPr>
        <w:t>toegestaan</w:t>
      </w:r>
      <w:r w:rsidR="003004C6">
        <w:rPr>
          <w:lang w:val="nl-NL"/>
        </w:rPr>
        <w:t>,</w:t>
      </w:r>
      <w:r w:rsidRPr="00C51201" w:rsidR="003004C6">
        <w:rPr>
          <w:lang w:val="nl-NL"/>
        </w:rPr>
        <w:t xml:space="preserve"> </w:t>
      </w:r>
      <w:r w:rsidR="003004C6">
        <w:rPr>
          <w:lang w:val="nl-NL"/>
        </w:rPr>
        <w:t xml:space="preserve">kan een voorwaarde </w:t>
      </w:r>
      <w:r w:rsidR="00B7782C">
        <w:rPr>
          <w:lang w:val="nl-NL"/>
        </w:rPr>
        <w:t xml:space="preserve">van het beoordelingskader </w:t>
      </w:r>
      <w:r w:rsidR="003004C6">
        <w:rPr>
          <w:lang w:val="nl-NL"/>
        </w:rPr>
        <w:t>zijn. De industrie zal worden ge</w:t>
      </w:r>
      <w:r w:rsidRPr="00C51201" w:rsidR="003004C6">
        <w:rPr>
          <w:lang w:val="nl-NL"/>
        </w:rPr>
        <w:t>stimuleer</w:t>
      </w:r>
      <w:r w:rsidR="003004C6">
        <w:rPr>
          <w:lang w:val="nl-NL"/>
        </w:rPr>
        <w:t>d</w:t>
      </w:r>
      <w:r w:rsidRPr="00C51201" w:rsidR="003004C6">
        <w:rPr>
          <w:lang w:val="nl-NL"/>
        </w:rPr>
        <w:t xml:space="preserve"> om impulsgeluid te verminderen</w:t>
      </w:r>
      <w:r w:rsidR="003004C6">
        <w:rPr>
          <w:lang w:val="nl-NL"/>
        </w:rPr>
        <w:t>.</w:t>
      </w:r>
    </w:p>
    <w:p w:rsidR="00BA1AC5" w:rsidP="00BA1AC5" w:rsidRDefault="006F4DA0" w14:paraId="474036D9" w14:textId="6B1EE110">
      <w:pPr>
        <w:rPr>
          <w:i/>
          <w:lang w:val="nl-NL"/>
        </w:rPr>
      </w:pPr>
      <w:r>
        <w:rPr>
          <w:i/>
          <w:lang w:val="nl-NL"/>
        </w:rPr>
        <w:t xml:space="preserve">Continu geluid: </w:t>
      </w:r>
      <w:r w:rsidRPr="0029293A" w:rsidR="003004C6">
        <w:rPr>
          <w:i/>
          <w:lang w:val="nl-NL"/>
        </w:rPr>
        <w:t>IMO-richtlijnen reductie onderwatergeluid commerciële scheepvaart</w:t>
      </w:r>
      <w:r w:rsidRPr="0029293A" w:rsidR="003004C6">
        <w:rPr>
          <w:i/>
          <w:lang w:val="nl-NL"/>
        </w:rPr>
        <w:br/>
      </w:r>
      <w:r w:rsidRPr="00C51201" w:rsidR="003004C6">
        <w:rPr>
          <w:lang w:val="nl-NL"/>
        </w:rPr>
        <w:t>Scheepvaart is een mondiale sector</w:t>
      </w:r>
      <w:r w:rsidR="003004C6">
        <w:rPr>
          <w:lang w:val="nl-NL"/>
        </w:rPr>
        <w:t>.</w:t>
      </w:r>
      <w:r w:rsidRPr="00C51201" w:rsidR="003004C6">
        <w:rPr>
          <w:lang w:val="nl-NL"/>
        </w:rPr>
        <w:t xml:space="preserve"> </w:t>
      </w:r>
      <w:r w:rsidR="003004C6">
        <w:rPr>
          <w:lang w:val="nl-NL"/>
        </w:rPr>
        <w:t>E</w:t>
      </w:r>
      <w:r w:rsidRPr="00C51201" w:rsidR="003004C6">
        <w:rPr>
          <w:lang w:val="nl-NL"/>
        </w:rPr>
        <w:t xml:space="preserve">en vraagstuk zoals hinderlijk onderwatergeluid afkomstig van schepen </w:t>
      </w:r>
      <w:r w:rsidR="003004C6">
        <w:rPr>
          <w:lang w:val="nl-NL"/>
        </w:rPr>
        <w:t xml:space="preserve">moet dan ook </w:t>
      </w:r>
      <w:r w:rsidRPr="00C51201" w:rsidR="003004C6">
        <w:rPr>
          <w:lang w:val="nl-NL"/>
        </w:rPr>
        <w:t xml:space="preserve">op mondiaal niveau </w:t>
      </w:r>
      <w:r w:rsidR="003004C6">
        <w:rPr>
          <w:lang w:val="nl-NL"/>
        </w:rPr>
        <w:t xml:space="preserve">worden </w:t>
      </w:r>
      <w:r w:rsidRPr="00C51201" w:rsidR="003004C6">
        <w:rPr>
          <w:lang w:val="nl-NL"/>
        </w:rPr>
        <w:t>besproken</w:t>
      </w:r>
      <w:r w:rsidR="003004C6">
        <w:rPr>
          <w:lang w:val="nl-NL"/>
        </w:rPr>
        <w:t>.</w:t>
      </w:r>
      <w:r w:rsidRPr="00C51201" w:rsidR="003004C6">
        <w:rPr>
          <w:lang w:val="nl-NL"/>
        </w:rPr>
        <w:t xml:space="preserve"> </w:t>
      </w:r>
      <w:r w:rsidR="003004C6">
        <w:rPr>
          <w:lang w:val="nl-NL"/>
        </w:rPr>
        <w:t xml:space="preserve">De scheepvaartsector zal gestimuleerd moeten worden om de productie van onderwatergeluid door schepen te reduceren. </w:t>
      </w:r>
      <w:r w:rsidRPr="007268CC" w:rsidR="007268CC">
        <w:rPr>
          <w:lang w:val="nl-NL"/>
        </w:rPr>
        <w:t xml:space="preserve"> </w:t>
      </w:r>
      <w:r w:rsidRPr="001D78B2" w:rsidR="001D78B2">
        <w:rPr>
          <w:lang w:val="nl-NL"/>
        </w:rPr>
        <w:t xml:space="preserve">Mede dankzij </w:t>
      </w:r>
      <w:r w:rsidR="001D78B2">
        <w:rPr>
          <w:lang w:val="nl-NL"/>
        </w:rPr>
        <w:t>Nederlandse</w:t>
      </w:r>
      <w:r w:rsidRPr="001D78B2" w:rsidR="001D78B2">
        <w:rPr>
          <w:lang w:val="nl-NL"/>
        </w:rPr>
        <w:t xml:space="preserve"> steun is de IMO nu begonnen met het herzien van de bestaande richtlijnen</w:t>
      </w:r>
      <w:r w:rsidRPr="007268CC" w:rsidR="007268CC">
        <w:rPr>
          <w:lang w:val="nl-NL"/>
        </w:rPr>
        <w:t xml:space="preserve"> met het streven de herziening in 2023 af te ronden. Nederland zet zich hier samen met de EU in voor een verbetering</w:t>
      </w:r>
      <w:r w:rsidR="006F586C">
        <w:rPr>
          <w:lang w:val="nl-NL"/>
        </w:rPr>
        <w:t xml:space="preserve"> en aanscherping</w:t>
      </w:r>
      <w:r w:rsidRPr="007268CC" w:rsidR="007268CC">
        <w:rPr>
          <w:lang w:val="nl-NL"/>
        </w:rPr>
        <w:t xml:space="preserve"> van de richtlijnen. Ook heeft N</w:t>
      </w:r>
      <w:r w:rsidR="00700583">
        <w:rPr>
          <w:lang w:val="nl-NL"/>
        </w:rPr>
        <w:t>ederland</w:t>
      </w:r>
      <w:r w:rsidRPr="007268CC" w:rsidR="007268CC">
        <w:rPr>
          <w:lang w:val="nl-NL"/>
        </w:rPr>
        <w:t xml:space="preserve"> het </w:t>
      </w:r>
      <w:r w:rsidR="007268CC">
        <w:rPr>
          <w:lang w:val="nl-NL"/>
        </w:rPr>
        <w:t>Jomopans-</w:t>
      </w:r>
      <w:r w:rsidRPr="007268CC" w:rsidR="007268CC">
        <w:rPr>
          <w:lang w:val="nl-NL"/>
        </w:rPr>
        <w:t>project in IMO onder de aandacht gebracht ter ondersteuning van het verzoek om de richtlijnen te herzien.</w:t>
      </w:r>
      <w:r w:rsidRPr="00BA1AC5" w:rsidR="00BA1AC5">
        <w:rPr>
          <w:i/>
          <w:lang w:val="nl-NL"/>
        </w:rPr>
        <w:t xml:space="preserve"> </w:t>
      </w:r>
    </w:p>
    <w:p w:rsidRPr="00E51D3A" w:rsidR="00BA1AC5" w:rsidP="006F4DA0" w:rsidRDefault="006F4DA0" w14:paraId="2F8BB841" w14:textId="1AAD250A">
      <w:pPr>
        <w:spacing w:after="0"/>
        <w:rPr>
          <w:i/>
          <w:lang w:val="nl-NL"/>
        </w:rPr>
      </w:pPr>
      <w:r>
        <w:rPr>
          <w:i/>
          <w:lang w:val="nl-NL"/>
        </w:rPr>
        <w:t xml:space="preserve">Continu geluid: </w:t>
      </w:r>
      <w:r w:rsidRPr="00E51D3A" w:rsidR="00BA1AC5">
        <w:rPr>
          <w:i/>
          <w:lang w:val="nl-NL"/>
        </w:rPr>
        <w:t xml:space="preserve">Maatregelen </w:t>
      </w:r>
      <w:r>
        <w:rPr>
          <w:i/>
          <w:lang w:val="nl-NL"/>
        </w:rPr>
        <w:t>naar aanleiding van Jomopans</w:t>
      </w:r>
    </w:p>
    <w:p w:rsidR="00BA1AC5" w:rsidP="00BA1AC5" w:rsidRDefault="00BA1AC5" w14:paraId="1E285D3F" w14:textId="246256F3">
      <w:pPr>
        <w:rPr>
          <w:lang w:val="nl-NL"/>
        </w:rPr>
      </w:pPr>
      <w:r w:rsidRPr="009A25A2">
        <w:rPr>
          <w:lang w:val="nl-NL"/>
        </w:rPr>
        <w:t xml:space="preserve">Jomopans heeft de geluidniveaus </w:t>
      </w:r>
      <w:r>
        <w:rPr>
          <w:lang w:val="nl-NL"/>
        </w:rPr>
        <w:t>in kaart gebracht,</w:t>
      </w:r>
      <w:r w:rsidRPr="009A25A2">
        <w:rPr>
          <w:lang w:val="nl-NL"/>
        </w:rPr>
        <w:t xml:space="preserve"> en deze bieden aanknopingspunten voor het definiëren van maatregelen.</w:t>
      </w:r>
      <w:r>
        <w:rPr>
          <w:lang w:val="nl-NL"/>
        </w:rPr>
        <w:t xml:space="preserve"> </w:t>
      </w:r>
      <w:r w:rsidR="007B7B4A">
        <w:rPr>
          <w:lang w:val="nl-NL"/>
        </w:rPr>
        <w:t>Het is op het moment van schrijven van dit document nog te vroeg om nieuwe maatregelen vast te stellen op basis van de resultaten. Wel worden d</w:t>
      </w:r>
      <w:r>
        <w:rPr>
          <w:lang w:val="nl-NL"/>
        </w:rPr>
        <w:t>e resultaten van Jomopans op dit moment geïmplementeerd binnen OSPAR, en meegenomen in de richtlijnen die ontwikkeld worden binnen de Europese Technical Group on underwater noise (TG Noise).</w:t>
      </w:r>
      <w:r w:rsidRPr="00E51D3A">
        <w:rPr>
          <w:lang w:val="nl-NL"/>
        </w:rPr>
        <w:t xml:space="preserve"> </w:t>
      </w:r>
      <w:r>
        <w:rPr>
          <w:lang w:val="nl-NL"/>
        </w:rPr>
        <w:t>Ook zal d</w:t>
      </w:r>
      <w:r w:rsidRPr="00CD2D65">
        <w:rPr>
          <w:lang w:val="nl-NL"/>
        </w:rPr>
        <w:t>oor OS</w:t>
      </w:r>
      <w:r>
        <w:rPr>
          <w:lang w:val="nl-NL"/>
        </w:rPr>
        <w:t xml:space="preserve">PAR een </w:t>
      </w:r>
      <w:r w:rsidRPr="00E51D3A">
        <w:rPr>
          <w:i/>
          <w:lang w:val="nl-NL"/>
        </w:rPr>
        <w:t>regional action plan</w:t>
      </w:r>
      <w:r w:rsidRPr="00CD2D65">
        <w:rPr>
          <w:lang w:val="nl-NL"/>
        </w:rPr>
        <w:t xml:space="preserve"> (RAP) voor onderwatergeluid worden opgesteld. </w:t>
      </w:r>
    </w:p>
    <w:p w:rsidR="003004C6" w:rsidP="003004C6" w:rsidRDefault="003004C6" w14:paraId="29A5B14B" w14:textId="6EA72FF7">
      <w:pPr>
        <w:rPr>
          <w:lang w:val="nl-NL"/>
        </w:rPr>
      </w:pPr>
    </w:p>
    <w:p w:rsidR="001F5442" w:rsidP="0070550F" w:rsidRDefault="0070550F" w14:paraId="37ED0F6A" w14:textId="77777777">
      <w:pPr>
        <w:pStyle w:val="TOCHeading"/>
      </w:pPr>
      <w:r>
        <w:t>Kennisagenda</w:t>
      </w:r>
    </w:p>
    <w:p w:rsidR="001F5442" w:rsidP="001F5442" w:rsidRDefault="001F5442" w14:paraId="0FCDE8F3" w14:textId="77777777">
      <w:pPr>
        <w:rPr>
          <w:lang w:val="nl-NL" w:eastAsia="nl-NL"/>
        </w:rPr>
      </w:pPr>
      <w:r w:rsidRPr="001262C0">
        <w:rPr>
          <w:lang w:val="nl-NL" w:eastAsia="nl-NL"/>
        </w:rPr>
        <w:t xml:space="preserve">Deze paragraaf omvat de belangrijkste kennisvragen omtrent </w:t>
      </w:r>
      <w:r w:rsidR="00C06BE3">
        <w:rPr>
          <w:lang w:val="nl-NL" w:eastAsia="nl-NL"/>
        </w:rPr>
        <w:t>onderwatergeluid</w:t>
      </w:r>
      <w:r w:rsidR="003004C6">
        <w:rPr>
          <w:lang w:val="nl-NL" w:eastAsia="nl-NL"/>
        </w:rPr>
        <w:t xml:space="preserve"> die in deze planperiode worden uitgewerkt.</w:t>
      </w:r>
    </w:p>
    <w:p w:rsidRPr="001F5442" w:rsidR="00BE453C" w:rsidP="001F5442" w:rsidRDefault="00BE453C" w14:paraId="02D85181" w14:textId="7A93B5AF">
      <w:pPr>
        <w:pStyle w:val="ListParagraph"/>
        <w:numPr>
          <w:ilvl w:val="0"/>
          <w:numId w:val="40"/>
        </w:numPr>
        <w:rPr>
          <w:lang w:val="nl-NL"/>
        </w:rPr>
      </w:pPr>
      <w:r w:rsidRPr="001F5442">
        <w:rPr>
          <w:lang w:val="nl-NL"/>
        </w:rPr>
        <w:t xml:space="preserve">De fysische aspecten van onderwatergeluid zijn grotendeels begrepen, maar </w:t>
      </w:r>
      <w:r w:rsidR="007D2310">
        <w:rPr>
          <w:lang w:val="nl-NL"/>
        </w:rPr>
        <w:t>kennis ontbreekt</w:t>
      </w:r>
      <w:r w:rsidRPr="001F5442">
        <w:rPr>
          <w:lang w:val="nl-NL"/>
        </w:rPr>
        <w:t xml:space="preserve"> op het gebied van de effecten van onderwatergeluid op mariene soorten en hoe deze effecten doorwerken in de populatie en het ecosysteem. Ecologische modellen hiervoor zijn in ontwikkeling, maar validatie is een uitdaging. Er is veel aandacht geweest voor zeezoogdieren en dan vooral de bruinvis. De komende jaren zal ook vooral naar vissoorten en andere diersoorten gekeken worden.</w:t>
      </w:r>
      <w:r w:rsidR="00D1154C">
        <w:rPr>
          <w:lang w:val="nl-NL"/>
        </w:rPr>
        <w:t xml:space="preserve"> Er zal dan</w:t>
      </w:r>
      <w:r w:rsidR="00700583">
        <w:rPr>
          <w:lang w:val="nl-NL"/>
        </w:rPr>
        <w:t>,</w:t>
      </w:r>
      <w:r w:rsidR="00D1154C">
        <w:rPr>
          <w:lang w:val="nl-NL"/>
        </w:rPr>
        <w:t xml:space="preserve"> naast de geluidsdruk</w:t>
      </w:r>
      <w:r w:rsidR="00700583">
        <w:rPr>
          <w:lang w:val="nl-NL"/>
        </w:rPr>
        <w:t>,</w:t>
      </w:r>
      <w:r w:rsidR="00D1154C">
        <w:rPr>
          <w:lang w:val="nl-NL"/>
        </w:rPr>
        <w:t xml:space="preserve"> ook gekeken worden naar de deeltjessnelheidscomponent van onderwatergeluid.</w:t>
      </w:r>
    </w:p>
    <w:p w:rsidRPr="001F5442" w:rsidR="00BE453C" w:rsidP="001F5442" w:rsidRDefault="001F5442" w14:paraId="3A0D5FE6" w14:textId="5B58AE2F">
      <w:pPr>
        <w:pStyle w:val="ListParagraph"/>
        <w:numPr>
          <w:ilvl w:val="0"/>
          <w:numId w:val="40"/>
        </w:numPr>
        <w:rPr>
          <w:lang w:val="nl-NL"/>
        </w:rPr>
      </w:pPr>
      <w:r>
        <w:rPr>
          <w:lang w:val="nl-NL"/>
        </w:rPr>
        <w:t>G</w:t>
      </w:r>
      <w:r w:rsidRPr="001F5442" w:rsidR="00BE453C">
        <w:rPr>
          <w:lang w:val="nl-NL"/>
        </w:rPr>
        <w:t xml:space="preserve">ecombineerde effecten van meerdere activiteiten (cumulatie). </w:t>
      </w:r>
      <w:r>
        <w:rPr>
          <w:lang w:val="nl-NL"/>
        </w:rPr>
        <w:t>D</w:t>
      </w:r>
      <w:r w:rsidRPr="001F5442" w:rsidR="00BE453C">
        <w:rPr>
          <w:lang w:val="nl-NL"/>
        </w:rPr>
        <w:t>e effecten van cumulatie van hetzelfde type bron (b</w:t>
      </w:r>
      <w:r>
        <w:rPr>
          <w:lang w:val="nl-NL"/>
        </w:rPr>
        <w:t>ijvoorbeeld</w:t>
      </w:r>
      <w:r w:rsidRPr="001F5442" w:rsidR="00BE453C">
        <w:rPr>
          <w:lang w:val="nl-NL"/>
        </w:rPr>
        <w:t xml:space="preserve"> meerdere windparken</w:t>
      </w:r>
      <w:r>
        <w:rPr>
          <w:lang w:val="nl-NL"/>
        </w:rPr>
        <w:t xml:space="preserve">, </w:t>
      </w:r>
      <w:r w:rsidRPr="001F5442" w:rsidR="00BE453C">
        <w:rPr>
          <w:lang w:val="nl-NL"/>
        </w:rPr>
        <w:t>de cumulatie van allerlei brontypen (heien, seismisch onderzoek) en tenslotte de cumulatie van verschillende drukfactoren (geluid, bijvangst, chemische vervuiling).</w:t>
      </w:r>
    </w:p>
    <w:p w:rsidRPr="001F5442" w:rsidR="00BE453C" w:rsidP="001F5442" w:rsidRDefault="00BE453C" w14:paraId="236F136A" w14:textId="77777777">
      <w:pPr>
        <w:pStyle w:val="ListParagraph"/>
        <w:numPr>
          <w:ilvl w:val="0"/>
          <w:numId w:val="40"/>
        </w:numPr>
        <w:rPr>
          <w:lang w:val="nl-NL"/>
        </w:rPr>
      </w:pPr>
      <w:r w:rsidRPr="001F5442">
        <w:rPr>
          <w:lang w:val="nl-NL"/>
        </w:rPr>
        <w:t>Voor wat betreft het onderwatergeluid van seismische onderzoeken zijn een aantal parameters nog onbekend, die samenhangen met de andere bronconfiguratie dan bij heigeluid en het feit dat de bronnen bewegen.</w:t>
      </w:r>
    </w:p>
    <w:p w:rsidRPr="001F5442" w:rsidR="00BE453C" w:rsidP="001F5442" w:rsidRDefault="001F5442" w14:paraId="15B741D3" w14:textId="77777777">
      <w:pPr>
        <w:pStyle w:val="ListParagraph"/>
        <w:numPr>
          <w:ilvl w:val="0"/>
          <w:numId w:val="40"/>
        </w:numPr>
        <w:rPr>
          <w:lang w:val="nl-NL"/>
        </w:rPr>
      </w:pPr>
      <w:r>
        <w:rPr>
          <w:lang w:val="nl-NL"/>
        </w:rPr>
        <w:t xml:space="preserve">Inzicht in </w:t>
      </w:r>
      <w:r w:rsidRPr="001F5442" w:rsidR="00BE453C">
        <w:rPr>
          <w:lang w:val="nl-NL"/>
        </w:rPr>
        <w:t>continu onderwatergeluid van recreatieve schepen.</w:t>
      </w:r>
    </w:p>
    <w:p w:rsidRPr="001F5442" w:rsidR="00295B88" w:rsidP="001F5442" w:rsidRDefault="00295B88" w14:paraId="7A1D370C" w14:textId="1E0CBBCF">
      <w:pPr>
        <w:pStyle w:val="ListParagraph"/>
        <w:numPr>
          <w:ilvl w:val="0"/>
          <w:numId w:val="40"/>
        </w:numPr>
        <w:rPr>
          <w:lang w:val="nl-NL"/>
        </w:rPr>
      </w:pPr>
      <w:r w:rsidRPr="001F5442">
        <w:rPr>
          <w:lang w:val="nl-NL"/>
        </w:rPr>
        <w:t xml:space="preserve">Een andere vorm van energietoevoer is het </w:t>
      </w:r>
      <w:r w:rsidR="001F5442">
        <w:rPr>
          <w:lang w:val="nl-NL"/>
        </w:rPr>
        <w:t>e</w:t>
      </w:r>
      <w:r w:rsidRPr="001F5442">
        <w:rPr>
          <w:lang w:val="nl-NL"/>
        </w:rPr>
        <w:t>lektromagnetische veld. Door de aanleg van offshore windparken en de daarbij behorende stroomkabels naar het vaste land zal deze vorm van energie toenemen.</w:t>
      </w:r>
      <w:r w:rsidR="007D2310">
        <w:rPr>
          <w:lang w:val="nl-NL"/>
        </w:rPr>
        <w:t xml:space="preserve"> Het effect hiervan </w:t>
      </w:r>
      <w:r w:rsidRPr="001F5442" w:rsidR="007D2310">
        <w:rPr>
          <w:lang w:val="nl-NL"/>
        </w:rPr>
        <w:t>op sommige vissoorten, zoals haaien en roggen</w:t>
      </w:r>
      <w:r w:rsidR="007D2310">
        <w:rPr>
          <w:lang w:val="nl-NL"/>
        </w:rPr>
        <w:t xml:space="preserve"> is onbekend.</w:t>
      </w:r>
      <w:r w:rsidR="00457EEB">
        <w:rPr>
          <w:lang w:val="nl-NL"/>
        </w:rPr>
        <w:t xml:space="preserve"> </w:t>
      </w:r>
    </w:p>
    <w:p w:rsidR="0070550F" w:rsidP="00746E9B" w:rsidRDefault="0070550F" w14:paraId="723293B6" w14:textId="77777777">
      <w:pPr>
        <w:pStyle w:val="Stijl1"/>
        <w:numPr>
          <w:ilvl w:val="1"/>
          <w:numId w:val="16"/>
        </w:numPr>
        <w:rPr>
          <w:lang w:val="nl-NL"/>
        </w:rPr>
      </w:pPr>
      <w:bookmarkStart w:name="_Toc59455637" w:id="64"/>
      <w:r w:rsidRPr="00F1710A">
        <w:rPr>
          <w:lang w:val="nl-NL"/>
        </w:rPr>
        <w:t>Uitkomsten Plan</w:t>
      </w:r>
      <w:r>
        <w:rPr>
          <w:lang w:val="nl-NL"/>
        </w:rPr>
        <w:t>MER</w:t>
      </w:r>
      <w:r w:rsidRPr="00F1710A">
        <w:rPr>
          <w:lang w:val="nl-NL"/>
        </w:rPr>
        <w:t xml:space="preserve"> Nationaal Water</w:t>
      </w:r>
      <w:r w:rsidR="0028477F">
        <w:rPr>
          <w:lang w:val="nl-NL"/>
        </w:rPr>
        <w:t xml:space="preserve"> P</w:t>
      </w:r>
      <w:r w:rsidRPr="00F1710A">
        <w:rPr>
          <w:lang w:val="nl-NL"/>
        </w:rPr>
        <w:t>rogramma</w:t>
      </w:r>
      <w:bookmarkEnd w:id="64"/>
    </w:p>
    <w:p w:rsidR="00991A4D" w:rsidP="008F6850" w:rsidRDefault="00EB3E07" w14:paraId="30E9DA1A" w14:textId="60CF5415">
      <w:pPr>
        <w:rPr>
          <w:lang w:val="nl-NL"/>
        </w:rPr>
      </w:pPr>
      <w:r>
        <w:rPr>
          <w:lang w:val="nl-NL"/>
        </w:rPr>
        <w:t xml:space="preserve">Een </w:t>
      </w:r>
      <w:r w:rsidRPr="00C06BE3" w:rsidR="00C06BE3">
        <w:rPr>
          <w:lang w:val="nl-NL"/>
        </w:rPr>
        <w:t>Plan</w:t>
      </w:r>
      <w:r w:rsidR="00C06BE3">
        <w:rPr>
          <w:lang w:val="nl-NL"/>
        </w:rPr>
        <w:t>MER</w:t>
      </w:r>
      <w:r w:rsidRPr="00C06BE3" w:rsidR="00C06BE3">
        <w:rPr>
          <w:lang w:val="nl-NL"/>
        </w:rPr>
        <w:t xml:space="preserve"> </w:t>
      </w:r>
      <w:r>
        <w:rPr>
          <w:lang w:val="nl-NL"/>
        </w:rPr>
        <w:t xml:space="preserve">is uitgevoerd </w:t>
      </w:r>
      <w:r w:rsidRPr="00C06BE3" w:rsidR="00C06BE3">
        <w:rPr>
          <w:lang w:val="nl-NL"/>
        </w:rPr>
        <w:t>voor het Na</w:t>
      </w:r>
      <w:r w:rsidR="00C06BE3">
        <w:rPr>
          <w:lang w:val="nl-NL"/>
        </w:rPr>
        <w:t>tionaal Waterplan</w:t>
      </w:r>
      <w:r w:rsidR="00D3052E">
        <w:rPr>
          <w:lang w:val="nl-NL"/>
        </w:rPr>
        <w:t xml:space="preserve"> </w:t>
      </w:r>
      <w:r w:rsidR="00C06BE3">
        <w:rPr>
          <w:lang w:val="nl-NL"/>
        </w:rPr>
        <w:t>inclusief Programma Noordzee</w:t>
      </w:r>
      <w:r w:rsidRPr="00C06BE3" w:rsidR="00C06BE3">
        <w:rPr>
          <w:lang w:val="nl-NL"/>
        </w:rPr>
        <w:t xml:space="preserve"> en de aanvullende maatregelen in </w:t>
      </w:r>
      <w:r>
        <w:rPr>
          <w:lang w:val="nl-NL"/>
        </w:rPr>
        <w:t xml:space="preserve">dit </w:t>
      </w:r>
      <w:r w:rsidRPr="00C06BE3" w:rsidR="00C06BE3">
        <w:rPr>
          <w:lang w:val="nl-NL"/>
        </w:rPr>
        <w:t>KRM-programma van maatregelen</w:t>
      </w:r>
      <w:r w:rsidR="00D3052E">
        <w:rPr>
          <w:lang w:val="nl-NL"/>
        </w:rPr>
        <w:t xml:space="preserve">. Van de aanvullende maatregelen hebben alleen de </w:t>
      </w:r>
      <w:r>
        <w:rPr>
          <w:lang w:val="nl-NL"/>
        </w:rPr>
        <w:t xml:space="preserve">gebiedsmaatregelen opgenomen in het Noordzeeakkoord </w:t>
      </w:r>
      <w:r w:rsidR="008F6850">
        <w:rPr>
          <w:lang w:val="nl-NL"/>
        </w:rPr>
        <w:t xml:space="preserve">(zie paragraaf 3.7) </w:t>
      </w:r>
      <w:r w:rsidR="00D3052E">
        <w:rPr>
          <w:lang w:val="nl-NL"/>
        </w:rPr>
        <w:t xml:space="preserve">een </w:t>
      </w:r>
      <w:r w:rsidRPr="00D3052E" w:rsidR="00D3052E">
        <w:rPr>
          <w:lang w:val="nl-NL"/>
        </w:rPr>
        <w:t>ruimtelijke impact</w:t>
      </w:r>
      <w:r>
        <w:rPr>
          <w:lang w:val="nl-NL"/>
        </w:rPr>
        <w:t xml:space="preserve"> en zijn </w:t>
      </w:r>
      <w:r w:rsidR="008F6850">
        <w:rPr>
          <w:lang w:val="nl-NL"/>
        </w:rPr>
        <w:t xml:space="preserve">daarom </w:t>
      </w:r>
      <w:r>
        <w:rPr>
          <w:lang w:val="nl-NL"/>
        </w:rPr>
        <w:t>beoordeeld.</w:t>
      </w:r>
      <w:r w:rsidRPr="00D3052E" w:rsidR="00D3052E">
        <w:rPr>
          <w:lang w:val="nl-NL"/>
        </w:rPr>
        <w:t xml:space="preserve"> </w:t>
      </w:r>
      <w:r w:rsidR="008F6850">
        <w:rPr>
          <w:lang w:val="nl-NL"/>
        </w:rPr>
        <w:t xml:space="preserve">Het betreft </w:t>
      </w:r>
      <w:r w:rsidR="001754E8">
        <w:rPr>
          <w:lang w:val="nl-NL"/>
        </w:rPr>
        <w:t>instandhoudings</w:t>
      </w:r>
      <w:r w:rsidR="008F6850">
        <w:rPr>
          <w:lang w:val="nl-NL"/>
        </w:rPr>
        <w:t xml:space="preserve">maatregelen </w:t>
      </w:r>
      <w:r w:rsidR="00BA1F6B">
        <w:rPr>
          <w:lang w:val="nl-NL"/>
        </w:rPr>
        <w:t xml:space="preserve">(visserijbeperkende maatregelen) </w:t>
      </w:r>
      <w:r w:rsidR="008F6850">
        <w:rPr>
          <w:lang w:val="nl-NL"/>
        </w:rPr>
        <w:t>binnen de Doggersbank, Klaverbank, Centrale Oestergronden, Friese Front en Borkumse Stenen. De PlanMER concludeert: “</w:t>
      </w:r>
      <w:r w:rsidRPr="008F6850" w:rsidR="008F6850">
        <w:rPr>
          <w:lang w:val="nl-NL"/>
        </w:rPr>
        <w:t>Het sluiten van delen van de Noordzee voor (bodemberoerende) visserij heeft effecten op de kwaliteit van het</w:t>
      </w:r>
      <w:r w:rsidR="008F6850">
        <w:rPr>
          <w:lang w:val="nl-NL"/>
        </w:rPr>
        <w:t xml:space="preserve"> </w:t>
      </w:r>
      <w:r w:rsidRPr="008F6850" w:rsidR="008F6850">
        <w:rPr>
          <w:lang w:val="nl-NL"/>
        </w:rPr>
        <w:t>oppervlaktewater. Het aanwijzen van gebieden waar geen (bodemberoerende) visserij meer plaats mag</w:t>
      </w:r>
      <w:r w:rsidR="008F6850">
        <w:rPr>
          <w:lang w:val="nl-NL"/>
        </w:rPr>
        <w:t xml:space="preserve"> </w:t>
      </w:r>
      <w:r w:rsidRPr="008F6850" w:rsidR="008F6850">
        <w:rPr>
          <w:lang w:val="nl-NL"/>
        </w:rPr>
        <w:t>vinden zorgt voor minder verstoring van de zeebodem. Hierdoor wordt het water minder troebel. Daarnaast</w:t>
      </w:r>
      <w:r w:rsidR="008F6850">
        <w:rPr>
          <w:lang w:val="nl-NL"/>
        </w:rPr>
        <w:t xml:space="preserve"> </w:t>
      </w:r>
      <w:r w:rsidRPr="008F6850" w:rsidR="008F6850">
        <w:rPr>
          <w:lang w:val="nl-NL"/>
        </w:rPr>
        <w:t>zorgt het voor een verbetering van het ecosysteem waardoor de biodiversiteit en de visstand zal verbeteren.</w:t>
      </w:r>
      <w:r w:rsidR="008F6850">
        <w:rPr>
          <w:lang w:val="nl-NL"/>
        </w:rPr>
        <w:t xml:space="preserve"> </w:t>
      </w:r>
      <w:r w:rsidRPr="008F6850" w:rsidR="008F6850">
        <w:rPr>
          <w:lang w:val="nl-NL"/>
        </w:rPr>
        <w:t>Delen van de gebieden waar (bodemberoerende) visserij wordt verboden liggen in Natura 2000-gebieden. De</w:t>
      </w:r>
      <w:r w:rsidR="008F6850">
        <w:rPr>
          <w:lang w:val="nl-NL"/>
        </w:rPr>
        <w:t xml:space="preserve"> </w:t>
      </w:r>
      <w:r w:rsidRPr="008F6850" w:rsidR="008F6850">
        <w:rPr>
          <w:lang w:val="nl-NL"/>
        </w:rPr>
        <w:t>maatregelen dragen bij aan het versterken van het natuurlijk systeem en behalen van de natuurdoelen in deze</w:t>
      </w:r>
      <w:r w:rsidR="008F6850">
        <w:rPr>
          <w:lang w:val="nl-NL"/>
        </w:rPr>
        <w:t xml:space="preserve"> </w:t>
      </w:r>
      <w:r w:rsidRPr="008F6850" w:rsidR="008F6850">
        <w:rPr>
          <w:lang w:val="nl-NL"/>
        </w:rPr>
        <w:t>gebieden in de Noordzee.</w:t>
      </w:r>
      <w:r w:rsidR="008F6850">
        <w:rPr>
          <w:lang w:val="nl-NL"/>
        </w:rPr>
        <w:t>”</w:t>
      </w:r>
    </w:p>
    <w:p w:rsidR="00C06BE3" w:rsidP="0070550F" w:rsidRDefault="00C06BE3" w14:paraId="2E610323" w14:textId="77777777">
      <w:pPr>
        <w:rPr>
          <w:lang w:val="nl-NL"/>
        </w:rPr>
      </w:pPr>
    </w:p>
    <w:p w:rsidR="0070550F" w:rsidP="0070550F" w:rsidRDefault="0070550F" w14:paraId="09AAC14C" w14:textId="77777777">
      <w:pPr>
        <w:rPr>
          <w:lang w:val="nl-NL"/>
        </w:rPr>
        <w:sectPr w:rsidR="0070550F" w:rsidSect="001E6A24">
          <w:pgSz w:w="11907" w:h="16840" w:code="9"/>
          <w:pgMar w:top="1440" w:right="1440" w:bottom="1440" w:left="1440" w:header="709" w:footer="709" w:gutter="0"/>
          <w:cols w:space="708"/>
          <w:docGrid w:linePitch="360"/>
        </w:sectPr>
      </w:pPr>
    </w:p>
    <w:p w:rsidR="00DE236A" w:rsidP="00DE236A" w:rsidRDefault="00DE236A" w14:paraId="5B02010E" w14:textId="77777777">
      <w:pPr>
        <w:pStyle w:val="Stijl1"/>
      </w:pPr>
      <w:bookmarkStart w:name="_Toc59455638" w:id="65"/>
      <w:r w:rsidRPr="00DE236A">
        <w:t>Kennis</w:t>
      </w:r>
      <w:r w:rsidR="00BC0473">
        <w:t>leemten</w:t>
      </w:r>
      <w:bookmarkEnd w:id="65"/>
    </w:p>
    <w:p w:rsidR="00DE236A" w:rsidP="00DE236A" w:rsidRDefault="00DE236A" w14:paraId="44F42A4D" w14:textId="77777777">
      <w:pPr>
        <w:rPr>
          <w:lang w:val="nl-NL"/>
        </w:rPr>
      </w:pPr>
      <w:r>
        <w:rPr>
          <w:lang w:val="nl-NL"/>
        </w:rPr>
        <w:t xml:space="preserve">Zoals uit het voorgaande hoofdstuk blijkt, zijn er voor elke descriptor kennisvragen. Een deel van de kennisvragen is gerelateerd aan het ontbreken van een </w:t>
      </w:r>
      <w:r w:rsidRPr="00326927">
        <w:rPr>
          <w:lang w:val="nl-NL"/>
        </w:rPr>
        <w:t>beoordelings</w:t>
      </w:r>
      <w:r>
        <w:rPr>
          <w:lang w:val="nl-NL"/>
        </w:rPr>
        <w:t>methode</w:t>
      </w:r>
      <w:r w:rsidRPr="00326927">
        <w:rPr>
          <w:lang w:val="nl-NL"/>
        </w:rPr>
        <w:t>, indicatoren en/of drempelwaarden</w:t>
      </w:r>
      <w:r>
        <w:rPr>
          <w:lang w:val="nl-NL"/>
        </w:rPr>
        <w:t>. Deze kennis is nodig om doelen te kunnen stellen en de voortgang te monitoren. Daarnaast ontbreekt ook kennis om gericht(er) maatregelen te treffen. Zo is het bij diverse descriptoren niet mogelijk om een bepaalde trend te verklaren of gevolgen van toekomstige ontwikkelingen of cumulatieve effecten in te schatten. Kennis rondom bepaalde stoffen, r</w:t>
      </w:r>
      <w:r w:rsidRPr="00D40D85">
        <w:rPr>
          <w:lang w:val="nl-NL"/>
        </w:rPr>
        <w:t>ivierafval, microplastics en de effecten op het</w:t>
      </w:r>
      <w:r>
        <w:rPr>
          <w:lang w:val="nl-NL"/>
        </w:rPr>
        <w:t xml:space="preserve"> </w:t>
      </w:r>
      <w:r w:rsidRPr="00D40D85">
        <w:rPr>
          <w:lang w:val="nl-NL"/>
        </w:rPr>
        <w:t xml:space="preserve">mariene ecosysteem </w:t>
      </w:r>
      <w:r>
        <w:rPr>
          <w:lang w:val="nl-NL"/>
        </w:rPr>
        <w:t>is ook gewenst.</w:t>
      </w:r>
      <w:r w:rsidRPr="00326927">
        <w:rPr>
          <w:lang w:val="nl-NL"/>
        </w:rPr>
        <w:t xml:space="preserve"> </w:t>
      </w:r>
    </w:p>
    <w:p w:rsidR="00EE62C7" w:rsidP="00EE62C7" w:rsidRDefault="00EE62C7" w14:paraId="171C3C7D" w14:textId="77777777">
      <w:pPr>
        <w:pStyle w:val="TOCHeading"/>
      </w:pPr>
      <w:r>
        <w:t>Overzicht</w:t>
      </w:r>
      <w:r w:rsidR="0009020E">
        <w:t xml:space="preserve"> aanvullende</w:t>
      </w:r>
      <w:r>
        <w:t xml:space="preserve"> kennisvragen</w:t>
      </w:r>
    </w:p>
    <w:p w:rsidRPr="00715027" w:rsidR="00DE236A" w:rsidP="00DE236A" w:rsidRDefault="008F6457" w14:paraId="0C103062" w14:textId="77777777">
      <w:pPr>
        <w:rPr>
          <w:lang w:val="nl-NL"/>
        </w:rPr>
      </w:pPr>
      <w:r>
        <w:rPr>
          <w:lang w:val="nl-NL"/>
        </w:rPr>
        <w:t>Naast de kennisvragen die in hoofdstuk 3 zijn opgenomen, zijn in</w:t>
      </w:r>
      <w:r w:rsidR="0009020E">
        <w:rPr>
          <w:lang w:val="nl-NL"/>
        </w:rPr>
        <w:t xml:space="preserve"> </w:t>
      </w:r>
      <w:r w:rsidR="0009020E">
        <w:rPr>
          <w:szCs w:val="18"/>
          <w:lang w:val="nl-NL"/>
        </w:rPr>
        <w:t>de actualisatie van de Mariene Strategie deel 1 (2018) [11]</w:t>
      </w:r>
      <w:r w:rsidR="00DE236A">
        <w:rPr>
          <w:lang w:val="nl-NL"/>
        </w:rPr>
        <w:t xml:space="preserve"> de volgende p</w:t>
      </w:r>
      <w:r w:rsidRPr="00715027" w:rsidR="00DE236A">
        <w:rPr>
          <w:lang w:val="nl-NL"/>
        </w:rPr>
        <w:t xml:space="preserve">rioriteiten voor de kennisprogrammering </w:t>
      </w:r>
      <w:r w:rsidR="00DE236A">
        <w:rPr>
          <w:lang w:val="nl-NL"/>
        </w:rPr>
        <w:t>genoemd</w:t>
      </w:r>
      <w:r w:rsidRPr="00715027" w:rsidR="00DE236A">
        <w:rPr>
          <w:lang w:val="nl-NL"/>
        </w:rPr>
        <w:t>:</w:t>
      </w:r>
    </w:p>
    <w:p w:rsidRPr="00715027" w:rsidR="00DE236A" w:rsidP="00DE236A" w:rsidRDefault="00DE236A" w14:paraId="54CC1231" w14:textId="77777777">
      <w:pPr>
        <w:pStyle w:val="ListParagraph"/>
        <w:numPr>
          <w:ilvl w:val="0"/>
          <w:numId w:val="74"/>
        </w:numPr>
        <w:rPr>
          <w:lang w:val="nl-NL"/>
        </w:rPr>
      </w:pPr>
      <w:r w:rsidRPr="00715027">
        <w:rPr>
          <w:lang w:val="nl-NL"/>
        </w:rPr>
        <w:t>Cumulerende effecten van nieuwe windparken en andere menselijke activiteiten op het ecosysteem. Voor windparken zijn dat vooral de effecten op populaties van zeevogels en de gevolgen van onderwatergeluid tijdens de bouwfase voor populaties zeezoogdieren. Bij andere activiteiten gaat het vooral om de effecten van de (verplaatsing van) visserij op populaties van zeezoogdieren, haaien en roggen.</w:t>
      </w:r>
    </w:p>
    <w:p w:rsidRPr="00715027" w:rsidR="00DE236A" w:rsidP="00DE236A" w:rsidRDefault="00DE236A" w14:paraId="40B80EFB" w14:textId="77777777">
      <w:pPr>
        <w:pStyle w:val="ListParagraph"/>
        <w:numPr>
          <w:ilvl w:val="0"/>
          <w:numId w:val="74"/>
        </w:numPr>
        <w:rPr>
          <w:lang w:val="nl-NL"/>
        </w:rPr>
      </w:pPr>
      <w:r w:rsidRPr="00715027">
        <w:rPr>
          <w:lang w:val="nl-NL"/>
        </w:rPr>
        <w:t>Effecten (cumulatief ) van zandwinning en strandsuppleties op het bodemleven.</w:t>
      </w:r>
    </w:p>
    <w:p w:rsidRPr="00715027" w:rsidR="00DE236A" w:rsidP="00DE236A" w:rsidRDefault="00DE236A" w14:paraId="3EAA7A65" w14:textId="77777777">
      <w:pPr>
        <w:pStyle w:val="ListParagraph"/>
        <w:numPr>
          <w:ilvl w:val="0"/>
          <w:numId w:val="74"/>
        </w:numPr>
        <w:rPr>
          <w:lang w:val="nl-NL"/>
        </w:rPr>
      </w:pPr>
      <w:r w:rsidRPr="00715027">
        <w:rPr>
          <w:lang w:val="nl-NL"/>
        </w:rPr>
        <w:t>Mogelijkheden voor actief herstel van (verdwenen) biogene riffen, zoals schelpenbanken, onder andere in windparken.</w:t>
      </w:r>
    </w:p>
    <w:p w:rsidRPr="00715027" w:rsidR="00DE236A" w:rsidP="00DE236A" w:rsidRDefault="00DE236A" w14:paraId="0CD19696" w14:textId="77777777">
      <w:pPr>
        <w:pStyle w:val="ListParagraph"/>
        <w:numPr>
          <w:ilvl w:val="0"/>
          <w:numId w:val="74"/>
        </w:numPr>
        <w:rPr>
          <w:lang w:val="nl-NL"/>
        </w:rPr>
      </w:pPr>
      <w:r w:rsidRPr="00715027">
        <w:rPr>
          <w:lang w:val="nl-NL"/>
        </w:rPr>
        <w:t>Het broedsucces van zeevogels en factoren die hierop van invloed kunnen zijn.</w:t>
      </w:r>
    </w:p>
    <w:p w:rsidRPr="00715027" w:rsidR="00DE236A" w:rsidP="00DE236A" w:rsidRDefault="00DE236A" w14:paraId="09802BCB" w14:textId="77777777">
      <w:pPr>
        <w:pStyle w:val="ListParagraph"/>
        <w:numPr>
          <w:ilvl w:val="0"/>
          <w:numId w:val="74"/>
        </w:numPr>
        <w:rPr>
          <w:lang w:val="nl-NL"/>
        </w:rPr>
      </w:pPr>
      <w:r w:rsidRPr="00715027">
        <w:rPr>
          <w:lang w:val="nl-NL"/>
        </w:rPr>
        <w:t>Beoordelingsmethoden voor benthische en pelagische habitats.</w:t>
      </w:r>
    </w:p>
    <w:p w:rsidRPr="00715027" w:rsidR="00DE236A" w:rsidP="00DE236A" w:rsidRDefault="00DE236A" w14:paraId="039968CE" w14:textId="77777777">
      <w:pPr>
        <w:pStyle w:val="ListParagraph"/>
        <w:numPr>
          <w:ilvl w:val="0"/>
          <w:numId w:val="74"/>
        </w:numPr>
        <w:rPr>
          <w:lang w:val="nl-NL"/>
        </w:rPr>
      </w:pPr>
      <w:r w:rsidRPr="00715027">
        <w:rPr>
          <w:lang w:val="nl-NL"/>
        </w:rPr>
        <w:t>Relaties in het voedselweb in de Noordzee, gevormd door een netwerk van zeebodemflora en fauna (benthos), kleine en grote vissen en zeezoogdieren.</w:t>
      </w:r>
    </w:p>
    <w:p w:rsidRPr="00715027" w:rsidR="00DE236A" w:rsidP="00DE236A" w:rsidRDefault="00DE236A" w14:paraId="2FB585EA" w14:textId="77777777">
      <w:pPr>
        <w:pStyle w:val="ListParagraph"/>
        <w:numPr>
          <w:ilvl w:val="0"/>
          <w:numId w:val="74"/>
        </w:numPr>
        <w:rPr>
          <w:lang w:val="nl-NL"/>
        </w:rPr>
      </w:pPr>
      <w:r w:rsidRPr="00715027">
        <w:rPr>
          <w:lang w:val="nl-NL"/>
        </w:rPr>
        <w:t>Gevolgen van verzuring</w:t>
      </w:r>
      <w:r>
        <w:rPr>
          <w:lang w:val="nl-NL"/>
        </w:rPr>
        <w:t xml:space="preserve"> en temperatuurstijging</w:t>
      </w:r>
      <w:r w:rsidRPr="00715027">
        <w:rPr>
          <w:lang w:val="nl-NL"/>
        </w:rPr>
        <w:t>.</w:t>
      </w:r>
    </w:p>
    <w:p w:rsidRPr="00715027" w:rsidR="00DE236A" w:rsidP="00DE236A" w:rsidRDefault="00DE236A" w14:paraId="6FDA99B7" w14:textId="77777777">
      <w:pPr>
        <w:pStyle w:val="ListParagraph"/>
        <w:numPr>
          <w:ilvl w:val="0"/>
          <w:numId w:val="74"/>
        </w:numPr>
        <w:rPr>
          <w:lang w:val="nl-NL"/>
        </w:rPr>
      </w:pPr>
      <w:r w:rsidRPr="00715027">
        <w:rPr>
          <w:lang w:val="nl-NL"/>
        </w:rPr>
        <w:t>De fosfaat-stikstofverhouding.</w:t>
      </w:r>
    </w:p>
    <w:p w:rsidRPr="00715027" w:rsidR="00DE236A" w:rsidP="00DE236A" w:rsidRDefault="00DE236A" w14:paraId="66E85CBA" w14:textId="77777777">
      <w:pPr>
        <w:pStyle w:val="ListParagraph"/>
        <w:numPr>
          <w:ilvl w:val="0"/>
          <w:numId w:val="74"/>
        </w:numPr>
        <w:rPr>
          <w:lang w:val="nl-NL"/>
        </w:rPr>
      </w:pPr>
      <w:r w:rsidRPr="00715027">
        <w:rPr>
          <w:lang w:val="nl-NL"/>
        </w:rPr>
        <w:t>Microplastics, koper, medicijnresten en andere (opkomende) stoffen.</w:t>
      </w:r>
    </w:p>
    <w:p w:rsidRPr="00715027" w:rsidR="00DE236A" w:rsidP="00DE236A" w:rsidRDefault="00DE236A" w14:paraId="4E81C990" w14:textId="77777777">
      <w:pPr>
        <w:pStyle w:val="ListParagraph"/>
        <w:numPr>
          <w:ilvl w:val="0"/>
          <w:numId w:val="74"/>
        </w:numPr>
        <w:rPr>
          <w:lang w:val="nl-NL"/>
        </w:rPr>
      </w:pPr>
      <w:r w:rsidRPr="00715027">
        <w:rPr>
          <w:lang w:val="nl-NL"/>
        </w:rPr>
        <w:t>Beoordelingskader voor samenhangend en representatief netwerk van beschermde gebieden op zee.</w:t>
      </w:r>
    </w:p>
    <w:p w:rsidRPr="0009020E" w:rsidR="0009020E" w:rsidP="0009020E" w:rsidRDefault="00DF175B" w14:paraId="5DA584A9" w14:textId="77777777">
      <w:pPr>
        <w:rPr>
          <w:lang w:val="nl-NL"/>
        </w:rPr>
      </w:pPr>
      <w:r w:rsidRPr="00DF175B">
        <w:rPr>
          <w:lang w:val="nl-NL"/>
        </w:rPr>
        <w:t>Het Noordzeeakkoord gaat uit van een intensivering en verandering van het gebruik van de Noordzee en benoem</w:t>
      </w:r>
      <w:r w:rsidR="00161721">
        <w:rPr>
          <w:lang w:val="nl-NL"/>
        </w:rPr>
        <w:t>t</w:t>
      </w:r>
      <w:r w:rsidRPr="00DF175B">
        <w:rPr>
          <w:lang w:val="nl-NL"/>
        </w:rPr>
        <w:t xml:space="preserve"> daarbij de extra opgave om de KRM doelen te behalen. Er wordt een aantal specifieke onderzoeksvragen/opdrachten genoemd gerelateerd aan KRM-doelen, waaronder doelen  op gebieds- en soortenbescherming die op korte termijn dienen te worden opgestart. </w:t>
      </w:r>
      <w:r w:rsidRPr="0009020E" w:rsidR="0009020E">
        <w:rPr>
          <w:lang w:val="nl-NL"/>
        </w:rPr>
        <w:t>Het gaat daarbij</w:t>
      </w:r>
      <w:r>
        <w:rPr>
          <w:lang w:val="nl-NL"/>
        </w:rPr>
        <w:t xml:space="preserve"> onder andere</w:t>
      </w:r>
      <w:r w:rsidRPr="0009020E" w:rsidR="0009020E">
        <w:rPr>
          <w:lang w:val="nl-NL"/>
        </w:rPr>
        <w:t xml:space="preserve"> om:</w:t>
      </w:r>
    </w:p>
    <w:p w:rsidRPr="00842758" w:rsidR="00842758" w:rsidP="00842758" w:rsidRDefault="00842758" w14:paraId="0FA1B5F5" w14:textId="12AEC093">
      <w:pPr>
        <w:pStyle w:val="ListParagraph"/>
        <w:numPr>
          <w:ilvl w:val="0"/>
          <w:numId w:val="81"/>
        </w:numPr>
        <w:spacing w:after="0" w:line="240" w:lineRule="auto"/>
        <w:contextualSpacing w:val="0"/>
        <w:rPr>
          <w:lang w:val="nl-NL"/>
        </w:rPr>
      </w:pPr>
      <w:r w:rsidRPr="00842758">
        <w:rPr>
          <w:lang w:val="nl-NL"/>
        </w:rPr>
        <w:t xml:space="preserve">Ter ondersteuning van de aanvullende gebiedsbeschermende maatregelen zal aanvullend onderzoek nodig zijn, mede om de internationale overleggen voor te bereiden en onderbouwing te leveren voor de </w:t>
      </w:r>
      <w:r w:rsidR="001754E8">
        <w:rPr>
          <w:lang w:val="nl-NL"/>
        </w:rPr>
        <w:t>instandhoudings</w:t>
      </w:r>
      <w:r w:rsidRPr="00842758">
        <w:rPr>
          <w:lang w:val="nl-NL"/>
        </w:rPr>
        <w:t>maatregelen. De onderzoeksvragen worden (gedeeltelijk) uitgevoerd in het kader van het MONS-programma.</w:t>
      </w:r>
    </w:p>
    <w:p w:rsidRPr="00842758" w:rsidR="00842758" w:rsidP="00842758" w:rsidRDefault="00842758" w14:paraId="549FF3DF" w14:textId="551E87EA">
      <w:pPr>
        <w:pStyle w:val="ListParagraph"/>
        <w:numPr>
          <w:ilvl w:val="0"/>
          <w:numId w:val="81"/>
        </w:numPr>
        <w:spacing w:after="0" w:line="240" w:lineRule="auto"/>
        <w:contextualSpacing w:val="0"/>
        <w:rPr>
          <w:lang w:val="nl-NL"/>
        </w:rPr>
      </w:pPr>
      <w:r w:rsidRPr="00842758">
        <w:rPr>
          <w:lang w:val="nl-NL"/>
        </w:rPr>
        <w:t>Naast de</w:t>
      </w:r>
      <w:r>
        <w:rPr>
          <w:lang w:val="nl-NL"/>
        </w:rPr>
        <w:t xml:space="preserve"> in het Noordzeeakkoord voorgestelde</w:t>
      </w:r>
      <w:r w:rsidRPr="00842758">
        <w:rPr>
          <w:lang w:val="nl-NL"/>
        </w:rPr>
        <w:t xml:space="preserve"> gebiedsmaatregelen wordt ook uitvoering gegeven aan de afspraken in het Noordzeeakkoord om onderzoek te doen dat mogelijk tot aanvullende gebiedsbescherming kan leiden</w:t>
      </w:r>
    </w:p>
    <w:p w:rsidRPr="00BE405D" w:rsidR="00842758" w:rsidP="00895261" w:rsidRDefault="00842758" w14:paraId="492B7925" w14:textId="77777777">
      <w:pPr>
        <w:spacing w:line="256" w:lineRule="auto"/>
        <w:ind w:left="360"/>
        <w:rPr>
          <w:lang w:val="nl-NL"/>
        </w:rPr>
      </w:pPr>
      <w:r w:rsidRPr="00BE405D">
        <w:rPr>
          <w:lang w:val="nl-NL"/>
        </w:rPr>
        <w:t>Voor 2025 wordt een onafhankelijk wetenschappelijk onderzoek gestart om vast te stellen of de Hollandse Kust, de Vlakte van Raan, de Borkumse Stenen, de Klaverbank, de Doggersbank en de Centrale Oestergronden voldoen aan de selectiecriteria voor aanwijzing als VR-gebied. Gebieden die voldoen aan de selectiecriteria van de VR dienen uiterlijk 2025 aangewezen te worden als VR-gebied.</w:t>
      </w:r>
    </w:p>
    <w:p w:rsidR="00DE236A" w:rsidP="00DE236A" w:rsidRDefault="00DE236A" w14:paraId="039DD064" w14:textId="68406D06">
      <w:pPr>
        <w:rPr>
          <w:lang w:val="nl-NL"/>
        </w:rPr>
      </w:pPr>
      <w:r>
        <w:rPr>
          <w:lang w:val="nl-NL"/>
        </w:rPr>
        <w:t>O</w:t>
      </w:r>
      <w:r w:rsidRPr="003339EB">
        <w:rPr>
          <w:lang w:val="nl-NL"/>
        </w:rPr>
        <w:t xml:space="preserve">ok </w:t>
      </w:r>
      <w:r>
        <w:rPr>
          <w:lang w:val="nl-NL"/>
        </w:rPr>
        <w:t xml:space="preserve">binnen </w:t>
      </w:r>
      <w:r w:rsidRPr="003339EB">
        <w:rPr>
          <w:lang w:val="nl-NL"/>
        </w:rPr>
        <w:t>OSPAR en de Europese Commissie</w:t>
      </w:r>
      <w:r>
        <w:rPr>
          <w:lang w:val="nl-NL"/>
        </w:rPr>
        <w:t xml:space="preserve"> zijn</w:t>
      </w:r>
      <w:r w:rsidRPr="003339EB">
        <w:rPr>
          <w:lang w:val="nl-NL"/>
        </w:rPr>
        <w:t xml:space="preserve"> de belangrijkste kennisvragen geïdentificeerd. Hieruit blijkt dat de KRM een structurerende en convergerende factor is: alle Europese lidstaten met een zeegebied moeten immers op hetzelfde moment dezelfde taken uitvoeren en kampen veelal met dezelfde kennisleemten. Daarbij kunnen veel kennisvragen</w:t>
      </w:r>
      <w:r>
        <w:rPr>
          <w:lang w:val="nl-NL"/>
        </w:rPr>
        <w:t xml:space="preserve"> </w:t>
      </w:r>
      <w:r w:rsidRPr="003339EB">
        <w:rPr>
          <w:lang w:val="nl-NL"/>
        </w:rPr>
        <w:t xml:space="preserve">logischerwijze alleen op regionale schaal beantwoord worden. Lokale verschillen door geografie, gebruik of regelgeving zorgen voor enige diversiteit, </w:t>
      </w:r>
      <w:r>
        <w:rPr>
          <w:lang w:val="nl-NL"/>
        </w:rPr>
        <w:t>desondanks</w:t>
      </w:r>
      <w:r w:rsidRPr="003339EB">
        <w:rPr>
          <w:lang w:val="nl-NL"/>
        </w:rPr>
        <w:t xml:space="preserve"> is</w:t>
      </w:r>
      <w:r>
        <w:rPr>
          <w:lang w:val="nl-NL"/>
        </w:rPr>
        <w:t xml:space="preserve"> er</w:t>
      </w:r>
      <w:r w:rsidRPr="003339EB">
        <w:rPr>
          <w:lang w:val="nl-NL"/>
        </w:rPr>
        <w:t xml:space="preserve"> binnen OSPAR en bij de Europese Commissie veel</w:t>
      </w:r>
      <w:r>
        <w:rPr>
          <w:lang w:val="nl-NL"/>
        </w:rPr>
        <w:t xml:space="preserve"> </w:t>
      </w:r>
      <w:r w:rsidRPr="003339EB">
        <w:rPr>
          <w:lang w:val="nl-NL"/>
        </w:rPr>
        <w:t>interesse om zeeonderzoek te coördineren.</w:t>
      </w:r>
    </w:p>
    <w:p w:rsidRPr="00EE62C7" w:rsidR="00DE236A" w:rsidP="00EE62C7" w:rsidRDefault="00DE236A" w14:paraId="052D9D7B" w14:textId="77777777">
      <w:pPr>
        <w:pStyle w:val="TOCHeading"/>
      </w:pPr>
      <w:r w:rsidRPr="00EE62C7">
        <w:t>Onderzoeksprogramma’s</w:t>
      </w:r>
    </w:p>
    <w:p w:rsidR="00DE236A" w:rsidP="00DE236A" w:rsidRDefault="00DE236A" w14:paraId="64F37DD1" w14:textId="494D142C">
      <w:pPr>
        <w:rPr>
          <w:lang w:val="nl-NL"/>
        </w:rPr>
      </w:pPr>
      <w:r>
        <w:rPr>
          <w:lang w:val="nl-NL"/>
        </w:rPr>
        <w:t>Er zijn verschillende bestaande programma</w:t>
      </w:r>
      <w:r w:rsidR="005F5515">
        <w:rPr>
          <w:lang w:val="nl-NL"/>
        </w:rPr>
        <w:t>’</w:t>
      </w:r>
      <w:r>
        <w:rPr>
          <w:lang w:val="nl-NL"/>
        </w:rPr>
        <w:t>s waarin onderzoek en monitoring plaatsvindt, te weten het MWTL (</w:t>
      </w:r>
      <w:r w:rsidRPr="003640C2">
        <w:rPr>
          <w:lang w:val="nl-NL"/>
        </w:rPr>
        <w:t>programma Monitoring Waterstaatkundige Toestand des Lands</w:t>
      </w:r>
      <w:r>
        <w:rPr>
          <w:lang w:val="nl-NL"/>
        </w:rPr>
        <w:t>), de WOT (wettelijke onderzoekstaken), Wozep (Wind op zee ecologisch programma), en de strategische onderzoeksprogramma</w:t>
      </w:r>
      <w:r w:rsidR="005F5515">
        <w:rPr>
          <w:lang w:val="nl-NL"/>
        </w:rPr>
        <w:t>’</w:t>
      </w:r>
      <w:r>
        <w:rPr>
          <w:lang w:val="nl-NL"/>
        </w:rPr>
        <w:t>s van de kennisinstellingen. Ook kunnen kennisvragen worden gefinancierd middels de Nationale Wetenschapsagenda door NWO, het programma van de topsector Water en Maritiem, en het missiegedreven onderzoeksprogramma Landbouw, Water en Voedsel.</w:t>
      </w:r>
    </w:p>
    <w:p w:rsidR="00DE236A" w:rsidP="00DE236A" w:rsidRDefault="00DE236A" w14:paraId="73F0E2F0" w14:textId="3B83397C">
      <w:pPr>
        <w:rPr>
          <w:lang w:val="nl-NL"/>
        </w:rPr>
      </w:pPr>
      <w:r>
        <w:rPr>
          <w:lang w:val="nl-NL"/>
        </w:rPr>
        <w:t xml:space="preserve">Aanvullend op deze programma’s </w:t>
      </w:r>
      <w:r w:rsidR="00BE405D">
        <w:rPr>
          <w:lang w:val="nl-NL"/>
        </w:rPr>
        <w:t>is</w:t>
      </w:r>
      <w:r>
        <w:rPr>
          <w:lang w:val="nl-NL"/>
        </w:rPr>
        <w:t xml:space="preserve">, zoals afgesproken in het Noordzeeakkoord, een </w:t>
      </w:r>
      <w:r w:rsidRPr="00190908">
        <w:rPr>
          <w:lang w:val="nl-NL"/>
        </w:rPr>
        <w:t>integraal onderzoeks- en monitoringsprogramma uitgewerkt</w:t>
      </w:r>
      <w:r>
        <w:rPr>
          <w:lang w:val="nl-NL"/>
        </w:rPr>
        <w:t xml:space="preserve">, het NZO-programma Monitoring-Onderzoek-Natuurversterking-Soortenbeschermingsplannen (MONS). Voor dit programma </w:t>
      </w:r>
      <w:r w:rsidR="00BE405D">
        <w:rPr>
          <w:lang w:val="nl-NL"/>
        </w:rPr>
        <w:t xml:space="preserve">is </w:t>
      </w:r>
      <w:r w:rsidRPr="00A07906">
        <w:rPr>
          <w:lang w:val="nl-NL"/>
        </w:rPr>
        <w:t>een inventarisatie gemaakt voor de belangrijkste kennisvragen bij de drie centrale MONS-thema’s Draagkracht, Natuurversterking en Soorten, en Effecten van Drukfactoren. Kennisvragen die deels een KRM-karakter hebben.</w:t>
      </w:r>
    </w:p>
    <w:p w:rsidR="00DE236A" w:rsidP="00DE236A" w:rsidRDefault="00DE236A" w14:paraId="4DE86D2C" w14:textId="6C897399">
      <w:pPr>
        <w:rPr>
          <w:lang w:val="nl-NL"/>
        </w:rPr>
      </w:pPr>
      <w:r>
        <w:rPr>
          <w:lang w:val="nl-NL"/>
        </w:rPr>
        <w:t>Daarnaast zijn er Europese onderzoekstrajecten en -programma</w:t>
      </w:r>
      <w:r w:rsidR="005F5515">
        <w:rPr>
          <w:lang w:val="nl-NL"/>
        </w:rPr>
        <w:t>’</w:t>
      </w:r>
      <w:r>
        <w:rPr>
          <w:lang w:val="nl-NL"/>
        </w:rPr>
        <w:t>s waarin Noordzee-kennisvragen kunnen worden opgepakt. Bijvoorbeeld via het nieuwe Horizon Europe programma, h</w:t>
      </w:r>
      <w:r w:rsidRPr="003640C2">
        <w:rPr>
          <w:lang w:val="nl-NL"/>
        </w:rPr>
        <w:t>et kaderprogramma van de EU voor onderzoek en innovatie</w:t>
      </w:r>
      <w:r>
        <w:rPr>
          <w:lang w:val="nl-NL"/>
        </w:rPr>
        <w:t xml:space="preserve">, LIFE+ en Interreg. Een instrument onder </w:t>
      </w:r>
      <w:r w:rsidRPr="008E5D22">
        <w:rPr>
          <w:lang w:val="nl-NL"/>
        </w:rPr>
        <w:t xml:space="preserve">Horizon Europe </w:t>
      </w:r>
      <w:r>
        <w:rPr>
          <w:lang w:val="nl-NL"/>
        </w:rPr>
        <w:t>is ‘</w:t>
      </w:r>
      <w:r w:rsidRPr="008E5D22">
        <w:rPr>
          <w:lang w:val="nl-NL"/>
        </w:rPr>
        <w:t>Partnership</w:t>
      </w:r>
      <w:r>
        <w:rPr>
          <w:lang w:val="nl-NL"/>
        </w:rPr>
        <w:t>’</w:t>
      </w:r>
      <w:r w:rsidRPr="008E5D22">
        <w:rPr>
          <w:lang w:val="nl-NL"/>
        </w:rPr>
        <w:t>. Voor het mariene domein is een Partnership Blue Economy opgesteld. Nederland zal als partner aan dit programma gaan deelnemen.</w:t>
      </w:r>
      <w:r>
        <w:rPr>
          <w:lang w:val="nl-NL"/>
        </w:rPr>
        <w:t xml:space="preserve"> </w:t>
      </w:r>
    </w:p>
    <w:p w:rsidRPr="003C6D02" w:rsidR="00DE236A" w:rsidP="00DE236A" w:rsidRDefault="008F6457" w14:paraId="1CF7CB37" w14:textId="77777777">
      <w:pPr>
        <w:rPr>
          <w:lang w:val="nl-NL"/>
        </w:rPr>
      </w:pPr>
      <w:r>
        <w:rPr>
          <w:lang w:val="nl-NL"/>
        </w:rPr>
        <w:t xml:space="preserve">Belangrijk voor de KRM- en MONS </w:t>
      </w:r>
      <w:r w:rsidR="00DE236A">
        <w:rPr>
          <w:lang w:val="nl-NL"/>
        </w:rPr>
        <w:t>kennisvragen is EMVAF (</w:t>
      </w:r>
      <w:r w:rsidRPr="006F4DA0" w:rsidR="001F6B8A">
        <w:rPr>
          <w:lang w:val="nl-NL"/>
        </w:rPr>
        <w:t>Europees Maritiem, Visserij en Aquacultuur Fonds</w:t>
      </w:r>
      <w:r w:rsidR="00DE236A">
        <w:rPr>
          <w:lang w:val="nl-NL"/>
        </w:rPr>
        <w:t>). In</w:t>
      </w:r>
      <w:r w:rsidRPr="00A07906" w:rsidR="00DE236A">
        <w:rPr>
          <w:lang w:val="nl-NL"/>
        </w:rPr>
        <w:t xml:space="preserve"> 2020 </w:t>
      </w:r>
      <w:r w:rsidR="00DE236A">
        <w:rPr>
          <w:lang w:val="nl-NL"/>
        </w:rPr>
        <w:t xml:space="preserve">zijn </w:t>
      </w:r>
      <w:r w:rsidRPr="00A07906" w:rsidR="00DE236A">
        <w:rPr>
          <w:lang w:val="nl-NL"/>
        </w:rPr>
        <w:t xml:space="preserve">in het Operationele </w:t>
      </w:r>
      <w:r>
        <w:rPr>
          <w:lang w:val="nl-NL"/>
        </w:rPr>
        <w:t xml:space="preserve">Programma 2021-2027 </w:t>
      </w:r>
      <w:r w:rsidRPr="00A07906" w:rsidR="00DE236A">
        <w:rPr>
          <w:lang w:val="nl-NL"/>
        </w:rPr>
        <w:t xml:space="preserve">voor de implementatie van de EMVAF Verordening KRM-relevante kennisvragen opgenomen. </w:t>
      </w:r>
      <w:r w:rsidRPr="00314681" w:rsidR="00DE236A">
        <w:rPr>
          <w:lang w:val="nl-NL"/>
        </w:rPr>
        <w:t>Het EMVAF is het Europese Structuurfonds dat de maritieme sector, visserij en aquacultuur in Europa ondersteunt. Het fonds co-financiert projecten die bijdragen aan de Europese doelstellingen op dit thema.</w:t>
      </w:r>
      <w:r w:rsidR="00DE236A">
        <w:rPr>
          <w:lang w:val="nl-NL"/>
        </w:rPr>
        <w:t xml:space="preserve"> </w:t>
      </w:r>
      <w:r>
        <w:rPr>
          <w:lang w:val="nl-NL"/>
        </w:rPr>
        <w:t>EMVAF kent vier uni</w:t>
      </w:r>
      <w:r w:rsidR="00161721">
        <w:rPr>
          <w:lang w:val="nl-NL"/>
        </w:rPr>
        <w:t>e</w:t>
      </w:r>
      <w:r>
        <w:rPr>
          <w:lang w:val="nl-NL"/>
        </w:rPr>
        <w:t>prioriteiten. In het kader van dit programma van maatregelen zijn uni</w:t>
      </w:r>
      <w:r w:rsidR="00161721">
        <w:rPr>
          <w:lang w:val="nl-NL"/>
        </w:rPr>
        <w:t>e</w:t>
      </w:r>
      <w:r>
        <w:rPr>
          <w:lang w:val="nl-NL"/>
        </w:rPr>
        <w:t xml:space="preserve">prioriteit 1 en 4 relevant. </w:t>
      </w:r>
      <w:r w:rsidR="00E11C9E">
        <w:rPr>
          <w:lang w:val="nl-NL"/>
        </w:rPr>
        <w:br/>
      </w:r>
      <w:r>
        <w:rPr>
          <w:lang w:val="nl-NL"/>
        </w:rPr>
        <w:t>Uni</w:t>
      </w:r>
      <w:r w:rsidR="00161721">
        <w:rPr>
          <w:lang w:val="nl-NL"/>
        </w:rPr>
        <w:t>e</w:t>
      </w:r>
      <w:r>
        <w:rPr>
          <w:lang w:val="nl-NL"/>
        </w:rPr>
        <w:t>prioriteit 1</w:t>
      </w:r>
      <w:r w:rsidR="00DE236A">
        <w:rPr>
          <w:lang w:val="nl-NL"/>
        </w:rPr>
        <w:t xml:space="preserve"> is het </w:t>
      </w:r>
      <w:r w:rsidRPr="00314681" w:rsidR="00DE236A">
        <w:rPr>
          <w:lang w:val="nl-NL"/>
        </w:rPr>
        <w:t>in</w:t>
      </w:r>
      <w:r w:rsidR="00DE236A">
        <w:rPr>
          <w:lang w:val="nl-NL"/>
        </w:rPr>
        <w:t xml:space="preserve"> </w:t>
      </w:r>
      <w:r w:rsidRPr="00314681" w:rsidR="00DE236A">
        <w:rPr>
          <w:lang w:val="nl-NL"/>
        </w:rPr>
        <w:t>stand</w:t>
      </w:r>
      <w:r w:rsidR="00DE236A">
        <w:rPr>
          <w:lang w:val="nl-NL"/>
        </w:rPr>
        <w:t xml:space="preserve"> </w:t>
      </w:r>
      <w:r w:rsidRPr="00314681" w:rsidR="00DE236A">
        <w:rPr>
          <w:lang w:val="nl-NL"/>
        </w:rPr>
        <w:t>houd</w:t>
      </w:r>
      <w:r w:rsidR="00DE236A">
        <w:rPr>
          <w:lang w:val="nl-NL"/>
        </w:rPr>
        <w:t>en</w:t>
      </w:r>
      <w:r w:rsidRPr="00314681" w:rsidR="00DE236A">
        <w:rPr>
          <w:lang w:val="nl-NL"/>
        </w:rPr>
        <w:t xml:space="preserve"> van de biologische rijkdommen van de zee</w:t>
      </w:r>
      <w:r w:rsidR="00DE236A">
        <w:rPr>
          <w:lang w:val="nl-NL"/>
        </w:rPr>
        <w:t>. Het Operationeel P</w:t>
      </w:r>
      <w:r>
        <w:rPr>
          <w:lang w:val="nl-NL"/>
        </w:rPr>
        <w:t>rogramma</w:t>
      </w:r>
      <w:r w:rsidR="00DE236A">
        <w:rPr>
          <w:lang w:val="nl-NL"/>
        </w:rPr>
        <w:t xml:space="preserve"> richt zich vooral op d</w:t>
      </w:r>
      <w:r w:rsidRPr="006F4DA0" w:rsidR="00DE236A">
        <w:rPr>
          <w:lang w:val="nl-NL"/>
        </w:rPr>
        <w:t>e indicatoren D1 (biodiversiteit), D4 (voedselwebben) en D6 (zeebodemintegriteit) en/of dataverzameling en soortenbeschermingsmaatregelen. Projecten op het gebied van maatregelen, onderzoek en monitoring kunnen hieruit gefinancierd worden</w:t>
      </w:r>
      <w:r w:rsidRPr="006F4DA0">
        <w:rPr>
          <w:lang w:val="nl-NL"/>
        </w:rPr>
        <w:t>, te weten</w:t>
      </w:r>
      <w:r w:rsidRPr="006F4DA0" w:rsidR="00DE236A">
        <w:rPr>
          <w:lang w:val="nl-NL"/>
        </w:rPr>
        <w:t>:</w:t>
      </w:r>
    </w:p>
    <w:p w:rsidRPr="00F90E2F" w:rsidR="00DE236A" w:rsidP="00DE236A" w:rsidRDefault="00DE236A" w14:paraId="2753D129" w14:textId="77777777">
      <w:pPr>
        <w:pStyle w:val="ListParagraph"/>
        <w:numPr>
          <w:ilvl w:val="0"/>
          <w:numId w:val="73"/>
        </w:numPr>
        <w:rPr>
          <w:rStyle w:val="normaltextrun"/>
          <w:szCs w:val="18"/>
          <w:lang w:val="nl-NL"/>
        </w:rPr>
      </w:pPr>
      <w:r w:rsidRPr="00F90E2F">
        <w:rPr>
          <w:rStyle w:val="normaltextrun"/>
          <w:szCs w:val="18"/>
          <w:lang w:val="nl-NL"/>
        </w:rPr>
        <w:t>Verdere ontwikkeling van bestaande beoordelingskaders, indicatoren en/of drempelwaarden alsmede versterking van basisgegevens;</w:t>
      </w:r>
    </w:p>
    <w:p w:rsidRPr="00326927" w:rsidR="00DE236A" w:rsidP="00DE236A" w:rsidRDefault="00DE236A" w14:paraId="587AF420" w14:textId="77777777">
      <w:pPr>
        <w:pStyle w:val="ListParagraph"/>
        <w:numPr>
          <w:ilvl w:val="0"/>
          <w:numId w:val="73"/>
        </w:numPr>
        <w:rPr>
          <w:rStyle w:val="normaltextrun"/>
          <w:szCs w:val="18"/>
          <w:lang w:val="nl-NL"/>
        </w:rPr>
      </w:pPr>
      <w:r w:rsidRPr="00326927">
        <w:rPr>
          <w:rStyle w:val="normaltextrun"/>
          <w:szCs w:val="18"/>
          <w:lang w:val="nl-NL"/>
        </w:rPr>
        <w:t>(Soortspecifieke) bescherming en herstel van natuurwaarden en daaraan gerelateerd onderzoek, onder meer in relatie tot bruinvissen, zeevogels, haaien en roggen, en bodemdieren alsmede het creëren van ruimte voor habitats met een kraamkamerfunctie;</w:t>
      </w:r>
    </w:p>
    <w:p w:rsidRPr="00F90E2F" w:rsidR="00DE236A" w:rsidP="00DE236A" w:rsidRDefault="00DE236A" w14:paraId="07CFD76E" w14:textId="77777777">
      <w:pPr>
        <w:pStyle w:val="ListParagraph"/>
        <w:numPr>
          <w:ilvl w:val="0"/>
          <w:numId w:val="73"/>
        </w:numPr>
        <w:rPr>
          <w:lang w:val="nl-NL"/>
        </w:rPr>
      </w:pPr>
      <w:r w:rsidRPr="00F90E2F">
        <w:rPr>
          <w:rStyle w:val="normaltextrun"/>
          <w:szCs w:val="18"/>
          <w:lang w:val="nl-NL"/>
        </w:rPr>
        <w:t xml:space="preserve">Ontwikkeling van natuurinclusief bouwen van offshore-infrastructuur (b.v. windparken) in relatie tot behoud of herstel van natuur; </w:t>
      </w:r>
    </w:p>
    <w:p w:rsidRPr="00326927" w:rsidR="00DE236A" w:rsidP="00DE236A" w:rsidRDefault="00DE236A" w14:paraId="773B97C4" w14:textId="77777777">
      <w:pPr>
        <w:pStyle w:val="ListParagraph"/>
        <w:numPr>
          <w:ilvl w:val="0"/>
          <w:numId w:val="73"/>
        </w:numPr>
        <w:rPr>
          <w:lang w:val="nl-NL"/>
        </w:rPr>
      </w:pPr>
      <w:r w:rsidRPr="00326927">
        <w:rPr>
          <w:rStyle w:val="normaltextrun"/>
          <w:szCs w:val="18"/>
          <w:lang w:val="nl-NL"/>
        </w:rPr>
        <w:t>Ontwikkeling van te</w:t>
      </w:r>
      <w:r>
        <w:rPr>
          <w:rStyle w:val="normaltextrun"/>
          <w:szCs w:val="18"/>
          <w:lang w:val="nl-NL"/>
        </w:rPr>
        <w:t>chnieken en/of installaties ter o</w:t>
      </w:r>
      <w:r w:rsidRPr="00326927">
        <w:rPr>
          <w:rStyle w:val="normaltextrun"/>
          <w:szCs w:val="18"/>
          <w:lang w:val="nl-NL"/>
        </w:rPr>
        <w:t>ndersteuning van ecosysteemmonitoring en</w:t>
      </w:r>
      <w:r>
        <w:rPr>
          <w:rStyle w:val="normaltextrun"/>
          <w:szCs w:val="18"/>
          <w:lang w:val="nl-NL"/>
        </w:rPr>
        <w:t xml:space="preserve"> </w:t>
      </w:r>
      <w:r w:rsidRPr="00326927">
        <w:rPr>
          <w:rStyle w:val="normaltextrun"/>
          <w:szCs w:val="18"/>
          <w:lang w:val="nl-NL"/>
        </w:rPr>
        <w:t>behoud en herstel van ecosysteemelementen.</w:t>
      </w:r>
    </w:p>
    <w:p w:rsidRPr="004916A4" w:rsidR="00DE236A" w:rsidP="00DE236A" w:rsidRDefault="00DE236A" w14:paraId="29031DD3" w14:textId="1B477DE4">
      <w:pPr>
        <w:rPr>
          <w:lang w:val="nl-NL"/>
        </w:rPr>
      </w:pPr>
      <w:r w:rsidRPr="004916A4">
        <w:rPr>
          <w:lang w:val="nl-NL"/>
        </w:rPr>
        <w:t>Unieprioriteit 4</w:t>
      </w:r>
      <w:r w:rsidR="008F6457">
        <w:rPr>
          <w:lang w:val="nl-NL"/>
        </w:rPr>
        <w:t xml:space="preserve"> is v</w:t>
      </w:r>
      <w:r w:rsidRPr="004916A4">
        <w:rPr>
          <w:lang w:val="nl-NL"/>
        </w:rPr>
        <w:t xml:space="preserve">ersterking van het internationale oceaan bestuur en het mogelijk maken van veilige, beveiligde, schone en duurzaam beheerde zeeën en oceanen. </w:t>
      </w:r>
      <w:r>
        <w:rPr>
          <w:lang w:val="nl-NL"/>
        </w:rPr>
        <w:t>Het Operationeel p</w:t>
      </w:r>
      <w:r w:rsidR="008F6457">
        <w:rPr>
          <w:lang w:val="nl-NL"/>
        </w:rPr>
        <w:t>rogramma</w:t>
      </w:r>
      <w:r>
        <w:rPr>
          <w:lang w:val="nl-NL"/>
        </w:rPr>
        <w:t xml:space="preserve"> binnen</w:t>
      </w:r>
      <w:r w:rsidRPr="004916A4">
        <w:rPr>
          <w:lang w:val="nl-NL"/>
        </w:rPr>
        <w:t xml:space="preserve"> dit thema is </w:t>
      </w:r>
      <w:r>
        <w:rPr>
          <w:lang w:val="nl-NL"/>
        </w:rPr>
        <w:t>gericht</w:t>
      </w:r>
      <w:r w:rsidRPr="004916A4">
        <w:rPr>
          <w:lang w:val="nl-NL"/>
        </w:rPr>
        <w:t xml:space="preserve"> op onderzoek en monitoring van effecten van menselijk handelen op het ecosysteem, ter ondersteuning van de implementatie van de </w:t>
      </w:r>
      <w:r>
        <w:rPr>
          <w:lang w:val="nl-NL"/>
        </w:rPr>
        <w:t>KRM</w:t>
      </w:r>
      <w:r w:rsidRPr="004916A4">
        <w:rPr>
          <w:lang w:val="nl-NL"/>
        </w:rPr>
        <w:t xml:space="preserve"> </w:t>
      </w:r>
      <w:r w:rsidR="005F5515">
        <w:rPr>
          <w:lang w:val="nl-NL"/>
        </w:rPr>
        <w:t>–</w:t>
      </w:r>
      <w:r w:rsidRPr="004916A4">
        <w:rPr>
          <w:lang w:val="nl-NL"/>
        </w:rPr>
        <w:t xml:space="preserve"> en in samenhang daarmee: het Verdrag inzake de bescherming van het mariene milieu in het noordoostelijk deel van de Atlantische Oceaan (OSPAR) -, EU-Vogelrichtlijn (VR) en de EU-Habitatrichtlijn (HR) en bijdragend aan de onderdelen van het Noordzeeakkoord die daaraan zijn gerelateerd.</w:t>
      </w:r>
      <w:r>
        <w:rPr>
          <w:lang w:val="nl-NL"/>
        </w:rPr>
        <w:t xml:space="preserve"> </w:t>
      </w:r>
      <w:r w:rsidRPr="004916A4">
        <w:rPr>
          <w:lang w:val="nl-NL"/>
        </w:rPr>
        <w:t>De gezamenlijk opgaven zijn als volgt samengevat:</w:t>
      </w:r>
    </w:p>
    <w:p w:rsidRPr="004916A4" w:rsidR="00DE236A" w:rsidP="00DE236A" w:rsidRDefault="00DE236A" w14:paraId="0CD61CF2" w14:textId="77777777">
      <w:pPr>
        <w:pStyle w:val="ListParagraph"/>
        <w:numPr>
          <w:ilvl w:val="0"/>
          <w:numId w:val="77"/>
        </w:numPr>
        <w:rPr>
          <w:lang w:val="nl-NL"/>
        </w:rPr>
      </w:pPr>
      <w:r w:rsidRPr="004916A4">
        <w:rPr>
          <w:lang w:val="nl-NL"/>
        </w:rPr>
        <w:t>Versterken van de monitoring voor het vergaren van basiskennis over soorten, habitats, ecosysteemfunctioneren en drukfactoren ten gevolge van menselijk gebruik. Ook zeewateroceaanverzuring</w:t>
      </w:r>
      <w:r>
        <w:rPr>
          <w:lang w:val="nl-NL"/>
        </w:rPr>
        <w:t xml:space="preserve"> en </w:t>
      </w:r>
      <w:r w:rsidRPr="004916A4">
        <w:rPr>
          <w:lang w:val="nl-NL"/>
        </w:rPr>
        <w:t>klimaatverandering en gevolgen daarvan zijn belangrijke onderwerpen;</w:t>
      </w:r>
    </w:p>
    <w:p w:rsidRPr="004916A4" w:rsidR="00DE236A" w:rsidP="00DE236A" w:rsidRDefault="00DE236A" w14:paraId="73F9815A" w14:textId="6E391080">
      <w:pPr>
        <w:pStyle w:val="ListParagraph"/>
        <w:numPr>
          <w:ilvl w:val="0"/>
          <w:numId w:val="77"/>
        </w:numPr>
        <w:rPr>
          <w:lang w:val="nl-NL"/>
        </w:rPr>
      </w:pPr>
      <w:r w:rsidRPr="004916A4">
        <w:rPr>
          <w:lang w:val="nl-NL"/>
        </w:rPr>
        <w:t>Het ontwikkelen van geïntegreerde monitoringprogramma</w:t>
      </w:r>
      <w:r w:rsidR="005F5515">
        <w:rPr>
          <w:lang w:val="nl-NL"/>
        </w:rPr>
        <w:t>’</w:t>
      </w:r>
      <w:r w:rsidRPr="004916A4">
        <w:rPr>
          <w:lang w:val="nl-NL"/>
        </w:rPr>
        <w:t>s en gebruikmaken van innovatieve technieken om effectiever en in samenhang data te genereren;</w:t>
      </w:r>
    </w:p>
    <w:p w:rsidRPr="004916A4" w:rsidR="00DE236A" w:rsidP="00DE236A" w:rsidRDefault="00DE236A" w14:paraId="2CE678F2" w14:textId="77777777">
      <w:pPr>
        <w:pStyle w:val="ListParagraph"/>
        <w:numPr>
          <w:ilvl w:val="0"/>
          <w:numId w:val="77"/>
        </w:numPr>
        <w:rPr>
          <w:lang w:val="nl-NL"/>
        </w:rPr>
      </w:pPr>
      <w:r w:rsidRPr="004916A4">
        <w:rPr>
          <w:lang w:val="nl-NL"/>
        </w:rPr>
        <w:t>Onderzoek ten behoeve van beter inzicht in trofische interacties en ecosysteemfunctioneren;</w:t>
      </w:r>
    </w:p>
    <w:p w:rsidRPr="004916A4" w:rsidR="00DE236A" w:rsidP="00DE236A" w:rsidRDefault="00DE236A" w14:paraId="5A3B88D3" w14:textId="77777777">
      <w:pPr>
        <w:pStyle w:val="ListParagraph"/>
        <w:numPr>
          <w:ilvl w:val="0"/>
          <w:numId w:val="77"/>
        </w:numPr>
        <w:rPr>
          <w:lang w:val="nl-NL"/>
        </w:rPr>
      </w:pPr>
      <w:r w:rsidRPr="004916A4">
        <w:rPr>
          <w:lang w:val="nl-NL"/>
        </w:rPr>
        <w:t>Onderzoek naar cumulatieve effecten en de draagkracht van het ecosysteem Noordzee ter ondersteuning van beleid om menselijk gebruik van het systeem te reguleren. Voor het Noordzeeakkoord is met name cumulatie van effecten van de aanleg en het gebruik van windparken, visserij, kweek van voedsel en seismisch onderzoek van belang;</w:t>
      </w:r>
    </w:p>
    <w:p w:rsidRPr="004916A4" w:rsidR="00DE236A" w:rsidP="00DE236A" w:rsidRDefault="00DE236A" w14:paraId="028DEF69" w14:textId="77777777">
      <w:pPr>
        <w:pStyle w:val="ListParagraph"/>
        <w:numPr>
          <w:ilvl w:val="0"/>
          <w:numId w:val="77"/>
        </w:numPr>
        <w:rPr>
          <w:lang w:val="nl-NL"/>
        </w:rPr>
      </w:pPr>
      <w:r w:rsidRPr="004916A4">
        <w:rPr>
          <w:lang w:val="nl-NL"/>
        </w:rPr>
        <w:t>Bijdragen aan inzicht in de effectiviteit van maatregelen om het mariene ecosysteem en de biodiversiteit te beschermen.</w:t>
      </w:r>
    </w:p>
    <w:p w:rsidRPr="00EE62C7" w:rsidR="00DE236A" w:rsidP="00EE62C7" w:rsidRDefault="00DE236A" w14:paraId="688C86A6" w14:textId="6DDB90DE">
      <w:pPr>
        <w:pStyle w:val="TOCHeading"/>
      </w:pPr>
      <w:r w:rsidRPr="00EE62C7">
        <w:t>Prioritering</w:t>
      </w:r>
      <w:r w:rsidR="002303D4">
        <w:t>, financiering</w:t>
      </w:r>
      <w:r w:rsidRPr="00EE62C7">
        <w:t xml:space="preserve"> en afstemming van onderzoek</w:t>
      </w:r>
    </w:p>
    <w:p w:rsidR="00AA5140" w:rsidP="00E11C9E" w:rsidRDefault="004F7C65" w14:paraId="1EA093C2" w14:textId="4F7CB9A2">
      <w:pPr>
        <w:rPr>
          <w:lang w:val="nl-NL"/>
        </w:rPr>
      </w:pPr>
      <w:r>
        <w:rPr>
          <w:lang w:val="nl-NL"/>
        </w:rPr>
        <w:t>De kennisvragen zoals benoemd in hoofdstuk 3 worden in de planperiode 2022-2027 o</w:t>
      </w:r>
      <w:r w:rsidR="002303D4">
        <w:rPr>
          <w:lang w:val="nl-NL"/>
        </w:rPr>
        <w:t>nderzocht</w:t>
      </w:r>
      <w:r>
        <w:rPr>
          <w:lang w:val="nl-NL"/>
        </w:rPr>
        <w:t xml:space="preserve">. </w:t>
      </w:r>
      <w:r w:rsidR="00E11C9E">
        <w:rPr>
          <w:lang w:val="nl-NL"/>
        </w:rPr>
        <w:t xml:space="preserve">De prioritering van </w:t>
      </w:r>
      <w:r>
        <w:rPr>
          <w:lang w:val="nl-NL"/>
        </w:rPr>
        <w:t>deze onderzoeken</w:t>
      </w:r>
      <w:r w:rsidR="00E11C9E">
        <w:rPr>
          <w:lang w:val="nl-NL"/>
        </w:rPr>
        <w:t xml:space="preserve"> houdt rekening met onder andere het tijdig beschikbaar zijn van de kennis. </w:t>
      </w:r>
      <w:r w:rsidRPr="00406B9F" w:rsidR="00E11C9E">
        <w:rPr>
          <w:lang w:val="nl-NL"/>
        </w:rPr>
        <w:t>I</w:t>
      </w:r>
      <w:r w:rsidR="00BE405D">
        <w:rPr>
          <w:lang w:val="nl-NL"/>
        </w:rPr>
        <w:t>J</w:t>
      </w:r>
      <w:r w:rsidRPr="00406B9F" w:rsidR="00E11C9E">
        <w:rPr>
          <w:lang w:val="nl-NL"/>
        </w:rPr>
        <w:t xml:space="preserve">kpunten daarvoor zijn de Quality Status Report in 2023 van OSPAR en de actualisatie van de nationale beoordeling van de milieutoestand van het Nederlandse deel van de Noordzee in 2024. </w:t>
      </w:r>
    </w:p>
    <w:p w:rsidR="00DE236A" w:rsidP="00DE236A" w:rsidRDefault="002303D4" w14:paraId="14D0A8AE" w14:textId="64D74E77">
      <w:pPr>
        <w:rPr>
          <w:lang w:val="nl-NL"/>
        </w:rPr>
      </w:pPr>
      <w:r>
        <w:rPr>
          <w:lang w:val="nl-NL"/>
        </w:rPr>
        <w:t xml:space="preserve">De KRM kennisvragen voor de periode 2022-2027 worden gefinancierd uit de begroting van het ministerie van Infrastructuur en Waterstaat, het ministerie van Landbouw, Natuur en Voedselkwaliteit, EMVAF en het programma MONS. </w:t>
      </w:r>
      <w:r w:rsidR="00AA5140">
        <w:rPr>
          <w:lang w:val="nl-NL"/>
        </w:rPr>
        <w:t>Financiering loopt over meerdere sporen waarbij sprake is van uiteenlopende looptijden van programma’s. Het MONS-programma heeft een looptijd van 10 jaar (2021-2030). Het Operationele Programma EMVAF heeft een looptijd van 2021-2027. Gelet op de verschillende looptijden van financiering en het tijdig beschikbaar zijn van kennis,</w:t>
      </w:r>
      <w:r w:rsidR="00572371">
        <w:rPr>
          <w:lang w:val="nl-NL"/>
        </w:rPr>
        <w:t xml:space="preserve"> </w:t>
      </w:r>
      <w:r w:rsidR="00AA5140">
        <w:rPr>
          <w:lang w:val="nl-NL"/>
        </w:rPr>
        <w:t>is goede afstemming van onderzoek nodig, zowel tussen de KRM- en de MONS-programma</w:t>
      </w:r>
      <w:r w:rsidR="005F5515">
        <w:rPr>
          <w:lang w:val="nl-NL"/>
        </w:rPr>
        <w:t>’</w:t>
      </w:r>
      <w:r w:rsidR="00AA5140">
        <w:rPr>
          <w:lang w:val="nl-NL"/>
        </w:rPr>
        <w:t xml:space="preserve">s als </w:t>
      </w:r>
      <w:r w:rsidR="00572371">
        <w:rPr>
          <w:lang w:val="nl-NL"/>
        </w:rPr>
        <w:t>met andere (inter)nationale onderzoeksprogramma’s</w:t>
      </w:r>
      <w:r w:rsidR="00AA5140">
        <w:rPr>
          <w:lang w:val="nl-NL"/>
        </w:rPr>
        <w:t xml:space="preserve">. </w:t>
      </w:r>
      <w:r w:rsidR="00DE236A">
        <w:rPr>
          <w:lang w:val="nl-NL"/>
        </w:rPr>
        <w:t xml:space="preserve">Afstemming voorkomt </w:t>
      </w:r>
      <w:r w:rsidR="00572371">
        <w:rPr>
          <w:lang w:val="nl-NL"/>
        </w:rPr>
        <w:t xml:space="preserve">daarnaast </w:t>
      </w:r>
      <w:r w:rsidRPr="001E6644" w:rsidR="00DE236A">
        <w:rPr>
          <w:lang w:val="nl-NL"/>
        </w:rPr>
        <w:t>overlap in onderzoek</w:t>
      </w:r>
      <w:r w:rsidR="00DE236A">
        <w:rPr>
          <w:lang w:val="nl-NL"/>
        </w:rPr>
        <w:t xml:space="preserve"> en zorgt ervoor dat bepaalde kennisvragen op regionale schaal worden beantwoord wat leidt tot </w:t>
      </w:r>
      <w:r w:rsidRPr="001E6644" w:rsidR="00DE236A">
        <w:rPr>
          <w:lang w:val="nl-NL"/>
        </w:rPr>
        <w:t>een efficiënte besteding van beperkte middelen.</w:t>
      </w:r>
    </w:p>
    <w:p w:rsidR="00DE236A" w:rsidRDefault="00DE236A" w14:paraId="2A1C6B23" w14:textId="77777777">
      <w:pPr>
        <w:rPr>
          <w:rFonts w:eastAsiaTheme="majorEastAsia" w:cstheme="majorBidi"/>
          <w:color w:val="2E74B5" w:themeColor="accent1" w:themeShade="BF"/>
          <w:sz w:val="24"/>
          <w:szCs w:val="28"/>
          <w:lang w:val="nl-NL"/>
        </w:rPr>
      </w:pPr>
      <w:r>
        <w:rPr>
          <w:lang w:val="nl-NL"/>
        </w:rPr>
        <w:br w:type="page"/>
      </w:r>
    </w:p>
    <w:p w:rsidR="0070550F" w:rsidP="009D26A9" w:rsidRDefault="000B1461" w14:paraId="7E07E7E7" w14:textId="77777777">
      <w:pPr>
        <w:pStyle w:val="Stijl1"/>
        <w:rPr>
          <w:lang w:val="nl-NL"/>
        </w:rPr>
      </w:pPr>
      <w:bookmarkStart w:name="_Toc59455639" w:id="66"/>
      <w:r w:rsidRPr="000B1461">
        <w:rPr>
          <w:lang w:val="nl-NL"/>
        </w:rPr>
        <w:t>Financiële</w:t>
      </w:r>
      <w:r w:rsidRPr="000B1461" w:rsidR="009D26A9">
        <w:rPr>
          <w:lang w:val="nl-NL"/>
        </w:rPr>
        <w:t xml:space="preserve"> </w:t>
      </w:r>
      <w:r w:rsidRPr="000B1461">
        <w:rPr>
          <w:lang w:val="nl-NL"/>
        </w:rPr>
        <w:t>consequenties</w:t>
      </w:r>
      <w:bookmarkEnd w:id="66"/>
    </w:p>
    <w:p w:rsidRPr="00B83F86" w:rsidR="003004C6" w:rsidP="003004C6" w:rsidRDefault="003004C6" w14:paraId="15822D47" w14:textId="77777777">
      <w:pPr>
        <w:rPr>
          <w:lang w:val="nl-NL"/>
        </w:rPr>
      </w:pPr>
      <w:r w:rsidRPr="00B83F86">
        <w:rPr>
          <w:lang w:val="nl-NL"/>
        </w:rPr>
        <w:t xml:space="preserve">Dit programma van maatregelen bevat hoofdzakelijk bestaande maatregelen (maatregelen die in het vorige programma van maatregelen zijn opgenomen) die doorgang vinden al dan niet in een iets andere vorm. Deze maatregelen </w:t>
      </w:r>
      <w:r>
        <w:rPr>
          <w:lang w:val="nl-NL"/>
        </w:rPr>
        <w:t>vloeien</w:t>
      </w:r>
      <w:r w:rsidRPr="00B83F86">
        <w:rPr>
          <w:lang w:val="nl-NL"/>
        </w:rPr>
        <w:t xml:space="preserve"> over het algemeen </w:t>
      </w:r>
      <w:r>
        <w:rPr>
          <w:lang w:val="nl-NL"/>
        </w:rPr>
        <w:t xml:space="preserve">voort uit bestaande </w:t>
      </w:r>
      <w:r w:rsidRPr="00B83F86">
        <w:rPr>
          <w:lang w:val="nl-NL"/>
        </w:rPr>
        <w:t xml:space="preserve">Europese/internationale wetgeving waarvoor </w:t>
      </w:r>
      <w:r>
        <w:rPr>
          <w:lang w:val="nl-NL"/>
        </w:rPr>
        <w:t xml:space="preserve">reeds </w:t>
      </w:r>
      <w:r w:rsidRPr="00B83F86">
        <w:rPr>
          <w:lang w:val="nl-NL"/>
        </w:rPr>
        <w:t xml:space="preserve">nationaal instrumentarium en financiering beschikbaar is. </w:t>
      </w:r>
    </w:p>
    <w:p w:rsidR="003004C6" w:rsidP="003004C6" w:rsidRDefault="003004C6" w14:paraId="44054BFF" w14:textId="77777777">
      <w:pPr>
        <w:rPr>
          <w:lang w:val="nl-NL"/>
        </w:rPr>
      </w:pPr>
      <w:r w:rsidRPr="00B83F86">
        <w:rPr>
          <w:lang w:val="nl-NL"/>
        </w:rPr>
        <w:t xml:space="preserve">Voor de descriptoren D1 biodiversiteit, D6 zeebodemintegriteit, D10 zwerfvuil en D11 onderwatergeluid zijn in dit programma van maatregelen aanvullende maatregelen opgenomen. </w:t>
      </w:r>
      <w:r>
        <w:rPr>
          <w:lang w:val="nl-NL"/>
        </w:rPr>
        <w:t xml:space="preserve">Dit hoofdstuk </w:t>
      </w:r>
      <w:r w:rsidRPr="00B83F86">
        <w:rPr>
          <w:lang w:val="nl-NL"/>
        </w:rPr>
        <w:t xml:space="preserve">geeft inzicht in de verwachte wijze van financiering van deze maatregelen. </w:t>
      </w:r>
    </w:p>
    <w:p w:rsidR="003004C6" w:rsidP="003004C6" w:rsidRDefault="003004C6" w14:paraId="0889CF22" w14:textId="597D1380">
      <w:pPr>
        <w:pStyle w:val="TOCHeading"/>
      </w:pPr>
      <w:r>
        <w:t>F</w:t>
      </w:r>
      <w:r w:rsidRPr="00B83F86">
        <w:t>inanciering aanvullende maatregelen</w:t>
      </w:r>
      <w:r w:rsidR="002303D4">
        <w:t xml:space="preserve"> en onderzoek</w:t>
      </w:r>
    </w:p>
    <w:p w:rsidR="006106E9" w:rsidP="003004C6" w:rsidRDefault="003004C6" w14:paraId="260C487D" w14:textId="77777777">
      <w:pPr>
        <w:rPr>
          <w:lang w:val="nl-NL"/>
        </w:rPr>
      </w:pPr>
      <w:r w:rsidRPr="00B83F86">
        <w:rPr>
          <w:lang w:val="nl-NL"/>
        </w:rPr>
        <w:t>De aanvullende maatregelen onder D1 biodiversiteit en D6 zeebodemintegriteit komen voort uit het Noordzeeakkoord. Het Noordzeeakkoord leidt tot een aantal intensiveringen van (beleids)maatregelen en aanvullende opgaven voor gebiedsbescherming</w:t>
      </w:r>
      <w:r>
        <w:rPr>
          <w:lang w:val="nl-NL"/>
        </w:rPr>
        <w:t xml:space="preserve">, </w:t>
      </w:r>
      <w:r w:rsidRPr="00B83F86">
        <w:rPr>
          <w:lang w:val="nl-NL"/>
        </w:rPr>
        <w:t xml:space="preserve">monitoring en onderzoek. Actieplannen met </w:t>
      </w:r>
      <w:r>
        <w:rPr>
          <w:lang w:val="nl-NL"/>
        </w:rPr>
        <w:t>een concretisering van de</w:t>
      </w:r>
      <w:r w:rsidRPr="00B83F86">
        <w:rPr>
          <w:lang w:val="nl-NL"/>
        </w:rPr>
        <w:t xml:space="preserve"> maatregelen </w:t>
      </w:r>
      <w:r>
        <w:rPr>
          <w:lang w:val="nl-NL"/>
        </w:rPr>
        <w:t xml:space="preserve">voor aanvullende soortenbescherming </w:t>
      </w:r>
      <w:r w:rsidRPr="00B83F86">
        <w:rPr>
          <w:lang w:val="nl-NL"/>
        </w:rPr>
        <w:t xml:space="preserve">worden </w:t>
      </w:r>
      <w:r>
        <w:rPr>
          <w:lang w:val="nl-NL"/>
        </w:rPr>
        <w:t xml:space="preserve">vanaf 2023 </w:t>
      </w:r>
      <w:r w:rsidRPr="00B83F86">
        <w:rPr>
          <w:lang w:val="nl-NL"/>
        </w:rPr>
        <w:t>opgesteld, afhankelijk van wat nodig is op basis van uitkomsten van onderzoek en monitoring in de komende drie jaar (met name in het kader van N</w:t>
      </w:r>
      <w:r>
        <w:rPr>
          <w:lang w:val="nl-NL"/>
        </w:rPr>
        <w:t>oordzeeakkoord</w:t>
      </w:r>
      <w:r w:rsidRPr="00B83F86">
        <w:rPr>
          <w:lang w:val="nl-NL"/>
        </w:rPr>
        <w:t xml:space="preserve">/MONS, Natura 2000 het OSPAR Quality Status Report (QSR) en </w:t>
      </w:r>
      <w:r>
        <w:rPr>
          <w:lang w:val="nl-NL"/>
        </w:rPr>
        <w:t xml:space="preserve">actualisatie van de initiële beoordeling van de milieutoestand voor de </w:t>
      </w:r>
      <w:r w:rsidRPr="00B83F86">
        <w:rPr>
          <w:lang w:val="nl-NL"/>
        </w:rPr>
        <w:t>KRM). Voor aanvullende intensiveringen die het gevolg zijn van de in het N</w:t>
      </w:r>
      <w:r>
        <w:rPr>
          <w:lang w:val="nl-NL"/>
        </w:rPr>
        <w:t>oordzeeakkoord</w:t>
      </w:r>
      <w:r w:rsidRPr="00B83F86">
        <w:rPr>
          <w:lang w:val="nl-NL"/>
        </w:rPr>
        <w:t xml:space="preserve"> gemaakte afspraken, </w:t>
      </w:r>
      <w:r>
        <w:rPr>
          <w:lang w:val="nl-NL"/>
        </w:rPr>
        <w:t>zal</w:t>
      </w:r>
      <w:r w:rsidRPr="00B83F86">
        <w:rPr>
          <w:lang w:val="nl-NL"/>
        </w:rPr>
        <w:t xml:space="preserve"> een beroep op het ‘Transitiefonds’ worden gedaan indien bestaande of beschikbare geldstromen tekort schieten. </w:t>
      </w:r>
      <w:r>
        <w:rPr>
          <w:lang w:val="nl-NL"/>
        </w:rPr>
        <w:t>Hiervoor heeft het kabinet 55 mln. euro tot 2030 beschikbaar gesteld voor monitoring, onderzoek en natuurherstel; en 14 mln.</w:t>
      </w:r>
      <w:r w:rsidR="006106E9">
        <w:rPr>
          <w:lang w:val="nl-NL"/>
        </w:rPr>
        <w:t xml:space="preserve"> euro</w:t>
      </w:r>
      <w:r>
        <w:rPr>
          <w:lang w:val="nl-NL"/>
        </w:rPr>
        <w:t xml:space="preserve"> voor handhaving van visserijmaatregelen door de NVWA. Voor de herstructurering en verduurzaming v</w:t>
      </w:r>
      <w:r w:rsidR="006106E9">
        <w:rPr>
          <w:lang w:val="nl-NL"/>
        </w:rPr>
        <w:t>a</w:t>
      </w:r>
      <w:r>
        <w:rPr>
          <w:lang w:val="nl-NL"/>
        </w:rPr>
        <w:t>n de kottervloot is 119 mln</w:t>
      </w:r>
      <w:r w:rsidR="00E31DEA">
        <w:rPr>
          <w:lang w:val="nl-NL"/>
        </w:rPr>
        <w:t>.</w:t>
      </w:r>
      <w:r w:rsidR="006106E9">
        <w:rPr>
          <w:lang w:val="nl-NL"/>
        </w:rPr>
        <w:t xml:space="preserve"> euro</w:t>
      </w:r>
      <w:r>
        <w:rPr>
          <w:lang w:val="nl-NL"/>
        </w:rPr>
        <w:t xml:space="preserve"> beschikbaar tot 2030. </w:t>
      </w:r>
      <w:r w:rsidRPr="00B83F86">
        <w:rPr>
          <w:lang w:val="nl-NL"/>
        </w:rPr>
        <w:t xml:space="preserve">In het Noordzeeoverleg is afgesproken dat </w:t>
      </w:r>
      <w:r>
        <w:rPr>
          <w:lang w:val="nl-NL"/>
        </w:rPr>
        <w:t>in 2023 wordt nagegaan of met de beschikbaar gestelde gelden de doeleinden van het Noordzeeakkoord worden gehaald. Mocht dan blijken dat verdere versterking van het ‘Transitiefonds’ noodzakelijk is, dan voeren partijen in het Noordzeeoverleg daarover open en reëel overleg.</w:t>
      </w:r>
      <w:r w:rsidR="006106E9">
        <w:rPr>
          <w:lang w:val="nl-NL"/>
        </w:rPr>
        <w:t xml:space="preserve"> </w:t>
      </w:r>
    </w:p>
    <w:p w:rsidRPr="00B83F86" w:rsidR="003004C6" w:rsidP="003004C6" w:rsidRDefault="006106E9" w14:paraId="08378980" w14:textId="77777777">
      <w:pPr>
        <w:rPr>
          <w:lang w:val="nl-NL"/>
        </w:rPr>
      </w:pPr>
      <w:r>
        <w:rPr>
          <w:lang w:val="nl-NL"/>
        </w:rPr>
        <w:t xml:space="preserve">Naast het </w:t>
      </w:r>
      <w:r w:rsidR="001866F0">
        <w:rPr>
          <w:lang w:val="nl-NL"/>
        </w:rPr>
        <w:t>‘</w:t>
      </w:r>
      <w:r>
        <w:rPr>
          <w:lang w:val="nl-NL"/>
        </w:rPr>
        <w:t>Transitiefonds</w:t>
      </w:r>
      <w:r w:rsidR="001866F0">
        <w:rPr>
          <w:lang w:val="nl-NL"/>
        </w:rPr>
        <w:t>’</w:t>
      </w:r>
      <w:r>
        <w:rPr>
          <w:lang w:val="nl-NL"/>
        </w:rPr>
        <w:t xml:space="preserve"> zijn ook EMVAF </w:t>
      </w:r>
      <w:r w:rsidR="001866F0">
        <w:rPr>
          <w:lang w:val="nl-NL"/>
        </w:rPr>
        <w:t xml:space="preserve">middelen </w:t>
      </w:r>
      <w:r>
        <w:rPr>
          <w:lang w:val="nl-NL"/>
        </w:rPr>
        <w:t>(</w:t>
      </w:r>
      <w:r w:rsidRPr="002303D4" w:rsidR="001F6B8A">
        <w:rPr>
          <w:lang w:val="nl-NL"/>
        </w:rPr>
        <w:t>Europees Maritiem, Visserij en Aquacultuur Fonds</w:t>
      </w:r>
      <w:r>
        <w:rPr>
          <w:lang w:val="nl-NL"/>
        </w:rPr>
        <w:t>) beschikbaar</w:t>
      </w:r>
      <w:r w:rsidRPr="001866F0" w:rsidR="001866F0">
        <w:rPr>
          <w:lang w:val="nl-NL"/>
        </w:rPr>
        <w:t xml:space="preserve"> </w:t>
      </w:r>
      <w:r w:rsidR="001866F0">
        <w:rPr>
          <w:lang w:val="nl-NL"/>
        </w:rPr>
        <w:t>dat Nederland en de Europese Commissie in gedeeld beheer hebben.</w:t>
      </w:r>
      <w:r>
        <w:rPr>
          <w:lang w:val="nl-NL"/>
        </w:rPr>
        <w:t xml:space="preserve"> Voor specifieke KRM maatregelen en onderzoek is 5 mln. euro beschikbaar</w:t>
      </w:r>
      <w:r w:rsidR="001866F0">
        <w:rPr>
          <w:lang w:val="nl-NL"/>
        </w:rPr>
        <w:t>.</w:t>
      </w:r>
    </w:p>
    <w:p w:rsidR="00F31274" w:rsidP="003004C6" w:rsidRDefault="003004C6" w14:paraId="1FF34F3B" w14:textId="6C00AD30">
      <w:pPr>
        <w:rPr>
          <w:lang w:val="nl-NL"/>
        </w:rPr>
      </w:pPr>
      <w:r w:rsidRPr="00B83F86">
        <w:rPr>
          <w:lang w:val="nl-NL"/>
        </w:rPr>
        <w:t xml:space="preserve">Voor </w:t>
      </w:r>
      <w:r>
        <w:rPr>
          <w:lang w:val="nl-NL"/>
        </w:rPr>
        <w:t xml:space="preserve">de aanvullende maatregelen onder </w:t>
      </w:r>
      <w:r w:rsidRPr="00B83F86">
        <w:rPr>
          <w:lang w:val="nl-NL"/>
        </w:rPr>
        <w:t xml:space="preserve">D10 </w:t>
      </w:r>
      <w:r>
        <w:rPr>
          <w:lang w:val="nl-NL"/>
        </w:rPr>
        <w:t>z</w:t>
      </w:r>
      <w:r w:rsidRPr="00B83F86">
        <w:rPr>
          <w:lang w:val="nl-NL"/>
        </w:rPr>
        <w:t>werfvuil</w:t>
      </w:r>
      <w:r>
        <w:rPr>
          <w:lang w:val="nl-NL"/>
        </w:rPr>
        <w:t xml:space="preserve"> en D11 onderwatergeluid </w:t>
      </w:r>
      <w:r w:rsidRPr="00F31274">
        <w:rPr>
          <w:lang w:val="nl-NL"/>
        </w:rPr>
        <w:t>is dekking</w:t>
      </w:r>
      <w:r>
        <w:rPr>
          <w:lang w:val="nl-NL"/>
        </w:rPr>
        <w:t xml:space="preserve"> </w:t>
      </w:r>
      <w:r w:rsidRPr="00F31274">
        <w:rPr>
          <w:lang w:val="nl-NL"/>
        </w:rPr>
        <w:t>op de begroting van het ministerie van Infrastructuur en Waterstaa</w:t>
      </w:r>
      <w:r>
        <w:rPr>
          <w:lang w:val="nl-NL"/>
        </w:rPr>
        <w:t>t. Voor zwerfvuil zal cofinanciering worden</w:t>
      </w:r>
      <w:r w:rsidR="001866F0">
        <w:rPr>
          <w:lang w:val="nl-NL"/>
        </w:rPr>
        <w:t xml:space="preserve"> aangewend vanuit EMVAF middelen.</w:t>
      </w:r>
    </w:p>
    <w:p w:rsidRPr="002D07E7" w:rsidR="00151520" w:rsidP="00151520" w:rsidRDefault="00151520" w14:paraId="2B846AAD" w14:textId="3254050B">
      <w:pPr>
        <w:rPr>
          <w:lang w:val="nl-NL"/>
        </w:rPr>
      </w:pPr>
      <w:r>
        <w:rPr>
          <w:lang w:val="nl-NL"/>
        </w:rPr>
        <w:t xml:space="preserve">De KRM kennisvragen die in de planperiode 2022-2027 worden onderzocht worden gefinancierd </w:t>
      </w:r>
      <w:r w:rsidR="0056381D">
        <w:rPr>
          <w:lang w:val="nl-NL"/>
        </w:rPr>
        <w:t xml:space="preserve">uit de begroting van het ministerie van Infrastructuur en Waterstaat en het ministerie van Landbouw, Natuur en Voedselkwaliteit, </w:t>
      </w:r>
      <w:r>
        <w:rPr>
          <w:lang w:val="nl-NL"/>
        </w:rPr>
        <w:t>het programma MONS (</w:t>
      </w:r>
      <w:r w:rsidRPr="00D0608C">
        <w:rPr>
          <w:lang w:val="nl-NL"/>
        </w:rPr>
        <w:t>Monitoring en Onderzoek Natuurversterking en Soortenherstel)</w:t>
      </w:r>
      <w:r w:rsidR="0056381D">
        <w:rPr>
          <w:lang w:val="nl-NL"/>
        </w:rPr>
        <w:t xml:space="preserve"> en</w:t>
      </w:r>
      <w:r>
        <w:rPr>
          <w:lang w:val="nl-NL"/>
        </w:rPr>
        <w:t xml:space="preserve"> EMVAF middelen</w:t>
      </w:r>
      <w:r w:rsidR="00F97FC2">
        <w:rPr>
          <w:lang w:val="nl-NL"/>
        </w:rPr>
        <w:t>.</w:t>
      </w:r>
      <w:r>
        <w:rPr>
          <w:lang w:val="nl-NL"/>
        </w:rPr>
        <w:t xml:space="preserve"> </w:t>
      </w:r>
    </w:p>
    <w:p w:rsidR="00151520" w:rsidP="003004C6" w:rsidRDefault="00151520" w14:paraId="4080E2AA" w14:textId="77777777">
      <w:pPr>
        <w:rPr>
          <w:lang w:val="nl-NL"/>
        </w:rPr>
      </w:pPr>
    </w:p>
    <w:p w:rsidRPr="000B1461" w:rsidR="0070550F" w:rsidP="0070550F" w:rsidRDefault="0070550F" w14:paraId="1BEFF4C6" w14:textId="77777777">
      <w:pPr>
        <w:rPr>
          <w:lang w:val="nl-NL"/>
        </w:rPr>
        <w:sectPr w:rsidRPr="000B1461" w:rsidR="0070550F" w:rsidSect="001E6A24">
          <w:pgSz w:w="11907" w:h="16840" w:code="9"/>
          <w:pgMar w:top="1440" w:right="1440" w:bottom="1440" w:left="1440" w:header="709" w:footer="709" w:gutter="0"/>
          <w:cols w:space="708"/>
          <w:docGrid w:linePitch="360"/>
        </w:sectPr>
      </w:pPr>
    </w:p>
    <w:p w:rsidR="00BC184E" w:rsidP="000D4013" w:rsidRDefault="0070550F" w14:paraId="6B8B9655" w14:textId="77777777">
      <w:pPr>
        <w:pStyle w:val="Stijl1"/>
        <w:numPr>
          <w:ilvl w:val="0"/>
          <w:numId w:val="0"/>
        </w:numPr>
        <w:rPr>
          <w:lang w:val="nl-NL"/>
        </w:rPr>
      </w:pPr>
      <w:bookmarkStart w:name="_Toc59455640" w:id="67"/>
      <w:r w:rsidRPr="000D4013">
        <w:rPr>
          <w:lang w:val="nl-NL"/>
        </w:rPr>
        <w:t>Bronnen</w:t>
      </w:r>
      <w:bookmarkEnd w:id="67"/>
    </w:p>
    <w:p w:rsidR="000D4013" w:rsidP="000D4013" w:rsidRDefault="000D4013" w14:paraId="45C98EC0" w14:textId="77777777">
      <w:pPr>
        <w:rPr>
          <w:lang w:val="nl-NL"/>
        </w:rPr>
      </w:pPr>
    </w:p>
    <w:p w:rsidR="00327842" w:rsidP="00327842" w:rsidRDefault="00327842" w14:paraId="06158BDE" w14:textId="7760B3DD">
      <w:r>
        <w:rPr>
          <w:lang w:val="nl-NL"/>
        </w:rPr>
        <w:t xml:space="preserve">[1] </w:t>
      </w:r>
      <w:r w:rsidRPr="00327842">
        <w:rPr>
          <w:lang w:val="nl-NL"/>
        </w:rPr>
        <w:t>W</w:t>
      </w:r>
      <w:r w:rsidRPr="00327842" w:rsidR="005F5515">
        <w:rPr>
          <w:lang w:val="nl-NL"/>
        </w:rPr>
        <w:t>e</w:t>
      </w:r>
      <w:r w:rsidRPr="00327842">
        <w:rPr>
          <w:lang w:val="nl-NL"/>
        </w:rPr>
        <w:t xml:space="preserve">cR (2017): Strietman, W.J., A.J. Reinhard, A.T. De Blaeij, B.W. Zaalmink, 2017. </w:t>
      </w:r>
      <w:r w:rsidRPr="00063504">
        <w:t xml:space="preserve">The cost of degradation of the Dutch North Sea environment; A study into the costs of avoiding degradation and the applicability of the Ecosystem Services approach. Wageningen, Wageningen Economic Research, Report 2018-015. 64 pp.; 9 fig.; 23 tab.; 82 ref. </w:t>
      </w:r>
      <w:hyperlink w:history="1" r:id="rId25">
        <w:r w:rsidRPr="005919E9" w:rsidR="00872524">
          <w:rPr>
            <w:rStyle w:val="Hyperlink"/>
          </w:rPr>
          <w:t>https://www.noordzeeloket.nl/publish/pages/138544/the_cost_of_degradation_v_0_06_2018-015_strietman.pdf</w:t>
        </w:r>
      </w:hyperlink>
      <w:r w:rsidR="00872524">
        <w:t xml:space="preserve"> </w:t>
      </w:r>
      <w:r w:rsidRPr="00063504">
        <w:t xml:space="preserve">of </w:t>
      </w:r>
      <w:hyperlink w:history="1" r:id="rId26">
        <w:r w:rsidRPr="005919E9" w:rsidR="00872524">
          <w:rPr>
            <w:rStyle w:val="Hyperlink"/>
          </w:rPr>
          <w:t>https://doi.org/10.18174/432050</w:t>
        </w:r>
      </w:hyperlink>
      <w:r w:rsidRPr="00063504">
        <w:t xml:space="preserve"> </w:t>
      </w:r>
    </w:p>
    <w:p w:rsidRPr="00850801" w:rsidR="00327842" w:rsidP="00327842" w:rsidRDefault="00327842" w14:paraId="257D432D" w14:textId="39B3F9F7">
      <w:pPr>
        <w:rPr>
          <w:lang w:val="nl-NL"/>
        </w:rPr>
      </w:pPr>
      <w:r>
        <w:t xml:space="preserve">[2] </w:t>
      </w:r>
      <w:r w:rsidRPr="00063504">
        <w:t xml:space="preserve">WEcR (2019). Strietman, W.J., K.G. Hamon, A. Mol, 2019. </w:t>
      </w:r>
      <w:r w:rsidRPr="00063504">
        <w:rPr>
          <w:lang w:val="nl-NL"/>
        </w:rPr>
        <w:t>De economische effecten van twee toekomstscenario</w:t>
      </w:r>
      <w:r w:rsidR="005F5515">
        <w:rPr>
          <w:lang w:val="nl-NL"/>
        </w:rPr>
        <w:t>’</w:t>
      </w:r>
      <w:r w:rsidRPr="00063504">
        <w:rPr>
          <w:lang w:val="nl-NL"/>
        </w:rPr>
        <w:t>s voor de Noordzee; Een economische verkenning van de effecten van twee ruimtelijke scenario</w:t>
      </w:r>
      <w:r w:rsidR="005F5515">
        <w:rPr>
          <w:lang w:val="nl-NL"/>
        </w:rPr>
        <w:t>’</w:t>
      </w:r>
      <w:r w:rsidRPr="00063504">
        <w:rPr>
          <w:lang w:val="nl-NL"/>
        </w:rPr>
        <w:t xml:space="preserve">s voor de Noordzee, opgesteld door het Planbureau voor de Leefomgeving, op de Noordzee gebruiksfuncties tot en met 2050. Wageningen, Wageningen Economic Research, Rapport 2019-080. 66 blz.; 15 fig.; 70 tab.; 25 ref. </w:t>
      </w:r>
      <w:hyperlink w:history="1" r:id="rId27">
        <w:r w:rsidRPr="00850801" w:rsidR="00872524">
          <w:rPr>
            <w:rStyle w:val="Hyperlink"/>
            <w:lang w:val="nl-NL"/>
          </w:rPr>
          <w:t>https://library.wur.nl/WebQuery/wurpubs/fulltext/495958</w:t>
        </w:r>
      </w:hyperlink>
      <w:r w:rsidRPr="00850801" w:rsidR="00872524">
        <w:rPr>
          <w:lang w:val="nl-NL"/>
        </w:rPr>
        <w:t xml:space="preserve"> </w:t>
      </w:r>
      <w:r w:rsidRPr="00850801">
        <w:rPr>
          <w:lang w:val="nl-NL"/>
        </w:rPr>
        <w:t xml:space="preserve">of </w:t>
      </w:r>
      <w:hyperlink w:history="1" r:id="rId28">
        <w:r w:rsidRPr="00850801" w:rsidR="00872524">
          <w:rPr>
            <w:rStyle w:val="Hyperlink"/>
            <w:lang w:val="nl-NL"/>
          </w:rPr>
          <w:t>https://doi.org/10.18174/495958</w:t>
        </w:r>
      </w:hyperlink>
    </w:p>
    <w:p w:rsidR="00327842" w:rsidP="00327842" w:rsidRDefault="00327842" w14:paraId="29071A91" w14:textId="77777777">
      <w:r>
        <w:t xml:space="preserve">[3] </w:t>
      </w:r>
      <w:r w:rsidRPr="00063504">
        <w:t xml:space="preserve">Ecorys </w:t>
      </w:r>
      <w:r w:rsidR="00270725">
        <w:t>(</w:t>
      </w:r>
      <w:r w:rsidRPr="00063504">
        <w:t>2017</w:t>
      </w:r>
      <w:r w:rsidR="00270725">
        <w:t>)</w:t>
      </w:r>
      <w:r w:rsidRPr="00063504">
        <w:t xml:space="preserve">. Maritieme Monitor 2017. </w:t>
      </w:r>
      <w:hyperlink w:history="1" r:id="rId29">
        <w:r w:rsidRPr="005919E9" w:rsidR="00872524">
          <w:rPr>
            <w:rStyle w:val="Hyperlink"/>
          </w:rPr>
          <w:t>https://www.rijksoverheid.nl/binaries/rijksoverheid/documenten/rapporten/2017/11/07/maritieme-monitor/Maritieme+Monitor+2017.pdf</w:t>
        </w:r>
      </w:hyperlink>
    </w:p>
    <w:p w:rsidRPr="00C6133B" w:rsidR="00063504" w:rsidP="00063504" w:rsidRDefault="00327842" w14:paraId="2DEADBCB" w14:textId="77777777">
      <w:r w:rsidRPr="00327842">
        <w:t xml:space="preserve">[4] </w:t>
      </w:r>
      <w:r w:rsidRPr="00327842" w:rsidR="00063504">
        <w:t>CBS</w:t>
      </w:r>
      <w:r w:rsidR="00270725">
        <w:t xml:space="preserve"> (</w:t>
      </w:r>
      <w:r w:rsidRPr="00327842" w:rsidR="00063504">
        <w:t>2020</w:t>
      </w:r>
      <w:r w:rsidR="00270725">
        <w:t>)</w:t>
      </w:r>
      <w:r w:rsidR="00C6133B">
        <w:t>.</w:t>
      </w:r>
      <w:r w:rsidRPr="00327842" w:rsidR="00063504">
        <w:t xml:space="preserve"> Adam N. Walker, Jaap Jansen, Mieke Mateboer, Susan van Dijk, Oksana Balabay; Economic descrip</w:t>
      </w:r>
      <w:r w:rsidRPr="00327842" w:rsidR="00063504">
        <w:rPr>
          <w:rFonts w:ascii="Calibri" w:hAnsi="Calibri" w:cs="Calibri"/>
        </w:rPr>
        <w:t>Ɵ</w:t>
      </w:r>
      <w:r w:rsidRPr="00327842" w:rsidR="00063504">
        <w:t xml:space="preserve">on of the Dutch North Sea and coast: 2010, 2015 and 2017. </w:t>
      </w:r>
      <w:r w:rsidR="00872524">
        <w:br/>
      </w:r>
      <w:hyperlink w:history="1" r:id="rId30">
        <w:r w:rsidRPr="00C6133B" w:rsidR="00872524">
          <w:rPr>
            <w:rStyle w:val="Hyperlink"/>
          </w:rPr>
          <w:t>https://www.noordzeeloket.nl/publish/pages/182025/economic_description_of_the_dutch_north_sea_and_coast_2010_2015_and_2017.pdf</w:t>
        </w:r>
      </w:hyperlink>
    </w:p>
    <w:p w:rsidR="00327842" w:rsidP="00327842" w:rsidRDefault="00327842" w14:paraId="2AC332BF" w14:textId="77777777">
      <w:pPr>
        <w:rPr>
          <w:lang w:val="nl-NL"/>
        </w:rPr>
      </w:pPr>
      <w:r>
        <w:rPr>
          <w:lang w:val="nl-NL"/>
        </w:rPr>
        <w:t xml:space="preserve">[5] </w:t>
      </w:r>
      <w:r w:rsidRPr="00063504">
        <w:rPr>
          <w:lang w:val="nl-NL"/>
        </w:rPr>
        <w:t>PBL</w:t>
      </w:r>
      <w:r w:rsidR="00270725">
        <w:rPr>
          <w:lang w:val="nl-NL"/>
        </w:rPr>
        <w:t xml:space="preserve"> (</w:t>
      </w:r>
      <w:r w:rsidRPr="00063504">
        <w:rPr>
          <w:lang w:val="nl-NL"/>
        </w:rPr>
        <w:t>2018</w:t>
      </w:r>
      <w:r w:rsidR="00270725">
        <w:rPr>
          <w:lang w:val="nl-NL"/>
        </w:rPr>
        <w:t>)</w:t>
      </w:r>
      <w:r w:rsidRPr="00063504">
        <w:rPr>
          <w:lang w:val="nl-NL"/>
        </w:rPr>
        <w:t xml:space="preserve">. </w:t>
      </w:r>
      <w:r w:rsidRPr="00063504" w:rsidR="00C6133B">
        <w:rPr>
          <w:lang w:val="nl-NL"/>
        </w:rPr>
        <w:t>Matthijsen, J. et al.</w:t>
      </w:r>
      <w:r w:rsidR="00C6133B">
        <w:rPr>
          <w:lang w:val="nl-NL"/>
        </w:rPr>
        <w:t>, 2018.</w:t>
      </w:r>
      <w:r w:rsidRPr="00063504" w:rsidR="00C6133B">
        <w:rPr>
          <w:lang w:val="nl-NL"/>
        </w:rPr>
        <w:t xml:space="preserve"> </w:t>
      </w:r>
      <w:r w:rsidRPr="00063504">
        <w:rPr>
          <w:lang w:val="nl-NL"/>
        </w:rPr>
        <w:t>De toekomst van de Noordzee; De Noordzee in 2030 en 2050: een scenariostudie</w:t>
      </w:r>
      <w:r w:rsidR="00C6133B">
        <w:rPr>
          <w:lang w:val="nl-NL"/>
        </w:rPr>
        <w:t xml:space="preserve">. </w:t>
      </w:r>
      <w:r w:rsidRPr="00063504">
        <w:rPr>
          <w:lang w:val="nl-NL"/>
        </w:rPr>
        <w:t xml:space="preserve">PBL Den Haag </w:t>
      </w:r>
      <w:hyperlink w:history="1" r:id="rId31">
        <w:r w:rsidRPr="005919E9" w:rsidR="00F936C1">
          <w:rPr>
            <w:rStyle w:val="Hyperlink"/>
            <w:lang w:val="nl-NL"/>
          </w:rPr>
          <w:t>https://www.noordzeeloket.nl/publish/pages/152024/de_toekomst_van_de_noordzee.pdf</w:t>
        </w:r>
      </w:hyperlink>
    </w:p>
    <w:p w:rsidR="00F936C1" w:rsidP="00327842" w:rsidRDefault="00F936C1" w14:paraId="047D23D1" w14:textId="26B0D91A">
      <w:pPr>
        <w:rPr>
          <w:lang w:val="nl-NL"/>
        </w:rPr>
      </w:pPr>
      <w:r w:rsidRPr="00517D55">
        <w:rPr>
          <w:lang w:val="nl-NL"/>
        </w:rPr>
        <w:t xml:space="preserve">[6] kst-33561-42 </w:t>
      </w:r>
      <w:r w:rsidR="005F5515">
        <w:rPr>
          <w:lang w:val="nl-NL"/>
        </w:rPr>
        <w:t>–</w:t>
      </w:r>
      <w:r w:rsidRPr="00517D55">
        <w:rPr>
          <w:lang w:val="nl-NL"/>
        </w:rPr>
        <w:t xml:space="preserve"> Routekaart windenergie op zee 2030</w:t>
      </w:r>
    </w:p>
    <w:p w:rsidR="00F936C1" w:rsidP="00327842" w:rsidRDefault="00F936C1" w14:paraId="760E833C" w14:textId="77777777">
      <w:pPr>
        <w:rPr>
          <w:lang w:val="nl-NL"/>
        </w:rPr>
      </w:pPr>
      <w:r w:rsidRPr="00517D55">
        <w:rPr>
          <w:lang w:val="nl-NL"/>
        </w:rPr>
        <w:t>[7] kst-32813-646 – Noordzee energie outlook</w:t>
      </w:r>
    </w:p>
    <w:p w:rsidRPr="00850801" w:rsidR="00F44925" w:rsidP="00F44925" w:rsidRDefault="00F44925" w14:paraId="5103475C" w14:textId="77777777">
      <w:pPr>
        <w:rPr>
          <w:lang w:val="nl-NL"/>
        </w:rPr>
      </w:pPr>
      <w:r>
        <w:rPr>
          <w:lang w:val="nl-NL"/>
        </w:rPr>
        <w:t xml:space="preserve">[8] </w:t>
      </w:r>
      <w:r w:rsidRPr="00063504">
        <w:rPr>
          <w:lang w:val="nl-NL"/>
        </w:rPr>
        <w:t>PBL</w:t>
      </w:r>
      <w:r w:rsidR="00270725">
        <w:rPr>
          <w:lang w:val="nl-NL"/>
        </w:rPr>
        <w:t xml:space="preserve"> (</w:t>
      </w:r>
      <w:r w:rsidRPr="00063504">
        <w:rPr>
          <w:lang w:val="nl-NL"/>
        </w:rPr>
        <w:t>2019</w:t>
      </w:r>
      <w:r w:rsidR="00270725">
        <w:rPr>
          <w:lang w:val="nl-NL"/>
        </w:rPr>
        <w:t>)</w:t>
      </w:r>
      <w:r w:rsidRPr="00063504">
        <w:rPr>
          <w:lang w:val="nl-NL"/>
        </w:rPr>
        <w:t xml:space="preserve">. Achtergronden bij de Toekomst van de Noordzee; onderliggende gegevens en aannames. Matthijsen, J. et al., PBL, Den Haag. </w:t>
      </w:r>
      <w:hyperlink w:history="1" r:id="rId32">
        <w:r w:rsidRPr="00850801" w:rsidR="00872524">
          <w:rPr>
            <w:rStyle w:val="Hyperlink"/>
            <w:lang w:val="nl-NL"/>
          </w:rPr>
          <w:t>https://www.pbl.nl/sites/default/files/cms/publicaties/pbl-2019-achtergronden-bij-detoekomst-van-de-noordzee_3177.pdf</w:t>
        </w:r>
      </w:hyperlink>
    </w:p>
    <w:p w:rsidR="00063504" w:rsidP="00063504" w:rsidRDefault="00F44925" w14:paraId="4933CF50" w14:textId="77777777">
      <w:r w:rsidRPr="00095718">
        <w:t xml:space="preserve">[9] </w:t>
      </w:r>
      <w:r w:rsidRPr="00063504" w:rsidR="00063504">
        <w:t>Pachernegg, P.</w:t>
      </w:r>
      <w:r w:rsidR="00270725">
        <w:t>(</w:t>
      </w:r>
      <w:r w:rsidRPr="00063504" w:rsidR="00063504">
        <w:t>2020</w:t>
      </w:r>
      <w:r w:rsidR="00270725">
        <w:t>)</w:t>
      </w:r>
      <w:r w:rsidRPr="00063504" w:rsidR="00063504">
        <w:t xml:space="preserve">. Recreation and Tourism in the Northeast Atlantic Ocean Assessment of the economic size and the environmental impacts of tourism and recreational activities in the OSPAR area. </w:t>
      </w:r>
      <w:hyperlink w:history="1" r:id="rId33">
        <w:r w:rsidRPr="005919E9">
          <w:rPr>
            <w:rStyle w:val="Hyperlink"/>
          </w:rPr>
          <w:t>https://www.noordzeeloket.nl/publish/pages/182024/recreation_and_tourism_in_the_northeast_atlantic_region.pdf</w:t>
        </w:r>
      </w:hyperlink>
    </w:p>
    <w:p w:rsidR="00F44925" w:rsidP="00063504" w:rsidRDefault="00F44925" w14:paraId="6F18652A" w14:textId="77777777">
      <w:pPr>
        <w:rPr>
          <w:lang w:val="nl-NL"/>
        </w:rPr>
      </w:pPr>
      <w:r w:rsidRPr="00F44925">
        <w:rPr>
          <w:lang w:val="nl-NL"/>
        </w:rPr>
        <w:t xml:space="preserve">[10] PBL </w:t>
      </w:r>
      <w:r w:rsidR="00270725">
        <w:rPr>
          <w:lang w:val="nl-NL"/>
        </w:rPr>
        <w:t>(</w:t>
      </w:r>
      <w:r w:rsidRPr="00F44925">
        <w:rPr>
          <w:lang w:val="nl-NL"/>
        </w:rPr>
        <w:t>2010</w:t>
      </w:r>
      <w:r w:rsidR="00270725">
        <w:rPr>
          <w:lang w:val="nl-NL"/>
        </w:rPr>
        <w:t>)</w:t>
      </w:r>
      <w:r w:rsidRPr="00F44925">
        <w:rPr>
          <w:lang w:val="nl-NL"/>
        </w:rPr>
        <w:t>. Wat natuur de mens biedt: Ecosysteemdiensten in Nederland</w:t>
      </w:r>
      <w:r>
        <w:rPr>
          <w:lang w:val="nl-NL"/>
        </w:rPr>
        <w:t>. Oostenbrugge R</w:t>
      </w:r>
      <w:r w:rsidR="00872524">
        <w:rPr>
          <w:lang w:val="nl-NL"/>
        </w:rPr>
        <w:t>. van, et al.</w:t>
      </w:r>
      <w:r>
        <w:rPr>
          <w:lang w:val="nl-NL"/>
        </w:rPr>
        <w:t xml:space="preserve">, PBL Den Haag </w:t>
      </w:r>
      <w:r>
        <w:rPr>
          <w:lang w:val="nl-NL"/>
        </w:rPr>
        <w:br/>
      </w:r>
      <w:hyperlink w:history="1" r:id="rId34">
        <w:r w:rsidRPr="005919E9">
          <w:rPr>
            <w:rStyle w:val="Hyperlink"/>
            <w:lang w:val="nl-NL"/>
          </w:rPr>
          <w:t>https://www.pbl.nl/publicaties/Wat-natuur-de-mens-biedt_-Ecosysteemdiensten-verkend</w:t>
        </w:r>
      </w:hyperlink>
    </w:p>
    <w:p w:rsidRPr="00821C1E" w:rsidR="00821C1E" w:rsidP="00F44925" w:rsidRDefault="00F44925" w14:paraId="2D784108" w14:textId="77777777">
      <w:pPr>
        <w:rPr>
          <w:lang w:val="nl-NL"/>
        </w:rPr>
      </w:pPr>
      <w:r>
        <w:rPr>
          <w:lang w:val="nl-NL"/>
        </w:rPr>
        <w:t xml:space="preserve">[11] </w:t>
      </w:r>
      <w:r w:rsidRPr="00F44925">
        <w:rPr>
          <w:lang w:val="nl-NL"/>
        </w:rPr>
        <w:t xml:space="preserve">Ministerie van Infrastructuur en </w:t>
      </w:r>
      <w:r>
        <w:rPr>
          <w:lang w:val="nl-NL"/>
        </w:rPr>
        <w:t>Waterstaat</w:t>
      </w:r>
      <w:r w:rsidRPr="00F44925">
        <w:rPr>
          <w:lang w:val="nl-NL"/>
        </w:rPr>
        <w:t xml:space="preserve">, </w:t>
      </w:r>
      <w:r w:rsidRPr="00821C1E" w:rsidR="00821C1E">
        <w:rPr>
          <w:lang w:val="nl-NL"/>
        </w:rPr>
        <w:t>Mariene Strategie Deel 1 actualisatie 2018-2024</w:t>
      </w:r>
      <w:r w:rsidR="00821C1E">
        <w:rPr>
          <w:lang w:val="nl-NL"/>
        </w:rPr>
        <w:br/>
      </w:r>
      <w:hyperlink w:history="1" r:id="rId35">
        <w:r w:rsidRPr="00821C1E" w:rsidR="00821C1E">
          <w:rPr>
            <w:rStyle w:val="Hyperlink"/>
            <w:lang w:val="nl-NL"/>
          </w:rPr>
          <w:t>https://www.noordzeeloket.nl/@199580/mariene-strategie/</w:t>
        </w:r>
      </w:hyperlink>
    </w:p>
    <w:p w:rsidR="00821C1E" w:rsidP="00821C1E" w:rsidRDefault="00821C1E" w14:paraId="683D1ADA" w14:textId="77777777">
      <w:pPr>
        <w:rPr>
          <w:lang w:val="nl-NL"/>
        </w:rPr>
      </w:pPr>
      <w:r>
        <w:rPr>
          <w:lang w:val="nl-NL"/>
        </w:rPr>
        <w:t xml:space="preserve">[12] </w:t>
      </w:r>
      <w:r w:rsidRPr="00821C1E">
        <w:rPr>
          <w:lang w:val="nl-NL"/>
        </w:rPr>
        <w:t>Ministerie van Infrastructuur en Milieu, Mariene Strategie voor het Nederlandse deel van de Noordzee 2012-2020 (deel 3)</w:t>
      </w:r>
      <w:r>
        <w:rPr>
          <w:lang w:val="nl-NL"/>
        </w:rPr>
        <w:br/>
      </w:r>
      <w:hyperlink w:history="1" r:id="rId36">
        <w:r w:rsidRPr="005919E9">
          <w:rPr>
            <w:rStyle w:val="Hyperlink"/>
            <w:lang w:val="nl-NL"/>
          </w:rPr>
          <w:t>https://www.noordzeeloket.nl/beleid/europese/achtergrond/documenten-mariene/@168123/mariene-strategie-2/</w:t>
        </w:r>
      </w:hyperlink>
    </w:p>
    <w:p w:rsidR="00821C1E" w:rsidP="00821C1E" w:rsidRDefault="00821C1E" w14:paraId="36DAA2F7" w14:textId="77777777">
      <w:pPr>
        <w:rPr>
          <w:lang w:val="nl-NL"/>
        </w:rPr>
      </w:pPr>
      <w:r>
        <w:rPr>
          <w:lang w:val="nl-NL"/>
        </w:rPr>
        <w:t>[13] Ministerie van Landbouw Natuur en voedselkwaliteit</w:t>
      </w:r>
      <w:r w:rsidR="00817B68">
        <w:rPr>
          <w:lang w:val="nl-NL"/>
        </w:rPr>
        <w:t>.</w:t>
      </w:r>
      <w:r>
        <w:rPr>
          <w:lang w:val="nl-NL"/>
        </w:rPr>
        <w:t xml:space="preserve"> </w:t>
      </w:r>
      <w:r w:rsidRPr="00821C1E">
        <w:rPr>
          <w:lang w:val="nl-NL"/>
        </w:rPr>
        <w:t>Vogel- en Habitatrichtlijnrapportage 2019</w:t>
      </w:r>
      <w:r>
        <w:rPr>
          <w:lang w:val="nl-NL"/>
        </w:rPr>
        <w:br/>
      </w:r>
      <w:hyperlink w:history="1" r:id="rId37">
        <w:r w:rsidRPr="005919E9">
          <w:rPr>
            <w:rStyle w:val="Hyperlink"/>
            <w:lang w:val="nl-NL"/>
          </w:rPr>
          <w:t>https://www.natura2000.nl/sites/default/files/Nieuws/WOt-brochure%20Vogel-%20en%20Habitatrichtlijnrapportage%202019.PDF</w:t>
        </w:r>
      </w:hyperlink>
    </w:p>
    <w:p w:rsidR="00821C1E" w:rsidP="00821C1E" w:rsidRDefault="00C32FBA" w14:paraId="1595FED1" w14:textId="1D385354">
      <w:pPr>
        <w:rPr>
          <w:lang w:val="nl-NL"/>
        </w:rPr>
      </w:pPr>
      <w:r>
        <w:rPr>
          <w:lang w:val="nl-NL"/>
        </w:rPr>
        <w:t>[14] Ministerie van Landbouw Natuur en voedselkwaliteit</w:t>
      </w:r>
      <w:r w:rsidR="00817B68">
        <w:rPr>
          <w:lang w:val="nl-NL"/>
        </w:rPr>
        <w:t>.</w:t>
      </w:r>
      <w:r>
        <w:rPr>
          <w:lang w:val="nl-NL"/>
        </w:rPr>
        <w:t xml:space="preserve"> N</w:t>
      </w:r>
      <w:r w:rsidRPr="00C32FBA">
        <w:rPr>
          <w:lang w:val="nl-NL"/>
        </w:rPr>
        <w:t>ationale Rode Lijst Zoogdieren 2020</w:t>
      </w:r>
      <w:r w:rsidRPr="00C32FBA">
        <w:rPr>
          <w:szCs w:val="18"/>
          <w:lang w:val="nl-NL"/>
        </w:rPr>
        <w:t xml:space="preserve"> </w:t>
      </w:r>
      <w:r>
        <w:rPr>
          <w:szCs w:val="18"/>
          <w:lang w:val="nl-NL"/>
        </w:rPr>
        <w:br/>
      </w:r>
      <w:hyperlink w:history="1" r:id="rId38">
        <w:r w:rsidRPr="00373C88" w:rsidR="00775D1F">
          <w:rPr>
            <w:rStyle w:val="Hyperlink"/>
            <w:lang w:val="nl-NL"/>
          </w:rPr>
          <w:t>https://zoek.officielebekendmakingen.nl/stcrt-2020-56788.html</w:t>
        </w:r>
      </w:hyperlink>
    </w:p>
    <w:p w:rsidR="00C32FBA" w:rsidP="00821C1E" w:rsidRDefault="00C32FBA" w14:paraId="607D0DF7" w14:textId="77777777">
      <w:pPr>
        <w:rPr>
          <w:lang w:val="nl-NL"/>
        </w:rPr>
      </w:pPr>
      <w:r>
        <w:rPr>
          <w:lang w:val="nl-NL"/>
        </w:rPr>
        <w:t>[15] Ministerie van Landbouw Natuur en voedselkwaliteit</w:t>
      </w:r>
      <w:r w:rsidR="00817B68">
        <w:rPr>
          <w:lang w:val="nl-NL"/>
        </w:rPr>
        <w:t>.</w:t>
      </w:r>
      <w:r>
        <w:rPr>
          <w:lang w:val="nl-NL"/>
        </w:rPr>
        <w:t xml:space="preserve"> Rode lijst Vissen 2015 </w:t>
      </w:r>
      <w:r>
        <w:rPr>
          <w:lang w:val="nl-NL"/>
        </w:rPr>
        <w:br/>
      </w:r>
      <w:hyperlink w:history="1" w:anchor="d16e191" r:id="rId39">
        <w:r w:rsidRPr="005919E9">
          <w:rPr>
            <w:rStyle w:val="Hyperlink"/>
            <w:lang w:val="nl-NL"/>
          </w:rPr>
          <w:t>https://zoek.officielebekendmakingen.nl/stcrt-2015-36471.html#d16e191</w:t>
        </w:r>
      </w:hyperlink>
    </w:p>
    <w:p w:rsidR="00C32FBA" w:rsidP="00821C1E" w:rsidRDefault="00C32FBA" w14:paraId="76C34BDB" w14:textId="03FB12C6">
      <w:pPr>
        <w:rPr>
          <w:lang w:val="nl-NL"/>
        </w:rPr>
      </w:pPr>
      <w:r w:rsidRPr="00095718">
        <w:rPr>
          <w:lang w:val="nl-NL"/>
        </w:rPr>
        <w:t xml:space="preserve">[16] Overlegorgaan </w:t>
      </w:r>
      <w:r w:rsidRPr="00095718" w:rsidR="00817B68">
        <w:rPr>
          <w:lang w:val="nl-NL"/>
        </w:rPr>
        <w:t>F</w:t>
      </w:r>
      <w:r w:rsidRPr="00095718">
        <w:rPr>
          <w:lang w:val="nl-NL"/>
        </w:rPr>
        <w:t xml:space="preserve">ysieke </w:t>
      </w:r>
      <w:r w:rsidRPr="00095718" w:rsidR="00817B68">
        <w:rPr>
          <w:lang w:val="nl-NL"/>
        </w:rPr>
        <w:t>L</w:t>
      </w:r>
      <w:r w:rsidRPr="00095718">
        <w:rPr>
          <w:lang w:val="nl-NL"/>
        </w:rPr>
        <w:t>eefomgeving</w:t>
      </w:r>
      <w:r w:rsidRPr="00095718" w:rsidR="00817B68">
        <w:rPr>
          <w:lang w:val="nl-NL"/>
        </w:rPr>
        <w:t>.</w:t>
      </w:r>
      <w:r w:rsidRPr="00095718">
        <w:rPr>
          <w:lang w:val="nl-NL"/>
        </w:rPr>
        <w:t xml:space="preserve"> </w:t>
      </w:r>
      <w:r w:rsidRPr="00817B68">
        <w:rPr>
          <w:lang w:val="nl-NL"/>
        </w:rPr>
        <w:t>Het akkoord voor de N</w:t>
      </w:r>
      <w:r w:rsidR="00817B68">
        <w:rPr>
          <w:lang w:val="nl-NL"/>
        </w:rPr>
        <w:t>oordzee (2020)</w:t>
      </w:r>
      <w:r w:rsidR="00817B68">
        <w:rPr>
          <w:lang w:val="nl-NL"/>
        </w:rPr>
        <w:br/>
      </w:r>
      <w:r w:rsidRPr="00AD3592" w:rsidR="00AD3592">
        <w:rPr>
          <w:lang w:val="nl-NL"/>
        </w:rPr>
        <w:t>https://www.rijksoverheid.nl/documenten/rapporten/2020/06/19/bijlage-ofl-rapport-het-akkoord-voor-de-noordzee</w:t>
      </w:r>
      <w:r w:rsidR="00AD3592">
        <w:rPr>
          <w:lang w:val="nl-NL"/>
        </w:rPr>
        <w:t xml:space="preserve"> </w:t>
      </w:r>
    </w:p>
    <w:p w:rsidR="00817B68" w:rsidP="00821C1E" w:rsidRDefault="00817B68" w14:paraId="3BBC048F" w14:textId="77777777">
      <w:pPr>
        <w:rPr>
          <w:lang w:val="nl-NL"/>
        </w:rPr>
      </w:pPr>
      <w:r>
        <w:rPr>
          <w:lang w:val="nl-NL"/>
        </w:rPr>
        <w:t>[17] Ministerie van Landbouw Natuur en voedselkwaliteit. G</w:t>
      </w:r>
      <w:r w:rsidRPr="00817B68">
        <w:rPr>
          <w:lang w:val="nl-NL"/>
        </w:rPr>
        <w:t>eactualiseerde Bruinvisbeschermingsplan</w:t>
      </w:r>
      <w:r>
        <w:rPr>
          <w:lang w:val="nl-NL"/>
        </w:rPr>
        <w:t xml:space="preserve"> (2020)</w:t>
      </w:r>
      <w:r>
        <w:rPr>
          <w:lang w:val="nl-NL"/>
        </w:rPr>
        <w:br/>
      </w:r>
      <w:hyperlink w:history="1" r:id="rId40">
        <w:r w:rsidRPr="005919E9">
          <w:rPr>
            <w:rStyle w:val="Hyperlink"/>
            <w:lang w:val="nl-NL"/>
          </w:rPr>
          <w:t>https://zoek.officielebekendmakingen.nl/kst-956451</w:t>
        </w:r>
      </w:hyperlink>
      <w:r>
        <w:rPr>
          <w:lang w:val="nl-NL"/>
        </w:rPr>
        <w:t xml:space="preserve"> en </w:t>
      </w:r>
      <w:hyperlink w:history="1" r:id="rId41">
        <w:r w:rsidRPr="005919E9">
          <w:rPr>
            <w:rStyle w:val="Hyperlink"/>
            <w:lang w:val="nl-NL"/>
          </w:rPr>
          <w:t>https://zoek.officielebekendmakingen.nl/blg-956452</w:t>
        </w:r>
      </w:hyperlink>
    </w:p>
    <w:p w:rsidRPr="00095718" w:rsidR="00817B68" w:rsidRDefault="00817B68" w14:paraId="42F420C5" w14:textId="77777777">
      <w:pPr>
        <w:rPr>
          <w:rStyle w:val="Hyperlink"/>
          <w:lang w:val="nl-NL"/>
        </w:rPr>
      </w:pPr>
      <w:r>
        <w:rPr>
          <w:lang w:val="nl-NL"/>
        </w:rPr>
        <w:t xml:space="preserve">[18] Europees Parlement. </w:t>
      </w:r>
      <w:r w:rsidRPr="00817B68">
        <w:rPr>
          <w:lang w:val="nl-NL"/>
        </w:rPr>
        <w:t>VERORDENING (EU) Nr. 1143/2014 VAN HET EUROPEES PARLEMENT EN DE RAAD</w:t>
      </w:r>
      <w:r>
        <w:rPr>
          <w:lang w:val="nl-NL"/>
        </w:rPr>
        <w:t xml:space="preserve"> </w:t>
      </w:r>
      <w:r w:rsidRPr="00817B68">
        <w:rPr>
          <w:lang w:val="nl-NL"/>
        </w:rPr>
        <w:t>van 22 oktober 2014</w:t>
      </w:r>
      <w:r>
        <w:rPr>
          <w:lang w:val="nl-NL"/>
        </w:rPr>
        <w:t xml:space="preserve"> </w:t>
      </w:r>
      <w:r w:rsidRPr="00817B68">
        <w:rPr>
          <w:lang w:val="nl-NL"/>
        </w:rPr>
        <w:t>betreffende de preventie en beheersing van de introductie en verspreiding van invasieve uitheemse</w:t>
      </w:r>
      <w:r>
        <w:rPr>
          <w:lang w:val="nl-NL"/>
        </w:rPr>
        <w:t xml:space="preserve"> </w:t>
      </w:r>
      <w:r w:rsidRPr="00817B68">
        <w:rPr>
          <w:lang w:val="nl-NL"/>
        </w:rPr>
        <w:t>soorten</w:t>
      </w:r>
      <w:r>
        <w:rPr>
          <w:lang w:val="nl-NL"/>
        </w:rPr>
        <w:br/>
      </w:r>
      <w:hyperlink w:history="1" r:id="rId42">
        <w:r w:rsidRPr="00817B68">
          <w:rPr>
            <w:rStyle w:val="Hyperlink"/>
            <w:lang w:val="nl-NL"/>
          </w:rPr>
          <w:t>https://eur-lex.europa.eu/legal-content/NL/TXT/PDF/?uri=CELEX:32014R1143&amp;from=EN</w:t>
        </w:r>
      </w:hyperlink>
    </w:p>
    <w:p w:rsidRPr="00270725" w:rsidR="00817B68" w:rsidRDefault="00270725" w14:paraId="0CACD3E7" w14:textId="44C5C218">
      <w:pPr>
        <w:rPr>
          <w:lang w:val="nl-NL"/>
        </w:rPr>
      </w:pPr>
      <w:r w:rsidRPr="00270725">
        <w:rPr>
          <w:lang w:val="nl-NL"/>
        </w:rPr>
        <w:t>[19] M</w:t>
      </w:r>
      <w:r>
        <w:rPr>
          <w:lang w:val="nl-NL"/>
        </w:rPr>
        <w:t xml:space="preserve">inisterie </w:t>
      </w:r>
      <w:r w:rsidRPr="00270725">
        <w:rPr>
          <w:lang w:val="nl-NL"/>
        </w:rPr>
        <w:t>Economische Zaken, Landbouw en Innovatie</w:t>
      </w:r>
      <w:r>
        <w:rPr>
          <w:lang w:val="nl-NL"/>
        </w:rPr>
        <w:t xml:space="preserve">. </w:t>
      </w:r>
      <w:r w:rsidRPr="00270725" w:rsidR="005F5515">
        <w:rPr>
          <w:lang w:val="nl-NL"/>
        </w:rPr>
        <w:t>B</w:t>
      </w:r>
      <w:r w:rsidRPr="00270725">
        <w:rPr>
          <w:lang w:val="nl-NL"/>
        </w:rPr>
        <w:t>eleidsregels inzake schelpdierverplaatsingen</w:t>
      </w:r>
      <w:r>
        <w:rPr>
          <w:lang w:val="nl-NL"/>
        </w:rPr>
        <w:t xml:space="preserve"> (2017)</w:t>
      </w:r>
      <w:r>
        <w:rPr>
          <w:lang w:val="nl-NL"/>
        </w:rPr>
        <w:br/>
      </w:r>
      <w:hyperlink w:history="1" r:id="rId43">
        <w:r w:rsidRPr="00270725">
          <w:rPr>
            <w:rStyle w:val="Hyperlink"/>
            <w:lang w:val="nl-NL"/>
          </w:rPr>
          <w:t>https://wetten.overheid.nl/BWBR0031671/2012-06-20</w:t>
        </w:r>
      </w:hyperlink>
      <w:r w:rsidRPr="00270725">
        <w:rPr>
          <w:lang w:val="nl-NL"/>
        </w:rPr>
        <w:t xml:space="preserve"> of </w:t>
      </w:r>
      <w:hyperlink w:history="1" r:id="rId44">
        <w:r w:rsidRPr="00270725">
          <w:rPr>
            <w:rStyle w:val="Hyperlink"/>
            <w:lang w:val="nl-NL"/>
          </w:rPr>
          <w:t>https://zoek.officielebekendmakingen.nl/stcrt-2017-48032.html</w:t>
        </w:r>
      </w:hyperlink>
    </w:p>
    <w:p w:rsidR="00270725" w:rsidP="00270725" w:rsidRDefault="00270725" w14:paraId="4BF3DA27" w14:textId="6FBC4FD0">
      <w:pPr>
        <w:rPr>
          <w:lang w:val="nl-NL"/>
        </w:rPr>
      </w:pPr>
      <w:r>
        <w:rPr>
          <w:lang w:val="nl-NL"/>
        </w:rPr>
        <w:t xml:space="preserve">[20] </w:t>
      </w:r>
      <w:r w:rsidRPr="00270725">
        <w:rPr>
          <w:lang w:val="nl-NL"/>
        </w:rPr>
        <w:t>Ministerie van Infrastructuur en Milieu, Mariene Strategie voor het Nederlandse deel van de Noordzee</w:t>
      </w:r>
      <w:r>
        <w:rPr>
          <w:lang w:val="nl-NL"/>
        </w:rPr>
        <w:t xml:space="preserve"> </w:t>
      </w:r>
      <w:r w:rsidRPr="00270725">
        <w:rPr>
          <w:lang w:val="nl-NL"/>
        </w:rPr>
        <w:t xml:space="preserve">2012-2020, Deel 1 (2012) </w:t>
      </w:r>
      <w:hyperlink w:history="1" r:id="rId45">
        <w:r w:rsidRPr="00775D1F" w:rsidR="00AD3592">
          <w:rPr>
            <w:rStyle w:val="Hyperlink"/>
            <w:lang w:val="nl-NL"/>
          </w:rPr>
          <w:t xml:space="preserve"> https://www.noordzeeloket.nl/publish/pages/122603/mariene_strategie_voor_het_nederlandse_deel_van_de_noordzee_2012-2020_deel_i_682.pdf</w:t>
        </w:r>
        <w:r w:rsidRPr="00AD3592" w:rsidR="00AD3592">
          <w:rPr>
            <w:rStyle w:val="Hyperlink"/>
            <w:lang w:val="nl-NL"/>
          </w:rPr>
          <w:t xml:space="preserve"> </w:t>
        </w:r>
        <w:r w:rsidRPr="00AD3592" w:rsidDel="00AD3592" w:rsidR="00AD3592">
          <w:rPr>
            <w:rStyle w:val="Hyperlink"/>
            <w:highlight w:val="yellow"/>
            <w:lang w:val="nl-NL"/>
          </w:rPr>
          <w:t xml:space="preserve"> </w:t>
        </w:r>
      </w:hyperlink>
    </w:p>
    <w:p w:rsidRPr="00872524" w:rsidR="00872524" w:rsidP="00270725" w:rsidRDefault="00270725" w14:paraId="7518FE02" w14:textId="264ED686">
      <w:pPr>
        <w:pStyle w:val="FootnoteText"/>
        <w:rPr>
          <w:sz w:val="18"/>
          <w:szCs w:val="18"/>
          <w:lang w:val="en-US"/>
        </w:rPr>
      </w:pPr>
      <w:r w:rsidRPr="00872524">
        <w:rPr>
          <w:sz w:val="18"/>
          <w:szCs w:val="18"/>
          <w:lang w:val="en-US"/>
        </w:rPr>
        <w:t xml:space="preserve">[21] Rijkswaterstaat Zee en Delta, (2016). OSPAR RAP action 41 Inventory of </w:t>
      </w:r>
      <w:r w:rsidR="005F5515">
        <w:rPr>
          <w:sz w:val="18"/>
          <w:szCs w:val="18"/>
          <w:lang w:val="en-US"/>
        </w:rPr>
        <w:pgNum/>
      </w:r>
      <w:r w:rsidR="005F5515">
        <w:rPr>
          <w:sz w:val="18"/>
          <w:szCs w:val="18"/>
          <w:lang w:val="en-US"/>
        </w:rPr>
        <w:t>nowledge</w:t>
      </w:r>
      <w:r w:rsidRPr="00872524">
        <w:rPr>
          <w:sz w:val="18"/>
          <w:szCs w:val="18"/>
          <w:lang w:val="en-US"/>
        </w:rPr>
        <w:t xml:space="preserve"> and actions concerning riverine litter relevant for the OSPAR area</w:t>
      </w:r>
    </w:p>
    <w:p w:rsidRPr="00095718" w:rsidR="00270725" w:rsidP="00270725" w:rsidRDefault="007A1CC4" w14:paraId="71012232" w14:textId="77777777">
      <w:pPr>
        <w:pStyle w:val="FootnoteText"/>
        <w:rPr>
          <w:sz w:val="18"/>
          <w:szCs w:val="18"/>
          <w:lang w:val="en-US"/>
        </w:rPr>
      </w:pPr>
      <w:hyperlink w:history="1" r:id="rId46">
        <w:r w:rsidRPr="00872524" w:rsidR="00270725">
          <w:rPr>
            <w:rStyle w:val="Hyperlink"/>
            <w:sz w:val="18"/>
            <w:szCs w:val="18"/>
            <w:lang w:val="en-US"/>
          </w:rPr>
          <w:t>https://www.noordzeeloket.nl/functies-gebruik/zwerfvuil-noordzee/@171543/ospar-rap-action-41-0/</w:t>
        </w:r>
      </w:hyperlink>
    </w:p>
    <w:p w:rsidR="00872524" w:rsidP="00270725" w:rsidRDefault="00872524" w14:paraId="3FCF4B31" w14:textId="77777777">
      <w:pPr>
        <w:pStyle w:val="FootnoteText"/>
        <w:rPr>
          <w:sz w:val="18"/>
          <w:szCs w:val="18"/>
          <w:lang w:val="en-US"/>
        </w:rPr>
      </w:pPr>
    </w:p>
    <w:p w:rsidRPr="00872524" w:rsidR="00872524" w:rsidP="00872524" w:rsidRDefault="00872524" w14:paraId="1F0F0E02" w14:textId="77777777">
      <w:pPr>
        <w:pStyle w:val="FootnoteText"/>
        <w:rPr>
          <w:sz w:val="18"/>
          <w:szCs w:val="18"/>
          <w:lang w:val="en-US"/>
        </w:rPr>
      </w:pPr>
      <w:r w:rsidRPr="00872524">
        <w:rPr>
          <w:sz w:val="18"/>
          <w:szCs w:val="18"/>
          <w:lang w:val="en-US"/>
        </w:rPr>
        <w:t>[22] OSPAR</w:t>
      </w:r>
      <w:r>
        <w:rPr>
          <w:sz w:val="18"/>
          <w:szCs w:val="18"/>
          <w:lang w:val="en-US"/>
        </w:rPr>
        <w:t>,</w:t>
      </w:r>
      <w:r w:rsidRPr="00872524">
        <w:rPr>
          <w:sz w:val="18"/>
          <w:szCs w:val="18"/>
          <w:lang w:val="en-US"/>
        </w:rPr>
        <w:t xml:space="preserve"> (2016)</w:t>
      </w:r>
      <w:r>
        <w:rPr>
          <w:sz w:val="18"/>
          <w:szCs w:val="18"/>
          <w:lang w:val="en-US"/>
        </w:rPr>
        <w:t>.</w:t>
      </w:r>
      <w:r w:rsidRPr="00872524">
        <w:rPr>
          <w:sz w:val="18"/>
          <w:szCs w:val="18"/>
          <w:lang w:val="en-US"/>
        </w:rPr>
        <w:t xml:space="preserve"> Background document on Improving the implementation of ISO standard 21070:2013 in relation to port reception facilities</w:t>
      </w:r>
    </w:p>
    <w:p w:rsidRPr="00872524" w:rsidR="00270725" w:rsidP="00270725" w:rsidRDefault="007A1CC4" w14:paraId="04F71667" w14:textId="77777777">
      <w:pPr>
        <w:rPr>
          <w:szCs w:val="18"/>
        </w:rPr>
      </w:pPr>
      <w:hyperlink w:history="1" r:id="rId47">
        <w:r w:rsidRPr="00872524" w:rsidR="00872524">
          <w:rPr>
            <w:rStyle w:val="Hyperlink"/>
            <w:szCs w:val="18"/>
          </w:rPr>
          <w:t>https://www.ospar.org/documents?v=35420</w:t>
        </w:r>
      </w:hyperlink>
    </w:p>
    <w:p w:rsidRPr="00872524" w:rsidR="00872524" w:rsidP="00872524" w:rsidRDefault="00872524" w14:paraId="6E1BA31C" w14:textId="77777777">
      <w:pPr>
        <w:tabs>
          <w:tab w:val="right" w:pos="9027"/>
        </w:tabs>
        <w:rPr>
          <w:szCs w:val="16"/>
        </w:rPr>
      </w:pPr>
      <w:r>
        <w:t>[23] OSPAR, (2020). OSPAR scoping study on best practices for the design and recycling of fishing gear as a means to reduce quantities of fishing gear found as marine litter in the North-East Atlantic</w:t>
      </w:r>
      <w:r>
        <w:br/>
      </w:r>
      <w:hyperlink w:history="1" r:id="rId48">
        <w:r w:rsidRPr="00872524">
          <w:rPr>
            <w:rStyle w:val="Hyperlink"/>
            <w:szCs w:val="16"/>
          </w:rPr>
          <w:t>https://www.ospar.org/documents?v=42718</w:t>
        </w:r>
      </w:hyperlink>
    </w:p>
    <w:p w:rsidR="00872524" w:rsidP="00872524" w:rsidRDefault="00872524" w14:paraId="4128517B" w14:textId="77777777">
      <w:pPr>
        <w:tabs>
          <w:tab w:val="right" w:pos="9027"/>
        </w:tabs>
      </w:pPr>
      <w:r>
        <w:t>[24] OSPAR, (2019). OSPAR Guidelines on the reduction of marine litter through Sustainability Education Programmes for fishers (OSPAR Agreement 2019</w:t>
      </w:r>
      <w:r>
        <w:rPr>
          <w:rFonts w:ascii="Cambria Math" w:hAnsi="Cambria Math" w:cs="Cambria Math"/>
        </w:rPr>
        <w:t>‐</w:t>
      </w:r>
      <w:r>
        <w:t>08)</w:t>
      </w:r>
      <w:r>
        <w:br/>
      </w:r>
      <w:hyperlink w:history="1" r:id="rId49">
        <w:r w:rsidRPr="005919E9">
          <w:rPr>
            <w:rStyle w:val="Hyperlink"/>
          </w:rPr>
          <w:t>https://www.ospar.org/documents?v=40957</w:t>
        </w:r>
      </w:hyperlink>
    </w:p>
    <w:p w:rsidR="00872524" w:rsidP="00872524" w:rsidRDefault="00872524" w14:paraId="5C69AEAF" w14:textId="77777777">
      <w:pPr>
        <w:tabs>
          <w:tab w:val="right" w:pos="9027"/>
        </w:tabs>
      </w:pPr>
      <w:r>
        <w:t>[25] OSPAR, (2015). Assessment document of land-based inputs of microplastics in the marine environment</w:t>
      </w:r>
      <w:r>
        <w:br/>
      </w:r>
      <w:hyperlink w:history="1" r:id="rId50">
        <w:r w:rsidRPr="005919E9">
          <w:rPr>
            <w:rStyle w:val="Hyperlink"/>
          </w:rPr>
          <w:t>https://www.ospar.org/documents?v=38018</w:t>
        </w:r>
      </w:hyperlink>
    </w:p>
    <w:p w:rsidRPr="00C6133B" w:rsidR="00C6133B" w:rsidP="00C6133B" w:rsidRDefault="00C6133B" w14:paraId="4DE49A73" w14:textId="77777777">
      <w:pPr>
        <w:tabs>
          <w:tab w:val="right" w:pos="9027"/>
        </w:tabs>
        <w:rPr>
          <w:lang w:val="nl-NL"/>
        </w:rPr>
      </w:pPr>
      <w:r>
        <w:t xml:space="preserve">[26] </w:t>
      </w:r>
      <w:r w:rsidRPr="00C6133B">
        <w:t>Joint Research Centre (JRC)</w:t>
      </w:r>
      <w:r>
        <w:t>, (2018). Hanke G., Walvoort D., van Loon W., Addamo A.M., Brosich A., del Mar Chaves Montero M., Molina Jack M.E., Vinci M., Giorgetti A., EU Marine Beach Litter Baselines.</w:t>
      </w:r>
      <w:r>
        <w:br/>
      </w:r>
      <w:hyperlink w:history="1" r:id="rId51">
        <w:r w:rsidRPr="00C6133B">
          <w:rPr>
            <w:rStyle w:val="Hyperlink"/>
            <w:lang w:val="nl-NL"/>
          </w:rPr>
          <w:t>https://www.emodnet-chemistry.eu/repository/EU_MLbaselines_Paper.pdf</w:t>
        </w:r>
      </w:hyperlink>
    </w:p>
    <w:p w:rsidRPr="009630AF" w:rsidR="00C6133B" w:rsidP="00C6133B" w:rsidRDefault="00C6133B" w14:paraId="45B0E3AC" w14:textId="77777777">
      <w:pPr>
        <w:tabs>
          <w:tab w:val="right" w:pos="9027"/>
        </w:tabs>
        <w:rPr>
          <w:lang w:val="fr-FR"/>
        </w:rPr>
      </w:pPr>
      <w:r>
        <w:rPr>
          <w:lang w:val="nl-NL"/>
        </w:rPr>
        <w:t xml:space="preserve">[27] </w:t>
      </w:r>
      <w:r w:rsidRPr="00C6133B">
        <w:rPr>
          <w:lang w:val="nl-NL"/>
        </w:rPr>
        <w:t xml:space="preserve">Schulz, M., van Loon, W., Fleet, D. M., Baggelaar, P., &amp; van der Meulen, E. (2017). </w:t>
      </w:r>
      <w:r>
        <w:t xml:space="preserve">OSPAR standard method and software for statistical analysis of beach litter data. </w:t>
      </w:r>
      <w:r w:rsidRPr="00095718">
        <w:rPr>
          <w:lang w:val="fr-FR"/>
        </w:rPr>
        <w:t>Marine pollution bulletin, 122(1-2), 166-175.</w:t>
      </w:r>
      <w:r w:rsidRPr="00095718">
        <w:rPr>
          <w:lang w:val="fr-FR"/>
        </w:rPr>
        <w:br/>
      </w:r>
      <w:hyperlink w:history="1" r:id="rId52">
        <w:r w:rsidRPr="009630AF">
          <w:rPr>
            <w:rStyle w:val="Hyperlink"/>
            <w:lang w:val="fr-FR"/>
          </w:rPr>
          <w:t>https://www.researchgate.net/publication/317788710_OSPAR_standard_method_and_software_for_statistical_analysis_of_beach_litter_data</w:t>
        </w:r>
      </w:hyperlink>
    </w:p>
    <w:p w:rsidR="00C6133B" w:rsidP="00C6133B" w:rsidRDefault="007E05D0" w14:paraId="7D047BFB" w14:textId="5A07B024">
      <w:pPr>
        <w:tabs>
          <w:tab w:val="right" w:pos="9027"/>
        </w:tabs>
        <w:rPr>
          <w:rStyle w:val="Hyperlink"/>
          <w:szCs w:val="18"/>
          <w:lang w:val="nl-NL"/>
        </w:rPr>
      </w:pPr>
      <w:r w:rsidRPr="007E05D0">
        <w:rPr>
          <w:szCs w:val="18"/>
          <w:lang w:val="nl-NL"/>
        </w:rPr>
        <w:t xml:space="preserve">[28] Heinis, </w:t>
      </w:r>
      <w:r>
        <w:rPr>
          <w:szCs w:val="18"/>
          <w:lang w:val="nl-NL"/>
        </w:rPr>
        <w:t xml:space="preserve">F., </w:t>
      </w:r>
      <w:r w:rsidRPr="007E05D0">
        <w:rPr>
          <w:szCs w:val="18"/>
          <w:lang w:val="nl-NL"/>
        </w:rPr>
        <w:t>de Jong, C.A.F.</w:t>
      </w:r>
      <w:r>
        <w:rPr>
          <w:szCs w:val="18"/>
          <w:lang w:val="nl-NL"/>
        </w:rPr>
        <w:t xml:space="preserve">, </w:t>
      </w:r>
      <w:r w:rsidRPr="007E05D0">
        <w:rPr>
          <w:szCs w:val="18"/>
          <w:lang w:val="nl-NL"/>
        </w:rPr>
        <w:t>Benda-Beckmann</w:t>
      </w:r>
      <w:r>
        <w:rPr>
          <w:szCs w:val="18"/>
          <w:lang w:val="nl-NL"/>
        </w:rPr>
        <w:t xml:space="preserve">, S von, </w:t>
      </w:r>
      <w:r w:rsidRPr="007E05D0">
        <w:rPr>
          <w:szCs w:val="18"/>
          <w:lang w:val="nl-NL"/>
        </w:rPr>
        <w:t>Binnerts</w:t>
      </w:r>
      <w:r>
        <w:rPr>
          <w:szCs w:val="18"/>
          <w:lang w:val="nl-NL"/>
        </w:rPr>
        <w:t>, B</w:t>
      </w:r>
      <w:r w:rsidRPr="007E05D0">
        <w:rPr>
          <w:szCs w:val="18"/>
          <w:lang w:val="nl-NL"/>
        </w:rPr>
        <w:t xml:space="preserve">, </w:t>
      </w:r>
      <w:r>
        <w:rPr>
          <w:szCs w:val="18"/>
          <w:lang w:val="nl-NL"/>
        </w:rPr>
        <w:t>(</w:t>
      </w:r>
      <w:r w:rsidRPr="007E05D0">
        <w:rPr>
          <w:szCs w:val="18"/>
          <w:lang w:val="nl-NL"/>
        </w:rPr>
        <w:t>2019</w:t>
      </w:r>
      <w:r>
        <w:rPr>
          <w:szCs w:val="18"/>
          <w:lang w:val="nl-NL"/>
        </w:rPr>
        <w:t>)</w:t>
      </w:r>
      <w:r w:rsidRPr="007E05D0">
        <w:rPr>
          <w:szCs w:val="18"/>
          <w:lang w:val="nl-NL"/>
        </w:rPr>
        <w:t>, Kader Ecologie en Cumulatie – 2018, Cumulatieve effecten van aanleg van windparken op zee op bruinvissen. Update of KEC, Januari 2019</w:t>
      </w:r>
      <w:r>
        <w:rPr>
          <w:szCs w:val="18"/>
          <w:lang w:val="nl-NL"/>
        </w:rPr>
        <w:br/>
      </w:r>
      <w:hyperlink w:history="1" r:id="rId53">
        <w:r w:rsidRPr="00775D1F" w:rsidR="00AD3592">
          <w:rPr>
            <w:rStyle w:val="Hyperlink"/>
            <w:lang w:val="nl-NL"/>
          </w:rPr>
          <w:t>https://www.noordzeeloket.nl/publish/pages/157579/kec_update_2018_effecten_impulsief_geluid_op_bruinvissen_20190124def.pdf</w:t>
        </w:r>
      </w:hyperlink>
      <w:r w:rsidRPr="00775D1F" w:rsidR="00AD3592">
        <w:rPr>
          <w:lang w:val="nl-NL"/>
        </w:rPr>
        <w:t xml:space="preserve"> </w:t>
      </w:r>
    </w:p>
    <w:p w:rsidRPr="000B2FE2" w:rsidR="000B2FE2" w:rsidP="000B2FE2" w:rsidRDefault="000B2FE2" w14:paraId="0B63DC63" w14:textId="77777777">
      <w:pPr>
        <w:rPr>
          <w:rStyle w:val="Hyperlink"/>
          <w:szCs w:val="18"/>
          <w:lang w:val="nl-NL"/>
        </w:rPr>
      </w:pPr>
      <w:r w:rsidRPr="000B2FE2">
        <w:rPr>
          <w:rStyle w:val="Hyperlink"/>
          <w:color w:val="auto"/>
          <w:szCs w:val="18"/>
          <w:u w:val="none"/>
          <w:lang w:val="nl-NL"/>
        </w:rPr>
        <w:t>[29] Ministerie van Landbo</w:t>
      </w:r>
      <w:r>
        <w:rPr>
          <w:rStyle w:val="Hyperlink"/>
          <w:color w:val="auto"/>
          <w:szCs w:val="18"/>
          <w:u w:val="none"/>
          <w:lang w:val="nl-NL"/>
        </w:rPr>
        <w:t>uw Natuur en voedselkwaliteit. Zeehondenakkoord</w:t>
      </w:r>
      <w:r w:rsidRPr="000B2FE2">
        <w:rPr>
          <w:rStyle w:val="Hyperlink"/>
          <w:color w:val="auto"/>
          <w:szCs w:val="18"/>
          <w:u w:val="none"/>
          <w:lang w:val="nl-NL"/>
        </w:rPr>
        <w:t xml:space="preserve"> (2020)</w:t>
      </w:r>
      <w:r>
        <w:rPr>
          <w:rStyle w:val="Hyperlink"/>
          <w:color w:val="auto"/>
          <w:szCs w:val="18"/>
          <w:u w:val="none"/>
          <w:lang w:val="nl-NL"/>
        </w:rPr>
        <w:br/>
      </w:r>
      <w:hyperlink w:history="1" r:id="rId54">
        <w:r w:rsidRPr="000B2FE2">
          <w:rPr>
            <w:rStyle w:val="Hyperlink"/>
            <w:szCs w:val="18"/>
            <w:lang w:val="nl-NL"/>
          </w:rPr>
          <w:t>https://www.rijksoverheid.nl/documenten/convenanten/2020/06/03/zeehondenakkoord</w:t>
        </w:r>
      </w:hyperlink>
    </w:p>
    <w:p w:rsidRPr="000B2FE2" w:rsidR="000B2FE2" w:rsidP="000B2FE2" w:rsidRDefault="00ED0FEA" w14:paraId="6CEF5DCA" w14:textId="77777777">
      <w:pPr>
        <w:rPr>
          <w:lang w:val="nl-NL"/>
        </w:rPr>
      </w:pPr>
      <w:r w:rsidRPr="00A0674E">
        <w:t xml:space="preserve">[30] OSPAR, Susanne Kuhn, Jan van Franeker, (2020), Draft Intermediate Assessment 2021 (IA3): Plastic particles in fulmar stomachs in the North Sea. </w:t>
      </w:r>
      <w:r w:rsidRPr="00ED0FEA">
        <w:rPr>
          <w:lang w:val="nl-NL"/>
        </w:rPr>
        <w:t>Draft report, WMR. (nog niet gepubliceerd op internet).</w:t>
      </w:r>
    </w:p>
    <w:p w:rsidR="007340A1" w:rsidP="00C6133B" w:rsidRDefault="00ED0FEA" w14:paraId="420648AD" w14:textId="13C476B5">
      <w:pPr>
        <w:tabs>
          <w:tab w:val="right" w:pos="9027"/>
        </w:tabs>
        <w:rPr>
          <w:szCs w:val="18"/>
          <w:lang w:val="nl-NL"/>
        </w:rPr>
      </w:pPr>
      <w:r w:rsidRPr="00797EF3">
        <w:rPr>
          <w:szCs w:val="18"/>
          <w:lang w:val="nl-NL"/>
        </w:rPr>
        <w:t>[31]</w:t>
      </w:r>
      <w:r w:rsidRPr="00797EF3">
        <w:rPr>
          <w:lang w:val="nl-NL"/>
        </w:rPr>
        <w:t xml:space="preserve"> </w:t>
      </w:r>
      <w:r w:rsidRPr="00797EF3">
        <w:rPr>
          <w:szCs w:val="18"/>
          <w:lang w:val="nl-NL"/>
        </w:rPr>
        <w:t xml:space="preserve">Van Franeker, J.A. &amp; Kühn, S. (2020), Fulmar Litter EcoQO monitoring in the Netherlands </w:t>
      </w:r>
      <w:r w:rsidRPr="00797EF3" w:rsidR="005F5515">
        <w:rPr>
          <w:szCs w:val="18"/>
          <w:lang w:val="nl-NL"/>
        </w:rPr>
        <w:t>–</w:t>
      </w:r>
      <w:r w:rsidRPr="00797EF3">
        <w:rPr>
          <w:szCs w:val="18"/>
          <w:lang w:val="nl-NL"/>
        </w:rPr>
        <w:t xml:space="preserve"> Update 2019. </w:t>
      </w:r>
      <w:r w:rsidRPr="00ED0FEA">
        <w:rPr>
          <w:szCs w:val="18"/>
          <w:lang w:val="nl-NL"/>
        </w:rPr>
        <w:t>Wageningen Marine Research Report C074/20 &amp; RWS Centrale Informatievoorziening BM 20.16</w:t>
      </w:r>
      <w:r>
        <w:rPr>
          <w:szCs w:val="18"/>
          <w:lang w:val="nl-NL"/>
        </w:rPr>
        <w:br/>
      </w:r>
      <w:hyperlink w:history="1" r:id="rId55">
        <w:r w:rsidRPr="00040B3F">
          <w:rPr>
            <w:rStyle w:val="Hyperlink"/>
            <w:szCs w:val="18"/>
            <w:lang w:val="nl-NL"/>
          </w:rPr>
          <w:t>https://doi.org/10.18174/529399</w:t>
        </w:r>
      </w:hyperlink>
    </w:p>
    <w:p w:rsidR="00ED0FEA" w:rsidP="00C6133B" w:rsidRDefault="00ED0FEA" w14:paraId="71260BE6" w14:textId="77777777">
      <w:pPr>
        <w:tabs>
          <w:tab w:val="right" w:pos="9027"/>
        </w:tabs>
        <w:rPr>
          <w:szCs w:val="18"/>
        </w:rPr>
      </w:pPr>
      <w:r w:rsidRPr="00ED0FEA">
        <w:rPr>
          <w:szCs w:val="18"/>
          <w:lang w:val="nl-NL"/>
        </w:rPr>
        <w:t xml:space="preserve">[32] Boonstra, M., Hougee, M. (2020), OSPAR Beach Litter Monitoring in the Netherlands Update 2019 2019.  </w:t>
      </w:r>
      <w:r w:rsidRPr="00ED0FEA">
        <w:rPr>
          <w:szCs w:val="18"/>
        </w:rPr>
        <w:t xml:space="preserve">Annual Report. North Sea Foundation, Utrecht. </w:t>
      </w:r>
      <w:r>
        <w:rPr>
          <w:szCs w:val="18"/>
        </w:rPr>
        <w:br/>
      </w:r>
      <w:hyperlink w:history="1" r:id="rId56">
        <w:r w:rsidRPr="00040B3F">
          <w:rPr>
            <w:rStyle w:val="Hyperlink"/>
            <w:szCs w:val="18"/>
          </w:rPr>
          <w:t>https://puc.overheid.nl/rijkswaterstaat/doc/PUC_625266_31/1/</w:t>
        </w:r>
      </w:hyperlink>
    </w:p>
    <w:p w:rsidR="00ED0FEA" w:rsidP="00C6133B" w:rsidRDefault="00A0674E" w14:paraId="0385DAA6" w14:textId="1042C305">
      <w:pPr>
        <w:tabs>
          <w:tab w:val="right" w:pos="9027"/>
        </w:tabs>
        <w:rPr>
          <w:rStyle w:val="Hyperlink"/>
          <w:lang w:val="nl-NL"/>
        </w:rPr>
      </w:pPr>
      <w:r w:rsidRPr="00A0674E">
        <w:rPr>
          <w:szCs w:val="18"/>
          <w:lang w:val="nl-NL"/>
        </w:rPr>
        <w:t xml:space="preserve">[33] </w:t>
      </w:r>
      <w:r w:rsidRPr="000B2FE2">
        <w:rPr>
          <w:rStyle w:val="Hyperlink"/>
          <w:color w:val="auto"/>
          <w:szCs w:val="18"/>
          <w:u w:val="none"/>
          <w:lang w:val="nl-NL"/>
        </w:rPr>
        <w:t>Ministerie van Landbo</w:t>
      </w:r>
      <w:r>
        <w:rPr>
          <w:rStyle w:val="Hyperlink"/>
          <w:color w:val="auto"/>
          <w:szCs w:val="18"/>
          <w:u w:val="none"/>
          <w:lang w:val="nl-NL"/>
        </w:rPr>
        <w:t>uw Natuur en voedselkwaliteit</w:t>
      </w:r>
      <w:r>
        <w:rPr>
          <w:szCs w:val="18"/>
          <w:lang w:val="nl-NL"/>
        </w:rPr>
        <w:t xml:space="preserve">. </w:t>
      </w:r>
      <w:r w:rsidRPr="00A0674E">
        <w:rPr>
          <w:szCs w:val="18"/>
          <w:lang w:val="nl-NL"/>
        </w:rPr>
        <w:t>Regeling gebruik uitheemse en plaatselijk niet-voorkomende soorten in de aquacultuur</w:t>
      </w:r>
      <w:r>
        <w:rPr>
          <w:szCs w:val="18"/>
          <w:lang w:val="nl-NL"/>
        </w:rPr>
        <w:br/>
      </w:r>
      <w:hyperlink w:history="1" r:id="rId57">
        <w:r w:rsidRPr="00A0674E">
          <w:rPr>
            <w:rStyle w:val="Hyperlink"/>
            <w:lang w:val="nl-NL"/>
          </w:rPr>
          <w:t>Staatscourant 2008, 2692 | Overheid.nl &gt; Officiële bekendmakingen (officielebekendmakingen.nl)</w:t>
        </w:r>
      </w:hyperlink>
    </w:p>
    <w:p w:rsidR="00FF2F23" w:rsidP="00FF2F23" w:rsidRDefault="00FF2F23" w14:paraId="3BAEE25C" w14:textId="0A81656A">
      <w:pPr>
        <w:rPr>
          <w:lang w:val="nl-NL"/>
        </w:rPr>
      </w:pPr>
      <w:r>
        <w:rPr>
          <w:lang w:val="nl-NL"/>
        </w:rPr>
        <w:t xml:space="preserve">[34] </w:t>
      </w:r>
      <w:r w:rsidRPr="00821C1E">
        <w:rPr>
          <w:lang w:val="nl-NL"/>
        </w:rPr>
        <w:t xml:space="preserve">Ministerie van Infrastructuur en Milieu, </w:t>
      </w:r>
      <w:r w:rsidRPr="00FF2F23">
        <w:rPr>
          <w:lang w:val="nl-NL"/>
        </w:rPr>
        <w:t>Mariene Strategie (deel 2)</w:t>
      </w:r>
      <w:r>
        <w:rPr>
          <w:lang w:val="nl-NL"/>
        </w:rPr>
        <w:t xml:space="preserve">, </w:t>
      </w:r>
      <w:r w:rsidRPr="00FF2F23">
        <w:rPr>
          <w:lang w:val="nl-NL"/>
        </w:rPr>
        <w:t>Actualisatie van het KRM-monitoringprogramma 2020-2026</w:t>
      </w:r>
      <w:r>
        <w:rPr>
          <w:lang w:val="nl-NL"/>
        </w:rPr>
        <w:br/>
      </w:r>
      <w:hyperlink w:history="1" r:id="rId58">
        <w:r w:rsidRPr="00D931B8">
          <w:rPr>
            <w:rStyle w:val="Hyperlink"/>
            <w:lang w:val="nl-NL"/>
          </w:rPr>
          <w:t>https://www.noordzeeloket.nl/publish/pages/182554/mariene_strategie_deel_2.pdf</w:t>
        </w:r>
      </w:hyperlink>
    </w:p>
    <w:p w:rsidRPr="00797EF3" w:rsidR="00FF2F23" w:rsidP="00FF2F23" w:rsidRDefault="006F41FF" w14:paraId="008A36FB" w14:textId="1A6C48DF">
      <w:pPr>
        <w:rPr>
          <w:lang w:val="nl-NL"/>
        </w:rPr>
      </w:pPr>
      <w:r>
        <w:rPr>
          <w:lang w:val="nl-NL"/>
        </w:rPr>
        <w:t xml:space="preserve">[35] </w:t>
      </w:r>
      <w:r w:rsidRPr="006F41FF">
        <w:rPr>
          <w:lang w:val="nl-NL"/>
        </w:rPr>
        <w:t>EU Interreg project LIVES (Euregio Maas- Rijn)</w:t>
      </w:r>
      <w:r>
        <w:rPr>
          <w:lang w:val="nl-NL"/>
        </w:rPr>
        <w:br/>
      </w:r>
      <w:hyperlink w:history="1" r:id="rId59">
        <w:r w:rsidRPr="00D931B8">
          <w:rPr>
            <w:rStyle w:val="Hyperlink"/>
            <w:lang w:val="nl-NL"/>
          </w:rPr>
          <w:t>LIVES | Interreg Euregio Maas-Rijn (interregemr.eu)</w:t>
        </w:r>
      </w:hyperlink>
    </w:p>
    <w:p w:rsidR="006F41FF" w:rsidP="006F41FF" w:rsidRDefault="006F41FF" w14:paraId="5266BFAC" w14:textId="47C18B08">
      <w:pPr>
        <w:rPr>
          <w:lang w:val="nl-NL"/>
        </w:rPr>
      </w:pPr>
      <w:r w:rsidRPr="00517D55">
        <w:rPr>
          <w:lang w:val="nl-NL"/>
        </w:rPr>
        <w:t>[</w:t>
      </w:r>
      <w:r>
        <w:rPr>
          <w:lang w:val="nl-NL"/>
        </w:rPr>
        <w:t>36</w:t>
      </w:r>
      <w:r w:rsidRPr="00517D55">
        <w:rPr>
          <w:lang w:val="nl-NL"/>
        </w:rPr>
        <w:t>] kst-</w:t>
      </w:r>
      <w:r w:rsidRPr="00D931B8">
        <w:rPr>
          <w:szCs w:val="18"/>
          <w:lang w:val="nl-NL"/>
        </w:rPr>
        <w:t>30872-261</w:t>
      </w:r>
      <w:r w:rsidRPr="00517D55">
        <w:rPr>
          <w:lang w:val="nl-NL"/>
        </w:rPr>
        <w:t xml:space="preserve">– </w:t>
      </w:r>
      <w:r w:rsidRPr="006F41FF">
        <w:rPr>
          <w:lang w:val="nl-NL"/>
        </w:rPr>
        <w:t>Voortgang beleidsprogramma microplastics</w:t>
      </w:r>
    </w:p>
    <w:p w:rsidR="00DD4F15" w:rsidP="003C2CC5" w:rsidRDefault="006F41FF" w14:paraId="6C40578D" w14:textId="3E17C21F">
      <w:pPr>
        <w:rPr>
          <w:lang w:val="nl-NL"/>
        </w:rPr>
      </w:pPr>
      <w:r>
        <w:rPr>
          <w:lang w:val="nl-NL"/>
        </w:rPr>
        <w:t>[37] Witteveen+Bos</w:t>
      </w:r>
      <w:r w:rsidR="003C2CC5">
        <w:rPr>
          <w:lang w:val="nl-NL"/>
        </w:rPr>
        <w:t xml:space="preserve"> 92019)</w:t>
      </w:r>
      <w:r>
        <w:rPr>
          <w:lang w:val="nl-NL"/>
        </w:rPr>
        <w:t xml:space="preserve">, </w:t>
      </w:r>
      <w:r w:rsidRPr="003C2CC5" w:rsidR="003C2CC5">
        <w:rPr>
          <w:lang w:val="nl-NL"/>
        </w:rPr>
        <w:t>Evaluatie Green Deals</w:t>
      </w:r>
      <w:r w:rsidR="003C2CC5">
        <w:rPr>
          <w:lang w:val="nl-NL"/>
        </w:rPr>
        <w:t xml:space="preserve"> </w:t>
      </w:r>
      <w:r w:rsidRPr="003C2CC5" w:rsidR="003C2CC5">
        <w:rPr>
          <w:lang w:val="nl-NL"/>
        </w:rPr>
        <w:t>Zwerfafval in zee</w:t>
      </w:r>
      <w:r w:rsidR="003C2CC5">
        <w:rPr>
          <w:lang w:val="nl-NL"/>
        </w:rPr>
        <w:br/>
      </w:r>
      <w:hyperlink w:history="1" r:id="rId60">
        <w:r w:rsidRPr="00EF2E90" w:rsidR="003C2CC5">
          <w:rPr>
            <w:rStyle w:val="Hyperlink"/>
            <w:lang w:val="nl-NL"/>
          </w:rPr>
          <w:t>https://www.schonestranden.nl/schonewp/wp-content/uploads/2020/02/Eindrapport-Evaluatie-Green-Deals-Witteveen-Bos.pdf</w:t>
        </w:r>
      </w:hyperlink>
    </w:p>
    <w:p w:rsidR="003C2CC5" w:rsidP="003C2CC5" w:rsidRDefault="003C2CC5" w14:paraId="11E38C78" w14:textId="3364DF2B">
      <w:pPr>
        <w:rPr>
          <w:lang w:val="nl-NL"/>
        </w:rPr>
      </w:pPr>
      <w:r>
        <w:rPr>
          <w:lang w:val="nl-NL"/>
        </w:rPr>
        <w:t xml:space="preserve">[38] </w:t>
      </w:r>
      <w:r w:rsidRPr="003C2CC5">
        <w:rPr>
          <w:lang w:val="nl-NL"/>
        </w:rPr>
        <w:t>E. Foekema, J. van der Molen, A. Asjes, A. Bijleveld, S. Brasseur, K.</w:t>
      </w:r>
      <w:r>
        <w:rPr>
          <w:lang w:val="nl-NL"/>
        </w:rPr>
        <w:t xml:space="preserve"> </w:t>
      </w:r>
      <w:r w:rsidRPr="003C2CC5">
        <w:rPr>
          <w:lang w:val="nl-NL"/>
        </w:rPr>
        <w:t>Camphuysen, J.A. van Franeker, S. Holthuijsen, R. Kentie, S. Kühn, M.</w:t>
      </w:r>
      <w:r>
        <w:rPr>
          <w:lang w:val="nl-NL"/>
        </w:rPr>
        <w:t xml:space="preserve"> </w:t>
      </w:r>
      <w:r w:rsidRPr="003C2CC5">
        <w:rPr>
          <w:lang w:val="nl-NL"/>
        </w:rPr>
        <w:t>Leopold, L. Kleine Schaars, T. Lok, H. Niemann, en J. Schop</w:t>
      </w:r>
      <w:r>
        <w:rPr>
          <w:lang w:val="nl-NL"/>
        </w:rPr>
        <w:t xml:space="preserve"> (2021), </w:t>
      </w:r>
      <w:r w:rsidRPr="003C2CC5">
        <w:rPr>
          <w:lang w:val="nl-NL"/>
        </w:rPr>
        <w:t>Ecologische effecten van het incident met de MSC Zoe op het Nederlandse Waddengebied, met focus op microplastics</w:t>
      </w:r>
      <w:r>
        <w:rPr>
          <w:lang w:val="nl-NL"/>
        </w:rPr>
        <w:br/>
      </w:r>
      <w:hyperlink w:history="1" r:id="rId61">
        <w:r w:rsidRPr="00EF2E90" w:rsidR="00386043">
          <w:rPr>
            <w:rStyle w:val="Hyperlink"/>
            <w:lang w:val="nl-NL"/>
          </w:rPr>
          <w:t>https://www.rijksoverheid.nl/binaries/rijksoverheid/documenten/rapporten/2021/05/26/bijlage-1-eindrapport-ecologisch-onderzoek-msc-zoe/bijlage-1-eindrapport-ecologisch-onderzoek-msc-zoe.pdf</w:t>
        </w:r>
      </w:hyperlink>
    </w:p>
    <w:p w:rsidR="00386043" w:rsidP="003C2CC5" w:rsidRDefault="00386043" w14:paraId="48A9B250" w14:textId="584CE13C">
      <w:pPr>
        <w:rPr>
          <w:lang w:val="nl-NL"/>
        </w:rPr>
      </w:pPr>
      <w:r>
        <w:rPr>
          <w:lang w:val="nl-NL"/>
        </w:rPr>
        <w:t xml:space="preserve">[38] </w:t>
      </w:r>
      <w:r w:rsidRPr="00386043">
        <w:rPr>
          <w:lang w:val="nl-NL"/>
        </w:rPr>
        <w:t>kst-</w:t>
      </w:r>
      <w:r>
        <w:rPr>
          <w:rFonts w:cs="Mangal" w:eastAsiaTheme="majorEastAsia"/>
          <w:szCs w:val="18"/>
          <w:lang w:val="nl-NL" w:eastAsia="nl-NL"/>
        </w:rPr>
        <w:t>31409</w:t>
      </w:r>
      <w:r w:rsidRPr="00386043">
        <w:rPr>
          <w:lang w:val="nl-NL"/>
        </w:rPr>
        <w:t>-</w:t>
      </w:r>
      <w:r>
        <w:rPr>
          <w:lang w:val="nl-NL"/>
        </w:rPr>
        <w:t>334</w:t>
      </w:r>
      <w:r w:rsidRPr="00386043">
        <w:rPr>
          <w:lang w:val="nl-NL"/>
        </w:rPr>
        <w:t xml:space="preserve"> – Acties veilig containertransport in IMO</w:t>
      </w:r>
    </w:p>
    <w:p w:rsidRPr="00473A2F" w:rsidR="003C2CC5" w:rsidP="00D931B8" w:rsidRDefault="00386043" w14:paraId="02D0ACBA" w14:textId="61C91B45">
      <w:pPr>
        <w:rPr>
          <w:lang w:val="nl-NL"/>
        </w:rPr>
      </w:pPr>
      <w:r>
        <w:rPr>
          <w:lang w:val="nl-NL"/>
        </w:rPr>
        <w:t>[39] kst-</w:t>
      </w:r>
      <w:r w:rsidRPr="00386043">
        <w:rPr>
          <w:lang w:val="nl-NL"/>
        </w:rPr>
        <w:t>30872-269</w:t>
      </w:r>
      <w:r>
        <w:rPr>
          <w:lang w:val="nl-NL"/>
        </w:rPr>
        <w:t xml:space="preserve"> - </w:t>
      </w:r>
      <w:r w:rsidRPr="00386043">
        <w:rPr>
          <w:lang w:val="nl-NL"/>
        </w:rPr>
        <w:t>Ministeriële Regeling kunststofproducten voor eenmalig gebruik (wegwerpplastic)</w:t>
      </w:r>
    </w:p>
    <w:p w:rsidRPr="00A0674E" w:rsidR="00A0674E" w:rsidP="00C6133B" w:rsidRDefault="00386043" w14:paraId="63CF0260" w14:textId="73CC1F3C">
      <w:pPr>
        <w:tabs>
          <w:tab w:val="right" w:pos="9027"/>
        </w:tabs>
        <w:rPr>
          <w:szCs w:val="18"/>
          <w:lang w:val="nl-NL"/>
        </w:rPr>
      </w:pPr>
      <w:r>
        <w:rPr>
          <w:szCs w:val="18"/>
          <w:lang w:val="nl-NL"/>
        </w:rPr>
        <w:t>[40] kst-</w:t>
      </w:r>
      <w:r w:rsidRPr="00D931B8">
        <w:rPr>
          <w:sz w:val="16"/>
          <w:szCs w:val="16"/>
          <w:lang w:val="nl-NL"/>
        </w:rPr>
        <w:t>29675-203</w:t>
      </w:r>
      <w:r>
        <w:rPr>
          <w:szCs w:val="18"/>
          <w:lang w:val="nl-NL"/>
        </w:rPr>
        <w:t xml:space="preserve"> - </w:t>
      </w:r>
      <w:r w:rsidRPr="00386043">
        <w:rPr>
          <w:szCs w:val="18"/>
          <w:lang w:val="nl-NL"/>
        </w:rPr>
        <w:t>Motie van het lid Tjeerd de Groot over een heldere routekaart voor de volledige uitfasering van vispluis</w:t>
      </w:r>
    </w:p>
    <w:p w:rsidRPr="00A0674E" w:rsidR="00BC184E" w:rsidRDefault="00BC184E" w14:paraId="460EA58F" w14:textId="77777777">
      <w:pPr>
        <w:rPr>
          <w:b/>
          <w:lang w:val="nl-NL"/>
        </w:rPr>
      </w:pPr>
      <w:r w:rsidRPr="00A0674E">
        <w:rPr>
          <w:b/>
          <w:lang w:val="nl-NL"/>
        </w:rPr>
        <w:br w:type="page"/>
      </w:r>
    </w:p>
    <w:p w:rsidRPr="00817B68" w:rsidR="0070550F" w:rsidP="000D4013" w:rsidRDefault="0070550F" w14:paraId="02234633" w14:textId="77777777">
      <w:pPr>
        <w:pStyle w:val="Stijl1"/>
        <w:numPr>
          <w:ilvl w:val="0"/>
          <w:numId w:val="0"/>
        </w:numPr>
      </w:pPr>
      <w:bookmarkStart w:name="_Toc59455641" w:id="68"/>
      <w:r w:rsidRPr="00817B68">
        <w:t>Afkortingen</w:t>
      </w:r>
      <w:bookmarkEnd w:id="68"/>
    </w:p>
    <w:p w:rsidRPr="00817B68" w:rsidR="000D4013" w:rsidP="000D4013" w:rsidRDefault="000D4013" w14:paraId="55BE6502" w14:textId="77777777"/>
    <w:tbl>
      <w:tblPr>
        <w:tblW w:w="11732" w:type="dxa"/>
        <w:tblCellMar>
          <w:left w:w="70" w:type="dxa"/>
          <w:right w:w="70" w:type="dxa"/>
        </w:tblCellMar>
        <w:tblLook w:val="04A0" w:firstRow="1" w:lastRow="0" w:firstColumn="1" w:lastColumn="0" w:noHBand="0" w:noVBand="1"/>
      </w:tblPr>
      <w:tblGrid>
        <w:gridCol w:w="2020"/>
        <w:gridCol w:w="9712"/>
      </w:tblGrid>
      <w:tr w:rsidRPr="00BC184E" w:rsidR="00BC184E" w:rsidTr="00BC184E" w14:paraId="0C7F6C2C" w14:textId="77777777">
        <w:trPr>
          <w:trHeight w:val="300"/>
        </w:trPr>
        <w:tc>
          <w:tcPr>
            <w:tcW w:w="2020" w:type="dxa"/>
            <w:tcBorders>
              <w:top w:val="nil"/>
              <w:left w:val="nil"/>
              <w:bottom w:val="nil"/>
              <w:right w:val="nil"/>
            </w:tcBorders>
            <w:shd w:val="clear" w:color="auto" w:fill="auto"/>
            <w:noWrap/>
            <w:vAlign w:val="bottom"/>
            <w:hideMark/>
          </w:tcPr>
          <w:p w:rsidRPr="00817B68" w:rsidR="00BC184E" w:rsidP="00BC184E" w:rsidRDefault="00BC184E" w14:paraId="17893F4A" w14:textId="77777777">
            <w:pPr>
              <w:spacing w:after="0" w:line="240" w:lineRule="auto"/>
              <w:rPr>
                <w:rFonts w:ascii="Calibri" w:hAnsi="Calibri" w:eastAsia="Times New Roman" w:cs="Calibri"/>
                <w:color w:val="000000"/>
                <w:sz w:val="22"/>
                <w:lang w:eastAsia="nl-NL"/>
              </w:rPr>
            </w:pPr>
            <w:r w:rsidRPr="00817B68">
              <w:rPr>
                <w:rFonts w:ascii="Calibri" w:hAnsi="Calibri" w:eastAsia="Times New Roman" w:cs="Calibri"/>
                <w:color w:val="000000"/>
                <w:sz w:val="22"/>
                <w:lang w:eastAsia="nl-NL"/>
              </w:rPr>
              <w:t>ASCOBANS</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56CC471" w14:textId="77777777">
            <w:pPr>
              <w:spacing w:after="0" w:line="240" w:lineRule="auto"/>
              <w:rPr>
                <w:rFonts w:ascii="Calibri" w:hAnsi="Calibri" w:eastAsia="Times New Roman" w:cs="Calibri"/>
                <w:color w:val="000000"/>
                <w:sz w:val="22"/>
                <w:lang w:eastAsia="nl-NL"/>
              </w:rPr>
            </w:pPr>
            <w:r w:rsidRPr="00BC184E">
              <w:rPr>
                <w:rFonts w:ascii="Calibri" w:hAnsi="Calibri" w:eastAsia="Times New Roman" w:cs="Calibri"/>
                <w:color w:val="000000"/>
                <w:sz w:val="22"/>
                <w:lang w:eastAsia="nl-NL"/>
              </w:rPr>
              <w:t>Agreement on the Conservation of Small Cetaceans of the Baltic and North Seas)</w:t>
            </w:r>
          </w:p>
        </w:tc>
      </w:tr>
      <w:tr w:rsidRPr="00BC184E" w:rsidR="00BC184E" w:rsidTr="00BC184E" w14:paraId="25B84383" w14:textId="77777777">
        <w:trPr>
          <w:trHeight w:val="300"/>
        </w:trPr>
        <w:tc>
          <w:tcPr>
            <w:tcW w:w="2020" w:type="dxa"/>
            <w:tcBorders>
              <w:top w:val="nil"/>
              <w:left w:val="nil"/>
              <w:bottom w:val="nil"/>
              <w:right w:val="nil"/>
            </w:tcBorders>
            <w:shd w:val="clear" w:color="auto" w:fill="auto"/>
            <w:noWrap/>
            <w:vAlign w:val="bottom"/>
            <w:hideMark/>
          </w:tcPr>
          <w:p w:rsidRPr="00817B68" w:rsidR="00BC184E" w:rsidP="00BC184E" w:rsidRDefault="00BC184E" w14:paraId="7CA42A1A" w14:textId="77777777">
            <w:pPr>
              <w:spacing w:after="0" w:line="240" w:lineRule="auto"/>
              <w:rPr>
                <w:rFonts w:ascii="Calibri" w:hAnsi="Calibri" w:eastAsia="Times New Roman" w:cs="Calibri"/>
                <w:color w:val="000000"/>
                <w:sz w:val="22"/>
                <w:lang w:eastAsia="nl-NL"/>
              </w:rPr>
            </w:pPr>
            <w:r w:rsidRPr="00817B68">
              <w:rPr>
                <w:rFonts w:ascii="Calibri" w:hAnsi="Calibri" w:eastAsia="Times New Roman" w:cs="Calibri"/>
                <w:color w:val="000000"/>
                <w:sz w:val="22"/>
                <w:lang w:eastAsia="nl-NL"/>
              </w:rPr>
              <w:t>BAC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5CACD0D" w14:textId="77777777">
            <w:pPr>
              <w:spacing w:after="0" w:line="240" w:lineRule="auto"/>
              <w:rPr>
                <w:rFonts w:ascii="Calibri" w:hAnsi="Calibri" w:eastAsia="Times New Roman" w:cs="Calibri"/>
                <w:color w:val="000000"/>
                <w:sz w:val="22"/>
                <w:lang w:val="nl-NL" w:eastAsia="nl-NL"/>
              </w:rPr>
            </w:pPr>
            <w:r w:rsidRPr="00817B68">
              <w:rPr>
                <w:rFonts w:ascii="Calibri" w:hAnsi="Calibri" w:eastAsia="Times New Roman" w:cs="Calibri"/>
                <w:color w:val="000000"/>
                <w:sz w:val="22"/>
                <w:lang w:eastAsia="nl-NL"/>
              </w:rPr>
              <w:t>Background Assessm</w:t>
            </w:r>
            <w:r w:rsidRPr="00872524">
              <w:rPr>
                <w:rFonts w:ascii="Calibri" w:hAnsi="Calibri" w:eastAsia="Times New Roman" w:cs="Calibri"/>
                <w:color w:val="000000"/>
                <w:sz w:val="22"/>
                <w:lang w:eastAsia="nl-NL"/>
              </w:rPr>
              <w:t>e</w:t>
            </w:r>
            <w:r w:rsidRPr="00BC184E">
              <w:rPr>
                <w:rFonts w:ascii="Calibri" w:hAnsi="Calibri" w:eastAsia="Times New Roman" w:cs="Calibri"/>
                <w:color w:val="000000"/>
                <w:sz w:val="22"/>
                <w:lang w:val="nl-NL" w:eastAsia="nl-NL"/>
              </w:rPr>
              <w:t>nt Criteria</w:t>
            </w:r>
          </w:p>
        </w:tc>
      </w:tr>
      <w:tr w:rsidRPr="00BC184E" w:rsidR="00BC184E" w:rsidTr="00BC184E" w14:paraId="5EA78A4F"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E6F4D2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BAT</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80CC12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Best Available Techniques</w:t>
            </w:r>
          </w:p>
        </w:tc>
      </w:tr>
      <w:tr w:rsidRPr="00BC184E" w:rsidR="00BC184E" w:rsidTr="00BC184E" w14:paraId="2F48FCA1"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C7B84F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BDC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CFF2E75" w14:textId="77777777">
            <w:pPr>
              <w:spacing w:after="0" w:line="240" w:lineRule="auto"/>
              <w:rPr>
                <w:rFonts w:ascii="Calibri" w:hAnsi="Calibri" w:eastAsia="Times New Roman" w:cs="Calibri"/>
                <w:color w:val="000000"/>
                <w:sz w:val="22"/>
                <w:lang w:eastAsia="nl-NL"/>
              </w:rPr>
            </w:pPr>
            <w:r w:rsidRPr="00BC184E">
              <w:rPr>
                <w:rFonts w:ascii="Calibri" w:hAnsi="Calibri" w:eastAsia="Times New Roman" w:cs="Calibri"/>
                <w:color w:val="000000"/>
                <w:sz w:val="22"/>
                <w:lang w:eastAsia="nl-NL"/>
              </w:rPr>
              <w:t>Biological Diversity &amp; Ecosystems (OSPAR comité)</w:t>
            </w:r>
          </w:p>
        </w:tc>
      </w:tr>
      <w:tr w:rsidRPr="00BC184E" w:rsidR="00BC184E" w:rsidTr="00BC184E" w14:paraId="0F4320DF"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F97BC2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BREF</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0B090B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BAT Reference documents (Europese referentiedocumenten)</w:t>
            </w:r>
          </w:p>
        </w:tc>
      </w:tr>
      <w:tr w:rsidRPr="00BC184E" w:rsidR="00BC184E" w:rsidTr="00BC184E" w14:paraId="151469A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5ADF7F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CBD</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9F80C8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Convention on Biological Diversity (Biodiversiteitsverdrag)</w:t>
            </w:r>
          </w:p>
        </w:tc>
      </w:tr>
      <w:tr w:rsidRPr="0084482C" w:rsidR="00BC184E" w:rsidTr="00BC184E" w14:paraId="28F3C564"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CA78FA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CBS</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354D25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Centraal Bureau voor de Statistiek</w:t>
            </w:r>
          </w:p>
        </w:tc>
      </w:tr>
      <w:tr w:rsidRPr="00BC184E" w:rsidR="00BC184E" w:rsidTr="00BC184E" w14:paraId="19A4D48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31EACE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CCS </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382EBA4"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Carbon Capture and Storage</w:t>
            </w:r>
          </w:p>
        </w:tc>
      </w:tr>
      <w:tr w:rsidRPr="0084482C" w:rsidR="00BC184E" w:rsidTr="00BC184E" w14:paraId="7213E92E"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21464A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CFP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7B4DBD0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Common Fisheries Policy (Gemeenschappelijk Visserijbeleid)</w:t>
            </w:r>
          </w:p>
        </w:tc>
      </w:tr>
      <w:tr w:rsidRPr="00BC184E" w:rsidR="00BC184E" w:rsidTr="00BC184E" w14:paraId="74D45A49"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46FF2E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DIN</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CF7335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Dissolved Inorganic Nitrogen</w:t>
            </w:r>
          </w:p>
        </w:tc>
      </w:tr>
      <w:tr w:rsidRPr="00BC184E" w:rsidR="00BC184E" w:rsidTr="00BC184E" w14:paraId="12F4497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5AD5EF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DIP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0D0DA9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Dissolved Inorganic Phosphorus</w:t>
            </w:r>
          </w:p>
        </w:tc>
      </w:tr>
      <w:tr w:rsidRPr="00BC184E" w:rsidR="00BC184E" w:rsidTr="00BC184E" w14:paraId="36EE6EE4"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F746DF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ECHA</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D8FBEB8" w14:textId="77777777">
            <w:pPr>
              <w:spacing w:after="0" w:line="240" w:lineRule="auto"/>
              <w:rPr>
                <w:rFonts w:eastAsia="Times New Roman" w:cs="Calibri"/>
                <w:color w:val="000000"/>
                <w:szCs w:val="18"/>
                <w:lang w:val="nl-NL" w:eastAsia="nl-NL"/>
              </w:rPr>
            </w:pPr>
            <w:r w:rsidRPr="00BC184E">
              <w:rPr>
                <w:rFonts w:eastAsia="Times New Roman" w:cs="Calibri"/>
                <w:color w:val="000000"/>
                <w:szCs w:val="18"/>
                <w:lang w:val="nl-NL" w:eastAsia="nl-NL"/>
              </w:rPr>
              <w:t xml:space="preserve">European Chemicals Agency </w:t>
            </w:r>
          </w:p>
        </w:tc>
      </w:tr>
      <w:tr w:rsidRPr="00BC184E" w:rsidR="00BC184E" w:rsidTr="00BC184E" w14:paraId="1B945DC1"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A1707A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ECN</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26AE3E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Energieonderzoek Centrum Nederland</w:t>
            </w:r>
          </w:p>
        </w:tc>
      </w:tr>
      <w:tr w:rsidRPr="00BC184E" w:rsidR="00BC184E" w:rsidTr="00BC184E" w14:paraId="6F2C4959"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F7418C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EcoQO</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2B9044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Ecological Quality Objective</w:t>
            </w:r>
          </w:p>
        </w:tc>
      </w:tr>
      <w:tr w:rsidRPr="00BC184E" w:rsidR="00BC184E" w:rsidTr="00BC184E" w14:paraId="345CED85"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E9B9DD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EEZ</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79355EB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Exclusieve Economische Zone</w:t>
            </w:r>
          </w:p>
        </w:tc>
      </w:tr>
      <w:tr w:rsidRPr="00BC184E" w:rsidR="00BC184E" w:rsidTr="00BC184E" w14:paraId="20054D86"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C20BB8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EIHA</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D57A19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Human Activities (OSPAR comité)</w:t>
            </w:r>
          </w:p>
        </w:tc>
      </w:tr>
      <w:tr w:rsidRPr="0084482C" w:rsidR="00BC184E" w:rsidTr="00BC184E" w14:paraId="7155B7EF"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C11A23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EMVAF</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DD7E2A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Europees Maritiem, Visserij- en Aquacultuurfonds</w:t>
            </w:r>
          </w:p>
        </w:tc>
      </w:tr>
      <w:tr w:rsidRPr="00BC184E" w:rsidR="00BC184E" w:rsidTr="00BC184E" w14:paraId="59D6F5D1"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D1AE02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EU</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57BB69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Europese Unie</w:t>
            </w:r>
          </w:p>
        </w:tc>
      </w:tr>
      <w:tr w:rsidRPr="0084482C" w:rsidR="00BC184E" w:rsidTr="00BC184E" w14:paraId="126992A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2DA979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EZK</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46A926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Ministerie van Economische Zaken en Klimaat</w:t>
            </w:r>
          </w:p>
        </w:tc>
      </w:tr>
      <w:tr w:rsidRPr="00BC184E" w:rsidR="00BC184E" w:rsidTr="00BC184E" w14:paraId="51E9D8C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3A45A54"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FFL</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A8FC57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Fishing for Litter</w:t>
            </w:r>
          </w:p>
        </w:tc>
      </w:tr>
      <w:tr w:rsidRPr="00BC184E" w:rsidR="00BC184E" w:rsidTr="00BC184E" w14:paraId="1A7D0FF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9D3300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FMSY</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9FF5A44"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Fish Mortality at MSY</w:t>
            </w:r>
          </w:p>
        </w:tc>
      </w:tr>
      <w:tr w:rsidRPr="00BC184E" w:rsidR="00BC184E" w:rsidTr="00BC184E" w14:paraId="4B158DD8"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C54B326"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FRP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6CE25F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Favourable Reference Population</w:t>
            </w:r>
          </w:p>
        </w:tc>
      </w:tr>
      <w:tr w:rsidRPr="00BC184E" w:rsidR="00BC184E" w:rsidTr="00BC184E" w14:paraId="1C2E53E3"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854B1F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FRR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0234E3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Favourable Reference Range</w:t>
            </w:r>
          </w:p>
        </w:tc>
      </w:tr>
      <w:tr w:rsidRPr="00BC184E" w:rsidR="00BC184E" w:rsidTr="00BC184E" w14:paraId="7320D204"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9800BE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GDSS</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B96F04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Green Deal Schone Stranden</w:t>
            </w:r>
          </w:p>
        </w:tc>
      </w:tr>
      <w:tr w:rsidRPr="00BC184E" w:rsidR="00BC184E" w:rsidTr="00BC184E" w14:paraId="678D28A7"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9C77C0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GMT</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D3376D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Goede milieutoestand</w:t>
            </w:r>
          </w:p>
        </w:tc>
      </w:tr>
      <w:tr w:rsidRPr="00BC184E" w:rsidR="00BC184E" w:rsidTr="00BC184E" w14:paraId="309BCE08"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547E70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GVB</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4830F16"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Gemeenschappelijk Visserijbeleid </w:t>
            </w:r>
          </w:p>
        </w:tc>
      </w:tr>
      <w:tr w:rsidRPr="00BC184E" w:rsidR="00BC184E" w:rsidTr="00BC184E" w14:paraId="0A4D8CE8"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20E9BA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GW</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5F3A92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Gigawatt</w:t>
            </w:r>
          </w:p>
        </w:tc>
      </w:tr>
      <w:tr w:rsidRPr="0084482C" w:rsidR="00BC184E" w:rsidTr="00BC184E" w14:paraId="2DF61B73"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37EA25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HASEC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85E50AE" w14:textId="77777777">
            <w:pPr>
              <w:spacing w:after="0" w:line="240" w:lineRule="auto"/>
              <w:rPr>
                <w:rFonts w:ascii="Calibri" w:hAnsi="Calibri" w:eastAsia="Times New Roman" w:cs="Calibri"/>
                <w:color w:val="000000"/>
                <w:sz w:val="22"/>
                <w:lang w:val="fr-FR" w:eastAsia="nl-NL"/>
              </w:rPr>
            </w:pPr>
            <w:r w:rsidRPr="00BC184E">
              <w:rPr>
                <w:rFonts w:ascii="Calibri" w:hAnsi="Calibri" w:eastAsia="Times New Roman" w:cs="Calibri"/>
                <w:color w:val="000000"/>
                <w:sz w:val="22"/>
                <w:lang w:val="fr-FR" w:eastAsia="nl-NL"/>
              </w:rPr>
              <w:t>Hazardous Substances &amp; Eutrophication (OSPAR comité)</w:t>
            </w:r>
          </w:p>
        </w:tc>
      </w:tr>
      <w:tr w:rsidRPr="00BC184E" w:rsidR="00BC184E" w:rsidTr="00BC184E" w14:paraId="3F1F50A7"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91D53A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HOV</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8927ED4"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Havenonstvangstvoorzieningen</w:t>
            </w:r>
          </w:p>
        </w:tc>
      </w:tr>
      <w:tr w:rsidRPr="00BC184E" w:rsidR="00BC184E" w:rsidTr="00BC184E" w14:paraId="7B552401"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484DC3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HR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C99D65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Habitatrichtlijn</w:t>
            </w:r>
          </w:p>
        </w:tc>
      </w:tr>
      <w:tr w:rsidRPr="00BC184E" w:rsidR="00BC184E" w:rsidTr="00BC184E" w14:paraId="49252C57"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9AA84F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ICES</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672AD59" w14:textId="77777777">
            <w:pPr>
              <w:spacing w:after="0" w:line="240" w:lineRule="auto"/>
              <w:rPr>
                <w:rFonts w:ascii="Calibri" w:hAnsi="Calibri" w:eastAsia="Times New Roman" w:cs="Calibri"/>
                <w:color w:val="000000"/>
                <w:sz w:val="22"/>
                <w:lang w:eastAsia="nl-NL"/>
              </w:rPr>
            </w:pPr>
            <w:r w:rsidRPr="00BC184E">
              <w:rPr>
                <w:rFonts w:ascii="Calibri" w:hAnsi="Calibri" w:eastAsia="Times New Roman" w:cs="Calibri"/>
                <w:color w:val="000000"/>
                <w:sz w:val="22"/>
                <w:lang w:eastAsia="nl-NL"/>
              </w:rPr>
              <w:t>International Council for the Exploration of the Sea</w:t>
            </w:r>
          </w:p>
        </w:tc>
      </w:tr>
      <w:tr w:rsidRPr="00BC184E" w:rsidR="00BC184E" w:rsidTr="00BC184E" w14:paraId="47DB1E71"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4AF395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IDON</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5A0E8C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Interdepartementaal Directeuren Overleg Noordzee</w:t>
            </w:r>
          </w:p>
        </w:tc>
      </w:tr>
      <w:tr w:rsidRPr="0084482C" w:rsidR="00BC184E" w:rsidTr="00BC184E" w14:paraId="08B9AA09"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9475FA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IenW</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246EAA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Ministerie van Infrastructuur en Waterstaat </w:t>
            </w:r>
          </w:p>
        </w:tc>
      </w:tr>
      <w:tr w:rsidRPr="00BC184E" w:rsidR="00BC184E" w:rsidTr="00BC184E" w14:paraId="226738C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3D6F9A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IMO</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3CC098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Internationale Maritieme Organisatie</w:t>
            </w:r>
          </w:p>
        </w:tc>
      </w:tr>
      <w:tr w:rsidRPr="00BC184E" w:rsidR="00BC184E" w:rsidTr="00BC184E" w14:paraId="6D345369"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E34E5E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IMP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291965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Integrated Maritime Policy</w:t>
            </w:r>
          </w:p>
        </w:tc>
      </w:tr>
      <w:tr w:rsidRPr="00BC184E" w:rsidR="00BC184E" w:rsidTr="00BC184E" w14:paraId="5240F25C"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249CD2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IPO</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353642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Interprovinciaal Overleg </w:t>
            </w:r>
          </w:p>
        </w:tc>
      </w:tr>
      <w:tr w:rsidRPr="00BC184E" w:rsidR="00BC184E" w:rsidTr="00BC184E" w14:paraId="18483FB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1CDC4A4"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Jomopans </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D92B097" w14:textId="77777777">
            <w:pPr>
              <w:spacing w:after="0" w:line="240" w:lineRule="auto"/>
              <w:rPr>
                <w:rFonts w:ascii="Calibri" w:hAnsi="Calibri" w:eastAsia="Times New Roman" w:cs="Calibri"/>
                <w:color w:val="000000"/>
                <w:sz w:val="22"/>
                <w:lang w:eastAsia="nl-NL"/>
              </w:rPr>
            </w:pPr>
            <w:r w:rsidRPr="00BC184E">
              <w:rPr>
                <w:rFonts w:ascii="Calibri" w:hAnsi="Calibri" w:eastAsia="Times New Roman" w:cs="Calibri"/>
                <w:color w:val="000000"/>
                <w:sz w:val="22"/>
                <w:lang w:eastAsia="nl-NL"/>
              </w:rPr>
              <w:t xml:space="preserve">Joint Monitoring Programme for Ambient Noise North Sea </w:t>
            </w:r>
          </w:p>
        </w:tc>
      </w:tr>
      <w:tr w:rsidRPr="00BC184E" w:rsidR="00BC184E" w:rsidTr="00BC184E" w14:paraId="2FE7834A"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79C4BE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KEC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195BEA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Kader Ecologie en Cumulatie</w:t>
            </w:r>
          </w:p>
        </w:tc>
      </w:tr>
      <w:tr w:rsidRPr="00BC184E" w:rsidR="00BC184E" w:rsidTr="00BC184E" w14:paraId="349C1C54"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C86F48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KIMO</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6548DA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Kennisinstituut Mondzorg</w:t>
            </w:r>
          </w:p>
        </w:tc>
      </w:tr>
      <w:tr w:rsidRPr="00BC184E" w:rsidR="00BC184E" w:rsidTr="00BC184E" w14:paraId="41A10995"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BF63D3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KRA</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3375F7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Kaderrichtlijn afvalstoffen</w:t>
            </w:r>
          </w:p>
        </w:tc>
      </w:tr>
      <w:tr w:rsidRPr="00BC184E" w:rsidR="00BC184E" w:rsidTr="00BC184E" w14:paraId="7E3BA71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0D92FE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KRM</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33CFD5C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Kaderrichtlijn Mariene Strategie</w:t>
            </w:r>
          </w:p>
        </w:tc>
      </w:tr>
      <w:tr w:rsidRPr="00BC184E" w:rsidR="00BC184E" w:rsidTr="00BC184E" w14:paraId="138977D6"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9FBA5A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KRW</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FD586F6"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Kaderrichtlijn Water </w:t>
            </w:r>
          </w:p>
        </w:tc>
      </w:tr>
      <w:tr w:rsidRPr="0084482C" w:rsidR="00BC184E" w:rsidTr="00BC184E" w14:paraId="652442F3"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FB20A36"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LNV</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51842A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Ministerie van Landbouw, Natuur en Voedselkwaliteit </w:t>
            </w:r>
          </w:p>
        </w:tc>
      </w:tr>
      <w:tr w:rsidRPr="00BC184E" w:rsidR="00BC184E" w:rsidTr="00BC184E" w14:paraId="07928E0E"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7E223F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m.e.r.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7C00875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milieueffectrapportage</w:t>
            </w:r>
          </w:p>
        </w:tc>
      </w:tr>
      <w:tr w:rsidRPr="00BC184E" w:rsidR="00BC184E" w:rsidTr="00BC184E" w14:paraId="623C246A"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7E6541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MARPOL</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E37A205" w14:textId="77777777">
            <w:pPr>
              <w:spacing w:after="0" w:line="240" w:lineRule="auto"/>
              <w:rPr>
                <w:rFonts w:ascii="Calibri" w:hAnsi="Calibri" w:eastAsia="Times New Roman" w:cs="Calibri"/>
                <w:color w:val="000000"/>
                <w:sz w:val="22"/>
                <w:lang w:eastAsia="nl-NL"/>
              </w:rPr>
            </w:pPr>
            <w:r w:rsidRPr="00BC184E">
              <w:rPr>
                <w:rFonts w:ascii="Calibri" w:hAnsi="Calibri" w:eastAsia="Times New Roman" w:cs="Calibri"/>
                <w:color w:val="000000"/>
                <w:sz w:val="22"/>
                <w:lang w:eastAsia="nl-NL"/>
              </w:rPr>
              <w:t>International Convention for the Prevention of Pollution from Ships</w:t>
            </w:r>
          </w:p>
        </w:tc>
      </w:tr>
      <w:tr w:rsidRPr="00BC184E" w:rsidR="00BC184E" w:rsidTr="00BC184E" w14:paraId="02279F98"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0C1C80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MEPC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549BC6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Marine Environment Protection Committee</w:t>
            </w:r>
          </w:p>
        </w:tc>
      </w:tr>
      <w:tr w:rsidRPr="00BC184E" w:rsidR="00BC184E" w:rsidTr="00BC184E" w14:paraId="65CCBA5C"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CDE5E4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MER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6D3867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Milieueffectrapport</w:t>
            </w:r>
          </w:p>
        </w:tc>
      </w:tr>
      <w:tr w:rsidRPr="0084482C" w:rsidR="005F5515" w:rsidTr="00BC184E" w14:paraId="408DA826" w14:textId="77777777">
        <w:trPr>
          <w:trHeight w:val="300"/>
        </w:trPr>
        <w:tc>
          <w:tcPr>
            <w:tcW w:w="2020" w:type="dxa"/>
            <w:tcBorders>
              <w:top w:val="nil"/>
              <w:left w:val="nil"/>
              <w:bottom w:val="nil"/>
              <w:right w:val="nil"/>
            </w:tcBorders>
            <w:shd w:val="clear" w:color="auto" w:fill="auto"/>
            <w:noWrap/>
            <w:vAlign w:val="bottom"/>
          </w:tcPr>
          <w:p w:rsidRPr="00BC184E" w:rsidR="005F5515" w:rsidP="00BC184E" w:rsidRDefault="005F5515" w14:paraId="775BCCD1" w14:textId="02AF5279">
            <w:pPr>
              <w:spacing w:after="0" w:line="240" w:lineRule="auto"/>
              <w:rPr>
                <w:rFonts w:ascii="Calibri" w:hAnsi="Calibri" w:eastAsia="Times New Roman" w:cs="Calibri"/>
                <w:color w:val="000000"/>
                <w:sz w:val="22"/>
                <w:lang w:val="nl-NL" w:eastAsia="nl-NL"/>
              </w:rPr>
            </w:pPr>
            <w:r>
              <w:rPr>
                <w:rFonts w:ascii="Calibri" w:hAnsi="Calibri" w:eastAsia="Times New Roman" w:cs="Calibri"/>
                <w:color w:val="000000"/>
                <w:sz w:val="22"/>
                <w:lang w:val="nl-NL" w:eastAsia="nl-NL"/>
              </w:rPr>
              <w:t>MONS</w:t>
            </w:r>
          </w:p>
        </w:tc>
        <w:tc>
          <w:tcPr>
            <w:tcW w:w="9712" w:type="dxa"/>
            <w:tcBorders>
              <w:top w:val="nil"/>
              <w:left w:val="nil"/>
              <w:bottom w:val="nil"/>
              <w:right w:val="nil"/>
            </w:tcBorders>
            <w:shd w:val="clear" w:color="auto" w:fill="auto"/>
            <w:noWrap/>
            <w:vAlign w:val="bottom"/>
          </w:tcPr>
          <w:p w:rsidRPr="00BC184E" w:rsidR="005F5515" w:rsidP="00BC184E" w:rsidRDefault="005F5515" w14:paraId="17CD7852" w14:textId="467657B1">
            <w:pPr>
              <w:spacing w:after="0" w:line="240" w:lineRule="auto"/>
              <w:rPr>
                <w:rFonts w:ascii="Calibri" w:hAnsi="Calibri" w:eastAsia="Times New Roman" w:cs="Calibri"/>
                <w:color w:val="000000"/>
                <w:sz w:val="22"/>
                <w:lang w:val="nl-NL" w:eastAsia="nl-NL"/>
              </w:rPr>
            </w:pPr>
            <w:r w:rsidRPr="005F5515">
              <w:rPr>
                <w:rFonts w:ascii="Calibri" w:hAnsi="Calibri" w:eastAsia="Times New Roman" w:cs="Calibri"/>
                <w:color w:val="000000"/>
                <w:sz w:val="22"/>
                <w:lang w:val="nl-NL" w:eastAsia="nl-NL"/>
              </w:rPr>
              <w:t>Monitoring Onderzoek Natuurversterking en Soortenbescherming</w:t>
            </w:r>
          </w:p>
        </w:tc>
      </w:tr>
      <w:tr w:rsidRPr="00BC184E" w:rsidR="00BC184E" w:rsidTr="00BC184E" w14:paraId="753F1AB3"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30CE446"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MSCG</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2B7179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Marine Strategy Coordination group </w:t>
            </w:r>
          </w:p>
        </w:tc>
      </w:tr>
      <w:tr w:rsidRPr="00BC184E" w:rsidR="00BC184E" w:rsidTr="00BC184E" w14:paraId="3F0725C5"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93DA90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MSY</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20E390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Maximum Sustainable Yield</w:t>
            </w:r>
          </w:p>
        </w:tc>
      </w:tr>
      <w:tr w:rsidRPr="00BC184E" w:rsidR="00BC184E" w:rsidTr="00BC184E" w14:paraId="04DCEEAE"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33F021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NCP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82844D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Nederlands Continentaal Plat </w:t>
            </w:r>
          </w:p>
        </w:tc>
      </w:tr>
      <w:tr w:rsidRPr="00BC184E" w:rsidR="00BC184E" w:rsidTr="00BC184E" w14:paraId="3F4C5B1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718A07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NEAES </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D51227B" w14:textId="77777777">
            <w:pPr>
              <w:spacing w:after="0" w:line="240" w:lineRule="auto"/>
              <w:rPr>
                <w:rFonts w:ascii="Calibri" w:hAnsi="Calibri" w:eastAsia="Times New Roman" w:cs="Calibri"/>
                <w:color w:val="000000"/>
                <w:sz w:val="22"/>
                <w:lang w:eastAsia="nl-NL"/>
              </w:rPr>
            </w:pPr>
            <w:r w:rsidRPr="00BC184E">
              <w:rPr>
                <w:rFonts w:ascii="Calibri" w:hAnsi="Calibri" w:eastAsia="Times New Roman" w:cs="Calibri"/>
                <w:color w:val="000000"/>
                <w:sz w:val="22"/>
                <w:lang w:eastAsia="nl-NL"/>
              </w:rPr>
              <w:t>North-East Atlantic Environment Strategy</w:t>
            </w:r>
          </w:p>
        </w:tc>
      </w:tr>
      <w:tr w:rsidRPr="00BC184E" w:rsidR="00BC184E" w:rsidTr="00BC184E" w14:paraId="1F0F8B2F"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42B91A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ngo</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2FDC9C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Niet-gouvernementele organisatie</w:t>
            </w:r>
          </w:p>
        </w:tc>
      </w:tr>
      <w:tr w:rsidRPr="00BC184E" w:rsidR="00BC184E" w:rsidTr="00BC184E" w14:paraId="6FFC33C5"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9AADB9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NME</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439403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Natuur- en milieueducatie</w:t>
            </w:r>
          </w:p>
        </w:tc>
      </w:tr>
      <w:tr w:rsidRPr="00BC184E" w:rsidR="00BC184E" w:rsidTr="00BC184E" w14:paraId="32BC0F5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D1CAF6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NZA</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297C2F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Noordzeeakkoord </w:t>
            </w:r>
          </w:p>
        </w:tc>
      </w:tr>
      <w:tr w:rsidRPr="00BC184E" w:rsidR="00BC184E" w:rsidTr="00BC184E" w14:paraId="7E3B2172"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0B5B1A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NZO</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39EBA0A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Noordzeeoverleg</w:t>
            </w:r>
          </w:p>
        </w:tc>
      </w:tr>
      <w:tr w:rsidRPr="0084482C" w:rsidR="00BC184E" w:rsidTr="00BC184E" w14:paraId="1192293C"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DAB5EDF"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OCW</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FB5F7C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Ministerie van Onderwijs, Cultuur en Wetenschap</w:t>
            </w:r>
          </w:p>
        </w:tc>
      </w:tr>
      <w:tr w:rsidRPr="00BC184E" w:rsidR="00BC184E" w:rsidTr="00BC184E" w14:paraId="135E1CA6"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2747CB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OFL</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BC52C8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Overlegorgaan Fysieke Leefomgeving </w:t>
            </w:r>
          </w:p>
        </w:tc>
      </w:tr>
      <w:tr w:rsidRPr="00BC184E" w:rsidR="00BC184E" w:rsidTr="00BC184E" w14:paraId="610AD13C"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BD44F3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OIC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F17DEE6"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Offshore Industry (OSPAR comité)</w:t>
            </w:r>
          </w:p>
        </w:tc>
      </w:tr>
      <w:tr w:rsidRPr="0084482C" w:rsidR="00BC184E" w:rsidTr="00BC184E" w14:paraId="1C63D8F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8FC8C6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OSPAR(-verdrag)</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3DCC4B9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Verdrag inzake de bescherming van het mariene milieu in het noordoostelijk deel van de Atlantische Oceaan</w:t>
            </w:r>
          </w:p>
        </w:tc>
      </w:tr>
      <w:tr w:rsidRPr="00BC184E" w:rsidR="00BC184E" w:rsidTr="00BC184E" w14:paraId="7118BE30"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482521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PAK</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0BDFCA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Polycyclische aromatische koolwaterstoffen</w:t>
            </w:r>
          </w:p>
        </w:tc>
      </w:tr>
      <w:tr w:rsidRPr="00BC184E" w:rsidR="00BC184E" w:rsidTr="00BC184E" w14:paraId="2DC74DE8"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047544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PAM</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C73081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Passive Acoustic Monitoring</w:t>
            </w:r>
          </w:p>
        </w:tc>
      </w:tr>
      <w:tr w:rsidRPr="00BC184E" w:rsidR="00BC184E" w:rsidTr="00BC184E" w14:paraId="7CEFFDDA"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84632F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PBDE</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0C9838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Polygebromeerde difenylether</w:t>
            </w:r>
          </w:p>
        </w:tc>
      </w:tr>
      <w:tr w:rsidRPr="00BC184E" w:rsidR="00BC184E" w:rsidTr="00BC184E" w14:paraId="1EAF64DF"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32C993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PBL</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3BAC26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Planbureau voor de Leefomgeving</w:t>
            </w:r>
          </w:p>
        </w:tc>
      </w:tr>
      <w:tr w:rsidRPr="00BC184E" w:rsidR="00BC184E" w:rsidTr="00BC184E" w14:paraId="6B39D843"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122B6BD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PCB</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716EC75"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Polychloorbifenyl</w:t>
            </w:r>
          </w:p>
        </w:tc>
      </w:tr>
      <w:tr w:rsidRPr="0084482C" w:rsidR="00BC184E" w:rsidTr="00BC184E" w14:paraId="31107C31"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3310AB0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REACH(-verordening) </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7FC1AEE1" w14:textId="77777777">
            <w:pPr>
              <w:spacing w:after="0" w:line="240" w:lineRule="auto"/>
              <w:rPr>
                <w:rFonts w:eastAsia="Times New Roman" w:cs="Calibri"/>
                <w:color w:val="000000"/>
                <w:szCs w:val="18"/>
                <w:lang w:val="nl-NL" w:eastAsia="nl-NL"/>
              </w:rPr>
            </w:pPr>
            <w:r w:rsidRPr="00BC184E">
              <w:rPr>
                <w:rFonts w:eastAsia="Times New Roman" w:cs="Calibri"/>
                <w:color w:val="000000"/>
                <w:szCs w:val="18"/>
                <w:lang w:val="nl-NL" w:eastAsia="nl-NL"/>
              </w:rPr>
              <w:t>Registratie, Evaluatie en Autorisatie van Chemische stoffen</w:t>
            </w:r>
          </w:p>
        </w:tc>
      </w:tr>
      <w:tr w:rsidRPr="0084482C" w:rsidR="00BC184E" w:rsidTr="00BC184E" w14:paraId="743BC38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703F94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RIVM</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5257329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Rijksinstituut voor Volksgezondheid en Milieu</w:t>
            </w:r>
          </w:p>
        </w:tc>
      </w:tr>
      <w:tr w:rsidRPr="00BC184E" w:rsidR="00BC184E" w:rsidTr="00BC184E" w14:paraId="08CB76E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D74FC8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RSC</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B924A2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Radioactive Substances (OSPAR comité)</w:t>
            </w:r>
          </w:p>
        </w:tc>
      </w:tr>
      <w:tr w:rsidRPr="00BC184E" w:rsidR="00BC184E" w:rsidTr="00BC184E" w14:paraId="22584145"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17ED20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RWS</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0CA8560"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Rijkswaterstaat</w:t>
            </w:r>
          </w:p>
        </w:tc>
      </w:tr>
      <w:tr w:rsidRPr="00BC184E" w:rsidR="00BC184E" w:rsidTr="00BC184E" w14:paraId="3C631852"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5E4189D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rwzi</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B44513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Rioolwaterzuivering</w:t>
            </w:r>
          </w:p>
        </w:tc>
      </w:tr>
      <w:tr w:rsidRPr="0084482C" w:rsidR="00BC184E" w:rsidTr="00BC184E" w14:paraId="3E394395"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2ABB23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SMART</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B2F054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Specifiek, Meetbaar, Acceptabel, Realistisch, Tijdgebonden</w:t>
            </w:r>
          </w:p>
        </w:tc>
      </w:tr>
      <w:tr w:rsidRPr="00BC184E" w:rsidR="00BC184E" w:rsidTr="00BC184E" w14:paraId="25317E27"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EE37594"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SSB</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528898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Spawning Stock Biomass </w:t>
            </w:r>
          </w:p>
        </w:tc>
      </w:tr>
      <w:tr w:rsidRPr="00BC184E" w:rsidR="00BC184E" w:rsidTr="00BC184E" w14:paraId="437B439D"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4F4C17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SUP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CD55B2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Single Use Plastics</w:t>
            </w:r>
          </w:p>
        </w:tc>
      </w:tr>
      <w:tr w:rsidRPr="00BC184E" w:rsidR="00BC184E" w:rsidTr="00BC184E" w14:paraId="4624BADA"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14B239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TBT</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86F7EB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Tributyltinhydride</w:t>
            </w:r>
          </w:p>
        </w:tc>
      </w:tr>
      <w:tr w:rsidRPr="00BC184E" w:rsidR="00BC184E" w:rsidTr="00BC184E" w14:paraId="59221D19"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72E2C45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UPV</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0A7EC5A4" w14:textId="77777777">
            <w:pPr>
              <w:spacing w:after="0" w:line="240" w:lineRule="auto"/>
              <w:rPr>
                <w:rFonts w:eastAsia="Times New Roman" w:cs="Calibri"/>
                <w:color w:val="000000"/>
                <w:szCs w:val="18"/>
                <w:lang w:val="nl-NL" w:eastAsia="nl-NL"/>
              </w:rPr>
            </w:pPr>
            <w:r w:rsidRPr="00BC184E">
              <w:rPr>
                <w:rFonts w:eastAsia="Times New Roman" w:cs="Calibri"/>
                <w:color w:val="000000"/>
                <w:szCs w:val="18"/>
                <w:lang w:val="nl-NL" w:eastAsia="nl-NL"/>
              </w:rPr>
              <w:t>Uitgebreide producentenverantwoordelijkheid</w:t>
            </w:r>
          </w:p>
        </w:tc>
      </w:tr>
      <w:tr w:rsidRPr="0084482C" w:rsidR="00BC184E" w:rsidTr="00BC184E" w14:paraId="1BFB355B"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8244462"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Vewin</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04910EA"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Vereniging van waterbedrijven in Nederland</w:t>
            </w:r>
          </w:p>
        </w:tc>
      </w:tr>
      <w:tr w:rsidRPr="00BC184E" w:rsidR="00BC184E" w:rsidTr="00BC184E" w14:paraId="44AE400A"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FFA550B"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VHR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8C3A43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Vogel- en Habitatrichtlijn</w:t>
            </w:r>
          </w:p>
        </w:tc>
      </w:tr>
      <w:tr w:rsidRPr="00BC184E" w:rsidR="00BC184E" w:rsidTr="00BC184E" w14:paraId="1F563004"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828157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VIBEG(-akkoord)</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1F8932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Vissen in beschermde gebieden</w:t>
            </w:r>
          </w:p>
        </w:tc>
      </w:tr>
      <w:tr w:rsidRPr="00BC184E" w:rsidR="00BC184E" w:rsidTr="00BC184E" w14:paraId="6B751900"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84D474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VNG</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70D5587"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Vereniging Nederlandse Gemeenten </w:t>
            </w:r>
          </w:p>
        </w:tc>
      </w:tr>
      <w:tr w:rsidRPr="00BC184E" w:rsidR="00BC184E" w:rsidTr="00BC184E" w14:paraId="452BB272"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0B6F0CA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EC8823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Vogelrichtlijn</w:t>
            </w:r>
          </w:p>
        </w:tc>
      </w:tr>
      <w:tr w:rsidRPr="0084482C" w:rsidR="00BC184E" w:rsidTr="00BC184E" w14:paraId="2BA882B8"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08CE58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VWS</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6A04A91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Ministerie van Volksgezondheid, Welzijn en Sport</w:t>
            </w:r>
          </w:p>
        </w:tc>
      </w:tr>
      <w:tr w:rsidRPr="00BC184E" w:rsidR="00BC184E" w:rsidTr="00BC184E" w14:paraId="75853250"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076214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WEcR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4080E709"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Wageningen Economic Research</w:t>
            </w:r>
          </w:p>
        </w:tc>
      </w:tr>
      <w:tr w:rsidRPr="00BC184E" w:rsidR="00BC184E" w:rsidTr="00BC184E" w14:paraId="288BBD26"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46085A1C"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WOT</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1347F63D"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Wettelijks Onderzoeks Taken</w:t>
            </w:r>
          </w:p>
        </w:tc>
      </w:tr>
      <w:tr w:rsidRPr="0084482C" w:rsidR="00BC184E" w:rsidTr="00BC184E" w14:paraId="61EE62F2"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6D953893"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Wozep</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2E1BE98E"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Wind op Zee Ecologisch Programma</w:t>
            </w:r>
          </w:p>
        </w:tc>
      </w:tr>
      <w:tr w:rsidRPr="00BC184E" w:rsidR="00BC184E" w:rsidTr="00BC184E" w14:paraId="72EC53BE" w14:textId="77777777">
        <w:trPr>
          <w:trHeight w:val="300"/>
        </w:trPr>
        <w:tc>
          <w:tcPr>
            <w:tcW w:w="2020" w:type="dxa"/>
            <w:tcBorders>
              <w:top w:val="nil"/>
              <w:left w:val="nil"/>
              <w:bottom w:val="nil"/>
              <w:right w:val="nil"/>
            </w:tcBorders>
            <w:shd w:val="clear" w:color="auto" w:fill="auto"/>
            <w:noWrap/>
            <w:vAlign w:val="bottom"/>
            <w:hideMark/>
          </w:tcPr>
          <w:p w:rsidRPr="00BC184E" w:rsidR="00BC184E" w:rsidP="00BC184E" w:rsidRDefault="00BC184E" w14:paraId="2E1708B1"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ZOR</w:t>
            </w:r>
          </w:p>
        </w:tc>
        <w:tc>
          <w:tcPr>
            <w:tcW w:w="9712" w:type="dxa"/>
            <w:tcBorders>
              <w:top w:val="nil"/>
              <w:left w:val="nil"/>
              <w:bottom w:val="nil"/>
              <w:right w:val="nil"/>
            </w:tcBorders>
            <w:shd w:val="clear" w:color="auto" w:fill="auto"/>
            <w:noWrap/>
            <w:vAlign w:val="bottom"/>
            <w:hideMark/>
          </w:tcPr>
          <w:p w:rsidRPr="00BC184E" w:rsidR="00BC184E" w:rsidP="00BC184E" w:rsidRDefault="00BC184E" w14:paraId="75B8D5A8" w14:textId="77777777">
            <w:pPr>
              <w:spacing w:after="0" w:line="240" w:lineRule="auto"/>
              <w:rPr>
                <w:rFonts w:ascii="Calibri" w:hAnsi="Calibri" w:eastAsia="Times New Roman" w:cs="Calibri"/>
                <w:color w:val="000000"/>
                <w:sz w:val="22"/>
                <w:lang w:val="nl-NL" w:eastAsia="nl-NL"/>
              </w:rPr>
            </w:pPr>
            <w:r w:rsidRPr="00BC184E">
              <w:rPr>
                <w:rFonts w:ascii="Calibri" w:hAnsi="Calibri" w:eastAsia="Times New Roman" w:cs="Calibri"/>
                <w:color w:val="000000"/>
                <w:sz w:val="22"/>
                <w:lang w:val="nl-NL" w:eastAsia="nl-NL"/>
              </w:rPr>
              <w:t xml:space="preserve">zwerfafvalophaalregeling </w:t>
            </w:r>
          </w:p>
        </w:tc>
      </w:tr>
    </w:tbl>
    <w:p w:rsidR="00FE1726" w:rsidP="0070550F" w:rsidRDefault="00FE1726" w14:paraId="09E7B3DF" w14:textId="77777777">
      <w:pPr>
        <w:rPr>
          <w:lang w:val="nl-NL"/>
        </w:rPr>
      </w:pPr>
    </w:p>
    <w:p w:rsidR="00FE1726" w:rsidRDefault="00FE1726" w14:paraId="2FA959D3" w14:textId="77777777">
      <w:pPr>
        <w:rPr>
          <w:lang w:val="nl-NL"/>
        </w:rPr>
      </w:pPr>
      <w:r>
        <w:rPr>
          <w:lang w:val="nl-NL"/>
        </w:rPr>
        <w:br w:type="page"/>
      </w:r>
    </w:p>
    <w:p w:rsidR="00BC184E" w:rsidP="000D4013" w:rsidRDefault="000D4013" w14:paraId="3A92382C" w14:textId="77777777">
      <w:pPr>
        <w:pStyle w:val="Heading1"/>
        <w:rPr>
          <w:lang w:val="nl-NL"/>
        </w:rPr>
      </w:pPr>
      <w:bookmarkStart w:name="_Toc59455642" w:id="69"/>
      <w:r>
        <w:rPr>
          <w:lang w:val="nl-NL"/>
        </w:rPr>
        <w:t xml:space="preserve">Bijlage 1: </w:t>
      </w:r>
      <w:r w:rsidRPr="00FE1726" w:rsidR="00FE1726">
        <w:rPr>
          <w:lang w:val="nl-NL"/>
        </w:rPr>
        <w:t>Overzicht internationale regelgeving en implementatie maatregelen in Nederlandse regelgeving</w:t>
      </w:r>
      <w:bookmarkEnd w:id="69"/>
    </w:p>
    <w:p w:rsidRPr="000D4013" w:rsidR="000D4013" w:rsidP="000D4013" w:rsidRDefault="000D4013" w14:paraId="41138489" w14:textId="77777777">
      <w:pPr>
        <w:rPr>
          <w:lang w:val="nl-NL"/>
        </w:rPr>
      </w:pPr>
    </w:p>
    <w:tbl>
      <w:tblPr>
        <w:tblW w:w="0" w:type="auto"/>
        <w:tblCellMar>
          <w:left w:w="70" w:type="dxa"/>
          <w:right w:w="70" w:type="dxa"/>
        </w:tblCellMar>
        <w:tblLook w:val="04A0" w:firstRow="1" w:lastRow="0" w:firstColumn="1" w:lastColumn="0" w:noHBand="0" w:noVBand="1"/>
      </w:tblPr>
      <w:tblGrid>
        <w:gridCol w:w="2510"/>
        <w:gridCol w:w="2609"/>
        <w:gridCol w:w="3898"/>
      </w:tblGrid>
      <w:tr w:rsidRPr="00FE1726" w:rsidR="00FE1726" w:rsidTr="000F24F6" w14:paraId="065D0BEA" w14:textId="77777777">
        <w:trPr>
          <w:trHeight w:val="285"/>
          <w:tblHeader/>
        </w:trPr>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495A8DA5" w14:textId="77777777">
            <w:pPr>
              <w:rPr>
                <w:rFonts w:eastAsia="Times New Roman" w:cs="Times New Roman"/>
                <w:b/>
                <w:iCs/>
                <w:color w:val="000000"/>
                <w:sz w:val="16"/>
                <w:szCs w:val="16"/>
                <w:lang w:eastAsia="nl-NL"/>
              </w:rPr>
            </w:pPr>
            <w:r w:rsidRPr="00FE1726">
              <w:rPr>
                <w:rFonts w:eastAsia="Times New Roman" w:cs="Times New Roman"/>
                <w:b/>
                <w:iCs/>
                <w:color w:val="000000"/>
                <w:sz w:val="16"/>
                <w:szCs w:val="16"/>
                <w:lang w:eastAsia="nl-NL"/>
              </w:rPr>
              <w:t xml:space="preserve">Maatregel </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40817476" w14:textId="77777777">
            <w:pPr>
              <w:rPr>
                <w:rFonts w:eastAsia="Times New Roman" w:cs="Times New Roman"/>
                <w:b/>
                <w:iCs/>
                <w:color w:val="000000"/>
                <w:sz w:val="16"/>
                <w:szCs w:val="16"/>
                <w:lang w:eastAsia="nl-NL"/>
              </w:rPr>
            </w:pPr>
            <w:r w:rsidRPr="00FE1726">
              <w:rPr>
                <w:rFonts w:eastAsia="Times New Roman" w:cs="Times New Roman"/>
                <w:b/>
                <w:iCs/>
                <w:color w:val="000000"/>
                <w:sz w:val="16"/>
                <w:szCs w:val="16"/>
                <w:lang w:eastAsia="nl-NL"/>
              </w:rPr>
              <w:t>Europese/internationale wetgeving</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77B4D847" w14:textId="77777777">
            <w:pPr>
              <w:rPr>
                <w:rFonts w:eastAsia="Times New Roman" w:cs="Times New Roman"/>
                <w:b/>
                <w:iCs/>
                <w:color w:val="000000"/>
                <w:sz w:val="16"/>
                <w:szCs w:val="16"/>
                <w:lang w:eastAsia="nl-NL"/>
              </w:rPr>
            </w:pPr>
            <w:r w:rsidRPr="00FE1726">
              <w:rPr>
                <w:rFonts w:eastAsia="Times New Roman" w:cs="Times New Roman"/>
                <w:b/>
                <w:iCs/>
                <w:color w:val="000000"/>
                <w:sz w:val="16"/>
                <w:szCs w:val="16"/>
                <w:lang w:eastAsia="nl-NL"/>
              </w:rPr>
              <w:t xml:space="preserve">Nationaal instrumentarium </w:t>
            </w:r>
          </w:p>
        </w:tc>
      </w:tr>
      <w:tr w:rsidRPr="00FE1726" w:rsidR="00FE1726" w:rsidTr="00FE1726" w14:paraId="2E4734D3" w14:textId="77777777">
        <w:trPr>
          <w:trHeight w:val="225"/>
        </w:trPr>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4280AD03"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D1 Biodiversiteit</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1EE31391" w14:textId="77777777">
            <w:pPr>
              <w:rPr>
                <w:rFonts w:eastAsia="Times New Roman" w:cs="Times New Roman"/>
                <w:b/>
                <w:bCs/>
                <w:color w:val="000000"/>
                <w:sz w:val="16"/>
                <w:szCs w:val="16"/>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5A839CC0" w14:textId="77777777">
            <w:pPr>
              <w:rPr>
                <w:rFonts w:eastAsia="Times New Roman" w:cs="Times New Roman"/>
                <w:sz w:val="16"/>
                <w:szCs w:val="16"/>
                <w:lang w:eastAsia="nl-NL"/>
              </w:rPr>
            </w:pPr>
          </w:p>
        </w:tc>
      </w:tr>
      <w:tr w:rsidRPr="00FE1726" w:rsidR="00FE1726" w:rsidTr="00FE1726" w14:paraId="09367220" w14:textId="77777777">
        <w:trPr>
          <w:trHeight w:val="90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39BC652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Beoordeling van (grootschalige) ingrepen en compensatie daarvan</w:t>
            </w:r>
          </w:p>
        </w:tc>
        <w:tc>
          <w:tcPr>
            <w:tcW w:w="0" w:type="auto"/>
            <w:tcBorders>
              <w:top w:val="single" w:color="auto" w:sz="4" w:space="0"/>
              <w:left w:val="nil"/>
              <w:bottom w:val="single" w:color="auto" w:sz="4" w:space="0"/>
              <w:right w:val="single" w:color="auto" w:sz="4" w:space="0"/>
            </w:tcBorders>
            <w:shd w:val="clear" w:color="000000" w:fill="FFFFFF"/>
            <w:hideMark/>
          </w:tcPr>
          <w:p w:rsidRPr="00FE1726" w:rsidR="00FE1726" w:rsidP="00013E66" w:rsidRDefault="00FE1726" w14:paraId="16962E5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betreffende de milieueffectbeoordeling van bepaalde openbare en particuliere projecten (011/92/EU)</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5E1B33FB" w14:textId="4BA41CA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m</w:t>
            </w:r>
            <w:r w:rsidRPr="00FE1726">
              <w:rPr>
                <w:rFonts w:eastAsia="Times New Roman" w:cs="Times New Roman"/>
                <w:color w:val="000000"/>
                <w:sz w:val="16"/>
                <w:szCs w:val="16"/>
                <w:lang w:eastAsia="nl-NL"/>
              </w:rPr>
              <w:t>ilieubeheer</w:t>
            </w:r>
          </w:p>
          <w:p w:rsidRPr="00FE1726" w:rsidR="00FE1726" w:rsidP="00013E66" w:rsidRDefault="00FE1726" w14:paraId="7E4F912A" w14:textId="77777777">
            <w:pPr>
              <w:tabs>
                <w:tab w:val="left" w:pos="4875"/>
              </w:tabs>
              <w:rPr>
                <w:rFonts w:eastAsia="Times New Roman" w:cs="Times New Roman"/>
                <w:sz w:val="16"/>
                <w:szCs w:val="16"/>
                <w:lang w:eastAsia="nl-NL"/>
              </w:rPr>
            </w:pPr>
            <w:r w:rsidRPr="00FE1726">
              <w:rPr>
                <w:rFonts w:eastAsia="Times New Roman" w:cs="Times New Roman"/>
                <w:sz w:val="16"/>
                <w:szCs w:val="16"/>
                <w:lang w:eastAsia="nl-NL"/>
              </w:rPr>
              <w:tab/>
            </w:r>
          </w:p>
        </w:tc>
      </w:tr>
      <w:tr w:rsidRPr="00FE1726" w:rsidR="00FE1726" w:rsidTr="00FE1726" w14:paraId="7985B4CF" w14:textId="77777777">
        <w:trPr>
          <w:trHeight w:val="180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1E0CD8E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Beperking van visserij in de kustzone </w:t>
            </w:r>
          </w:p>
        </w:tc>
        <w:tc>
          <w:tcPr>
            <w:tcW w:w="0" w:type="auto"/>
            <w:tcBorders>
              <w:top w:val="nil"/>
              <w:left w:val="nil"/>
              <w:bottom w:val="single" w:color="auto" w:sz="4" w:space="0"/>
              <w:right w:val="single" w:color="auto" w:sz="4" w:space="0"/>
            </w:tcBorders>
            <w:shd w:val="clear" w:color="000000" w:fill="FFFFFF"/>
            <w:hideMark/>
          </w:tcPr>
          <w:p w:rsidRPr="00FE1726" w:rsidR="00FE1726" w:rsidP="00CD2D65" w:rsidRDefault="00FE1726" w14:paraId="1A7C3822" w14:textId="4093F3CE">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 (Vogelrichtlijn; 79/409/EEG) Richtlijn inzake de instandhouding van de natuurlijke habitats en de wilde flora en fauna (Habitatrichtlijn; 92/43/EEG)</w:t>
            </w:r>
            <w:r w:rsidRPr="00FE1726">
              <w:rPr>
                <w:rFonts w:eastAsia="Times New Roman" w:cs="Times New Roman"/>
                <w:color w:val="000000"/>
                <w:sz w:val="16"/>
                <w:szCs w:val="16"/>
                <w:lang w:val="nl-NL" w:eastAsia="nl-NL"/>
              </w:rPr>
              <w:br/>
              <w:t xml:space="preserve">Verordening (EU) inzake het </w:t>
            </w:r>
            <w:r w:rsidR="00CD2D65">
              <w:rPr>
                <w:rFonts w:eastAsia="Times New Roman" w:cs="Times New Roman"/>
                <w:color w:val="000000"/>
                <w:sz w:val="16"/>
                <w:szCs w:val="16"/>
                <w:lang w:val="nl-NL" w:eastAsia="nl-NL"/>
              </w:rPr>
              <w:t>G</w:t>
            </w:r>
            <w:r w:rsidRPr="00FE1726">
              <w:rPr>
                <w:rFonts w:eastAsia="Times New Roman" w:cs="Times New Roman"/>
                <w:color w:val="000000"/>
                <w:sz w:val="16"/>
                <w:szCs w:val="16"/>
                <w:lang w:val="nl-NL" w:eastAsia="nl-NL"/>
              </w:rPr>
              <w:t xml:space="preserve">emeenschappelijk </w:t>
            </w:r>
            <w:r w:rsidR="00CD2D65">
              <w:rPr>
                <w:rFonts w:eastAsia="Times New Roman" w:cs="Times New Roman"/>
                <w:color w:val="000000"/>
                <w:sz w:val="16"/>
                <w:szCs w:val="16"/>
                <w:lang w:val="nl-NL" w:eastAsia="nl-NL"/>
              </w:rPr>
              <w:t>V</w:t>
            </w:r>
            <w:r w:rsidRPr="00FE1726">
              <w:rPr>
                <w:rFonts w:eastAsia="Times New Roman" w:cs="Times New Roman"/>
                <w:color w:val="000000"/>
                <w:sz w:val="16"/>
                <w:szCs w:val="16"/>
                <w:lang w:val="nl-NL" w:eastAsia="nl-NL"/>
              </w:rPr>
              <w:t>isserijbeleid (GVB) (1380/2013)</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0BE3E0F" w14:textId="09F8E544">
            <w:pPr>
              <w:ind w:right="1448"/>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atuurbescherming en Visserijwet 1963</w:t>
            </w:r>
          </w:p>
        </w:tc>
      </w:tr>
      <w:tr w:rsidRPr="00FE1726" w:rsidR="00FE1726" w:rsidTr="00FE1726" w14:paraId="5E6AD5A6" w14:textId="77777777">
        <w:trPr>
          <w:trHeight w:val="112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639CEAC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Zoneren en faseren van activiteiten aan de kust</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26CA313"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 (Vogelrichtlijn; 79/409/EEG) Richtlijn inzake de instandhouding van de natuurlijke habitats en de wilde flora en fauna (Habitatrichtlijn; 92/43/EEG)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9FDDE9A" w14:textId="4691703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 xml:space="preserve">atuurbescherming </w:t>
            </w:r>
          </w:p>
        </w:tc>
      </w:tr>
      <w:tr w:rsidRPr="00FE1726" w:rsidR="00FE1726" w:rsidTr="00FE1726" w14:paraId="736F7834" w14:textId="77777777">
        <w:trPr>
          <w:trHeight w:val="1125"/>
        </w:trPr>
        <w:tc>
          <w:tcPr>
            <w:tcW w:w="0" w:type="auto"/>
            <w:tcBorders>
              <w:top w:val="nil"/>
              <w:left w:val="single" w:color="auto" w:sz="4" w:space="0"/>
              <w:bottom w:val="nil"/>
              <w:right w:val="single" w:color="auto" w:sz="4" w:space="0"/>
            </w:tcBorders>
            <w:shd w:val="clear" w:color="000000" w:fill="FFFFFF"/>
            <w:hideMark/>
          </w:tcPr>
          <w:p w:rsidRPr="00FE1726" w:rsidR="00FE1726" w:rsidP="00013E66" w:rsidRDefault="00FE1726" w14:paraId="621BEA4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Regulering van andere activiteiten binnen de kustzone</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0D011AA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 (Vogelrichtlijn; 79/409/EEG) Richtlijn inzake de instandhouding van de natuurlijke habitats en de wilde flora en fauna (Habitatrichtlijn; 92/43/EEG)</w:t>
            </w:r>
          </w:p>
        </w:tc>
        <w:tc>
          <w:tcPr>
            <w:tcW w:w="0" w:type="auto"/>
            <w:tcBorders>
              <w:top w:val="nil"/>
              <w:left w:val="nil"/>
              <w:bottom w:val="nil"/>
              <w:right w:val="single" w:color="auto" w:sz="4" w:space="0"/>
            </w:tcBorders>
            <w:shd w:val="clear" w:color="auto" w:fill="auto"/>
            <w:hideMark/>
          </w:tcPr>
          <w:p w:rsidRPr="00FE1726" w:rsidR="00FE1726" w:rsidP="00013E66" w:rsidRDefault="00FE1726" w14:paraId="62BFDD17" w14:textId="68E76E91">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 xml:space="preserve">atuurbescherming </w:t>
            </w:r>
          </w:p>
        </w:tc>
      </w:tr>
      <w:tr w:rsidRPr="00FE1726" w:rsidR="00FE1726" w:rsidTr="00FE1726" w14:paraId="42651C77" w14:textId="77777777">
        <w:trPr>
          <w:trHeight w:val="90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7AA7BAA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Implementatie OSPAR-Lijst bedreigde diersoorten en habitats</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2C69DC45"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OSPAR Commission, OSPAR List of Threatened and/or Declining Species and Habitats– correction 2014, Reference Number 2008-6 (2014)</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7A110CBF" w14:textId="660F2A8D">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 xml:space="preserve">atuurbescherming </w:t>
            </w:r>
          </w:p>
        </w:tc>
      </w:tr>
      <w:tr w:rsidRPr="00FE1726" w:rsidR="00FE1726" w:rsidTr="00FE1726" w14:paraId="1C3FBD7E" w14:textId="77777777">
        <w:trPr>
          <w:trHeight w:val="450"/>
        </w:trPr>
        <w:tc>
          <w:tcPr>
            <w:tcW w:w="0" w:type="auto"/>
            <w:tcBorders>
              <w:top w:val="nil"/>
              <w:left w:val="single" w:color="auto" w:sz="4" w:space="0"/>
              <w:bottom w:val="nil"/>
              <w:right w:val="single" w:color="auto" w:sz="4" w:space="0"/>
            </w:tcBorders>
            <w:shd w:val="clear" w:color="000000" w:fill="FFFFFF"/>
            <w:hideMark/>
          </w:tcPr>
          <w:p w:rsidRPr="00FE1726" w:rsidR="00FE1726" w:rsidP="00013E66" w:rsidRDefault="00FE1726" w14:paraId="618D652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Kierbesluit gedeeltelijke openstelling Haringvlietsluizen</w:t>
            </w:r>
          </w:p>
        </w:tc>
        <w:tc>
          <w:tcPr>
            <w:tcW w:w="0" w:type="auto"/>
            <w:tcBorders>
              <w:top w:val="nil"/>
              <w:left w:val="nil"/>
              <w:bottom w:val="nil"/>
              <w:right w:val="single" w:color="auto" w:sz="4" w:space="0"/>
            </w:tcBorders>
            <w:shd w:val="clear" w:color="000000" w:fill="FFFFFF"/>
            <w:hideMark/>
          </w:tcPr>
          <w:p w:rsidRPr="00FE1726" w:rsidR="00FE1726" w:rsidP="00013E66" w:rsidRDefault="00FE1726" w14:paraId="38A3ED7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nil"/>
              <w:right w:val="single" w:color="auto" w:sz="4" w:space="0"/>
            </w:tcBorders>
            <w:shd w:val="clear" w:color="auto" w:fill="auto"/>
            <w:hideMark/>
          </w:tcPr>
          <w:p w:rsidRPr="00FE1726" w:rsidR="00FE1726" w:rsidP="00013E66" w:rsidRDefault="00FE1726" w14:paraId="6C7B1D5A"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Besluit beheer Haringvlietsluizen</w:t>
            </w:r>
          </w:p>
        </w:tc>
      </w:tr>
      <w:tr w:rsidRPr="00FE1726" w:rsidR="00FE1726" w:rsidTr="00FE1726" w14:paraId="04182DE9" w14:textId="77777777">
        <w:trPr>
          <w:trHeight w:val="112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CD2D65" w:rsidRDefault="001754E8" w14:paraId="051200B9" w14:textId="284B320B">
            <w:pPr>
              <w:rPr>
                <w:rFonts w:eastAsia="Times New Roman" w:cs="Times New Roman"/>
                <w:color w:val="000000"/>
                <w:sz w:val="16"/>
                <w:szCs w:val="16"/>
                <w:lang w:val="nl-NL" w:eastAsia="nl-NL"/>
              </w:rPr>
            </w:pPr>
            <w:r>
              <w:rPr>
                <w:rFonts w:eastAsia="Times New Roman" w:cs="Times New Roman"/>
                <w:color w:val="000000"/>
                <w:sz w:val="16"/>
                <w:szCs w:val="16"/>
                <w:lang w:val="nl-NL" w:eastAsia="nl-NL"/>
              </w:rPr>
              <w:t>Instandhoudingsmaatregelen</w:t>
            </w:r>
            <w:r w:rsidRPr="00FE1726" w:rsidR="00FE1726">
              <w:rPr>
                <w:rFonts w:eastAsia="Times New Roman" w:cs="Times New Roman"/>
                <w:color w:val="000000"/>
                <w:sz w:val="16"/>
                <w:szCs w:val="16"/>
                <w:lang w:val="nl-NL" w:eastAsia="nl-NL"/>
              </w:rPr>
              <w:t xml:space="preserve"> (Friese Front) en Bruine bank (aangewezen als VR gebied</w:t>
            </w:r>
            <w:r w:rsidR="00CD2D65">
              <w:rPr>
                <w:rFonts w:eastAsia="Times New Roman" w:cs="Times New Roman"/>
                <w:color w:val="000000"/>
                <w:sz w:val="16"/>
                <w:szCs w:val="16"/>
                <w:lang w:val="nl-NL" w:eastAsia="nl-NL"/>
              </w:rPr>
              <w:t xml:space="preserve"> in 2021</w:t>
            </w:r>
            <w:r w:rsidRPr="00FE1726" w:rsidR="00FE1726">
              <w:rPr>
                <w:rFonts w:eastAsia="Times New Roman" w:cs="Times New Roman"/>
                <w:color w:val="000000"/>
                <w:sz w:val="16"/>
                <w:szCs w:val="16"/>
                <w:lang w:val="nl-NL" w:eastAsia="nl-NL"/>
              </w:rPr>
              <w:t>) en mogelijk andere gebieden die kwalificeren onder de VR.</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256DF498" w14:textId="089EA6AE">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 (Vogelrichtlijn; 79/409/EEG)</w:t>
            </w:r>
            <w:r w:rsidRPr="00FE1726">
              <w:rPr>
                <w:rFonts w:eastAsia="Times New Roman" w:cs="Times New Roman"/>
                <w:color w:val="000000"/>
                <w:sz w:val="16"/>
                <w:szCs w:val="16"/>
                <w:lang w:val="nl-NL" w:eastAsia="nl-NL"/>
              </w:rPr>
              <w:br/>
              <w:t xml:space="preserve">Verordening (EU) inzake het </w:t>
            </w:r>
            <w:r w:rsidR="00CD2D65">
              <w:rPr>
                <w:rFonts w:eastAsia="Times New Roman" w:cs="Times New Roman"/>
                <w:color w:val="000000"/>
                <w:sz w:val="16"/>
                <w:szCs w:val="16"/>
                <w:lang w:val="nl-NL" w:eastAsia="nl-NL"/>
              </w:rPr>
              <w:t>G</w:t>
            </w:r>
            <w:r w:rsidRPr="00FE1726">
              <w:rPr>
                <w:rFonts w:eastAsia="Times New Roman" w:cs="Times New Roman"/>
                <w:color w:val="000000"/>
                <w:sz w:val="16"/>
                <w:szCs w:val="16"/>
                <w:lang w:val="nl-NL" w:eastAsia="nl-NL"/>
              </w:rPr>
              <w:t xml:space="preserve">emeenschappelijk </w:t>
            </w:r>
            <w:r w:rsidR="00CD2D65">
              <w:rPr>
                <w:rFonts w:eastAsia="Times New Roman" w:cs="Times New Roman"/>
                <w:color w:val="000000"/>
                <w:sz w:val="16"/>
                <w:szCs w:val="16"/>
                <w:lang w:val="nl-NL" w:eastAsia="nl-NL"/>
              </w:rPr>
              <w:t>V</w:t>
            </w:r>
            <w:r w:rsidRPr="00FE1726">
              <w:rPr>
                <w:rFonts w:eastAsia="Times New Roman" w:cs="Times New Roman"/>
                <w:color w:val="000000"/>
                <w:sz w:val="16"/>
                <w:szCs w:val="16"/>
                <w:lang w:val="nl-NL" w:eastAsia="nl-NL"/>
              </w:rPr>
              <w:t xml:space="preserve">isserijbeleid (GVB)(1380/2013) </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6B270E41" w14:textId="30396AF2">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 xml:space="preserve">atuurbescherming </w:t>
            </w:r>
          </w:p>
        </w:tc>
      </w:tr>
      <w:tr w:rsidRPr="0084482C" w:rsidR="00FE1726" w:rsidTr="00FE1726" w14:paraId="48D80D40"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3BBD744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Maatregelen op gebied van vogels, vleermuizen en zeezoogdieren </w:t>
            </w:r>
          </w:p>
        </w:tc>
        <w:tc>
          <w:tcPr>
            <w:tcW w:w="0" w:type="auto"/>
            <w:tcBorders>
              <w:top w:val="nil"/>
              <w:left w:val="nil"/>
              <w:bottom w:val="single" w:color="auto" w:sz="4" w:space="0"/>
              <w:right w:val="single" w:color="auto" w:sz="4" w:space="0"/>
            </w:tcBorders>
            <w:shd w:val="clear" w:color="auto" w:fill="auto"/>
            <w:noWrap/>
            <w:hideMark/>
          </w:tcPr>
          <w:p w:rsidRPr="00FE1726" w:rsidR="00FE1726" w:rsidP="00013E66" w:rsidRDefault="00FE1726" w14:paraId="3304854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1930DB8" w14:textId="560C7015">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Wet </w:t>
            </w:r>
            <w:r w:rsidR="00A9405C">
              <w:rPr>
                <w:rFonts w:eastAsia="Times New Roman" w:cs="Times New Roman"/>
                <w:color w:val="000000"/>
                <w:sz w:val="16"/>
                <w:szCs w:val="16"/>
                <w:lang w:val="nl-NL" w:eastAsia="nl-NL"/>
              </w:rPr>
              <w:t>w</w:t>
            </w:r>
            <w:r w:rsidRPr="00FE1726">
              <w:rPr>
                <w:rFonts w:eastAsia="Times New Roman" w:cs="Times New Roman"/>
                <w:color w:val="000000"/>
                <w:sz w:val="16"/>
                <w:szCs w:val="16"/>
                <w:lang w:val="nl-NL" w:eastAsia="nl-NL"/>
              </w:rPr>
              <w:t xml:space="preserve">indenergie op Zee, Wet </w:t>
            </w:r>
            <w:r w:rsidR="00A9405C">
              <w:rPr>
                <w:rFonts w:eastAsia="Times New Roman" w:cs="Times New Roman"/>
                <w:color w:val="000000"/>
                <w:sz w:val="16"/>
                <w:szCs w:val="16"/>
                <w:lang w:val="nl-NL" w:eastAsia="nl-NL"/>
              </w:rPr>
              <w:t>n</w:t>
            </w:r>
            <w:r w:rsidRPr="00FE1726">
              <w:rPr>
                <w:rFonts w:eastAsia="Times New Roman" w:cs="Times New Roman"/>
                <w:color w:val="000000"/>
                <w:sz w:val="16"/>
                <w:szCs w:val="16"/>
                <w:lang w:val="nl-NL" w:eastAsia="nl-NL"/>
              </w:rPr>
              <w:t>atuurbescherming, Visserijwet 1963</w:t>
            </w:r>
          </w:p>
        </w:tc>
      </w:tr>
      <w:tr w:rsidRPr="00FE1726" w:rsidR="00FE1726" w:rsidTr="00FE1726" w14:paraId="65FD4A48" w14:textId="77777777">
        <w:trPr>
          <w:trHeight w:val="22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D3334D" w:rsidRDefault="00FE1726" w14:paraId="1F554B06"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 xml:space="preserve">D2 </w:t>
            </w:r>
            <w:r w:rsidR="00D3334D">
              <w:rPr>
                <w:rFonts w:eastAsia="Times New Roman" w:cs="Times New Roman"/>
                <w:b/>
                <w:bCs/>
                <w:color w:val="000000"/>
                <w:sz w:val="16"/>
                <w:szCs w:val="16"/>
                <w:lang w:eastAsia="nl-NL"/>
              </w:rPr>
              <w:t>Niet-inheemse soorten</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0C4BF4F6"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noWrap/>
            <w:hideMark/>
          </w:tcPr>
          <w:p w:rsidRPr="00FE1726" w:rsidR="00FE1726" w:rsidP="00013E66" w:rsidRDefault="00FE1726" w14:paraId="7CB1C7EB"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84482C" w:rsidR="00FE1726" w:rsidTr="00FE1726" w14:paraId="03D32EF7" w14:textId="77777777">
        <w:trPr>
          <w:trHeight w:val="382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6F45A76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Voorwaarden aan vergunningverlening ter voorkoming van de verspreiding van exoten</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349634B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Verdrag inzake biologische diversiteit (CBD); Verdrag inzake het behoud van wilde dieren en planten en hun natuurlijk leefmilieu in Europa (Bern-Verdrag) Verordening (EU) voor het gebruik van uitheemse en plaatselijk niet-voorkomende soorten in aquacultuur (708/2007)</w:t>
            </w:r>
            <w:r w:rsidRPr="00FE1726">
              <w:rPr>
                <w:rFonts w:eastAsia="Times New Roman" w:cs="Times New Roman"/>
                <w:color w:val="000000"/>
                <w:sz w:val="16"/>
                <w:szCs w:val="16"/>
                <w:lang w:val="nl-NL" w:eastAsia="nl-NL"/>
              </w:rPr>
              <w:br/>
              <w:t xml:space="preserve">Verordening (EU) betreffende de preventie en beheersing van de introductie en verspreiding van invasieve uitheemse soorten (1143/2014) </w:t>
            </w:r>
            <w:r w:rsidRPr="00FE1726">
              <w:rPr>
                <w:rFonts w:eastAsia="Times New Roman" w:cs="Times New Roman"/>
                <w:color w:val="000000"/>
                <w:sz w:val="16"/>
                <w:szCs w:val="16"/>
                <w:lang w:val="nl-NL" w:eastAsia="nl-NL"/>
              </w:rPr>
              <w:br/>
              <w:t>Richtlijn inzake het behoud van de vogelstand (Vogelrichtlijn; 79/409/EEG)</w:t>
            </w:r>
            <w:r w:rsidRPr="00FE1726">
              <w:rPr>
                <w:rFonts w:eastAsia="Times New Roman" w:cs="Times New Roman"/>
                <w:color w:val="000000"/>
                <w:sz w:val="16"/>
                <w:szCs w:val="16"/>
                <w:lang w:val="nl-NL" w:eastAsia="nl-NL"/>
              </w:rPr>
              <w:br/>
              <w:t>Richtlijn inzake de instandhouding van de natuurlijke habitats en de wilde flora en fauna (Habitatrichtlijn;92/43/EEG)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4DF7AD9" w14:textId="2086C5E3">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Wet </w:t>
            </w:r>
            <w:r w:rsidR="00A9405C">
              <w:rPr>
                <w:rFonts w:eastAsia="Times New Roman" w:cs="Times New Roman"/>
                <w:color w:val="000000"/>
                <w:sz w:val="16"/>
                <w:szCs w:val="16"/>
                <w:lang w:val="nl-NL" w:eastAsia="nl-NL"/>
              </w:rPr>
              <w:t>n</w:t>
            </w:r>
            <w:r w:rsidRPr="00FE1726">
              <w:rPr>
                <w:rFonts w:eastAsia="Times New Roman" w:cs="Times New Roman"/>
                <w:color w:val="000000"/>
                <w:sz w:val="16"/>
                <w:szCs w:val="16"/>
                <w:lang w:val="nl-NL" w:eastAsia="nl-NL"/>
              </w:rPr>
              <w:t xml:space="preserve">atuurbescherming, Visserijwet 1963, Regeling gebruik uitheemse en plaatselijk niet-voorkomende soorten in de aquacultuur, Beleidsregels houdende vaststelling van beleidsregels inzake schelpdierverplaatsingen </w:t>
            </w:r>
          </w:p>
        </w:tc>
      </w:tr>
      <w:tr w:rsidRPr="00FE1726" w:rsidR="00FE1726" w:rsidTr="00FE1726" w14:paraId="139AD08F" w14:textId="77777777">
        <w:trPr>
          <w:trHeight w:val="3825"/>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34FA9799"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Beheer Natura 2000-gebieden (exoten)</w:t>
            </w:r>
          </w:p>
        </w:tc>
        <w:tc>
          <w:tcPr>
            <w:tcW w:w="0" w:type="auto"/>
            <w:tcBorders>
              <w:top w:val="single" w:color="auto" w:sz="4" w:space="0"/>
              <w:left w:val="nil"/>
              <w:bottom w:val="single" w:color="auto" w:sz="4" w:space="0"/>
              <w:right w:val="single" w:color="auto" w:sz="4" w:space="0"/>
            </w:tcBorders>
            <w:shd w:val="clear" w:color="000000" w:fill="FFFFFF"/>
            <w:hideMark/>
          </w:tcPr>
          <w:p w:rsidRPr="00FE1726" w:rsidR="00FE1726" w:rsidP="00013E66" w:rsidRDefault="00FE1726" w14:paraId="2B7CDE3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Verdrag inzake biologische diversiteit (CBD); Verdrag inzake het behoud van wilde dieren en planten en hun natuurlijk leefmilieu in Europa (Bern-Verdrag) Verordening (EU) voor het gebruik van uitheemse en plaatselijk niet-voorkomende soorten in aquacultuur (708/2007)</w:t>
            </w:r>
            <w:r w:rsidRPr="00FE1726">
              <w:rPr>
                <w:rFonts w:eastAsia="Times New Roman" w:cs="Times New Roman"/>
                <w:color w:val="000000"/>
                <w:sz w:val="16"/>
                <w:szCs w:val="16"/>
                <w:lang w:val="nl-NL" w:eastAsia="nl-NL"/>
              </w:rPr>
              <w:br/>
              <w:t xml:space="preserve">Verordening (EU) betreffende de preventie en beheersing van de introductie en verspreiding van invasieve uitheemse soorten (1143/2014) </w:t>
            </w:r>
            <w:r w:rsidRPr="00FE1726">
              <w:rPr>
                <w:rFonts w:eastAsia="Times New Roman" w:cs="Times New Roman"/>
                <w:color w:val="000000"/>
                <w:sz w:val="16"/>
                <w:szCs w:val="16"/>
                <w:lang w:val="nl-NL" w:eastAsia="nl-NL"/>
              </w:rPr>
              <w:br/>
              <w:t>Richtlijn inzake het behoud van de vogelstand (Vogelrichtlijn; 79/409/EEG)</w:t>
            </w:r>
            <w:r w:rsidRPr="00FE1726">
              <w:rPr>
                <w:rFonts w:eastAsia="Times New Roman" w:cs="Times New Roman"/>
                <w:color w:val="000000"/>
                <w:sz w:val="16"/>
                <w:szCs w:val="16"/>
                <w:lang w:val="nl-NL" w:eastAsia="nl-NL"/>
              </w:rPr>
              <w:br/>
              <w:t>Richtlijn inzake de instandhouding van de natuurlijke habitats en de wilde flora en fauna (Habitatrichtlijn;92/43/EEG)</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4C0C6F0A" w14:textId="6F02524E">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atuurbescherming, Visserijwet 1963</w:t>
            </w:r>
          </w:p>
        </w:tc>
      </w:tr>
      <w:tr w:rsidRPr="00FE1726" w:rsidR="00FE1726" w:rsidTr="00FE1726" w14:paraId="28259519" w14:textId="77777777">
        <w:trPr>
          <w:trHeight w:val="90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7715A5E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Verordening preventie en beheer invasieve soorten</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2ED93B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Verordening (EU) betreffende preventie en beheer van de introductie en verspreiding van invasieve uitheemse soorten (1143/2014)</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73EA35F" w14:textId="2A0BD81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atuurbescherming</w:t>
            </w:r>
          </w:p>
        </w:tc>
      </w:tr>
      <w:tr w:rsidRPr="0084482C" w:rsidR="00FE1726" w:rsidTr="00FE1726" w14:paraId="338059C9" w14:textId="77777777">
        <w:trPr>
          <w:trHeight w:val="90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14F4FB3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Tegengaan verspreiding soorten via ballastwater</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6BE2185B"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Internationaal verdrag voor de controle en het beheer van ballastwater en sedimenten van schepen (Ballastwaterverdrag); OSPAR-verdrag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7D8F25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voorkoming verontreiniging door schepen</w:t>
            </w:r>
          </w:p>
        </w:tc>
      </w:tr>
      <w:tr w:rsidRPr="0084482C" w:rsidR="00FE1726" w:rsidTr="0063434C" w14:paraId="7279374B" w14:textId="77777777">
        <w:trPr>
          <w:trHeight w:val="90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6072900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Uitvoering protocollen voor vrijstellingen na inwerkingtreding Ballastwaterconventie </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6CF6B4A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Internationaal verdrag voor de controle en het beheer van ballastwater en sedimenten van schepen</w:t>
            </w:r>
            <w:r w:rsidRPr="00FE1726">
              <w:rPr>
                <w:rFonts w:eastAsia="Times New Roman" w:cs="Times New Roman"/>
                <w:color w:val="000000"/>
                <w:sz w:val="16"/>
                <w:szCs w:val="16"/>
                <w:lang w:val="nl-NL" w:eastAsia="nl-NL"/>
              </w:rPr>
              <w:br/>
              <w:t>(Ballastwaterverdrag); OSPAR-verdrag</w:t>
            </w:r>
          </w:p>
        </w:tc>
        <w:tc>
          <w:tcPr>
            <w:tcW w:w="0" w:type="auto"/>
            <w:tcBorders>
              <w:top w:val="nil"/>
              <w:left w:val="nil"/>
              <w:bottom w:val="single" w:color="auto" w:sz="4" w:space="0"/>
              <w:right w:val="single" w:color="auto" w:sz="4" w:space="0"/>
            </w:tcBorders>
            <w:shd w:val="clear" w:color="auto" w:fill="auto"/>
          </w:tcPr>
          <w:p w:rsidRPr="000F24F6" w:rsidR="00FE1726" w:rsidP="00013E66" w:rsidRDefault="00FE1726" w14:paraId="582F0004" w14:textId="77777777">
            <w:pPr>
              <w:rPr>
                <w:rFonts w:eastAsia="Times New Roman" w:cs="Times New Roman"/>
                <w:color w:val="FF0000"/>
                <w:sz w:val="16"/>
                <w:szCs w:val="16"/>
                <w:lang w:val="nl-NL" w:eastAsia="nl-NL"/>
              </w:rPr>
            </w:pPr>
          </w:p>
        </w:tc>
      </w:tr>
      <w:tr w:rsidRPr="0084482C" w:rsidR="00FE1726" w:rsidTr="0063434C" w14:paraId="5DF240E0" w14:textId="77777777">
        <w:trPr>
          <w:trHeight w:val="67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71A016A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Uitvoering van Hull Fouling Guidelines tegen aangroei exoten op scheepshuiden</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7A37634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Verdrag inzake biologische diversiteit (CBD); IMO anti-Hull fouling guidelines</w:t>
            </w:r>
          </w:p>
        </w:tc>
        <w:tc>
          <w:tcPr>
            <w:tcW w:w="0" w:type="auto"/>
            <w:tcBorders>
              <w:top w:val="nil"/>
              <w:left w:val="nil"/>
              <w:bottom w:val="single" w:color="auto" w:sz="4" w:space="0"/>
              <w:right w:val="single" w:color="auto" w:sz="4" w:space="0"/>
            </w:tcBorders>
            <w:shd w:val="clear" w:color="auto" w:fill="auto"/>
          </w:tcPr>
          <w:p w:rsidRPr="000F24F6" w:rsidR="00FE1726" w:rsidP="00013E66" w:rsidRDefault="00FE1726" w14:paraId="7473B416" w14:textId="77777777">
            <w:pPr>
              <w:rPr>
                <w:rFonts w:eastAsia="Times New Roman" w:cs="Times New Roman"/>
                <w:color w:val="FF0000"/>
                <w:sz w:val="16"/>
                <w:szCs w:val="16"/>
                <w:lang w:val="nl-NL" w:eastAsia="nl-NL"/>
              </w:rPr>
            </w:pPr>
          </w:p>
        </w:tc>
      </w:tr>
      <w:tr w:rsidRPr="0084482C" w:rsidR="00FE1726" w:rsidTr="00FE1726" w14:paraId="789EE44C" w14:textId="77777777">
        <w:trPr>
          <w:trHeight w:val="45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2F5529E0" w14:textId="77777777">
            <w:pPr>
              <w:rPr>
                <w:rFonts w:eastAsia="Times New Roman" w:cs="Times New Roman"/>
                <w:b/>
                <w:bCs/>
                <w:color w:val="000000"/>
                <w:sz w:val="16"/>
                <w:szCs w:val="16"/>
                <w:lang w:val="nl-NL" w:eastAsia="nl-NL"/>
              </w:rPr>
            </w:pPr>
            <w:r w:rsidRPr="00FE1726">
              <w:rPr>
                <w:rFonts w:eastAsia="Times New Roman" w:cs="Times New Roman"/>
                <w:b/>
                <w:bCs/>
                <w:color w:val="000000"/>
                <w:sz w:val="16"/>
                <w:szCs w:val="16"/>
                <w:lang w:val="nl-NL" w:eastAsia="nl-NL"/>
              </w:rPr>
              <w:t>D3 Commerciële vis, schaal- en schelpdieren</w:t>
            </w:r>
          </w:p>
        </w:tc>
        <w:tc>
          <w:tcPr>
            <w:tcW w:w="0" w:type="auto"/>
            <w:tcBorders>
              <w:top w:val="nil"/>
              <w:left w:val="nil"/>
              <w:bottom w:val="nil"/>
              <w:right w:val="nil"/>
            </w:tcBorders>
            <w:shd w:val="clear" w:color="auto" w:fill="auto"/>
            <w:noWrap/>
            <w:hideMark/>
          </w:tcPr>
          <w:p w:rsidRPr="00FE1726" w:rsidR="00FE1726" w:rsidP="00013E66" w:rsidRDefault="00FE1726" w14:paraId="77E630CE" w14:textId="77777777">
            <w:pPr>
              <w:rPr>
                <w:rFonts w:eastAsia="Times New Roman" w:cs="Times New Roman"/>
                <w:b/>
                <w:bCs/>
                <w:color w:val="000000"/>
                <w:sz w:val="16"/>
                <w:szCs w:val="16"/>
                <w:lang w:val="nl-NL" w:eastAsia="nl-NL"/>
              </w:rPr>
            </w:pPr>
          </w:p>
        </w:tc>
        <w:tc>
          <w:tcPr>
            <w:tcW w:w="0" w:type="auto"/>
            <w:tcBorders>
              <w:top w:val="nil"/>
              <w:left w:val="single" w:color="auto" w:sz="4" w:space="0"/>
              <w:bottom w:val="single" w:color="auto" w:sz="4" w:space="0"/>
              <w:right w:val="single" w:color="auto" w:sz="4" w:space="0"/>
            </w:tcBorders>
            <w:shd w:val="clear" w:color="auto" w:fill="auto"/>
            <w:noWrap/>
            <w:hideMark/>
          </w:tcPr>
          <w:p w:rsidRPr="00FE1726" w:rsidR="00FE1726" w:rsidP="00013E66" w:rsidRDefault="00FE1726" w14:paraId="22AD616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r>
      <w:tr w:rsidRPr="0084482C" w:rsidR="00FE1726" w:rsidTr="00FE1726" w14:paraId="3098657B" w14:textId="77777777">
        <w:trPr>
          <w:trHeight w:val="67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50D9955A"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Vangstbeheer commerciële visserij</w:t>
            </w:r>
          </w:p>
        </w:tc>
        <w:tc>
          <w:tcPr>
            <w:tcW w:w="0" w:type="auto"/>
            <w:tcBorders>
              <w:top w:val="single" w:color="auto" w:sz="4" w:space="0"/>
              <w:left w:val="nil"/>
              <w:bottom w:val="single" w:color="auto" w:sz="4" w:space="0"/>
              <w:right w:val="single" w:color="auto" w:sz="4" w:space="0"/>
            </w:tcBorders>
            <w:shd w:val="clear" w:color="000000" w:fill="FFFFFF"/>
            <w:hideMark/>
          </w:tcPr>
          <w:p w:rsidRPr="00FE1726" w:rsidR="00FE1726" w:rsidP="00013E66" w:rsidRDefault="00FE1726" w14:paraId="64009451" w14:textId="79776D54">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Verordening (EU) inzake het </w:t>
            </w:r>
            <w:r w:rsidR="00CD2D65">
              <w:rPr>
                <w:rFonts w:eastAsia="Times New Roman" w:cs="Times New Roman"/>
                <w:color w:val="000000"/>
                <w:sz w:val="16"/>
                <w:szCs w:val="16"/>
                <w:lang w:val="nl-NL" w:eastAsia="nl-NL"/>
              </w:rPr>
              <w:t>G</w:t>
            </w:r>
            <w:r w:rsidRPr="00FE1726">
              <w:rPr>
                <w:rFonts w:eastAsia="Times New Roman" w:cs="Times New Roman"/>
                <w:color w:val="000000"/>
                <w:sz w:val="16"/>
                <w:szCs w:val="16"/>
                <w:lang w:val="nl-NL" w:eastAsia="nl-NL"/>
              </w:rPr>
              <w:t xml:space="preserve">emeenschappelijk </w:t>
            </w:r>
            <w:r w:rsidR="00CD2D65">
              <w:rPr>
                <w:rFonts w:eastAsia="Times New Roman" w:cs="Times New Roman"/>
                <w:color w:val="000000"/>
                <w:sz w:val="16"/>
                <w:szCs w:val="16"/>
                <w:lang w:val="nl-NL" w:eastAsia="nl-NL"/>
              </w:rPr>
              <w:t>V</w:t>
            </w:r>
            <w:r w:rsidRPr="00FE1726">
              <w:rPr>
                <w:rFonts w:eastAsia="Times New Roman" w:cs="Times New Roman"/>
                <w:color w:val="000000"/>
                <w:sz w:val="16"/>
                <w:szCs w:val="16"/>
                <w:lang w:val="nl-NL" w:eastAsia="nl-NL"/>
              </w:rPr>
              <w:t>isserijbeleid (GVB) (1380/2013)</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41A2D2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r>
      <w:tr w:rsidRPr="0084482C" w:rsidR="00FE1726" w:rsidTr="00FE1726" w14:paraId="55CFF54F" w14:textId="77777777">
        <w:trPr>
          <w:trHeight w:val="67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104F52C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Minimaliseren en uitfaseren van discards (aanlandplicht)</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5EECAE20" w14:textId="1D9C3018">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Verordening (EU) inzake het </w:t>
            </w:r>
            <w:r w:rsidR="00CD2D65">
              <w:rPr>
                <w:rFonts w:eastAsia="Times New Roman" w:cs="Times New Roman"/>
                <w:color w:val="000000"/>
                <w:sz w:val="16"/>
                <w:szCs w:val="16"/>
                <w:lang w:val="nl-NL" w:eastAsia="nl-NL"/>
              </w:rPr>
              <w:t>G</w:t>
            </w:r>
            <w:r w:rsidRPr="00FE1726">
              <w:rPr>
                <w:rFonts w:eastAsia="Times New Roman" w:cs="Times New Roman"/>
                <w:color w:val="000000"/>
                <w:sz w:val="16"/>
                <w:szCs w:val="16"/>
                <w:lang w:val="nl-NL" w:eastAsia="nl-NL"/>
              </w:rPr>
              <w:t xml:space="preserve">emeenschappelijk </w:t>
            </w:r>
            <w:r w:rsidR="00CD2D65">
              <w:rPr>
                <w:rFonts w:eastAsia="Times New Roman" w:cs="Times New Roman"/>
                <w:color w:val="000000"/>
                <w:sz w:val="16"/>
                <w:szCs w:val="16"/>
                <w:lang w:val="nl-NL" w:eastAsia="nl-NL"/>
              </w:rPr>
              <w:t>V</w:t>
            </w:r>
            <w:r w:rsidRPr="00FE1726">
              <w:rPr>
                <w:rFonts w:eastAsia="Times New Roman" w:cs="Times New Roman"/>
                <w:color w:val="000000"/>
                <w:sz w:val="16"/>
                <w:szCs w:val="16"/>
                <w:lang w:val="nl-NL" w:eastAsia="nl-NL"/>
              </w:rPr>
              <w:t>isserijbeleid (GVB) (1380/2013)</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31F750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r>
      <w:tr w:rsidRPr="00FE1726" w:rsidR="00FE1726" w:rsidTr="00FE1726" w14:paraId="461185EA" w14:textId="77777777">
        <w:trPr>
          <w:trHeight w:val="22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578A616B"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Stimuleren van alternatieve vistuigen</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66763C3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74525E4"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Economisch instrument EMVAF, Kottervisie</w:t>
            </w:r>
          </w:p>
        </w:tc>
      </w:tr>
      <w:tr w:rsidRPr="0084482C" w:rsidR="00FE1726" w:rsidTr="00FE1726" w14:paraId="361086E9" w14:textId="77777777">
        <w:trPr>
          <w:trHeight w:val="67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6C977E65"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Duurzaamheidscertificaten visserij</w:t>
            </w:r>
          </w:p>
        </w:tc>
        <w:tc>
          <w:tcPr>
            <w:tcW w:w="0" w:type="auto"/>
            <w:tcBorders>
              <w:top w:val="nil"/>
              <w:left w:val="nil"/>
              <w:bottom w:val="single" w:color="auto" w:sz="4" w:space="0"/>
              <w:right w:val="single" w:color="auto" w:sz="4" w:space="0"/>
            </w:tcBorders>
            <w:shd w:val="clear" w:color="000000" w:fill="FFFFFF"/>
            <w:hideMark/>
          </w:tcPr>
          <w:p w:rsidRPr="00FE1726" w:rsidR="00FE1726" w:rsidP="00CD2D65" w:rsidRDefault="00FE1726" w14:paraId="44558841" w14:textId="3A035FB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Verordening (EU) inzake het </w:t>
            </w:r>
            <w:r w:rsidR="00CD2D65">
              <w:rPr>
                <w:rFonts w:eastAsia="Times New Roman" w:cs="Times New Roman"/>
                <w:color w:val="000000"/>
                <w:sz w:val="16"/>
                <w:szCs w:val="16"/>
                <w:lang w:val="nl-NL" w:eastAsia="nl-NL"/>
              </w:rPr>
              <w:t>G</w:t>
            </w:r>
            <w:r w:rsidRPr="00FE1726">
              <w:rPr>
                <w:rFonts w:eastAsia="Times New Roman" w:cs="Times New Roman"/>
                <w:color w:val="000000"/>
                <w:sz w:val="16"/>
                <w:szCs w:val="16"/>
                <w:lang w:val="nl-NL" w:eastAsia="nl-NL"/>
              </w:rPr>
              <w:t xml:space="preserve">emeenschappelijk </w:t>
            </w:r>
            <w:r w:rsidR="00CD2D65">
              <w:rPr>
                <w:rFonts w:eastAsia="Times New Roman" w:cs="Times New Roman"/>
                <w:color w:val="000000"/>
                <w:sz w:val="16"/>
                <w:szCs w:val="16"/>
                <w:lang w:val="nl-NL" w:eastAsia="nl-NL"/>
              </w:rPr>
              <w:t>V</w:t>
            </w:r>
            <w:r w:rsidRPr="00FE1726">
              <w:rPr>
                <w:rFonts w:eastAsia="Times New Roman" w:cs="Times New Roman"/>
                <w:color w:val="000000"/>
                <w:sz w:val="16"/>
                <w:szCs w:val="16"/>
                <w:lang w:val="nl-NL" w:eastAsia="nl-NL"/>
              </w:rPr>
              <w:t>isserijbeleid (GVB) (1380/2013)</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D0287F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r>
      <w:tr w:rsidRPr="00FE1726" w:rsidR="00FE1726" w:rsidTr="00FE1726" w14:paraId="72246D03" w14:textId="77777777">
        <w:trPr>
          <w:trHeight w:val="22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3E2F5138"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D5 Eutrofiëring</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37A6B47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noWrap/>
            <w:hideMark/>
          </w:tcPr>
          <w:p w:rsidRPr="00FE1726" w:rsidR="00FE1726" w:rsidP="00013E66" w:rsidRDefault="00FE1726" w14:paraId="33E3121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84482C" w:rsidR="00FE1726" w:rsidTr="00FE1726" w14:paraId="4FDB5BE4" w14:textId="77777777">
        <w:trPr>
          <w:trHeight w:val="675"/>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6B2B92F2"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Uitvoering Annex V MARPOL-verdrag</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4F19D66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IMO Internationaal Verdrag ter voorkoming van verontreiniging door schepen (MARPOL)</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058ABA4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voorkoming verontreiniging door schepen</w:t>
            </w:r>
          </w:p>
        </w:tc>
      </w:tr>
      <w:tr w:rsidRPr="00FE1726" w:rsidR="00FE1726" w:rsidTr="00FE1726" w14:paraId="325E9664" w14:textId="77777777">
        <w:trPr>
          <w:trHeight w:val="180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341CF4F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Verplichte mestverwerking</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EBF870B"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Richtlijn inzake de bescherming van water tegen verontreiniging door nitraten uit agrarische bronnen (Nitraatrichtlijn; 91/676/EEG) </w:t>
            </w:r>
            <w:r w:rsidRPr="00FE1726">
              <w:rPr>
                <w:rFonts w:eastAsia="Times New Roman" w:cs="Times New Roman"/>
                <w:color w:val="000000"/>
                <w:sz w:val="16"/>
                <w:szCs w:val="16"/>
                <w:lang w:val="nl-NL" w:eastAsia="nl-NL"/>
              </w:rPr>
              <w:br/>
              <w:t>Richtlijn tot vaststelling van een kader voor communautaire maatregelen betreffende het waterbeleid (Kaderrichtlijn Water; 2000/60)</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2331856"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Meststoffenwet</w:t>
            </w:r>
          </w:p>
        </w:tc>
      </w:tr>
      <w:tr w:rsidRPr="00FE1726" w:rsidR="00FE1726" w:rsidTr="00FE1726" w14:paraId="750E4426" w14:textId="77777777">
        <w:trPr>
          <w:trHeight w:val="135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402280A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Behandeling stedelijk afvalwater</w:t>
            </w:r>
          </w:p>
        </w:tc>
        <w:tc>
          <w:tcPr>
            <w:tcW w:w="0" w:type="auto"/>
            <w:tcBorders>
              <w:top w:val="single" w:color="auto" w:sz="4" w:space="0"/>
              <w:left w:val="nil"/>
              <w:bottom w:val="single" w:color="auto" w:sz="4" w:space="0"/>
              <w:right w:val="single" w:color="auto" w:sz="4" w:space="0"/>
            </w:tcBorders>
            <w:shd w:val="clear" w:color="000000" w:fill="FFFFFF"/>
            <w:hideMark/>
          </w:tcPr>
          <w:p w:rsidRPr="00FE1726" w:rsidR="00FE1726" w:rsidP="00013E66" w:rsidRDefault="00FE1726" w14:paraId="5C40968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Richtlijn inzake de behandeling van stedelijk afvalwater (91/271/EEG) </w:t>
            </w:r>
            <w:r w:rsidRPr="00FE1726">
              <w:rPr>
                <w:rFonts w:eastAsia="Times New Roman" w:cs="Times New Roman"/>
                <w:color w:val="000000"/>
                <w:sz w:val="16"/>
                <w:szCs w:val="16"/>
                <w:lang w:val="nl-NL" w:eastAsia="nl-NL"/>
              </w:rPr>
              <w:br/>
              <w:t>Richtlijn tot vaststelling van een kader voor communautaire maatregelen betreffende het waterbeleid (Kaderrichtlijn Water; 2000/60)</w:t>
            </w:r>
          </w:p>
        </w:tc>
        <w:tc>
          <w:tcPr>
            <w:tcW w:w="0" w:type="auto"/>
            <w:tcBorders>
              <w:top w:val="single" w:color="auto" w:sz="4" w:space="0"/>
              <w:left w:val="nil"/>
              <w:bottom w:val="single" w:color="auto" w:sz="4" w:space="0"/>
              <w:right w:val="single" w:color="auto" w:sz="4" w:space="0"/>
            </w:tcBorders>
            <w:shd w:val="clear" w:color="000000" w:fill="FFFFFF"/>
            <w:hideMark/>
          </w:tcPr>
          <w:p w:rsidRPr="00FE1726" w:rsidR="00FE1726" w:rsidP="00013E66" w:rsidRDefault="00FE1726" w14:paraId="6445A6AE"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Waterbesluit, Wet milieubeheer</w:t>
            </w:r>
          </w:p>
        </w:tc>
      </w:tr>
      <w:tr w:rsidRPr="00FE1726" w:rsidR="00FE1726" w:rsidTr="00FE1726" w14:paraId="3D1466CA" w14:textId="77777777">
        <w:trPr>
          <w:trHeight w:val="90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08CF7CD2"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Actieprogramma Nitraatrichtlijn</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B74098F"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de bescherming van water tegen verontreiniging door nitraten uit agrarische bronnen (Nitraatrichtlijn; 91/676/EEG)</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574BFFBE"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Uitvoeringsregeling Meststoffenwet</w:t>
            </w:r>
          </w:p>
        </w:tc>
      </w:tr>
      <w:tr w:rsidRPr="0084482C" w:rsidR="00FE1726" w:rsidTr="00FE1726" w14:paraId="1315119D" w14:textId="77777777">
        <w:trPr>
          <w:trHeight w:val="45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3ED36686"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Deltaplan Agrarisch Waterbeheer</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16EAE1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2331070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Vrijwillig, maar in relatie tot Nitraatrichtlijn niet vrijblijvend</w:t>
            </w:r>
          </w:p>
        </w:tc>
      </w:tr>
      <w:tr w:rsidRPr="0084482C" w:rsidR="00FE1726" w:rsidTr="00FE1726" w14:paraId="36084D0F" w14:textId="77777777">
        <w:trPr>
          <w:trHeight w:val="450"/>
        </w:trPr>
        <w:tc>
          <w:tcPr>
            <w:tcW w:w="0" w:type="auto"/>
            <w:tcBorders>
              <w:top w:val="nil"/>
              <w:left w:val="single" w:color="auto" w:sz="4" w:space="0"/>
              <w:bottom w:val="single" w:color="auto" w:sz="4" w:space="0"/>
              <w:right w:val="single" w:color="auto" w:sz="4" w:space="0"/>
            </w:tcBorders>
            <w:shd w:val="clear" w:color="000000" w:fill="FFFFFF"/>
            <w:hideMark/>
          </w:tcPr>
          <w:p w:rsidRPr="00FE1726" w:rsidR="00FE1726" w:rsidP="00013E66" w:rsidRDefault="00FE1726" w14:paraId="18C2A34D"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Verbetering zuiveringsefficiëntie rwzi’s</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01C76C7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1AEED5E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Vrijwillig, maar in relatie tot Richtlijn Stedelijk Afvalwater niet vrijblijvend</w:t>
            </w:r>
          </w:p>
        </w:tc>
      </w:tr>
      <w:tr w:rsidRPr="00FE1726" w:rsidR="00FE1726" w:rsidTr="00FE1726" w14:paraId="79FC53CF" w14:textId="77777777">
        <w:trPr>
          <w:trHeight w:val="30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05B18EBD" w14:textId="77777777">
            <w:pPr>
              <w:rPr>
                <w:rFonts w:eastAsia="Times New Roman" w:cs="Calibri"/>
                <w:b/>
                <w:bCs/>
                <w:color w:val="000000"/>
                <w:sz w:val="16"/>
                <w:szCs w:val="16"/>
                <w:lang w:eastAsia="nl-NL"/>
              </w:rPr>
            </w:pPr>
            <w:r w:rsidRPr="00FE1726">
              <w:rPr>
                <w:rFonts w:eastAsia="Times New Roman" w:cs="Calibri"/>
                <w:b/>
                <w:bCs/>
                <w:color w:val="000000"/>
                <w:sz w:val="16"/>
                <w:szCs w:val="16"/>
                <w:lang w:eastAsia="nl-NL"/>
              </w:rPr>
              <w:t>D6 Bodembescherming</w:t>
            </w:r>
          </w:p>
        </w:tc>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221E791B" w14:textId="77777777">
            <w:pPr>
              <w:rPr>
                <w:rFonts w:eastAsia="Times New Roman" w:cs="Calibri"/>
                <w:color w:val="000000"/>
                <w:sz w:val="16"/>
                <w:szCs w:val="16"/>
                <w:lang w:eastAsia="nl-NL"/>
              </w:rPr>
            </w:pPr>
            <w:r w:rsidRPr="00FE1726">
              <w:rPr>
                <w:rFonts w:eastAsia="Times New Roman" w:cs="Calibri"/>
                <w:color w:val="000000"/>
                <w:sz w:val="16"/>
                <w:szCs w:val="16"/>
                <w:lang w:eastAsia="nl-NL"/>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715AC27A" w14:textId="77777777">
            <w:pPr>
              <w:rPr>
                <w:rFonts w:eastAsia="Times New Roman" w:cs="Calibri"/>
                <w:color w:val="000000"/>
                <w:sz w:val="16"/>
                <w:szCs w:val="16"/>
                <w:lang w:eastAsia="nl-NL"/>
              </w:rPr>
            </w:pPr>
          </w:p>
        </w:tc>
      </w:tr>
      <w:tr w:rsidRPr="00FE1726" w:rsidR="00FE1726" w:rsidTr="00FE1726" w14:paraId="2D4A8E5F" w14:textId="77777777">
        <w:trPr>
          <w:trHeight w:val="135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FE1726" w:rsidR="00FE1726" w:rsidP="00013E66" w:rsidRDefault="00FE1726" w14:paraId="6D34DB47" w14:textId="6B29E8B1">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Uitbreiding </w:t>
            </w:r>
            <w:r w:rsidR="001754E8">
              <w:rPr>
                <w:rFonts w:eastAsia="Times New Roman" w:cs="Times New Roman"/>
                <w:color w:val="000000"/>
                <w:sz w:val="16"/>
                <w:szCs w:val="16"/>
                <w:lang w:val="nl-NL" w:eastAsia="nl-NL"/>
              </w:rPr>
              <w:t>instandhoudingsmaatregelen</w:t>
            </w:r>
            <w:r w:rsidRPr="00FE1726">
              <w:rPr>
                <w:rFonts w:eastAsia="Times New Roman" w:cs="Times New Roman"/>
                <w:color w:val="000000"/>
                <w:sz w:val="16"/>
                <w:szCs w:val="16"/>
                <w:lang w:val="nl-NL" w:eastAsia="nl-NL"/>
              </w:rPr>
              <w:t xml:space="preserve"> op Klaverbank, </w:t>
            </w:r>
            <w:r w:rsidR="00A857B0">
              <w:rPr>
                <w:rFonts w:eastAsia="Times New Roman" w:cs="Times New Roman"/>
                <w:color w:val="000000"/>
                <w:sz w:val="16"/>
                <w:szCs w:val="16"/>
                <w:lang w:val="nl-NL" w:eastAsia="nl-NL"/>
              </w:rPr>
              <w:t xml:space="preserve">Zuidelijke </w:t>
            </w:r>
            <w:r w:rsidRPr="00FE1726">
              <w:rPr>
                <w:rFonts w:eastAsia="Times New Roman" w:cs="Times New Roman"/>
                <w:color w:val="000000"/>
                <w:sz w:val="16"/>
                <w:szCs w:val="16"/>
                <w:lang w:val="nl-NL" w:eastAsia="nl-NL"/>
              </w:rPr>
              <w:t>Doggersbank en Friese Front</w:t>
            </w:r>
          </w:p>
        </w:tc>
        <w:tc>
          <w:tcPr>
            <w:tcW w:w="0" w:type="auto"/>
            <w:tcBorders>
              <w:top w:val="single" w:color="auto" w:sz="4" w:space="0"/>
              <w:left w:val="nil"/>
              <w:bottom w:val="single" w:color="auto" w:sz="4" w:space="0"/>
              <w:right w:val="single" w:color="auto" w:sz="4" w:space="0"/>
            </w:tcBorders>
            <w:shd w:val="clear" w:color="000000" w:fill="FFFFFF"/>
            <w:hideMark/>
          </w:tcPr>
          <w:p w:rsidRPr="00FE1726" w:rsidR="00FE1726" w:rsidP="00013E66" w:rsidRDefault="00FE1726" w14:paraId="024F4713"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 (Vogelrichtlijn; 79/409/EEG) Richtlijn inzake de instandhouding van de natuurlijke habitats en de wilde flora en fauna (Habitatrichtlijn; 92/43/EEG)</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3A6F9314" w14:textId="412CD074">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atuurbescherming</w:t>
            </w:r>
          </w:p>
        </w:tc>
      </w:tr>
      <w:tr w:rsidRPr="00FE1726" w:rsidR="00FE1726" w:rsidTr="00FE1726" w14:paraId="77AE7567" w14:textId="77777777">
        <w:trPr>
          <w:trHeight w:val="15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44031EB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Uitbreiding bodembescherming Friese Front en Centrale Oestergronden en invoeren bodembescherming Borkumse Stenen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2D20581" w14:textId="307E847F">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Richtlijn tot vaststelling van een kader voor communautaire maatregelen betreffende het beleid ten aanzien van het mariene milieu (Kaderrichtlijn </w:t>
            </w:r>
            <w:r w:rsidR="00E23695">
              <w:rPr>
                <w:rFonts w:eastAsia="Times New Roman" w:cs="Times New Roman"/>
                <w:color w:val="000000"/>
                <w:sz w:val="16"/>
                <w:szCs w:val="16"/>
                <w:lang w:val="nl-NL" w:eastAsia="nl-NL"/>
              </w:rPr>
              <w:t>M</w:t>
            </w:r>
            <w:r w:rsidRPr="00FE1726">
              <w:rPr>
                <w:rFonts w:eastAsia="Times New Roman" w:cs="Times New Roman"/>
                <w:color w:val="000000"/>
                <w:sz w:val="16"/>
                <w:szCs w:val="16"/>
                <w:lang w:val="nl-NL" w:eastAsia="nl-NL"/>
              </w:rPr>
              <w:t xml:space="preserve">ariene </w:t>
            </w:r>
            <w:r w:rsidR="00E23695">
              <w:rPr>
                <w:rFonts w:eastAsia="Times New Roman" w:cs="Times New Roman"/>
                <w:color w:val="000000"/>
                <w:sz w:val="16"/>
                <w:szCs w:val="16"/>
                <w:lang w:val="nl-NL" w:eastAsia="nl-NL"/>
              </w:rPr>
              <w:t>S</w:t>
            </w:r>
            <w:r w:rsidRPr="00FE1726">
              <w:rPr>
                <w:rFonts w:eastAsia="Times New Roman" w:cs="Times New Roman"/>
                <w:color w:val="000000"/>
                <w:sz w:val="16"/>
                <w:szCs w:val="16"/>
                <w:lang w:val="nl-NL" w:eastAsia="nl-NL"/>
              </w:rPr>
              <w:t xml:space="preserve">trategie; 2008/56/EG); Verordening (EU) inzake het </w:t>
            </w:r>
            <w:r w:rsidR="00CD2D65">
              <w:rPr>
                <w:rFonts w:eastAsia="Times New Roman" w:cs="Times New Roman"/>
                <w:color w:val="000000"/>
                <w:sz w:val="16"/>
                <w:szCs w:val="16"/>
                <w:lang w:val="nl-NL" w:eastAsia="nl-NL"/>
              </w:rPr>
              <w:t>G</w:t>
            </w:r>
            <w:r w:rsidRPr="00FE1726">
              <w:rPr>
                <w:rFonts w:eastAsia="Times New Roman" w:cs="Times New Roman"/>
                <w:color w:val="000000"/>
                <w:sz w:val="16"/>
                <w:szCs w:val="16"/>
                <w:lang w:val="nl-NL" w:eastAsia="nl-NL"/>
              </w:rPr>
              <w:t xml:space="preserve">emeenschappelijk </w:t>
            </w:r>
            <w:r w:rsidR="00CD2D65">
              <w:rPr>
                <w:rFonts w:eastAsia="Times New Roman" w:cs="Times New Roman"/>
                <w:color w:val="000000"/>
                <w:sz w:val="16"/>
                <w:szCs w:val="16"/>
                <w:lang w:val="nl-NL" w:eastAsia="nl-NL"/>
              </w:rPr>
              <w:t>V</w:t>
            </w:r>
            <w:r w:rsidRPr="00FE1726">
              <w:rPr>
                <w:rFonts w:eastAsia="Times New Roman" w:cs="Times New Roman"/>
                <w:color w:val="000000"/>
                <w:sz w:val="16"/>
                <w:szCs w:val="16"/>
                <w:lang w:val="nl-NL" w:eastAsia="nl-NL"/>
              </w:rPr>
              <w:t xml:space="preserve">isserijbeleid (GVB)(1380/2013)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56CD28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Waterwet</w:t>
            </w:r>
          </w:p>
        </w:tc>
      </w:tr>
      <w:tr w:rsidRPr="00FE1726" w:rsidR="00FE1726" w:rsidTr="00FE1726" w14:paraId="01BFBEEE" w14:textId="77777777">
        <w:trPr>
          <w:trHeight w:val="2250"/>
        </w:trPr>
        <w:tc>
          <w:tcPr>
            <w:tcW w:w="0" w:type="auto"/>
            <w:tcBorders>
              <w:top w:val="nil"/>
              <w:left w:val="single" w:color="auto" w:sz="4" w:space="0"/>
              <w:bottom w:val="single" w:color="auto" w:sz="4" w:space="0"/>
              <w:right w:val="single" w:color="auto" w:sz="4" w:space="0"/>
            </w:tcBorders>
            <w:shd w:val="clear" w:color="auto" w:fill="auto"/>
            <w:hideMark/>
          </w:tcPr>
          <w:p w:rsidRPr="0063434C" w:rsidR="00FE1726" w:rsidP="00013E66" w:rsidRDefault="001754E8" w14:paraId="5E75DA09" w14:textId="00ADC7D2">
            <w:pPr>
              <w:rPr>
                <w:rFonts w:eastAsia="Times New Roman" w:cs="Times New Roman"/>
                <w:sz w:val="16"/>
                <w:szCs w:val="16"/>
                <w:lang w:val="nl-NL" w:eastAsia="nl-NL"/>
              </w:rPr>
            </w:pPr>
            <w:r>
              <w:rPr>
                <w:rFonts w:eastAsia="Times New Roman" w:cs="Times New Roman"/>
                <w:sz w:val="16"/>
                <w:szCs w:val="16"/>
                <w:lang w:val="nl-NL" w:eastAsia="nl-NL"/>
              </w:rPr>
              <w:t>Instandhoudingsmaatregelen</w:t>
            </w:r>
            <w:r w:rsidRPr="00FE1726" w:rsidR="00FE1726">
              <w:rPr>
                <w:rFonts w:eastAsia="Times New Roman" w:cs="Times New Roman"/>
                <w:sz w:val="16"/>
                <w:szCs w:val="16"/>
                <w:lang w:val="nl-NL" w:eastAsia="nl-NL"/>
              </w:rPr>
              <w:t xml:space="preserve"> in nog nader te bepalen gebieden ter grootte van 13,7% van de Noordzee. </w:t>
            </w:r>
            <w:r w:rsidRPr="0063434C" w:rsidR="00FE1726">
              <w:rPr>
                <w:rFonts w:eastAsia="Times New Roman" w:cs="Times New Roman"/>
                <w:sz w:val="16"/>
                <w:szCs w:val="16"/>
                <w:lang w:val="nl-NL" w:eastAsia="nl-NL"/>
              </w:rPr>
              <w:t>Onder HR of KRM</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1BB96CA" w14:textId="6891D13E">
            <w:pPr>
              <w:rPr>
                <w:rFonts w:eastAsia="Times New Roman" w:cs="Times New Roman"/>
                <w:sz w:val="16"/>
                <w:szCs w:val="16"/>
                <w:lang w:val="nl-NL" w:eastAsia="nl-NL"/>
              </w:rPr>
            </w:pPr>
            <w:r w:rsidRPr="00FE1726">
              <w:rPr>
                <w:rFonts w:eastAsia="Times New Roman" w:cs="Times New Roman"/>
                <w:sz w:val="16"/>
                <w:szCs w:val="16"/>
                <w:lang w:val="nl-NL" w:eastAsia="nl-NL"/>
              </w:rPr>
              <w:t xml:space="preserve"> Richtlijn inzake de instandhouding van de natuurlijke habitats en de wilde flora en fauna (Habitatrichtlijn; 92/43/EEG); Richtlijn tot vaststelling van een kader voor communautaire maatregelen betreffende het beleid ten aanzien van het mariene milieu (Kaderrichtlijn </w:t>
            </w:r>
            <w:r w:rsidR="00E23695">
              <w:rPr>
                <w:rFonts w:eastAsia="Times New Roman" w:cs="Times New Roman"/>
                <w:sz w:val="16"/>
                <w:szCs w:val="16"/>
                <w:lang w:val="nl-NL" w:eastAsia="nl-NL"/>
              </w:rPr>
              <w:t>M</w:t>
            </w:r>
            <w:r w:rsidRPr="00FE1726">
              <w:rPr>
                <w:rFonts w:eastAsia="Times New Roman" w:cs="Times New Roman"/>
                <w:sz w:val="16"/>
                <w:szCs w:val="16"/>
                <w:lang w:val="nl-NL" w:eastAsia="nl-NL"/>
              </w:rPr>
              <w:t xml:space="preserve">ariene </w:t>
            </w:r>
            <w:r w:rsidR="00E23695">
              <w:rPr>
                <w:rFonts w:eastAsia="Times New Roman" w:cs="Times New Roman"/>
                <w:sz w:val="16"/>
                <w:szCs w:val="16"/>
                <w:lang w:val="nl-NL" w:eastAsia="nl-NL"/>
              </w:rPr>
              <w:t>S</w:t>
            </w:r>
            <w:r w:rsidRPr="00FE1726">
              <w:rPr>
                <w:rFonts w:eastAsia="Times New Roman" w:cs="Times New Roman"/>
                <w:sz w:val="16"/>
                <w:szCs w:val="16"/>
                <w:lang w:val="nl-NL" w:eastAsia="nl-NL"/>
              </w:rPr>
              <w:t xml:space="preserve">trategie; 2008/56/EG)Verordening (EU) inzake het </w:t>
            </w:r>
            <w:r w:rsidR="00CD2D65">
              <w:rPr>
                <w:rFonts w:eastAsia="Times New Roman" w:cs="Times New Roman"/>
                <w:sz w:val="16"/>
                <w:szCs w:val="16"/>
                <w:lang w:val="nl-NL" w:eastAsia="nl-NL"/>
              </w:rPr>
              <w:t>G</w:t>
            </w:r>
            <w:r w:rsidRPr="00FE1726">
              <w:rPr>
                <w:rFonts w:eastAsia="Times New Roman" w:cs="Times New Roman"/>
                <w:sz w:val="16"/>
                <w:szCs w:val="16"/>
                <w:lang w:val="nl-NL" w:eastAsia="nl-NL"/>
              </w:rPr>
              <w:t xml:space="preserve">emeenschappelijk </w:t>
            </w:r>
            <w:r w:rsidR="00CD2D65">
              <w:rPr>
                <w:rFonts w:eastAsia="Times New Roman" w:cs="Times New Roman"/>
                <w:sz w:val="16"/>
                <w:szCs w:val="16"/>
                <w:lang w:val="nl-NL" w:eastAsia="nl-NL"/>
              </w:rPr>
              <w:t>V</w:t>
            </w:r>
            <w:r w:rsidRPr="00FE1726">
              <w:rPr>
                <w:rFonts w:eastAsia="Times New Roman" w:cs="Times New Roman"/>
                <w:sz w:val="16"/>
                <w:szCs w:val="16"/>
                <w:lang w:val="nl-NL" w:eastAsia="nl-NL"/>
              </w:rPr>
              <w:t xml:space="preserve">isserijbeleid (1380/2013)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1B3005E" w14:textId="77777777">
            <w:pPr>
              <w:rPr>
                <w:rFonts w:eastAsia="Times New Roman" w:cs="Times New Roman"/>
                <w:sz w:val="16"/>
                <w:szCs w:val="16"/>
                <w:lang w:eastAsia="nl-NL"/>
              </w:rPr>
            </w:pPr>
            <w:r w:rsidRPr="00FE1726">
              <w:rPr>
                <w:rFonts w:eastAsia="Times New Roman" w:cs="Times New Roman"/>
                <w:sz w:val="16"/>
                <w:szCs w:val="16"/>
                <w:lang w:eastAsia="nl-NL"/>
              </w:rPr>
              <w:t>Waterwet en Wet natuurbescherming</w:t>
            </w:r>
          </w:p>
        </w:tc>
      </w:tr>
      <w:tr w:rsidRPr="0084482C" w:rsidR="00FE1726" w:rsidTr="00FE1726" w14:paraId="718FCBB5" w14:textId="77777777">
        <w:trPr>
          <w:trHeight w:val="1800"/>
        </w:trPr>
        <w:tc>
          <w:tcPr>
            <w:tcW w:w="0" w:type="auto"/>
            <w:tcBorders>
              <w:top w:val="single" w:color="auto" w:sz="4" w:space="0"/>
              <w:left w:val="single" w:color="auto" w:sz="4" w:space="0"/>
              <w:bottom w:val="single" w:color="auto" w:sz="4" w:space="0"/>
              <w:right w:val="nil"/>
            </w:tcBorders>
            <w:shd w:val="clear" w:color="auto" w:fill="auto"/>
            <w:hideMark/>
          </w:tcPr>
          <w:p w:rsidRPr="00FE1726" w:rsidR="00FE1726" w:rsidP="00013E66" w:rsidRDefault="00FE1726" w14:paraId="4CB995CA" w14:textId="3D152E49">
            <w:pPr>
              <w:rPr>
                <w:rFonts w:eastAsia="Times New Roman" w:cs="Times New Roman"/>
                <w:sz w:val="16"/>
                <w:szCs w:val="16"/>
                <w:lang w:val="nl-NL" w:eastAsia="nl-NL"/>
              </w:rPr>
            </w:pPr>
            <w:r w:rsidRPr="00FE1726">
              <w:rPr>
                <w:rFonts w:eastAsia="Times New Roman" w:cs="Times New Roman"/>
                <w:sz w:val="16"/>
                <w:szCs w:val="16"/>
                <w:lang w:val="nl-NL" w:eastAsia="nl-NL"/>
              </w:rPr>
              <w:t xml:space="preserve">Wijziging gebieden met </w:t>
            </w:r>
            <w:r w:rsidR="001754E8">
              <w:rPr>
                <w:rFonts w:eastAsia="Times New Roman" w:cs="Times New Roman"/>
                <w:sz w:val="16"/>
                <w:szCs w:val="16"/>
                <w:lang w:val="nl-NL" w:eastAsia="nl-NL"/>
              </w:rPr>
              <w:t>instandhoudingsmaatregelen</w:t>
            </w:r>
            <w:r w:rsidRPr="00FE1726">
              <w:rPr>
                <w:rFonts w:eastAsia="Times New Roman" w:cs="Times New Roman"/>
                <w:sz w:val="16"/>
                <w:szCs w:val="16"/>
                <w:lang w:val="nl-NL" w:eastAsia="nl-NL"/>
              </w:rPr>
              <w:t xml:space="preserve"> Noordzeekustzone</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5E1130E7" w14:textId="64BF81B0">
            <w:pPr>
              <w:rPr>
                <w:rFonts w:eastAsia="Times New Roman" w:cs="Times New Roman"/>
                <w:sz w:val="16"/>
                <w:szCs w:val="16"/>
                <w:lang w:val="nl-NL" w:eastAsia="nl-NL"/>
              </w:rPr>
            </w:pPr>
            <w:r w:rsidRPr="00FE1726">
              <w:rPr>
                <w:rFonts w:eastAsia="Times New Roman" w:cs="Times New Roman"/>
                <w:sz w:val="16"/>
                <w:szCs w:val="16"/>
                <w:lang w:val="nl-NL" w:eastAsia="nl-NL"/>
              </w:rPr>
              <w:t xml:space="preserve">Richtlijn inzake het behoud van de vogelstand (Vogelrichtlijn; 79/409/EEG);  Richtlijn inzake de instandhouding van de natuurlijke habitats en de wilde flora en fauna (Habitatrichtlijn; 92/43/EEG); Verordening (EU) inzake het </w:t>
            </w:r>
            <w:r w:rsidR="00CD2D65">
              <w:rPr>
                <w:rFonts w:eastAsia="Times New Roman" w:cs="Times New Roman"/>
                <w:sz w:val="16"/>
                <w:szCs w:val="16"/>
                <w:lang w:val="nl-NL" w:eastAsia="nl-NL"/>
              </w:rPr>
              <w:t>G</w:t>
            </w:r>
            <w:r w:rsidRPr="00FE1726">
              <w:rPr>
                <w:rFonts w:eastAsia="Times New Roman" w:cs="Times New Roman"/>
                <w:sz w:val="16"/>
                <w:szCs w:val="16"/>
                <w:lang w:val="nl-NL" w:eastAsia="nl-NL"/>
              </w:rPr>
              <w:t xml:space="preserve">emeenschappelijk </w:t>
            </w:r>
            <w:r w:rsidR="00CD2D65">
              <w:rPr>
                <w:rFonts w:eastAsia="Times New Roman" w:cs="Times New Roman"/>
                <w:sz w:val="16"/>
                <w:szCs w:val="16"/>
                <w:lang w:val="nl-NL" w:eastAsia="nl-NL"/>
              </w:rPr>
              <w:t>V</w:t>
            </w:r>
            <w:r w:rsidRPr="00FE1726">
              <w:rPr>
                <w:rFonts w:eastAsia="Times New Roman" w:cs="Times New Roman"/>
                <w:sz w:val="16"/>
                <w:szCs w:val="16"/>
                <w:lang w:val="nl-NL" w:eastAsia="nl-NL"/>
              </w:rPr>
              <w:t xml:space="preserve">isserijbeleid (1380/2013) </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05EF0543" w14:textId="77777777">
            <w:pPr>
              <w:rPr>
                <w:rFonts w:eastAsia="Times New Roman" w:cs="Times New Roman"/>
                <w:sz w:val="16"/>
                <w:szCs w:val="16"/>
                <w:lang w:val="nl-NL" w:eastAsia="nl-NL"/>
              </w:rPr>
            </w:pPr>
            <w:r w:rsidRPr="00FE1726">
              <w:rPr>
                <w:rFonts w:eastAsia="Times New Roman" w:cs="Times New Roman"/>
                <w:sz w:val="16"/>
                <w:szCs w:val="16"/>
                <w:lang w:val="nl-NL" w:eastAsia="nl-NL"/>
              </w:rPr>
              <w:t> </w:t>
            </w:r>
          </w:p>
        </w:tc>
      </w:tr>
      <w:tr w:rsidRPr="00FE1726" w:rsidR="00FE1726" w:rsidTr="00FE1726" w14:paraId="7B49CADE" w14:textId="77777777">
        <w:trPr>
          <w:trHeight w:val="225"/>
        </w:trPr>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02309582"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D7 Hydrografische eigenschappen</w:t>
            </w:r>
          </w:p>
        </w:tc>
        <w:tc>
          <w:tcPr>
            <w:tcW w:w="0" w:type="auto"/>
            <w:tcBorders>
              <w:top w:val="single" w:color="auto" w:sz="4" w:space="0"/>
              <w:left w:val="nil"/>
              <w:bottom w:val="single" w:color="auto" w:sz="4" w:space="0"/>
              <w:right w:val="single" w:color="auto" w:sz="4" w:space="0"/>
            </w:tcBorders>
            <w:shd w:val="clear" w:color="auto" w:fill="auto"/>
            <w:noWrap/>
            <w:hideMark/>
          </w:tcPr>
          <w:p w:rsidRPr="00FE1726" w:rsidR="00FE1726" w:rsidP="00013E66" w:rsidRDefault="00FE1726" w14:paraId="2A30BF1A"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single" w:color="auto" w:sz="4" w:space="0"/>
              <w:left w:val="nil"/>
              <w:bottom w:val="single" w:color="auto" w:sz="4" w:space="0"/>
              <w:right w:val="single" w:color="auto" w:sz="4" w:space="0"/>
            </w:tcBorders>
            <w:shd w:val="clear" w:color="auto" w:fill="auto"/>
            <w:noWrap/>
            <w:hideMark/>
          </w:tcPr>
          <w:p w:rsidRPr="00FE1726" w:rsidR="00FE1726" w:rsidP="00013E66" w:rsidRDefault="00FE1726" w14:paraId="2D410A1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FE1726" w:rsidR="00FE1726" w:rsidTr="00FE1726" w14:paraId="512374D6" w14:textId="77777777">
        <w:trPr>
          <w:trHeight w:val="90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D098882"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Beoordeling van hydrografische ingrepen en compensatie van effecten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9ED765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EU Richtlijn betreffende de milieueffectbeoordeling van bepaalde openbare en particuliere projecten (011/92/EU)</w:t>
            </w:r>
          </w:p>
        </w:tc>
        <w:tc>
          <w:tcPr>
            <w:tcW w:w="0" w:type="auto"/>
            <w:tcBorders>
              <w:top w:val="nil"/>
              <w:left w:val="nil"/>
              <w:bottom w:val="single" w:color="auto" w:sz="4" w:space="0"/>
              <w:right w:val="single" w:color="auto" w:sz="4" w:space="0"/>
            </w:tcBorders>
            <w:shd w:val="clear" w:color="auto" w:fill="auto"/>
            <w:noWrap/>
            <w:hideMark/>
          </w:tcPr>
          <w:p w:rsidRPr="00FE1726" w:rsidR="00FE1726" w:rsidP="00013E66" w:rsidRDefault="00FE1726" w14:paraId="3351067D" w14:textId="63F70A9F">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m</w:t>
            </w:r>
            <w:r w:rsidRPr="00FE1726">
              <w:rPr>
                <w:rFonts w:eastAsia="Times New Roman" w:cs="Times New Roman"/>
                <w:color w:val="000000"/>
                <w:sz w:val="16"/>
                <w:szCs w:val="16"/>
                <w:lang w:eastAsia="nl-NL"/>
              </w:rPr>
              <w:t>ilieubeheer</w:t>
            </w:r>
          </w:p>
        </w:tc>
      </w:tr>
      <w:tr w:rsidRPr="00FE1726" w:rsidR="00FE1726" w:rsidTr="000F24F6" w14:paraId="2CC0A328" w14:textId="77777777">
        <w:trPr>
          <w:trHeight w:val="206"/>
        </w:trPr>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1475AD70"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D8 Vervuilende stoffen</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7DDAC50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3718B89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84482C" w:rsidR="00FE1726" w:rsidTr="00FE1726" w14:paraId="11FE7BD6" w14:textId="77777777">
        <w:trPr>
          <w:trHeight w:val="90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2D64C49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Terugdringing lozingen van de zeevaart (MARPOL Annex V)</w:t>
            </w:r>
          </w:p>
        </w:tc>
        <w:tc>
          <w:tcPr>
            <w:tcW w:w="0" w:type="auto"/>
            <w:tcBorders>
              <w:top w:val="nil"/>
              <w:left w:val="nil"/>
              <w:bottom w:val="single" w:color="auto" w:sz="4" w:space="0"/>
              <w:right w:val="single" w:color="auto" w:sz="4" w:space="0"/>
            </w:tcBorders>
            <w:shd w:val="clear" w:color="000000" w:fill="FFFFFF"/>
            <w:hideMark/>
          </w:tcPr>
          <w:p w:rsidRPr="00FE1726" w:rsidR="00FE1726" w:rsidP="00013E66" w:rsidRDefault="00FE1726" w14:paraId="64E889F6" w14:textId="77777777">
            <w:pPr>
              <w:rPr>
                <w:rFonts w:eastAsia="Times New Roman" w:cs="Calibri"/>
                <w:color w:val="000000"/>
                <w:sz w:val="16"/>
                <w:szCs w:val="16"/>
                <w:lang w:val="nl-NL" w:eastAsia="nl-NL"/>
              </w:rPr>
            </w:pPr>
            <w:r w:rsidRPr="00FE1726">
              <w:rPr>
                <w:rFonts w:eastAsia="Times New Roman" w:cs="Calibri"/>
                <w:color w:val="000000"/>
                <w:sz w:val="16"/>
                <w:szCs w:val="16"/>
                <w:lang w:val="nl-NL" w:eastAsia="nl-NL"/>
              </w:rPr>
              <w:t>IMO Internationaal Verdrag ter voorkoming van verontreiniging door schepen (MARPOL)</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7D968DF"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voorkoming verontreiniging door schepen</w:t>
            </w:r>
          </w:p>
        </w:tc>
      </w:tr>
      <w:tr w:rsidRPr="0084482C" w:rsidR="00FE1726" w:rsidTr="00FE1726" w14:paraId="3DD33994" w14:textId="77777777">
        <w:trPr>
          <w:trHeight w:val="90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21D1037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Verbod op TBT</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C97314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Internationaal Verdrag inzake de beperking van schadelijke aangroeiwerende verfsystemen op schepen (Antifoulingverdrag)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911480B"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voorkoming verontreiniging door schepen</w:t>
            </w:r>
          </w:p>
        </w:tc>
      </w:tr>
      <w:tr w:rsidRPr="00FE1726" w:rsidR="00FE1726" w:rsidTr="00FE1726" w14:paraId="35FD7750"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607370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Vermindering van verontreinigingen door terugdringen scheepvaartincidenten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58C40D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IMO (scheepvaartroutes)</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49F3793"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Wijziging scheepvaartroutes 1 aug. 2013 </w:t>
            </w:r>
          </w:p>
        </w:tc>
      </w:tr>
      <w:tr w:rsidRPr="00FE1726" w:rsidR="00FE1726" w:rsidTr="00FE1726" w14:paraId="1D17CFBC" w14:textId="77777777">
        <w:trPr>
          <w:trHeight w:val="3818"/>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6FBBADB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Terugdringing van lozingen van vervuilende stoffen door olie- en gaswinningsinstallaties</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31A13B52" w14:textId="77777777">
            <w:pPr>
              <w:rPr>
                <w:rFonts w:eastAsia="Times New Roman" w:cs="Times New Roman"/>
                <w:color w:val="000000"/>
                <w:sz w:val="16"/>
                <w:szCs w:val="16"/>
                <w:lang w:eastAsia="nl-NL"/>
              </w:rPr>
            </w:pPr>
            <w:r w:rsidRPr="00FE1726">
              <w:rPr>
                <w:rFonts w:eastAsia="Times New Roman" w:cs="Times New Roman"/>
                <w:b/>
                <w:bCs/>
                <w:color w:val="000000"/>
                <w:sz w:val="16"/>
                <w:szCs w:val="16"/>
                <w:lang w:eastAsia="nl-NL"/>
              </w:rPr>
              <w:t>Boren:</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1</w:t>
            </w:r>
            <w:r w:rsidRPr="00FE1726">
              <w:rPr>
                <w:rFonts w:eastAsia="Times New Roman" w:cs="Times New Roman"/>
                <w:color w:val="000000"/>
                <w:sz w:val="16"/>
                <w:szCs w:val="16"/>
                <w:lang w:eastAsia="nl-NL"/>
              </w:rPr>
              <w:t xml:space="preserve"> OSPAR Decision 2000/3 on the Use of Organic-phase Drilling Fluids (OPF) and the Discharge of OPF-contaminated Cuttings</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2</w:t>
            </w:r>
            <w:r w:rsidRPr="00FE1726">
              <w:rPr>
                <w:rFonts w:eastAsia="Times New Roman" w:cs="Times New Roman"/>
                <w:color w:val="000000"/>
                <w:sz w:val="16"/>
                <w:szCs w:val="16"/>
                <w:lang w:eastAsia="nl-NL"/>
              </w:rPr>
              <w:t xml:space="preserve"> OSPAR Recommendation 2006/5 on a Management Regime for Offshore Cuttings Piles</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Gebruik en lozing van chemicaliën:</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3</w:t>
            </w:r>
            <w:r w:rsidRPr="00FE1726">
              <w:rPr>
                <w:rFonts w:eastAsia="Times New Roman" w:cs="Times New Roman"/>
                <w:color w:val="000000"/>
                <w:sz w:val="16"/>
                <w:szCs w:val="16"/>
                <w:lang w:eastAsia="nl-NL"/>
              </w:rPr>
              <w:t xml:space="preserve"> OSPAR Decision 2000/2 on a Harmonised Mandatory Control System for the Use and Reduction of the Decision 2005/1</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4</w:t>
            </w:r>
            <w:r w:rsidRPr="00FE1726">
              <w:rPr>
                <w:rFonts w:eastAsia="Times New Roman" w:cs="Times New Roman"/>
                <w:color w:val="000000"/>
                <w:sz w:val="16"/>
                <w:szCs w:val="16"/>
                <w:lang w:eastAsia="nl-NL"/>
              </w:rPr>
              <w:t xml:space="preserve"> OSPAR Recommendation 2010/3 on a Harmonised Offshore Chemical Notification Format Amended by Recommendation 2014/17</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5</w:t>
            </w:r>
            <w:r w:rsidRPr="00FE1726">
              <w:rPr>
                <w:rFonts w:eastAsia="Times New Roman" w:cs="Times New Roman"/>
                <w:color w:val="000000"/>
                <w:sz w:val="16"/>
                <w:szCs w:val="16"/>
                <w:lang w:eastAsia="nl-NL"/>
              </w:rPr>
              <w:t xml:space="preserve"> OSPAR Recommendation 2010/4 on a Harmonised Pre-screening Scheme for Offshore Chemicals </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6</w:t>
            </w:r>
            <w:r w:rsidRPr="00FE1726">
              <w:rPr>
                <w:rFonts w:eastAsia="Times New Roman" w:cs="Times New Roman"/>
                <w:color w:val="000000"/>
                <w:sz w:val="16"/>
                <w:szCs w:val="16"/>
                <w:lang w:eastAsia="nl-NL"/>
              </w:rPr>
              <w:t xml:space="preserve"> OSPAR Recommendation 2005/2 on Environmental Goals for the Discharge by the Offshore Industry of Chemicals that Are, or Contain Added Substances,</w:t>
            </w:r>
            <w:r w:rsidRPr="00FE1726">
              <w:rPr>
                <w:rFonts w:eastAsia="Times New Roman" w:cs="Times New Roman"/>
                <w:color w:val="000000"/>
                <w:sz w:val="16"/>
                <w:szCs w:val="16"/>
                <w:lang w:eastAsia="nl-NL"/>
              </w:rPr>
              <w:br/>
              <w:t>Listed in the OSPAR 2004 List of Chemicals for Priority Action</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7</w:t>
            </w:r>
            <w:r w:rsidRPr="00FE1726">
              <w:rPr>
                <w:rFonts w:eastAsia="Times New Roman" w:cs="Times New Roman"/>
                <w:color w:val="000000"/>
                <w:sz w:val="16"/>
                <w:szCs w:val="16"/>
                <w:lang w:eastAsia="nl-NL"/>
              </w:rPr>
              <w:t xml:space="preserve"> OSPAR Recommendation 2006/3 on Environmental Goals for the Discharge by the Offshore Industry of Chemicals that Are, or Which Contain Substances</w:t>
            </w:r>
            <w:r w:rsidRPr="00FE1726">
              <w:rPr>
                <w:rFonts w:eastAsia="Times New Roman" w:cs="Times New Roman"/>
                <w:color w:val="000000"/>
                <w:sz w:val="16"/>
                <w:szCs w:val="16"/>
                <w:lang w:eastAsia="nl-NL"/>
              </w:rPr>
              <w:br/>
              <w:t>Identified as Candidates for Substitution</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Lozing van productiewater:</w:t>
            </w:r>
            <w:r w:rsidRPr="00FE1726">
              <w:rPr>
                <w:rFonts w:eastAsia="Times New Roman" w:cs="Times New Roman"/>
                <w:color w:val="000000"/>
                <w:sz w:val="16"/>
                <w:szCs w:val="16"/>
                <w:lang w:eastAsia="nl-NL"/>
              </w:rPr>
              <w:br/>
              <w:t>8 OSPAR Recommendation 2001/1 for the Management of Produced Water from Offshore Installations. Amended by OSPAR Recommendation 2006/4 and</w:t>
            </w:r>
            <w:r w:rsidRPr="00FE1726">
              <w:rPr>
                <w:rFonts w:eastAsia="Times New Roman" w:cs="Times New Roman"/>
                <w:color w:val="000000"/>
                <w:sz w:val="16"/>
                <w:szCs w:val="16"/>
                <w:lang w:eastAsia="nl-NL"/>
              </w:rPr>
              <w:br/>
              <w:t>Recommendation 2011/89 OSPAR Recommendation 2012/5 for a risk-based</w:t>
            </w:r>
            <w:r w:rsidRPr="00FE1726">
              <w:rPr>
                <w:rFonts w:eastAsia="Times New Roman" w:cs="Times New Roman"/>
                <w:color w:val="000000"/>
                <w:sz w:val="16"/>
                <w:szCs w:val="16"/>
                <w:lang w:eastAsia="nl-NL"/>
              </w:rPr>
              <w:br/>
              <w:t>approach to the management of produced water discharges from offshore installations</w:t>
            </w:r>
            <w:r w:rsidRPr="00FE1726">
              <w:rPr>
                <w:rFonts w:eastAsia="Times New Roman" w:cs="Times New Roman"/>
                <w:color w:val="000000"/>
                <w:sz w:val="16"/>
                <w:szCs w:val="16"/>
                <w:lang w:eastAsia="nl-NL"/>
              </w:rPr>
              <w:br/>
            </w:r>
            <w:r w:rsidRPr="00FE1726">
              <w:rPr>
                <w:rFonts w:eastAsia="Times New Roman" w:cs="Times New Roman"/>
                <w:b/>
                <w:bCs/>
                <w:color w:val="000000"/>
                <w:sz w:val="16"/>
                <w:szCs w:val="16"/>
                <w:lang w:eastAsia="nl-NL"/>
              </w:rPr>
              <w:t xml:space="preserve">Overige afvalwater van productieprocessen: </w:t>
            </w:r>
            <w:r w:rsidRPr="00FE1726">
              <w:rPr>
                <w:rFonts w:eastAsia="Times New Roman" w:cs="Times New Roman"/>
                <w:color w:val="000000"/>
                <w:sz w:val="16"/>
                <w:szCs w:val="16"/>
                <w:lang w:eastAsia="nl-NL"/>
              </w:rPr>
              <w:br/>
              <w:t>PARCOM Recommendation of a 40 mg/l Emission Standard for Platforms, 1986</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694EB744"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Mijnbouwwet, Mijnbouwbesluit en Mijnbouwregeling</w:t>
            </w:r>
          </w:p>
        </w:tc>
      </w:tr>
      <w:tr w:rsidRPr="0084482C" w:rsidR="00FE1726" w:rsidTr="00FE1726" w14:paraId="3AB17265" w14:textId="77777777">
        <w:trPr>
          <w:trHeight w:val="6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7BD8672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Voorkomen en beperken industriële emissies</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1FA50B0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industriële emissies (geïntegreerde preventie en bestrijding van verontreiniging) (2010/75)</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7CBBE4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Activiteitenbesluit milieubeheer, Waterwet, Besluit en Regeling omgevingsrecht</w:t>
            </w:r>
          </w:p>
        </w:tc>
      </w:tr>
      <w:tr w:rsidRPr="00FE1726" w:rsidR="00FE1726" w:rsidTr="00FE1726" w14:paraId="5B80CFA2" w14:textId="77777777">
        <w:trPr>
          <w:trHeight w:val="20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74DD6F03"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Terugdringing milieurisico’s als gevolg van zware ongevallen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0374DA4"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betreffende de beheersing van de gevaren van zware ongevallen waarbij gevaarlijke stoffen zijn betrokken (Seveso III)</w:t>
            </w:r>
            <w:r w:rsidRPr="00FE1726">
              <w:rPr>
                <w:rFonts w:eastAsia="Times New Roman" w:cs="Times New Roman"/>
                <w:color w:val="000000"/>
                <w:sz w:val="16"/>
                <w:szCs w:val="16"/>
                <w:lang w:val="nl-NL" w:eastAsia="nl-NL"/>
              </w:rPr>
              <w:br/>
              <w:t>Richtlijn tot vaststelling van een kader voor</w:t>
            </w:r>
            <w:r w:rsidRPr="00FE1726">
              <w:rPr>
                <w:rFonts w:eastAsia="Times New Roman" w:cs="Times New Roman"/>
                <w:color w:val="000000"/>
                <w:sz w:val="16"/>
                <w:szCs w:val="16"/>
                <w:lang w:val="nl-NL" w:eastAsia="nl-NL"/>
              </w:rPr>
              <w:br/>
              <w:t>communautaire maatregelen betreffende het waterbeleid (Kaderrichtlijn Water; 2000/60)</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04105DC"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Besluit risico’s zware ongevallen 2015</w:t>
            </w:r>
          </w:p>
        </w:tc>
      </w:tr>
      <w:tr w:rsidRPr="0084482C" w:rsidR="00321C9C" w:rsidTr="00321C9C" w14:paraId="7576E8AB" w14:textId="77777777">
        <w:trPr>
          <w:trHeight w:val="1451"/>
        </w:trPr>
        <w:tc>
          <w:tcPr>
            <w:tcW w:w="0" w:type="auto"/>
            <w:tcBorders>
              <w:top w:val="nil"/>
              <w:left w:val="single" w:color="auto" w:sz="4" w:space="0"/>
              <w:bottom w:val="single" w:color="auto" w:sz="4" w:space="0"/>
              <w:right w:val="single" w:color="auto" w:sz="4" w:space="0"/>
            </w:tcBorders>
            <w:shd w:val="clear" w:color="auto" w:fill="auto"/>
          </w:tcPr>
          <w:p w:rsidRPr="00FE1726" w:rsidR="00321C9C" w:rsidP="00013E66" w:rsidRDefault="00321C9C" w14:paraId="633B0223" w14:textId="25F6475C">
            <w:pPr>
              <w:rPr>
                <w:rFonts w:eastAsia="Times New Roman" w:cs="Times New Roman"/>
                <w:color w:val="000000"/>
                <w:sz w:val="16"/>
                <w:szCs w:val="16"/>
                <w:lang w:val="nl-NL" w:eastAsia="nl-NL"/>
              </w:rPr>
            </w:pPr>
            <w:r w:rsidRPr="00775D1F">
              <w:rPr>
                <w:rFonts w:eastAsia="Times New Roman" w:cs="Times New Roman"/>
                <w:color w:val="000000"/>
                <w:sz w:val="16"/>
                <w:szCs w:val="16"/>
                <w:lang w:val="nl-NL" w:eastAsia="nl-NL"/>
              </w:rPr>
              <w:t>Pilot projecten bij gemeentelijke waterzuiveringsinstallaties voor een verdere verwijdering van farmaceutische en andere verontreinigende stoffen.</w:t>
            </w:r>
          </w:p>
        </w:tc>
        <w:tc>
          <w:tcPr>
            <w:tcW w:w="0" w:type="auto"/>
            <w:tcBorders>
              <w:top w:val="nil"/>
              <w:left w:val="nil"/>
              <w:bottom w:val="single" w:color="auto" w:sz="4" w:space="0"/>
              <w:right w:val="single" w:color="auto" w:sz="4" w:space="0"/>
            </w:tcBorders>
            <w:shd w:val="clear" w:color="auto" w:fill="auto"/>
          </w:tcPr>
          <w:p w:rsidRPr="00FE1726" w:rsidR="00321C9C" w:rsidP="00013E66" w:rsidRDefault="00321C9C" w14:paraId="69CDE429" w14:textId="77777777">
            <w:pPr>
              <w:rPr>
                <w:rFonts w:eastAsia="Times New Roman" w:cs="Times New Roman"/>
                <w:color w:val="000000"/>
                <w:sz w:val="16"/>
                <w:szCs w:val="16"/>
                <w:lang w:val="nl-NL" w:eastAsia="nl-NL"/>
              </w:rPr>
            </w:pPr>
          </w:p>
        </w:tc>
        <w:tc>
          <w:tcPr>
            <w:tcW w:w="0" w:type="auto"/>
            <w:tcBorders>
              <w:top w:val="nil"/>
              <w:left w:val="nil"/>
              <w:bottom w:val="single" w:color="auto" w:sz="4" w:space="0"/>
              <w:right w:val="single" w:color="auto" w:sz="4" w:space="0"/>
            </w:tcBorders>
            <w:shd w:val="clear" w:color="auto" w:fill="auto"/>
          </w:tcPr>
          <w:p w:rsidRPr="00321C9C" w:rsidR="00321C9C" w:rsidP="00013E66" w:rsidRDefault="00321C9C" w14:paraId="1AB6E4DE" w14:textId="77777777">
            <w:pPr>
              <w:rPr>
                <w:rFonts w:eastAsia="Times New Roman" w:cs="Times New Roman"/>
                <w:color w:val="000000"/>
                <w:sz w:val="16"/>
                <w:szCs w:val="16"/>
                <w:lang w:val="nl-NL" w:eastAsia="nl-NL"/>
              </w:rPr>
            </w:pPr>
          </w:p>
        </w:tc>
      </w:tr>
      <w:tr w:rsidRPr="0084482C" w:rsidR="00FE1726" w:rsidTr="00FE1726" w14:paraId="462859BD" w14:textId="77777777">
        <w:trPr>
          <w:trHeight w:val="900"/>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1BB94CE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Verbod op lozingen scheepsafvalstoffen binnenvaart</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5C08AC0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tot vaststelling van een kader voor communautaire maatregelen betreffende het waterbeleid (Kaderrichtlijn Water; 2000/60)</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4D94BE6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Scheepsafvalstoffenbesluit Rijn en Binnenvaart + Regeling</w:t>
            </w:r>
          </w:p>
        </w:tc>
      </w:tr>
      <w:tr w:rsidRPr="00FE1726" w:rsidR="00FE1726" w:rsidTr="00FE1726" w14:paraId="52E77391" w14:textId="77777777">
        <w:trPr>
          <w:trHeight w:val="13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750E8F22"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Actieplan duurzame gewasbescherming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FB4848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duurzaam gebruik pesticiden (2009/128/EG); Richtlijn tot vaststelling van een kader voor communautaire maatregelen betreffende het</w:t>
            </w:r>
            <w:r w:rsidRPr="00FE1726">
              <w:rPr>
                <w:rFonts w:eastAsia="Times New Roman" w:cs="Times New Roman"/>
                <w:color w:val="000000"/>
                <w:sz w:val="16"/>
                <w:szCs w:val="16"/>
                <w:lang w:val="nl-NL" w:eastAsia="nl-NL"/>
              </w:rPr>
              <w:br/>
              <w:t>waterbeleid (Kaderrichtlijn Water; 2000/60)</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42B0725"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Wet gewasbeschermingsmiddelen</w:t>
            </w:r>
          </w:p>
        </w:tc>
      </w:tr>
      <w:tr w:rsidRPr="0084482C" w:rsidR="00FE1726" w:rsidTr="00FE1726" w14:paraId="67D10BD3" w14:textId="77777777">
        <w:trPr>
          <w:trHeight w:val="20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637C80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Voorbereiding, samenwerking en coördinatie bij rampen en incidentenaanpak op zee</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81BCBA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978C76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bestrijding maritieme ongevallen, Besluit Incidentbestrijdingsplan Noordzee, Nota Maritieme en aeronautische noodhulp op de Noordzee 2010-2015, Samenwerkingsregeling Bestrijding Kustverontreiniging Rijkswaterstaatdiensten, Samenwerkingsregeling Besmeurde Vogels, Capaciteitsnota 2006-2010</w:t>
            </w:r>
          </w:p>
        </w:tc>
      </w:tr>
      <w:tr w:rsidRPr="0084482C" w:rsidR="00FE1726" w:rsidTr="00FE1726" w14:paraId="1599643B" w14:textId="77777777">
        <w:trPr>
          <w:trHeight w:val="20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311F770E"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Internationale samenwerking bij rampen en incidenten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74392C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Overeenkomst inzake samenwerking bij de bestrijding van verontreiniging van de Noordzee door olie en andere schadelijke stoffen (Bonn Overeenkomst)</w:t>
            </w:r>
            <w:r w:rsidR="00397267">
              <w:rPr>
                <w:rFonts w:eastAsia="Times New Roman" w:cs="Times New Roman"/>
                <w:color w:val="000000"/>
                <w:sz w:val="16"/>
                <w:szCs w:val="16"/>
                <w:lang w:val="nl-NL" w:eastAsia="nl-NL"/>
              </w:rPr>
              <w:t xml:space="preserve"> </w:t>
            </w:r>
            <w:r w:rsidRPr="00FE1726">
              <w:rPr>
                <w:rFonts w:eastAsia="Times New Roman" w:cs="Times New Roman"/>
                <w:color w:val="000000"/>
                <w:sz w:val="16"/>
                <w:szCs w:val="16"/>
                <w:lang w:val="nl-NL" w:eastAsia="nl-NL"/>
              </w:rPr>
              <w:t>Bonn Agreement Counter Pollution Manual</w:t>
            </w:r>
            <w:r w:rsidR="00397267">
              <w:rPr>
                <w:rFonts w:eastAsia="Times New Roman" w:cs="Times New Roman"/>
                <w:color w:val="000000"/>
                <w:sz w:val="16"/>
                <w:szCs w:val="16"/>
                <w:lang w:val="nl-NL" w:eastAsia="nl-NL"/>
              </w:rPr>
              <w:t xml:space="preserve"> </w:t>
            </w:r>
            <w:r w:rsidRPr="00FE1726">
              <w:rPr>
                <w:rFonts w:eastAsia="Times New Roman" w:cs="Times New Roman"/>
                <w:color w:val="000000"/>
                <w:sz w:val="16"/>
                <w:szCs w:val="16"/>
                <w:lang w:val="nl-NL" w:eastAsia="nl-NL"/>
              </w:rPr>
              <w:t>Internationaal verdrag inzake optreden in volle zee bij ongevallen die verontreiniging door olie kunnen veroorzaken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B1C3DCF"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bestrijding maritieme ongevallen, Bonn Overeenkomst Actieplan 2013-2016</w:t>
            </w:r>
          </w:p>
        </w:tc>
      </w:tr>
      <w:tr w:rsidRPr="00AA134D" w:rsidR="00FE1726" w:rsidTr="000F24F6" w14:paraId="177D47B2" w14:textId="77777777">
        <w:trPr>
          <w:trHeight w:val="457"/>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F7B20" w:rsidR="00FE1726" w:rsidP="00013E66" w:rsidRDefault="00FE1726" w14:paraId="454E3EC9" w14:textId="77777777">
            <w:pPr>
              <w:rPr>
                <w:rFonts w:eastAsia="Times New Roman" w:cs="Times New Roman"/>
                <w:b/>
                <w:bCs/>
                <w:color w:val="000000"/>
                <w:sz w:val="16"/>
                <w:szCs w:val="16"/>
                <w:lang w:val="nl-NL" w:eastAsia="nl-NL"/>
              </w:rPr>
            </w:pPr>
            <w:r w:rsidRPr="00AF7B20">
              <w:rPr>
                <w:rFonts w:eastAsia="Times New Roman" w:cs="Times New Roman"/>
                <w:b/>
                <w:bCs/>
                <w:color w:val="000000"/>
                <w:sz w:val="16"/>
                <w:szCs w:val="16"/>
                <w:lang w:val="nl-NL" w:eastAsia="nl-NL"/>
              </w:rPr>
              <w:t>D9 Vervuilende stoffen in vis</w:t>
            </w:r>
          </w:p>
        </w:tc>
        <w:tc>
          <w:tcPr>
            <w:tcW w:w="0" w:type="auto"/>
            <w:tcBorders>
              <w:top w:val="single" w:color="auto" w:sz="4" w:space="0"/>
              <w:left w:val="nil"/>
              <w:bottom w:val="single" w:color="auto" w:sz="4" w:space="0"/>
              <w:right w:val="single" w:color="auto" w:sz="4" w:space="0"/>
            </w:tcBorders>
            <w:shd w:val="clear" w:color="auto" w:fill="auto"/>
            <w:hideMark/>
          </w:tcPr>
          <w:p w:rsidRPr="00AF7B20" w:rsidR="00FE1726" w:rsidP="00013E66" w:rsidRDefault="00FE1726" w14:paraId="163936C1" w14:textId="77777777">
            <w:pPr>
              <w:rPr>
                <w:rFonts w:eastAsia="Times New Roman" w:cs="Times New Roman"/>
                <w:b/>
                <w:bCs/>
                <w:color w:val="000000"/>
                <w:sz w:val="16"/>
                <w:szCs w:val="16"/>
                <w:lang w:val="nl-NL"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AF7B20" w:rsidR="00FE1726" w:rsidP="00013E66" w:rsidRDefault="00FE1726" w14:paraId="3D04F576" w14:textId="77777777">
            <w:pPr>
              <w:rPr>
                <w:rFonts w:eastAsia="Times New Roman" w:cs="Times New Roman"/>
                <w:sz w:val="16"/>
                <w:szCs w:val="16"/>
                <w:lang w:val="nl-NL" w:eastAsia="nl-NL"/>
              </w:rPr>
            </w:pPr>
          </w:p>
        </w:tc>
      </w:tr>
      <w:tr w:rsidRPr="00FE1726" w:rsidR="00FE1726" w:rsidTr="00FE1726" w14:paraId="62D4721D" w14:textId="77777777">
        <w:trPr>
          <w:trHeight w:val="67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148C0DB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Normering vervuilende stoffen in vis en visproducten</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7C67463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o.a. Verordening (EG) nr. 1881/2006 en Verordening</w:t>
            </w:r>
            <w:r w:rsidRPr="00FE1726">
              <w:rPr>
                <w:rFonts w:eastAsia="Times New Roman" w:cs="Times New Roman"/>
                <w:color w:val="000000"/>
                <w:sz w:val="16"/>
                <w:szCs w:val="16"/>
                <w:lang w:val="nl-NL" w:eastAsia="nl-NL"/>
              </w:rPr>
              <w:br/>
              <w:t>(EG) nr. 396/2005</w:t>
            </w:r>
          </w:p>
        </w:tc>
        <w:tc>
          <w:tcPr>
            <w:tcW w:w="0" w:type="auto"/>
            <w:tcBorders>
              <w:top w:val="single" w:color="auto" w:sz="4" w:space="0"/>
              <w:left w:val="nil"/>
              <w:bottom w:val="single" w:color="auto" w:sz="4" w:space="0"/>
              <w:right w:val="single" w:color="auto" w:sz="4" w:space="0"/>
            </w:tcBorders>
            <w:shd w:val="clear" w:color="auto" w:fill="auto"/>
            <w:noWrap/>
            <w:hideMark/>
          </w:tcPr>
          <w:p w:rsidRPr="00FE1726" w:rsidR="00FE1726" w:rsidP="00013E66" w:rsidRDefault="00FE1726" w14:paraId="6D8BBF55"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Rechtstreeks werkend</w:t>
            </w:r>
          </w:p>
        </w:tc>
      </w:tr>
      <w:tr w:rsidRPr="00FE1726" w:rsidR="00FE1726" w:rsidTr="00FE1726" w14:paraId="1485F58B" w14:textId="77777777">
        <w:trPr>
          <w:trHeight w:val="22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13C2A82A"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D10 Zwerfvuil</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512C3804" w14:textId="77777777">
            <w:pPr>
              <w:rPr>
                <w:rFonts w:eastAsia="Times New Roman" w:cs="Times New Roman"/>
                <w:b/>
                <w:bCs/>
                <w:color w:val="000000"/>
                <w:sz w:val="16"/>
                <w:szCs w:val="16"/>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1D210CD2" w14:textId="77777777">
            <w:pPr>
              <w:rPr>
                <w:rFonts w:eastAsia="Times New Roman" w:cs="Times New Roman"/>
                <w:sz w:val="16"/>
                <w:szCs w:val="16"/>
                <w:lang w:eastAsia="nl-NL"/>
              </w:rPr>
            </w:pPr>
          </w:p>
        </w:tc>
      </w:tr>
      <w:tr w:rsidRPr="00FE1726" w:rsidR="00FE1726" w:rsidTr="00FE1726" w14:paraId="0D2D76EC" w14:textId="77777777">
        <w:trPr>
          <w:trHeight w:val="225"/>
        </w:trPr>
        <w:tc>
          <w:tcPr>
            <w:tcW w:w="0" w:type="auto"/>
            <w:tcBorders>
              <w:top w:val="single" w:color="auto" w:sz="4" w:space="0"/>
              <w:left w:val="single" w:color="auto" w:sz="4" w:space="0"/>
              <w:bottom w:val="single" w:color="auto" w:sz="4" w:space="0"/>
              <w:right w:val="nil"/>
            </w:tcBorders>
            <w:shd w:val="clear" w:color="auto" w:fill="auto"/>
            <w:hideMark/>
          </w:tcPr>
          <w:p w:rsidRPr="00FE1726" w:rsidR="00FE1726" w:rsidP="00013E66" w:rsidRDefault="00FE1726" w14:paraId="24A7841A"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(Schoonmaak)campagnes</w:t>
            </w:r>
          </w:p>
        </w:tc>
        <w:tc>
          <w:tcPr>
            <w:tcW w:w="0" w:type="auto"/>
            <w:tcBorders>
              <w:top w:val="single" w:color="auto" w:sz="4" w:space="0"/>
              <w:left w:val="single" w:color="auto" w:sz="4" w:space="0"/>
              <w:bottom w:val="single" w:color="auto" w:sz="4" w:space="0"/>
              <w:right w:val="nil"/>
            </w:tcBorders>
            <w:shd w:val="clear" w:color="auto" w:fill="auto"/>
            <w:hideMark/>
          </w:tcPr>
          <w:p w:rsidRPr="00FE1726" w:rsidR="00FE1726" w:rsidP="00013E66" w:rsidRDefault="00FE1726" w14:paraId="149203F4"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FE1726" w:rsidR="00FE1726" w:rsidP="00013E66" w:rsidRDefault="00FE1726" w14:paraId="6ED4F8FE" w14:textId="77777777">
            <w:pPr>
              <w:rPr>
                <w:rFonts w:eastAsia="Times New Roman" w:cs="Times New Roman"/>
                <w:color w:val="000000"/>
                <w:sz w:val="16"/>
                <w:szCs w:val="16"/>
                <w:lang w:eastAsia="nl-NL"/>
              </w:rPr>
            </w:pPr>
          </w:p>
        </w:tc>
      </w:tr>
      <w:tr w:rsidRPr="00FE1726" w:rsidR="00FE1726" w:rsidTr="00FE1726" w14:paraId="1422138C" w14:textId="77777777">
        <w:trPr>
          <w:trHeight w:val="225"/>
        </w:trPr>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095E694F"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Aanpak Schone Maas Limburg</w:t>
            </w:r>
          </w:p>
        </w:tc>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32E8EE4E"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single" w:color="auto" w:sz="4" w:space="0"/>
              <w:bottom w:val="single" w:color="auto" w:sz="4" w:space="0"/>
              <w:right w:val="single" w:color="auto" w:sz="4" w:space="0"/>
            </w:tcBorders>
            <w:shd w:val="clear" w:color="auto" w:fill="auto"/>
          </w:tcPr>
          <w:p w:rsidRPr="00FE1726" w:rsidR="00FE1726" w:rsidP="00013E66" w:rsidRDefault="00FE1726" w14:paraId="1A442A66" w14:textId="77777777">
            <w:pPr>
              <w:rPr>
                <w:rFonts w:eastAsia="Times New Roman" w:cs="Times New Roman"/>
                <w:color w:val="000000"/>
                <w:sz w:val="16"/>
                <w:szCs w:val="16"/>
                <w:lang w:eastAsia="nl-NL"/>
              </w:rPr>
            </w:pPr>
          </w:p>
        </w:tc>
      </w:tr>
      <w:tr w:rsidRPr="00FE1726" w:rsidR="00FE1726" w:rsidTr="00FE1726" w14:paraId="79FE8B00" w14:textId="77777777">
        <w:trPr>
          <w:trHeight w:val="2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07F7826F"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Stakeholderinitiatieven op stranden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1B7C40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tcPr>
          <w:p w:rsidRPr="00FE1726" w:rsidR="00FE1726" w:rsidP="00013E66" w:rsidRDefault="00FE1726" w14:paraId="28094099" w14:textId="77777777">
            <w:pPr>
              <w:rPr>
                <w:rFonts w:eastAsia="Times New Roman" w:cs="Times New Roman"/>
                <w:color w:val="000000"/>
                <w:sz w:val="16"/>
                <w:szCs w:val="16"/>
                <w:lang w:eastAsia="nl-NL"/>
              </w:rPr>
            </w:pPr>
          </w:p>
        </w:tc>
      </w:tr>
      <w:tr w:rsidRPr="0084482C" w:rsidR="00FE1726" w:rsidTr="00FE1726" w14:paraId="60072929" w14:textId="77777777">
        <w:trPr>
          <w:trHeight w:val="90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D76342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Implementatie nieuwe EU-richtlijn 2019/833 Havenontvangstvoorzieningen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17DAB7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betreffende havenontvangstvoorzieningen</w:t>
            </w:r>
            <w:r w:rsidRPr="00FE1726">
              <w:rPr>
                <w:rFonts w:eastAsia="Times New Roman" w:cs="Times New Roman"/>
                <w:color w:val="000000"/>
                <w:sz w:val="16"/>
                <w:szCs w:val="16"/>
                <w:lang w:val="nl-NL" w:eastAsia="nl-NL"/>
              </w:rPr>
              <w:br/>
              <w:t>voor scheepsafval en ladingresiduen (2000/59/EC)</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479AA5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voorkoming verontreiniging door schepen</w:t>
            </w:r>
          </w:p>
        </w:tc>
      </w:tr>
      <w:tr w:rsidRPr="0084482C" w:rsidR="00FE1726" w:rsidTr="00FE1726" w14:paraId="33BC9B7E" w14:textId="77777777">
        <w:trPr>
          <w:trHeight w:val="6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462C439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Lozingsverbod vuilnis door schepen (MARPOL Annex V)</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2325A12"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IMO Internationaal Verdrag ter voorkoming van verontreiniging door schepen (MARPOL)</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A615894"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Wet voorkoming verontreiniging door schepen</w:t>
            </w:r>
          </w:p>
        </w:tc>
      </w:tr>
      <w:tr w:rsidRPr="00FE1726" w:rsidR="00FE1726" w:rsidTr="00FE1726" w14:paraId="7D99DC3C" w14:textId="77777777">
        <w:trPr>
          <w:trHeight w:val="11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251B0FD4"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Marine environmental awareness cursus</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8C3BE2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Internationaal Verdrag betreffende de normen</w:t>
            </w:r>
            <w:r w:rsidRPr="00FE1726">
              <w:rPr>
                <w:rFonts w:eastAsia="Times New Roman" w:cs="Times New Roman"/>
                <w:color w:val="000000"/>
                <w:sz w:val="16"/>
                <w:szCs w:val="16"/>
                <w:lang w:val="nl-NL" w:eastAsia="nl-NL"/>
              </w:rPr>
              <w:br/>
              <w:t>voor zeevarenden inzake opleiding, diplomering</w:t>
            </w:r>
            <w:r w:rsidRPr="00FE1726">
              <w:rPr>
                <w:rFonts w:eastAsia="Times New Roman" w:cs="Times New Roman"/>
                <w:color w:val="000000"/>
                <w:sz w:val="16"/>
                <w:szCs w:val="16"/>
                <w:lang w:val="nl-NL" w:eastAsia="nl-NL"/>
              </w:rPr>
              <w:br/>
              <w:t>en wachtdienst (SCTW-verdrag)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DF9262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OCW onderwijswetgeving</w:t>
            </w:r>
          </w:p>
        </w:tc>
      </w:tr>
      <w:tr w:rsidRPr="00FE1726" w:rsidR="00FE1726" w:rsidTr="00FE1726" w14:paraId="38C509D4" w14:textId="77777777">
        <w:trPr>
          <w:trHeight w:val="2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0A9FA75"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Programma Fishing for Litter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06455DA"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19C4C0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FE1726" w:rsidR="00FE1726" w:rsidTr="00FE1726" w14:paraId="1F5206B8" w14:textId="77777777">
        <w:trPr>
          <w:trHeight w:val="2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E7CECAF"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Uitvoering (zwerf)afvalbeleid</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90EC8D6"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F24CB6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FE1726" w:rsidR="00FE1726" w:rsidTr="00FE1726" w14:paraId="23E2571E"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729377B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Nederland Circulair 2050 (voorheen Van Afval naar Grondstof (VANG))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6FD9039"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32987B9"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Beleidsprogramma</w:t>
            </w:r>
          </w:p>
        </w:tc>
      </w:tr>
      <w:tr w:rsidRPr="00FE1726" w:rsidR="00FE1726" w:rsidTr="00FE1726" w14:paraId="41A5C414"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946D2AF"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Verduurzamen verpakkingen (voorheen raamovereenkomst verpakkingen)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556B3D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C3AFAEC"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Convenant</w:t>
            </w:r>
          </w:p>
        </w:tc>
      </w:tr>
      <w:tr w:rsidRPr="0084482C" w:rsidR="00FE1726" w:rsidTr="00FE1726" w14:paraId="7E3688BF"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CFF686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Brede aanpak zwerfafval (voorheen landelijke aanpak zwerfafval)</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11DB2CF"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F85C543"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r>
      <w:tr w:rsidRPr="00FE1726" w:rsidR="00FE1726" w:rsidTr="00FE1726" w14:paraId="63967AC7" w14:textId="77777777">
        <w:trPr>
          <w:trHeight w:val="450"/>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6E2FF627"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Plastic Pact (voorheen Ketenakkoord kunststofkringloop)</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5CFDCC4C"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755E3DF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Convenant</w:t>
            </w:r>
          </w:p>
        </w:tc>
      </w:tr>
      <w:tr w:rsidRPr="00FE1726" w:rsidR="00FE1726" w:rsidTr="00FE1726" w14:paraId="130E624B" w14:textId="77777777">
        <w:trPr>
          <w:trHeight w:val="2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17ED9BD5"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Landelijk Afvalbeheerplan (LAP) 3</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9CF23D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E59B1F0"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Beleidsprogramma</w:t>
            </w:r>
          </w:p>
        </w:tc>
      </w:tr>
      <w:tr w:rsidRPr="00FE1726" w:rsidR="00FE1726" w:rsidTr="00FE1726" w14:paraId="31904E17" w14:textId="77777777">
        <w:trPr>
          <w:trHeight w:val="11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26CADF7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Terugdringen van het gebruik van plastic tassen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1F87309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(EU) 2015/720 van het Europees Parlement en de Raad van 29 april 2015 tot wijziging van Richtlijn 94/62/EG betreffende de vermindering van het verbruik van lichte plastic draagtassen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8126717" w14:textId="403E0471">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m</w:t>
            </w:r>
            <w:r w:rsidRPr="00FE1726">
              <w:rPr>
                <w:rFonts w:eastAsia="Times New Roman" w:cs="Times New Roman"/>
                <w:color w:val="000000"/>
                <w:sz w:val="16"/>
                <w:szCs w:val="16"/>
                <w:lang w:eastAsia="nl-NL"/>
              </w:rPr>
              <w:t>ilieubeheer</w:t>
            </w:r>
          </w:p>
        </w:tc>
      </w:tr>
      <w:tr w:rsidRPr="00FE1726" w:rsidR="00FE1726" w:rsidTr="00FE1726" w14:paraId="7BE3C5EF"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698DDD2"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Agendering zwerfvuil bij stakeholders en in onderwijs</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60FEF2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3781916"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Voortgezet binnen Beleidsprogramma VANG</w:t>
            </w:r>
          </w:p>
        </w:tc>
      </w:tr>
      <w:tr w:rsidRPr="00FE1726" w:rsidR="00FE1726" w:rsidTr="00FE1726" w14:paraId="08FA1375"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014CA24D"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Schone stranden: Green Deal Schone Stranden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AF223AD"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B819E5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FE1726" w:rsidR="00FE1726" w:rsidTr="00FE1726" w14:paraId="4EE8B998" w14:textId="77777777">
        <w:trPr>
          <w:trHeight w:val="6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2292F89A"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Rivieren: Stroomgebiedsgerichte aanpak zwerfvuil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426E97B"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6D73B173" w14:textId="77777777">
            <w:pPr>
              <w:rPr>
                <w:rFonts w:eastAsia="Times New Roman" w:cs="Times New Roman"/>
                <w:color w:val="000000"/>
                <w:sz w:val="16"/>
                <w:szCs w:val="16"/>
                <w:lang w:eastAsia="nl-NL"/>
              </w:rPr>
            </w:pPr>
            <w:r w:rsidRPr="00FE1726">
              <w:rPr>
                <w:rFonts w:eastAsia="Times New Roman" w:cs="Times New Roman"/>
                <w:color w:val="000000"/>
                <w:sz w:val="16"/>
                <w:szCs w:val="16"/>
                <w:lang w:val="nl-NL" w:eastAsia="nl-NL"/>
              </w:rPr>
              <w:t xml:space="preserve">Regionale samenwerkingsverbanden, deels via convenant. </w:t>
            </w:r>
            <w:r w:rsidRPr="00FE1726">
              <w:rPr>
                <w:rFonts w:eastAsia="Times New Roman" w:cs="Times New Roman"/>
                <w:color w:val="000000"/>
                <w:sz w:val="16"/>
                <w:szCs w:val="16"/>
                <w:lang w:eastAsia="nl-NL"/>
              </w:rPr>
              <w:t>Beleidsprogramma Microplastics</w:t>
            </w:r>
          </w:p>
        </w:tc>
      </w:tr>
      <w:tr w:rsidRPr="00FE1726" w:rsidR="00FE1726" w:rsidTr="00FE1726" w14:paraId="3678A3F3"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3E5423B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Rivieren: Uitrol Ophaalregeling zwerfvuil</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2D3E64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A75C8CE"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Regeling Rijkswaterstaat; economisch instrument</w:t>
            </w:r>
          </w:p>
        </w:tc>
      </w:tr>
      <w:tr w:rsidRPr="00FE1726" w:rsidR="00FE1726" w:rsidTr="00FE1726" w14:paraId="00D58FC0" w14:textId="77777777">
        <w:trPr>
          <w:trHeight w:val="45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5F75F2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Visserij: Green Deal Visserij voor een schone zee</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C2ACFD4"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209A73DC"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Convenant</w:t>
            </w:r>
          </w:p>
        </w:tc>
      </w:tr>
      <w:tr w:rsidRPr="0084482C" w:rsidR="00FE1726" w:rsidTr="00FE1726" w14:paraId="23FD5D05" w14:textId="77777777">
        <w:trPr>
          <w:trHeight w:val="112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193DF8E7"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Kunststof producten: Bevordering van het terugdringen ballonnen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A62AB59"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(EU) 2019/904 van het Europees Parlement en de Raad van 5 juni 2019 betreffende de vermindering van de effecten van bepaalde kunststofproducten op het milieu</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A9513AC" w14:textId="77777777">
            <w:pPr>
              <w:rPr>
                <w:rFonts w:eastAsia="Times New Roman" w:cs="Calibri"/>
                <w:sz w:val="16"/>
                <w:szCs w:val="16"/>
                <w:lang w:val="nl-NL" w:eastAsia="nl-NL"/>
              </w:rPr>
            </w:pPr>
            <w:r w:rsidRPr="00FE1726">
              <w:rPr>
                <w:rFonts w:eastAsia="Times New Roman" w:cs="Calibri"/>
                <w:sz w:val="16"/>
                <w:szCs w:val="16"/>
                <w:lang w:val="nl-NL" w:eastAsia="nl-NL"/>
              </w:rPr>
              <w:t> </w:t>
            </w:r>
          </w:p>
        </w:tc>
      </w:tr>
      <w:tr w:rsidRPr="0084482C" w:rsidR="00FE1726" w:rsidTr="00FE1726" w14:paraId="73AC2E28" w14:textId="77777777">
        <w:trPr>
          <w:trHeight w:val="6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0B0617E9"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Kunststof prodcucten: Inzet op EU-verbod op emissies van microplastics in cosmetica en detergenten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1E8DE9B6"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EU plastic strategy 2018 en EU Circular Economy Action Plan 2020 (CEAP) (onderdeel van EU Green Deal)</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7646AE3" w14:textId="77777777">
            <w:pPr>
              <w:rPr>
                <w:rFonts w:eastAsia="Times New Roman" w:cs="Times New Roman"/>
                <w:color w:val="000000"/>
                <w:sz w:val="16"/>
                <w:szCs w:val="16"/>
                <w:lang w:val="nl-NL" w:eastAsia="nl-NL"/>
              </w:rPr>
            </w:pPr>
            <w:r w:rsidRPr="00FE1726">
              <w:rPr>
                <w:rFonts w:eastAsia="Times New Roman" w:cs="Times New Roman"/>
                <w:sz w:val="16"/>
                <w:szCs w:val="16"/>
                <w:lang w:val="nl-NL" w:eastAsia="nl-NL"/>
              </w:rPr>
              <w:t>Vrijwillige uitfasering van microbeads door de Nederlandse Cosmetica Vereniging</w:t>
            </w:r>
          </w:p>
        </w:tc>
      </w:tr>
      <w:tr w:rsidRPr="0084482C" w:rsidR="00FE1726" w:rsidTr="00FE1726" w14:paraId="34ADC8D8" w14:textId="77777777">
        <w:trPr>
          <w:trHeight w:val="6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AB516E5"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Rivieren: Agendering en borging van de aanpak zwerfvuil op oevers bij beheerders langs rivieren.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D947D5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D1777A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r>
      <w:tr w:rsidRPr="00FE1726" w:rsidR="00FE1726" w:rsidTr="00FE1726" w14:paraId="530C4720" w14:textId="77777777">
        <w:trPr>
          <w:trHeight w:val="180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4EEB2921"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Zeevaart:</w:t>
            </w:r>
            <w:r w:rsidRPr="00FE1726">
              <w:rPr>
                <w:rFonts w:eastAsia="Times New Roman" w:cs="Times New Roman"/>
                <w:color w:val="000000"/>
                <w:sz w:val="16"/>
                <w:szCs w:val="16"/>
                <w:lang w:val="nl-NL" w:eastAsia="nl-NL"/>
              </w:rPr>
              <w:br/>
              <w:t>1. Implementatie afgifteplicht van persistent stollende ladingrestanten vanaf 2021.</w:t>
            </w:r>
            <w:r w:rsidRPr="00FE1726">
              <w:rPr>
                <w:rFonts w:eastAsia="Times New Roman" w:cs="Times New Roman"/>
                <w:color w:val="000000"/>
                <w:sz w:val="16"/>
                <w:szCs w:val="16"/>
                <w:lang w:val="nl-NL" w:eastAsia="nl-NL"/>
              </w:rPr>
              <w:br/>
              <w:t>2. Voorstel verbeterde voorwasprocedure: indienen voorstel IMO om de voorwasprocedure voor deze ladingrestanten te verbeteren.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745C1C9"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Implementatie IMO regelgeving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5B0CE64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ntb</w:t>
            </w:r>
          </w:p>
        </w:tc>
      </w:tr>
      <w:tr w:rsidRPr="00FE1726" w:rsidR="00FE1726" w:rsidTr="00FE1726" w14:paraId="2336E385" w14:textId="77777777">
        <w:trPr>
          <w:trHeight w:val="33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01DE9AC4" w14:textId="77777777">
            <w:pPr>
              <w:rPr>
                <w:rFonts w:eastAsia="Times New Roman" w:cs="Times New Roman"/>
                <w:color w:val="000000"/>
                <w:sz w:val="16"/>
                <w:szCs w:val="16"/>
                <w:lang w:eastAsia="nl-NL"/>
              </w:rPr>
            </w:pPr>
            <w:r w:rsidRPr="00FE1726">
              <w:rPr>
                <w:rFonts w:eastAsia="Times New Roman" w:cs="Times New Roman"/>
                <w:color w:val="000000"/>
                <w:sz w:val="16"/>
                <w:szCs w:val="16"/>
                <w:lang w:val="nl-NL" w:eastAsia="nl-NL"/>
              </w:rPr>
              <w:t xml:space="preserve">Visserij: </w:t>
            </w:r>
            <w:r w:rsidRPr="00FE1726">
              <w:rPr>
                <w:rFonts w:eastAsia="Times New Roman" w:cs="Times New Roman"/>
                <w:color w:val="000000"/>
                <w:sz w:val="16"/>
                <w:szCs w:val="16"/>
                <w:lang w:val="nl-NL" w:eastAsia="nl-NL"/>
              </w:rPr>
              <w:br/>
              <w:t xml:space="preserve">Als een alternatief voor pluis is gevonden, streven we naar een uitfasering van conventioneel pluis voor het jaar 2027. Dit wordt onderdeel van de Green Deal Visserij voor schone zee </w:t>
            </w:r>
            <w:r w:rsidRPr="00FE1726">
              <w:rPr>
                <w:rFonts w:eastAsia="Times New Roman" w:cs="Times New Roman"/>
                <w:color w:val="000000"/>
                <w:sz w:val="16"/>
                <w:szCs w:val="16"/>
                <w:lang w:val="nl-NL" w:eastAsia="nl-NL"/>
              </w:rPr>
              <w:br/>
              <w:t>Mogelijke actielijnen:</w:t>
            </w:r>
            <w:r w:rsidRPr="00FE1726">
              <w:rPr>
                <w:rFonts w:eastAsia="Times New Roman" w:cs="Times New Roman"/>
                <w:color w:val="000000"/>
                <w:sz w:val="16"/>
                <w:szCs w:val="16"/>
                <w:lang w:val="nl-NL" w:eastAsia="nl-NL"/>
              </w:rPr>
              <w:br/>
              <w:t xml:space="preserve">1. Uitfasering door stimulans: </w:t>
            </w:r>
            <w:r w:rsidRPr="00FE1726" w:rsidR="000D4013">
              <w:rPr>
                <w:rFonts w:eastAsia="Times New Roman" w:cs="Times New Roman"/>
                <w:color w:val="000000"/>
                <w:sz w:val="16"/>
                <w:szCs w:val="16"/>
                <w:lang w:val="nl-NL" w:eastAsia="nl-NL"/>
              </w:rPr>
              <w:t>financiële</w:t>
            </w:r>
            <w:r w:rsidRPr="00FE1726">
              <w:rPr>
                <w:rFonts w:eastAsia="Times New Roman" w:cs="Times New Roman"/>
                <w:color w:val="000000"/>
                <w:sz w:val="16"/>
                <w:szCs w:val="16"/>
                <w:lang w:val="nl-NL" w:eastAsia="nl-NL"/>
              </w:rPr>
              <w:t xml:space="preserve"> (fiscale) stimulans gebruik alternatieven (link UPV en MIA/ VAMIL) om alternatieven financieel aantrekkelijker te maken</w:t>
            </w:r>
            <w:r w:rsidRPr="00FE1726">
              <w:rPr>
                <w:rFonts w:eastAsia="Times New Roman" w:cs="Times New Roman"/>
                <w:color w:val="000000"/>
                <w:sz w:val="16"/>
                <w:szCs w:val="16"/>
                <w:lang w:val="nl-NL" w:eastAsia="nl-NL"/>
              </w:rPr>
              <w:br/>
              <w:t xml:space="preserve">2. </w:t>
            </w:r>
            <w:r w:rsidRPr="00FE1726">
              <w:rPr>
                <w:rFonts w:eastAsia="Times New Roman" w:cs="Times New Roman"/>
                <w:color w:val="000000"/>
                <w:sz w:val="16"/>
                <w:szCs w:val="16"/>
                <w:lang w:eastAsia="nl-NL"/>
              </w:rPr>
              <w:t>Faciliteren/ organiseren van promotie activiteiten van alternatieven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0340E777"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ntb</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CE9E672"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ntb</w:t>
            </w:r>
          </w:p>
        </w:tc>
      </w:tr>
      <w:tr w:rsidRPr="00FE1726" w:rsidR="00FE1726" w:rsidTr="00FE1726" w14:paraId="620D44B2" w14:textId="77777777">
        <w:trPr>
          <w:trHeight w:val="22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759C147D" w14:textId="77777777">
            <w:pPr>
              <w:rPr>
                <w:rFonts w:eastAsia="Times New Roman" w:cs="Times New Roman"/>
                <w:b/>
                <w:bCs/>
                <w:color w:val="000000"/>
                <w:sz w:val="16"/>
                <w:szCs w:val="16"/>
                <w:lang w:eastAsia="nl-NL"/>
              </w:rPr>
            </w:pPr>
            <w:r w:rsidRPr="00FE1726">
              <w:rPr>
                <w:rFonts w:eastAsia="Times New Roman" w:cs="Times New Roman"/>
                <w:b/>
                <w:bCs/>
                <w:color w:val="000000"/>
                <w:sz w:val="16"/>
                <w:szCs w:val="16"/>
                <w:lang w:eastAsia="nl-NL"/>
              </w:rPr>
              <w:t>D11 Onderwatergeluid</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409D0BAA" w14:textId="77777777">
            <w:pPr>
              <w:rPr>
                <w:rFonts w:eastAsia="Times New Roman" w:cs="Times New Roman"/>
                <w:b/>
                <w:bCs/>
                <w:color w:val="000000"/>
                <w:sz w:val="16"/>
                <w:szCs w:val="16"/>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FE1726" w:rsidR="00FE1726" w:rsidP="00013E66" w:rsidRDefault="00FE1726" w14:paraId="4103822D" w14:textId="77777777">
            <w:pPr>
              <w:rPr>
                <w:rFonts w:eastAsia="Times New Roman" w:cs="Times New Roman"/>
                <w:sz w:val="16"/>
                <w:szCs w:val="16"/>
                <w:lang w:eastAsia="nl-NL"/>
              </w:rPr>
            </w:pPr>
          </w:p>
        </w:tc>
      </w:tr>
      <w:tr w:rsidRPr="00FE1726" w:rsidR="00FE1726" w:rsidTr="00FE1726" w14:paraId="6A090CAC" w14:textId="77777777">
        <w:trPr>
          <w:trHeight w:val="112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FE1726" w:rsidR="00FE1726" w:rsidP="00013E66" w:rsidRDefault="00FE1726" w14:paraId="6F8A1AD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Vergunningregimes windturbineparken</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3EE599F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 (Vogelrichtlijn; 79/409/EEG) Richtlijn inzake de instandhouding van de natuurlijke habitats en de wilde flora en fauna (Habitatrichtlijn; 92/43/EEG)</w:t>
            </w:r>
          </w:p>
        </w:tc>
        <w:tc>
          <w:tcPr>
            <w:tcW w:w="0" w:type="auto"/>
            <w:tcBorders>
              <w:top w:val="single" w:color="auto" w:sz="4" w:space="0"/>
              <w:left w:val="nil"/>
              <w:bottom w:val="single" w:color="auto" w:sz="4" w:space="0"/>
              <w:right w:val="single" w:color="auto" w:sz="4" w:space="0"/>
            </w:tcBorders>
            <w:shd w:val="clear" w:color="auto" w:fill="auto"/>
            <w:hideMark/>
          </w:tcPr>
          <w:p w:rsidRPr="00FE1726" w:rsidR="00FE1726" w:rsidP="00013E66" w:rsidRDefault="00FE1726" w14:paraId="54BA3E93" w14:textId="17A8F93E">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Wet </w:t>
            </w:r>
            <w:r w:rsidR="00A9405C">
              <w:rPr>
                <w:rFonts w:eastAsia="Times New Roman" w:cs="Times New Roman"/>
                <w:color w:val="000000"/>
                <w:sz w:val="16"/>
                <w:szCs w:val="16"/>
                <w:lang w:eastAsia="nl-NL"/>
              </w:rPr>
              <w:t>n</w:t>
            </w:r>
            <w:r w:rsidRPr="00FE1726">
              <w:rPr>
                <w:rFonts w:eastAsia="Times New Roman" w:cs="Times New Roman"/>
                <w:color w:val="000000"/>
                <w:sz w:val="16"/>
                <w:szCs w:val="16"/>
                <w:lang w:eastAsia="nl-NL"/>
              </w:rPr>
              <w:t>atuurbescherming</w:t>
            </w:r>
          </w:p>
        </w:tc>
      </w:tr>
      <w:tr w:rsidRPr="0084482C" w:rsidR="00FE1726" w:rsidTr="00FE1726" w14:paraId="7519B58C" w14:textId="77777777">
        <w:trPr>
          <w:trHeight w:val="900"/>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5F595B0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Terugdringen van impulsgeluid via de Gedragscode explosievenruiming</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4D842230"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797EF3" w:rsidR="00150556" w:rsidP="00150556" w:rsidRDefault="00150556" w14:paraId="4AA201D7" w14:textId="08BCFC52">
            <w:pPr>
              <w:rPr>
                <w:rFonts w:eastAsia="Times New Roman" w:cs="Times New Roman"/>
                <w:color w:val="000000"/>
                <w:sz w:val="16"/>
                <w:szCs w:val="16"/>
                <w:lang w:eastAsia="nl-NL"/>
              </w:rPr>
            </w:pPr>
            <w:r w:rsidRPr="00797EF3">
              <w:rPr>
                <w:rFonts w:eastAsia="Times New Roman" w:cs="Times New Roman"/>
                <w:color w:val="000000"/>
                <w:sz w:val="16"/>
                <w:szCs w:val="16"/>
                <w:lang w:eastAsia="nl-NL"/>
              </w:rPr>
              <w:t>1. OPORD BC (operatieorder Beneficial Cooperation) (confidentieel)</w:t>
            </w:r>
          </w:p>
          <w:p w:rsidRPr="00FE1726" w:rsidR="00FE1726" w:rsidP="00150556" w:rsidRDefault="00150556" w14:paraId="5B98EEF0" w14:textId="3A6A1E26">
            <w:pPr>
              <w:rPr>
                <w:rFonts w:eastAsia="Times New Roman" w:cs="Times New Roman"/>
                <w:color w:val="000000"/>
                <w:sz w:val="16"/>
                <w:szCs w:val="16"/>
                <w:lang w:val="nl-NL" w:eastAsia="nl-NL"/>
              </w:rPr>
            </w:pPr>
            <w:r w:rsidRPr="00150556">
              <w:rPr>
                <w:rFonts w:eastAsia="Times New Roman" w:cs="Times New Roman"/>
                <w:color w:val="000000"/>
                <w:sz w:val="16"/>
                <w:szCs w:val="16"/>
                <w:lang w:val="nl-NL" w:eastAsia="nl-NL"/>
              </w:rPr>
              <w:t>2. Vernietigen exp</w:t>
            </w:r>
            <w:r>
              <w:rPr>
                <w:rFonts w:eastAsia="Times New Roman" w:cs="Times New Roman"/>
                <w:color w:val="000000"/>
                <w:sz w:val="16"/>
                <w:szCs w:val="16"/>
                <w:lang w:val="nl-NL" w:eastAsia="nl-NL"/>
              </w:rPr>
              <w:t>l</w:t>
            </w:r>
            <w:r w:rsidRPr="00150556">
              <w:rPr>
                <w:rFonts w:eastAsia="Times New Roman" w:cs="Times New Roman"/>
                <w:color w:val="000000"/>
                <w:sz w:val="16"/>
                <w:szCs w:val="16"/>
                <w:lang w:val="nl-NL" w:eastAsia="nl-NL"/>
              </w:rPr>
              <w:t>osieven op zee van de Duik en Demonteer groep,</w:t>
            </w:r>
            <w:r w:rsidR="00321C9C">
              <w:rPr>
                <w:rFonts w:eastAsia="Times New Roman" w:cs="Times New Roman"/>
                <w:color w:val="000000"/>
                <w:sz w:val="16"/>
                <w:szCs w:val="16"/>
                <w:lang w:val="nl-NL" w:eastAsia="nl-NL"/>
              </w:rPr>
              <w:t xml:space="preserve"> </w:t>
            </w:r>
            <w:r w:rsidRPr="00150556">
              <w:rPr>
                <w:rFonts w:eastAsia="Times New Roman" w:cs="Times New Roman"/>
                <w:color w:val="000000"/>
                <w:sz w:val="16"/>
                <w:szCs w:val="16"/>
                <w:lang w:val="nl-NL" w:eastAsia="nl-NL"/>
              </w:rPr>
              <w:t>(02/03/2020)</w:t>
            </w:r>
          </w:p>
        </w:tc>
      </w:tr>
      <w:tr w:rsidRPr="0084482C" w:rsidR="00FE1726" w:rsidTr="00FE1726" w14:paraId="7AA00F9B" w14:textId="77777777">
        <w:trPr>
          <w:trHeight w:val="675"/>
        </w:trPr>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7EECBCB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Regelgeving sonargebruik</w:t>
            </w:r>
          </w:p>
        </w:tc>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44150A12"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2A5CD08"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Voorschrift Commando Zeestrijdkrachten-Directie Operaties MWC 230 Verantwoord gebruik van actieve sonar (2015)</w:t>
            </w:r>
          </w:p>
        </w:tc>
      </w:tr>
      <w:tr w:rsidRPr="00FE1726" w:rsidR="00FE1726" w:rsidTr="00FE1726" w14:paraId="1C363279" w14:textId="77777777">
        <w:trPr>
          <w:trHeight w:val="1350"/>
        </w:trPr>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6B7ADB7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xml:space="preserve">Onderzoek mogelijkheden aanpassing regelgeving seismisch onderzoek </w:t>
            </w:r>
          </w:p>
        </w:tc>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4FCBEAE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Richtlijn inzake het behoud van de vogelstand</w:t>
            </w:r>
            <w:r w:rsidRPr="00FE1726">
              <w:rPr>
                <w:rFonts w:eastAsia="Times New Roman" w:cs="Times New Roman"/>
                <w:color w:val="000000"/>
                <w:sz w:val="16"/>
                <w:szCs w:val="16"/>
                <w:lang w:val="nl-NL" w:eastAsia="nl-NL"/>
              </w:rPr>
              <w:br/>
              <w:t>(Vogelrichtlijn; 79/409/EEG)Richtlijn inzake de instandhouding van de natuurlijke habitats en de wilde flora en fauna (Habitatrichtlijn; 92/43/EEG)</w:t>
            </w:r>
          </w:p>
        </w:tc>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7DF3FB8B"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xml:space="preserve">Mijnbouwwet </w:t>
            </w:r>
          </w:p>
        </w:tc>
      </w:tr>
      <w:tr w:rsidRPr="00FE1726" w:rsidR="00FE1726" w:rsidTr="00FE1726" w14:paraId="62BEB896" w14:textId="77777777">
        <w:trPr>
          <w:trHeight w:val="900"/>
        </w:trPr>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738DB8CA"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Uitvoering IMO-richtlijnen reductie onderwatergeluid commerciële scheepvaart</w:t>
            </w:r>
          </w:p>
        </w:tc>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56D3D578"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Guidelines for the Reduction of Underwater Noise from Commercial Shipping to Address Adverse Impacts on Marine Life, IMO MEPC.1/Circ.833</w:t>
            </w:r>
          </w:p>
        </w:tc>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433A2B2"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FE1726" w:rsidR="00FE1726" w:rsidTr="00FE1726" w14:paraId="14FE7B4A" w14:textId="77777777">
        <w:trPr>
          <w:trHeight w:val="900"/>
        </w:trPr>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070F71CD"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Beperking platformverlichting op olie- en gasplatforms</w:t>
            </w:r>
          </w:p>
        </w:tc>
        <w:tc>
          <w:tcPr>
            <w:tcW w:w="0" w:type="auto"/>
            <w:tcBorders>
              <w:top w:val="nil"/>
              <w:left w:val="single" w:color="auto" w:sz="4" w:space="0"/>
              <w:bottom w:val="single" w:color="auto" w:sz="4" w:space="0"/>
              <w:right w:val="nil"/>
            </w:tcBorders>
            <w:shd w:val="clear" w:color="auto" w:fill="auto"/>
            <w:hideMark/>
          </w:tcPr>
          <w:p w:rsidRPr="00FE1726" w:rsidR="00FE1726" w:rsidP="00013E66" w:rsidRDefault="00FE1726" w14:paraId="1A676A53"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Guidelines to reduce the impact of offshore installations lighting on birds in the OSPAR maritime area. OSPAR Agreement 2015-08 (2015)</w:t>
            </w:r>
          </w:p>
        </w:tc>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678D7AD1"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 </w:t>
            </w:r>
          </w:p>
        </w:tc>
      </w:tr>
      <w:tr w:rsidRPr="00FE1726" w:rsidR="00FE1726" w:rsidTr="00FE1726" w14:paraId="770E61ED" w14:textId="77777777">
        <w:trPr>
          <w:trHeight w:val="675"/>
        </w:trPr>
        <w:tc>
          <w:tcPr>
            <w:tcW w:w="0" w:type="auto"/>
            <w:tcBorders>
              <w:top w:val="nil"/>
              <w:left w:val="single" w:color="auto" w:sz="4" w:space="0"/>
              <w:bottom w:val="single" w:color="auto" w:sz="4" w:space="0"/>
              <w:right w:val="single" w:color="auto" w:sz="4" w:space="0"/>
            </w:tcBorders>
            <w:shd w:val="clear" w:color="auto" w:fill="auto"/>
            <w:hideMark/>
          </w:tcPr>
          <w:p w:rsidRPr="00FE1726" w:rsidR="00FE1726" w:rsidP="00013E66" w:rsidRDefault="00FE1726" w14:paraId="47C70006"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Actiever IMO-richtlijnen reductie onderwatergeluid commerciële scheepvaart uitvoeren</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373EE549" w14:textId="77777777">
            <w:pPr>
              <w:rPr>
                <w:rFonts w:eastAsia="Times New Roman" w:cs="Times New Roman"/>
                <w:color w:val="000000"/>
                <w:sz w:val="16"/>
                <w:szCs w:val="16"/>
                <w:lang w:val="nl-NL" w:eastAsia="nl-NL"/>
              </w:rPr>
            </w:pPr>
            <w:r w:rsidRPr="00FE1726">
              <w:rPr>
                <w:rFonts w:eastAsia="Times New Roman" w:cs="Times New Roman"/>
                <w:color w:val="000000"/>
                <w:sz w:val="16"/>
                <w:szCs w:val="16"/>
                <w:lang w:val="nl-NL" w:eastAsia="nl-NL"/>
              </w:rPr>
              <w:t> </w:t>
            </w:r>
          </w:p>
        </w:tc>
        <w:tc>
          <w:tcPr>
            <w:tcW w:w="0" w:type="auto"/>
            <w:tcBorders>
              <w:top w:val="nil"/>
              <w:left w:val="nil"/>
              <w:bottom w:val="single" w:color="auto" w:sz="4" w:space="0"/>
              <w:right w:val="single" w:color="auto" w:sz="4" w:space="0"/>
            </w:tcBorders>
            <w:shd w:val="clear" w:color="auto" w:fill="auto"/>
            <w:hideMark/>
          </w:tcPr>
          <w:p w:rsidRPr="00FE1726" w:rsidR="00FE1726" w:rsidP="00013E66" w:rsidRDefault="00FE1726" w14:paraId="7EF6F4FB" w14:textId="77777777">
            <w:pPr>
              <w:rPr>
                <w:rFonts w:eastAsia="Times New Roman" w:cs="Times New Roman"/>
                <w:color w:val="000000"/>
                <w:sz w:val="16"/>
                <w:szCs w:val="16"/>
                <w:lang w:eastAsia="nl-NL"/>
              </w:rPr>
            </w:pPr>
            <w:r w:rsidRPr="00FE1726">
              <w:rPr>
                <w:rFonts w:eastAsia="Times New Roman" w:cs="Times New Roman"/>
                <w:color w:val="000000"/>
                <w:sz w:val="16"/>
                <w:szCs w:val="16"/>
                <w:lang w:eastAsia="nl-NL"/>
              </w:rPr>
              <w:t>ntb</w:t>
            </w:r>
          </w:p>
        </w:tc>
      </w:tr>
    </w:tbl>
    <w:p w:rsidR="00FE1726" w:rsidP="0070550F" w:rsidRDefault="00FE1726" w14:paraId="52B677AF" w14:textId="77777777">
      <w:pPr>
        <w:rPr>
          <w:lang w:val="nl-NL"/>
        </w:rPr>
      </w:pPr>
    </w:p>
    <w:p w:rsidR="003D2754" w:rsidP="0070550F" w:rsidRDefault="003D2754" w14:paraId="6453CBE7" w14:textId="77777777">
      <w:pPr>
        <w:rPr>
          <w:lang w:val="nl-NL"/>
        </w:rPr>
      </w:pPr>
    </w:p>
    <w:p w:rsidR="003D2754" w:rsidP="0070550F" w:rsidRDefault="003D2754" w14:paraId="4C67CDC4" w14:textId="77777777">
      <w:pPr>
        <w:rPr>
          <w:lang w:val="nl-NL"/>
        </w:rPr>
      </w:pPr>
    </w:p>
    <w:p w:rsidR="003D2754" w:rsidP="0070550F" w:rsidRDefault="003D2754" w14:paraId="6336640A" w14:textId="77777777">
      <w:pPr>
        <w:rPr>
          <w:lang w:val="nl-NL"/>
        </w:rPr>
      </w:pPr>
    </w:p>
    <w:p w:rsidR="003D2754" w:rsidP="0070550F" w:rsidRDefault="003D2754" w14:paraId="5ECEC6B7" w14:textId="77777777">
      <w:pPr>
        <w:rPr>
          <w:lang w:val="nl-NL"/>
        </w:rPr>
      </w:pPr>
    </w:p>
    <w:p w:rsidR="003D2754" w:rsidP="0070550F" w:rsidRDefault="003D2754" w14:paraId="442CC535" w14:textId="77777777">
      <w:pPr>
        <w:rPr>
          <w:lang w:val="nl-NL"/>
        </w:rPr>
      </w:pPr>
    </w:p>
    <w:p w:rsidR="003D2754" w:rsidP="0070550F" w:rsidRDefault="003D2754" w14:paraId="53BB0473" w14:textId="77777777">
      <w:pPr>
        <w:rPr>
          <w:lang w:val="nl-NL"/>
        </w:rPr>
      </w:pPr>
    </w:p>
    <w:p w:rsidR="003D2754" w:rsidP="0070550F" w:rsidRDefault="003D2754" w14:paraId="0B4DB3A6" w14:textId="77777777">
      <w:pPr>
        <w:rPr>
          <w:lang w:val="nl-NL"/>
        </w:rPr>
      </w:pPr>
    </w:p>
    <w:p w:rsidR="003D2754" w:rsidP="0070550F" w:rsidRDefault="003D2754" w14:paraId="72F9AE71" w14:textId="77777777">
      <w:pPr>
        <w:rPr>
          <w:lang w:val="nl-NL"/>
        </w:rPr>
      </w:pPr>
    </w:p>
    <w:p w:rsidR="003D2754" w:rsidP="0070550F" w:rsidRDefault="003D2754" w14:paraId="129B0424" w14:textId="77777777">
      <w:pPr>
        <w:rPr>
          <w:lang w:val="nl-NL"/>
        </w:rPr>
      </w:pPr>
    </w:p>
    <w:p w:rsidR="003D2754" w:rsidP="0070550F" w:rsidRDefault="003D2754" w14:paraId="0CA3202A" w14:textId="77777777">
      <w:pPr>
        <w:rPr>
          <w:lang w:val="nl-NL"/>
        </w:rPr>
      </w:pPr>
    </w:p>
    <w:p w:rsidR="003D2754" w:rsidP="0070550F" w:rsidRDefault="003D2754" w14:paraId="13D7EF86" w14:textId="77777777">
      <w:pPr>
        <w:rPr>
          <w:lang w:val="nl-NL"/>
        </w:rPr>
      </w:pPr>
    </w:p>
    <w:p w:rsidR="003D2754" w:rsidP="0070550F" w:rsidRDefault="003D2754" w14:paraId="3B306EB6" w14:textId="77777777">
      <w:pPr>
        <w:rPr>
          <w:lang w:val="nl-NL"/>
        </w:rPr>
      </w:pPr>
    </w:p>
    <w:p w:rsidR="003D2754" w:rsidP="003D2754" w:rsidRDefault="003D2754" w14:paraId="3DF73E24" w14:textId="77777777">
      <w:pPr>
        <w:rPr>
          <w:highlight w:val="yellow"/>
          <w:lang w:val="nl-NL"/>
        </w:rPr>
      </w:pPr>
    </w:p>
    <w:p w:rsidR="003D2754" w:rsidP="003D2754" w:rsidRDefault="003D2754" w14:paraId="35BF0452" w14:textId="77777777">
      <w:pPr>
        <w:rPr>
          <w:highlight w:val="yellow"/>
          <w:lang w:val="nl-NL"/>
        </w:rPr>
      </w:pPr>
    </w:p>
    <w:p w:rsidR="003D2754" w:rsidP="003D2754" w:rsidRDefault="003D2754" w14:paraId="6744CD16" w14:textId="77777777">
      <w:pPr>
        <w:rPr>
          <w:highlight w:val="yellow"/>
          <w:lang w:val="nl-NL"/>
        </w:rPr>
      </w:pPr>
    </w:p>
    <w:p w:rsidR="003D2754" w:rsidP="003D2754" w:rsidRDefault="003D2754" w14:paraId="6C05BCAD" w14:textId="77777777">
      <w:pPr>
        <w:rPr>
          <w:highlight w:val="yellow"/>
          <w:lang w:val="nl-NL"/>
        </w:rPr>
      </w:pPr>
    </w:p>
    <w:p w:rsidR="003D2754" w:rsidP="003D2754" w:rsidRDefault="003D2754" w14:paraId="20C4D9D9" w14:textId="77777777">
      <w:pPr>
        <w:rPr>
          <w:highlight w:val="yellow"/>
          <w:lang w:val="nl-NL"/>
        </w:rPr>
      </w:pPr>
    </w:p>
    <w:p w:rsidR="003D2754" w:rsidP="003D2754" w:rsidRDefault="003D2754" w14:paraId="29980B16" w14:textId="77777777">
      <w:pPr>
        <w:rPr>
          <w:highlight w:val="yellow"/>
          <w:lang w:val="nl-NL"/>
        </w:rPr>
      </w:pPr>
    </w:p>
    <w:p w:rsidRPr="00025F9D" w:rsidR="003D2754" w:rsidP="003D2754" w:rsidRDefault="003D2754" w14:paraId="2CF7CFA5" w14:textId="4C8D6A7C">
      <w:pPr>
        <w:pStyle w:val="Heading1"/>
        <w:rPr>
          <w:iCs/>
          <w:highlight w:val="green"/>
          <w:lang w:val="nl-NL"/>
        </w:rPr>
      </w:pPr>
      <w:r w:rsidRPr="00025F9D">
        <w:rPr>
          <w:highlight w:val="green"/>
          <w:lang w:val="nl-NL"/>
        </w:rPr>
        <w:t xml:space="preserve">Bijlage 2: </w:t>
      </w:r>
      <w:r w:rsidRPr="00025F9D">
        <w:rPr>
          <w:iCs/>
          <w:highlight w:val="green"/>
          <w:lang w:val="nl-NL"/>
        </w:rPr>
        <w:t>De coördinaten van de hoekpunten van de KRM gebieden</w:t>
      </w:r>
      <w:r w:rsidRPr="00025F9D" w:rsidR="00F25438">
        <w:rPr>
          <w:iCs/>
          <w:highlight w:val="green"/>
          <w:lang w:val="nl-NL"/>
        </w:rPr>
        <w:t xml:space="preserve">, oesterherstelgebieden en onderzoeksgebied </w:t>
      </w:r>
    </w:p>
    <w:p w:rsidRPr="00025F9D" w:rsidR="00850801" w:rsidP="00850801" w:rsidRDefault="00850801" w14:paraId="1A4D2DDC" w14:textId="77777777">
      <w:pPr>
        <w:rPr>
          <w:highlight w:val="green"/>
          <w:lang w:val="nl-NL"/>
        </w:rPr>
      </w:pPr>
    </w:p>
    <w:p w:rsidRPr="00FD3761" w:rsidR="00850801" w:rsidP="00850801" w:rsidRDefault="00432E5A" w14:paraId="79590705" w14:textId="3A7CC570">
      <w:pPr>
        <w:rPr>
          <w:highlight w:val="green"/>
          <w:lang w:val="nl-NL"/>
        </w:rPr>
      </w:pPr>
      <w:r>
        <w:rPr>
          <w:highlight w:val="green"/>
          <w:lang w:val="nl-NL"/>
        </w:rPr>
        <w:t xml:space="preserve">De hieronder beschreven gebieden staan weergegeven op </w:t>
      </w:r>
      <w:r w:rsidR="00814E15">
        <w:rPr>
          <w:highlight w:val="green"/>
          <w:lang w:val="nl-NL"/>
        </w:rPr>
        <w:t xml:space="preserve">Kaart 2 van het programma Noordzee: </w:t>
      </w:r>
      <w:r w:rsidRPr="00FD3761" w:rsidR="00814E15">
        <w:rPr>
          <w:i/>
          <w:iCs/>
          <w:highlight w:val="green"/>
          <w:lang w:val="nl-NL"/>
        </w:rPr>
        <w:t>Natuurgebieden op de Noordzee</w:t>
      </w:r>
      <w:r w:rsidR="00814E15">
        <w:rPr>
          <w:highlight w:val="green"/>
          <w:lang w:val="nl-NL"/>
        </w:rPr>
        <w:t>.</w:t>
      </w:r>
      <w:r>
        <w:rPr>
          <w:highlight w:val="green"/>
          <w:lang w:val="nl-NL"/>
        </w:rPr>
        <w:t xml:space="preserve"> </w:t>
      </w:r>
    </w:p>
    <w:p w:rsidRPr="00025F9D" w:rsidR="00850801" w:rsidP="00850801" w:rsidRDefault="00850801" w14:paraId="33AC2FD8" w14:textId="77777777">
      <w:pPr>
        <w:rPr>
          <w:highlight w:val="green"/>
          <w:lang w:val="nl-NL"/>
        </w:rPr>
      </w:pPr>
    </w:p>
    <w:tbl>
      <w:tblPr>
        <w:tblStyle w:val="TableGrid"/>
        <w:tblW w:w="0" w:type="auto"/>
        <w:tblLook w:val="04A0" w:firstRow="1" w:lastRow="0" w:firstColumn="1" w:lastColumn="0" w:noHBand="0" w:noVBand="1"/>
      </w:tblPr>
      <w:tblGrid>
        <w:gridCol w:w="988"/>
        <w:gridCol w:w="1559"/>
        <w:gridCol w:w="1559"/>
      </w:tblGrid>
      <w:tr w:rsidRPr="00025F9D" w:rsidR="00850801" w:rsidTr="00166233" w14:paraId="563A1A34" w14:textId="77777777">
        <w:tc>
          <w:tcPr>
            <w:tcW w:w="988" w:type="dxa"/>
          </w:tcPr>
          <w:p w:rsidRPr="00025F9D" w:rsidR="00850801" w:rsidP="00166233" w:rsidRDefault="00850801" w14:paraId="4722362F" w14:textId="77777777">
            <w:pPr>
              <w:rPr>
                <w:highlight w:val="green"/>
                <w:lang w:val="nl-NL"/>
              </w:rPr>
            </w:pPr>
          </w:p>
          <w:p w:rsidRPr="00025F9D" w:rsidR="00850801" w:rsidP="00166233" w:rsidRDefault="00850801" w14:paraId="0685780D" w14:textId="77777777">
            <w:pPr>
              <w:rPr>
                <w:highlight w:val="green"/>
              </w:rPr>
            </w:pPr>
            <w:r w:rsidRPr="00025F9D">
              <w:rPr>
                <w:highlight w:val="green"/>
              </w:rPr>
              <w:t>WGS84</w:t>
            </w:r>
          </w:p>
        </w:tc>
        <w:tc>
          <w:tcPr>
            <w:tcW w:w="1559" w:type="dxa"/>
          </w:tcPr>
          <w:p w:rsidRPr="00025F9D" w:rsidR="00850801" w:rsidP="00166233" w:rsidRDefault="00850801" w14:paraId="495B4F6F" w14:textId="77777777">
            <w:pPr>
              <w:rPr>
                <w:highlight w:val="green"/>
              </w:rPr>
            </w:pPr>
            <w:r w:rsidRPr="00025F9D">
              <w:rPr>
                <w:highlight w:val="green"/>
              </w:rPr>
              <w:t xml:space="preserve">Longitude </w:t>
            </w:r>
          </w:p>
          <w:p w:rsidRPr="00025F9D" w:rsidR="00850801" w:rsidP="00166233" w:rsidRDefault="00850801" w14:paraId="4F031E74" w14:textId="77777777">
            <w:pPr>
              <w:rPr>
                <w:highlight w:val="green"/>
              </w:rPr>
            </w:pPr>
            <w:r w:rsidRPr="00025F9D">
              <w:rPr>
                <w:highlight w:val="green"/>
              </w:rPr>
              <w:t>(x-coördinaat)</w:t>
            </w:r>
          </w:p>
        </w:tc>
        <w:tc>
          <w:tcPr>
            <w:tcW w:w="1559" w:type="dxa"/>
          </w:tcPr>
          <w:p w:rsidRPr="00025F9D" w:rsidR="00850801" w:rsidP="00166233" w:rsidRDefault="00850801" w14:paraId="45B42CC5" w14:textId="77777777">
            <w:pPr>
              <w:rPr>
                <w:highlight w:val="green"/>
              </w:rPr>
            </w:pPr>
            <w:r w:rsidRPr="00025F9D">
              <w:rPr>
                <w:highlight w:val="green"/>
              </w:rPr>
              <w:t xml:space="preserve">Latitude </w:t>
            </w:r>
          </w:p>
          <w:p w:rsidRPr="00025F9D" w:rsidR="00850801" w:rsidP="00166233" w:rsidRDefault="00850801" w14:paraId="2C26593C" w14:textId="77777777">
            <w:pPr>
              <w:rPr>
                <w:highlight w:val="green"/>
              </w:rPr>
            </w:pPr>
            <w:r w:rsidRPr="00025F9D">
              <w:rPr>
                <w:highlight w:val="green"/>
              </w:rPr>
              <w:t>(y-coördinaat)</w:t>
            </w:r>
          </w:p>
        </w:tc>
      </w:tr>
      <w:tr w:rsidRPr="00025F9D" w:rsidR="00850801" w:rsidTr="00166233" w14:paraId="3D196000" w14:textId="77777777">
        <w:tc>
          <w:tcPr>
            <w:tcW w:w="988" w:type="dxa"/>
          </w:tcPr>
          <w:p w:rsidRPr="00025F9D" w:rsidR="00850801" w:rsidP="00166233" w:rsidRDefault="00850801" w14:paraId="0E0C1AB4" w14:textId="77777777">
            <w:pPr>
              <w:rPr>
                <w:highlight w:val="green"/>
              </w:rPr>
            </w:pPr>
            <w:r w:rsidRPr="00025F9D">
              <w:rPr>
                <w:highlight w:val="green"/>
              </w:rPr>
              <w:t>1</w:t>
            </w:r>
          </w:p>
        </w:tc>
        <w:tc>
          <w:tcPr>
            <w:tcW w:w="1559" w:type="dxa"/>
          </w:tcPr>
          <w:p w:rsidRPr="00025F9D" w:rsidR="00850801" w:rsidP="00166233" w:rsidRDefault="00850801" w14:paraId="01692EC1" w14:textId="77777777">
            <w:pPr>
              <w:rPr>
                <w:highlight w:val="green"/>
              </w:rPr>
            </w:pPr>
            <w:r w:rsidRPr="00025F9D">
              <w:rPr>
                <w:rFonts w:ascii="Calibri" w:hAnsi="Calibri" w:cs="Calibri"/>
                <w:color w:val="000000"/>
                <w:highlight w:val="green"/>
              </w:rPr>
              <w:t>4,214970</w:t>
            </w:r>
          </w:p>
        </w:tc>
        <w:tc>
          <w:tcPr>
            <w:tcW w:w="1559" w:type="dxa"/>
          </w:tcPr>
          <w:p w:rsidRPr="00025F9D" w:rsidR="00850801" w:rsidP="00166233" w:rsidRDefault="00850801" w14:paraId="3B3360E7" w14:textId="77777777">
            <w:pPr>
              <w:rPr>
                <w:highlight w:val="green"/>
              </w:rPr>
            </w:pPr>
            <w:r w:rsidRPr="00025F9D">
              <w:rPr>
                <w:rFonts w:ascii="Calibri" w:hAnsi="Calibri" w:cs="Calibri"/>
                <w:color w:val="000000"/>
                <w:highlight w:val="green"/>
              </w:rPr>
              <w:t>53,799840</w:t>
            </w:r>
          </w:p>
        </w:tc>
      </w:tr>
      <w:tr w:rsidRPr="00025F9D" w:rsidR="00850801" w:rsidTr="00166233" w14:paraId="0F4C7BB2" w14:textId="77777777">
        <w:tc>
          <w:tcPr>
            <w:tcW w:w="988" w:type="dxa"/>
          </w:tcPr>
          <w:p w:rsidRPr="00025F9D" w:rsidR="00850801" w:rsidP="00166233" w:rsidRDefault="00850801" w14:paraId="1184BC64" w14:textId="77777777">
            <w:pPr>
              <w:rPr>
                <w:highlight w:val="green"/>
              </w:rPr>
            </w:pPr>
            <w:r w:rsidRPr="00025F9D">
              <w:rPr>
                <w:highlight w:val="green"/>
              </w:rPr>
              <w:t>2</w:t>
            </w:r>
          </w:p>
        </w:tc>
        <w:tc>
          <w:tcPr>
            <w:tcW w:w="1559" w:type="dxa"/>
          </w:tcPr>
          <w:p w:rsidRPr="00025F9D" w:rsidR="00850801" w:rsidP="00166233" w:rsidRDefault="00850801" w14:paraId="2C3BFA62" w14:textId="77777777">
            <w:pPr>
              <w:rPr>
                <w:highlight w:val="green"/>
              </w:rPr>
            </w:pPr>
            <w:r w:rsidRPr="00025F9D">
              <w:rPr>
                <w:rFonts w:ascii="Calibri" w:hAnsi="Calibri" w:cs="Calibri"/>
                <w:color w:val="000000"/>
                <w:highlight w:val="green"/>
              </w:rPr>
              <w:t>4,466458</w:t>
            </w:r>
          </w:p>
        </w:tc>
        <w:tc>
          <w:tcPr>
            <w:tcW w:w="1559" w:type="dxa"/>
          </w:tcPr>
          <w:p w:rsidRPr="00025F9D" w:rsidR="00850801" w:rsidP="00166233" w:rsidRDefault="00850801" w14:paraId="140141F8" w14:textId="77777777">
            <w:pPr>
              <w:rPr>
                <w:highlight w:val="green"/>
              </w:rPr>
            </w:pPr>
            <w:r w:rsidRPr="00025F9D">
              <w:rPr>
                <w:rFonts w:ascii="Calibri" w:hAnsi="Calibri" w:cs="Calibri"/>
                <w:color w:val="000000"/>
                <w:highlight w:val="green"/>
              </w:rPr>
              <w:t>53,905999</w:t>
            </w:r>
          </w:p>
        </w:tc>
      </w:tr>
      <w:tr w:rsidRPr="00025F9D" w:rsidR="00850801" w:rsidTr="00166233" w14:paraId="11C1BC6E" w14:textId="77777777">
        <w:tc>
          <w:tcPr>
            <w:tcW w:w="988" w:type="dxa"/>
          </w:tcPr>
          <w:p w:rsidRPr="00025F9D" w:rsidR="00850801" w:rsidP="00166233" w:rsidRDefault="00850801" w14:paraId="043222C6" w14:textId="77777777">
            <w:pPr>
              <w:rPr>
                <w:highlight w:val="green"/>
              </w:rPr>
            </w:pPr>
            <w:r w:rsidRPr="00025F9D">
              <w:rPr>
                <w:highlight w:val="green"/>
              </w:rPr>
              <w:t>3</w:t>
            </w:r>
          </w:p>
        </w:tc>
        <w:tc>
          <w:tcPr>
            <w:tcW w:w="1559" w:type="dxa"/>
          </w:tcPr>
          <w:p w:rsidRPr="00025F9D" w:rsidR="00850801" w:rsidP="00166233" w:rsidRDefault="00850801" w14:paraId="126CC7DF" w14:textId="77777777">
            <w:pPr>
              <w:rPr>
                <w:highlight w:val="green"/>
              </w:rPr>
            </w:pPr>
            <w:r w:rsidRPr="00025F9D">
              <w:rPr>
                <w:rFonts w:ascii="Calibri" w:hAnsi="Calibri" w:cs="Calibri"/>
                <w:color w:val="000000"/>
                <w:highlight w:val="green"/>
              </w:rPr>
              <w:t>4,651096</w:t>
            </w:r>
          </w:p>
        </w:tc>
        <w:tc>
          <w:tcPr>
            <w:tcW w:w="1559" w:type="dxa"/>
          </w:tcPr>
          <w:p w:rsidRPr="00025F9D" w:rsidR="00850801" w:rsidP="00166233" w:rsidRDefault="00850801" w14:paraId="723C637E" w14:textId="77777777">
            <w:pPr>
              <w:rPr>
                <w:highlight w:val="green"/>
              </w:rPr>
            </w:pPr>
            <w:r w:rsidRPr="00025F9D">
              <w:rPr>
                <w:rFonts w:ascii="Calibri" w:hAnsi="Calibri" w:cs="Calibri"/>
                <w:color w:val="000000"/>
                <w:highlight w:val="green"/>
              </w:rPr>
              <w:t>53,749008</w:t>
            </w:r>
          </w:p>
        </w:tc>
      </w:tr>
      <w:tr w:rsidRPr="00025F9D" w:rsidR="00850801" w:rsidTr="00166233" w14:paraId="535B219E" w14:textId="77777777">
        <w:tc>
          <w:tcPr>
            <w:tcW w:w="988" w:type="dxa"/>
          </w:tcPr>
          <w:p w:rsidRPr="00025F9D" w:rsidR="00850801" w:rsidP="00166233" w:rsidRDefault="00850801" w14:paraId="506691EA" w14:textId="77777777">
            <w:pPr>
              <w:rPr>
                <w:highlight w:val="green"/>
              </w:rPr>
            </w:pPr>
            <w:r w:rsidRPr="00025F9D">
              <w:rPr>
                <w:highlight w:val="green"/>
              </w:rPr>
              <w:t>4</w:t>
            </w:r>
          </w:p>
        </w:tc>
        <w:tc>
          <w:tcPr>
            <w:tcW w:w="1559" w:type="dxa"/>
          </w:tcPr>
          <w:p w:rsidRPr="00025F9D" w:rsidR="00850801" w:rsidP="00166233" w:rsidRDefault="00850801" w14:paraId="09F8A291" w14:textId="77777777">
            <w:pPr>
              <w:rPr>
                <w:highlight w:val="green"/>
              </w:rPr>
            </w:pPr>
            <w:r w:rsidRPr="00025F9D">
              <w:rPr>
                <w:rFonts w:ascii="Calibri" w:hAnsi="Calibri" w:cs="Calibri"/>
                <w:color w:val="000000"/>
                <w:highlight w:val="green"/>
              </w:rPr>
              <w:t>5,229104</w:t>
            </w:r>
          </w:p>
        </w:tc>
        <w:tc>
          <w:tcPr>
            <w:tcW w:w="1559" w:type="dxa"/>
          </w:tcPr>
          <w:p w:rsidRPr="00025F9D" w:rsidR="00850801" w:rsidP="00166233" w:rsidRDefault="00850801" w14:paraId="22813F03" w14:textId="77777777">
            <w:pPr>
              <w:rPr>
                <w:highlight w:val="green"/>
              </w:rPr>
            </w:pPr>
            <w:r w:rsidRPr="00025F9D">
              <w:rPr>
                <w:rFonts w:ascii="Calibri" w:hAnsi="Calibri" w:cs="Calibri"/>
                <w:color w:val="000000"/>
                <w:highlight w:val="green"/>
              </w:rPr>
              <w:t>53,949704</w:t>
            </w:r>
          </w:p>
        </w:tc>
      </w:tr>
      <w:tr w:rsidRPr="00025F9D" w:rsidR="00850801" w:rsidTr="00166233" w14:paraId="30CE8287" w14:textId="77777777">
        <w:tc>
          <w:tcPr>
            <w:tcW w:w="988" w:type="dxa"/>
          </w:tcPr>
          <w:p w:rsidRPr="00025F9D" w:rsidR="00850801" w:rsidP="00166233" w:rsidRDefault="00850801" w14:paraId="6A2587D5" w14:textId="77777777">
            <w:pPr>
              <w:rPr>
                <w:highlight w:val="green"/>
              </w:rPr>
            </w:pPr>
            <w:r w:rsidRPr="00025F9D">
              <w:rPr>
                <w:highlight w:val="green"/>
              </w:rPr>
              <w:t>5</w:t>
            </w:r>
          </w:p>
        </w:tc>
        <w:tc>
          <w:tcPr>
            <w:tcW w:w="1559" w:type="dxa"/>
          </w:tcPr>
          <w:p w:rsidRPr="00025F9D" w:rsidR="00850801" w:rsidP="00166233" w:rsidRDefault="00850801" w14:paraId="3CD8E3A0" w14:textId="77777777">
            <w:pPr>
              <w:rPr>
                <w:highlight w:val="green"/>
              </w:rPr>
            </w:pPr>
            <w:r w:rsidRPr="00025F9D">
              <w:rPr>
                <w:rFonts w:ascii="Calibri" w:hAnsi="Calibri" w:cs="Calibri"/>
                <w:color w:val="000000"/>
                <w:highlight w:val="green"/>
              </w:rPr>
              <w:t>5,226711</w:t>
            </w:r>
          </w:p>
        </w:tc>
        <w:tc>
          <w:tcPr>
            <w:tcW w:w="1559" w:type="dxa"/>
          </w:tcPr>
          <w:p w:rsidRPr="00025F9D" w:rsidR="00850801" w:rsidP="00166233" w:rsidRDefault="00850801" w14:paraId="67A14485" w14:textId="77777777">
            <w:pPr>
              <w:rPr>
                <w:highlight w:val="green"/>
              </w:rPr>
            </w:pPr>
            <w:r w:rsidRPr="00025F9D">
              <w:rPr>
                <w:rFonts w:ascii="Calibri" w:hAnsi="Calibri" w:cs="Calibri"/>
                <w:color w:val="000000"/>
                <w:highlight w:val="green"/>
              </w:rPr>
              <w:t>53,804851</w:t>
            </w:r>
          </w:p>
        </w:tc>
      </w:tr>
      <w:tr w:rsidRPr="00025F9D" w:rsidR="00850801" w:rsidTr="00166233" w14:paraId="19490576" w14:textId="77777777">
        <w:tc>
          <w:tcPr>
            <w:tcW w:w="988" w:type="dxa"/>
          </w:tcPr>
          <w:p w:rsidRPr="00025F9D" w:rsidR="00850801" w:rsidP="00166233" w:rsidRDefault="00850801" w14:paraId="7D723135" w14:textId="77777777">
            <w:pPr>
              <w:rPr>
                <w:highlight w:val="green"/>
              </w:rPr>
            </w:pPr>
            <w:r w:rsidRPr="00025F9D">
              <w:rPr>
                <w:highlight w:val="green"/>
              </w:rPr>
              <w:t>6</w:t>
            </w:r>
          </w:p>
        </w:tc>
        <w:tc>
          <w:tcPr>
            <w:tcW w:w="1559" w:type="dxa"/>
          </w:tcPr>
          <w:p w:rsidRPr="00025F9D" w:rsidR="00850801" w:rsidP="00166233" w:rsidRDefault="00850801" w14:paraId="20D6B8FD" w14:textId="77777777">
            <w:pPr>
              <w:rPr>
                <w:highlight w:val="green"/>
              </w:rPr>
            </w:pPr>
            <w:r w:rsidRPr="00025F9D">
              <w:rPr>
                <w:rFonts w:ascii="Calibri" w:hAnsi="Calibri" w:cs="Calibri"/>
                <w:color w:val="000000"/>
                <w:highlight w:val="green"/>
              </w:rPr>
              <w:t>5,303616</w:t>
            </w:r>
          </w:p>
        </w:tc>
        <w:tc>
          <w:tcPr>
            <w:tcW w:w="1559" w:type="dxa"/>
          </w:tcPr>
          <w:p w:rsidRPr="00025F9D" w:rsidR="00850801" w:rsidP="00166233" w:rsidRDefault="00850801" w14:paraId="688389C4" w14:textId="77777777">
            <w:pPr>
              <w:rPr>
                <w:highlight w:val="green"/>
              </w:rPr>
            </w:pPr>
            <w:r w:rsidRPr="00025F9D">
              <w:rPr>
                <w:rFonts w:ascii="Calibri" w:hAnsi="Calibri" w:cs="Calibri"/>
                <w:color w:val="000000"/>
                <w:highlight w:val="green"/>
              </w:rPr>
              <w:t>53,804679</w:t>
            </w:r>
          </w:p>
        </w:tc>
      </w:tr>
      <w:tr w:rsidRPr="00025F9D" w:rsidR="00850801" w:rsidTr="00166233" w14:paraId="02356C4A" w14:textId="77777777">
        <w:tc>
          <w:tcPr>
            <w:tcW w:w="988" w:type="dxa"/>
          </w:tcPr>
          <w:p w:rsidRPr="00025F9D" w:rsidR="00850801" w:rsidP="00166233" w:rsidRDefault="00850801" w14:paraId="216350DE" w14:textId="77777777">
            <w:pPr>
              <w:rPr>
                <w:highlight w:val="green"/>
              </w:rPr>
            </w:pPr>
            <w:r w:rsidRPr="00025F9D">
              <w:rPr>
                <w:highlight w:val="green"/>
              </w:rPr>
              <w:t>7</w:t>
            </w:r>
          </w:p>
        </w:tc>
        <w:tc>
          <w:tcPr>
            <w:tcW w:w="1559" w:type="dxa"/>
          </w:tcPr>
          <w:p w:rsidRPr="00025F9D" w:rsidR="00850801" w:rsidP="00166233" w:rsidRDefault="00850801" w14:paraId="7A2215AF" w14:textId="77777777">
            <w:pPr>
              <w:rPr>
                <w:highlight w:val="green"/>
              </w:rPr>
            </w:pPr>
            <w:r w:rsidRPr="00025F9D">
              <w:rPr>
                <w:rFonts w:ascii="Calibri" w:hAnsi="Calibri" w:cs="Calibri"/>
                <w:color w:val="000000"/>
                <w:highlight w:val="green"/>
              </w:rPr>
              <w:t>5,302319</w:t>
            </w:r>
          </w:p>
        </w:tc>
        <w:tc>
          <w:tcPr>
            <w:tcW w:w="1559" w:type="dxa"/>
          </w:tcPr>
          <w:p w:rsidRPr="00025F9D" w:rsidR="00850801" w:rsidP="00166233" w:rsidRDefault="00850801" w14:paraId="08A6CDE4" w14:textId="77777777">
            <w:pPr>
              <w:rPr>
                <w:highlight w:val="green"/>
              </w:rPr>
            </w:pPr>
            <w:r w:rsidRPr="00025F9D">
              <w:rPr>
                <w:rFonts w:ascii="Calibri" w:hAnsi="Calibri" w:cs="Calibri"/>
                <w:color w:val="000000"/>
                <w:highlight w:val="green"/>
              </w:rPr>
              <w:t>53,624964</w:t>
            </w:r>
          </w:p>
        </w:tc>
      </w:tr>
      <w:tr w:rsidRPr="00025F9D" w:rsidR="00850801" w:rsidTr="00166233" w14:paraId="081EFEFF" w14:textId="77777777">
        <w:tc>
          <w:tcPr>
            <w:tcW w:w="988" w:type="dxa"/>
          </w:tcPr>
          <w:p w:rsidRPr="00025F9D" w:rsidR="00850801" w:rsidP="00166233" w:rsidRDefault="00850801" w14:paraId="5687F8CC" w14:textId="77777777">
            <w:pPr>
              <w:rPr>
                <w:highlight w:val="green"/>
              </w:rPr>
            </w:pPr>
            <w:r w:rsidRPr="00025F9D">
              <w:rPr>
                <w:highlight w:val="green"/>
              </w:rPr>
              <w:t>8</w:t>
            </w:r>
          </w:p>
        </w:tc>
        <w:tc>
          <w:tcPr>
            <w:tcW w:w="1559" w:type="dxa"/>
          </w:tcPr>
          <w:p w:rsidRPr="00025F9D" w:rsidR="00850801" w:rsidP="00166233" w:rsidRDefault="00850801" w14:paraId="39608081" w14:textId="77777777">
            <w:pPr>
              <w:rPr>
                <w:highlight w:val="green"/>
              </w:rPr>
            </w:pPr>
            <w:r w:rsidRPr="00025F9D">
              <w:rPr>
                <w:rFonts w:ascii="Calibri" w:hAnsi="Calibri" w:cs="Calibri"/>
                <w:color w:val="000000"/>
                <w:highlight w:val="green"/>
              </w:rPr>
              <w:t>4,999992</w:t>
            </w:r>
          </w:p>
        </w:tc>
        <w:tc>
          <w:tcPr>
            <w:tcW w:w="1559" w:type="dxa"/>
          </w:tcPr>
          <w:p w:rsidRPr="00025F9D" w:rsidR="00850801" w:rsidP="00166233" w:rsidRDefault="00850801" w14:paraId="462EAFE7" w14:textId="77777777">
            <w:pPr>
              <w:rPr>
                <w:highlight w:val="green"/>
              </w:rPr>
            </w:pPr>
            <w:r w:rsidRPr="00025F9D">
              <w:rPr>
                <w:rFonts w:ascii="Calibri" w:hAnsi="Calibri" w:cs="Calibri"/>
                <w:color w:val="000000"/>
                <w:highlight w:val="green"/>
              </w:rPr>
              <w:t>53,625343</w:t>
            </w:r>
          </w:p>
        </w:tc>
      </w:tr>
      <w:tr w:rsidRPr="00025F9D" w:rsidR="00850801" w:rsidTr="00166233" w14:paraId="179C1027" w14:textId="77777777">
        <w:tc>
          <w:tcPr>
            <w:tcW w:w="988" w:type="dxa"/>
          </w:tcPr>
          <w:p w:rsidRPr="00025F9D" w:rsidR="00850801" w:rsidP="00166233" w:rsidRDefault="00850801" w14:paraId="28293A74" w14:textId="77777777">
            <w:pPr>
              <w:rPr>
                <w:highlight w:val="green"/>
              </w:rPr>
            </w:pPr>
            <w:r w:rsidRPr="00025F9D">
              <w:rPr>
                <w:highlight w:val="green"/>
              </w:rPr>
              <w:t>9</w:t>
            </w:r>
          </w:p>
        </w:tc>
        <w:tc>
          <w:tcPr>
            <w:tcW w:w="1559" w:type="dxa"/>
          </w:tcPr>
          <w:p w:rsidRPr="00025F9D" w:rsidR="00850801" w:rsidP="00166233" w:rsidRDefault="00850801" w14:paraId="50B4485C" w14:textId="77777777">
            <w:pPr>
              <w:rPr>
                <w:highlight w:val="green"/>
              </w:rPr>
            </w:pPr>
            <w:r w:rsidRPr="00025F9D">
              <w:rPr>
                <w:rFonts w:ascii="Calibri" w:hAnsi="Calibri" w:cs="Calibri"/>
                <w:color w:val="000000"/>
                <w:highlight w:val="green"/>
              </w:rPr>
              <w:t>4,999993</w:t>
            </w:r>
          </w:p>
        </w:tc>
        <w:tc>
          <w:tcPr>
            <w:tcW w:w="1559" w:type="dxa"/>
          </w:tcPr>
          <w:p w:rsidRPr="00025F9D" w:rsidR="00850801" w:rsidP="00166233" w:rsidRDefault="00850801" w14:paraId="2F48D18E" w14:textId="77777777">
            <w:pPr>
              <w:rPr>
                <w:highlight w:val="green"/>
              </w:rPr>
            </w:pPr>
            <w:r w:rsidRPr="00025F9D">
              <w:rPr>
                <w:rFonts w:ascii="Calibri" w:hAnsi="Calibri" w:cs="Calibri"/>
                <w:color w:val="000000"/>
                <w:highlight w:val="green"/>
              </w:rPr>
              <w:t>53,738364</w:t>
            </w:r>
          </w:p>
        </w:tc>
      </w:tr>
      <w:tr w:rsidRPr="00025F9D" w:rsidR="00850801" w:rsidTr="00166233" w14:paraId="051D4A2D" w14:textId="77777777">
        <w:tc>
          <w:tcPr>
            <w:tcW w:w="988" w:type="dxa"/>
          </w:tcPr>
          <w:p w:rsidRPr="00025F9D" w:rsidR="00850801" w:rsidP="00166233" w:rsidRDefault="00850801" w14:paraId="59245A4B" w14:textId="77777777">
            <w:pPr>
              <w:rPr>
                <w:highlight w:val="green"/>
              </w:rPr>
            </w:pPr>
            <w:r w:rsidRPr="00025F9D">
              <w:rPr>
                <w:highlight w:val="green"/>
              </w:rPr>
              <w:t>10</w:t>
            </w:r>
          </w:p>
        </w:tc>
        <w:tc>
          <w:tcPr>
            <w:tcW w:w="1559" w:type="dxa"/>
          </w:tcPr>
          <w:p w:rsidRPr="00025F9D" w:rsidR="00850801" w:rsidP="00166233" w:rsidRDefault="00850801" w14:paraId="62A8DCF0" w14:textId="77777777">
            <w:pPr>
              <w:rPr>
                <w:highlight w:val="green"/>
              </w:rPr>
            </w:pPr>
            <w:r w:rsidRPr="00025F9D">
              <w:rPr>
                <w:rFonts w:ascii="Calibri" w:hAnsi="Calibri" w:cs="Calibri"/>
                <w:color w:val="000000"/>
                <w:highlight w:val="green"/>
              </w:rPr>
              <w:t>4,215990</w:t>
            </w:r>
          </w:p>
        </w:tc>
        <w:tc>
          <w:tcPr>
            <w:tcW w:w="1559" w:type="dxa"/>
          </w:tcPr>
          <w:p w:rsidRPr="00025F9D" w:rsidR="00850801" w:rsidP="00166233" w:rsidRDefault="00850801" w14:paraId="0330E066" w14:textId="77777777">
            <w:pPr>
              <w:rPr>
                <w:highlight w:val="green"/>
              </w:rPr>
            </w:pPr>
            <w:r w:rsidRPr="00025F9D">
              <w:rPr>
                <w:rFonts w:ascii="Calibri" w:hAnsi="Calibri" w:cs="Calibri"/>
                <w:color w:val="000000"/>
                <w:highlight w:val="green"/>
              </w:rPr>
              <w:t>53,416470</w:t>
            </w:r>
          </w:p>
        </w:tc>
      </w:tr>
    </w:tbl>
    <w:p w:rsidRPr="00025F9D" w:rsidR="00850801" w:rsidP="00850801" w:rsidRDefault="00850801" w14:paraId="4FB35EC4" w14:textId="77777777">
      <w:pPr>
        <w:rPr>
          <w:iCs/>
          <w:highlight w:val="green"/>
          <w:lang w:val="de-DE"/>
        </w:rPr>
      </w:pPr>
      <w:r w:rsidRPr="00025F9D">
        <w:rPr>
          <w:iCs/>
          <w:highlight w:val="green"/>
          <w:lang w:val="de-DE"/>
        </w:rPr>
        <w:t xml:space="preserve"> Tabel 1. Coördinaten hoekpunten KRM-gebied Friese Front</w:t>
      </w:r>
    </w:p>
    <w:tbl>
      <w:tblPr>
        <w:tblStyle w:val="TableGrid"/>
        <w:tblW w:w="0" w:type="auto"/>
        <w:tblLook w:val="04A0" w:firstRow="1" w:lastRow="0" w:firstColumn="1" w:lastColumn="0" w:noHBand="0" w:noVBand="1"/>
      </w:tblPr>
      <w:tblGrid>
        <w:gridCol w:w="988"/>
        <w:gridCol w:w="1559"/>
        <w:gridCol w:w="1559"/>
      </w:tblGrid>
      <w:tr w:rsidRPr="00025F9D" w:rsidR="00850801" w:rsidTr="00166233" w14:paraId="0D4E47CD" w14:textId="77777777">
        <w:tc>
          <w:tcPr>
            <w:tcW w:w="988" w:type="dxa"/>
          </w:tcPr>
          <w:p w:rsidRPr="00025F9D" w:rsidR="00850801" w:rsidP="00166233" w:rsidRDefault="00850801" w14:paraId="2F475B70" w14:textId="77777777">
            <w:pPr>
              <w:rPr>
                <w:highlight w:val="green"/>
                <w:lang w:val="de-DE"/>
              </w:rPr>
            </w:pPr>
          </w:p>
          <w:p w:rsidRPr="00025F9D" w:rsidR="00850801" w:rsidP="00166233" w:rsidRDefault="00850801" w14:paraId="5F8BA4DD" w14:textId="77777777">
            <w:pPr>
              <w:rPr>
                <w:highlight w:val="green"/>
              </w:rPr>
            </w:pPr>
            <w:r w:rsidRPr="00025F9D">
              <w:rPr>
                <w:highlight w:val="green"/>
              </w:rPr>
              <w:t>WGS84</w:t>
            </w:r>
          </w:p>
        </w:tc>
        <w:tc>
          <w:tcPr>
            <w:tcW w:w="1559" w:type="dxa"/>
          </w:tcPr>
          <w:p w:rsidRPr="00025F9D" w:rsidR="00850801" w:rsidP="00166233" w:rsidRDefault="00850801" w14:paraId="0B408F93" w14:textId="77777777">
            <w:pPr>
              <w:rPr>
                <w:highlight w:val="green"/>
              </w:rPr>
            </w:pPr>
            <w:r w:rsidRPr="00025F9D">
              <w:rPr>
                <w:highlight w:val="green"/>
              </w:rPr>
              <w:t xml:space="preserve">Longitude </w:t>
            </w:r>
          </w:p>
          <w:p w:rsidRPr="00025F9D" w:rsidR="00850801" w:rsidP="00166233" w:rsidRDefault="00850801" w14:paraId="46D0B359" w14:textId="77777777">
            <w:pPr>
              <w:rPr>
                <w:highlight w:val="green"/>
              </w:rPr>
            </w:pPr>
            <w:r w:rsidRPr="00025F9D">
              <w:rPr>
                <w:highlight w:val="green"/>
              </w:rPr>
              <w:t>(x-coördinaat)</w:t>
            </w:r>
          </w:p>
        </w:tc>
        <w:tc>
          <w:tcPr>
            <w:tcW w:w="1559" w:type="dxa"/>
          </w:tcPr>
          <w:p w:rsidRPr="00025F9D" w:rsidR="00850801" w:rsidP="00166233" w:rsidRDefault="00850801" w14:paraId="4F7D38F8" w14:textId="77777777">
            <w:pPr>
              <w:rPr>
                <w:highlight w:val="green"/>
              </w:rPr>
            </w:pPr>
            <w:r w:rsidRPr="00025F9D">
              <w:rPr>
                <w:highlight w:val="green"/>
              </w:rPr>
              <w:t xml:space="preserve">Latitude </w:t>
            </w:r>
          </w:p>
          <w:p w:rsidRPr="00025F9D" w:rsidR="00850801" w:rsidP="00166233" w:rsidRDefault="00850801" w14:paraId="11FF618E" w14:textId="77777777">
            <w:pPr>
              <w:rPr>
                <w:highlight w:val="green"/>
              </w:rPr>
            </w:pPr>
            <w:r w:rsidRPr="00025F9D">
              <w:rPr>
                <w:highlight w:val="green"/>
              </w:rPr>
              <w:t>(y-coördinaat)</w:t>
            </w:r>
          </w:p>
        </w:tc>
      </w:tr>
      <w:tr w:rsidRPr="00025F9D" w:rsidR="00850801" w:rsidTr="00166233" w14:paraId="6FAF2F3F" w14:textId="77777777">
        <w:tc>
          <w:tcPr>
            <w:tcW w:w="988" w:type="dxa"/>
          </w:tcPr>
          <w:p w:rsidRPr="00025F9D" w:rsidR="00850801" w:rsidP="00166233" w:rsidRDefault="00850801" w14:paraId="0F253454" w14:textId="77777777">
            <w:pPr>
              <w:rPr>
                <w:highlight w:val="green"/>
              </w:rPr>
            </w:pPr>
            <w:r w:rsidRPr="00025F9D">
              <w:rPr>
                <w:highlight w:val="green"/>
              </w:rPr>
              <w:t>1</w:t>
            </w:r>
          </w:p>
        </w:tc>
        <w:tc>
          <w:tcPr>
            <w:tcW w:w="1559" w:type="dxa"/>
          </w:tcPr>
          <w:p w:rsidRPr="00025F9D" w:rsidR="00850801" w:rsidP="00166233" w:rsidRDefault="00850801" w14:paraId="21553E7A" w14:textId="77777777">
            <w:pPr>
              <w:rPr>
                <w:highlight w:val="green"/>
              </w:rPr>
            </w:pPr>
            <w:r w:rsidRPr="00025F9D">
              <w:rPr>
                <w:rFonts w:ascii="Calibri" w:hAnsi="Calibri" w:cs="Calibri"/>
                <w:color w:val="000000"/>
                <w:highlight w:val="green"/>
              </w:rPr>
              <w:t>3,709026</w:t>
            </w:r>
          </w:p>
        </w:tc>
        <w:tc>
          <w:tcPr>
            <w:tcW w:w="1559" w:type="dxa"/>
          </w:tcPr>
          <w:p w:rsidRPr="00025F9D" w:rsidR="00850801" w:rsidP="00166233" w:rsidRDefault="00850801" w14:paraId="5E4A9E7E" w14:textId="77777777">
            <w:pPr>
              <w:rPr>
                <w:highlight w:val="green"/>
              </w:rPr>
            </w:pPr>
            <w:r w:rsidRPr="00025F9D">
              <w:rPr>
                <w:rFonts w:ascii="Calibri" w:hAnsi="Calibri" w:cs="Calibri"/>
                <w:color w:val="000000"/>
                <w:highlight w:val="green"/>
              </w:rPr>
              <w:t>54,950646</w:t>
            </w:r>
          </w:p>
        </w:tc>
      </w:tr>
      <w:tr w:rsidRPr="00025F9D" w:rsidR="00850801" w:rsidTr="00166233" w14:paraId="354E0808" w14:textId="77777777">
        <w:tc>
          <w:tcPr>
            <w:tcW w:w="988" w:type="dxa"/>
          </w:tcPr>
          <w:p w:rsidRPr="00025F9D" w:rsidR="00850801" w:rsidP="00166233" w:rsidRDefault="00850801" w14:paraId="2EB47E2C" w14:textId="77777777">
            <w:pPr>
              <w:rPr>
                <w:highlight w:val="green"/>
              </w:rPr>
            </w:pPr>
            <w:r w:rsidRPr="00025F9D">
              <w:rPr>
                <w:highlight w:val="green"/>
              </w:rPr>
              <w:t>2</w:t>
            </w:r>
          </w:p>
        </w:tc>
        <w:tc>
          <w:tcPr>
            <w:tcW w:w="1559" w:type="dxa"/>
          </w:tcPr>
          <w:p w:rsidRPr="00025F9D" w:rsidR="00850801" w:rsidP="00166233" w:rsidRDefault="00850801" w14:paraId="5D59223E" w14:textId="77777777">
            <w:pPr>
              <w:rPr>
                <w:highlight w:val="green"/>
              </w:rPr>
            </w:pPr>
            <w:r w:rsidRPr="00025F9D">
              <w:rPr>
                <w:rFonts w:ascii="Calibri" w:hAnsi="Calibri" w:cs="Calibri"/>
                <w:color w:val="000000"/>
                <w:highlight w:val="green"/>
              </w:rPr>
              <w:t>4,249800</w:t>
            </w:r>
          </w:p>
        </w:tc>
        <w:tc>
          <w:tcPr>
            <w:tcW w:w="1559" w:type="dxa"/>
          </w:tcPr>
          <w:p w:rsidRPr="00025F9D" w:rsidR="00850801" w:rsidP="00166233" w:rsidRDefault="00850801" w14:paraId="3F839092" w14:textId="77777777">
            <w:pPr>
              <w:rPr>
                <w:highlight w:val="green"/>
              </w:rPr>
            </w:pPr>
            <w:r w:rsidRPr="00025F9D">
              <w:rPr>
                <w:rFonts w:ascii="Calibri" w:hAnsi="Calibri" w:cs="Calibri"/>
                <w:color w:val="000000"/>
                <w:highlight w:val="green"/>
              </w:rPr>
              <w:t>54,950714</w:t>
            </w:r>
          </w:p>
        </w:tc>
      </w:tr>
      <w:tr w:rsidRPr="00025F9D" w:rsidR="00850801" w:rsidTr="00166233" w14:paraId="742BBF84" w14:textId="77777777">
        <w:tc>
          <w:tcPr>
            <w:tcW w:w="988" w:type="dxa"/>
          </w:tcPr>
          <w:p w:rsidRPr="00025F9D" w:rsidR="00850801" w:rsidP="00166233" w:rsidRDefault="00850801" w14:paraId="0D96F054" w14:textId="77777777">
            <w:pPr>
              <w:rPr>
                <w:highlight w:val="green"/>
              </w:rPr>
            </w:pPr>
            <w:r w:rsidRPr="00025F9D">
              <w:rPr>
                <w:highlight w:val="green"/>
              </w:rPr>
              <w:t>3</w:t>
            </w:r>
          </w:p>
        </w:tc>
        <w:tc>
          <w:tcPr>
            <w:tcW w:w="1559" w:type="dxa"/>
          </w:tcPr>
          <w:p w:rsidRPr="00025F9D" w:rsidR="00850801" w:rsidP="00166233" w:rsidRDefault="00850801" w14:paraId="728E7CB0" w14:textId="77777777">
            <w:pPr>
              <w:rPr>
                <w:highlight w:val="green"/>
              </w:rPr>
            </w:pPr>
            <w:r w:rsidRPr="00025F9D">
              <w:rPr>
                <w:rFonts w:ascii="Calibri" w:hAnsi="Calibri" w:cs="Calibri"/>
                <w:color w:val="000000"/>
                <w:highlight w:val="green"/>
              </w:rPr>
              <w:t>4,249911</w:t>
            </w:r>
          </w:p>
        </w:tc>
        <w:tc>
          <w:tcPr>
            <w:tcW w:w="1559" w:type="dxa"/>
          </w:tcPr>
          <w:p w:rsidRPr="00025F9D" w:rsidR="00850801" w:rsidP="00166233" w:rsidRDefault="00850801" w14:paraId="5F52524A" w14:textId="77777777">
            <w:pPr>
              <w:rPr>
                <w:highlight w:val="green"/>
              </w:rPr>
            </w:pPr>
            <w:r w:rsidRPr="00025F9D">
              <w:rPr>
                <w:rFonts w:ascii="Calibri" w:hAnsi="Calibri" w:cs="Calibri"/>
                <w:color w:val="000000"/>
                <w:highlight w:val="green"/>
              </w:rPr>
              <w:t>54,520895</w:t>
            </w:r>
          </w:p>
        </w:tc>
      </w:tr>
      <w:tr w:rsidRPr="00025F9D" w:rsidR="00850801" w:rsidTr="00166233" w14:paraId="208ADA22" w14:textId="77777777">
        <w:tc>
          <w:tcPr>
            <w:tcW w:w="988" w:type="dxa"/>
          </w:tcPr>
          <w:p w:rsidRPr="00025F9D" w:rsidR="00850801" w:rsidP="00166233" w:rsidRDefault="00850801" w14:paraId="4D5F149A" w14:textId="77777777">
            <w:pPr>
              <w:rPr>
                <w:highlight w:val="green"/>
              </w:rPr>
            </w:pPr>
            <w:r w:rsidRPr="00025F9D">
              <w:rPr>
                <w:highlight w:val="green"/>
              </w:rPr>
              <w:t>4</w:t>
            </w:r>
          </w:p>
        </w:tc>
        <w:tc>
          <w:tcPr>
            <w:tcW w:w="1559" w:type="dxa"/>
          </w:tcPr>
          <w:p w:rsidRPr="00025F9D" w:rsidR="00850801" w:rsidP="00166233" w:rsidRDefault="00850801" w14:paraId="53A63647" w14:textId="77777777">
            <w:pPr>
              <w:rPr>
                <w:highlight w:val="green"/>
              </w:rPr>
            </w:pPr>
            <w:r w:rsidRPr="00025F9D">
              <w:rPr>
                <w:rFonts w:ascii="Calibri" w:hAnsi="Calibri" w:cs="Calibri"/>
                <w:color w:val="000000"/>
                <w:highlight w:val="green"/>
              </w:rPr>
              <w:t>3,562039</w:t>
            </w:r>
          </w:p>
        </w:tc>
        <w:tc>
          <w:tcPr>
            <w:tcW w:w="1559" w:type="dxa"/>
          </w:tcPr>
          <w:p w:rsidRPr="00025F9D" w:rsidR="00850801" w:rsidP="00166233" w:rsidRDefault="00850801" w14:paraId="2A7D35EF" w14:textId="77777777">
            <w:pPr>
              <w:rPr>
                <w:highlight w:val="green"/>
              </w:rPr>
            </w:pPr>
            <w:r w:rsidRPr="00025F9D">
              <w:rPr>
                <w:rFonts w:ascii="Calibri" w:hAnsi="Calibri" w:cs="Calibri"/>
                <w:color w:val="000000"/>
                <w:highlight w:val="green"/>
              </w:rPr>
              <w:t>54,520798</w:t>
            </w:r>
          </w:p>
        </w:tc>
      </w:tr>
      <w:tr w:rsidRPr="00025F9D" w:rsidR="00850801" w:rsidTr="00166233" w14:paraId="41CB3E24" w14:textId="77777777">
        <w:tc>
          <w:tcPr>
            <w:tcW w:w="988" w:type="dxa"/>
          </w:tcPr>
          <w:p w:rsidRPr="00025F9D" w:rsidR="00850801" w:rsidP="00166233" w:rsidRDefault="00850801" w14:paraId="09DF08B2" w14:textId="77777777">
            <w:pPr>
              <w:rPr>
                <w:highlight w:val="green"/>
              </w:rPr>
            </w:pPr>
            <w:r w:rsidRPr="00025F9D">
              <w:rPr>
                <w:highlight w:val="green"/>
              </w:rPr>
              <w:t>5</w:t>
            </w:r>
          </w:p>
        </w:tc>
        <w:tc>
          <w:tcPr>
            <w:tcW w:w="1559" w:type="dxa"/>
          </w:tcPr>
          <w:p w:rsidRPr="00025F9D" w:rsidR="00850801" w:rsidP="00166233" w:rsidRDefault="00850801" w14:paraId="4C5D4CEF" w14:textId="77777777">
            <w:pPr>
              <w:rPr>
                <w:highlight w:val="green"/>
              </w:rPr>
            </w:pPr>
            <w:r w:rsidRPr="00025F9D">
              <w:rPr>
                <w:rFonts w:ascii="Calibri" w:hAnsi="Calibri" w:cs="Calibri"/>
                <w:color w:val="000000"/>
                <w:highlight w:val="green"/>
              </w:rPr>
              <w:t>3,566718</w:t>
            </w:r>
          </w:p>
        </w:tc>
        <w:tc>
          <w:tcPr>
            <w:tcW w:w="1559" w:type="dxa"/>
          </w:tcPr>
          <w:p w:rsidRPr="00025F9D" w:rsidR="00850801" w:rsidP="00166233" w:rsidRDefault="00850801" w14:paraId="325D5679" w14:textId="77777777">
            <w:pPr>
              <w:rPr>
                <w:highlight w:val="green"/>
              </w:rPr>
            </w:pPr>
            <w:r w:rsidRPr="00025F9D">
              <w:rPr>
                <w:rFonts w:ascii="Calibri" w:hAnsi="Calibri" w:cs="Calibri"/>
                <w:color w:val="000000"/>
                <w:highlight w:val="green"/>
              </w:rPr>
              <w:t>54,857974</w:t>
            </w:r>
          </w:p>
        </w:tc>
      </w:tr>
    </w:tbl>
    <w:p w:rsidRPr="00025F9D" w:rsidR="00850801" w:rsidP="00850801" w:rsidRDefault="00850801" w14:paraId="2D1BD148" w14:textId="77777777">
      <w:pPr>
        <w:rPr>
          <w:iCs/>
          <w:highlight w:val="green"/>
          <w:lang w:val="nl-NL"/>
        </w:rPr>
      </w:pPr>
      <w:r w:rsidRPr="00025F9D">
        <w:rPr>
          <w:iCs/>
          <w:highlight w:val="green"/>
          <w:lang w:val="nl-NL"/>
        </w:rPr>
        <w:t>Tabel 2. Coördinaten hoekpunten KRM-gebied Centrale Oestergronden</w:t>
      </w:r>
    </w:p>
    <w:tbl>
      <w:tblPr>
        <w:tblStyle w:val="TableGrid"/>
        <w:tblW w:w="0" w:type="auto"/>
        <w:tblLook w:val="04A0" w:firstRow="1" w:lastRow="0" w:firstColumn="1" w:lastColumn="0" w:noHBand="0" w:noVBand="1"/>
      </w:tblPr>
      <w:tblGrid>
        <w:gridCol w:w="988"/>
        <w:gridCol w:w="1559"/>
        <w:gridCol w:w="1559"/>
      </w:tblGrid>
      <w:tr w:rsidRPr="00025F9D" w:rsidR="00850801" w:rsidTr="00166233" w14:paraId="18965980" w14:textId="77777777">
        <w:tc>
          <w:tcPr>
            <w:tcW w:w="988" w:type="dxa"/>
          </w:tcPr>
          <w:p w:rsidRPr="00025F9D" w:rsidR="00850801" w:rsidP="00166233" w:rsidRDefault="00850801" w14:paraId="1F3887B5" w14:textId="77777777">
            <w:pPr>
              <w:rPr>
                <w:highlight w:val="green"/>
                <w:lang w:val="nl-NL"/>
              </w:rPr>
            </w:pPr>
          </w:p>
          <w:p w:rsidRPr="00025F9D" w:rsidR="00850801" w:rsidP="00166233" w:rsidRDefault="00850801" w14:paraId="56BAE858" w14:textId="77777777">
            <w:pPr>
              <w:rPr>
                <w:highlight w:val="green"/>
              </w:rPr>
            </w:pPr>
            <w:r w:rsidRPr="00025F9D">
              <w:rPr>
                <w:highlight w:val="green"/>
              </w:rPr>
              <w:t>WGS84</w:t>
            </w:r>
          </w:p>
        </w:tc>
        <w:tc>
          <w:tcPr>
            <w:tcW w:w="1559" w:type="dxa"/>
          </w:tcPr>
          <w:p w:rsidRPr="00025F9D" w:rsidR="00850801" w:rsidP="00166233" w:rsidRDefault="00850801" w14:paraId="5B705DA5" w14:textId="77777777">
            <w:pPr>
              <w:rPr>
                <w:highlight w:val="green"/>
              </w:rPr>
            </w:pPr>
            <w:r w:rsidRPr="00025F9D">
              <w:rPr>
                <w:highlight w:val="green"/>
              </w:rPr>
              <w:t xml:space="preserve">Longitude </w:t>
            </w:r>
          </w:p>
          <w:p w:rsidRPr="00025F9D" w:rsidR="00850801" w:rsidP="00166233" w:rsidRDefault="00850801" w14:paraId="00C56F71" w14:textId="77777777">
            <w:pPr>
              <w:rPr>
                <w:highlight w:val="green"/>
              </w:rPr>
            </w:pPr>
            <w:r w:rsidRPr="00025F9D">
              <w:rPr>
                <w:highlight w:val="green"/>
              </w:rPr>
              <w:t>(x-coördinaat)</w:t>
            </w:r>
          </w:p>
        </w:tc>
        <w:tc>
          <w:tcPr>
            <w:tcW w:w="1559" w:type="dxa"/>
          </w:tcPr>
          <w:p w:rsidRPr="00025F9D" w:rsidR="00850801" w:rsidP="00166233" w:rsidRDefault="00850801" w14:paraId="3150F621" w14:textId="77777777">
            <w:pPr>
              <w:rPr>
                <w:highlight w:val="green"/>
              </w:rPr>
            </w:pPr>
            <w:r w:rsidRPr="00025F9D">
              <w:rPr>
                <w:highlight w:val="green"/>
              </w:rPr>
              <w:t xml:space="preserve">Latitude </w:t>
            </w:r>
          </w:p>
          <w:p w:rsidRPr="00025F9D" w:rsidR="00850801" w:rsidP="00166233" w:rsidRDefault="00850801" w14:paraId="09FF0CAF" w14:textId="77777777">
            <w:pPr>
              <w:rPr>
                <w:highlight w:val="green"/>
              </w:rPr>
            </w:pPr>
            <w:r w:rsidRPr="00025F9D">
              <w:rPr>
                <w:highlight w:val="green"/>
              </w:rPr>
              <w:t>(y-coördinaat)</w:t>
            </w:r>
          </w:p>
        </w:tc>
      </w:tr>
      <w:tr w:rsidRPr="00025F9D" w:rsidR="00850801" w:rsidTr="00166233" w14:paraId="397446BE" w14:textId="77777777">
        <w:tc>
          <w:tcPr>
            <w:tcW w:w="988" w:type="dxa"/>
          </w:tcPr>
          <w:p w:rsidRPr="00025F9D" w:rsidR="00850801" w:rsidP="00166233" w:rsidRDefault="00850801" w14:paraId="5AF43D02" w14:textId="77777777">
            <w:pPr>
              <w:rPr>
                <w:highlight w:val="green"/>
              </w:rPr>
            </w:pPr>
            <w:r w:rsidRPr="00025F9D">
              <w:rPr>
                <w:highlight w:val="green"/>
              </w:rPr>
              <w:t>1</w:t>
            </w:r>
          </w:p>
        </w:tc>
        <w:tc>
          <w:tcPr>
            <w:tcW w:w="1559" w:type="dxa"/>
          </w:tcPr>
          <w:p w:rsidRPr="00025F9D" w:rsidR="00850801" w:rsidP="00166233" w:rsidRDefault="00850801" w14:paraId="66D54C14" w14:textId="77777777">
            <w:pPr>
              <w:rPr>
                <w:rFonts w:ascii="Calibri" w:hAnsi="Calibri" w:cs="Calibri"/>
                <w:color w:val="000000"/>
                <w:highlight w:val="green"/>
              </w:rPr>
            </w:pPr>
            <w:r w:rsidRPr="00025F9D">
              <w:rPr>
                <w:rFonts w:ascii="Calibri" w:hAnsi="Calibri" w:cs="Calibri"/>
                <w:color w:val="000000"/>
                <w:sz w:val="22"/>
                <w:highlight w:val="green"/>
              </w:rPr>
              <w:t>6,000000</w:t>
            </w:r>
          </w:p>
        </w:tc>
        <w:tc>
          <w:tcPr>
            <w:tcW w:w="1559" w:type="dxa"/>
          </w:tcPr>
          <w:p w:rsidRPr="00025F9D" w:rsidR="00850801" w:rsidP="00166233" w:rsidRDefault="00850801" w14:paraId="1FD49567" w14:textId="77777777">
            <w:pPr>
              <w:rPr>
                <w:rFonts w:ascii="Calibri" w:hAnsi="Calibri" w:cs="Calibri"/>
                <w:color w:val="000000"/>
                <w:highlight w:val="green"/>
              </w:rPr>
            </w:pPr>
            <w:r w:rsidRPr="00025F9D">
              <w:rPr>
                <w:rFonts w:ascii="Calibri" w:hAnsi="Calibri" w:cs="Calibri"/>
                <w:color w:val="000000"/>
                <w:sz w:val="22"/>
                <w:highlight w:val="green"/>
              </w:rPr>
              <w:t>54,000000</w:t>
            </w:r>
          </w:p>
        </w:tc>
      </w:tr>
      <w:tr w:rsidRPr="00025F9D" w:rsidR="00850801" w:rsidTr="00166233" w14:paraId="3290D7AE" w14:textId="77777777">
        <w:tc>
          <w:tcPr>
            <w:tcW w:w="988" w:type="dxa"/>
          </w:tcPr>
          <w:p w:rsidRPr="00025F9D" w:rsidR="00850801" w:rsidP="00166233" w:rsidRDefault="00850801" w14:paraId="3CCAB4F3" w14:textId="77777777">
            <w:pPr>
              <w:rPr>
                <w:highlight w:val="green"/>
              </w:rPr>
            </w:pPr>
            <w:r w:rsidRPr="00025F9D">
              <w:rPr>
                <w:highlight w:val="green"/>
              </w:rPr>
              <w:t>2</w:t>
            </w:r>
          </w:p>
        </w:tc>
        <w:tc>
          <w:tcPr>
            <w:tcW w:w="1559" w:type="dxa"/>
          </w:tcPr>
          <w:p w:rsidRPr="00025F9D" w:rsidR="00850801" w:rsidP="00166233" w:rsidRDefault="00850801" w14:paraId="478CA485" w14:textId="77777777">
            <w:pPr>
              <w:rPr>
                <w:highlight w:val="green"/>
              </w:rPr>
            </w:pPr>
            <w:r w:rsidRPr="00025F9D">
              <w:rPr>
                <w:rFonts w:ascii="Calibri" w:hAnsi="Calibri" w:cs="Calibri"/>
                <w:color w:val="000000"/>
                <w:highlight w:val="green"/>
              </w:rPr>
              <w:t>6,105548</w:t>
            </w:r>
          </w:p>
        </w:tc>
        <w:tc>
          <w:tcPr>
            <w:tcW w:w="1559" w:type="dxa"/>
          </w:tcPr>
          <w:p w:rsidRPr="00025F9D" w:rsidR="00850801" w:rsidP="00166233" w:rsidRDefault="00850801" w14:paraId="79905EC6" w14:textId="77777777">
            <w:pPr>
              <w:rPr>
                <w:highlight w:val="green"/>
              </w:rPr>
            </w:pPr>
            <w:r w:rsidRPr="00025F9D">
              <w:rPr>
                <w:rFonts w:ascii="Calibri" w:hAnsi="Calibri" w:cs="Calibri"/>
                <w:color w:val="000000"/>
                <w:highlight w:val="green"/>
              </w:rPr>
              <w:t>54,000100</w:t>
            </w:r>
          </w:p>
        </w:tc>
      </w:tr>
      <w:tr w:rsidRPr="00025F9D" w:rsidR="00850801" w:rsidTr="00166233" w14:paraId="20261BF7" w14:textId="77777777">
        <w:tc>
          <w:tcPr>
            <w:tcW w:w="988" w:type="dxa"/>
          </w:tcPr>
          <w:p w:rsidRPr="00025F9D" w:rsidR="00850801" w:rsidP="00166233" w:rsidRDefault="00850801" w14:paraId="79AEEA86" w14:textId="77777777">
            <w:pPr>
              <w:rPr>
                <w:highlight w:val="green"/>
              </w:rPr>
            </w:pPr>
            <w:r w:rsidRPr="00025F9D">
              <w:rPr>
                <w:highlight w:val="green"/>
              </w:rPr>
              <w:t>3</w:t>
            </w:r>
          </w:p>
        </w:tc>
        <w:tc>
          <w:tcPr>
            <w:tcW w:w="1559" w:type="dxa"/>
          </w:tcPr>
          <w:p w:rsidRPr="00025F9D" w:rsidR="00850801" w:rsidP="00166233" w:rsidRDefault="00850801" w14:paraId="46681F59" w14:textId="77777777">
            <w:pPr>
              <w:rPr>
                <w:highlight w:val="green"/>
              </w:rPr>
            </w:pPr>
            <w:r w:rsidRPr="00025F9D">
              <w:rPr>
                <w:rFonts w:ascii="Calibri" w:hAnsi="Calibri" w:cs="Calibri"/>
                <w:color w:val="000000"/>
                <w:highlight w:val="green"/>
              </w:rPr>
              <w:t>6,106528</w:t>
            </w:r>
          </w:p>
        </w:tc>
        <w:tc>
          <w:tcPr>
            <w:tcW w:w="1559" w:type="dxa"/>
          </w:tcPr>
          <w:p w:rsidRPr="00025F9D" w:rsidR="00850801" w:rsidP="00166233" w:rsidRDefault="00850801" w14:paraId="23877F29" w14:textId="77777777">
            <w:pPr>
              <w:rPr>
                <w:highlight w:val="green"/>
              </w:rPr>
            </w:pPr>
            <w:r w:rsidRPr="00025F9D">
              <w:rPr>
                <w:rFonts w:ascii="Calibri" w:hAnsi="Calibri" w:cs="Calibri"/>
                <w:color w:val="000000"/>
                <w:highlight w:val="green"/>
              </w:rPr>
              <w:t>53,998389</w:t>
            </w:r>
          </w:p>
        </w:tc>
      </w:tr>
      <w:tr w:rsidRPr="00025F9D" w:rsidR="00850801" w:rsidTr="00166233" w14:paraId="6E27B5C4" w14:textId="77777777">
        <w:tc>
          <w:tcPr>
            <w:tcW w:w="988" w:type="dxa"/>
          </w:tcPr>
          <w:p w:rsidRPr="00025F9D" w:rsidR="00850801" w:rsidP="00166233" w:rsidRDefault="00850801" w14:paraId="710BA4ED" w14:textId="77777777">
            <w:pPr>
              <w:rPr>
                <w:highlight w:val="green"/>
              </w:rPr>
            </w:pPr>
            <w:r w:rsidRPr="00025F9D">
              <w:rPr>
                <w:highlight w:val="green"/>
              </w:rPr>
              <w:t>4</w:t>
            </w:r>
          </w:p>
        </w:tc>
        <w:tc>
          <w:tcPr>
            <w:tcW w:w="1559" w:type="dxa"/>
          </w:tcPr>
          <w:p w:rsidRPr="00025F9D" w:rsidR="00850801" w:rsidP="00166233" w:rsidRDefault="00850801" w14:paraId="66C2FBE6" w14:textId="77777777">
            <w:pPr>
              <w:rPr>
                <w:highlight w:val="green"/>
              </w:rPr>
            </w:pPr>
            <w:r w:rsidRPr="00025F9D">
              <w:rPr>
                <w:rFonts w:ascii="Calibri" w:hAnsi="Calibri" w:cs="Calibri"/>
                <w:color w:val="000000"/>
                <w:highlight w:val="green"/>
              </w:rPr>
              <w:t>6,171722</w:t>
            </w:r>
          </w:p>
        </w:tc>
        <w:tc>
          <w:tcPr>
            <w:tcW w:w="1559" w:type="dxa"/>
          </w:tcPr>
          <w:p w:rsidRPr="00025F9D" w:rsidR="00850801" w:rsidP="00166233" w:rsidRDefault="00850801" w14:paraId="6146A4A8" w14:textId="77777777">
            <w:pPr>
              <w:rPr>
                <w:highlight w:val="green"/>
              </w:rPr>
            </w:pPr>
            <w:r w:rsidRPr="00025F9D">
              <w:rPr>
                <w:rFonts w:ascii="Calibri" w:hAnsi="Calibri" w:cs="Calibri"/>
                <w:color w:val="000000"/>
                <w:highlight w:val="green"/>
              </w:rPr>
              <w:t>53,921733</w:t>
            </w:r>
          </w:p>
        </w:tc>
      </w:tr>
      <w:tr w:rsidRPr="00025F9D" w:rsidR="00850801" w:rsidTr="00166233" w14:paraId="6B2DE71D" w14:textId="77777777">
        <w:tc>
          <w:tcPr>
            <w:tcW w:w="988" w:type="dxa"/>
          </w:tcPr>
          <w:p w:rsidRPr="00025F9D" w:rsidR="00850801" w:rsidP="00166233" w:rsidRDefault="00850801" w14:paraId="04752042" w14:textId="77777777">
            <w:pPr>
              <w:rPr>
                <w:highlight w:val="green"/>
              </w:rPr>
            </w:pPr>
            <w:r w:rsidRPr="00025F9D">
              <w:rPr>
                <w:highlight w:val="green"/>
              </w:rPr>
              <w:t>5</w:t>
            </w:r>
          </w:p>
        </w:tc>
        <w:tc>
          <w:tcPr>
            <w:tcW w:w="1559" w:type="dxa"/>
          </w:tcPr>
          <w:p w:rsidRPr="00025F9D" w:rsidR="00850801" w:rsidP="00166233" w:rsidRDefault="00850801" w14:paraId="1C6347CA" w14:textId="77777777">
            <w:pPr>
              <w:rPr>
                <w:highlight w:val="green"/>
              </w:rPr>
            </w:pPr>
            <w:r w:rsidRPr="00025F9D">
              <w:rPr>
                <w:rFonts w:ascii="Calibri" w:hAnsi="Calibri" w:cs="Calibri"/>
                <w:color w:val="000000"/>
                <w:highlight w:val="green"/>
              </w:rPr>
              <w:t>6,262917</w:t>
            </w:r>
          </w:p>
        </w:tc>
        <w:tc>
          <w:tcPr>
            <w:tcW w:w="1559" w:type="dxa"/>
          </w:tcPr>
          <w:p w:rsidRPr="00025F9D" w:rsidR="00850801" w:rsidP="00166233" w:rsidRDefault="00850801" w14:paraId="27C5D29F" w14:textId="77777777">
            <w:pPr>
              <w:rPr>
                <w:highlight w:val="green"/>
              </w:rPr>
            </w:pPr>
            <w:r w:rsidRPr="00025F9D">
              <w:rPr>
                <w:rFonts w:ascii="Calibri" w:hAnsi="Calibri" w:cs="Calibri"/>
                <w:color w:val="000000"/>
                <w:highlight w:val="green"/>
              </w:rPr>
              <w:t>53,813972</w:t>
            </w:r>
          </w:p>
        </w:tc>
      </w:tr>
      <w:tr w:rsidRPr="00025F9D" w:rsidR="00850801" w:rsidTr="00166233" w14:paraId="7A0E2806" w14:textId="77777777">
        <w:tc>
          <w:tcPr>
            <w:tcW w:w="988" w:type="dxa"/>
          </w:tcPr>
          <w:p w:rsidRPr="00025F9D" w:rsidR="00850801" w:rsidP="00166233" w:rsidRDefault="00850801" w14:paraId="5B083D11" w14:textId="77777777">
            <w:pPr>
              <w:rPr>
                <w:highlight w:val="green"/>
              </w:rPr>
            </w:pPr>
            <w:r w:rsidRPr="00025F9D">
              <w:rPr>
                <w:highlight w:val="green"/>
              </w:rPr>
              <w:t>6</w:t>
            </w:r>
          </w:p>
        </w:tc>
        <w:tc>
          <w:tcPr>
            <w:tcW w:w="1559" w:type="dxa"/>
          </w:tcPr>
          <w:p w:rsidRPr="00025F9D" w:rsidR="00850801" w:rsidP="00166233" w:rsidRDefault="00850801" w14:paraId="661BA6FD" w14:textId="77777777">
            <w:pPr>
              <w:rPr>
                <w:highlight w:val="green"/>
              </w:rPr>
            </w:pPr>
            <w:r w:rsidRPr="00025F9D">
              <w:rPr>
                <w:rFonts w:ascii="Calibri" w:hAnsi="Calibri" w:cs="Calibri"/>
                <w:color w:val="000000"/>
                <w:highlight w:val="green"/>
              </w:rPr>
              <w:t>6,331500</w:t>
            </w:r>
          </w:p>
        </w:tc>
        <w:tc>
          <w:tcPr>
            <w:tcW w:w="1559" w:type="dxa"/>
          </w:tcPr>
          <w:p w:rsidRPr="00025F9D" w:rsidR="00850801" w:rsidP="00166233" w:rsidRDefault="00850801" w14:paraId="4DE234BD" w14:textId="77777777">
            <w:pPr>
              <w:rPr>
                <w:highlight w:val="green"/>
              </w:rPr>
            </w:pPr>
            <w:r w:rsidRPr="00025F9D">
              <w:rPr>
                <w:rFonts w:ascii="Calibri" w:hAnsi="Calibri" w:cs="Calibri"/>
                <w:color w:val="000000"/>
                <w:highlight w:val="green"/>
              </w:rPr>
              <w:t>53,750083</w:t>
            </w:r>
          </w:p>
        </w:tc>
      </w:tr>
      <w:tr w:rsidRPr="00025F9D" w:rsidR="00850801" w:rsidTr="00166233" w14:paraId="5FBB7110" w14:textId="77777777">
        <w:tc>
          <w:tcPr>
            <w:tcW w:w="988" w:type="dxa"/>
          </w:tcPr>
          <w:p w:rsidRPr="00025F9D" w:rsidR="00850801" w:rsidP="00166233" w:rsidRDefault="00850801" w14:paraId="0C226791" w14:textId="77777777">
            <w:pPr>
              <w:rPr>
                <w:highlight w:val="green"/>
              </w:rPr>
            </w:pPr>
            <w:r w:rsidRPr="00025F9D">
              <w:rPr>
                <w:highlight w:val="green"/>
              </w:rPr>
              <w:t>7</w:t>
            </w:r>
          </w:p>
        </w:tc>
        <w:tc>
          <w:tcPr>
            <w:tcW w:w="1559" w:type="dxa"/>
          </w:tcPr>
          <w:p w:rsidRPr="00025F9D" w:rsidR="00850801" w:rsidP="00166233" w:rsidRDefault="00850801" w14:paraId="1EEBE30B" w14:textId="77777777">
            <w:pPr>
              <w:rPr>
                <w:highlight w:val="green"/>
              </w:rPr>
            </w:pPr>
            <w:r w:rsidRPr="00025F9D">
              <w:rPr>
                <w:rFonts w:ascii="Calibri" w:hAnsi="Calibri" w:cs="Calibri"/>
                <w:color w:val="000000"/>
                <w:highlight w:val="green"/>
              </w:rPr>
              <w:t>6,334678</w:t>
            </w:r>
          </w:p>
        </w:tc>
        <w:tc>
          <w:tcPr>
            <w:tcW w:w="1559" w:type="dxa"/>
          </w:tcPr>
          <w:p w:rsidRPr="00025F9D" w:rsidR="00850801" w:rsidP="00166233" w:rsidRDefault="00850801" w14:paraId="5A71EDC4" w14:textId="77777777">
            <w:pPr>
              <w:rPr>
                <w:highlight w:val="green"/>
              </w:rPr>
            </w:pPr>
            <w:r w:rsidRPr="00025F9D">
              <w:rPr>
                <w:rFonts w:ascii="Calibri" w:hAnsi="Calibri" w:cs="Calibri"/>
                <w:color w:val="000000"/>
                <w:highlight w:val="green"/>
              </w:rPr>
              <w:t>53,744389</w:t>
            </w:r>
          </w:p>
        </w:tc>
      </w:tr>
      <w:tr w:rsidRPr="00025F9D" w:rsidR="00850801" w:rsidTr="00166233" w14:paraId="2D410172" w14:textId="77777777">
        <w:tc>
          <w:tcPr>
            <w:tcW w:w="988" w:type="dxa"/>
          </w:tcPr>
          <w:p w:rsidRPr="00025F9D" w:rsidR="00850801" w:rsidP="00166233" w:rsidRDefault="00850801" w14:paraId="34ED4C21" w14:textId="77777777">
            <w:pPr>
              <w:rPr>
                <w:highlight w:val="green"/>
              </w:rPr>
            </w:pPr>
            <w:r w:rsidRPr="00025F9D">
              <w:rPr>
                <w:highlight w:val="green"/>
              </w:rPr>
              <w:t>8</w:t>
            </w:r>
          </w:p>
        </w:tc>
        <w:tc>
          <w:tcPr>
            <w:tcW w:w="1559" w:type="dxa"/>
          </w:tcPr>
          <w:p w:rsidRPr="00025F9D" w:rsidR="00850801" w:rsidP="00166233" w:rsidRDefault="00850801" w14:paraId="0E8E5540" w14:textId="77777777">
            <w:pPr>
              <w:rPr>
                <w:highlight w:val="green"/>
              </w:rPr>
            </w:pPr>
            <w:r w:rsidRPr="00025F9D">
              <w:rPr>
                <w:rFonts w:ascii="Calibri" w:hAnsi="Calibri" w:cs="Calibri"/>
                <w:color w:val="000000"/>
                <w:highlight w:val="green"/>
              </w:rPr>
              <w:t>6,385181</w:t>
            </w:r>
          </w:p>
        </w:tc>
        <w:tc>
          <w:tcPr>
            <w:tcW w:w="1559" w:type="dxa"/>
          </w:tcPr>
          <w:p w:rsidRPr="00025F9D" w:rsidR="00850801" w:rsidP="00166233" w:rsidRDefault="00850801" w14:paraId="056921C4" w14:textId="77777777">
            <w:pPr>
              <w:rPr>
                <w:highlight w:val="green"/>
              </w:rPr>
            </w:pPr>
            <w:r w:rsidRPr="00025F9D">
              <w:rPr>
                <w:rFonts w:ascii="Calibri" w:hAnsi="Calibri" w:cs="Calibri"/>
                <w:color w:val="000000"/>
                <w:highlight w:val="green"/>
              </w:rPr>
              <w:t>53,653690</w:t>
            </w:r>
          </w:p>
        </w:tc>
      </w:tr>
      <w:tr w:rsidRPr="00025F9D" w:rsidR="00850801" w:rsidTr="00166233" w14:paraId="712145A4" w14:textId="77777777">
        <w:tc>
          <w:tcPr>
            <w:tcW w:w="988" w:type="dxa"/>
          </w:tcPr>
          <w:p w:rsidRPr="00025F9D" w:rsidR="00850801" w:rsidP="00166233" w:rsidRDefault="00850801" w14:paraId="31E13075" w14:textId="77777777">
            <w:pPr>
              <w:rPr>
                <w:highlight w:val="green"/>
              </w:rPr>
            </w:pPr>
            <w:r w:rsidRPr="00025F9D">
              <w:rPr>
                <w:highlight w:val="green"/>
              </w:rPr>
              <w:t>9</w:t>
            </w:r>
          </w:p>
        </w:tc>
        <w:tc>
          <w:tcPr>
            <w:tcW w:w="1559" w:type="dxa"/>
          </w:tcPr>
          <w:p w:rsidRPr="00025F9D" w:rsidR="00850801" w:rsidP="00166233" w:rsidRDefault="00850801" w14:paraId="270CBB44" w14:textId="77777777">
            <w:pPr>
              <w:rPr>
                <w:highlight w:val="green"/>
              </w:rPr>
            </w:pPr>
            <w:r w:rsidRPr="00025F9D">
              <w:rPr>
                <w:rFonts w:ascii="Calibri" w:hAnsi="Calibri" w:cs="Calibri"/>
                <w:color w:val="000000"/>
                <w:highlight w:val="green"/>
              </w:rPr>
              <w:t>6,317023</w:t>
            </w:r>
          </w:p>
        </w:tc>
        <w:tc>
          <w:tcPr>
            <w:tcW w:w="1559" w:type="dxa"/>
          </w:tcPr>
          <w:p w:rsidRPr="00025F9D" w:rsidR="00850801" w:rsidP="00166233" w:rsidRDefault="00850801" w14:paraId="2E78F379" w14:textId="77777777">
            <w:pPr>
              <w:rPr>
                <w:highlight w:val="green"/>
              </w:rPr>
            </w:pPr>
            <w:r w:rsidRPr="00025F9D">
              <w:rPr>
                <w:rFonts w:ascii="Calibri" w:hAnsi="Calibri" w:cs="Calibri"/>
                <w:color w:val="000000"/>
                <w:highlight w:val="green"/>
              </w:rPr>
              <w:t>53,636243</w:t>
            </w:r>
          </w:p>
        </w:tc>
      </w:tr>
      <w:tr w:rsidRPr="00025F9D" w:rsidR="00850801" w:rsidTr="00166233" w14:paraId="39BBE344" w14:textId="77777777">
        <w:tc>
          <w:tcPr>
            <w:tcW w:w="988" w:type="dxa"/>
          </w:tcPr>
          <w:p w:rsidRPr="00025F9D" w:rsidR="00850801" w:rsidP="00166233" w:rsidRDefault="00850801" w14:paraId="247998DE" w14:textId="77777777">
            <w:pPr>
              <w:rPr>
                <w:highlight w:val="green"/>
              </w:rPr>
            </w:pPr>
            <w:r w:rsidRPr="00025F9D">
              <w:rPr>
                <w:highlight w:val="green"/>
              </w:rPr>
              <w:t>10</w:t>
            </w:r>
          </w:p>
        </w:tc>
        <w:tc>
          <w:tcPr>
            <w:tcW w:w="1559" w:type="dxa"/>
          </w:tcPr>
          <w:p w:rsidRPr="00025F9D" w:rsidR="00850801" w:rsidP="00166233" w:rsidRDefault="00850801" w14:paraId="67EA52E4" w14:textId="77777777">
            <w:pPr>
              <w:rPr>
                <w:highlight w:val="green"/>
              </w:rPr>
            </w:pPr>
            <w:r w:rsidRPr="00025F9D">
              <w:rPr>
                <w:rFonts w:ascii="Calibri" w:hAnsi="Calibri" w:cs="Calibri"/>
                <w:color w:val="000000"/>
                <w:highlight w:val="green"/>
              </w:rPr>
              <w:t>6,276655</w:t>
            </w:r>
          </w:p>
        </w:tc>
        <w:tc>
          <w:tcPr>
            <w:tcW w:w="1559" w:type="dxa"/>
          </w:tcPr>
          <w:p w:rsidRPr="00025F9D" w:rsidR="00850801" w:rsidP="00166233" w:rsidRDefault="00850801" w14:paraId="237AD14B" w14:textId="77777777">
            <w:pPr>
              <w:rPr>
                <w:highlight w:val="green"/>
              </w:rPr>
            </w:pPr>
            <w:r w:rsidRPr="00025F9D">
              <w:rPr>
                <w:rFonts w:ascii="Calibri" w:hAnsi="Calibri" w:cs="Calibri"/>
                <w:color w:val="000000"/>
                <w:highlight w:val="green"/>
              </w:rPr>
              <w:t>53,636260</w:t>
            </w:r>
          </w:p>
        </w:tc>
      </w:tr>
      <w:tr w:rsidRPr="00025F9D" w:rsidR="00850801" w:rsidTr="00166233" w14:paraId="2F0AE2E9" w14:textId="77777777">
        <w:tc>
          <w:tcPr>
            <w:tcW w:w="988" w:type="dxa"/>
          </w:tcPr>
          <w:p w:rsidRPr="00025F9D" w:rsidR="00850801" w:rsidP="00166233" w:rsidRDefault="00850801" w14:paraId="780A8A4E" w14:textId="77777777">
            <w:pPr>
              <w:rPr>
                <w:highlight w:val="green"/>
              </w:rPr>
            </w:pPr>
            <w:r w:rsidRPr="00025F9D">
              <w:rPr>
                <w:highlight w:val="green"/>
              </w:rPr>
              <w:t>11</w:t>
            </w:r>
          </w:p>
        </w:tc>
        <w:tc>
          <w:tcPr>
            <w:tcW w:w="1559" w:type="dxa"/>
          </w:tcPr>
          <w:p w:rsidRPr="00025F9D" w:rsidR="00850801" w:rsidP="00166233" w:rsidRDefault="00850801" w14:paraId="4768D409" w14:textId="77777777">
            <w:pPr>
              <w:rPr>
                <w:highlight w:val="green"/>
              </w:rPr>
            </w:pPr>
            <w:r w:rsidRPr="00025F9D">
              <w:rPr>
                <w:rFonts w:ascii="Calibri" w:hAnsi="Calibri" w:cs="Calibri"/>
                <w:color w:val="000000"/>
                <w:highlight w:val="green"/>
              </w:rPr>
              <w:t>6,146346</w:t>
            </w:r>
          </w:p>
        </w:tc>
        <w:tc>
          <w:tcPr>
            <w:tcW w:w="1559" w:type="dxa"/>
          </w:tcPr>
          <w:p w:rsidRPr="00025F9D" w:rsidR="00850801" w:rsidP="00166233" w:rsidRDefault="00850801" w14:paraId="1B9B474C" w14:textId="77777777">
            <w:pPr>
              <w:rPr>
                <w:highlight w:val="green"/>
              </w:rPr>
            </w:pPr>
            <w:r w:rsidRPr="00025F9D">
              <w:rPr>
                <w:rFonts w:ascii="Calibri" w:hAnsi="Calibri" w:cs="Calibri"/>
                <w:color w:val="000000"/>
                <w:highlight w:val="green"/>
              </w:rPr>
              <w:t>53,666781</w:t>
            </w:r>
          </w:p>
        </w:tc>
      </w:tr>
      <w:tr w:rsidRPr="00025F9D" w:rsidR="00850801" w:rsidTr="00166233" w14:paraId="0FD6FDB9" w14:textId="77777777">
        <w:tc>
          <w:tcPr>
            <w:tcW w:w="988" w:type="dxa"/>
          </w:tcPr>
          <w:p w:rsidRPr="00025F9D" w:rsidR="00850801" w:rsidP="00166233" w:rsidRDefault="00850801" w14:paraId="4FAFD63E" w14:textId="77777777">
            <w:pPr>
              <w:rPr>
                <w:highlight w:val="green"/>
              </w:rPr>
            </w:pPr>
            <w:r w:rsidRPr="00025F9D">
              <w:rPr>
                <w:highlight w:val="green"/>
              </w:rPr>
              <w:t>12</w:t>
            </w:r>
          </w:p>
        </w:tc>
        <w:tc>
          <w:tcPr>
            <w:tcW w:w="1559" w:type="dxa"/>
          </w:tcPr>
          <w:p w:rsidRPr="00025F9D" w:rsidR="00850801" w:rsidP="00166233" w:rsidRDefault="00850801" w14:paraId="27BADAF2" w14:textId="77777777">
            <w:pPr>
              <w:rPr>
                <w:highlight w:val="green"/>
              </w:rPr>
            </w:pPr>
            <w:r w:rsidRPr="00025F9D">
              <w:rPr>
                <w:rFonts w:ascii="Calibri" w:hAnsi="Calibri" w:cs="Calibri"/>
                <w:color w:val="000000"/>
                <w:highlight w:val="green"/>
              </w:rPr>
              <w:t>5,966667</w:t>
            </w:r>
          </w:p>
        </w:tc>
        <w:tc>
          <w:tcPr>
            <w:tcW w:w="1559" w:type="dxa"/>
          </w:tcPr>
          <w:p w:rsidRPr="00025F9D" w:rsidR="00850801" w:rsidP="00166233" w:rsidRDefault="00850801" w14:paraId="466E4843" w14:textId="77777777">
            <w:pPr>
              <w:rPr>
                <w:highlight w:val="green"/>
              </w:rPr>
            </w:pPr>
            <w:r w:rsidRPr="00025F9D">
              <w:rPr>
                <w:rFonts w:ascii="Calibri" w:hAnsi="Calibri" w:cs="Calibri"/>
                <w:color w:val="000000"/>
                <w:highlight w:val="green"/>
              </w:rPr>
              <w:t>53,666708</w:t>
            </w:r>
          </w:p>
        </w:tc>
      </w:tr>
      <w:tr w:rsidRPr="00025F9D" w:rsidR="00850801" w:rsidTr="00166233" w14:paraId="0249640A" w14:textId="77777777">
        <w:tc>
          <w:tcPr>
            <w:tcW w:w="988" w:type="dxa"/>
          </w:tcPr>
          <w:p w:rsidRPr="00025F9D" w:rsidR="00850801" w:rsidP="00166233" w:rsidRDefault="00850801" w14:paraId="45D04B58" w14:textId="77777777">
            <w:pPr>
              <w:rPr>
                <w:highlight w:val="green"/>
              </w:rPr>
            </w:pPr>
            <w:r w:rsidRPr="00025F9D">
              <w:rPr>
                <w:highlight w:val="green"/>
              </w:rPr>
              <w:t>13</w:t>
            </w:r>
          </w:p>
        </w:tc>
        <w:tc>
          <w:tcPr>
            <w:tcW w:w="1559" w:type="dxa"/>
          </w:tcPr>
          <w:p w:rsidRPr="00025F9D" w:rsidR="00850801" w:rsidP="00166233" w:rsidRDefault="00850801" w14:paraId="62E73E17" w14:textId="77777777">
            <w:pPr>
              <w:rPr>
                <w:highlight w:val="green"/>
              </w:rPr>
            </w:pPr>
            <w:r w:rsidRPr="00025F9D">
              <w:rPr>
                <w:rFonts w:ascii="Calibri" w:hAnsi="Calibri" w:cs="Calibri"/>
                <w:color w:val="000000"/>
                <w:highlight w:val="green"/>
              </w:rPr>
              <w:t>5,966667</w:t>
            </w:r>
          </w:p>
        </w:tc>
        <w:tc>
          <w:tcPr>
            <w:tcW w:w="1559" w:type="dxa"/>
          </w:tcPr>
          <w:p w:rsidRPr="00025F9D" w:rsidR="00850801" w:rsidP="00166233" w:rsidRDefault="00850801" w14:paraId="5C45F15D" w14:textId="77777777">
            <w:pPr>
              <w:rPr>
                <w:highlight w:val="green"/>
              </w:rPr>
            </w:pPr>
            <w:r w:rsidRPr="00025F9D">
              <w:rPr>
                <w:rFonts w:ascii="Calibri" w:hAnsi="Calibri" w:cs="Calibri"/>
                <w:color w:val="000000"/>
                <w:highlight w:val="green"/>
              </w:rPr>
              <w:t>53,833333</w:t>
            </w:r>
          </w:p>
        </w:tc>
      </w:tr>
      <w:tr w:rsidRPr="00025F9D" w:rsidR="00850801" w:rsidTr="00166233" w14:paraId="49F776AB" w14:textId="77777777">
        <w:tc>
          <w:tcPr>
            <w:tcW w:w="988" w:type="dxa"/>
          </w:tcPr>
          <w:p w:rsidRPr="00025F9D" w:rsidR="00850801" w:rsidP="00166233" w:rsidRDefault="00850801" w14:paraId="548F92A6" w14:textId="77777777">
            <w:pPr>
              <w:rPr>
                <w:highlight w:val="green"/>
              </w:rPr>
            </w:pPr>
            <w:r w:rsidRPr="00025F9D">
              <w:rPr>
                <w:highlight w:val="green"/>
              </w:rPr>
              <w:t>14</w:t>
            </w:r>
          </w:p>
        </w:tc>
        <w:tc>
          <w:tcPr>
            <w:tcW w:w="1559" w:type="dxa"/>
          </w:tcPr>
          <w:p w:rsidRPr="00025F9D" w:rsidR="00850801" w:rsidP="00166233" w:rsidRDefault="00850801" w14:paraId="22F9BAEF" w14:textId="77777777">
            <w:pPr>
              <w:rPr>
                <w:highlight w:val="green"/>
              </w:rPr>
            </w:pPr>
            <w:r w:rsidRPr="00025F9D">
              <w:rPr>
                <w:rFonts w:ascii="Calibri" w:hAnsi="Calibri" w:cs="Calibri"/>
                <w:color w:val="000000"/>
                <w:highlight w:val="green"/>
              </w:rPr>
              <w:t>6,000000</w:t>
            </w:r>
          </w:p>
        </w:tc>
        <w:tc>
          <w:tcPr>
            <w:tcW w:w="1559" w:type="dxa"/>
          </w:tcPr>
          <w:p w:rsidRPr="00025F9D" w:rsidR="00850801" w:rsidP="00166233" w:rsidRDefault="00850801" w14:paraId="61851806" w14:textId="77777777">
            <w:pPr>
              <w:rPr>
                <w:highlight w:val="green"/>
              </w:rPr>
            </w:pPr>
            <w:r w:rsidRPr="00025F9D">
              <w:rPr>
                <w:rFonts w:ascii="Calibri" w:hAnsi="Calibri" w:cs="Calibri"/>
                <w:color w:val="000000"/>
                <w:highlight w:val="green"/>
              </w:rPr>
              <w:t>53,833333</w:t>
            </w:r>
          </w:p>
        </w:tc>
      </w:tr>
    </w:tbl>
    <w:p w:rsidRPr="00025F9D" w:rsidR="00850801" w:rsidP="00850801" w:rsidRDefault="00850801" w14:paraId="35906BD1" w14:textId="77777777">
      <w:pPr>
        <w:rPr>
          <w:iCs/>
          <w:highlight w:val="green"/>
          <w:lang w:val="nl-NL"/>
        </w:rPr>
      </w:pPr>
      <w:r w:rsidRPr="00025F9D">
        <w:rPr>
          <w:iCs/>
          <w:highlight w:val="green"/>
          <w:lang w:val="nl-NL"/>
        </w:rPr>
        <w:t>Tabel 3. Coördinaten hoekpunten KRM-gebied Borkumse Stenen</w:t>
      </w:r>
    </w:p>
    <w:tbl>
      <w:tblPr>
        <w:tblStyle w:val="TableGrid"/>
        <w:tblW w:w="0" w:type="auto"/>
        <w:tblLook w:val="04A0" w:firstRow="1" w:lastRow="0" w:firstColumn="1" w:lastColumn="0" w:noHBand="0" w:noVBand="1"/>
      </w:tblPr>
      <w:tblGrid>
        <w:gridCol w:w="988"/>
        <w:gridCol w:w="1559"/>
        <w:gridCol w:w="1559"/>
      </w:tblGrid>
      <w:tr w:rsidRPr="00025F9D" w:rsidR="00850801" w:rsidTr="00166233" w14:paraId="1869D645" w14:textId="77777777">
        <w:tc>
          <w:tcPr>
            <w:tcW w:w="988" w:type="dxa"/>
          </w:tcPr>
          <w:p w:rsidRPr="00025F9D" w:rsidR="00850801" w:rsidP="00166233" w:rsidRDefault="00850801" w14:paraId="008507C6" w14:textId="77777777">
            <w:pPr>
              <w:rPr>
                <w:highlight w:val="green"/>
                <w:lang w:val="nl-NL"/>
              </w:rPr>
            </w:pPr>
          </w:p>
          <w:p w:rsidRPr="00025F9D" w:rsidR="00850801" w:rsidP="00166233" w:rsidRDefault="00850801" w14:paraId="0A87D80D" w14:textId="77777777">
            <w:pPr>
              <w:rPr>
                <w:highlight w:val="green"/>
              </w:rPr>
            </w:pPr>
            <w:r w:rsidRPr="00025F9D">
              <w:rPr>
                <w:highlight w:val="green"/>
              </w:rPr>
              <w:t>WGS84</w:t>
            </w:r>
          </w:p>
        </w:tc>
        <w:tc>
          <w:tcPr>
            <w:tcW w:w="1559" w:type="dxa"/>
          </w:tcPr>
          <w:p w:rsidRPr="00025F9D" w:rsidR="00850801" w:rsidP="00166233" w:rsidRDefault="00850801" w14:paraId="18782924" w14:textId="77777777">
            <w:pPr>
              <w:rPr>
                <w:highlight w:val="green"/>
              </w:rPr>
            </w:pPr>
            <w:r w:rsidRPr="00025F9D">
              <w:rPr>
                <w:highlight w:val="green"/>
              </w:rPr>
              <w:t xml:space="preserve">Longitude </w:t>
            </w:r>
          </w:p>
          <w:p w:rsidRPr="00025F9D" w:rsidR="00850801" w:rsidP="00166233" w:rsidRDefault="00850801" w14:paraId="54CF14D1" w14:textId="77777777">
            <w:pPr>
              <w:rPr>
                <w:highlight w:val="green"/>
              </w:rPr>
            </w:pPr>
            <w:r w:rsidRPr="00025F9D">
              <w:rPr>
                <w:highlight w:val="green"/>
              </w:rPr>
              <w:t>(x-coördinaat)</w:t>
            </w:r>
          </w:p>
        </w:tc>
        <w:tc>
          <w:tcPr>
            <w:tcW w:w="1559" w:type="dxa"/>
          </w:tcPr>
          <w:p w:rsidRPr="00025F9D" w:rsidR="00850801" w:rsidP="00166233" w:rsidRDefault="00850801" w14:paraId="275E8A1B" w14:textId="77777777">
            <w:pPr>
              <w:rPr>
                <w:highlight w:val="green"/>
              </w:rPr>
            </w:pPr>
            <w:r w:rsidRPr="00025F9D">
              <w:rPr>
                <w:highlight w:val="green"/>
              </w:rPr>
              <w:t xml:space="preserve">Latitude </w:t>
            </w:r>
          </w:p>
          <w:p w:rsidRPr="00025F9D" w:rsidR="00850801" w:rsidP="00166233" w:rsidRDefault="00850801" w14:paraId="70E4E674" w14:textId="77777777">
            <w:pPr>
              <w:rPr>
                <w:highlight w:val="green"/>
              </w:rPr>
            </w:pPr>
            <w:r w:rsidRPr="00025F9D">
              <w:rPr>
                <w:highlight w:val="green"/>
              </w:rPr>
              <w:t>(y-coördinaat)</w:t>
            </w:r>
          </w:p>
        </w:tc>
      </w:tr>
      <w:tr w:rsidRPr="00025F9D" w:rsidR="00850801" w:rsidTr="00166233" w14:paraId="262C7A56" w14:textId="77777777">
        <w:tc>
          <w:tcPr>
            <w:tcW w:w="988" w:type="dxa"/>
          </w:tcPr>
          <w:p w:rsidRPr="00025F9D" w:rsidR="00850801" w:rsidP="00166233" w:rsidRDefault="00850801" w14:paraId="2F4DDEB9" w14:textId="77777777">
            <w:pPr>
              <w:rPr>
                <w:highlight w:val="green"/>
              </w:rPr>
            </w:pPr>
            <w:r w:rsidRPr="00025F9D">
              <w:rPr>
                <w:highlight w:val="green"/>
              </w:rPr>
              <w:t>1</w:t>
            </w:r>
          </w:p>
        </w:tc>
        <w:tc>
          <w:tcPr>
            <w:tcW w:w="1559" w:type="dxa"/>
          </w:tcPr>
          <w:p w:rsidRPr="00025F9D" w:rsidR="00850801" w:rsidP="00166233" w:rsidRDefault="00850801" w14:paraId="596627E3" w14:textId="77777777">
            <w:pPr>
              <w:rPr>
                <w:highlight w:val="green"/>
              </w:rPr>
            </w:pPr>
            <w:r w:rsidRPr="00025F9D">
              <w:rPr>
                <w:rFonts w:ascii="Calibri" w:hAnsi="Calibri" w:cs="Calibri"/>
                <w:color w:val="000000"/>
                <w:highlight w:val="green"/>
              </w:rPr>
              <w:t>4,032589</w:t>
            </w:r>
          </w:p>
        </w:tc>
        <w:tc>
          <w:tcPr>
            <w:tcW w:w="1559" w:type="dxa"/>
          </w:tcPr>
          <w:p w:rsidRPr="00025F9D" w:rsidR="00850801" w:rsidP="00166233" w:rsidRDefault="00850801" w14:paraId="3F1510A6" w14:textId="77777777">
            <w:pPr>
              <w:rPr>
                <w:highlight w:val="green"/>
              </w:rPr>
            </w:pPr>
            <w:r w:rsidRPr="00025F9D">
              <w:rPr>
                <w:rFonts w:ascii="Calibri" w:hAnsi="Calibri" w:cs="Calibri"/>
                <w:color w:val="000000"/>
                <w:highlight w:val="green"/>
              </w:rPr>
              <w:t>55,219539</w:t>
            </w:r>
          </w:p>
        </w:tc>
      </w:tr>
      <w:tr w:rsidRPr="00025F9D" w:rsidR="00850801" w:rsidTr="00166233" w14:paraId="0ED4770D" w14:textId="77777777">
        <w:tc>
          <w:tcPr>
            <w:tcW w:w="988" w:type="dxa"/>
          </w:tcPr>
          <w:p w:rsidRPr="00025F9D" w:rsidR="00850801" w:rsidP="00166233" w:rsidRDefault="00850801" w14:paraId="135DFA67" w14:textId="77777777">
            <w:pPr>
              <w:rPr>
                <w:highlight w:val="green"/>
              </w:rPr>
            </w:pPr>
            <w:r w:rsidRPr="00025F9D">
              <w:rPr>
                <w:highlight w:val="green"/>
              </w:rPr>
              <w:t>2</w:t>
            </w:r>
          </w:p>
        </w:tc>
        <w:tc>
          <w:tcPr>
            <w:tcW w:w="1559" w:type="dxa"/>
          </w:tcPr>
          <w:p w:rsidRPr="00025F9D" w:rsidR="00850801" w:rsidP="00166233" w:rsidRDefault="00850801" w14:paraId="175C0DFF" w14:textId="77777777">
            <w:pPr>
              <w:rPr>
                <w:highlight w:val="green"/>
              </w:rPr>
            </w:pPr>
            <w:r w:rsidRPr="00025F9D">
              <w:rPr>
                <w:rFonts w:ascii="Calibri" w:hAnsi="Calibri" w:cs="Calibri"/>
                <w:color w:val="000000"/>
                <w:highlight w:val="green"/>
              </w:rPr>
              <w:t>4,085205</w:t>
            </w:r>
          </w:p>
        </w:tc>
        <w:tc>
          <w:tcPr>
            <w:tcW w:w="1559" w:type="dxa"/>
          </w:tcPr>
          <w:p w:rsidRPr="00025F9D" w:rsidR="00850801" w:rsidP="00166233" w:rsidRDefault="00850801" w14:paraId="4191BB8A" w14:textId="77777777">
            <w:pPr>
              <w:rPr>
                <w:highlight w:val="green"/>
              </w:rPr>
            </w:pPr>
            <w:r w:rsidRPr="00025F9D">
              <w:rPr>
                <w:rFonts w:ascii="Calibri" w:hAnsi="Calibri" w:cs="Calibri"/>
                <w:color w:val="000000"/>
                <w:highlight w:val="green"/>
              </w:rPr>
              <w:t>55,192768</w:t>
            </w:r>
          </w:p>
        </w:tc>
      </w:tr>
      <w:tr w:rsidRPr="00025F9D" w:rsidR="00850801" w:rsidTr="00166233" w14:paraId="71E87659" w14:textId="77777777">
        <w:tc>
          <w:tcPr>
            <w:tcW w:w="988" w:type="dxa"/>
          </w:tcPr>
          <w:p w:rsidRPr="00025F9D" w:rsidR="00850801" w:rsidP="00166233" w:rsidRDefault="00850801" w14:paraId="07E7E001" w14:textId="77777777">
            <w:pPr>
              <w:rPr>
                <w:highlight w:val="green"/>
              </w:rPr>
            </w:pPr>
            <w:r w:rsidRPr="00025F9D">
              <w:rPr>
                <w:highlight w:val="green"/>
              </w:rPr>
              <w:t>3</w:t>
            </w:r>
          </w:p>
        </w:tc>
        <w:tc>
          <w:tcPr>
            <w:tcW w:w="1559" w:type="dxa"/>
          </w:tcPr>
          <w:p w:rsidRPr="00025F9D" w:rsidR="00850801" w:rsidP="00166233" w:rsidRDefault="00850801" w14:paraId="65893544" w14:textId="77777777">
            <w:pPr>
              <w:rPr>
                <w:highlight w:val="green"/>
              </w:rPr>
            </w:pPr>
            <w:r w:rsidRPr="00025F9D">
              <w:rPr>
                <w:rFonts w:ascii="Calibri" w:hAnsi="Calibri" w:cs="Calibri"/>
                <w:color w:val="000000"/>
                <w:highlight w:val="green"/>
              </w:rPr>
              <w:t>2,806916</w:t>
            </w:r>
          </w:p>
        </w:tc>
        <w:tc>
          <w:tcPr>
            <w:tcW w:w="1559" w:type="dxa"/>
          </w:tcPr>
          <w:p w:rsidRPr="00025F9D" w:rsidR="00850801" w:rsidP="00166233" w:rsidRDefault="00850801" w14:paraId="5BCD66AA" w14:textId="77777777">
            <w:pPr>
              <w:rPr>
                <w:highlight w:val="green"/>
              </w:rPr>
            </w:pPr>
            <w:r w:rsidRPr="00025F9D">
              <w:rPr>
                <w:rFonts w:ascii="Calibri" w:hAnsi="Calibri" w:cs="Calibri"/>
                <w:color w:val="000000"/>
                <w:highlight w:val="green"/>
              </w:rPr>
              <w:t>54,352975</w:t>
            </w:r>
          </w:p>
        </w:tc>
      </w:tr>
      <w:tr w:rsidRPr="00025F9D" w:rsidR="00850801" w:rsidTr="00166233" w14:paraId="1042DEA9" w14:textId="77777777">
        <w:tc>
          <w:tcPr>
            <w:tcW w:w="988" w:type="dxa"/>
          </w:tcPr>
          <w:p w:rsidRPr="00025F9D" w:rsidR="00850801" w:rsidP="00166233" w:rsidRDefault="00850801" w14:paraId="7E11386D" w14:textId="77777777">
            <w:pPr>
              <w:rPr>
                <w:highlight w:val="green"/>
              </w:rPr>
            </w:pPr>
            <w:r w:rsidRPr="00025F9D">
              <w:rPr>
                <w:highlight w:val="green"/>
              </w:rPr>
              <w:t>4</w:t>
            </w:r>
          </w:p>
        </w:tc>
        <w:tc>
          <w:tcPr>
            <w:tcW w:w="1559" w:type="dxa"/>
          </w:tcPr>
          <w:p w:rsidRPr="00025F9D" w:rsidR="00850801" w:rsidP="00166233" w:rsidRDefault="00850801" w14:paraId="75AEB6CA" w14:textId="77777777">
            <w:pPr>
              <w:rPr>
                <w:highlight w:val="green"/>
              </w:rPr>
            </w:pPr>
            <w:r w:rsidRPr="00025F9D">
              <w:rPr>
                <w:rFonts w:ascii="Calibri" w:hAnsi="Calibri" w:cs="Calibri"/>
                <w:color w:val="000000"/>
                <w:highlight w:val="green"/>
              </w:rPr>
              <w:t>2,762171</w:t>
            </w:r>
          </w:p>
        </w:tc>
        <w:tc>
          <w:tcPr>
            <w:tcW w:w="1559" w:type="dxa"/>
          </w:tcPr>
          <w:p w:rsidRPr="00025F9D" w:rsidR="00850801" w:rsidP="00166233" w:rsidRDefault="00850801" w14:paraId="4AA753B3" w14:textId="77777777">
            <w:pPr>
              <w:rPr>
                <w:highlight w:val="green"/>
              </w:rPr>
            </w:pPr>
            <w:r w:rsidRPr="00025F9D">
              <w:rPr>
                <w:rFonts w:ascii="Calibri" w:hAnsi="Calibri" w:cs="Calibri"/>
                <w:color w:val="000000"/>
                <w:highlight w:val="green"/>
              </w:rPr>
              <w:t>54,378126</w:t>
            </w:r>
          </w:p>
        </w:tc>
      </w:tr>
    </w:tbl>
    <w:p w:rsidRPr="00025F9D" w:rsidR="00850801" w:rsidP="00850801" w:rsidRDefault="00850801" w14:paraId="7064AAB2" w14:textId="77777777">
      <w:pPr>
        <w:rPr>
          <w:iCs/>
          <w:highlight w:val="green"/>
          <w:lang w:val="nl-NL"/>
        </w:rPr>
      </w:pPr>
      <w:r w:rsidRPr="00025F9D">
        <w:rPr>
          <w:iCs/>
          <w:highlight w:val="green"/>
          <w:lang w:val="nl-NL"/>
        </w:rPr>
        <w:t xml:space="preserve">Tabel 4. Coördinaten hoekpunten KRM-gebied Zuidelijke Doggersbank. </w:t>
      </w:r>
    </w:p>
    <w:p w:rsidRPr="00025F9D" w:rsidR="00850801" w:rsidP="00850801" w:rsidRDefault="00850801" w14:paraId="60F55C6F" w14:textId="77777777">
      <w:pPr>
        <w:rPr>
          <w:iCs/>
          <w:highlight w:val="green"/>
          <w:lang w:val="nl-NL"/>
        </w:rPr>
      </w:pPr>
    </w:p>
    <w:tbl>
      <w:tblPr>
        <w:tblStyle w:val="Tabelraster1"/>
        <w:tblW w:w="0" w:type="auto"/>
        <w:tblLook w:val="04A0" w:firstRow="1" w:lastRow="0" w:firstColumn="1" w:lastColumn="0" w:noHBand="0" w:noVBand="1"/>
      </w:tblPr>
      <w:tblGrid>
        <w:gridCol w:w="2260"/>
        <w:gridCol w:w="2168"/>
        <w:gridCol w:w="2132"/>
      </w:tblGrid>
      <w:tr w:rsidRPr="00025F9D" w:rsidR="00850801" w:rsidTr="00166233" w14:paraId="11AAD8D7" w14:textId="77777777">
        <w:trPr>
          <w:trHeight w:val="210"/>
        </w:trPr>
        <w:tc>
          <w:tcPr>
            <w:tcW w:w="2260" w:type="dxa"/>
            <w:hideMark/>
          </w:tcPr>
          <w:p w:rsidRPr="00025F9D" w:rsidR="00850801" w:rsidP="00166233" w:rsidRDefault="00850801" w14:paraId="3FE7EC36" w14:textId="77777777">
            <w:pPr>
              <w:spacing w:line="259" w:lineRule="auto"/>
              <w:jc w:val="both"/>
              <w:rPr>
                <w:rFonts w:cstheme="minorHAnsi"/>
                <w:color w:val="000000"/>
                <w:szCs w:val="18"/>
                <w:highlight w:val="green"/>
              </w:rPr>
            </w:pPr>
            <w:r w:rsidRPr="00025F9D">
              <w:rPr>
                <w:rFonts w:cstheme="minorHAnsi"/>
                <w:color w:val="000000"/>
                <w:szCs w:val="18"/>
                <w:highlight w:val="green"/>
              </w:rPr>
              <w:t>WGS84</w:t>
            </w:r>
          </w:p>
        </w:tc>
        <w:tc>
          <w:tcPr>
            <w:tcW w:w="2168" w:type="dxa"/>
          </w:tcPr>
          <w:p w:rsidRPr="00025F9D" w:rsidR="00850801" w:rsidP="00166233" w:rsidRDefault="00850801" w14:paraId="3F5D9DF2" w14:textId="77777777">
            <w:pPr>
              <w:rPr>
                <w:highlight w:val="green"/>
              </w:rPr>
            </w:pPr>
            <w:r w:rsidRPr="00025F9D">
              <w:rPr>
                <w:highlight w:val="green"/>
              </w:rPr>
              <w:t xml:space="preserve">Longitude </w:t>
            </w:r>
          </w:p>
          <w:p w:rsidRPr="00025F9D" w:rsidR="00850801" w:rsidP="00166233" w:rsidRDefault="00850801" w14:paraId="05812DF3" w14:textId="77777777">
            <w:pPr>
              <w:rPr>
                <w:rFonts w:cstheme="minorHAnsi"/>
                <w:color w:val="000000"/>
                <w:szCs w:val="18"/>
                <w:highlight w:val="green"/>
              </w:rPr>
            </w:pPr>
            <w:r w:rsidRPr="00025F9D">
              <w:rPr>
                <w:highlight w:val="green"/>
              </w:rPr>
              <w:t>(x-coördinaat)</w:t>
            </w:r>
          </w:p>
        </w:tc>
        <w:tc>
          <w:tcPr>
            <w:tcW w:w="2132" w:type="dxa"/>
            <w:hideMark/>
          </w:tcPr>
          <w:p w:rsidRPr="00025F9D" w:rsidR="00850801" w:rsidP="00166233" w:rsidRDefault="00850801" w14:paraId="47CC7F5F" w14:textId="77777777">
            <w:pPr>
              <w:rPr>
                <w:highlight w:val="green"/>
              </w:rPr>
            </w:pPr>
            <w:r w:rsidRPr="00025F9D">
              <w:rPr>
                <w:highlight w:val="green"/>
              </w:rPr>
              <w:t xml:space="preserve">Latitude </w:t>
            </w:r>
          </w:p>
          <w:p w:rsidRPr="00025F9D" w:rsidR="00850801" w:rsidP="00166233" w:rsidRDefault="00850801" w14:paraId="0B3F2CEB" w14:textId="77777777">
            <w:pPr>
              <w:spacing w:line="259" w:lineRule="auto"/>
              <w:rPr>
                <w:rFonts w:cstheme="minorHAnsi"/>
                <w:color w:val="000000"/>
                <w:szCs w:val="18"/>
                <w:highlight w:val="green"/>
              </w:rPr>
            </w:pPr>
            <w:r w:rsidRPr="00025F9D">
              <w:rPr>
                <w:highlight w:val="green"/>
              </w:rPr>
              <w:t>(y-coördinaat)</w:t>
            </w:r>
          </w:p>
        </w:tc>
      </w:tr>
      <w:tr w:rsidRPr="00025F9D" w:rsidR="00850801" w:rsidTr="00166233" w14:paraId="17DEC2DC" w14:textId="77777777">
        <w:trPr>
          <w:trHeight w:val="195"/>
        </w:trPr>
        <w:tc>
          <w:tcPr>
            <w:tcW w:w="2260" w:type="dxa"/>
            <w:hideMark/>
          </w:tcPr>
          <w:p w:rsidRPr="00025F9D" w:rsidR="00850801" w:rsidP="00166233" w:rsidRDefault="00850801" w14:paraId="624D5CB0" w14:textId="77777777">
            <w:pPr>
              <w:spacing w:line="259" w:lineRule="auto"/>
              <w:rPr>
                <w:rFonts w:cstheme="minorHAnsi"/>
                <w:color w:val="000000"/>
                <w:szCs w:val="18"/>
                <w:highlight w:val="green"/>
              </w:rPr>
            </w:pPr>
            <w:r w:rsidRPr="00025F9D">
              <w:rPr>
                <w:rFonts w:cstheme="minorHAnsi"/>
                <w:color w:val="000000"/>
                <w:szCs w:val="18"/>
                <w:highlight w:val="green"/>
              </w:rPr>
              <w:t>A1</w:t>
            </w:r>
          </w:p>
        </w:tc>
        <w:tc>
          <w:tcPr>
            <w:tcW w:w="2168" w:type="dxa"/>
          </w:tcPr>
          <w:p w:rsidRPr="00025F9D" w:rsidR="00850801" w:rsidP="00166233" w:rsidRDefault="00850801" w14:paraId="4CE9A8B3" w14:textId="77777777">
            <w:pPr>
              <w:rPr>
                <w:rFonts w:cstheme="minorHAnsi"/>
                <w:color w:val="000000"/>
                <w:szCs w:val="18"/>
                <w:highlight w:val="green"/>
              </w:rPr>
            </w:pPr>
            <w:r w:rsidRPr="00025F9D">
              <w:rPr>
                <w:rFonts w:cstheme="minorHAnsi"/>
                <w:color w:val="000000"/>
                <w:szCs w:val="18"/>
                <w:highlight w:val="green"/>
              </w:rPr>
              <w:t>4.265858</w:t>
            </w:r>
          </w:p>
        </w:tc>
        <w:tc>
          <w:tcPr>
            <w:tcW w:w="2132" w:type="dxa"/>
            <w:hideMark/>
          </w:tcPr>
          <w:p w:rsidRPr="00025F9D" w:rsidR="00850801" w:rsidP="00166233" w:rsidRDefault="00850801" w14:paraId="3AF9AFEC" w14:textId="77777777">
            <w:pPr>
              <w:spacing w:line="259" w:lineRule="auto"/>
              <w:rPr>
                <w:rFonts w:cstheme="minorHAnsi"/>
                <w:color w:val="000000"/>
                <w:szCs w:val="18"/>
                <w:highlight w:val="green"/>
              </w:rPr>
            </w:pPr>
            <w:r w:rsidRPr="00025F9D">
              <w:rPr>
                <w:rFonts w:cstheme="minorHAnsi"/>
                <w:color w:val="000000"/>
                <w:szCs w:val="18"/>
                <w:highlight w:val="green"/>
              </w:rPr>
              <w:t>53.730508</w:t>
            </w:r>
          </w:p>
        </w:tc>
      </w:tr>
      <w:tr w:rsidRPr="00025F9D" w:rsidR="00850801" w:rsidTr="00166233" w14:paraId="79E22EB3" w14:textId="77777777">
        <w:trPr>
          <w:trHeight w:val="195"/>
        </w:trPr>
        <w:tc>
          <w:tcPr>
            <w:tcW w:w="2260" w:type="dxa"/>
            <w:hideMark/>
          </w:tcPr>
          <w:p w:rsidRPr="00025F9D" w:rsidR="00850801" w:rsidP="00166233" w:rsidRDefault="00850801" w14:paraId="57E62865" w14:textId="77777777">
            <w:pPr>
              <w:spacing w:line="259" w:lineRule="auto"/>
              <w:rPr>
                <w:rFonts w:cstheme="minorHAnsi"/>
                <w:color w:val="000000"/>
                <w:szCs w:val="18"/>
                <w:highlight w:val="green"/>
              </w:rPr>
            </w:pPr>
            <w:r w:rsidRPr="00025F9D">
              <w:rPr>
                <w:rFonts w:cstheme="minorHAnsi"/>
                <w:color w:val="000000"/>
                <w:szCs w:val="18"/>
                <w:highlight w:val="green"/>
              </w:rPr>
              <w:t>A2</w:t>
            </w:r>
          </w:p>
        </w:tc>
        <w:tc>
          <w:tcPr>
            <w:tcW w:w="2168" w:type="dxa"/>
          </w:tcPr>
          <w:p w:rsidRPr="00025F9D" w:rsidR="00850801" w:rsidP="00166233" w:rsidRDefault="00850801" w14:paraId="33A8868E" w14:textId="77777777">
            <w:pPr>
              <w:rPr>
                <w:rFonts w:cstheme="minorHAnsi"/>
                <w:color w:val="000000"/>
                <w:szCs w:val="18"/>
                <w:highlight w:val="green"/>
              </w:rPr>
            </w:pPr>
            <w:r w:rsidRPr="00025F9D">
              <w:rPr>
                <w:rFonts w:cstheme="minorHAnsi"/>
                <w:color w:val="000000"/>
                <w:szCs w:val="18"/>
                <w:highlight w:val="green"/>
              </w:rPr>
              <w:t>4.267768</w:t>
            </w:r>
          </w:p>
        </w:tc>
        <w:tc>
          <w:tcPr>
            <w:tcW w:w="2132" w:type="dxa"/>
            <w:hideMark/>
          </w:tcPr>
          <w:p w:rsidRPr="00025F9D" w:rsidR="00850801" w:rsidP="00166233" w:rsidRDefault="00850801" w14:paraId="633EC396" w14:textId="77777777">
            <w:pPr>
              <w:spacing w:line="259" w:lineRule="auto"/>
              <w:rPr>
                <w:rFonts w:cstheme="minorHAnsi"/>
                <w:color w:val="000000"/>
                <w:szCs w:val="18"/>
                <w:highlight w:val="green"/>
              </w:rPr>
            </w:pPr>
            <w:r w:rsidRPr="00025F9D">
              <w:rPr>
                <w:rFonts w:cstheme="minorHAnsi"/>
                <w:color w:val="000000"/>
                <w:szCs w:val="18"/>
                <w:highlight w:val="green"/>
              </w:rPr>
              <w:t>53.793970</w:t>
            </w:r>
          </w:p>
        </w:tc>
      </w:tr>
      <w:tr w:rsidRPr="00025F9D" w:rsidR="00850801" w:rsidTr="00166233" w14:paraId="47180775" w14:textId="77777777">
        <w:trPr>
          <w:trHeight w:val="210"/>
        </w:trPr>
        <w:tc>
          <w:tcPr>
            <w:tcW w:w="2260" w:type="dxa"/>
            <w:hideMark/>
          </w:tcPr>
          <w:p w:rsidRPr="00025F9D" w:rsidR="00850801" w:rsidP="00166233" w:rsidRDefault="00850801" w14:paraId="752687BA" w14:textId="77777777">
            <w:pPr>
              <w:spacing w:line="259" w:lineRule="auto"/>
              <w:rPr>
                <w:rFonts w:cstheme="minorHAnsi"/>
                <w:color w:val="000000"/>
                <w:szCs w:val="18"/>
                <w:highlight w:val="green"/>
              </w:rPr>
            </w:pPr>
            <w:r w:rsidRPr="00025F9D">
              <w:rPr>
                <w:rFonts w:cstheme="minorHAnsi"/>
                <w:color w:val="000000"/>
                <w:szCs w:val="18"/>
                <w:highlight w:val="green"/>
              </w:rPr>
              <w:t>A3</w:t>
            </w:r>
          </w:p>
        </w:tc>
        <w:tc>
          <w:tcPr>
            <w:tcW w:w="2168" w:type="dxa"/>
          </w:tcPr>
          <w:p w:rsidRPr="00025F9D" w:rsidR="00850801" w:rsidP="00166233" w:rsidRDefault="00850801" w14:paraId="6231F0C4" w14:textId="77777777">
            <w:pPr>
              <w:rPr>
                <w:rFonts w:cstheme="minorHAnsi"/>
                <w:color w:val="000000"/>
                <w:szCs w:val="18"/>
                <w:highlight w:val="green"/>
              </w:rPr>
            </w:pPr>
            <w:r w:rsidRPr="00025F9D">
              <w:rPr>
                <w:rFonts w:cstheme="minorHAnsi"/>
                <w:color w:val="000000"/>
                <w:szCs w:val="18"/>
                <w:highlight w:val="green"/>
              </w:rPr>
              <w:t>4.375225</w:t>
            </w:r>
          </w:p>
        </w:tc>
        <w:tc>
          <w:tcPr>
            <w:tcW w:w="2132" w:type="dxa"/>
            <w:hideMark/>
          </w:tcPr>
          <w:p w:rsidRPr="00025F9D" w:rsidR="00850801" w:rsidP="00166233" w:rsidRDefault="00850801" w14:paraId="30EE7555" w14:textId="77777777">
            <w:pPr>
              <w:spacing w:line="259" w:lineRule="auto"/>
              <w:rPr>
                <w:rFonts w:cstheme="minorHAnsi"/>
                <w:color w:val="000000"/>
                <w:szCs w:val="18"/>
                <w:highlight w:val="green"/>
              </w:rPr>
            </w:pPr>
            <w:r w:rsidRPr="00025F9D">
              <w:rPr>
                <w:rFonts w:cstheme="minorHAnsi"/>
                <w:color w:val="000000"/>
                <w:szCs w:val="18"/>
                <w:highlight w:val="green"/>
              </w:rPr>
              <w:t>53.792786</w:t>
            </w:r>
          </w:p>
        </w:tc>
      </w:tr>
      <w:tr w:rsidRPr="00025F9D" w:rsidR="00850801" w:rsidTr="00166233" w14:paraId="513424D8" w14:textId="77777777">
        <w:trPr>
          <w:trHeight w:val="195"/>
        </w:trPr>
        <w:tc>
          <w:tcPr>
            <w:tcW w:w="2260" w:type="dxa"/>
            <w:hideMark/>
          </w:tcPr>
          <w:p w:rsidRPr="00025F9D" w:rsidR="00850801" w:rsidP="00166233" w:rsidRDefault="00850801" w14:paraId="7FE2FB93" w14:textId="77777777">
            <w:pPr>
              <w:spacing w:line="259" w:lineRule="auto"/>
              <w:rPr>
                <w:rFonts w:cstheme="minorHAnsi"/>
                <w:color w:val="000000"/>
                <w:szCs w:val="18"/>
                <w:highlight w:val="green"/>
              </w:rPr>
            </w:pPr>
            <w:r w:rsidRPr="00025F9D">
              <w:rPr>
                <w:rFonts w:cstheme="minorHAnsi"/>
                <w:color w:val="000000"/>
                <w:szCs w:val="18"/>
                <w:highlight w:val="green"/>
              </w:rPr>
              <w:t>A4</w:t>
            </w:r>
          </w:p>
        </w:tc>
        <w:tc>
          <w:tcPr>
            <w:tcW w:w="2168" w:type="dxa"/>
          </w:tcPr>
          <w:p w:rsidRPr="00025F9D" w:rsidR="00850801" w:rsidP="00166233" w:rsidRDefault="00850801" w14:paraId="41DA4212" w14:textId="77777777">
            <w:pPr>
              <w:rPr>
                <w:rFonts w:cstheme="minorHAnsi"/>
                <w:color w:val="000000"/>
                <w:szCs w:val="18"/>
                <w:highlight w:val="green"/>
              </w:rPr>
            </w:pPr>
            <w:r w:rsidRPr="00025F9D">
              <w:rPr>
                <w:rFonts w:cstheme="minorHAnsi"/>
                <w:color w:val="000000"/>
                <w:szCs w:val="18"/>
                <w:highlight w:val="green"/>
              </w:rPr>
              <w:t>4.373153</w:t>
            </w:r>
          </w:p>
        </w:tc>
        <w:tc>
          <w:tcPr>
            <w:tcW w:w="2132" w:type="dxa"/>
            <w:hideMark/>
          </w:tcPr>
          <w:p w:rsidRPr="00025F9D" w:rsidR="00850801" w:rsidP="00166233" w:rsidRDefault="00850801" w14:paraId="6D257631" w14:textId="77777777">
            <w:pPr>
              <w:spacing w:line="259" w:lineRule="auto"/>
              <w:rPr>
                <w:rFonts w:cstheme="minorHAnsi"/>
                <w:color w:val="000000"/>
                <w:szCs w:val="18"/>
                <w:highlight w:val="green"/>
              </w:rPr>
            </w:pPr>
            <w:r w:rsidRPr="00025F9D">
              <w:rPr>
                <w:rFonts w:cstheme="minorHAnsi"/>
                <w:color w:val="000000"/>
                <w:szCs w:val="18"/>
                <w:highlight w:val="green"/>
              </w:rPr>
              <w:t>53.729327</w:t>
            </w:r>
          </w:p>
        </w:tc>
      </w:tr>
      <w:tr w:rsidRPr="00025F9D" w:rsidR="00850801" w:rsidTr="00166233" w14:paraId="5F06C56B" w14:textId="77777777">
        <w:trPr>
          <w:trHeight w:val="195"/>
        </w:trPr>
        <w:tc>
          <w:tcPr>
            <w:tcW w:w="2260" w:type="dxa"/>
            <w:hideMark/>
          </w:tcPr>
          <w:p w:rsidRPr="00025F9D" w:rsidR="00850801" w:rsidP="00166233" w:rsidRDefault="00850801" w14:paraId="587653CD" w14:textId="77777777">
            <w:pPr>
              <w:spacing w:line="259" w:lineRule="auto"/>
              <w:rPr>
                <w:rFonts w:cstheme="minorHAnsi"/>
                <w:color w:val="000000"/>
                <w:szCs w:val="18"/>
                <w:highlight w:val="green"/>
              </w:rPr>
            </w:pPr>
            <w:r w:rsidRPr="00025F9D">
              <w:rPr>
                <w:rFonts w:cstheme="minorHAnsi"/>
                <w:color w:val="000000"/>
                <w:szCs w:val="18"/>
                <w:highlight w:val="green"/>
              </w:rPr>
              <w:t>A5</w:t>
            </w:r>
          </w:p>
        </w:tc>
        <w:tc>
          <w:tcPr>
            <w:tcW w:w="2168" w:type="dxa"/>
          </w:tcPr>
          <w:p w:rsidRPr="00025F9D" w:rsidR="00850801" w:rsidP="00166233" w:rsidRDefault="00850801" w14:paraId="4E79B770" w14:textId="77777777">
            <w:pPr>
              <w:rPr>
                <w:rFonts w:cstheme="minorHAnsi"/>
                <w:color w:val="000000"/>
                <w:szCs w:val="18"/>
                <w:highlight w:val="green"/>
              </w:rPr>
            </w:pPr>
            <w:r w:rsidRPr="00025F9D">
              <w:rPr>
                <w:rFonts w:cstheme="minorHAnsi"/>
                <w:color w:val="000000"/>
                <w:szCs w:val="18"/>
                <w:highlight w:val="green"/>
              </w:rPr>
              <w:t>4.265858</w:t>
            </w:r>
          </w:p>
        </w:tc>
        <w:tc>
          <w:tcPr>
            <w:tcW w:w="2132" w:type="dxa"/>
            <w:hideMark/>
          </w:tcPr>
          <w:p w:rsidRPr="00025F9D" w:rsidR="00850801" w:rsidP="00166233" w:rsidRDefault="00850801" w14:paraId="2E7F26F8" w14:textId="77777777">
            <w:pPr>
              <w:spacing w:line="259" w:lineRule="auto"/>
              <w:rPr>
                <w:rFonts w:cstheme="minorHAnsi"/>
                <w:color w:val="000000"/>
                <w:szCs w:val="18"/>
                <w:highlight w:val="green"/>
              </w:rPr>
            </w:pPr>
            <w:r w:rsidRPr="00025F9D">
              <w:rPr>
                <w:rFonts w:cstheme="minorHAnsi"/>
                <w:color w:val="000000"/>
                <w:szCs w:val="18"/>
                <w:highlight w:val="green"/>
              </w:rPr>
              <w:t>53.730508</w:t>
            </w:r>
          </w:p>
        </w:tc>
      </w:tr>
    </w:tbl>
    <w:p w:rsidRPr="00025F9D" w:rsidR="00850801" w:rsidP="00850801" w:rsidRDefault="00850801" w14:paraId="21D08518" w14:textId="77777777">
      <w:pPr>
        <w:spacing w:after="0"/>
        <w:rPr>
          <w:color w:val="000000"/>
          <w:szCs w:val="18"/>
          <w:highlight w:val="green"/>
          <w:lang w:val="nl-NL"/>
        </w:rPr>
      </w:pPr>
      <w:r w:rsidRPr="00025F9D">
        <w:rPr>
          <w:color w:val="000000"/>
          <w:szCs w:val="18"/>
          <w:highlight w:val="green"/>
          <w:lang w:val="nl-NL"/>
        </w:rPr>
        <w:t>Tabel 5. Coördinaten oesterherstelgebied A</w:t>
      </w:r>
    </w:p>
    <w:p w:rsidRPr="00025F9D" w:rsidR="00850801" w:rsidP="00850801" w:rsidRDefault="00850801" w14:paraId="578EC0C9" w14:textId="77777777">
      <w:pPr>
        <w:spacing w:after="0"/>
        <w:rPr>
          <w:rFonts w:asciiTheme="minorHAnsi" w:hAnsiTheme="minorHAnsi" w:cstheme="minorHAnsi"/>
          <w:color w:val="000000"/>
          <w:szCs w:val="18"/>
          <w:highlight w:val="green"/>
        </w:rPr>
      </w:pPr>
    </w:p>
    <w:tbl>
      <w:tblPr>
        <w:tblStyle w:val="Tabelraster1"/>
        <w:tblW w:w="0" w:type="auto"/>
        <w:tblLook w:val="04A0" w:firstRow="1" w:lastRow="0" w:firstColumn="1" w:lastColumn="0" w:noHBand="0" w:noVBand="1"/>
      </w:tblPr>
      <w:tblGrid>
        <w:gridCol w:w="2260"/>
        <w:gridCol w:w="2168"/>
        <w:gridCol w:w="2132"/>
      </w:tblGrid>
      <w:tr w:rsidRPr="00025F9D" w:rsidR="00850801" w:rsidTr="00166233" w14:paraId="7AF94B3C" w14:textId="77777777">
        <w:trPr>
          <w:trHeight w:val="210"/>
        </w:trPr>
        <w:tc>
          <w:tcPr>
            <w:tcW w:w="2260" w:type="dxa"/>
            <w:hideMark/>
          </w:tcPr>
          <w:p w:rsidRPr="00025F9D" w:rsidR="00850801" w:rsidP="00166233" w:rsidRDefault="00850801" w14:paraId="1A86BB69" w14:textId="77777777">
            <w:pPr>
              <w:spacing w:line="259" w:lineRule="auto"/>
              <w:rPr>
                <w:rFonts w:cstheme="minorHAnsi"/>
                <w:color w:val="000000"/>
                <w:szCs w:val="18"/>
                <w:highlight w:val="green"/>
              </w:rPr>
            </w:pPr>
            <w:r w:rsidRPr="00025F9D">
              <w:rPr>
                <w:rFonts w:cstheme="minorHAnsi"/>
                <w:color w:val="000000"/>
                <w:szCs w:val="18"/>
                <w:highlight w:val="green"/>
              </w:rPr>
              <w:t>WGS84</w:t>
            </w:r>
          </w:p>
        </w:tc>
        <w:tc>
          <w:tcPr>
            <w:tcW w:w="2168" w:type="dxa"/>
          </w:tcPr>
          <w:p w:rsidRPr="00025F9D" w:rsidR="00850801" w:rsidP="00166233" w:rsidRDefault="00850801" w14:paraId="3DD05D32" w14:textId="77777777">
            <w:pPr>
              <w:rPr>
                <w:highlight w:val="green"/>
              </w:rPr>
            </w:pPr>
            <w:r w:rsidRPr="00025F9D">
              <w:rPr>
                <w:highlight w:val="green"/>
              </w:rPr>
              <w:t xml:space="preserve">Longitude </w:t>
            </w:r>
          </w:p>
          <w:p w:rsidRPr="00025F9D" w:rsidR="00850801" w:rsidP="00166233" w:rsidRDefault="00850801" w14:paraId="7D942DE3" w14:textId="77777777">
            <w:pPr>
              <w:rPr>
                <w:rFonts w:cstheme="minorHAnsi"/>
                <w:color w:val="000000"/>
                <w:szCs w:val="18"/>
                <w:highlight w:val="green"/>
              </w:rPr>
            </w:pPr>
            <w:r w:rsidRPr="00025F9D">
              <w:rPr>
                <w:highlight w:val="green"/>
              </w:rPr>
              <w:t>(x-coördinaat)</w:t>
            </w:r>
          </w:p>
        </w:tc>
        <w:tc>
          <w:tcPr>
            <w:tcW w:w="2132" w:type="dxa"/>
            <w:hideMark/>
          </w:tcPr>
          <w:p w:rsidRPr="00025F9D" w:rsidR="00850801" w:rsidP="00166233" w:rsidRDefault="00850801" w14:paraId="38B15ECB" w14:textId="77777777">
            <w:pPr>
              <w:rPr>
                <w:highlight w:val="green"/>
              </w:rPr>
            </w:pPr>
            <w:r w:rsidRPr="00025F9D">
              <w:rPr>
                <w:highlight w:val="green"/>
              </w:rPr>
              <w:t xml:space="preserve">Latitude </w:t>
            </w:r>
          </w:p>
          <w:p w:rsidRPr="00025F9D" w:rsidR="00850801" w:rsidP="00166233" w:rsidRDefault="00850801" w14:paraId="078E5902" w14:textId="77777777">
            <w:pPr>
              <w:spacing w:line="259" w:lineRule="auto"/>
              <w:rPr>
                <w:rFonts w:cstheme="minorHAnsi"/>
                <w:color w:val="000000"/>
                <w:szCs w:val="18"/>
                <w:highlight w:val="green"/>
              </w:rPr>
            </w:pPr>
            <w:r w:rsidRPr="00025F9D">
              <w:rPr>
                <w:highlight w:val="green"/>
              </w:rPr>
              <w:t>(y-coördinaat)</w:t>
            </w:r>
          </w:p>
        </w:tc>
      </w:tr>
      <w:tr w:rsidRPr="00025F9D" w:rsidR="00850801" w:rsidTr="00166233" w14:paraId="74614FF6" w14:textId="77777777">
        <w:trPr>
          <w:trHeight w:val="195"/>
        </w:trPr>
        <w:tc>
          <w:tcPr>
            <w:tcW w:w="2260" w:type="dxa"/>
            <w:hideMark/>
          </w:tcPr>
          <w:p w:rsidRPr="00025F9D" w:rsidR="00850801" w:rsidP="00166233" w:rsidRDefault="00850801" w14:paraId="48C82EC3" w14:textId="77777777">
            <w:pPr>
              <w:spacing w:line="259" w:lineRule="auto"/>
              <w:rPr>
                <w:rFonts w:cstheme="minorHAnsi"/>
                <w:color w:val="000000"/>
                <w:szCs w:val="18"/>
                <w:highlight w:val="green"/>
              </w:rPr>
            </w:pPr>
            <w:r w:rsidRPr="00025F9D">
              <w:rPr>
                <w:rFonts w:cstheme="minorHAnsi"/>
                <w:color w:val="000000"/>
                <w:szCs w:val="18"/>
                <w:highlight w:val="green"/>
              </w:rPr>
              <w:t>B1</w:t>
            </w:r>
          </w:p>
        </w:tc>
        <w:tc>
          <w:tcPr>
            <w:tcW w:w="2168" w:type="dxa"/>
          </w:tcPr>
          <w:p w:rsidRPr="00025F9D" w:rsidR="00850801" w:rsidP="00166233" w:rsidRDefault="00850801" w14:paraId="42B6D352" w14:textId="77777777">
            <w:pPr>
              <w:rPr>
                <w:rFonts w:cstheme="minorHAnsi"/>
                <w:color w:val="000000"/>
                <w:szCs w:val="18"/>
                <w:highlight w:val="green"/>
              </w:rPr>
            </w:pPr>
            <w:r w:rsidRPr="00025F9D">
              <w:rPr>
                <w:rFonts w:cstheme="minorHAnsi"/>
                <w:color w:val="000000"/>
                <w:szCs w:val="18"/>
                <w:highlight w:val="green"/>
              </w:rPr>
              <w:t>5,119552</w:t>
            </w:r>
          </w:p>
        </w:tc>
        <w:tc>
          <w:tcPr>
            <w:tcW w:w="2132" w:type="dxa"/>
            <w:hideMark/>
          </w:tcPr>
          <w:p w:rsidRPr="00025F9D" w:rsidR="00850801" w:rsidP="00166233" w:rsidRDefault="00850801" w14:paraId="7AD5BA84" w14:textId="77777777">
            <w:pPr>
              <w:spacing w:line="259" w:lineRule="auto"/>
              <w:rPr>
                <w:rFonts w:cstheme="minorHAnsi"/>
                <w:color w:val="000000"/>
                <w:szCs w:val="18"/>
                <w:highlight w:val="green"/>
              </w:rPr>
            </w:pPr>
            <w:r w:rsidRPr="00025F9D">
              <w:rPr>
                <w:rFonts w:cstheme="minorHAnsi"/>
                <w:color w:val="000000"/>
                <w:szCs w:val="18"/>
                <w:highlight w:val="green"/>
              </w:rPr>
              <w:t>53,848885</w:t>
            </w:r>
          </w:p>
        </w:tc>
      </w:tr>
      <w:tr w:rsidRPr="00025F9D" w:rsidR="00850801" w:rsidTr="00166233" w14:paraId="54355143" w14:textId="77777777">
        <w:trPr>
          <w:trHeight w:val="210"/>
        </w:trPr>
        <w:tc>
          <w:tcPr>
            <w:tcW w:w="2260" w:type="dxa"/>
          </w:tcPr>
          <w:p w:rsidRPr="00025F9D" w:rsidR="00850801" w:rsidP="00166233" w:rsidRDefault="00850801" w14:paraId="544593DE" w14:textId="77777777">
            <w:pPr>
              <w:spacing w:line="259" w:lineRule="auto"/>
              <w:rPr>
                <w:rFonts w:cstheme="minorHAnsi"/>
                <w:color w:val="000000"/>
                <w:szCs w:val="18"/>
                <w:highlight w:val="green"/>
              </w:rPr>
            </w:pPr>
            <w:r w:rsidRPr="00025F9D">
              <w:rPr>
                <w:rFonts w:cstheme="minorHAnsi"/>
                <w:color w:val="000000"/>
                <w:szCs w:val="18"/>
                <w:highlight w:val="green"/>
              </w:rPr>
              <w:t>B2</w:t>
            </w:r>
          </w:p>
        </w:tc>
        <w:tc>
          <w:tcPr>
            <w:tcW w:w="2168" w:type="dxa"/>
          </w:tcPr>
          <w:p w:rsidRPr="00025F9D" w:rsidR="00850801" w:rsidP="00166233" w:rsidRDefault="00850801" w14:paraId="0C467D19" w14:textId="77777777">
            <w:pPr>
              <w:rPr>
                <w:rFonts w:cstheme="minorHAnsi"/>
                <w:color w:val="000000"/>
                <w:szCs w:val="18"/>
                <w:highlight w:val="green"/>
              </w:rPr>
            </w:pPr>
            <w:r w:rsidRPr="00025F9D">
              <w:rPr>
                <w:rFonts w:cstheme="minorHAnsi"/>
                <w:color w:val="000000"/>
                <w:szCs w:val="18"/>
                <w:highlight w:val="green"/>
              </w:rPr>
              <w:t>5,120697</w:t>
            </w:r>
          </w:p>
        </w:tc>
        <w:tc>
          <w:tcPr>
            <w:tcW w:w="2132" w:type="dxa"/>
            <w:hideMark/>
          </w:tcPr>
          <w:p w:rsidRPr="00025F9D" w:rsidR="00850801" w:rsidP="00166233" w:rsidRDefault="00850801" w14:paraId="0739EC92" w14:textId="77777777">
            <w:pPr>
              <w:spacing w:line="259" w:lineRule="auto"/>
              <w:rPr>
                <w:rFonts w:cstheme="minorHAnsi"/>
                <w:color w:val="000000"/>
                <w:szCs w:val="18"/>
                <w:highlight w:val="green"/>
              </w:rPr>
            </w:pPr>
            <w:r w:rsidRPr="00025F9D">
              <w:rPr>
                <w:rFonts w:cstheme="minorHAnsi"/>
                <w:color w:val="000000"/>
                <w:szCs w:val="18"/>
                <w:highlight w:val="green"/>
              </w:rPr>
              <w:t>53,912326</w:t>
            </w:r>
          </w:p>
        </w:tc>
      </w:tr>
      <w:tr w:rsidRPr="00025F9D" w:rsidR="00850801" w:rsidTr="00166233" w14:paraId="48089027" w14:textId="77777777">
        <w:trPr>
          <w:trHeight w:val="195"/>
        </w:trPr>
        <w:tc>
          <w:tcPr>
            <w:tcW w:w="2260" w:type="dxa"/>
          </w:tcPr>
          <w:p w:rsidRPr="00025F9D" w:rsidR="00850801" w:rsidP="00166233" w:rsidRDefault="00850801" w14:paraId="1C7B6856" w14:textId="77777777">
            <w:pPr>
              <w:spacing w:line="259" w:lineRule="auto"/>
              <w:rPr>
                <w:rFonts w:cstheme="minorHAnsi"/>
                <w:color w:val="000000"/>
                <w:szCs w:val="18"/>
                <w:highlight w:val="green"/>
              </w:rPr>
            </w:pPr>
            <w:r w:rsidRPr="00025F9D">
              <w:rPr>
                <w:rFonts w:cstheme="minorHAnsi"/>
                <w:color w:val="000000"/>
                <w:szCs w:val="18"/>
                <w:highlight w:val="green"/>
              </w:rPr>
              <w:t>B3</w:t>
            </w:r>
          </w:p>
        </w:tc>
        <w:tc>
          <w:tcPr>
            <w:tcW w:w="2168" w:type="dxa"/>
          </w:tcPr>
          <w:p w:rsidRPr="00025F9D" w:rsidR="00850801" w:rsidP="00166233" w:rsidRDefault="00850801" w14:paraId="455E5B6C" w14:textId="77777777">
            <w:pPr>
              <w:rPr>
                <w:rFonts w:cstheme="minorHAnsi"/>
                <w:color w:val="000000"/>
                <w:szCs w:val="18"/>
                <w:highlight w:val="green"/>
              </w:rPr>
            </w:pPr>
            <w:r w:rsidRPr="00025F9D">
              <w:rPr>
                <w:rFonts w:cstheme="minorHAnsi"/>
                <w:color w:val="000000"/>
                <w:szCs w:val="18"/>
                <w:highlight w:val="green"/>
              </w:rPr>
              <w:t>5,228460</w:t>
            </w:r>
          </w:p>
        </w:tc>
        <w:tc>
          <w:tcPr>
            <w:tcW w:w="2132" w:type="dxa"/>
            <w:hideMark/>
          </w:tcPr>
          <w:p w:rsidRPr="00025F9D" w:rsidR="00850801" w:rsidP="00166233" w:rsidRDefault="00850801" w14:paraId="4FE61035" w14:textId="77777777">
            <w:pPr>
              <w:spacing w:line="259" w:lineRule="auto"/>
              <w:rPr>
                <w:rFonts w:cstheme="minorHAnsi"/>
                <w:color w:val="000000"/>
                <w:szCs w:val="18"/>
                <w:highlight w:val="green"/>
              </w:rPr>
            </w:pPr>
            <w:r w:rsidRPr="00025F9D">
              <w:rPr>
                <w:rFonts w:cstheme="minorHAnsi"/>
                <w:color w:val="000000"/>
                <w:szCs w:val="18"/>
                <w:highlight w:val="green"/>
              </w:rPr>
              <w:t>53,911598</w:t>
            </w:r>
          </w:p>
        </w:tc>
      </w:tr>
      <w:tr w:rsidRPr="00025F9D" w:rsidR="00850801" w:rsidTr="00166233" w14:paraId="4D06C16B" w14:textId="77777777">
        <w:trPr>
          <w:trHeight w:val="195"/>
        </w:trPr>
        <w:tc>
          <w:tcPr>
            <w:tcW w:w="2260" w:type="dxa"/>
          </w:tcPr>
          <w:p w:rsidRPr="00025F9D" w:rsidR="00850801" w:rsidP="00166233" w:rsidRDefault="00850801" w14:paraId="0B8F0C47" w14:textId="77777777">
            <w:pPr>
              <w:spacing w:line="259" w:lineRule="auto"/>
              <w:rPr>
                <w:rFonts w:cstheme="minorHAnsi"/>
                <w:color w:val="000000"/>
                <w:szCs w:val="18"/>
                <w:highlight w:val="green"/>
              </w:rPr>
            </w:pPr>
            <w:r w:rsidRPr="00025F9D">
              <w:rPr>
                <w:rFonts w:cstheme="minorHAnsi"/>
                <w:color w:val="000000"/>
                <w:szCs w:val="18"/>
                <w:highlight w:val="green"/>
              </w:rPr>
              <w:t>B4</w:t>
            </w:r>
          </w:p>
        </w:tc>
        <w:tc>
          <w:tcPr>
            <w:tcW w:w="2168" w:type="dxa"/>
          </w:tcPr>
          <w:p w:rsidRPr="00025F9D" w:rsidR="00850801" w:rsidP="00166233" w:rsidRDefault="00850801" w14:paraId="09D6A6AF" w14:textId="77777777">
            <w:pPr>
              <w:rPr>
                <w:rFonts w:cstheme="minorHAnsi"/>
                <w:color w:val="000000"/>
                <w:szCs w:val="18"/>
                <w:highlight w:val="green"/>
              </w:rPr>
            </w:pPr>
            <w:r w:rsidRPr="00025F9D">
              <w:rPr>
                <w:rFonts w:cstheme="minorHAnsi"/>
                <w:color w:val="000000"/>
                <w:szCs w:val="18"/>
                <w:highlight w:val="green"/>
              </w:rPr>
              <w:t>5,227152</w:t>
            </w:r>
          </w:p>
        </w:tc>
        <w:tc>
          <w:tcPr>
            <w:tcW w:w="2132" w:type="dxa"/>
            <w:hideMark/>
          </w:tcPr>
          <w:p w:rsidRPr="00025F9D" w:rsidR="00850801" w:rsidP="00166233" w:rsidRDefault="00850801" w14:paraId="0AC54578" w14:textId="77777777">
            <w:pPr>
              <w:spacing w:line="259" w:lineRule="auto"/>
              <w:rPr>
                <w:rFonts w:cstheme="minorHAnsi"/>
                <w:color w:val="000000"/>
                <w:szCs w:val="18"/>
                <w:highlight w:val="green"/>
              </w:rPr>
            </w:pPr>
            <w:r w:rsidRPr="00025F9D">
              <w:rPr>
                <w:rFonts w:cstheme="minorHAnsi"/>
                <w:color w:val="000000"/>
                <w:szCs w:val="18"/>
                <w:highlight w:val="green"/>
              </w:rPr>
              <w:t>53,848160</w:t>
            </w:r>
          </w:p>
        </w:tc>
      </w:tr>
      <w:tr w:rsidRPr="00025F9D" w:rsidR="00850801" w:rsidTr="00166233" w14:paraId="6CAD8008" w14:textId="77777777">
        <w:trPr>
          <w:trHeight w:val="195"/>
        </w:trPr>
        <w:tc>
          <w:tcPr>
            <w:tcW w:w="2260" w:type="dxa"/>
          </w:tcPr>
          <w:p w:rsidRPr="00025F9D" w:rsidR="00850801" w:rsidP="00166233" w:rsidRDefault="00850801" w14:paraId="173701E3" w14:textId="77777777">
            <w:pPr>
              <w:spacing w:line="259" w:lineRule="auto"/>
              <w:rPr>
                <w:rFonts w:cstheme="minorHAnsi"/>
                <w:color w:val="000000"/>
                <w:szCs w:val="18"/>
                <w:highlight w:val="green"/>
              </w:rPr>
            </w:pPr>
            <w:r w:rsidRPr="00025F9D">
              <w:rPr>
                <w:rFonts w:cstheme="minorHAnsi"/>
                <w:color w:val="000000"/>
                <w:szCs w:val="18"/>
                <w:highlight w:val="green"/>
              </w:rPr>
              <w:t>B5</w:t>
            </w:r>
          </w:p>
        </w:tc>
        <w:tc>
          <w:tcPr>
            <w:tcW w:w="2168" w:type="dxa"/>
          </w:tcPr>
          <w:p w:rsidRPr="00025F9D" w:rsidR="00850801" w:rsidP="00166233" w:rsidRDefault="00850801" w14:paraId="3450170A" w14:textId="77777777">
            <w:pPr>
              <w:rPr>
                <w:rFonts w:cstheme="minorHAnsi"/>
                <w:color w:val="000000"/>
                <w:szCs w:val="18"/>
                <w:highlight w:val="green"/>
              </w:rPr>
            </w:pPr>
            <w:r w:rsidRPr="00025F9D">
              <w:rPr>
                <w:rFonts w:cstheme="minorHAnsi"/>
                <w:color w:val="000000"/>
                <w:szCs w:val="18"/>
                <w:highlight w:val="green"/>
              </w:rPr>
              <w:t>5,119552</w:t>
            </w:r>
          </w:p>
        </w:tc>
        <w:tc>
          <w:tcPr>
            <w:tcW w:w="2132" w:type="dxa"/>
            <w:hideMark/>
          </w:tcPr>
          <w:p w:rsidRPr="00025F9D" w:rsidR="00850801" w:rsidP="00166233" w:rsidRDefault="00850801" w14:paraId="7F90AF99" w14:textId="77777777">
            <w:pPr>
              <w:spacing w:line="259" w:lineRule="auto"/>
              <w:rPr>
                <w:rFonts w:cstheme="minorHAnsi"/>
                <w:color w:val="000000"/>
                <w:szCs w:val="18"/>
                <w:highlight w:val="green"/>
              </w:rPr>
            </w:pPr>
            <w:r w:rsidRPr="00025F9D">
              <w:rPr>
                <w:rFonts w:cstheme="minorHAnsi"/>
                <w:color w:val="000000"/>
                <w:szCs w:val="18"/>
                <w:highlight w:val="green"/>
              </w:rPr>
              <w:t>53,848885</w:t>
            </w:r>
          </w:p>
        </w:tc>
      </w:tr>
    </w:tbl>
    <w:p w:rsidRPr="00025F9D" w:rsidR="00850801" w:rsidP="00850801" w:rsidRDefault="00850801" w14:paraId="5715B20F" w14:textId="77777777">
      <w:pPr>
        <w:spacing w:after="0"/>
        <w:rPr>
          <w:color w:val="000000"/>
          <w:szCs w:val="18"/>
          <w:highlight w:val="green"/>
          <w:lang w:val="nl-NL"/>
        </w:rPr>
      </w:pPr>
      <w:r w:rsidRPr="00025F9D">
        <w:rPr>
          <w:color w:val="000000"/>
          <w:szCs w:val="18"/>
          <w:highlight w:val="green"/>
          <w:lang w:val="nl-NL"/>
        </w:rPr>
        <w:t>Tabel 6. Coördinaten oesterherstelgebied B</w:t>
      </w:r>
    </w:p>
    <w:p w:rsidRPr="00025F9D" w:rsidR="00850801" w:rsidP="00850801" w:rsidRDefault="00850801" w14:paraId="765CCCBA" w14:textId="77777777">
      <w:pPr>
        <w:spacing w:after="0"/>
        <w:rPr>
          <w:rFonts w:asciiTheme="minorHAnsi" w:hAnsiTheme="minorHAnsi" w:cstheme="minorHAnsi"/>
          <w:color w:val="000000"/>
          <w:szCs w:val="18"/>
          <w:highlight w:val="green"/>
        </w:rPr>
      </w:pPr>
    </w:p>
    <w:tbl>
      <w:tblPr>
        <w:tblStyle w:val="Tabelraster1"/>
        <w:tblW w:w="0" w:type="auto"/>
        <w:tblLook w:val="04A0" w:firstRow="1" w:lastRow="0" w:firstColumn="1" w:lastColumn="0" w:noHBand="0" w:noVBand="1"/>
      </w:tblPr>
      <w:tblGrid>
        <w:gridCol w:w="2260"/>
        <w:gridCol w:w="2168"/>
        <w:gridCol w:w="2132"/>
      </w:tblGrid>
      <w:tr w:rsidRPr="00025F9D" w:rsidR="00850801" w:rsidTr="00166233" w14:paraId="1B36CDF0" w14:textId="77777777">
        <w:trPr>
          <w:trHeight w:val="210"/>
        </w:trPr>
        <w:tc>
          <w:tcPr>
            <w:tcW w:w="2260" w:type="dxa"/>
            <w:hideMark/>
          </w:tcPr>
          <w:p w:rsidRPr="00025F9D" w:rsidR="00850801" w:rsidP="00166233" w:rsidRDefault="00850801" w14:paraId="6126EF42" w14:textId="77777777">
            <w:pPr>
              <w:spacing w:line="259" w:lineRule="auto"/>
              <w:rPr>
                <w:rFonts w:cstheme="minorHAnsi"/>
                <w:color w:val="000000"/>
                <w:szCs w:val="18"/>
                <w:highlight w:val="green"/>
              </w:rPr>
            </w:pPr>
            <w:r w:rsidRPr="00025F9D">
              <w:rPr>
                <w:rFonts w:cstheme="minorHAnsi"/>
                <w:color w:val="000000"/>
                <w:szCs w:val="18"/>
                <w:highlight w:val="green"/>
              </w:rPr>
              <w:t>WGS84</w:t>
            </w:r>
          </w:p>
        </w:tc>
        <w:tc>
          <w:tcPr>
            <w:tcW w:w="2168" w:type="dxa"/>
          </w:tcPr>
          <w:p w:rsidRPr="00025F9D" w:rsidR="00850801" w:rsidP="00166233" w:rsidRDefault="00850801" w14:paraId="2DB5A233" w14:textId="77777777">
            <w:pPr>
              <w:rPr>
                <w:highlight w:val="green"/>
              </w:rPr>
            </w:pPr>
            <w:r w:rsidRPr="00025F9D">
              <w:rPr>
                <w:highlight w:val="green"/>
              </w:rPr>
              <w:t xml:space="preserve">Longitude </w:t>
            </w:r>
          </w:p>
          <w:p w:rsidRPr="00025F9D" w:rsidR="00850801" w:rsidP="00166233" w:rsidRDefault="00850801" w14:paraId="2C1C5598" w14:textId="77777777">
            <w:pPr>
              <w:rPr>
                <w:rFonts w:cstheme="minorHAnsi"/>
                <w:color w:val="000000"/>
                <w:szCs w:val="18"/>
                <w:highlight w:val="green"/>
              </w:rPr>
            </w:pPr>
            <w:r w:rsidRPr="00025F9D">
              <w:rPr>
                <w:highlight w:val="green"/>
              </w:rPr>
              <w:t>(x-coördinaat)</w:t>
            </w:r>
          </w:p>
        </w:tc>
        <w:tc>
          <w:tcPr>
            <w:tcW w:w="2132" w:type="dxa"/>
            <w:hideMark/>
          </w:tcPr>
          <w:p w:rsidRPr="00025F9D" w:rsidR="00850801" w:rsidP="00166233" w:rsidRDefault="00850801" w14:paraId="560C849B" w14:textId="77777777">
            <w:pPr>
              <w:rPr>
                <w:highlight w:val="green"/>
              </w:rPr>
            </w:pPr>
            <w:r w:rsidRPr="00025F9D">
              <w:rPr>
                <w:highlight w:val="green"/>
              </w:rPr>
              <w:t xml:space="preserve">Latitude </w:t>
            </w:r>
          </w:p>
          <w:p w:rsidRPr="00025F9D" w:rsidR="00850801" w:rsidP="00166233" w:rsidRDefault="00850801" w14:paraId="394806BA" w14:textId="77777777">
            <w:pPr>
              <w:spacing w:line="259" w:lineRule="auto"/>
              <w:rPr>
                <w:rFonts w:cstheme="minorHAnsi"/>
                <w:color w:val="000000"/>
                <w:szCs w:val="18"/>
                <w:highlight w:val="green"/>
              </w:rPr>
            </w:pPr>
            <w:r w:rsidRPr="00025F9D">
              <w:rPr>
                <w:highlight w:val="green"/>
              </w:rPr>
              <w:t>(y-coördinaat)</w:t>
            </w:r>
          </w:p>
        </w:tc>
      </w:tr>
      <w:tr w:rsidRPr="00025F9D" w:rsidR="00850801" w:rsidTr="00166233" w14:paraId="1B4470F7" w14:textId="77777777">
        <w:trPr>
          <w:trHeight w:val="195"/>
        </w:trPr>
        <w:tc>
          <w:tcPr>
            <w:tcW w:w="2260" w:type="dxa"/>
          </w:tcPr>
          <w:p w:rsidRPr="00025F9D" w:rsidR="00850801" w:rsidP="00166233" w:rsidRDefault="00850801" w14:paraId="208724CA" w14:textId="77777777">
            <w:pPr>
              <w:spacing w:line="259" w:lineRule="auto"/>
              <w:rPr>
                <w:rFonts w:cstheme="minorHAnsi"/>
                <w:color w:val="000000"/>
                <w:szCs w:val="18"/>
                <w:highlight w:val="green"/>
              </w:rPr>
            </w:pPr>
            <w:r w:rsidRPr="00025F9D">
              <w:rPr>
                <w:rFonts w:cstheme="minorHAnsi"/>
                <w:color w:val="000000"/>
                <w:szCs w:val="18"/>
                <w:highlight w:val="green"/>
              </w:rPr>
              <w:t>C1</w:t>
            </w:r>
          </w:p>
        </w:tc>
        <w:tc>
          <w:tcPr>
            <w:tcW w:w="2168" w:type="dxa"/>
          </w:tcPr>
          <w:p w:rsidRPr="00025F9D" w:rsidR="00850801" w:rsidP="00166233" w:rsidRDefault="00850801" w14:paraId="7B9B207D" w14:textId="77777777">
            <w:pPr>
              <w:rPr>
                <w:rFonts w:cstheme="minorHAnsi"/>
                <w:color w:val="000000"/>
                <w:szCs w:val="18"/>
                <w:highlight w:val="green"/>
              </w:rPr>
            </w:pPr>
            <w:r w:rsidRPr="00025F9D">
              <w:rPr>
                <w:rFonts w:cstheme="minorHAnsi"/>
                <w:color w:val="000000"/>
                <w:szCs w:val="18"/>
                <w:highlight w:val="green"/>
              </w:rPr>
              <w:t>4.606050</w:t>
            </w:r>
          </w:p>
        </w:tc>
        <w:tc>
          <w:tcPr>
            <w:tcW w:w="2132" w:type="dxa"/>
            <w:hideMark/>
          </w:tcPr>
          <w:p w:rsidRPr="00025F9D" w:rsidR="00850801" w:rsidP="00166233" w:rsidRDefault="00850801" w14:paraId="093A43B7" w14:textId="77777777">
            <w:pPr>
              <w:spacing w:line="259" w:lineRule="auto"/>
              <w:rPr>
                <w:rFonts w:cstheme="minorHAnsi"/>
                <w:color w:val="000000"/>
                <w:szCs w:val="18"/>
                <w:highlight w:val="green"/>
              </w:rPr>
            </w:pPr>
            <w:r w:rsidRPr="00025F9D">
              <w:rPr>
                <w:rFonts w:cstheme="minorHAnsi"/>
                <w:color w:val="000000"/>
                <w:szCs w:val="18"/>
                <w:highlight w:val="green"/>
              </w:rPr>
              <w:t>53.64576</w:t>
            </w:r>
          </w:p>
        </w:tc>
      </w:tr>
      <w:tr w:rsidRPr="00025F9D" w:rsidR="00850801" w:rsidTr="00166233" w14:paraId="2DF2B233" w14:textId="77777777">
        <w:trPr>
          <w:trHeight w:val="210"/>
        </w:trPr>
        <w:tc>
          <w:tcPr>
            <w:tcW w:w="2260" w:type="dxa"/>
          </w:tcPr>
          <w:p w:rsidRPr="00025F9D" w:rsidR="00850801" w:rsidP="00166233" w:rsidRDefault="00850801" w14:paraId="2BAE7106" w14:textId="77777777">
            <w:pPr>
              <w:spacing w:line="259" w:lineRule="auto"/>
              <w:rPr>
                <w:rFonts w:cstheme="minorHAnsi"/>
                <w:color w:val="000000"/>
                <w:szCs w:val="18"/>
                <w:highlight w:val="green"/>
              </w:rPr>
            </w:pPr>
            <w:r w:rsidRPr="00025F9D">
              <w:rPr>
                <w:rFonts w:cstheme="minorHAnsi"/>
                <w:color w:val="000000"/>
                <w:szCs w:val="18"/>
                <w:highlight w:val="green"/>
              </w:rPr>
              <w:t>C2</w:t>
            </w:r>
          </w:p>
        </w:tc>
        <w:tc>
          <w:tcPr>
            <w:tcW w:w="2168" w:type="dxa"/>
          </w:tcPr>
          <w:p w:rsidRPr="00025F9D" w:rsidR="00850801" w:rsidP="00166233" w:rsidRDefault="00850801" w14:paraId="5E32BCFC" w14:textId="77777777">
            <w:pPr>
              <w:rPr>
                <w:rFonts w:cstheme="minorHAnsi"/>
                <w:color w:val="000000"/>
                <w:szCs w:val="18"/>
                <w:highlight w:val="green"/>
              </w:rPr>
            </w:pPr>
            <w:r w:rsidRPr="00025F9D">
              <w:rPr>
                <w:rFonts w:cstheme="minorHAnsi"/>
                <w:color w:val="000000"/>
                <w:szCs w:val="18"/>
                <w:highlight w:val="green"/>
              </w:rPr>
              <w:t>4.606734</w:t>
            </w:r>
          </w:p>
        </w:tc>
        <w:tc>
          <w:tcPr>
            <w:tcW w:w="2132" w:type="dxa"/>
            <w:hideMark/>
          </w:tcPr>
          <w:p w:rsidRPr="00025F9D" w:rsidR="00850801" w:rsidP="00166233" w:rsidRDefault="00850801" w14:paraId="5B88E62A" w14:textId="77777777">
            <w:pPr>
              <w:spacing w:line="259" w:lineRule="auto"/>
              <w:rPr>
                <w:rFonts w:cstheme="minorHAnsi"/>
                <w:color w:val="000000"/>
                <w:szCs w:val="18"/>
                <w:highlight w:val="green"/>
              </w:rPr>
            </w:pPr>
            <w:r w:rsidRPr="00025F9D">
              <w:rPr>
                <w:rFonts w:cstheme="minorHAnsi"/>
                <w:color w:val="000000"/>
                <w:szCs w:val="18"/>
                <w:highlight w:val="green"/>
              </w:rPr>
              <w:t>53.66373</w:t>
            </w:r>
          </w:p>
        </w:tc>
      </w:tr>
      <w:tr w:rsidRPr="00025F9D" w:rsidR="00850801" w:rsidTr="00166233" w14:paraId="419D7CAE" w14:textId="77777777">
        <w:trPr>
          <w:trHeight w:val="195"/>
        </w:trPr>
        <w:tc>
          <w:tcPr>
            <w:tcW w:w="2260" w:type="dxa"/>
          </w:tcPr>
          <w:p w:rsidRPr="00025F9D" w:rsidR="00850801" w:rsidP="00166233" w:rsidRDefault="00850801" w14:paraId="52AB194E" w14:textId="77777777">
            <w:pPr>
              <w:spacing w:line="259" w:lineRule="auto"/>
              <w:rPr>
                <w:rFonts w:cstheme="minorHAnsi"/>
                <w:color w:val="000000"/>
                <w:szCs w:val="18"/>
                <w:highlight w:val="green"/>
              </w:rPr>
            </w:pPr>
            <w:r w:rsidRPr="00025F9D">
              <w:rPr>
                <w:rFonts w:cstheme="minorHAnsi"/>
                <w:color w:val="000000"/>
                <w:szCs w:val="18"/>
                <w:highlight w:val="green"/>
              </w:rPr>
              <w:t>C3</w:t>
            </w:r>
          </w:p>
        </w:tc>
        <w:tc>
          <w:tcPr>
            <w:tcW w:w="2168" w:type="dxa"/>
          </w:tcPr>
          <w:p w:rsidRPr="00025F9D" w:rsidR="00850801" w:rsidP="00166233" w:rsidRDefault="00850801" w14:paraId="08F6A9D2" w14:textId="77777777">
            <w:pPr>
              <w:rPr>
                <w:rFonts w:cstheme="minorHAnsi"/>
                <w:color w:val="000000"/>
                <w:szCs w:val="18"/>
                <w:highlight w:val="green"/>
              </w:rPr>
            </w:pPr>
            <w:r w:rsidRPr="00025F9D">
              <w:rPr>
                <w:rFonts w:cstheme="minorHAnsi"/>
                <w:color w:val="000000"/>
                <w:szCs w:val="18"/>
                <w:highlight w:val="green"/>
              </w:rPr>
              <w:t>4.636989</w:t>
            </w:r>
          </w:p>
        </w:tc>
        <w:tc>
          <w:tcPr>
            <w:tcW w:w="2132" w:type="dxa"/>
            <w:hideMark/>
          </w:tcPr>
          <w:p w:rsidRPr="00025F9D" w:rsidR="00850801" w:rsidP="00166233" w:rsidRDefault="00850801" w14:paraId="79DD80A7" w14:textId="77777777">
            <w:pPr>
              <w:spacing w:line="259" w:lineRule="auto"/>
              <w:rPr>
                <w:rFonts w:cstheme="minorHAnsi"/>
                <w:color w:val="000000"/>
                <w:szCs w:val="18"/>
                <w:highlight w:val="green"/>
              </w:rPr>
            </w:pPr>
            <w:r w:rsidRPr="00025F9D">
              <w:rPr>
                <w:rFonts w:cstheme="minorHAnsi"/>
                <w:color w:val="000000"/>
                <w:szCs w:val="18"/>
                <w:highlight w:val="green"/>
              </w:rPr>
              <w:t>53.66332</w:t>
            </w:r>
          </w:p>
        </w:tc>
      </w:tr>
      <w:tr w:rsidRPr="00025F9D" w:rsidR="00850801" w:rsidTr="00166233" w14:paraId="446D09C7" w14:textId="77777777">
        <w:trPr>
          <w:trHeight w:val="195"/>
        </w:trPr>
        <w:tc>
          <w:tcPr>
            <w:tcW w:w="2260" w:type="dxa"/>
          </w:tcPr>
          <w:p w:rsidRPr="00025F9D" w:rsidR="00850801" w:rsidP="00166233" w:rsidRDefault="00850801" w14:paraId="51C4FC59" w14:textId="77777777">
            <w:pPr>
              <w:spacing w:line="259" w:lineRule="auto"/>
              <w:rPr>
                <w:rFonts w:cstheme="minorHAnsi"/>
                <w:color w:val="000000"/>
                <w:szCs w:val="18"/>
                <w:highlight w:val="green"/>
              </w:rPr>
            </w:pPr>
            <w:r w:rsidRPr="00025F9D">
              <w:rPr>
                <w:rFonts w:cstheme="minorHAnsi"/>
                <w:color w:val="000000"/>
                <w:szCs w:val="18"/>
                <w:highlight w:val="green"/>
              </w:rPr>
              <w:t>C4</w:t>
            </w:r>
          </w:p>
        </w:tc>
        <w:tc>
          <w:tcPr>
            <w:tcW w:w="2168" w:type="dxa"/>
          </w:tcPr>
          <w:p w:rsidRPr="00025F9D" w:rsidR="00850801" w:rsidP="00166233" w:rsidRDefault="00850801" w14:paraId="0D11B3B5" w14:textId="77777777">
            <w:pPr>
              <w:rPr>
                <w:rFonts w:cstheme="minorHAnsi"/>
                <w:color w:val="000000"/>
                <w:szCs w:val="18"/>
                <w:highlight w:val="green"/>
              </w:rPr>
            </w:pPr>
            <w:r w:rsidRPr="00025F9D">
              <w:rPr>
                <w:rFonts w:cstheme="minorHAnsi"/>
                <w:color w:val="000000"/>
                <w:szCs w:val="18"/>
                <w:highlight w:val="green"/>
              </w:rPr>
              <w:t>4.636293</w:t>
            </w:r>
          </w:p>
        </w:tc>
        <w:tc>
          <w:tcPr>
            <w:tcW w:w="2132" w:type="dxa"/>
            <w:hideMark/>
          </w:tcPr>
          <w:p w:rsidRPr="00025F9D" w:rsidR="00850801" w:rsidP="00166233" w:rsidRDefault="00850801" w14:paraId="7B27E444" w14:textId="77777777">
            <w:pPr>
              <w:spacing w:line="259" w:lineRule="auto"/>
              <w:rPr>
                <w:rFonts w:cstheme="minorHAnsi"/>
                <w:color w:val="000000"/>
                <w:szCs w:val="18"/>
                <w:highlight w:val="green"/>
              </w:rPr>
            </w:pPr>
            <w:r w:rsidRPr="00025F9D">
              <w:rPr>
                <w:rFonts w:cstheme="minorHAnsi"/>
                <w:color w:val="000000"/>
                <w:szCs w:val="18"/>
                <w:highlight w:val="green"/>
              </w:rPr>
              <w:t>53.64536</w:t>
            </w:r>
          </w:p>
        </w:tc>
      </w:tr>
      <w:tr w:rsidRPr="00025F9D" w:rsidR="00850801" w:rsidTr="00166233" w14:paraId="5A255716" w14:textId="77777777">
        <w:trPr>
          <w:trHeight w:val="210"/>
        </w:trPr>
        <w:tc>
          <w:tcPr>
            <w:tcW w:w="2260" w:type="dxa"/>
          </w:tcPr>
          <w:p w:rsidRPr="00025F9D" w:rsidR="00850801" w:rsidP="00166233" w:rsidRDefault="00850801" w14:paraId="261CE18C" w14:textId="77777777">
            <w:pPr>
              <w:spacing w:line="259" w:lineRule="auto"/>
              <w:rPr>
                <w:rFonts w:cstheme="minorHAnsi"/>
                <w:color w:val="000000"/>
                <w:szCs w:val="18"/>
                <w:highlight w:val="green"/>
              </w:rPr>
            </w:pPr>
            <w:r w:rsidRPr="00025F9D">
              <w:rPr>
                <w:rFonts w:cstheme="minorHAnsi"/>
                <w:color w:val="000000"/>
                <w:szCs w:val="18"/>
                <w:highlight w:val="green"/>
              </w:rPr>
              <w:t>C5</w:t>
            </w:r>
          </w:p>
        </w:tc>
        <w:tc>
          <w:tcPr>
            <w:tcW w:w="2168" w:type="dxa"/>
          </w:tcPr>
          <w:p w:rsidRPr="00025F9D" w:rsidR="00850801" w:rsidP="00166233" w:rsidRDefault="00850801" w14:paraId="3D0591EC" w14:textId="77777777">
            <w:pPr>
              <w:rPr>
                <w:rFonts w:cstheme="minorHAnsi"/>
                <w:color w:val="000000"/>
                <w:szCs w:val="18"/>
                <w:highlight w:val="green"/>
              </w:rPr>
            </w:pPr>
            <w:r w:rsidRPr="00025F9D">
              <w:rPr>
                <w:rFonts w:cstheme="minorHAnsi"/>
                <w:color w:val="000000"/>
                <w:szCs w:val="18"/>
                <w:highlight w:val="green"/>
              </w:rPr>
              <w:t>4.606050</w:t>
            </w:r>
          </w:p>
        </w:tc>
        <w:tc>
          <w:tcPr>
            <w:tcW w:w="2132" w:type="dxa"/>
            <w:hideMark/>
          </w:tcPr>
          <w:p w:rsidRPr="00025F9D" w:rsidR="00850801" w:rsidP="00166233" w:rsidRDefault="00850801" w14:paraId="19BBF150" w14:textId="77777777">
            <w:pPr>
              <w:spacing w:line="259" w:lineRule="auto"/>
              <w:rPr>
                <w:rFonts w:cstheme="minorHAnsi"/>
                <w:color w:val="000000"/>
                <w:szCs w:val="18"/>
                <w:highlight w:val="green"/>
              </w:rPr>
            </w:pPr>
            <w:r w:rsidRPr="00025F9D">
              <w:rPr>
                <w:rFonts w:cstheme="minorHAnsi"/>
                <w:color w:val="000000"/>
                <w:szCs w:val="18"/>
                <w:highlight w:val="green"/>
              </w:rPr>
              <w:t>53.64576</w:t>
            </w:r>
          </w:p>
        </w:tc>
      </w:tr>
    </w:tbl>
    <w:p w:rsidRPr="00025F9D" w:rsidR="00850801" w:rsidP="00850801" w:rsidRDefault="00850801" w14:paraId="658ADCB4" w14:textId="77777777">
      <w:pPr>
        <w:spacing w:after="0"/>
        <w:rPr>
          <w:color w:val="000000"/>
          <w:szCs w:val="18"/>
          <w:highlight w:val="green"/>
          <w:lang w:val="nl-NL"/>
        </w:rPr>
      </w:pPr>
      <w:r w:rsidRPr="00025F9D">
        <w:rPr>
          <w:color w:val="000000"/>
          <w:szCs w:val="18"/>
          <w:highlight w:val="green"/>
          <w:lang w:val="nl-NL"/>
        </w:rPr>
        <w:t>Tabel 7. Coördinaten oesterherstelgebied C</w:t>
      </w:r>
    </w:p>
    <w:p w:rsidRPr="00025F9D" w:rsidR="00850801" w:rsidP="00850801" w:rsidRDefault="00850801" w14:paraId="1B41CCF2" w14:textId="77777777">
      <w:pPr>
        <w:spacing w:after="0"/>
        <w:rPr>
          <w:rFonts w:asciiTheme="minorHAnsi" w:hAnsiTheme="minorHAnsi" w:cstheme="minorHAnsi"/>
          <w:color w:val="000000"/>
          <w:szCs w:val="18"/>
          <w:highlight w:val="green"/>
        </w:rPr>
      </w:pPr>
    </w:p>
    <w:tbl>
      <w:tblPr>
        <w:tblStyle w:val="Tabelraster1"/>
        <w:tblW w:w="0" w:type="auto"/>
        <w:tblLook w:val="04A0" w:firstRow="1" w:lastRow="0" w:firstColumn="1" w:lastColumn="0" w:noHBand="0" w:noVBand="1"/>
      </w:tblPr>
      <w:tblGrid>
        <w:gridCol w:w="2260"/>
        <w:gridCol w:w="2168"/>
        <w:gridCol w:w="2132"/>
      </w:tblGrid>
      <w:tr w:rsidRPr="00025F9D" w:rsidR="00850801" w:rsidTr="00166233" w14:paraId="08644B0A" w14:textId="77777777">
        <w:trPr>
          <w:trHeight w:val="210"/>
        </w:trPr>
        <w:tc>
          <w:tcPr>
            <w:tcW w:w="2260" w:type="dxa"/>
            <w:hideMark/>
          </w:tcPr>
          <w:p w:rsidRPr="00025F9D" w:rsidR="00850801" w:rsidP="00166233" w:rsidRDefault="00850801" w14:paraId="46601470" w14:textId="77777777">
            <w:pPr>
              <w:spacing w:line="259" w:lineRule="auto"/>
              <w:rPr>
                <w:rFonts w:cstheme="minorHAnsi"/>
                <w:color w:val="000000"/>
                <w:szCs w:val="18"/>
                <w:highlight w:val="green"/>
              </w:rPr>
            </w:pPr>
            <w:r w:rsidRPr="00025F9D">
              <w:rPr>
                <w:rFonts w:cstheme="minorHAnsi"/>
                <w:color w:val="000000"/>
                <w:szCs w:val="18"/>
                <w:highlight w:val="green"/>
              </w:rPr>
              <w:t>WGS84</w:t>
            </w:r>
          </w:p>
        </w:tc>
        <w:tc>
          <w:tcPr>
            <w:tcW w:w="2168" w:type="dxa"/>
          </w:tcPr>
          <w:p w:rsidRPr="00025F9D" w:rsidR="00850801" w:rsidP="00166233" w:rsidRDefault="00850801" w14:paraId="6EFCF330" w14:textId="77777777">
            <w:pPr>
              <w:rPr>
                <w:highlight w:val="green"/>
              </w:rPr>
            </w:pPr>
            <w:r w:rsidRPr="00025F9D">
              <w:rPr>
                <w:highlight w:val="green"/>
              </w:rPr>
              <w:t xml:space="preserve">Longitude </w:t>
            </w:r>
          </w:p>
          <w:p w:rsidRPr="00025F9D" w:rsidR="00850801" w:rsidP="00166233" w:rsidRDefault="00850801" w14:paraId="790A64DB" w14:textId="77777777">
            <w:pPr>
              <w:rPr>
                <w:rFonts w:cstheme="minorHAnsi"/>
                <w:color w:val="000000"/>
                <w:szCs w:val="18"/>
                <w:highlight w:val="green"/>
              </w:rPr>
            </w:pPr>
            <w:r w:rsidRPr="00025F9D">
              <w:rPr>
                <w:highlight w:val="green"/>
              </w:rPr>
              <w:t>(x-coördinaat)</w:t>
            </w:r>
          </w:p>
        </w:tc>
        <w:tc>
          <w:tcPr>
            <w:tcW w:w="2132" w:type="dxa"/>
            <w:hideMark/>
          </w:tcPr>
          <w:p w:rsidRPr="00025F9D" w:rsidR="00850801" w:rsidP="00166233" w:rsidRDefault="00850801" w14:paraId="1ECC1F78" w14:textId="77777777">
            <w:pPr>
              <w:rPr>
                <w:highlight w:val="green"/>
              </w:rPr>
            </w:pPr>
            <w:r w:rsidRPr="00025F9D">
              <w:rPr>
                <w:highlight w:val="green"/>
              </w:rPr>
              <w:t xml:space="preserve">Latitude </w:t>
            </w:r>
          </w:p>
          <w:p w:rsidRPr="00025F9D" w:rsidR="00850801" w:rsidP="00166233" w:rsidRDefault="00850801" w14:paraId="17E00674" w14:textId="77777777">
            <w:pPr>
              <w:spacing w:line="259" w:lineRule="auto"/>
              <w:rPr>
                <w:rFonts w:cstheme="minorHAnsi"/>
                <w:color w:val="000000"/>
                <w:szCs w:val="18"/>
                <w:highlight w:val="green"/>
              </w:rPr>
            </w:pPr>
            <w:r w:rsidRPr="00025F9D">
              <w:rPr>
                <w:highlight w:val="green"/>
              </w:rPr>
              <w:t>(y-coördinaat)</w:t>
            </w:r>
          </w:p>
        </w:tc>
      </w:tr>
      <w:tr w:rsidRPr="00025F9D" w:rsidR="00850801" w:rsidTr="00166233" w14:paraId="74575E38" w14:textId="77777777">
        <w:trPr>
          <w:trHeight w:val="195"/>
        </w:trPr>
        <w:tc>
          <w:tcPr>
            <w:tcW w:w="2260" w:type="dxa"/>
            <w:hideMark/>
          </w:tcPr>
          <w:p w:rsidRPr="00025F9D" w:rsidR="00850801" w:rsidP="00166233" w:rsidRDefault="00850801" w14:paraId="0A9F6945" w14:textId="77777777">
            <w:pPr>
              <w:spacing w:line="259" w:lineRule="auto"/>
              <w:rPr>
                <w:rFonts w:cstheme="minorHAnsi"/>
                <w:color w:val="000000"/>
                <w:szCs w:val="18"/>
                <w:highlight w:val="green"/>
              </w:rPr>
            </w:pPr>
            <w:r w:rsidRPr="00025F9D">
              <w:rPr>
                <w:rFonts w:cstheme="minorHAnsi"/>
                <w:color w:val="000000"/>
                <w:szCs w:val="18"/>
                <w:highlight w:val="green"/>
              </w:rPr>
              <w:t>D1</w:t>
            </w:r>
          </w:p>
        </w:tc>
        <w:tc>
          <w:tcPr>
            <w:tcW w:w="2168" w:type="dxa"/>
          </w:tcPr>
          <w:p w:rsidRPr="00025F9D" w:rsidR="00850801" w:rsidP="00166233" w:rsidRDefault="00850801" w14:paraId="20963D1B" w14:textId="77777777">
            <w:pPr>
              <w:rPr>
                <w:rFonts w:cstheme="minorHAnsi"/>
                <w:color w:val="000000"/>
                <w:szCs w:val="18"/>
                <w:highlight w:val="green"/>
              </w:rPr>
            </w:pPr>
            <w:r w:rsidRPr="00025F9D">
              <w:rPr>
                <w:rFonts w:cstheme="minorHAnsi"/>
                <w:color w:val="000000"/>
                <w:szCs w:val="18"/>
                <w:highlight w:val="green"/>
              </w:rPr>
              <w:t>5.178656</w:t>
            </w:r>
          </w:p>
        </w:tc>
        <w:tc>
          <w:tcPr>
            <w:tcW w:w="2132" w:type="dxa"/>
            <w:hideMark/>
          </w:tcPr>
          <w:p w:rsidRPr="00025F9D" w:rsidR="00850801" w:rsidP="00166233" w:rsidRDefault="00850801" w14:paraId="3EB301C3" w14:textId="77777777">
            <w:pPr>
              <w:spacing w:line="259" w:lineRule="auto"/>
              <w:rPr>
                <w:rFonts w:cstheme="minorHAnsi"/>
                <w:color w:val="000000"/>
                <w:szCs w:val="18"/>
                <w:highlight w:val="green"/>
              </w:rPr>
            </w:pPr>
            <w:r w:rsidRPr="00025F9D">
              <w:rPr>
                <w:rFonts w:cstheme="minorHAnsi"/>
                <w:color w:val="000000"/>
                <w:szCs w:val="18"/>
                <w:highlight w:val="green"/>
              </w:rPr>
              <w:t>53.728947</w:t>
            </w:r>
          </w:p>
        </w:tc>
      </w:tr>
      <w:tr w:rsidRPr="00025F9D" w:rsidR="00850801" w:rsidTr="00166233" w14:paraId="4C47E2AB" w14:textId="77777777">
        <w:trPr>
          <w:trHeight w:val="210"/>
        </w:trPr>
        <w:tc>
          <w:tcPr>
            <w:tcW w:w="2260" w:type="dxa"/>
            <w:hideMark/>
          </w:tcPr>
          <w:p w:rsidRPr="00025F9D" w:rsidR="00850801" w:rsidP="00166233" w:rsidRDefault="00850801" w14:paraId="56C67604" w14:textId="77777777">
            <w:pPr>
              <w:spacing w:line="259" w:lineRule="auto"/>
              <w:rPr>
                <w:rFonts w:cstheme="minorHAnsi"/>
                <w:color w:val="000000"/>
                <w:szCs w:val="18"/>
                <w:highlight w:val="green"/>
              </w:rPr>
            </w:pPr>
            <w:r w:rsidRPr="00025F9D">
              <w:rPr>
                <w:rFonts w:cstheme="minorHAnsi"/>
                <w:color w:val="000000"/>
                <w:szCs w:val="18"/>
                <w:highlight w:val="green"/>
              </w:rPr>
              <w:t>D2</w:t>
            </w:r>
          </w:p>
        </w:tc>
        <w:tc>
          <w:tcPr>
            <w:tcW w:w="2168" w:type="dxa"/>
          </w:tcPr>
          <w:p w:rsidRPr="00025F9D" w:rsidR="00850801" w:rsidP="00166233" w:rsidRDefault="00850801" w14:paraId="16AA520B" w14:textId="77777777">
            <w:pPr>
              <w:rPr>
                <w:rFonts w:cstheme="minorHAnsi"/>
                <w:color w:val="000000"/>
                <w:szCs w:val="18"/>
                <w:highlight w:val="green"/>
              </w:rPr>
            </w:pPr>
            <w:r w:rsidRPr="00025F9D">
              <w:rPr>
                <w:rFonts w:cstheme="minorHAnsi"/>
                <w:color w:val="000000"/>
                <w:szCs w:val="18"/>
                <w:highlight w:val="green"/>
              </w:rPr>
              <w:t>5.179585</w:t>
            </w:r>
          </w:p>
        </w:tc>
        <w:tc>
          <w:tcPr>
            <w:tcW w:w="2132" w:type="dxa"/>
            <w:hideMark/>
          </w:tcPr>
          <w:p w:rsidRPr="00025F9D" w:rsidR="00850801" w:rsidP="00166233" w:rsidRDefault="00850801" w14:paraId="1F1A3AA1" w14:textId="77777777">
            <w:pPr>
              <w:spacing w:line="259" w:lineRule="auto"/>
              <w:rPr>
                <w:rFonts w:cstheme="minorHAnsi"/>
                <w:color w:val="000000"/>
                <w:szCs w:val="18"/>
                <w:highlight w:val="green"/>
              </w:rPr>
            </w:pPr>
            <w:r w:rsidRPr="00025F9D">
              <w:rPr>
                <w:rFonts w:cstheme="minorHAnsi"/>
                <w:color w:val="000000"/>
                <w:szCs w:val="18"/>
                <w:highlight w:val="green"/>
              </w:rPr>
              <w:t>53.746911</w:t>
            </w:r>
          </w:p>
        </w:tc>
      </w:tr>
      <w:tr w:rsidRPr="00025F9D" w:rsidR="00850801" w:rsidTr="00166233" w14:paraId="134B49FD" w14:textId="77777777">
        <w:trPr>
          <w:trHeight w:val="195"/>
        </w:trPr>
        <w:tc>
          <w:tcPr>
            <w:tcW w:w="2260" w:type="dxa"/>
            <w:hideMark/>
          </w:tcPr>
          <w:p w:rsidRPr="00025F9D" w:rsidR="00850801" w:rsidP="00166233" w:rsidRDefault="00850801" w14:paraId="7CCF8C17" w14:textId="77777777">
            <w:pPr>
              <w:spacing w:line="259" w:lineRule="auto"/>
              <w:rPr>
                <w:rFonts w:cstheme="minorHAnsi"/>
                <w:color w:val="000000"/>
                <w:szCs w:val="18"/>
                <w:highlight w:val="green"/>
              </w:rPr>
            </w:pPr>
            <w:r w:rsidRPr="00025F9D">
              <w:rPr>
                <w:rFonts w:cstheme="minorHAnsi"/>
                <w:color w:val="000000"/>
                <w:szCs w:val="18"/>
                <w:highlight w:val="green"/>
              </w:rPr>
              <w:t>D3</w:t>
            </w:r>
          </w:p>
        </w:tc>
        <w:tc>
          <w:tcPr>
            <w:tcW w:w="2168" w:type="dxa"/>
          </w:tcPr>
          <w:p w:rsidRPr="00025F9D" w:rsidR="00850801" w:rsidP="00166233" w:rsidRDefault="00850801" w14:paraId="413E439E" w14:textId="77777777">
            <w:pPr>
              <w:rPr>
                <w:rFonts w:cstheme="minorHAnsi"/>
                <w:color w:val="000000"/>
                <w:szCs w:val="18"/>
                <w:highlight w:val="green"/>
              </w:rPr>
            </w:pPr>
            <w:r w:rsidRPr="00025F9D">
              <w:rPr>
                <w:rFonts w:cstheme="minorHAnsi"/>
                <w:color w:val="000000"/>
                <w:szCs w:val="18"/>
                <w:highlight w:val="green"/>
              </w:rPr>
              <w:t>5.209890</w:t>
            </w:r>
          </w:p>
        </w:tc>
        <w:tc>
          <w:tcPr>
            <w:tcW w:w="2132" w:type="dxa"/>
            <w:hideMark/>
          </w:tcPr>
          <w:p w:rsidRPr="00025F9D" w:rsidR="00850801" w:rsidP="00166233" w:rsidRDefault="00850801" w14:paraId="0CB4E895" w14:textId="77777777">
            <w:pPr>
              <w:spacing w:line="259" w:lineRule="auto"/>
              <w:rPr>
                <w:rFonts w:cstheme="minorHAnsi"/>
                <w:color w:val="000000"/>
                <w:szCs w:val="18"/>
                <w:highlight w:val="green"/>
              </w:rPr>
            </w:pPr>
            <w:r w:rsidRPr="00025F9D">
              <w:rPr>
                <w:rFonts w:cstheme="minorHAnsi"/>
                <w:color w:val="000000"/>
                <w:szCs w:val="18"/>
                <w:highlight w:val="green"/>
              </w:rPr>
              <w:t>53.746356</w:t>
            </w:r>
          </w:p>
        </w:tc>
      </w:tr>
      <w:tr w:rsidRPr="00025F9D" w:rsidR="00850801" w:rsidTr="00166233" w14:paraId="05989092" w14:textId="77777777">
        <w:trPr>
          <w:trHeight w:val="210"/>
        </w:trPr>
        <w:tc>
          <w:tcPr>
            <w:tcW w:w="2260" w:type="dxa"/>
            <w:hideMark/>
          </w:tcPr>
          <w:p w:rsidRPr="00025F9D" w:rsidR="00850801" w:rsidP="00166233" w:rsidRDefault="00850801" w14:paraId="4A6228AE" w14:textId="77777777">
            <w:pPr>
              <w:spacing w:line="259" w:lineRule="auto"/>
              <w:rPr>
                <w:rFonts w:cstheme="minorHAnsi"/>
                <w:color w:val="000000"/>
                <w:szCs w:val="18"/>
                <w:highlight w:val="green"/>
              </w:rPr>
            </w:pPr>
            <w:r w:rsidRPr="00025F9D">
              <w:rPr>
                <w:rFonts w:cstheme="minorHAnsi"/>
                <w:color w:val="000000"/>
                <w:szCs w:val="18"/>
                <w:highlight w:val="green"/>
              </w:rPr>
              <w:t>D4</w:t>
            </w:r>
          </w:p>
        </w:tc>
        <w:tc>
          <w:tcPr>
            <w:tcW w:w="2168" w:type="dxa"/>
          </w:tcPr>
          <w:p w:rsidRPr="00025F9D" w:rsidR="00850801" w:rsidP="00166233" w:rsidRDefault="00850801" w14:paraId="32BF76C6" w14:textId="77777777">
            <w:pPr>
              <w:rPr>
                <w:rFonts w:cstheme="minorHAnsi"/>
                <w:color w:val="000000"/>
                <w:szCs w:val="18"/>
                <w:highlight w:val="green"/>
              </w:rPr>
            </w:pPr>
            <w:r w:rsidRPr="00025F9D">
              <w:rPr>
                <w:rFonts w:cstheme="minorHAnsi"/>
                <w:color w:val="000000"/>
                <w:szCs w:val="18"/>
                <w:highlight w:val="green"/>
              </w:rPr>
              <w:t>5.208948</w:t>
            </w:r>
          </w:p>
        </w:tc>
        <w:tc>
          <w:tcPr>
            <w:tcW w:w="2132" w:type="dxa"/>
            <w:hideMark/>
          </w:tcPr>
          <w:p w:rsidRPr="00025F9D" w:rsidR="00850801" w:rsidP="00166233" w:rsidRDefault="00850801" w14:paraId="763C626B" w14:textId="77777777">
            <w:pPr>
              <w:spacing w:line="259" w:lineRule="auto"/>
              <w:rPr>
                <w:rFonts w:cstheme="minorHAnsi"/>
                <w:color w:val="000000"/>
                <w:szCs w:val="18"/>
                <w:highlight w:val="green"/>
              </w:rPr>
            </w:pPr>
            <w:r w:rsidRPr="00025F9D">
              <w:rPr>
                <w:rFonts w:cstheme="minorHAnsi"/>
                <w:color w:val="000000"/>
                <w:szCs w:val="18"/>
                <w:highlight w:val="green"/>
              </w:rPr>
              <w:t>53.728393</w:t>
            </w:r>
          </w:p>
        </w:tc>
      </w:tr>
      <w:tr w:rsidRPr="00025F9D" w:rsidR="00850801" w:rsidTr="00166233" w14:paraId="6A3E4A11" w14:textId="77777777">
        <w:trPr>
          <w:trHeight w:val="60"/>
        </w:trPr>
        <w:tc>
          <w:tcPr>
            <w:tcW w:w="2260" w:type="dxa"/>
            <w:hideMark/>
          </w:tcPr>
          <w:p w:rsidRPr="00025F9D" w:rsidR="00850801" w:rsidP="00166233" w:rsidRDefault="00850801" w14:paraId="48EEE184" w14:textId="77777777">
            <w:pPr>
              <w:spacing w:line="259" w:lineRule="auto"/>
              <w:rPr>
                <w:rFonts w:cstheme="minorHAnsi"/>
                <w:color w:val="000000"/>
                <w:szCs w:val="18"/>
                <w:highlight w:val="green"/>
              </w:rPr>
            </w:pPr>
            <w:r w:rsidRPr="00025F9D">
              <w:rPr>
                <w:rFonts w:cstheme="minorHAnsi"/>
                <w:color w:val="000000"/>
                <w:szCs w:val="18"/>
                <w:highlight w:val="green"/>
              </w:rPr>
              <w:t>D5</w:t>
            </w:r>
          </w:p>
        </w:tc>
        <w:tc>
          <w:tcPr>
            <w:tcW w:w="2168" w:type="dxa"/>
          </w:tcPr>
          <w:p w:rsidRPr="00025F9D" w:rsidR="00850801" w:rsidP="00166233" w:rsidRDefault="00850801" w14:paraId="0F4E72CD" w14:textId="77777777">
            <w:pPr>
              <w:rPr>
                <w:rFonts w:cstheme="minorHAnsi"/>
                <w:color w:val="000000"/>
                <w:szCs w:val="18"/>
                <w:highlight w:val="green"/>
              </w:rPr>
            </w:pPr>
            <w:r w:rsidRPr="00025F9D">
              <w:rPr>
                <w:rFonts w:cstheme="minorHAnsi"/>
                <w:color w:val="000000"/>
                <w:szCs w:val="18"/>
                <w:highlight w:val="green"/>
              </w:rPr>
              <w:t>5.178656</w:t>
            </w:r>
          </w:p>
        </w:tc>
        <w:tc>
          <w:tcPr>
            <w:tcW w:w="2132" w:type="dxa"/>
            <w:hideMark/>
          </w:tcPr>
          <w:p w:rsidRPr="00025F9D" w:rsidR="00850801" w:rsidP="00166233" w:rsidRDefault="00850801" w14:paraId="4F96E0E3" w14:textId="77777777">
            <w:pPr>
              <w:spacing w:line="259" w:lineRule="auto"/>
              <w:rPr>
                <w:rFonts w:cstheme="minorHAnsi"/>
                <w:color w:val="000000"/>
                <w:szCs w:val="18"/>
                <w:highlight w:val="green"/>
              </w:rPr>
            </w:pPr>
            <w:r w:rsidRPr="00025F9D">
              <w:rPr>
                <w:rFonts w:cstheme="minorHAnsi"/>
                <w:color w:val="000000"/>
                <w:szCs w:val="18"/>
                <w:highlight w:val="green"/>
              </w:rPr>
              <w:t>53.728947</w:t>
            </w:r>
          </w:p>
        </w:tc>
      </w:tr>
    </w:tbl>
    <w:p w:rsidRPr="00025F9D" w:rsidR="00850801" w:rsidP="00850801" w:rsidRDefault="00850801" w14:paraId="72AC53B3" w14:textId="77777777">
      <w:pPr>
        <w:spacing w:after="0"/>
        <w:rPr>
          <w:color w:val="000000"/>
          <w:szCs w:val="18"/>
          <w:highlight w:val="green"/>
          <w:lang w:val="nl-NL"/>
        </w:rPr>
      </w:pPr>
      <w:r w:rsidRPr="00025F9D">
        <w:rPr>
          <w:color w:val="000000"/>
          <w:szCs w:val="18"/>
          <w:highlight w:val="green"/>
          <w:lang w:val="nl-NL"/>
        </w:rPr>
        <w:t>Tabel 8. Coördinaten oesterherstelgebied D</w:t>
      </w:r>
    </w:p>
    <w:p w:rsidRPr="00025F9D" w:rsidR="00850801" w:rsidP="00850801" w:rsidRDefault="00850801" w14:paraId="5813FEF3" w14:textId="77777777">
      <w:pPr>
        <w:spacing w:after="0"/>
        <w:rPr>
          <w:rFonts w:asciiTheme="minorHAnsi" w:hAnsiTheme="minorHAnsi" w:cstheme="minorHAnsi"/>
          <w:color w:val="000000"/>
          <w:szCs w:val="18"/>
          <w:highlight w:val="green"/>
        </w:rPr>
      </w:pPr>
    </w:p>
    <w:tbl>
      <w:tblPr>
        <w:tblStyle w:val="Tabelraster1"/>
        <w:tblW w:w="0" w:type="auto"/>
        <w:tblLook w:val="04A0" w:firstRow="1" w:lastRow="0" w:firstColumn="1" w:lastColumn="0" w:noHBand="0" w:noVBand="1"/>
      </w:tblPr>
      <w:tblGrid>
        <w:gridCol w:w="2260"/>
        <w:gridCol w:w="2168"/>
        <w:gridCol w:w="2132"/>
      </w:tblGrid>
      <w:tr w:rsidRPr="00025F9D" w:rsidR="00850801" w:rsidTr="00166233" w14:paraId="60A5378D" w14:textId="77777777">
        <w:trPr>
          <w:trHeight w:val="210"/>
        </w:trPr>
        <w:tc>
          <w:tcPr>
            <w:tcW w:w="2260" w:type="dxa"/>
            <w:hideMark/>
          </w:tcPr>
          <w:p w:rsidRPr="00025F9D" w:rsidR="00850801" w:rsidP="00166233" w:rsidRDefault="00850801" w14:paraId="1228931C" w14:textId="77777777">
            <w:pPr>
              <w:spacing w:line="259" w:lineRule="auto"/>
              <w:jc w:val="both"/>
              <w:rPr>
                <w:rFonts w:cstheme="minorHAnsi"/>
                <w:color w:val="000000"/>
                <w:szCs w:val="18"/>
                <w:highlight w:val="green"/>
              </w:rPr>
            </w:pPr>
            <w:r w:rsidRPr="00025F9D">
              <w:rPr>
                <w:rFonts w:cstheme="minorHAnsi"/>
                <w:color w:val="000000"/>
                <w:szCs w:val="18"/>
                <w:highlight w:val="green"/>
              </w:rPr>
              <w:t>WGS84</w:t>
            </w:r>
          </w:p>
        </w:tc>
        <w:tc>
          <w:tcPr>
            <w:tcW w:w="2168" w:type="dxa"/>
          </w:tcPr>
          <w:p w:rsidRPr="00025F9D" w:rsidR="00850801" w:rsidP="00166233" w:rsidRDefault="00850801" w14:paraId="39A0630D" w14:textId="77777777">
            <w:pPr>
              <w:rPr>
                <w:highlight w:val="green"/>
              </w:rPr>
            </w:pPr>
            <w:r w:rsidRPr="00025F9D">
              <w:rPr>
                <w:highlight w:val="green"/>
              </w:rPr>
              <w:t xml:space="preserve">Longitude </w:t>
            </w:r>
          </w:p>
          <w:p w:rsidRPr="00025F9D" w:rsidR="00850801" w:rsidP="00166233" w:rsidRDefault="00850801" w14:paraId="5904C74F" w14:textId="77777777">
            <w:pPr>
              <w:rPr>
                <w:rFonts w:cstheme="minorHAnsi"/>
                <w:color w:val="000000"/>
                <w:szCs w:val="18"/>
                <w:highlight w:val="green"/>
              </w:rPr>
            </w:pPr>
            <w:r w:rsidRPr="00025F9D">
              <w:rPr>
                <w:highlight w:val="green"/>
              </w:rPr>
              <w:t>(x-coördinaat)</w:t>
            </w:r>
          </w:p>
        </w:tc>
        <w:tc>
          <w:tcPr>
            <w:tcW w:w="2132" w:type="dxa"/>
            <w:hideMark/>
          </w:tcPr>
          <w:p w:rsidRPr="00025F9D" w:rsidR="00850801" w:rsidP="00166233" w:rsidRDefault="00850801" w14:paraId="275EF685" w14:textId="77777777">
            <w:pPr>
              <w:rPr>
                <w:highlight w:val="green"/>
              </w:rPr>
            </w:pPr>
            <w:r w:rsidRPr="00025F9D">
              <w:rPr>
                <w:highlight w:val="green"/>
              </w:rPr>
              <w:t xml:space="preserve">Latitude </w:t>
            </w:r>
          </w:p>
          <w:p w:rsidRPr="00025F9D" w:rsidR="00850801" w:rsidP="00166233" w:rsidRDefault="00850801" w14:paraId="01241779" w14:textId="77777777">
            <w:pPr>
              <w:spacing w:line="259" w:lineRule="auto"/>
              <w:rPr>
                <w:rFonts w:cstheme="minorHAnsi"/>
                <w:color w:val="000000"/>
                <w:szCs w:val="18"/>
                <w:highlight w:val="green"/>
              </w:rPr>
            </w:pPr>
            <w:r w:rsidRPr="00025F9D">
              <w:rPr>
                <w:highlight w:val="green"/>
              </w:rPr>
              <w:t>(y-coördinaat)</w:t>
            </w:r>
          </w:p>
        </w:tc>
      </w:tr>
      <w:tr w:rsidRPr="00025F9D" w:rsidR="00850801" w:rsidTr="00166233" w14:paraId="08D2B7A6" w14:textId="77777777">
        <w:trPr>
          <w:trHeight w:val="195"/>
        </w:trPr>
        <w:tc>
          <w:tcPr>
            <w:tcW w:w="2260" w:type="dxa"/>
          </w:tcPr>
          <w:p w:rsidRPr="00025F9D" w:rsidR="00850801" w:rsidP="00166233" w:rsidRDefault="00850801" w14:paraId="3D50F7B6" w14:textId="77777777">
            <w:pPr>
              <w:spacing w:line="259" w:lineRule="auto"/>
              <w:rPr>
                <w:rFonts w:cstheme="minorHAnsi"/>
                <w:color w:val="000000"/>
                <w:szCs w:val="18"/>
                <w:highlight w:val="green"/>
              </w:rPr>
            </w:pPr>
            <w:r w:rsidRPr="00025F9D">
              <w:rPr>
                <w:rFonts w:cstheme="minorHAnsi"/>
                <w:color w:val="000000"/>
                <w:szCs w:val="18"/>
                <w:highlight w:val="green"/>
              </w:rPr>
              <w:t>E1</w:t>
            </w:r>
          </w:p>
        </w:tc>
        <w:tc>
          <w:tcPr>
            <w:tcW w:w="2168" w:type="dxa"/>
          </w:tcPr>
          <w:p w:rsidRPr="00025F9D" w:rsidR="00850801" w:rsidP="00166233" w:rsidRDefault="00850801" w14:paraId="663BDE1A" w14:textId="77777777">
            <w:pPr>
              <w:rPr>
                <w:rFonts w:cstheme="minorHAnsi"/>
                <w:color w:val="000000"/>
                <w:szCs w:val="18"/>
                <w:highlight w:val="green"/>
              </w:rPr>
            </w:pPr>
            <w:r w:rsidRPr="00025F9D">
              <w:rPr>
                <w:rFonts w:cstheme="minorHAnsi"/>
                <w:color w:val="000000"/>
                <w:szCs w:val="18"/>
                <w:highlight w:val="green"/>
              </w:rPr>
              <w:t>4.217697</w:t>
            </w:r>
          </w:p>
        </w:tc>
        <w:tc>
          <w:tcPr>
            <w:tcW w:w="2132" w:type="dxa"/>
            <w:hideMark/>
          </w:tcPr>
          <w:p w:rsidRPr="00025F9D" w:rsidR="00850801" w:rsidP="00166233" w:rsidRDefault="00850801" w14:paraId="21C4753F" w14:textId="77777777">
            <w:pPr>
              <w:spacing w:line="259" w:lineRule="auto"/>
              <w:rPr>
                <w:rFonts w:cstheme="minorHAnsi"/>
                <w:color w:val="000000"/>
                <w:szCs w:val="18"/>
                <w:highlight w:val="green"/>
              </w:rPr>
            </w:pPr>
            <w:r w:rsidRPr="00025F9D">
              <w:rPr>
                <w:rFonts w:cstheme="minorHAnsi"/>
                <w:color w:val="000000"/>
                <w:szCs w:val="18"/>
                <w:highlight w:val="green"/>
              </w:rPr>
              <w:t>53.563564</w:t>
            </w:r>
          </w:p>
        </w:tc>
      </w:tr>
      <w:tr w:rsidRPr="00025F9D" w:rsidR="00850801" w:rsidTr="00166233" w14:paraId="784300A8" w14:textId="77777777">
        <w:trPr>
          <w:trHeight w:val="210"/>
        </w:trPr>
        <w:tc>
          <w:tcPr>
            <w:tcW w:w="2260" w:type="dxa"/>
          </w:tcPr>
          <w:p w:rsidRPr="00025F9D" w:rsidR="00850801" w:rsidP="00166233" w:rsidRDefault="00850801" w14:paraId="16DC12E8" w14:textId="77777777">
            <w:pPr>
              <w:spacing w:line="259" w:lineRule="auto"/>
              <w:rPr>
                <w:rFonts w:cstheme="minorHAnsi"/>
                <w:color w:val="000000"/>
                <w:szCs w:val="18"/>
                <w:highlight w:val="green"/>
              </w:rPr>
            </w:pPr>
            <w:r w:rsidRPr="00025F9D">
              <w:rPr>
                <w:rFonts w:cstheme="minorHAnsi"/>
                <w:color w:val="000000"/>
                <w:szCs w:val="18"/>
                <w:highlight w:val="green"/>
              </w:rPr>
              <w:t>E2</w:t>
            </w:r>
          </w:p>
        </w:tc>
        <w:tc>
          <w:tcPr>
            <w:tcW w:w="2168" w:type="dxa"/>
          </w:tcPr>
          <w:p w:rsidRPr="00025F9D" w:rsidR="00850801" w:rsidP="00166233" w:rsidRDefault="00850801" w14:paraId="13CDF938" w14:textId="77777777">
            <w:pPr>
              <w:rPr>
                <w:rFonts w:cstheme="minorHAnsi"/>
                <w:color w:val="000000"/>
                <w:szCs w:val="18"/>
                <w:highlight w:val="green"/>
              </w:rPr>
            </w:pPr>
            <w:r w:rsidRPr="00025F9D">
              <w:rPr>
                <w:rFonts w:cstheme="minorHAnsi"/>
                <w:color w:val="000000"/>
                <w:szCs w:val="18"/>
                <w:highlight w:val="green"/>
              </w:rPr>
              <w:t>4.216336</w:t>
            </w:r>
          </w:p>
        </w:tc>
        <w:tc>
          <w:tcPr>
            <w:tcW w:w="2132" w:type="dxa"/>
            <w:hideMark/>
          </w:tcPr>
          <w:p w:rsidRPr="00025F9D" w:rsidR="00850801" w:rsidP="00166233" w:rsidRDefault="00850801" w14:paraId="5FDE8FE4" w14:textId="77777777">
            <w:pPr>
              <w:spacing w:line="259" w:lineRule="auto"/>
              <w:rPr>
                <w:rFonts w:cstheme="minorHAnsi"/>
                <w:color w:val="000000"/>
                <w:szCs w:val="18"/>
                <w:highlight w:val="green"/>
              </w:rPr>
            </w:pPr>
            <w:r w:rsidRPr="00025F9D">
              <w:rPr>
                <w:rFonts w:cstheme="minorHAnsi"/>
                <w:color w:val="000000"/>
                <w:szCs w:val="18"/>
                <w:highlight w:val="green"/>
              </w:rPr>
              <w:t>53.657240</w:t>
            </w:r>
          </w:p>
        </w:tc>
      </w:tr>
      <w:tr w:rsidRPr="00025F9D" w:rsidR="00850801" w:rsidTr="00166233" w14:paraId="0B78165E" w14:textId="77777777">
        <w:trPr>
          <w:trHeight w:val="195"/>
        </w:trPr>
        <w:tc>
          <w:tcPr>
            <w:tcW w:w="2260" w:type="dxa"/>
          </w:tcPr>
          <w:p w:rsidRPr="00025F9D" w:rsidR="00850801" w:rsidP="00166233" w:rsidRDefault="00850801" w14:paraId="3D7D1D46" w14:textId="77777777">
            <w:pPr>
              <w:spacing w:line="259" w:lineRule="auto"/>
              <w:rPr>
                <w:rFonts w:cstheme="minorHAnsi"/>
                <w:color w:val="000000"/>
                <w:szCs w:val="18"/>
                <w:highlight w:val="green"/>
              </w:rPr>
            </w:pPr>
            <w:r w:rsidRPr="00025F9D">
              <w:rPr>
                <w:rFonts w:cstheme="minorHAnsi"/>
                <w:color w:val="000000"/>
                <w:szCs w:val="18"/>
                <w:highlight w:val="green"/>
              </w:rPr>
              <w:t>E3</w:t>
            </w:r>
          </w:p>
        </w:tc>
        <w:tc>
          <w:tcPr>
            <w:tcW w:w="2168" w:type="dxa"/>
          </w:tcPr>
          <w:p w:rsidRPr="00025F9D" w:rsidR="00850801" w:rsidP="00166233" w:rsidRDefault="00850801" w14:paraId="03D8E42B" w14:textId="77777777">
            <w:pPr>
              <w:rPr>
                <w:rFonts w:cstheme="minorHAnsi"/>
                <w:color w:val="000000"/>
                <w:szCs w:val="18"/>
                <w:highlight w:val="green"/>
              </w:rPr>
            </w:pPr>
            <w:r w:rsidRPr="00025F9D">
              <w:rPr>
                <w:rFonts w:cstheme="minorHAnsi"/>
                <w:color w:val="000000"/>
                <w:szCs w:val="18"/>
                <w:highlight w:val="green"/>
              </w:rPr>
              <w:t>4.360774</w:t>
            </w:r>
          </w:p>
        </w:tc>
        <w:tc>
          <w:tcPr>
            <w:tcW w:w="2132" w:type="dxa"/>
            <w:hideMark/>
          </w:tcPr>
          <w:p w:rsidRPr="00025F9D" w:rsidR="00850801" w:rsidP="00166233" w:rsidRDefault="00850801" w14:paraId="32B60204" w14:textId="77777777">
            <w:pPr>
              <w:spacing w:line="259" w:lineRule="auto"/>
              <w:rPr>
                <w:rFonts w:cstheme="minorHAnsi"/>
                <w:color w:val="000000"/>
                <w:szCs w:val="18"/>
                <w:highlight w:val="green"/>
              </w:rPr>
            </w:pPr>
            <w:r w:rsidRPr="00025F9D">
              <w:rPr>
                <w:rFonts w:cstheme="minorHAnsi"/>
                <w:color w:val="000000"/>
                <w:szCs w:val="18"/>
                <w:highlight w:val="green"/>
              </w:rPr>
              <w:t>53.712088</w:t>
            </w:r>
          </w:p>
        </w:tc>
      </w:tr>
      <w:tr w:rsidRPr="00025F9D" w:rsidR="00850801" w:rsidTr="00166233" w14:paraId="42490705" w14:textId="77777777">
        <w:trPr>
          <w:trHeight w:val="210"/>
        </w:trPr>
        <w:tc>
          <w:tcPr>
            <w:tcW w:w="2260" w:type="dxa"/>
          </w:tcPr>
          <w:p w:rsidRPr="00025F9D" w:rsidR="00850801" w:rsidP="00166233" w:rsidRDefault="00850801" w14:paraId="18FECF7F" w14:textId="77777777">
            <w:pPr>
              <w:spacing w:line="259" w:lineRule="auto"/>
              <w:rPr>
                <w:rFonts w:cstheme="minorHAnsi"/>
                <w:color w:val="000000"/>
                <w:szCs w:val="18"/>
                <w:highlight w:val="green"/>
              </w:rPr>
            </w:pPr>
            <w:r w:rsidRPr="00025F9D">
              <w:rPr>
                <w:rFonts w:cstheme="minorHAnsi"/>
                <w:color w:val="000000"/>
                <w:szCs w:val="18"/>
                <w:highlight w:val="green"/>
              </w:rPr>
              <w:t>E4</w:t>
            </w:r>
          </w:p>
        </w:tc>
        <w:tc>
          <w:tcPr>
            <w:tcW w:w="2168" w:type="dxa"/>
          </w:tcPr>
          <w:p w:rsidRPr="00025F9D" w:rsidR="00850801" w:rsidP="00166233" w:rsidRDefault="00850801" w14:paraId="026AE939" w14:textId="77777777">
            <w:pPr>
              <w:rPr>
                <w:rFonts w:cstheme="minorHAnsi"/>
                <w:color w:val="000000"/>
                <w:szCs w:val="18"/>
                <w:highlight w:val="green"/>
              </w:rPr>
            </w:pPr>
            <w:r w:rsidRPr="00025F9D">
              <w:rPr>
                <w:rFonts w:cstheme="minorHAnsi"/>
                <w:color w:val="000000"/>
                <w:szCs w:val="18"/>
                <w:highlight w:val="green"/>
              </w:rPr>
              <w:t>4.359118</w:t>
            </w:r>
          </w:p>
        </w:tc>
        <w:tc>
          <w:tcPr>
            <w:tcW w:w="2132" w:type="dxa"/>
            <w:hideMark/>
          </w:tcPr>
          <w:p w:rsidRPr="00025F9D" w:rsidR="00850801" w:rsidP="00166233" w:rsidRDefault="00850801" w14:paraId="5A81D804" w14:textId="77777777">
            <w:pPr>
              <w:spacing w:line="259" w:lineRule="auto"/>
              <w:rPr>
                <w:rFonts w:cstheme="minorHAnsi"/>
                <w:color w:val="000000"/>
                <w:szCs w:val="18"/>
                <w:highlight w:val="green"/>
              </w:rPr>
            </w:pPr>
            <w:r w:rsidRPr="00025F9D">
              <w:rPr>
                <w:rFonts w:cstheme="minorHAnsi"/>
                <w:color w:val="000000"/>
                <w:szCs w:val="18"/>
                <w:highlight w:val="green"/>
              </w:rPr>
              <w:t>53.614791</w:t>
            </w:r>
          </w:p>
        </w:tc>
      </w:tr>
      <w:tr w:rsidRPr="00025F9D" w:rsidR="00850801" w:rsidTr="00166233" w14:paraId="346308B5" w14:textId="77777777">
        <w:trPr>
          <w:trHeight w:val="195"/>
        </w:trPr>
        <w:tc>
          <w:tcPr>
            <w:tcW w:w="2260" w:type="dxa"/>
          </w:tcPr>
          <w:p w:rsidRPr="00025F9D" w:rsidR="00850801" w:rsidP="00166233" w:rsidRDefault="00850801" w14:paraId="069F1513" w14:textId="77777777">
            <w:pPr>
              <w:spacing w:line="259" w:lineRule="auto"/>
              <w:rPr>
                <w:rFonts w:cstheme="minorHAnsi"/>
                <w:color w:val="000000"/>
                <w:szCs w:val="18"/>
                <w:highlight w:val="green"/>
              </w:rPr>
            </w:pPr>
            <w:r w:rsidRPr="00025F9D">
              <w:rPr>
                <w:rFonts w:cstheme="minorHAnsi"/>
                <w:color w:val="000000"/>
                <w:szCs w:val="18"/>
                <w:highlight w:val="green"/>
              </w:rPr>
              <w:t>E5</w:t>
            </w:r>
          </w:p>
        </w:tc>
        <w:tc>
          <w:tcPr>
            <w:tcW w:w="2168" w:type="dxa"/>
          </w:tcPr>
          <w:p w:rsidRPr="00025F9D" w:rsidR="00850801" w:rsidP="00166233" w:rsidRDefault="00850801" w14:paraId="1FF82D9B" w14:textId="77777777">
            <w:pPr>
              <w:rPr>
                <w:rFonts w:cstheme="minorHAnsi"/>
                <w:color w:val="000000"/>
                <w:szCs w:val="18"/>
                <w:highlight w:val="green"/>
              </w:rPr>
            </w:pPr>
            <w:r w:rsidRPr="00025F9D">
              <w:rPr>
                <w:rFonts w:cstheme="minorHAnsi"/>
                <w:color w:val="000000"/>
                <w:szCs w:val="18"/>
                <w:highlight w:val="green"/>
              </w:rPr>
              <w:t>4.217697</w:t>
            </w:r>
          </w:p>
        </w:tc>
        <w:tc>
          <w:tcPr>
            <w:tcW w:w="2132" w:type="dxa"/>
            <w:hideMark/>
          </w:tcPr>
          <w:p w:rsidRPr="00025F9D" w:rsidR="00850801" w:rsidP="00166233" w:rsidRDefault="00850801" w14:paraId="0EFA5387" w14:textId="77777777">
            <w:pPr>
              <w:spacing w:line="259" w:lineRule="auto"/>
              <w:rPr>
                <w:rFonts w:cstheme="minorHAnsi"/>
                <w:color w:val="000000"/>
                <w:szCs w:val="18"/>
                <w:highlight w:val="green"/>
              </w:rPr>
            </w:pPr>
            <w:r w:rsidRPr="00025F9D">
              <w:rPr>
                <w:rFonts w:cstheme="minorHAnsi"/>
                <w:color w:val="000000"/>
                <w:szCs w:val="18"/>
                <w:highlight w:val="green"/>
              </w:rPr>
              <w:t>53.563564</w:t>
            </w:r>
          </w:p>
        </w:tc>
      </w:tr>
    </w:tbl>
    <w:p w:rsidR="00850801" w:rsidP="00850801" w:rsidRDefault="00850801" w14:paraId="5651D71A" w14:textId="77777777">
      <w:pPr>
        <w:spacing w:after="0"/>
        <w:rPr>
          <w:color w:val="000000"/>
          <w:szCs w:val="18"/>
          <w:lang w:val="nl-NL"/>
        </w:rPr>
      </w:pPr>
      <w:r w:rsidRPr="00025F9D">
        <w:rPr>
          <w:color w:val="000000"/>
          <w:szCs w:val="18"/>
          <w:highlight w:val="green"/>
          <w:lang w:val="nl-NL"/>
        </w:rPr>
        <w:t>Tabel 9. Coördinaten onderzoeksgebied E</w:t>
      </w:r>
    </w:p>
    <w:p w:rsidRPr="00BC184E" w:rsidR="00850801" w:rsidP="00850801" w:rsidRDefault="00850801" w14:paraId="1CB5E800" w14:textId="77777777">
      <w:pPr>
        <w:rPr>
          <w:lang w:val="nl-NL"/>
        </w:rPr>
      </w:pPr>
    </w:p>
    <w:p w:rsidRPr="00BC184E" w:rsidR="00CC2AE9" w:rsidP="00850801" w:rsidRDefault="00CC2AE9" w14:paraId="75A82346" w14:textId="77777777">
      <w:pPr>
        <w:rPr>
          <w:lang w:val="nl-NL"/>
        </w:rPr>
      </w:pPr>
    </w:p>
    <w:sectPr w:rsidRPr="00BC184E" w:rsidR="00CC2AE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99D4D" w14:textId="77777777" w:rsidR="009E447B" w:rsidRDefault="009E447B" w:rsidP="00305C24">
      <w:pPr>
        <w:spacing w:after="0" w:line="240" w:lineRule="auto"/>
      </w:pPr>
      <w:r>
        <w:separator/>
      </w:r>
    </w:p>
  </w:endnote>
  <w:endnote w:type="continuationSeparator" w:id="0">
    <w:p w14:paraId="270F393C" w14:textId="77777777" w:rsidR="009E447B" w:rsidRDefault="009E447B" w:rsidP="00305C24">
      <w:pPr>
        <w:spacing w:after="0" w:line="240" w:lineRule="auto"/>
      </w:pPr>
      <w:r>
        <w:continuationSeparator/>
      </w:r>
    </w:p>
  </w:endnote>
  <w:endnote w:type="continuationNotice" w:id="1">
    <w:p w14:paraId="1EF5DBAA" w14:textId="77777777" w:rsidR="009E447B" w:rsidRDefault="009E4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erif">
    <w:altName w:val="Times New Roman"/>
    <w:charset w:val="00"/>
    <w:family w:val="auto"/>
    <w:pitch w:val="variable"/>
    <w:sig w:usb0="A00000AF" w:usb1="4000204B" w:usb2="00000000" w:usb3="00000000" w:csb0="0000009B"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MS ??">
    <w:altName w:val="Yu Gothic UI"/>
    <w:panose1 w:val="00000000000000000000"/>
    <w:charset w:val="80"/>
    <w:family w:val="auto"/>
    <w:notTrueType/>
    <w:pitch w:val="variable"/>
    <w:sig w:usb0="00000000" w:usb1="08070000" w:usb2="00000010" w:usb3="00000000" w:csb0="00020000" w:csb1="00000000"/>
  </w:font>
  <w:font w:name="RijksoverheidSansText">
    <w:altName w:val="Arial"/>
    <w:charset w:val="00"/>
    <w:family w:val="swiss"/>
    <w:pitch w:val="variable"/>
    <w:sig w:usb0="00000087" w:usb1="00000001" w:usb2="00000000" w:usb3="00000000" w:csb0="0000009B" w:csb1="00000000"/>
  </w:font>
  <w:font w:name="RijksoverheidSansHeading">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RijksoverheidSansText-Regular">
    <w:altName w:val="Yu Gothic"/>
    <w:panose1 w:val="00000000000000000000"/>
    <w:charset w:val="80"/>
    <w:family w:val="swiss"/>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4410" w14:textId="04FD7F8A" w:rsidR="0033013C" w:rsidRDefault="0033013C">
    <w:pPr>
      <w:pStyle w:val="Footer"/>
    </w:pPr>
    <w:r>
      <w:rPr>
        <w:noProof/>
        <w:lang w:val="en-GB" w:eastAsia="en-GB"/>
      </w:rPr>
      <mc:AlternateContent>
        <mc:Choice Requires="wps">
          <w:drawing>
            <wp:anchor distT="0" distB="0" distL="0" distR="0" simplePos="0" relativeHeight="251659264" behindDoc="0" locked="0" layoutInCell="1" allowOverlap="1" wp14:anchorId="0C1284D6" wp14:editId="1A55CDE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CA342" w14:textId="042FDC2B" w:rsidR="0033013C" w:rsidRPr="0033013C" w:rsidRDefault="0033013C" w:rsidP="0033013C">
                          <w:pPr>
                            <w:spacing w:after="0"/>
                            <w:rPr>
                              <w:rFonts w:ascii="Calibri" w:eastAsia="Calibri" w:hAnsi="Calibri" w:cs="Calibri"/>
                              <w:noProof/>
                              <w:color w:val="000000"/>
                              <w:sz w:val="20"/>
                              <w:szCs w:val="20"/>
                            </w:rPr>
                          </w:pPr>
                          <w:r w:rsidRPr="0033013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284D6"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" filled="f" stroked="f">
              <v:textbox style="mso-fit-shape-to-text:t" inset="20pt,0,0,15pt">
                <w:txbxContent>
                  <w:p w14:paraId="309CA342" w14:textId="042FDC2B" w:rsidR="0033013C" w:rsidRPr="0033013C" w:rsidRDefault="0033013C" w:rsidP="0033013C">
                    <w:pPr>
                      <w:spacing w:after="0"/>
                      <w:rPr>
                        <w:rFonts w:ascii="Calibri" w:eastAsia="Calibri" w:hAnsi="Calibri" w:cs="Calibri"/>
                        <w:noProof/>
                        <w:color w:val="000000"/>
                        <w:sz w:val="20"/>
                        <w:szCs w:val="20"/>
                      </w:rPr>
                    </w:pPr>
                    <w:r w:rsidRPr="0033013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0374" w14:textId="5B8E8947" w:rsidR="001443C1" w:rsidRDefault="0033013C">
    <w:pPr>
      <w:pStyle w:val="Footer"/>
      <w:jc w:val="right"/>
    </w:pPr>
    <w:r>
      <w:rPr>
        <w:noProof/>
        <w:lang w:val="en-GB" w:eastAsia="en-GB"/>
      </w:rPr>
      <mc:AlternateContent>
        <mc:Choice Requires="wps">
          <w:drawing>
            <wp:anchor distT="0" distB="0" distL="0" distR="0" simplePos="0" relativeHeight="251660288" behindDoc="0" locked="0" layoutInCell="1" allowOverlap="1" wp14:anchorId="4B727E85" wp14:editId="595FF75D">
              <wp:simplePos x="914400" y="9963150"/>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B4990" w14:textId="5961F34D" w:rsidR="0033013C" w:rsidRPr="0033013C" w:rsidRDefault="0033013C" w:rsidP="0033013C">
                          <w:pPr>
                            <w:spacing w:after="0"/>
                            <w:rPr>
                              <w:rFonts w:ascii="Calibri" w:eastAsia="Calibri" w:hAnsi="Calibri" w:cs="Calibri"/>
                              <w:noProof/>
                              <w:color w:val="000000"/>
                              <w:sz w:val="20"/>
                              <w:szCs w:val="20"/>
                            </w:rPr>
                          </w:pPr>
                          <w:r w:rsidRPr="0033013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727E85" id="_x0000_t202" coordsize="21600,21600" o:spt="202" path="m,l,21600r21600,l21600,xe">
              <v:stroke joinstyle="miter"/>
              <v:path gradientshapeok="t" o:connecttype="rect"/>
            </v:shapetype>
            <v:shape id="Tekstvak 4" o:spid="_x0000_s1027"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" filled="f" stroked="f">
              <v:textbox style="mso-fit-shape-to-text:t" inset="20pt,0,0,15pt">
                <w:txbxContent>
                  <w:p w14:paraId="4D9B4990" w14:textId="5961F34D" w:rsidR="0033013C" w:rsidRPr="0033013C" w:rsidRDefault="0033013C" w:rsidP="0033013C">
                    <w:pPr>
                      <w:spacing w:after="0"/>
                      <w:rPr>
                        <w:rFonts w:ascii="Calibri" w:eastAsia="Calibri" w:hAnsi="Calibri" w:cs="Calibri"/>
                        <w:noProof/>
                        <w:color w:val="000000"/>
                        <w:sz w:val="20"/>
                        <w:szCs w:val="20"/>
                      </w:rPr>
                    </w:pPr>
                    <w:r w:rsidRPr="0033013C">
                      <w:rPr>
                        <w:rFonts w:ascii="Calibri" w:eastAsia="Calibri" w:hAnsi="Calibri" w:cs="Calibri"/>
                        <w:noProof/>
                        <w:color w:val="000000"/>
                        <w:sz w:val="20"/>
                        <w:szCs w:val="20"/>
                      </w:rPr>
                      <w:t>Intern gebruik</w:t>
                    </w:r>
                  </w:p>
                </w:txbxContent>
              </v:textbox>
              <w10:wrap anchorx="page" anchory="page"/>
            </v:shape>
          </w:pict>
        </mc:Fallback>
      </mc:AlternateContent>
    </w:r>
    <w:sdt>
      <w:sdtPr>
        <w:id w:val="-1887861696"/>
        <w:docPartObj>
          <w:docPartGallery w:val="Page Numbers (Bottom of Page)"/>
          <w:docPartUnique/>
        </w:docPartObj>
      </w:sdtPr>
      <w:sdtEndPr/>
      <w:sdtContent>
        <w:r w:rsidR="001443C1">
          <w:fldChar w:fldCharType="begin"/>
        </w:r>
        <w:r w:rsidR="001443C1">
          <w:instrText>PAGE   \* MERGEFORMAT</w:instrText>
        </w:r>
        <w:r w:rsidR="001443C1">
          <w:fldChar w:fldCharType="separate"/>
        </w:r>
        <w:r w:rsidR="007A1CC4" w:rsidRPr="007A1CC4">
          <w:rPr>
            <w:noProof/>
            <w:lang w:val="nl-NL"/>
          </w:rPr>
          <w:t>1</w:t>
        </w:r>
        <w:r w:rsidR="001443C1">
          <w:fldChar w:fldCharType="end"/>
        </w:r>
      </w:sdtContent>
    </w:sdt>
  </w:p>
  <w:p w14:paraId="017F67A9" w14:textId="77777777" w:rsidR="001443C1" w:rsidRDefault="00144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1774" w14:textId="180FB780" w:rsidR="0033013C" w:rsidRDefault="0033013C">
    <w:pPr>
      <w:pStyle w:val="Footer"/>
    </w:pPr>
    <w:r>
      <w:rPr>
        <w:noProof/>
        <w:lang w:val="en-GB" w:eastAsia="en-GB"/>
      </w:rPr>
      <mc:AlternateContent>
        <mc:Choice Requires="wps">
          <w:drawing>
            <wp:anchor distT="0" distB="0" distL="0" distR="0" simplePos="0" relativeHeight="251658240" behindDoc="0" locked="0" layoutInCell="1" allowOverlap="1" wp14:anchorId="2DFF5D0E" wp14:editId="1BA9CCDB">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8A91E" w14:textId="739CD26A" w:rsidR="0033013C" w:rsidRPr="0033013C" w:rsidRDefault="0033013C" w:rsidP="0033013C">
                          <w:pPr>
                            <w:spacing w:after="0"/>
                            <w:rPr>
                              <w:rFonts w:ascii="Calibri" w:eastAsia="Calibri" w:hAnsi="Calibri" w:cs="Calibri"/>
                              <w:noProof/>
                              <w:color w:val="000000"/>
                              <w:sz w:val="20"/>
                              <w:szCs w:val="20"/>
                            </w:rPr>
                          </w:pPr>
                          <w:r w:rsidRPr="0033013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F5D0E"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" filled="f" stroked="f">
              <v:textbox style="mso-fit-shape-to-text:t" inset="20pt,0,0,15pt">
                <w:txbxContent>
                  <w:p w14:paraId="5898A91E" w14:textId="739CD26A" w:rsidR="0033013C" w:rsidRPr="0033013C" w:rsidRDefault="0033013C" w:rsidP="0033013C">
                    <w:pPr>
                      <w:spacing w:after="0"/>
                      <w:rPr>
                        <w:rFonts w:ascii="Calibri" w:eastAsia="Calibri" w:hAnsi="Calibri" w:cs="Calibri"/>
                        <w:noProof/>
                        <w:color w:val="000000"/>
                        <w:sz w:val="20"/>
                        <w:szCs w:val="20"/>
                      </w:rPr>
                    </w:pPr>
                    <w:r w:rsidRPr="0033013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37704" w14:textId="77777777" w:rsidR="009E447B" w:rsidRDefault="009E447B" w:rsidP="00305C24">
      <w:pPr>
        <w:spacing w:after="0" w:line="240" w:lineRule="auto"/>
      </w:pPr>
      <w:r>
        <w:separator/>
      </w:r>
    </w:p>
  </w:footnote>
  <w:footnote w:type="continuationSeparator" w:id="0">
    <w:p w14:paraId="22BAEADA" w14:textId="77777777" w:rsidR="009E447B" w:rsidRDefault="009E447B" w:rsidP="00305C24">
      <w:pPr>
        <w:spacing w:after="0" w:line="240" w:lineRule="auto"/>
      </w:pPr>
      <w:r>
        <w:continuationSeparator/>
      </w:r>
    </w:p>
  </w:footnote>
  <w:footnote w:type="continuationNotice" w:id="1">
    <w:p w14:paraId="1471E61C" w14:textId="77777777" w:rsidR="009E447B" w:rsidRDefault="009E447B">
      <w:pPr>
        <w:spacing w:after="0" w:line="240" w:lineRule="auto"/>
      </w:pPr>
    </w:p>
  </w:footnote>
  <w:footnote w:id="2">
    <w:p w14:paraId="123A3A7D" w14:textId="24B20207" w:rsidR="00B15FB8" w:rsidRPr="00B15FB8" w:rsidRDefault="00B15FB8">
      <w:pPr>
        <w:pStyle w:val="FootnoteText"/>
        <w:rPr>
          <w:i/>
          <w:iCs/>
        </w:rPr>
      </w:pPr>
      <w:r>
        <w:rPr>
          <w:rStyle w:val="FootnoteReference"/>
        </w:rPr>
        <w:footnoteRef/>
      </w:r>
      <w:r>
        <w:t xml:space="preserve"> </w:t>
      </w:r>
      <w:r>
        <w:rPr>
          <w:i/>
          <w:iCs/>
        </w:rPr>
        <w:t>Hier dezelfde voetnoot invoegen als in PNZ zelf</w:t>
      </w:r>
    </w:p>
  </w:footnote>
  <w:footnote w:id="3">
    <w:p w14:paraId="2D52B586" w14:textId="77777777" w:rsidR="001443C1" w:rsidRPr="009A31DE" w:rsidRDefault="001443C1" w:rsidP="009C04FF">
      <w:pPr>
        <w:pStyle w:val="FootnoteText"/>
        <w:rPr>
          <w:sz w:val="13"/>
          <w:szCs w:val="13"/>
        </w:rPr>
      </w:pPr>
      <w:r>
        <w:rPr>
          <w:rStyle w:val="FootnoteReference"/>
        </w:rPr>
        <w:footnoteRef/>
      </w:r>
      <w:r>
        <w:t xml:space="preserve"> </w:t>
      </w:r>
      <w:r w:rsidRPr="009A31DE">
        <w:rPr>
          <w:sz w:val="13"/>
          <w:szCs w:val="13"/>
        </w:rPr>
        <w:t>Verwijzing opnemen naar de laatste studie van TNO en EBN (2020) (nu nog concept)</w:t>
      </w:r>
    </w:p>
  </w:footnote>
  <w:footnote w:id="4">
    <w:p w14:paraId="281A75BF" w14:textId="7DFA72E9" w:rsidR="001443C1" w:rsidRPr="00EF1372" w:rsidRDefault="001443C1" w:rsidP="00323192">
      <w:pPr>
        <w:pStyle w:val="FootnoteText"/>
        <w:rPr>
          <w:sz w:val="16"/>
        </w:rPr>
      </w:pPr>
      <w:r>
        <w:rPr>
          <w:rStyle w:val="FootnoteReference"/>
        </w:rPr>
        <w:footnoteRef/>
      </w:r>
      <w:r>
        <w:t xml:space="preserve"> </w:t>
      </w:r>
      <w:r w:rsidRPr="00EF1372">
        <w:rPr>
          <w:sz w:val="16"/>
        </w:rPr>
        <w:t xml:space="preserve">Visserij in de kustzone omvat alle visserij activiteiten (waar dan ook op de wereld) van visserijbedrijven die gevestigd zijn in de kustzone. Omdat er gedeeltelijk overlap bestaat tussen </w:t>
      </w:r>
      <w:r>
        <w:rPr>
          <w:sz w:val="16"/>
        </w:rPr>
        <w:t>visserij in de kustzone en vi</w:t>
      </w:r>
      <w:r w:rsidRPr="00EF1372">
        <w:rPr>
          <w:sz w:val="16"/>
        </w:rPr>
        <w:t>sserij op zee zoals hier</w:t>
      </w:r>
      <w:r>
        <w:rPr>
          <w:sz w:val="16"/>
        </w:rPr>
        <w:t>voor</w:t>
      </w:r>
      <w:r w:rsidRPr="00EF1372">
        <w:rPr>
          <w:sz w:val="16"/>
        </w:rPr>
        <w:t xml:space="preserve"> beschreven als onderdeel van activiteiten op zee, mogen </w:t>
      </w:r>
      <w:r>
        <w:rPr>
          <w:sz w:val="16"/>
        </w:rPr>
        <w:t xml:space="preserve">beide </w:t>
      </w:r>
      <w:r w:rsidRPr="00EF1372">
        <w:rPr>
          <w:sz w:val="16"/>
        </w:rPr>
        <w:t xml:space="preserve"> cijfers niet bij elkaar worden opgeteld vanwege mogelijke dubbeltelling. </w:t>
      </w:r>
    </w:p>
  </w:footnote>
  <w:footnote w:id="5">
    <w:p w14:paraId="4E8D2D34" w14:textId="77777777" w:rsidR="001443C1" w:rsidRDefault="001443C1" w:rsidP="00323192">
      <w:pPr>
        <w:pStyle w:val="voettekt"/>
      </w:pPr>
      <w:r>
        <w:rPr>
          <w:rStyle w:val="FootnoteReference"/>
        </w:rPr>
        <w:footnoteRef/>
      </w:r>
      <w:r>
        <w:t xml:space="preserve"> Voor de activiteiten op zee hebben de getallen in de tabel alleen betrekking op de activiteiten op het NCP voor zover die een bijdrage leveren aan de Nederlandse economie. Dit betekent dat bijvoorbeeld de economische waarde van buitenlandse schepen niet is meegeteld in de cijfers voor de scheepvaart. Omgekeerd is een groot deel van de economische waarde van de Nederlandse visserij niet meegenomen omdat die plaatsvindt buiten het NCP. De reden om alleen cijfers m.b.t. tot het NCP te presenteren is omdat de KRM-verplichting voor Nederland betrekking heeft op het Nederlandse deel van de Noordzee.  </w:t>
      </w:r>
    </w:p>
    <w:p w14:paraId="08E27741" w14:textId="77777777" w:rsidR="001443C1" w:rsidRDefault="001443C1" w:rsidP="00323192">
      <w:pPr>
        <w:pStyle w:val="voettekt"/>
      </w:pPr>
      <w:r>
        <w:t xml:space="preserve">Verder geldt dat voor windenergie de CBS-cijfers alleen betrekking hebben op de exploitatiefase. Daarom is ook de inschatting van de toekomstige trend gebaseerd op de directe economische effecten in de exploitatiefase. WEcR presenteert ook cijfers voor de verwachte economische effecten van de aanlegfase. Die zullen naar verwachting significant zijn, maar zijn in de bovenstaande cijfers dus niet verwerkt. Evenmin zijn de indirecte effecten van de verschillende activiteiten in deze cijfers meegenomen. Dit betreft bijvoorbeeld werkgelegenheid die ontstaat in de havens door het bouwen van windmolens op zee, maar ook de eventuele afname van werkgelegenheid als door de omschakeling op windenergie een kolencentrale zou worden gesloten. </w:t>
      </w:r>
    </w:p>
    <w:p w14:paraId="4B5F263A" w14:textId="77777777" w:rsidR="001443C1" w:rsidRDefault="001443C1" w:rsidP="00323192">
      <w:pPr>
        <w:pStyle w:val="FootnoteText"/>
      </w:pPr>
    </w:p>
  </w:footnote>
  <w:footnote w:id="6">
    <w:p w14:paraId="405F8D8F" w14:textId="59775176" w:rsidR="001443C1" w:rsidRPr="00CC3621" w:rsidRDefault="001443C1" w:rsidP="0070550F">
      <w:pPr>
        <w:pStyle w:val="FootnoteText"/>
        <w:rPr>
          <w:sz w:val="16"/>
        </w:rPr>
      </w:pPr>
      <w:r w:rsidRPr="00CC3621">
        <w:rPr>
          <w:rStyle w:val="FootnoteReference"/>
          <w:sz w:val="16"/>
        </w:rPr>
        <w:footnoteRef/>
      </w:r>
      <w:r w:rsidRPr="00CC3621">
        <w:rPr>
          <w:sz w:val="16"/>
        </w:rPr>
        <w:t xml:space="preserve"> De criteria D1C1, D1C2 en D1C3 moeten niet alleen voor vissoorten, maar ook voor inktvissoorte</w:t>
      </w:r>
      <w:r>
        <w:rPr>
          <w:sz w:val="16"/>
        </w:rPr>
        <w:t>n</w:t>
      </w:r>
      <w:r w:rsidRPr="00CC3621">
        <w:rPr>
          <w:sz w:val="16"/>
        </w:rPr>
        <w:t xml:space="preserve"> (koppotigen) worden uitgewerkt. Dit is tot nu toe niet gebeurd, mede omdat over deze soorten weinig informatie beschikbaar is. In </w:t>
      </w:r>
      <w:r w:rsidRPr="006427B1">
        <w:rPr>
          <w:sz w:val="16"/>
        </w:rPr>
        <w:t>202</w:t>
      </w:r>
      <w:r>
        <w:rPr>
          <w:sz w:val="16"/>
        </w:rPr>
        <w:t>2</w:t>
      </w:r>
      <w:r w:rsidRPr="00CC3621">
        <w:rPr>
          <w:sz w:val="16"/>
        </w:rPr>
        <w:t xml:space="preserve"> wordt uitgezocht hoe dit wél mogelijk is. Zie verder paragraaf 3.4 voor de goede milieutoestand van commerciële vispopulaties (D3C1en D3C2).</w:t>
      </w:r>
    </w:p>
  </w:footnote>
  <w:footnote w:id="7">
    <w:p w14:paraId="15B3C18B" w14:textId="682998E5" w:rsidR="001443C1" w:rsidRPr="004968C9" w:rsidRDefault="001443C1" w:rsidP="00601347">
      <w:pPr>
        <w:pStyle w:val="FootnoteText"/>
        <w:rPr>
          <w:sz w:val="16"/>
        </w:rPr>
      </w:pPr>
      <w:r w:rsidRPr="004968C9">
        <w:rPr>
          <w:rStyle w:val="FootnoteReference"/>
          <w:sz w:val="16"/>
        </w:rPr>
        <w:footnoteRef/>
      </w:r>
      <w:r w:rsidRPr="004968C9">
        <w:rPr>
          <w:sz w:val="16"/>
        </w:rPr>
        <w:t xml:space="preserve"> </w:t>
      </w:r>
      <w:r>
        <w:rPr>
          <w:sz w:val="16"/>
        </w:rPr>
        <w:t xml:space="preserve">De NEAES is vastgesteld door OSPAR op 1 oktober 2021: </w:t>
      </w:r>
      <w:r w:rsidRPr="00CE4747">
        <w:rPr>
          <w:sz w:val="16"/>
        </w:rPr>
        <w:t>https://www.ospar.org/convention/strategy</w:t>
      </w:r>
    </w:p>
  </w:footnote>
  <w:footnote w:id="8">
    <w:p w14:paraId="291FC398" w14:textId="02920580" w:rsidR="00B15FB8" w:rsidRDefault="00B15FB8">
      <w:pPr>
        <w:pStyle w:val="FootnoteText"/>
      </w:pPr>
      <w:r>
        <w:rPr>
          <w:rStyle w:val="FootnoteReference"/>
        </w:rPr>
        <w:footnoteRef/>
      </w:r>
      <w:r>
        <w:t xml:space="preserve"> </w:t>
      </w:r>
      <w:r>
        <w:rPr>
          <w:i/>
          <w:iCs/>
        </w:rPr>
        <w:t>Hier dezelfde voetnoot invoegen als in PNZ zelf</w:t>
      </w:r>
    </w:p>
  </w:footnote>
  <w:footnote w:id="9">
    <w:p w14:paraId="0A04DFCC" w14:textId="708C1235" w:rsidR="001443C1" w:rsidRPr="00FB36AF" w:rsidRDefault="001443C1" w:rsidP="0070550F">
      <w:pPr>
        <w:pStyle w:val="voettekt"/>
      </w:pPr>
      <w:r>
        <w:rPr>
          <w:rStyle w:val="FootnoteReference"/>
        </w:rPr>
        <w:footnoteRef/>
      </w:r>
      <w:r w:rsidRPr="00FB36AF">
        <w:t xml:space="preserve"> O</w:t>
      </w:r>
      <w:r>
        <w:t>nder andere</w:t>
      </w:r>
      <w:r w:rsidRPr="00FB36AF">
        <w:t xml:space="preserve"> Verordening (EG) Nr. 1881/2006 van de Commissie van 19 december 2006 tot vaststelling van de maximumgehalten</w:t>
      </w:r>
      <w:r>
        <w:t xml:space="preserve"> </w:t>
      </w:r>
      <w:r w:rsidRPr="00FB36AF">
        <w:t>aan bepaalde verontreinigingen in levensmiddelen (2006), en Verordening (EG) Nr. 396/2005 van het Europese Parlement en</w:t>
      </w:r>
      <w:r>
        <w:t xml:space="preserve"> </w:t>
      </w:r>
      <w:r w:rsidRPr="00FB36AF">
        <w:t>de Raad van 23 februari 2005 tot vaststelling van maximumgehalten aan bestrijdingsmiddelenresiduen in of op levensmiddelen en diervoeders van plantaardige en dierlijke oorsprong en houdende wijziging van Richtlijn</w:t>
      </w:r>
      <w:r>
        <w:t xml:space="preserve"> </w:t>
      </w:r>
      <w:r w:rsidRPr="00FB36AF">
        <w:t>91/414/EG van de Raad (2005)</w:t>
      </w:r>
      <w:r>
        <w:t>.</w:t>
      </w:r>
    </w:p>
  </w:footnote>
  <w:footnote w:id="10">
    <w:p w14:paraId="12D7094D" w14:textId="77777777" w:rsidR="001443C1" w:rsidRPr="00F02C90" w:rsidRDefault="001443C1" w:rsidP="0070550F">
      <w:pPr>
        <w:pStyle w:val="voettekt"/>
        <w:rPr>
          <w:lang w:val="en-US"/>
        </w:rPr>
      </w:pPr>
      <w:r>
        <w:rPr>
          <w:rStyle w:val="FootnoteReference"/>
        </w:rPr>
        <w:footnoteRef/>
      </w:r>
      <w:r w:rsidRPr="00F02C90">
        <w:rPr>
          <w:lang w:val="en-US"/>
        </w:rPr>
        <w:t xml:space="preserve"> </w:t>
      </w:r>
      <w:r w:rsidRPr="00EC539B">
        <w:rPr>
          <w:lang w:val="en-US"/>
        </w:rPr>
        <w:t>Council Regulation (Euratom) No 3954</w:t>
      </w:r>
      <w:r w:rsidRPr="00D3529B">
        <w:rPr>
          <w:lang w:val="en-US"/>
        </w:rPr>
        <w:t xml:space="preserve">/87 </w:t>
      </w:r>
      <w:r w:rsidRPr="00437CB1">
        <w:rPr>
          <w:lang w:val="en-US"/>
        </w:rPr>
        <w:t xml:space="preserve">of 22 December 1987 laying down maximum permitted levels of radioactive contamination of foodstuffs and of feedingstuffs following a nuclear accident or any other case of </w:t>
      </w:r>
      <w:r w:rsidRPr="006F0C9E">
        <w:rPr>
          <w:lang w:val="en-US"/>
        </w:rPr>
        <w:t>radiological emergency (1987)</w:t>
      </w:r>
      <w:r>
        <w:rPr>
          <w:lang w:val="en-US"/>
        </w:rPr>
        <w:t>.</w:t>
      </w:r>
    </w:p>
  </w:footnote>
  <w:footnote w:id="11">
    <w:p w14:paraId="560AF00E" w14:textId="77777777" w:rsidR="001443C1" w:rsidRDefault="001443C1" w:rsidP="000825B2">
      <w:pPr>
        <w:pStyle w:val="FootnoteText"/>
      </w:pPr>
      <w:r>
        <w:rPr>
          <w:rStyle w:val="FootnoteReference"/>
        </w:rPr>
        <w:footnoteRef/>
      </w:r>
      <w:r>
        <w:t xml:space="preserve"> </w:t>
      </w:r>
      <w:r w:rsidRPr="00ED497B">
        <w:rPr>
          <w:sz w:val="16"/>
          <w:szCs w:val="16"/>
        </w:rPr>
        <w:t xml:space="preserve">Het kabinet geeft met de </w:t>
      </w:r>
      <w:r w:rsidRPr="00AF1E71">
        <w:rPr>
          <w:i/>
          <w:iCs/>
          <w:sz w:val="16"/>
          <w:szCs w:val="16"/>
        </w:rPr>
        <w:t>Green Deal</w:t>
      </w:r>
      <w:r w:rsidRPr="00ED497B">
        <w:rPr>
          <w:sz w:val="16"/>
          <w:szCs w:val="16"/>
        </w:rPr>
        <w:t xml:space="preserve">-aanpak ruimte aan vernieuwende initiatieven uit de samenleving om de transitie naar een duurzame economie te versnellen. Bij de uitvoering van nieuwe duurzame initiatieven kan men tegen verschillende barrières aanlopen en deze aanpak kan sommige van deze barrières wegnemen. De rol van de overheid verschilt per initiatief, maar </w:t>
      </w:r>
      <w:r>
        <w:rPr>
          <w:sz w:val="16"/>
          <w:szCs w:val="16"/>
        </w:rPr>
        <w:t>denk</w:t>
      </w:r>
      <w:r w:rsidRPr="00ED497B">
        <w:rPr>
          <w:sz w:val="16"/>
          <w:szCs w:val="16"/>
        </w:rPr>
        <w:t xml:space="preserve"> aan het wegnemen van belemmeringen in wet- en regelgeving, toegankelijk maken van netwerken, ondersteunen van toegang tot de kapitaalmarkt of het inbrengen van kennis. </w:t>
      </w:r>
      <w:r w:rsidRPr="00AF1E71">
        <w:rPr>
          <w:i/>
          <w:iCs/>
          <w:sz w:val="16"/>
          <w:szCs w:val="16"/>
        </w:rPr>
        <w:t>Green Deals</w:t>
      </w:r>
      <w:r w:rsidRPr="00ED497B">
        <w:rPr>
          <w:sz w:val="16"/>
          <w:szCs w:val="16"/>
        </w:rPr>
        <w:t xml:space="preserve"> hebben gemiddeld een doorlooptijd van </w:t>
      </w:r>
      <w:r>
        <w:rPr>
          <w:sz w:val="16"/>
          <w:szCs w:val="16"/>
        </w:rPr>
        <w:t>twee</w:t>
      </w:r>
      <w:r w:rsidRPr="00ED497B">
        <w:rPr>
          <w:sz w:val="16"/>
          <w:szCs w:val="16"/>
        </w:rPr>
        <w:t xml:space="preserve"> tot </w:t>
      </w:r>
      <w:r>
        <w:rPr>
          <w:sz w:val="16"/>
          <w:szCs w:val="16"/>
        </w:rPr>
        <w:t>drie</w:t>
      </w:r>
      <w:r w:rsidRPr="00ED497B">
        <w:rPr>
          <w:sz w:val="16"/>
          <w:szCs w:val="16"/>
        </w:rPr>
        <w:t xml:space="preserve"> jaar.</w:t>
      </w:r>
    </w:p>
  </w:footnote>
  <w:footnote w:id="12">
    <w:p w14:paraId="58C0F63C" w14:textId="0E31499A" w:rsidR="001443C1" w:rsidRPr="00297DCA" w:rsidRDefault="001443C1" w:rsidP="000825B2">
      <w:pPr>
        <w:pStyle w:val="FootnoteText"/>
        <w:rPr>
          <w:sz w:val="18"/>
          <w:szCs w:val="18"/>
        </w:rPr>
      </w:pPr>
      <w:r>
        <w:rPr>
          <w:rStyle w:val="FootnoteReference"/>
        </w:rPr>
        <w:footnoteRef/>
      </w:r>
      <w:r>
        <w:t xml:space="preserve"> </w:t>
      </w:r>
      <w:r w:rsidRPr="00297DCA">
        <w:rPr>
          <w:sz w:val="18"/>
          <w:szCs w:val="18"/>
        </w:rPr>
        <w:t>Voor meer informatie over het Beleidsprogramma Microplastics, zie</w:t>
      </w:r>
      <w:r>
        <w:rPr>
          <w:sz w:val="18"/>
          <w:szCs w:val="18"/>
        </w:rPr>
        <w:t xml:space="preserve"> </w:t>
      </w:r>
      <w:hyperlink r:id="rId1" w:history="1">
        <w:r w:rsidRPr="00297DCA">
          <w:rPr>
            <w:rStyle w:val="Hyperlink"/>
            <w:sz w:val="18"/>
            <w:szCs w:val="18"/>
          </w:rPr>
          <w:t>https://www.tweedekamer.nl/kamerstukken/detail?id=2021D25682&amp;did=2021D25682</w:t>
        </w:r>
      </w:hyperlink>
      <w:r w:rsidRPr="00297DCA">
        <w:rPr>
          <w:sz w:val="18"/>
          <w:szCs w:val="18"/>
        </w:rPr>
        <w:t xml:space="preserve"> </w:t>
      </w:r>
    </w:p>
  </w:footnote>
  <w:footnote w:id="13">
    <w:p w14:paraId="4C5C1CE3" w14:textId="77777777" w:rsidR="001443C1" w:rsidRPr="00280560" w:rsidRDefault="001443C1" w:rsidP="000825B2">
      <w:pPr>
        <w:pStyle w:val="FootnoteText"/>
        <w:rPr>
          <w:sz w:val="18"/>
          <w:szCs w:val="18"/>
        </w:rPr>
      </w:pPr>
      <w:r w:rsidRPr="00A95EC5">
        <w:rPr>
          <w:rStyle w:val="FootnoteReference"/>
          <w:sz w:val="18"/>
          <w:szCs w:val="18"/>
        </w:rPr>
        <w:footnoteRef/>
      </w:r>
      <w:r w:rsidRPr="00280560">
        <w:rPr>
          <w:sz w:val="18"/>
          <w:szCs w:val="18"/>
        </w:rPr>
        <w:t xml:space="preserve"> Zie: schonestranden.nl voor meer informatie</w:t>
      </w:r>
    </w:p>
  </w:footnote>
  <w:footnote w:id="14">
    <w:p w14:paraId="483F4D73" w14:textId="77777777" w:rsidR="001443C1" w:rsidRPr="008E14F1" w:rsidRDefault="001443C1" w:rsidP="000825B2">
      <w:pPr>
        <w:pStyle w:val="FootnoteText"/>
        <w:rPr>
          <w:sz w:val="16"/>
          <w:szCs w:val="16"/>
        </w:rPr>
      </w:pPr>
      <w:r w:rsidRPr="008E14F1">
        <w:rPr>
          <w:rStyle w:val="FootnoteReference"/>
          <w:sz w:val="16"/>
          <w:szCs w:val="16"/>
        </w:rPr>
        <w:footnoteRef/>
      </w:r>
      <w:r w:rsidRPr="008E14F1">
        <w:rPr>
          <w:sz w:val="16"/>
          <w:szCs w:val="16"/>
        </w:rPr>
        <w:t xml:space="preserve"> M</w:t>
      </w:r>
      <w:r w:rsidRPr="008E14F1">
        <w:rPr>
          <w:rFonts w:eastAsia="RijksoverheidSerif-Regular" w:cs="RijksoverheidSerif-Regular"/>
          <w:sz w:val="16"/>
          <w:szCs w:val="16"/>
        </w:rPr>
        <w:t>onitoringsdata aangepast door meso-plastics (0.5-2.5 cm) te verwijderen, in</w:t>
      </w:r>
      <w:r w:rsidRPr="008E14F1">
        <w:rPr>
          <w:sz w:val="16"/>
          <w:szCs w:val="16"/>
        </w:rPr>
        <w:t xml:space="preserve"> lijn met laatste EU adviezen (Hanke et al, 2019) en OSPAR CEMP Guidelines Marine Monitoring of Beach litter (OSPAR 2020). Naar verwachting zal voor de kleine stukjes in de toekomst wel een aparte analyse worden gemaakt.</w:t>
      </w:r>
    </w:p>
  </w:footnote>
  <w:footnote w:id="15">
    <w:p w14:paraId="3F8B0819" w14:textId="77777777" w:rsidR="001443C1" w:rsidRDefault="001443C1" w:rsidP="000825B2">
      <w:pPr>
        <w:pStyle w:val="FootnoteText"/>
      </w:pPr>
      <w:r>
        <w:rPr>
          <w:rStyle w:val="FootnoteReference"/>
        </w:rPr>
        <w:footnoteRef/>
      </w:r>
      <w:r>
        <w:t xml:space="preserve"> </w:t>
      </w:r>
      <w:r>
        <w:rPr>
          <w:sz w:val="16"/>
          <w:szCs w:val="16"/>
        </w:rPr>
        <w:t>Voor de items die in tabel 1 vetgedrukt zijn, zijn er significante afnames gevonden.</w:t>
      </w:r>
    </w:p>
  </w:footnote>
  <w:footnote w:id="16">
    <w:p w14:paraId="53C28052" w14:textId="7B922416" w:rsidR="001443C1" w:rsidRDefault="001443C1" w:rsidP="000825B2">
      <w:pPr>
        <w:pStyle w:val="FootnoteText"/>
        <w:rPr>
          <w:sz w:val="16"/>
        </w:rPr>
      </w:pPr>
      <w:r>
        <w:rPr>
          <w:rStyle w:val="FootnoteReference"/>
          <w:sz w:val="16"/>
        </w:rPr>
        <w:footnoteRef/>
      </w:r>
      <w:r>
        <w:rPr>
          <w:sz w:val="16"/>
        </w:rPr>
        <w:t xml:space="preserve"> Zie Tekstbox 2 (</w:t>
      </w:r>
      <w:r w:rsidRPr="00797EF3">
        <w:rPr>
          <w:rStyle w:val="IntenseEmphasis"/>
          <w:color w:val="auto"/>
          <w:sz w:val="16"/>
          <w:szCs w:val="16"/>
        </w:rPr>
        <w:t>Gevolgen van het incident van de MSC Zoe</w:t>
      </w:r>
      <w:r>
        <w:rPr>
          <w:sz w:val="16"/>
        </w:rPr>
        <w:t>) onder de paragraaf ‘Geïmplementeerde maatregelen' voor meer informatie</w:t>
      </w:r>
    </w:p>
  </w:footnote>
  <w:footnote w:id="17">
    <w:p w14:paraId="67C1B070" w14:textId="390DDD9B" w:rsidR="001443C1" w:rsidRPr="00C52445" w:rsidRDefault="001443C1" w:rsidP="000825B2">
      <w:pPr>
        <w:pStyle w:val="FootnoteText"/>
        <w:rPr>
          <w:sz w:val="16"/>
        </w:rPr>
      </w:pPr>
      <w:r w:rsidRPr="00C52445">
        <w:rPr>
          <w:rStyle w:val="FootnoteReference"/>
          <w:sz w:val="16"/>
        </w:rPr>
        <w:footnoteRef/>
      </w:r>
      <w:r w:rsidRPr="00C52445">
        <w:rPr>
          <w:sz w:val="16"/>
        </w:rPr>
        <w:t xml:space="preserve"> </w:t>
      </w:r>
      <w:r w:rsidRPr="00C52445">
        <w:rPr>
          <w:sz w:val="16"/>
          <w:szCs w:val="18"/>
        </w:rPr>
        <w:t xml:space="preserve">De vrijwillige afspraken </w:t>
      </w:r>
      <w:r>
        <w:rPr>
          <w:sz w:val="16"/>
          <w:szCs w:val="18"/>
        </w:rPr>
        <w:t xml:space="preserve">zijn middels een intentieverklaring verlengd tot en met 2023, voor zover de partners geen verdere verlenging afspreken. </w:t>
      </w:r>
    </w:p>
  </w:footnote>
  <w:footnote w:id="18">
    <w:p w14:paraId="25D39E97" w14:textId="77777777" w:rsidR="001443C1" w:rsidRPr="0022093E" w:rsidRDefault="001443C1" w:rsidP="000825B2">
      <w:pPr>
        <w:pStyle w:val="FootnoteText"/>
        <w:rPr>
          <w:color w:val="auto"/>
        </w:rPr>
      </w:pPr>
      <w:r w:rsidRPr="0022093E">
        <w:rPr>
          <w:rStyle w:val="FootnoteReference"/>
          <w:color w:val="auto"/>
          <w:sz w:val="16"/>
        </w:rPr>
        <w:footnoteRef/>
      </w:r>
      <w:r w:rsidRPr="0022093E">
        <w:rPr>
          <w:color w:val="auto"/>
          <w:sz w:val="16"/>
        </w:rPr>
        <w:t xml:space="preserve"> </w:t>
      </w:r>
      <w:r w:rsidRPr="001E157D">
        <w:rPr>
          <w:color w:val="auto"/>
          <w:sz w:val="16"/>
        </w:rPr>
        <w:t>ZorgOnderzoek Nederland (ZON) en het gebied Medische Wetenschappen (MW) van NWO.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A8785" w14:textId="77777777" w:rsidR="001443C1" w:rsidRDefault="00144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205"/>
    <w:multiLevelType w:val="hybridMultilevel"/>
    <w:tmpl w:val="FF7A9066"/>
    <w:lvl w:ilvl="0" w:tplc="4C48FB3A">
      <w:numFmt w:val="bullet"/>
      <w:lvlText w:val="•"/>
      <w:lvlJc w:val="left"/>
      <w:pPr>
        <w:ind w:left="360" w:hanging="360"/>
      </w:pPr>
      <w:rPr>
        <w:rFonts w:ascii="Verdana" w:eastAsiaTheme="minorHAnsi" w:hAnsi="Verdana" w:cstheme="minorBidi" w:hint="default"/>
      </w:rPr>
    </w:lvl>
    <w:lvl w:ilvl="1" w:tplc="016266BE">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864DC1"/>
    <w:multiLevelType w:val="hybridMultilevel"/>
    <w:tmpl w:val="A38A78EA"/>
    <w:lvl w:ilvl="0" w:tplc="4C48FB3A">
      <w:numFmt w:val="bullet"/>
      <w:lvlText w:val="•"/>
      <w:lvlJc w:val="left"/>
      <w:pPr>
        <w:ind w:left="420" w:hanging="360"/>
      </w:pPr>
      <w:rPr>
        <w:rFonts w:ascii="Verdana" w:eastAsiaTheme="minorHAnsi" w:hAnsi="Verdana" w:cstheme="minorBidi"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 w15:restartNumberingAfterBreak="0">
    <w:nsid w:val="043D3831"/>
    <w:multiLevelType w:val="hybridMultilevel"/>
    <w:tmpl w:val="FD008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56083"/>
    <w:multiLevelType w:val="hybridMultilevel"/>
    <w:tmpl w:val="B6BCE538"/>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050B34"/>
    <w:multiLevelType w:val="hybridMultilevel"/>
    <w:tmpl w:val="E2F206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D93AFE4E">
      <w:start w:val="4"/>
      <w:numFmt w:val="bullet"/>
      <w:lvlText w:val=""/>
      <w:lvlJc w:val="left"/>
      <w:pPr>
        <w:ind w:left="2160" w:hanging="360"/>
      </w:pPr>
      <w:rPr>
        <w:rFonts w:ascii="Wingdings" w:eastAsiaTheme="minorHAnsi" w:hAnsi="Wingdings" w:cstheme="minorBidi"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88929F8"/>
    <w:multiLevelType w:val="hybridMultilevel"/>
    <w:tmpl w:val="833AD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942400"/>
    <w:multiLevelType w:val="hybridMultilevel"/>
    <w:tmpl w:val="B5FE8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AA6252"/>
    <w:multiLevelType w:val="multilevel"/>
    <w:tmpl w:val="A04E4926"/>
    <w:lvl w:ilvl="0">
      <w:start w:val="1"/>
      <w:numFmt w:val="decimal"/>
      <w:pStyle w:val="Stij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516D45"/>
    <w:multiLevelType w:val="hybridMultilevel"/>
    <w:tmpl w:val="762634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D93AFE4E">
      <w:start w:val="4"/>
      <w:numFmt w:val="bullet"/>
      <w:lvlText w:val=""/>
      <w:lvlJc w:val="left"/>
      <w:pPr>
        <w:ind w:left="2160" w:hanging="360"/>
      </w:pPr>
      <w:rPr>
        <w:rFonts w:ascii="Wingdings" w:eastAsiaTheme="minorHAnsi" w:hAnsi="Wingdings" w:cstheme="minorBidi"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0BB7154D"/>
    <w:multiLevelType w:val="hybridMultilevel"/>
    <w:tmpl w:val="AD8A09A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1F06B9"/>
    <w:multiLevelType w:val="hybridMultilevel"/>
    <w:tmpl w:val="4B74F05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182B52"/>
    <w:multiLevelType w:val="hybridMultilevel"/>
    <w:tmpl w:val="60AC42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F4B59F2"/>
    <w:multiLevelType w:val="hybridMultilevel"/>
    <w:tmpl w:val="A6349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780B12"/>
    <w:multiLevelType w:val="hybridMultilevel"/>
    <w:tmpl w:val="DD7EC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B50EAF"/>
    <w:multiLevelType w:val="hybridMultilevel"/>
    <w:tmpl w:val="25684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23B2795"/>
    <w:multiLevelType w:val="hybridMultilevel"/>
    <w:tmpl w:val="E8164A20"/>
    <w:lvl w:ilvl="0" w:tplc="806E8C4C">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2E9212D"/>
    <w:multiLevelType w:val="hybridMultilevel"/>
    <w:tmpl w:val="FD3477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8" w15:restartNumberingAfterBreak="0">
    <w:nsid w:val="14F12817"/>
    <w:multiLevelType w:val="hybridMultilevel"/>
    <w:tmpl w:val="76EA5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5D65FE2"/>
    <w:multiLevelType w:val="hybridMultilevel"/>
    <w:tmpl w:val="A252AA1C"/>
    <w:lvl w:ilvl="0" w:tplc="11787ECA">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70006EF"/>
    <w:multiLevelType w:val="hybridMultilevel"/>
    <w:tmpl w:val="9AA4F3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7195F23"/>
    <w:multiLevelType w:val="hybridMultilevel"/>
    <w:tmpl w:val="3224E02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75F5E5E"/>
    <w:multiLevelType w:val="hybridMultilevel"/>
    <w:tmpl w:val="BB2E465E"/>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D93AFE4E">
      <w:start w:val="4"/>
      <w:numFmt w:val="bullet"/>
      <w:lvlText w:val=""/>
      <w:lvlJc w:val="left"/>
      <w:pPr>
        <w:ind w:left="2160" w:hanging="360"/>
      </w:pPr>
      <w:rPr>
        <w:rFonts w:ascii="Wingdings" w:eastAsiaTheme="minorHAnsi" w:hAnsi="Wingdings" w:cstheme="minorBidi"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19CA0FEA"/>
    <w:multiLevelType w:val="hybridMultilevel"/>
    <w:tmpl w:val="6D388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9D96214"/>
    <w:multiLevelType w:val="hybridMultilevel"/>
    <w:tmpl w:val="BD5E61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AA85380"/>
    <w:multiLevelType w:val="hybridMultilevel"/>
    <w:tmpl w:val="35E04442"/>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B216B78"/>
    <w:multiLevelType w:val="hybridMultilevel"/>
    <w:tmpl w:val="4BFEA298"/>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C22767B"/>
    <w:multiLevelType w:val="hybridMultilevel"/>
    <w:tmpl w:val="5B24E6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C6A34C6"/>
    <w:multiLevelType w:val="hybridMultilevel"/>
    <w:tmpl w:val="A3DCA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1E3B6AF4"/>
    <w:multiLevelType w:val="hybridMultilevel"/>
    <w:tmpl w:val="D01C56B8"/>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30" w15:restartNumberingAfterBreak="0">
    <w:nsid w:val="1EDA3777"/>
    <w:multiLevelType w:val="hybridMultilevel"/>
    <w:tmpl w:val="07CC624E"/>
    <w:lvl w:ilvl="0" w:tplc="BBDA47E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270E1131"/>
    <w:multiLevelType w:val="hybridMultilevel"/>
    <w:tmpl w:val="60FAB0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8AD3A74"/>
    <w:multiLevelType w:val="hybridMultilevel"/>
    <w:tmpl w:val="5854F00E"/>
    <w:lvl w:ilvl="0" w:tplc="F0186F34">
      <w:numFmt w:val="bullet"/>
      <w:lvlText w:val="-"/>
      <w:lvlJc w:val="left"/>
      <w:pPr>
        <w:ind w:left="778" w:hanging="360"/>
      </w:pPr>
      <w:rPr>
        <w:rFonts w:ascii="Verdana" w:eastAsiaTheme="minorHAnsi" w:hAnsi="Verdana" w:cstheme="minorBidi"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33" w15:restartNumberingAfterBreak="0">
    <w:nsid w:val="2A041AD4"/>
    <w:multiLevelType w:val="hybridMultilevel"/>
    <w:tmpl w:val="9A86A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ACD3879"/>
    <w:multiLevelType w:val="hybridMultilevel"/>
    <w:tmpl w:val="4DE815EE"/>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35" w15:restartNumberingAfterBreak="0">
    <w:nsid w:val="2F504A1F"/>
    <w:multiLevelType w:val="hybridMultilevel"/>
    <w:tmpl w:val="51988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7" w15:restartNumberingAfterBreak="0">
    <w:nsid w:val="31CB79D8"/>
    <w:multiLevelType w:val="multilevel"/>
    <w:tmpl w:val="06962652"/>
    <w:numStyleLink w:val="Lijststijl"/>
  </w:abstractNum>
  <w:abstractNum w:abstractNumId="38" w15:restartNumberingAfterBreak="0">
    <w:nsid w:val="33E64035"/>
    <w:multiLevelType w:val="hybridMultilevel"/>
    <w:tmpl w:val="C4C0963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6440E99"/>
    <w:multiLevelType w:val="hybridMultilevel"/>
    <w:tmpl w:val="92EC0B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71E2A74"/>
    <w:multiLevelType w:val="hybridMultilevel"/>
    <w:tmpl w:val="D2664554"/>
    <w:lvl w:ilvl="0" w:tplc="BBDA47E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38B2424E"/>
    <w:multiLevelType w:val="hybridMultilevel"/>
    <w:tmpl w:val="DA86C9E6"/>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3B97413A"/>
    <w:multiLevelType w:val="hybridMultilevel"/>
    <w:tmpl w:val="52DAD24A"/>
    <w:lvl w:ilvl="0" w:tplc="4C48FB3A">
      <w:numFmt w:val="bullet"/>
      <w:lvlText w:val="•"/>
      <w:lvlJc w:val="left"/>
      <w:pPr>
        <w:ind w:left="360" w:hanging="360"/>
      </w:pPr>
      <w:rPr>
        <w:rFonts w:ascii="Verdana" w:eastAsiaTheme="minorHAnsi" w:hAnsi="Verdana" w:cstheme="minorBidi" w:hint="default"/>
      </w:rPr>
    </w:lvl>
    <w:lvl w:ilvl="1" w:tplc="EF2615F6">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CFA0BDA"/>
    <w:multiLevelType w:val="hybridMultilevel"/>
    <w:tmpl w:val="C0784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D180B1D"/>
    <w:multiLevelType w:val="hybridMultilevel"/>
    <w:tmpl w:val="FA5C6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F1428F0"/>
    <w:multiLevelType w:val="hybridMultilevel"/>
    <w:tmpl w:val="6DEEA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FAC79B3"/>
    <w:multiLevelType w:val="hybridMultilevel"/>
    <w:tmpl w:val="073829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FD04F58"/>
    <w:multiLevelType w:val="hybridMultilevel"/>
    <w:tmpl w:val="6F64D276"/>
    <w:lvl w:ilvl="0" w:tplc="4C48FB3A">
      <w:numFmt w:val="bullet"/>
      <w:lvlText w:val="•"/>
      <w:lvlJc w:val="left"/>
      <w:pPr>
        <w:ind w:left="4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FF443EA"/>
    <w:multiLevelType w:val="hybridMultilevel"/>
    <w:tmpl w:val="2EEA37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08208E5"/>
    <w:multiLevelType w:val="hybridMultilevel"/>
    <w:tmpl w:val="C660D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164582F"/>
    <w:multiLevelType w:val="hybridMultilevel"/>
    <w:tmpl w:val="AABA303E"/>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43A2872"/>
    <w:multiLevelType w:val="hybridMultilevel"/>
    <w:tmpl w:val="B0EE2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4E8437E"/>
    <w:multiLevelType w:val="hybridMultilevel"/>
    <w:tmpl w:val="12A6E62E"/>
    <w:lvl w:ilvl="0" w:tplc="04130001">
      <w:start w:val="1"/>
      <w:numFmt w:val="bullet"/>
      <w:lvlText w:val=""/>
      <w:lvlJc w:val="left"/>
      <w:pPr>
        <w:ind w:left="-704" w:hanging="360"/>
      </w:pPr>
      <w:rPr>
        <w:rFonts w:ascii="Symbol" w:hAnsi="Symbol" w:hint="default"/>
      </w:rPr>
    </w:lvl>
    <w:lvl w:ilvl="1" w:tplc="04130003" w:tentative="1">
      <w:start w:val="1"/>
      <w:numFmt w:val="bullet"/>
      <w:lvlText w:val="o"/>
      <w:lvlJc w:val="left"/>
      <w:pPr>
        <w:ind w:left="16" w:hanging="360"/>
      </w:pPr>
      <w:rPr>
        <w:rFonts w:ascii="Courier New" w:hAnsi="Courier New" w:cs="Courier New" w:hint="default"/>
      </w:rPr>
    </w:lvl>
    <w:lvl w:ilvl="2" w:tplc="04130005" w:tentative="1">
      <w:start w:val="1"/>
      <w:numFmt w:val="bullet"/>
      <w:lvlText w:val=""/>
      <w:lvlJc w:val="left"/>
      <w:pPr>
        <w:ind w:left="736" w:hanging="360"/>
      </w:pPr>
      <w:rPr>
        <w:rFonts w:ascii="Wingdings" w:hAnsi="Wingdings" w:hint="default"/>
      </w:rPr>
    </w:lvl>
    <w:lvl w:ilvl="3" w:tplc="04130001" w:tentative="1">
      <w:start w:val="1"/>
      <w:numFmt w:val="bullet"/>
      <w:lvlText w:val=""/>
      <w:lvlJc w:val="left"/>
      <w:pPr>
        <w:ind w:left="1456" w:hanging="360"/>
      </w:pPr>
      <w:rPr>
        <w:rFonts w:ascii="Symbol" w:hAnsi="Symbol" w:hint="default"/>
      </w:rPr>
    </w:lvl>
    <w:lvl w:ilvl="4" w:tplc="04130003" w:tentative="1">
      <w:start w:val="1"/>
      <w:numFmt w:val="bullet"/>
      <w:lvlText w:val="o"/>
      <w:lvlJc w:val="left"/>
      <w:pPr>
        <w:ind w:left="2176" w:hanging="360"/>
      </w:pPr>
      <w:rPr>
        <w:rFonts w:ascii="Courier New" w:hAnsi="Courier New" w:cs="Courier New" w:hint="default"/>
      </w:rPr>
    </w:lvl>
    <w:lvl w:ilvl="5" w:tplc="04130005" w:tentative="1">
      <w:start w:val="1"/>
      <w:numFmt w:val="bullet"/>
      <w:lvlText w:val=""/>
      <w:lvlJc w:val="left"/>
      <w:pPr>
        <w:ind w:left="2896" w:hanging="360"/>
      </w:pPr>
      <w:rPr>
        <w:rFonts w:ascii="Wingdings" w:hAnsi="Wingdings" w:hint="default"/>
      </w:rPr>
    </w:lvl>
    <w:lvl w:ilvl="6" w:tplc="04130001" w:tentative="1">
      <w:start w:val="1"/>
      <w:numFmt w:val="bullet"/>
      <w:lvlText w:val=""/>
      <w:lvlJc w:val="left"/>
      <w:pPr>
        <w:ind w:left="3616" w:hanging="360"/>
      </w:pPr>
      <w:rPr>
        <w:rFonts w:ascii="Symbol" w:hAnsi="Symbol" w:hint="default"/>
      </w:rPr>
    </w:lvl>
    <w:lvl w:ilvl="7" w:tplc="04130003" w:tentative="1">
      <w:start w:val="1"/>
      <w:numFmt w:val="bullet"/>
      <w:lvlText w:val="o"/>
      <w:lvlJc w:val="left"/>
      <w:pPr>
        <w:ind w:left="4336" w:hanging="360"/>
      </w:pPr>
      <w:rPr>
        <w:rFonts w:ascii="Courier New" w:hAnsi="Courier New" w:cs="Courier New" w:hint="default"/>
      </w:rPr>
    </w:lvl>
    <w:lvl w:ilvl="8" w:tplc="04130005" w:tentative="1">
      <w:start w:val="1"/>
      <w:numFmt w:val="bullet"/>
      <w:lvlText w:val=""/>
      <w:lvlJc w:val="left"/>
      <w:pPr>
        <w:ind w:left="5056" w:hanging="360"/>
      </w:pPr>
      <w:rPr>
        <w:rFonts w:ascii="Wingdings" w:hAnsi="Wingdings" w:hint="default"/>
      </w:rPr>
    </w:lvl>
  </w:abstractNum>
  <w:abstractNum w:abstractNumId="53" w15:restartNumberingAfterBreak="0">
    <w:nsid w:val="463067BA"/>
    <w:multiLevelType w:val="hybridMultilevel"/>
    <w:tmpl w:val="3E0A64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469E7121"/>
    <w:multiLevelType w:val="hybridMultilevel"/>
    <w:tmpl w:val="9DB0E608"/>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85C3A9F"/>
    <w:multiLevelType w:val="hybridMultilevel"/>
    <w:tmpl w:val="55F2B5B6"/>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A9C1A4B"/>
    <w:multiLevelType w:val="hybridMultilevel"/>
    <w:tmpl w:val="D73EE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AC65E26"/>
    <w:multiLevelType w:val="hybridMultilevel"/>
    <w:tmpl w:val="4998A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AE275F3"/>
    <w:multiLevelType w:val="hybridMultilevel"/>
    <w:tmpl w:val="A3963E48"/>
    <w:lvl w:ilvl="0" w:tplc="F0186F3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B246937"/>
    <w:multiLevelType w:val="hybridMultilevel"/>
    <w:tmpl w:val="6A386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B4265AA"/>
    <w:multiLevelType w:val="hybridMultilevel"/>
    <w:tmpl w:val="12A6ABF8"/>
    <w:lvl w:ilvl="0" w:tplc="97284E14">
      <w:numFmt w:val="bullet"/>
      <w:lvlText w:val="•"/>
      <w:lvlJc w:val="left"/>
      <w:pPr>
        <w:ind w:left="720" w:hanging="72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E2404EE"/>
    <w:multiLevelType w:val="hybridMultilevel"/>
    <w:tmpl w:val="33C0D506"/>
    <w:lvl w:ilvl="0" w:tplc="D572F6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0644380"/>
    <w:multiLevelType w:val="hybridMultilevel"/>
    <w:tmpl w:val="9AB6DA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532924AB"/>
    <w:multiLevelType w:val="hybridMultilevel"/>
    <w:tmpl w:val="E4A2D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4CE240E"/>
    <w:multiLevelType w:val="hybridMultilevel"/>
    <w:tmpl w:val="C4B04E46"/>
    <w:lvl w:ilvl="0" w:tplc="4C48FB3A">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6B80F74"/>
    <w:multiLevelType w:val="hybridMultilevel"/>
    <w:tmpl w:val="129660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6EE3CF8"/>
    <w:multiLevelType w:val="hybridMultilevel"/>
    <w:tmpl w:val="8D1255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C877D55"/>
    <w:multiLevelType w:val="hybridMultilevel"/>
    <w:tmpl w:val="1750D3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D93AFE4E">
      <w:start w:val="4"/>
      <w:numFmt w:val="bullet"/>
      <w:lvlText w:val=""/>
      <w:lvlJc w:val="left"/>
      <w:pPr>
        <w:ind w:left="2160" w:hanging="360"/>
      </w:pPr>
      <w:rPr>
        <w:rFonts w:ascii="Wingdings" w:eastAsiaTheme="minorHAnsi" w:hAnsi="Wingdings" w:cstheme="minorBidi"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8" w15:restartNumberingAfterBreak="0">
    <w:nsid w:val="5E511494"/>
    <w:multiLevelType w:val="hybridMultilevel"/>
    <w:tmpl w:val="474808FC"/>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69" w15:restartNumberingAfterBreak="0">
    <w:nsid w:val="5E9D05A3"/>
    <w:multiLevelType w:val="multilevel"/>
    <w:tmpl w:val="27B0ED42"/>
    <w:lvl w:ilvl="0">
      <w:start w:val="1"/>
      <w:numFmt w:val="decimal"/>
      <w:pStyle w:val="Heading2"/>
      <w:lvlText w:val="%1.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EF65B4B"/>
    <w:multiLevelType w:val="hybridMultilevel"/>
    <w:tmpl w:val="38C2F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8E30E2A"/>
    <w:multiLevelType w:val="hybridMultilevel"/>
    <w:tmpl w:val="17265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699257EF"/>
    <w:multiLevelType w:val="hybridMultilevel"/>
    <w:tmpl w:val="9C6E9A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3" w15:restartNumberingAfterBreak="0">
    <w:nsid w:val="6ADD5F2D"/>
    <w:multiLevelType w:val="hybridMultilevel"/>
    <w:tmpl w:val="05B2E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D93AFE4E">
      <w:start w:val="4"/>
      <w:numFmt w:val="bullet"/>
      <w:lvlText w:val=""/>
      <w:lvlJc w:val="left"/>
      <w:pPr>
        <w:ind w:left="2160" w:hanging="360"/>
      </w:pPr>
      <w:rPr>
        <w:rFonts w:ascii="Wingdings" w:eastAsiaTheme="minorHAnsi" w:hAnsi="Wingdings" w:cstheme="minorBidi"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4" w15:restartNumberingAfterBreak="0">
    <w:nsid w:val="6BFB3ABC"/>
    <w:multiLevelType w:val="hybridMultilevel"/>
    <w:tmpl w:val="917A65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6C1D5401"/>
    <w:multiLevelType w:val="hybridMultilevel"/>
    <w:tmpl w:val="262E1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6DCE5404"/>
    <w:multiLevelType w:val="hybridMultilevel"/>
    <w:tmpl w:val="6D1C4526"/>
    <w:lvl w:ilvl="0" w:tplc="0D6AF1B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E015F8B"/>
    <w:multiLevelType w:val="hybridMultilevel"/>
    <w:tmpl w:val="9950FDC6"/>
    <w:lvl w:ilvl="0" w:tplc="4C48FB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EB31274"/>
    <w:multiLevelType w:val="hybridMultilevel"/>
    <w:tmpl w:val="4362787A"/>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79" w15:restartNumberingAfterBreak="0">
    <w:nsid w:val="6EF02EE8"/>
    <w:multiLevelType w:val="hybridMultilevel"/>
    <w:tmpl w:val="93F0C7A8"/>
    <w:lvl w:ilvl="0" w:tplc="F9C21CF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F3A64E0"/>
    <w:multiLevelType w:val="hybridMultilevel"/>
    <w:tmpl w:val="6C6CC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05D5E60"/>
    <w:multiLevelType w:val="hybridMultilevel"/>
    <w:tmpl w:val="B892435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266004D"/>
    <w:multiLevelType w:val="hybridMultilevel"/>
    <w:tmpl w:val="EA3CAEE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3" w15:restartNumberingAfterBreak="0">
    <w:nsid w:val="743A37C7"/>
    <w:multiLevelType w:val="hybridMultilevel"/>
    <w:tmpl w:val="ABDEEA1E"/>
    <w:lvl w:ilvl="0" w:tplc="04130001">
      <w:start w:val="1"/>
      <w:numFmt w:val="bullet"/>
      <w:lvlText w:val=""/>
      <w:lvlJc w:val="left"/>
      <w:pPr>
        <w:ind w:left="720" w:hanging="360"/>
      </w:pPr>
      <w:rPr>
        <w:rFonts w:ascii="Symbol" w:hAnsi="Symbol" w:hint="default"/>
      </w:rPr>
    </w:lvl>
    <w:lvl w:ilvl="1" w:tplc="16089024">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4D44D11"/>
    <w:multiLevelType w:val="hybridMultilevel"/>
    <w:tmpl w:val="B56ED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77622E7B"/>
    <w:multiLevelType w:val="hybridMultilevel"/>
    <w:tmpl w:val="C51EA1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78A352F2"/>
    <w:multiLevelType w:val="hybridMultilevel"/>
    <w:tmpl w:val="CD7E0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92B4852"/>
    <w:multiLevelType w:val="hybridMultilevel"/>
    <w:tmpl w:val="7060873C"/>
    <w:lvl w:ilvl="0" w:tplc="04130001">
      <w:start w:val="1"/>
      <w:numFmt w:val="bullet"/>
      <w:lvlText w:val=""/>
      <w:lvlJc w:val="left"/>
      <w:pPr>
        <w:ind w:left="360" w:hanging="360"/>
      </w:pPr>
      <w:rPr>
        <w:rFonts w:ascii="Symbol" w:hAnsi="Symbol"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7A0028E9"/>
    <w:multiLevelType w:val="hybridMultilevel"/>
    <w:tmpl w:val="5F34C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CE53F94"/>
    <w:multiLevelType w:val="hybridMultilevel"/>
    <w:tmpl w:val="84F2C1D4"/>
    <w:lvl w:ilvl="0" w:tplc="4C48FB3A">
      <w:numFmt w:val="bullet"/>
      <w:lvlText w:val="•"/>
      <w:lvlJc w:val="left"/>
      <w:pPr>
        <w:ind w:left="4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9"/>
  </w:num>
  <w:num w:numId="2">
    <w:abstractNumId w:val="52"/>
  </w:num>
  <w:num w:numId="3">
    <w:abstractNumId w:val="33"/>
  </w:num>
  <w:num w:numId="4">
    <w:abstractNumId w:val="20"/>
  </w:num>
  <w:num w:numId="5">
    <w:abstractNumId w:val="38"/>
  </w:num>
  <w:num w:numId="6">
    <w:abstractNumId w:val="10"/>
  </w:num>
  <w:num w:numId="7">
    <w:abstractNumId w:val="87"/>
  </w:num>
  <w:num w:numId="8">
    <w:abstractNumId w:val="18"/>
  </w:num>
  <w:num w:numId="9">
    <w:abstractNumId w:val="36"/>
  </w:num>
  <w:num w:numId="10">
    <w:abstractNumId w:val="30"/>
  </w:num>
  <w:num w:numId="11">
    <w:abstractNumId w:val="40"/>
  </w:num>
  <w:num w:numId="12">
    <w:abstractNumId w:val="44"/>
  </w:num>
  <w:num w:numId="13">
    <w:abstractNumId w:val="11"/>
  </w:num>
  <w:num w:numId="14">
    <w:abstractNumId w:val="9"/>
  </w:num>
  <w:num w:numId="15">
    <w:abstractNumId w:val="21"/>
  </w:num>
  <w:num w:numId="16">
    <w:abstractNumId w:val="7"/>
  </w:num>
  <w:num w:numId="17">
    <w:abstractNumId w:val="2"/>
  </w:num>
  <w:num w:numId="18">
    <w:abstractNumId w:val="43"/>
  </w:num>
  <w:num w:numId="19">
    <w:abstractNumId w:val="84"/>
  </w:num>
  <w:num w:numId="20">
    <w:abstractNumId w:val="57"/>
  </w:num>
  <w:num w:numId="21">
    <w:abstractNumId w:val="78"/>
  </w:num>
  <w:num w:numId="22">
    <w:abstractNumId w:val="35"/>
  </w:num>
  <w:num w:numId="23">
    <w:abstractNumId w:val="1"/>
  </w:num>
  <w:num w:numId="24">
    <w:abstractNumId w:val="24"/>
  </w:num>
  <w:num w:numId="25">
    <w:abstractNumId w:val="29"/>
  </w:num>
  <w:num w:numId="26">
    <w:abstractNumId w:val="68"/>
  </w:num>
  <w:num w:numId="27">
    <w:abstractNumId w:val="34"/>
  </w:num>
  <w:num w:numId="28">
    <w:abstractNumId w:val="17"/>
  </w:num>
  <w:num w:numId="29">
    <w:abstractNumId w:val="16"/>
  </w:num>
  <w:num w:numId="30">
    <w:abstractNumId w:val="37"/>
  </w:num>
  <w:num w:numId="31">
    <w:abstractNumId w:val="5"/>
  </w:num>
  <w:num w:numId="32">
    <w:abstractNumId w:val="14"/>
  </w:num>
  <w:num w:numId="33">
    <w:abstractNumId w:val="80"/>
  </w:num>
  <w:num w:numId="34">
    <w:abstractNumId w:val="82"/>
  </w:num>
  <w:num w:numId="35">
    <w:abstractNumId w:val="75"/>
  </w:num>
  <w:num w:numId="36">
    <w:abstractNumId w:val="31"/>
  </w:num>
  <w:num w:numId="37">
    <w:abstractNumId w:val="48"/>
  </w:num>
  <w:num w:numId="38">
    <w:abstractNumId w:val="66"/>
  </w:num>
  <w:num w:numId="39">
    <w:abstractNumId w:val="23"/>
  </w:num>
  <w:num w:numId="40">
    <w:abstractNumId w:val="71"/>
  </w:num>
  <w:num w:numId="41">
    <w:abstractNumId w:val="25"/>
  </w:num>
  <w:num w:numId="42">
    <w:abstractNumId w:val="54"/>
  </w:num>
  <w:num w:numId="43">
    <w:abstractNumId w:val="50"/>
  </w:num>
  <w:num w:numId="44">
    <w:abstractNumId w:val="42"/>
  </w:num>
  <w:num w:numId="45">
    <w:abstractNumId w:val="74"/>
  </w:num>
  <w:num w:numId="46">
    <w:abstractNumId w:val="26"/>
  </w:num>
  <w:num w:numId="47">
    <w:abstractNumId w:val="55"/>
  </w:num>
  <w:num w:numId="48">
    <w:abstractNumId w:val="0"/>
  </w:num>
  <w:num w:numId="49">
    <w:abstractNumId w:val="77"/>
  </w:num>
  <w:num w:numId="50">
    <w:abstractNumId w:val="64"/>
  </w:num>
  <w:num w:numId="51">
    <w:abstractNumId w:val="3"/>
  </w:num>
  <w:num w:numId="52">
    <w:abstractNumId w:val="83"/>
  </w:num>
  <w:num w:numId="53">
    <w:abstractNumId w:val="63"/>
  </w:num>
  <w:num w:numId="54">
    <w:abstractNumId w:val="89"/>
  </w:num>
  <w:num w:numId="55">
    <w:abstractNumId w:val="53"/>
  </w:num>
  <w:num w:numId="56">
    <w:abstractNumId w:val="22"/>
  </w:num>
  <w:num w:numId="57">
    <w:abstractNumId w:val="67"/>
  </w:num>
  <w:num w:numId="58">
    <w:abstractNumId w:val="8"/>
  </w:num>
  <w:num w:numId="59">
    <w:abstractNumId w:val="73"/>
  </w:num>
  <w:num w:numId="60">
    <w:abstractNumId w:val="4"/>
  </w:num>
  <w:num w:numId="61">
    <w:abstractNumId w:val="47"/>
  </w:num>
  <w:num w:numId="62">
    <w:abstractNumId w:val="7"/>
  </w:num>
  <w:num w:numId="63">
    <w:abstractNumId w:val="19"/>
  </w:num>
  <w:num w:numId="64">
    <w:abstractNumId w:val="27"/>
  </w:num>
  <w:num w:numId="65">
    <w:abstractNumId w:val="79"/>
  </w:num>
  <w:num w:numId="66">
    <w:abstractNumId w:val="76"/>
  </w:num>
  <w:num w:numId="67">
    <w:abstractNumId w:val="46"/>
  </w:num>
  <w:num w:numId="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59"/>
  </w:num>
  <w:num w:numId="71">
    <w:abstractNumId w:val="65"/>
  </w:num>
  <w:num w:numId="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num>
  <w:num w:numId="74">
    <w:abstractNumId w:val="56"/>
  </w:num>
  <w:num w:numId="75">
    <w:abstractNumId w:val="85"/>
  </w:num>
  <w:num w:numId="76">
    <w:abstractNumId w:val="49"/>
  </w:num>
  <w:num w:numId="77">
    <w:abstractNumId w:val="70"/>
  </w:num>
  <w:num w:numId="78">
    <w:abstractNumId w:val="7"/>
  </w:num>
  <w:num w:numId="79">
    <w:abstractNumId w:val="6"/>
  </w:num>
  <w:num w:numId="80">
    <w:abstractNumId w:val="45"/>
  </w:num>
  <w:num w:numId="81">
    <w:abstractNumId w:val="39"/>
  </w:num>
  <w:num w:numId="82">
    <w:abstractNumId w:val="41"/>
  </w:num>
  <w:num w:numId="83">
    <w:abstractNumId w:val="7"/>
  </w:num>
  <w:num w:numId="84">
    <w:abstractNumId w:val="7"/>
  </w:num>
  <w:num w:numId="85">
    <w:abstractNumId w:val="13"/>
  </w:num>
  <w:num w:numId="86">
    <w:abstractNumId w:val="12"/>
  </w:num>
  <w:num w:numId="87">
    <w:abstractNumId w:val="60"/>
  </w:num>
  <w:num w:numId="88">
    <w:abstractNumId w:val="28"/>
  </w:num>
  <w:num w:numId="89">
    <w:abstractNumId w:val="81"/>
  </w:num>
  <w:num w:numId="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num>
  <w:num w:numId="92">
    <w:abstractNumId w:val="88"/>
  </w:num>
  <w:num w:numId="93">
    <w:abstractNumId w:val="86"/>
  </w:num>
  <w:num w:numId="94">
    <w:abstractNumId w:val="58"/>
  </w:num>
  <w:num w:numId="95">
    <w:abstractNumId w:val="32"/>
  </w:num>
  <w:num w:numId="96">
    <w:abstractNumId w:val="6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AE"/>
    <w:rsid w:val="00001107"/>
    <w:rsid w:val="00002999"/>
    <w:rsid w:val="00004665"/>
    <w:rsid w:val="00004C2E"/>
    <w:rsid w:val="0000502E"/>
    <w:rsid w:val="0000608E"/>
    <w:rsid w:val="00006660"/>
    <w:rsid w:val="000068D4"/>
    <w:rsid w:val="00007808"/>
    <w:rsid w:val="000138BD"/>
    <w:rsid w:val="00013E66"/>
    <w:rsid w:val="00014859"/>
    <w:rsid w:val="0001485B"/>
    <w:rsid w:val="00016862"/>
    <w:rsid w:val="000178A1"/>
    <w:rsid w:val="00020F5E"/>
    <w:rsid w:val="000232F6"/>
    <w:rsid w:val="00025F9D"/>
    <w:rsid w:val="00030227"/>
    <w:rsid w:val="00031294"/>
    <w:rsid w:val="0003243F"/>
    <w:rsid w:val="00032440"/>
    <w:rsid w:val="000332B6"/>
    <w:rsid w:val="00033728"/>
    <w:rsid w:val="00033A27"/>
    <w:rsid w:val="000345B1"/>
    <w:rsid w:val="00035915"/>
    <w:rsid w:val="00035DAD"/>
    <w:rsid w:val="00041A6B"/>
    <w:rsid w:val="0004253B"/>
    <w:rsid w:val="00042582"/>
    <w:rsid w:val="00044269"/>
    <w:rsid w:val="000447AE"/>
    <w:rsid w:val="00046334"/>
    <w:rsid w:val="00047902"/>
    <w:rsid w:val="00050202"/>
    <w:rsid w:val="000502CA"/>
    <w:rsid w:val="0005206D"/>
    <w:rsid w:val="00054088"/>
    <w:rsid w:val="00057DB0"/>
    <w:rsid w:val="000621AF"/>
    <w:rsid w:val="000624E9"/>
    <w:rsid w:val="00063347"/>
    <w:rsid w:val="00063504"/>
    <w:rsid w:val="000655B4"/>
    <w:rsid w:val="000703FA"/>
    <w:rsid w:val="000732AD"/>
    <w:rsid w:val="00074A8D"/>
    <w:rsid w:val="00075F2D"/>
    <w:rsid w:val="00075FE4"/>
    <w:rsid w:val="00077215"/>
    <w:rsid w:val="00077239"/>
    <w:rsid w:val="00077903"/>
    <w:rsid w:val="000825B2"/>
    <w:rsid w:val="000829E3"/>
    <w:rsid w:val="000833C3"/>
    <w:rsid w:val="00084CAB"/>
    <w:rsid w:val="00087CA9"/>
    <w:rsid w:val="00090168"/>
    <w:rsid w:val="0009020E"/>
    <w:rsid w:val="00090538"/>
    <w:rsid w:val="00090BC7"/>
    <w:rsid w:val="00093158"/>
    <w:rsid w:val="00095213"/>
    <w:rsid w:val="00095718"/>
    <w:rsid w:val="00096FF9"/>
    <w:rsid w:val="00097E7B"/>
    <w:rsid w:val="000A00F5"/>
    <w:rsid w:val="000A088E"/>
    <w:rsid w:val="000A15D2"/>
    <w:rsid w:val="000A4CED"/>
    <w:rsid w:val="000A654E"/>
    <w:rsid w:val="000A6DFA"/>
    <w:rsid w:val="000B0970"/>
    <w:rsid w:val="000B0A88"/>
    <w:rsid w:val="000B1078"/>
    <w:rsid w:val="000B1461"/>
    <w:rsid w:val="000B27DE"/>
    <w:rsid w:val="000B2FE2"/>
    <w:rsid w:val="000B301D"/>
    <w:rsid w:val="000B384E"/>
    <w:rsid w:val="000B40D4"/>
    <w:rsid w:val="000B5013"/>
    <w:rsid w:val="000B720F"/>
    <w:rsid w:val="000B784E"/>
    <w:rsid w:val="000C0066"/>
    <w:rsid w:val="000C2488"/>
    <w:rsid w:val="000C2DCD"/>
    <w:rsid w:val="000C2F0F"/>
    <w:rsid w:val="000D09D5"/>
    <w:rsid w:val="000D1013"/>
    <w:rsid w:val="000D3C9C"/>
    <w:rsid w:val="000D4013"/>
    <w:rsid w:val="000D48D3"/>
    <w:rsid w:val="000D5E2B"/>
    <w:rsid w:val="000E17D6"/>
    <w:rsid w:val="000E20E3"/>
    <w:rsid w:val="000E2CD8"/>
    <w:rsid w:val="000E386F"/>
    <w:rsid w:val="000E4075"/>
    <w:rsid w:val="000E4B41"/>
    <w:rsid w:val="000F2395"/>
    <w:rsid w:val="000F23F6"/>
    <w:rsid w:val="000F24F6"/>
    <w:rsid w:val="000F2EE2"/>
    <w:rsid w:val="000F671B"/>
    <w:rsid w:val="000F7799"/>
    <w:rsid w:val="0010211B"/>
    <w:rsid w:val="001025A2"/>
    <w:rsid w:val="00103005"/>
    <w:rsid w:val="001037DA"/>
    <w:rsid w:val="00103BD0"/>
    <w:rsid w:val="00111B7B"/>
    <w:rsid w:val="0011338C"/>
    <w:rsid w:val="001133C7"/>
    <w:rsid w:val="001134F4"/>
    <w:rsid w:val="00113E5D"/>
    <w:rsid w:val="00116254"/>
    <w:rsid w:val="00117DF7"/>
    <w:rsid w:val="00120D2F"/>
    <w:rsid w:val="001211C8"/>
    <w:rsid w:val="00121869"/>
    <w:rsid w:val="00122FDE"/>
    <w:rsid w:val="00123841"/>
    <w:rsid w:val="00124710"/>
    <w:rsid w:val="00124C06"/>
    <w:rsid w:val="00124F86"/>
    <w:rsid w:val="001262C0"/>
    <w:rsid w:val="00127E31"/>
    <w:rsid w:val="001322DF"/>
    <w:rsid w:val="001333CB"/>
    <w:rsid w:val="00134752"/>
    <w:rsid w:val="00136261"/>
    <w:rsid w:val="001426AD"/>
    <w:rsid w:val="00143EED"/>
    <w:rsid w:val="001443C1"/>
    <w:rsid w:val="0014544A"/>
    <w:rsid w:val="00146195"/>
    <w:rsid w:val="00146367"/>
    <w:rsid w:val="00147453"/>
    <w:rsid w:val="00147E3F"/>
    <w:rsid w:val="00150062"/>
    <w:rsid w:val="00150299"/>
    <w:rsid w:val="00150556"/>
    <w:rsid w:val="001508F6"/>
    <w:rsid w:val="00151520"/>
    <w:rsid w:val="001522F0"/>
    <w:rsid w:val="001525E5"/>
    <w:rsid w:val="00152B9E"/>
    <w:rsid w:val="0015766B"/>
    <w:rsid w:val="00161721"/>
    <w:rsid w:val="00163658"/>
    <w:rsid w:val="00166403"/>
    <w:rsid w:val="00166FFF"/>
    <w:rsid w:val="00170471"/>
    <w:rsid w:val="00171461"/>
    <w:rsid w:val="001754E8"/>
    <w:rsid w:val="00175751"/>
    <w:rsid w:val="001845EC"/>
    <w:rsid w:val="00186390"/>
    <w:rsid w:val="001866F0"/>
    <w:rsid w:val="001871AC"/>
    <w:rsid w:val="00190F87"/>
    <w:rsid w:val="0019196A"/>
    <w:rsid w:val="001950EC"/>
    <w:rsid w:val="00197E70"/>
    <w:rsid w:val="001A354A"/>
    <w:rsid w:val="001A36E2"/>
    <w:rsid w:val="001A5DBA"/>
    <w:rsid w:val="001A600C"/>
    <w:rsid w:val="001B1555"/>
    <w:rsid w:val="001B1F7F"/>
    <w:rsid w:val="001B4E48"/>
    <w:rsid w:val="001B6BC0"/>
    <w:rsid w:val="001B7CC6"/>
    <w:rsid w:val="001C025B"/>
    <w:rsid w:val="001C119F"/>
    <w:rsid w:val="001C28F7"/>
    <w:rsid w:val="001C31AD"/>
    <w:rsid w:val="001C570B"/>
    <w:rsid w:val="001C739C"/>
    <w:rsid w:val="001D03B6"/>
    <w:rsid w:val="001D5B87"/>
    <w:rsid w:val="001D67C2"/>
    <w:rsid w:val="001D7116"/>
    <w:rsid w:val="001D78B2"/>
    <w:rsid w:val="001E2CB8"/>
    <w:rsid w:val="001E3B04"/>
    <w:rsid w:val="001E3E02"/>
    <w:rsid w:val="001E507A"/>
    <w:rsid w:val="001E5846"/>
    <w:rsid w:val="001E5D86"/>
    <w:rsid w:val="001E6459"/>
    <w:rsid w:val="001E6A24"/>
    <w:rsid w:val="001F0807"/>
    <w:rsid w:val="001F2E94"/>
    <w:rsid w:val="001F39BF"/>
    <w:rsid w:val="001F4551"/>
    <w:rsid w:val="001F5442"/>
    <w:rsid w:val="001F57BD"/>
    <w:rsid w:val="001F5828"/>
    <w:rsid w:val="001F5B32"/>
    <w:rsid w:val="001F5E75"/>
    <w:rsid w:val="001F6038"/>
    <w:rsid w:val="001F62F8"/>
    <w:rsid w:val="001F6B8A"/>
    <w:rsid w:val="001F77C1"/>
    <w:rsid w:val="0020108F"/>
    <w:rsid w:val="002012CE"/>
    <w:rsid w:val="00201E33"/>
    <w:rsid w:val="0020258C"/>
    <w:rsid w:val="0020293F"/>
    <w:rsid w:val="00202EB1"/>
    <w:rsid w:val="00203CDE"/>
    <w:rsid w:val="00205C42"/>
    <w:rsid w:val="0021074F"/>
    <w:rsid w:val="00210C60"/>
    <w:rsid w:val="00210D28"/>
    <w:rsid w:val="00211233"/>
    <w:rsid w:val="00211A9A"/>
    <w:rsid w:val="002136EB"/>
    <w:rsid w:val="00214511"/>
    <w:rsid w:val="00216984"/>
    <w:rsid w:val="00216C17"/>
    <w:rsid w:val="00216F60"/>
    <w:rsid w:val="002204A2"/>
    <w:rsid w:val="00222864"/>
    <w:rsid w:val="00223497"/>
    <w:rsid w:val="0022393A"/>
    <w:rsid w:val="00225990"/>
    <w:rsid w:val="002303D4"/>
    <w:rsid w:val="00230FC9"/>
    <w:rsid w:val="00231A15"/>
    <w:rsid w:val="00231BB7"/>
    <w:rsid w:val="00233460"/>
    <w:rsid w:val="002334C8"/>
    <w:rsid w:val="002346D8"/>
    <w:rsid w:val="00234718"/>
    <w:rsid w:val="00234C6E"/>
    <w:rsid w:val="00234EED"/>
    <w:rsid w:val="002360B0"/>
    <w:rsid w:val="0023787B"/>
    <w:rsid w:val="0024067A"/>
    <w:rsid w:val="00240A12"/>
    <w:rsid w:val="00240F85"/>
    <w:rsid w:val="002425E8"/>
    <w:rsid w:val="00242A65"/>
    <w:rsid w:val="00242B72"/>
    <w:rsid w:val="0024364F"/>
    <w:rsid w:val="002439C8"/>
    <w:rsid w:val="00244376"/>
    <w:rsid w:val="00246151"/>
    <w:rsid w:val="002463B4"/>
    <w:rsid w:val="00247F78"/>
    <w:rsid w:val="002505EC"/>
    <w:rsid w:val="00252353"/>
    <w:rsid w:val="002536E5"/>
    <w:rsid w:val="00254D3E"/>
    <w:rsid w:val="002554A9"/>
    <w:rsid w:val="002562B2"/>
    <w:rsid w:val="00257679"/>
    <w:rsid w:val="00260839"/>
    <w:rsid w:val="00264A11"/>
    <w:rsid w:val="00264C4E"/>
    <w:rsid w:val="00267476"/>
    <w:rsid w:val="0026782F"/>
    <w:rsid w:val="0027002A"/>
    <w:rsid w:val="002706EC"/>
    <w:rsid w:val="00270725"/>
    <w:rsid w:val="00270C0A"/>
    <w:rsid w:val="00275F31"/>
    <w:rsid w:val="002765C4"/>
    <w:rsid w:val="0027764C"/>
    <w:rsid w:val="0028017F"/>
    <w:rsid w:val="0028227F"/>
    <w:rsid w:val="002832D0"/>
    <w:rsid w:val="0028477F"/>
    <w:rsid w:val="002909AE"/>
    <w:rsid w:val="00290E9D"/>
    <w:rsid w:val="0029188E"/>
    <w:rsid w:val="0029293A"/>
    <w:rsid w:val="002954CD"/>
    <w:rsid w:val="00295B88"/>
    <w:rsid w:val="002A0C02"/>
    <w:rsid w:val="002A19F3"/>
    <w:rsid w:val="002A1BC6"/>
    <w:rsid w:val="002A2507"/>
    <w:rsid w:val="002A4A7A"/>
    <w:rsid w:val="002A5607"/>
    <w:rsid w:val="002A5CC6"/>
    <w:rsid w:val="002A6328"/>
    <w:rsid w:val="002A6B78"/>
    <w:rsid w:val="002A6D08"/>
    <w:rsid w:val="002A7117"/>
    <w:rsid w:val="002B183C"/>
    <w:rsid w:val="002B2BB4"/>
    <w:rsid w:val="002B49C0"/>
    <w:rsid w:val="002B51AF"/>
    <w:rsid w:val="002B6DA3"/>
    <w:rsid w:val="002B7763"/>
    <w:rsid w:val="002C177A"/>
    <w:rsid w:val="002C49EB"/>
    <w:rsid w:val="002C5913"/>
    <w:rsid w:val="002C6E02"/>
    <w:rsid w:val="002D0DBA"/>
    <w:rsid w:val="002D15EF"/>
    <w:rsid w:val="002D1AD7"/>
    <w:rsid w:val="002D2564"/>
    <w:rsid w:val="002D285C"/>
    <w:rsid w:val="002D313D"/>
    <w:rsid w:val="002D60A0"/>
    <w:rsid w:val="002D61BB"/>
    <w:rsid w:val="002D7761"/>
    <w:rsid w:val="002D7F05"/>
    <w:rsid w:val="002E02E5"/>
    <w:rsid w:val="002E0D0D"/>
    <w:rsid w:val="002E21B6"/>
    <w:rsid w:val="002E2428"/>
    <w:rsid w:val="002E2B5A"/>
    <w:rsid w:val="002E6232"/>
    <w:rsid w:val="002E641A"/>
    <w:rsid w:val="002E77B1"/>
    <w:rsid w:val="002F0E53"/>
    <w:rsid w:val="002F5B3F"/>
    <w:rsid w:val="00300023"/>
    <w:rsid w:val="003004C6"/>
    <w:rsid w:val="0030091F"/>
    <w:rsid w:val="00300B8B"/>
    <w:rsid w:val="00300C90"/>
    <w:rsid w:val="00303D18"/>
    <w:rsid w:val="00303E85"/>
    <w:rsid w:val="00304D53"/>
    <w:rsid w:val="00305C24"/>
    <w:rsid w:val="003070B7"/>
    <w:rsid w:val="00311256"/>
    <w:rsid w:val="00312F98"/>
    <w:rsid w:val="00314026"/>
    <w:rsid w:val="00315CA3"/>
    <w:rsid w:val="0031698F"/>
    <w:rsid w:val="00321B66"/>
    <w:rsid w:val="00321C9C"/>
    <w:rsid w:val="00321CAC"/>
    <w:rsid w:val="00321E55"/>
    <w:rsid w:val="0032308D"/>
    <w:rsid w:val="00323192"/>
    <w:rsid w:val="00324281"/>
    <w:rsid w:val="00327842"/>
    <w:rsid w:val="0033013C"/>
    <w:rsid w:val="00331907"/>
    <w:rsid w:val="00332A76"/>
    <w:rsid w:val="00333D00"/>
    <w:rsid w:val="003353F9"/>
    <w:rsid w:val="00335E98"/>
    <w:rsid w:val="00337C77"/>
    <w:rsid w:val="003401C1"/>
    <w:rsid w:val="003421DA"/>
    <w:rsid w:val="003446E7"/>
    <w:rsid w:val="003466BA"/>
    <w:rsid w:val="00347770"/>
    <w:rsid w:val="003502A7"/>
    <w:rsid w:val="0035077C"/>
    <w:rsid w:val="00353003"/>
    <w:rsid w:val="003546E8"/>
    <w:rsid w:val="00356B1A"/>
    <w:rsid w:val="00357B25"/>
    <w:rsid w:val="00361524"/>
    <w:rsid w:val="0036206C"/>
    <w:rsid w:val="003631B6"/>
    <w:rsid w:val="00363593"/>
    <w:rsid w:val="00363CD4"/>
    <w:rsid w:val="00363D26"/>
    <w:rsid w:val="003642A6"/>
    <w:rsid w:val="00365495"/>
    <w:rsid w:val="00366175"/>
    <w:rsid w:val="0036733C"/>
    <w:rsid w:val="003675F2"/>
    <w:rsid w:val="0037138A"/>
    <w:rsid w:val="00371EA5"/>
    <w:rsid w:val="0037366E"/>
    <w:rsid w:val="00377210"/>
    <w:rsid w:val="0038045B"/>
    <w:rsid w:val="00383DC5"/>
    <w:rsid w:val="0038498E"/>
    <w:rsid w:val="00385DFB"/>
    <w:rsid w:val="00386043"/>
    <w:rsid w:val="003861C9"/>
    <w:rsid w:val="00386E7D"/>
    <w:rsid w:val="003879CA"/>
    <w:rsid w:val="00391D87"/>
    <w:rsid w:val="00392DA0"/>
    <w:rsid w:val="003935C4"/>
    <w:rsid w:val="00394125"/>
    <w:rsid w:val="00397267"/>
    <w:rsid w:val="003A0642"/>
    <w:rsid w:val="003A1391"/>
    <w:rsid w:val="003A20C7"/>
    <w:rsid w:val="003A3126"/>
    <w:rsid w:val="003A4366"/>
    <w:rsid w:val="003A7A63"/>
    <w:rsid w:val="003B18AB"/>
    <w:rsid w:val="003B33F4"/>
    <w:rsid w:val="003B56F9"/>
    <w:rsid w:val="003B7FDE"/>
    <w:rsid w:val="003C1FE0"/>
    <w:rsid w:val="003C2CC5"/>
    <w:rsid w:val="003C7C7F"/>
    <w:rsid w:val="003D2356"/>
    <w:rsid w:val="003D2754"/>
    <w:rsid w:val="003D3D0B"/>
    <w:rsid w:val="003D499C"/>
    <w:rsid w:val="003D513E"/>
    <w:rsid w:val="003D6696"/>
    <w:rsid w:val="003E12B7"/>
    <w:rsid w:val="003E1ECA"/>
    <w:rsid w:val="003E432C"/>
    <w:rsid w:val="003F1D02"/>
    <w:rsid w:val="003F20A2"/>
    <w:rsid w:val="003F63D2"/>
    <w:rsid w:val="003F6B87"/>
    <w:rsid w:val="003F77E4"/>
    <w:rsid w:val="004006A8"/>
    <w:rsid w:val="004012BF"/>
    <w:rsid w:val="004034AD"/>
    <w:rsid w:val="004057E2"/>
    <w:rsid w:val="00405F9C"/>
    <w:rsid w:val="004068B6"/>
    <w:rsid w:val="0040732A"/>
    <w:rsid w:val="0040796A"/>
    <w:rsid w:val="004113EC"/>
    <w:rsid w:val="0041293A"/>
    <w:rsid w:val="004131AD"/>
    <w:rsid w:val="00413B63"/>
    <w:rsid w:val="00413EC2"/>
    <w:rsid w:val="00415C06"/>
    <w:rsid w:val="00416DC4"/>
    <w:rsid w:val="004206BF"/>
    <w:rsid w:val="004218BD"/>
    <w:rsid w:val="00421B1E"/>
    <w:rsid w:val="004229C5"/>
    <w:rsid w:val="004229EC"/>
    <w:rsid w:val="00422A02"/>
    <w:rsid w:val="00427596"/>
    <w:rsid w:val="00430317"/>
    <w:rsid w:val="004309A4"/>
    <w:rsid w:val="00431D71"/>
    <w:rsid w:val="00431ED6"/>
    <w:rsid w:val="00432E5A"/>
    <w:rsid w:val="0043308F"/>
    <w:rsid w:val="00433747"/>
    <w:rsid w:val="00433E75"/>
    <w:rsid w:val="004344B7"/>
    <w:rsid w:val="00435610"/>
    <w:rsid w:val="004358E8"/>
    <w:rsid w:val="00436946"/>
    <w:rsid w:val="00437CB1"/>
    <w:rsid w:val="004412A6"/>
    <w:rsid w:val="00442E75"/>
    <w:rsid w:val="004450DB"/>
    <w:rsid w:val="00447344"/>
    <w:rsid w:val="00447E15"/>
    <w:rsid w:val="0045001C"/>
    <w:rsid w:val="00450B27"/>
    <w:rsid w:val="004525C1"/>
    <w:rsid w:val="00454F68"/>
    <w:rsid w:val="00457064"/>
    <w:rsid w:val="00457EEB"/>
    <w:rsid w:val="00460412"/>
    <w:rsid w:val="004607FB"/>
    <w:rsid w:val="004608BB"/>
    <w:rsid w:val="00461007"/>
    <w:rsid w:val="00462557"/>
    <w:rsid w:val="004635F9"/>
    <w:rsid w:val="004637AA"/>
    <w:rsid w:val="00463F07"/>
    <w:rsid w:val="004658C9"/>
    <w:rsid w:val="004663A9"/>
    <w:rsid w:val="00467250"/>
    <w:rsid w:val="00471B70"/>
    <w:rsid w:val="00473A2F"/>
    <w:rsid w:val="004751E7"/>
    <w:rsid w:val="00476DBE"/>
    <w:rsid w:val="004770A9"/>
    <w:rsid w:val="004774EE"/>
    <w:rsid w:val="00482D5A"/>
    <w:rsid w:val="00483337"/>
    <w:rsid w:val="00483385"/>
    <w:rsid w:val="00485BC2"/>
    <w:rsid w:val="00485D3F"/>
    <w:rsid w:val="00485FAA"/>
    <w:rsid w:val="00486829"/>
    <w:rsid w:val="0048722E"/>
    <w:rsid w:val="00487906"/>
    <w:rsid w:val="0049160A"/>
    <w:rsid w:val="00494352"/>
    <w:rsid w:val="00494C2D"/>
    <w:rsid w:val="004968C9"/>
    <w:rsid w:val="00497118"/>
    <w:rsid w:val="00497571"/>
    <w:rsid w:val="004A10DD"/>
    <w:rsid w:val="004A19B3"/>
    <w:rsid w:val="004A3F91"/>
    <w:rsid w:val="004A7E18"/>
    <w:rsid w:val="004B180C"/>
    <w:rsid w:val="004B3226"/>
    <w:rsid w:val="004B71F9"/>
    <w:rsid w:val="004B7DB4"/>
    <w:rsid w:val="004C03CF"/>
    <w:rsid w:val="004C1C93"/>
    <w:rsid w:val="004C3F50"/>
    <w:rsid w:val="004C4306"/>
    <w:rsid w:val="004C562F"/>
    <w:rsid w:val="004C796B"/>
    <w:rsid w:val="004C7D6F"/>
    <w:rsid w:val="004D2BDF"/>
    <w:rsid w:val="004D4552"/>
    <w:rsid w:val="004D4911"/>
    <w:rsid w:val="004D6E60"/>
    <w:rsid w:val="004D7349"/>
    <w:rsid w:val="004D7EC0"/>
    <w:rsid w:val="004E04E9"/>
    <w:rsid w:val="004E1226"/>
    <w:rsid w:val="004E4001"/>
    <w:rsid w:val="004E5750"/>
    <w:rsid w:val="004E625E"/>
    <w:rsid w:val="004E74F4"/>
    <w:rsid w:val="004F1256"/>
    <w:rsid w:val="004F15F3"/>
    <w:rsid w:val="004F17E3"/>
    <w:rsid w:val="004F248B"/>
    <w:rsid w:val="004F7272"/>
    <w:rsid w:val="004F7C65"/>
    <w:rsid w:val="004F7E74"/>
    <w:rsid w:val="00500425"/>
    <w:rsid w:val="005016F5"/>
    <w:rsid w:val="005021F0"/>
    <w:rsid w:val="0050374B"/>
    <w:rsid w:val="0050374C"/>
    <w:rsid w:val="0050549F"/>
    <w:rsid w:val="00505F9A"/>
    <w:rsid w:val="00507B01"/>
    <w:rsid w:val="0051048D"/>
    <w:rsid w:val="00510583"/>
    <w:rsid w:val="00513974"/>
    <w:rsid w:val="00513E58"/>
    <w:rsid w:val="00514F6D"/>
    <w:rsid w:val="005154F9"/>
    <w:rsid w:val="005174A5"/>
    <w:rsid w:val="00517D55"/>
    <w:rsid w:val="0052377E"/>
    <w:rsid w:val="0052378B"/>
    <w:rsid w:val="00523846"/>
    <w:rsid w:val="00523900"/>
    <w:rsid w:val="00526637"/>
    <w:rsid w:val="005267D2"/>
    <w:rsid w:val="00527DE0"/>
    <w:rsid w:val="00530D72"/>
    <w:rsid w:val="005319DC"/>
    <w:rsid w:val="00535822"/>
    <w:rsid w:val="00536FD7"/>
    <w:rsid w:val="00540D7D"/>
    <w:rsid w:val="0054281D"/>
    <w:rsid w:val="00542D72"/>
    <w:rsid w:val="00546A3F"/>
    <w:rsid w:val="00550B93"/>
    <w:rsid w:val="00550DA3"/>
    <w:rsid w:val="00550FF4"/>
    <w:rsid w:val="005519EA"/>
    <w:rsid w:val="0056228F"/>
    <w:rsid w:val="00562391"/>
    <w:rsid w:val="0056381D"/>
    <w:rsid w:val="00564A50"/>
    <w:rsid w:val="0056595B"/>
    <w:rsid w:val="005667C8"/>
    <w:rsid w:val="00566FFC"/>
    <w:rsid w:val="00567959"/>
    <w:rsid w:val="00571377"/>
    <w:rsid w:val="00572371"/>
    <w:rsid w:val="00572B31"/>
    <w:rsid w:val="0057347E"/>
    <w:rsid w:val="00573BAD"/>
    <w:rsid w:val="00576164"/>
    <w:rsid w:val="00581A8C"/>
    <w:rsid w:val="0058405B"/>
    <w:rsid w:val="00591609"/>
    <w:rsid w:val="005916B2"/>
    <w:rsid w:val="0059218A"/>
    <w:rsid w:val="00593257"/>
    <w:rsid w:val="00593FA0"/>
    <w:rsid w:val="00595CA3"/>
    <w:rsid w:val="005964E6"/>
    <w:rsid w:val="005964FF"/>
    <w:rsid w:val="005968C1"/>
    <w:rsid w:val="005A0B00"/>
    <w:rsid w:val="005A4217"/>
    <w:rsid w:val="005A4245"/>
    <w:rsid w:val="005A44A7"/>
    <w:rsid w:val="005A4EA0"/>
    <w:rsid w:val="005A5EDC"/>
    <w:rsid w:val="005A6F3D"/>
    <w:rsid w:val="005B2FF0"/>
    <w:rsid w:val="005B382F"/>
    <w:rsid w:val="005B3A5E"/>
    <w:rsid w:val="005B3D15"/>
    <w:rsid w:val="005B3DBC"/>
    <w:rsid w:val="005B5CA2"/>
    <w:rsid w:val="005B5DF4"/>
    <w:rsid w:val="005B5F0C"/>
    <w:rsid w:val="005B71C9"/>
    <w:rsid w:val="005B768D"/>
    <w:rsid w:val="005C0692"/>
    <w:rsid w:val="005C338A"/>
    <w:rsid w:val="005C3901"/>
    <w:rsid w:val="005C4542"/>
    <w:rsid w:val="005C51C3"/>
    <w:rsid w:val="005C5280"/>
    <w:rsid w:val="005D0E61"/>
    <w:rsid w:val="005D16E2"/>
    <w:rsid w:val="005D2B40"/>
    <w:rsid w:val="005D4122"/>
    <w:rsid w:val="005D6238"/>
    <w:rsid w:val="005D67E4"/>
    <w:rsid w:val="005D7B9C"/>
    <w:rsid w:val="005E02CF"/>
    <w:rsid w:val="005E0CC5"/>
    <w:rsid w:val="005E1CBC"/>
    <w:rsid w:val="005E40C5"/>
    <w:rsid w:val="005F0BA2"/>
    <w:rsid w:val="005F4F56"/>
    <w:rsid w:val="005F5135"/>
    <w:rsid w:val="005F5400"/>
    <w:rsid w:val="005F5515"/>
    <w:rsid w:val="005F5923"/>
    <w:rsid w:val="005F69CD"/>
    <w:rsid w:val="005F767A"/>
    <w:rsid w:val="00601347"/>
    <w:rsid w:val="00601E03"/>
    <w:rsid w:val="00603556"/>
    <w:rsid w:val="00606B57"/>
    <w:rsid w:val="00607C2D"/>
    <w:rsid w:val="006106E9"/>
    <w:rsid w:val="0061257B"/>
    <w:rsid w:val="00614110"/>
    <w:rsid w:val="0061626E"/>
    <w:rsid w:val="006164BE"/>
    <w:rsid w:val="006203CF"/>
    <w:rsid w:val="00621AD0"/>
    <w:rsid w:val="00621F91"/>
    <w:rsid w:val="00624747"/>
    <w:rsid w:val="006249F4"/>
    <w:rsid w:val="00624DB6"/>
    <w:rsid w:val="00625803"/>
    <w:rsid w:val="00630EC1"/>
    <w:rsid w:val="0063434C"/>
    <w:rsid w:val="00636335"/>
    <w:rsid w:val="00636457"/>
    <w:rsid w:val="006365BA"/>
    <w:rsid w:val="00636CDE"/>
    <w:rsid w:val="00637F60"/>
    <w:rsid w:val="00641162"/>
    <w:rsid w:val="006427B1"/>
    <w:rsid w:val="00644AC5"/>
    <w:rsid w:val="0064666C"/>
    <w:rsid w:val="00650025"/>
    <w:rsid w:val="0065104B"/>
    <w:rsid w:val="006568EB"/>
    <w:rsid w:val="00660F50"/>
    <w:rsid w:val="00662528"/>
    <w:rsid w:val="00664088"/>
    <w:rsid w:val="00671576"/>
    <w:rsid w:val="00671848"/>
    <w:rsid w:val="00673D61"/>
    <w:rsid w:val="00673D7B"/>
    <w:rsid w:val="006740E3"/>
    <w:rsid w:val="00674EF1"/>
    <w:rsid w:val="00676EFA"/>
    <w:rsid w:val="00677380"/>
    <w:rsid w:val="00677B5F"/>
    <w:rsid w:val="0068476D"/>
    <w:rsid w:val="006937D0"/>
    <w:rsid w:val="006949E5"/>
    <w:rsid w:val="006950C1"/>
    <w:rsid w:val="006960D3"/>
    <w:rsid w:val="00696B0D"/>
    <w:rsid w:val="006A55B7"/>
    <w:rsid w:val="006A5AEC"/>
    <w:rsid w:val="006A68F5"/>
    <w:rsid w:val="006B01F2"/>
    <w:rsid w:val="006B039D"/>
    <w:rsid w:val="006B2FA0"/>
    <w:rsid w:val="006B39E0"/>
    <w:rsid w:val="006B4429"/>
    <w:rsid w:val="006B5326"/>
    <w:rsid w:val="006B6B4A"/>
    <w:rsid w:val="006B7CFB"/>
    <w:rsid w:val="006C01A7"/>
    <w:rsid w:val="006C082F"/>
    <w:rsid w:val="006C3117"/>
    <w:rsid w:val="006C49A3"/>
    <w:rsid w:val="006C578E"/>
    <w:rsid w:val="006C5A95"/>
    <w:rsid w:val="006C679B"/>
    <w:rsid w:val="006C739C"/>
    <w:rsid w:val="006D0C1E"/>
    <w:rsid w:val="006D0C66"/>
    <w:rsid w:val="006D0CB5"/>
    <w:rsid w:val="006D4863"/>
    <w:rsid w:val="006D704E"/>
    <w:rsid w:val="006E1DF5"/>
    <w:rsid w:val="006E3F15"/>
    <w:rsid w:val="006E669D"/>
    <w:rsid w:val="006F0C9E"/>
    <w:rsid w:val="006F0D9B"/>
    <w:rsid w:val="006F20F3"/>
    <w:rsid w:val="006F3C6E"/>
    <w:rsid w:val="006F41FF"/>
    <w:rsid w:val="006F4A12"/>
    <w:rsid w:val="006F4BC1"/>
    <w:rsid w:val="006F4DA0"/>
    <w:rsid w:val="006F586C"/>
    <w:rsid w:val="006F6FC3"/>
    <w:rsid w:val="006F71F4"/>
    <w:rsid w:val="006F744C"/>
    <w:rsid w:val="00700583"/>
    <w:rsid w:val="0070206D"/>
    <w:rsid w:val="00703FC8"/>
    <w:rsid w:val="00704D18"/>
    <w:rsid w:val="007052D2"/>
    <w:rsid w:val="0070550F"/>
    <w:rsid w:val="00710626"/>
    <w:rsid w:val="00711A21"/>
    <w:rsid w:val="00716068"/>
    <w:rsid w:val="00716973"/>
    <w:rsid w:val="00716B07"/>
    <w:rsid w:val="00717552"/>
    <w:rsid w:val="00723627"/>
    <w:rsid w:val="0072573B"/>
    <w:rsid w:val="0072595D"/>
    <w:rsid w:val="007268CC"/>
    <w:rsid w:val="00727055"/>
    <w:rsid w:val="00730701"/>
    <w:rsid w:val="00733432"/>
    <w:rsid w:val="00733965"/>
    <w:rsid w:val="00733CAA"/>
    <w:rsid w:val="00733DD8"/>
    <w:rsid w:val="007340A1"/>
    <w:rsid w:val="00734AB0"/>
    <w:rsid w:val="00734E84"/>
    <w:rsid w:val="0073540F"/>
    <w:rsid w:val="00735A21"/>
    <w:rsid w:val="007368F6"/>
    <w:rsid w:val="00740069"/>
    <w:rsid w:val="00740268"/>
    <w:rsid w:val="00746BC0"/>
    <w:rsid w:val="00746E9B"/>
    <w:rsid w:val="00747A99"/>
    <w:rsid w:val="007543B0"/>
    <w:rsid w:val="007565A6"/>
    <w:rsid w:val="00760754"/>
    <w:rsid w:val="007616D0"/>
    <w:rsid w:val="0077107E"/>
    <w:rsid w:val="00771299"/>
    <w:rsid w:val="0077504C"/>
    <w:rsid w:val="0077586C"/>
    <w:rsid w:val="00775D1F"/>
    <w:rsid w:val="007769C5"/>
    <w:rsid w:val="007772D9"/>
    <w:rsid w:val="007815B4"/>
    <w:rsid w:val="00783826"/>
    <w:rsid w:val="00785566"/>
    <w:rsid w:val="007874D2"/>
    <w:rsid w:val="00791A81"/>
    <w:rsid w:val="00792686"/>
    <w:rsid w:val="00793E49"/>
    <w:rsid w:val="00794CEE"/>
    <w:rsid w:val="00795E76"/>
    <w:rsid w:val="00796A41"/>
    <w:rsid w:val="00797A31"/>
    <w:rsid w:val="00797EF3"/>
    <w:rsid w:val="007A01CD"/>
    <w:rsid w:val="007A0CC6"/>
    <w:rsid w:val="007A0E87"/>
    <w:rsid w:val="007A1CC4"/>
    <w:rsid w:val="007A2D98"/>
    <w:rsid w:val="007A36D3"/>
    <w:rsid w:val="007A3BBF"/>
    <w:rsid w:val="007A6426"/>
    <w:rsid w:val="007A6D01"/>
    <w:rsid w:val="007A7323"/>
    <w:rsid w:val="007A7C75"/>
    <w:rsid w:val="007A7FFA"/>
    <w:rsid w:val="007B1B74"/>
    <w:rsid w:val="007B4AC0"/>
    <w:rsid w:val="007B4B54"/>
    <w:rsid w:val="007B6E66"/>
    <w:rsid w:val="007B77FF"/>
    <w:rsid w:val="007B7B4A"/>
    <w:rsid w:val="007C112C"/>
    <w:rsid w:val="007C59FB"/>
    <w:rsid w:val="007C6C60"/>
    <w:rsid w:val="007D1D80"/>
    <w:rsid w:val="007D2310"/>
    <w:rsid w:val="007D48BE"/>
    <w:rsid w:val="007D56CB"/>
    <w:rsid w:val="007D5AC8"/>
    <w:rsid w:val="007D682C"/>
    <w:rsid w:val="007D77D7"/>
    <w:rsid w:val="007D79C2"/>
    <w:rsid w:val="007D7F6F"/>
    <w:rsid w:val="007E05D0"/>
    <w:rsid w:val="007E14F8"/>
    <w:rsid w:val="007E3A16"/>
    <w:rsid w:val="007E3A75"/>
    <w:rsid w:val="007E5CD9"/>
    <w:rsid w:val="007E6261"/>
    <w:rsid w:val="007E6BAA"/>
    <w:rsid w:val="007E76FD"/>
    <w:rsid w:val="007F007D"/>
    <w:rsid w:val="007F03E5"/>
    <w:rsid w:val="007F04F3"/>
    <w:rsid w:val="007F1730"/>
    <w:rsid w:val="007F1D75"/>
    <w:rsid w:val="007F297E"/>
    <w:rsid w:val="007F4F98"/>
    <w:rsid w:val="007F6BC7"/>
    <w:rsid w:val="007F6DF8"/>
    <w:rsid w:val="007F6F01"/>
    <w:rsid w:val="007F7164"/>
    <w:rsid w:val="007F76B9"/>
    <w:rsid w:val="008015AF"/>
    <w:rsid w:val="00803598"/>
    <w:rsid w:val="00806489"/>
    <w:rsid w:val="008064A1"/>
    <w:rsid w:val="008070A8"/>
    <w:rsid w:val="00810F73"/>
    <w:rsid w:val="008134E6"/>
    <w:rsid w:val="00814CC0"/>
    <w:rsid w:val="00814E15"/>
    <w:rsid w:val="00816A0C"/>
    <w:rsid w:val="00817242"/>
    <w:rsid w:val="00817975"/>
    <w:rsid w:val="00817B68"/>
    <w:rsid w:val="00820E74"/>
    <w:rsid w:val="00821C1E"/>
    <w:rsid w:val="00823333"/>
    <w:rsid w:val="0082435F"/>
    <w:rsid w:val="00824C26"/>
    <w:rsid w:val="00825445"/>
    <w:rsid w:val="0082708A"/>
    <w:rsid w:val="00831E2E"/>
    <w:rsid w:val="00831EF8"/>
    <w:rsid w:val="00832AE4"/>
    <w:rsid w:val="00832C15"/>
    <w:rsid w:val="00833ADA"/>
    <w:rsid w:val="00833AE6"/>
    <w:rsid w:val="00834102"/>
    <w:rsid w:val="00835B0D"/>
    <w:rsid w:val="00835B69"/>
    <w:rsid w:val="008366A2"/>
    <w:rsid w:val="00837E73"/>
    <w:rsid w:val="008414B8"/>
    <w:rsid w:val="00842758"/>
    <w:rsid w:val="008427DE"/>
    <w:rsid w:val="008435F0"/>
    <w:rsid w:val="0084442C"/>
    <w:rsid w:val="0084482C"/>
    <w:rsid w:val="00845789"/>
    <w:rsid w:val="00846A95"/>
    <w:rsid w:val="008470B2"/>
    <w:rsid w:val="00847BB1"/>
    <w:rsid w:val="00850801"/>
    <w:rsid w:val="00851D7F"/>
    <w:rsid w:val="00855140"/>
    <w:rsid w:val="00857FE0"/>
    <w:rsid w:val="00860A7F"/>
    <w:rsid w:val="0086324B"/>
    <w:rsid w:val="008633B6"/>
    <w:rsid w:val="008636B3"/>
    <w:rsid w:val="00864815"/>
    <w:rsid w:val="0086519B"/>
    <w:rsid w:val="00865424"/>
    <w:rsid w:val="00866977"/>
    <w:rsid w:val="00872524"/>
    <w:rsid w:val="008738BE"/>
    <w:rsid w:val="00873933"/>
    <w:rsid w:val="00873B0A"/>
    <w:rsid w:val="00874B06"/>
    <w:rsid w:val="00874C0A"/>
    <w:rsid w:val="008802E1"/>
    <w:rsid w:val="008806F0"/>
    <w:rsid w:val="00884986"/>
    <w:rsid w:val="008856E6"/>
    <w:rsid w:val="008877ED"/>
    <w:rsid w:val="0089095B"/>
    <w:rsid w:val="00890EA3"/>
    <w:rsid w:val="00891E64"/>
    <w:rsid w:val="00892503"/>
    <w:rsid w:val="0089294A"/>
    <w:rsid w:val="00893B04"/>
    <w:rsid w:val="00893B62"/>
    <w:rsid w:val="008944C6"/>
    <w:rsid w:val="00895261"/>
    <w:rsid w:val="00895343"/>
    <w:rsid w:val="00897A4B"/>
    <w:rsid w:val="008A0E8B"/>
    <w:rsid w:val="008A116A"/>
    <w:rsid w:val="008A19B9"/>
    <w:rsid w:val="008A22D0"/>
    <w:rsid w:val="008A2FEA"/>
    <w:rsid w:val="008A6490"/>
    <w:rsid w:val="008A6549"/>
    <w:rsid w:val="008B0197"/>
    <w:rsid w:val="008B12AE"/>
    <w:rsid w:val="008B12CA"/>
    <w:rsid w:val="008B1F25"/>
    <w:rsid w:val="008B3A64"/>
    <w:rsid w:val="008B5D09"/>
    <w:rsid w:val="008B701D"/>
    <w:rsid w:val="008B7CD5"/>
    <w:rsid w:val="008C084F"/>
    <w:rsid w:val="008C1189"/>
    <w:rsid w:val="008C1DE2"/>
    <w:rsid w:val="008C2D73"/>
    <w:rsid w:val="008C3731"/>
    <w:rsid w:val="008C4092"/>
    <w:rsid w:val="008C428E"/>
    <w:rsid w:val="008C525D"/>
    <w:rsid w:val="008C543D"/>
    <w:rsid w:val="008D2AC9"/>
    <w:rsid w:val="008D4A9D"/>
    <w:rsid w:val="008D5B7A"/>
    <w:rsid w:val="008D6484"/>
    <w:rsid w:val="008D7652"/>
    <w:rsid w:val="008D76AA"/>
    <w:rsid w:val="008E046F"/>
    <w:rsid w:val="008E0732"/>
    <w:rsid w:val="008E0F43"/>
    <w:rsid w:val="008E112B"/>
    <w:rsid w:val="008E14F1"/>
    <w:rsid w:val="008E1E68"/>
    <w:rsid w:val="008E2150"/>
    <w:rsid w:val="008E2931"/>
    <w:rsid w:val="008E2DC3"/>
    <w:rsid w:val="008E3EA7"/>
    <w:rsid w:val="008E7503"/>
    <w:rsid w:val="008F00D1"/>
    <w:rsid w:val="008F039C"/>
    <w:rsid w:val="008F0B19"/>
    <w:rsid w:val="008F19BD"/>
    <w:rsid w:val="008F305F"/>
    <w:rsid w:val="008F3767"/>
    <w:rsid w:val="008F6457"/>
    <w:rsid w:val="008F6850"/>
    <w:rsid w:val="008F6F58"/>
    <w:rsid w:val="009003F5"/>
    <w:rsid w:val="009008D9"/>
    <w:rsid w:val="00903B53"/>
    <w:rsid w:val="00907C54"/>
    <w:rsid w:val="009103B9"/>
    <w:rsid w:val="009127F3"/>
    <w:rsid w:val="009133C3"/>
    <w:rsid w:val="00914267"/>
    <w:rsid w:val="00915FAE"/>
    <w:rsid w:val="00916C6C"/>
    <w:rsid w:val="00916FFA"/>
    <w:rsid w:val="00921B41"/>
    <w:rsid w:val="00922A03"/>
    <w:rsid w:val="00923309"/>
    <w:rsid w:val="00923A7F"/>
    <w:rsid w:val="00924837"/>
    <w:rsid w:val="00926719"/>
    <w:rsid w:val="009271FE"/>
    <w:rsid w:val="00927352"/>
    <w:rsid w:val="00930868"/>
    <w:rsid w:val="00930A40"/>
    <w:rsid w:val="00932169"/>
    <w:rsid w:val="00937BE3"/>
    <w:rsid w:val="00947BA0"/>
    <w:rsid w:val="00947DA2"/>
    <w:rsid w:val="009533A8"/>
    <w:rsid w:val="009538D2"/>
    <w:rsid w:val="00953B28"/>
    <w:rsid w:val="00953E26"/>
    <w:rsid w:val="00954499"/>
    <w:rsid w:val="0095551E"/>
    <w:rsid w:val="00955E74"/>
    <w:rsid w:val="00956DD8"/>
    <w:rsid w:val="00960DF3"/>
    <w:rsid w:val="00961B3C"/>
    <w:rsid w:val="00961EA2"/>
    <w:rsid w:val="009626F2"/>
    <w:rsid w:val="00962C1D"/>
    <w:rsid w:val="009630AF"/>
    <w:rsid w:val="00965FC5"/>
    <w:rsid w:val="00966AF9"/>
    <w:rsid w:val="009709FC"/>
    <w:rsid w:val="0097295A"/>
    <w:rsid w:val="009737EB"/>
    <w:rsid w:val="009741C5"/>
    <w:rsid w:val="00974548"/>
    <w:rsid w:val="00975960"/>
    <w:rsid w:val="00982ED4"/>
    <w:rsid w:val="00982F0D"/>
    <w:rsid w:val="009844B4"/>
    <w:rsid w:val="00985055"/>
    <w:rsid w:val="009867EF"/>
    <w:rsid w:val="00987971"/>
    <w:rsid w:val="00991A0E"/>
    <w:rsid w:val="00991A4D"/>
    <w:rsid w:val="00992FD1"/>
    <w:rsid w:val="00993B28"/>
    <w:rsid w:val="0099501B"/>
    <w:rsid w:val="00995475"/>
    <w:rsid w:val="009A0CFB"/>
    <w:rsid w:val="009A25A2"/>
    <w:rsid w:val="009A4DD5"/>
    <w:rsid w:val="009A756E"/>
    <w:rsid w:val="009B0AB1"/>
    <w:rsid w:val="009B0BAE"/>
    <w:rsid w:val="009B1901"/>
    <w:rsid w:val="009B1C88"/>
    <w:rsid w:val="009B61A7"/>
    <w:rsid w:val="009B658B"/>
    <w:rsid w:val="009C04FF"/>
    <w:rsid w:val="009C0D62"/>
    <w:rsid w:val="009C3A66"/>
    <w:rsid w:val="009C4536"/>
    <w:rsid w:val="009D26A9"/>
    <w:rsid w:val="009D635D"/>
    <w:rsid w:val="009E0A1C"/>
    <w:rsid w:val="009E0E88"/>
    <w:rsid w:val="009E16BB"/>
    <w:rsid w:val="009E2DA1"/>
    <w:rsid w:val="009E37D5"/>
    <w:rsid w:val="009E3B10"/>
    <w:rsid w:val="009E447B"/>
    <w:rsid w:val="009E5793"/>
    <w:rsid w:val="009E6EFC"/>
    <w:rsid w:val="009E7337"/>
    <w:rsid w:val="009F07F2"/>
    <w:rsid w:val="009F0E33"/>
    <w:rsid w:val="009F18F6"/>
    <w:rsid w:val="009F39F4"/>
    <w:rsid w:val="00A00B46"/>
    <w:rsid w:val="00A00F0A"/>
    <w:rsid w:val="00A03E05"/>
    <w:rsid w:val="00A04070"/>
    <w:rsid w:val="00A0674E"/>
    <w:rsid w:val="00A07906"/>
    <w:rsid w:val="00A104D2"/>
    <w:rsid w:val="00A129A8"/>
    <w:rsid w:val="00A12A7B"/>
    <w:rsid w:val="00A133AC"/>
    <w:rsid w:val="00A13746"/>
    <w:rsid w:val="00A13CCA"/>
    <w:rsid w:val="00A143D8"/>
    <w:rsid w:val="00A146A0"/>
    <w:rsid w:val="00A152FC"/>
    <w:rsid w:val="00A15781"/>
    <w:rsid w:val="00A15C6C"/>
    <w:rsid w:val="00A16297"/>
    <w:rsid w:val="00A17350"/>
    <w:rsid w:val="00A258AA"/>
    <w:rsid w:val="00A26C0F"/>
    <w:rsid w:val="00A27C82"/>
    <w:rsid w:val="00A30304"/>
    <w:rsid w:val="00A313A2"/>
    <w:rsid w:val="00A32D98"/>
    <w:rsid w:val="00A34A46"/>
    <w:rsid w:val="00A3534B"/>
    <w:rsid w:val="00A35C23"/>
    <w:rsid w:val="00A36B2C"/>
    <w:rsid w:val="00A37920"/>
    <w:rsid w:val="00A37DB1"/>
    <w:rsid w:val="00A37F86"/>
    <w:rsid w:val="00A40E9D"/>
    <w:rsid w:val="00A40F2B"/>
    <w:rsid w:val="00A41B58"/>
    <w:rsid w:val="00A42DCF"/>
    <w:rsid w:val="00A45A83"/>
    <w:rsid w:val="00A46A51"/>
    <w:rsid w:val="00A46F3E"/>
    <w:rsid w:val="00A51758"/>
    <w:rsid w:val="00A54581"/>
    <w:rsid w:val="00A5499E"/>
    <w:rsid w:val="00A54CF9"/>
    <w:rsid w:val="00A5598D"/>
    <w:rsid w:val="00A5751F"/>
    <w:rsid w:val="00A60787"/>
    <w:rsid w:val="00A63388"/>
    <w:rsid w:val="00A6431B"/>
    <w:rsid w:val="00A679D4"/>
    <w:rsid w:val="00A67C7A"/>
    <w:rsid w:val="00A7081D"/>
    <w:rsid w:val="00A7271D"/>
    <w:rsid w:val="00A72A1A"/>
    <w:rsid w:val="00A73044"/>
    <w:rsid w:val="00A76F85"/>
    <w:rsid w:val="00A77B4E"/>
    <w:rsid w:val="00A803CA"/>
    <w:rsid w:val="00A80D25"/>
    <w:rsid w:val="00A81AE4"/>
    <w:rsid w:val="00A82352"/>
    <w:rsid w:val="00A840B5"/>
    <w:rsid w:val="00A85214"/>
    <w:rsid w:val="00A8548B"/>
    <w:rsid w:val="00A857B0"/>
    <w:rsid w:val="00A8638C"/>
    <w:rsid w:val="00A90109"/>
    <w:rsid w:val="00A91629"/>
    <w:rsid w:val="00A91B0E"/>
    <w:rsid w:val="00A93744"/>
    <w:rsid w:val="00A9405C"/>
    <w:rsid w:val="00A95303"/>
    <w:rsid w:val="00A97C1D"/>
    <w:rsid w:val="00AA0755"/>
    <w:rsid w:val="00AA1051"/>
    <w:rsid w:val="00AA134D"/>
    <w:rsid w:val="00AA203E"/>
    <w:rsid w:val="00AA2DF4"/>
    <w:rsid w:val="00AA372E"/>
    <w:rsid w:val="00AA5140"/>
    <w:rsid w:val="00AA5BF4"/>
    <w:rsid w:val="00AA6B46"/>
    <w:rsid w:val="00AA7217"/>
    <w:rsid w:val="00AA7341"/>
    <w:rsid w:val="00AB1EB2"/>
    <w:rsid w:val="00AB3BBD"/>
    <w:rsid w:val="00AB4DD4"/>
    <w:rsid w:val="00AB6128"/>
    <w:rsid w:val="00AB7441"/>
    <w:rsid w:val="00AC15D4"/>
    <w:rsid w:val="00AC626B"/>
    <w:rsid w:val="00AC7166"/>
    <w:rsid w:val="00AD0745"/>
    <w:rsid w:val="00AD0DC6"/>
    <w:rsid w:val="00AD30D1"/>
    <w:rsid w:val="00AD3339"/>
    <w:rsid w:val="00AD34FE"/>
    <w:rsid w:val="00AD3592"/>
    <w:rsid w:val="00AD4626"/>
    <w:rsid w:val="00AD4734"/>
    <w:rsid w:val="00AD685A"/>
    <w:rsid w:val="00AE0DAE"/>
    <w:rsid w:val="00AE15CC"/>
    <w:rsid w:val="00AE26A9"/>
    <w:rsid w:val="00AE4A2D"/>
    <w:rsid w:val="00AE7F73"/>
    <w:rsid w:val="00AF0FF0"/>
    <w:rsid w:val="00AF1B4A"/>
    <w:rsid w:val="00AF1E71"/>
    <w:rsid w:val="00AF21E8"/>
    <w:rsid w:val="00AF247D"/>
    <w:rsid w:val="00AF274A"/>
    <w:rsid w:val="00AF2886"/>
    <w:rsid w:val="00AF2DC0"/>
    <w:rsid w:val="00AF3C45"/>
    <w:rsid w:val="00AF74FF"/>
    <w:rsid w:val="00AF7B20"/>
    <w:rsid w:val="00B004DC"/>
    <w:rsid w:val="00B040A4"/>
    <w:rsid w:val="00B04406"/>
    <w:rsid w:val="00B04A87"/>
    <w:rsid w:val="00B0658A"/>
    <w:rsid w:val="00B06701"/>
    <w:rsid w:val="00B07B82"/>
    <w:rsid w:val="00B12B59"/>
    <w:rsid w:val="00B155AC"/>
    <w:rsid w:val="00B15C75"/>
    <w:rsid w:val="00B15FB8"/>
    <w:rsid w:val="00B208EC"/>
    <w:rsid w:val="00B20D2D"/>
    <w:rsid w:val="00B220D0"/>
    <w:rsid w:val="00B23E6E"/>
    <w:rsid w:val="00B25D34"/>
    <w:rsid w:val="00B305EE"/>
    <w:rsid w:val="00B30780"/>
    <w:rsid w:val="00B30C48"/>
    <w:rsid w:val="00B31B7E"/>
    <w:rsid w:val="00B32F64"/>
    <w:rsid w:val="00B352DC"/>
    <w:rsid w:val="00B36A93"/>
    <w:rsid w:val="00B37B2A"/>
    <w:rsid w:val="00B37E02"/>
    <w:rsid w:val="00B410CF"/>
    <w:rsid w:val="00B420A6"/>
    <w:rsid w:val="00B43691"/>
    <w:rsid w:val="00B458EF"/>
    <w:rsid w:val="00B46E86"/>
    <w:rsid w:val="00B4790A"/>
    <w:rsid w:val="00B51166"/>
    <w:rsid w:val="00B51911"/>
    <w:rsid w:val="00B52A7C"/>
    <w:rsid w:val="00B5514C"/>
    <w:rsid w:val="00B5589F"/>
    <w:rsid w:val="00B5701E"/>
    <w:rsid w:val="00B574DB"/>
    <w:rsid w:val="00B6055A"/>
    <w:rsid w:val="00B61328"/>
    <w:rsid w:val="00B617F8"/>
    <w:rsid w:val="00B62810"/>
    <w:rsid w:val="00B648F2"/>
    <w:rsid w:val="00B6541F"/>
    <w:rsid w:val="00B6617F"/>
    <w:rsid w:val="00B662F6"/>
    <w:rsid w:val="00B74C0E"/>
    <w:rsid w:val="00B7782C"/>
    <w:rsid w:val="00B77961"/>
    <w:rsid w:val="00B77CD2"/>
    <w:rsid w:val="00B80252"/>
    <w:rsid w:val="00B82CF0"/>
    <w:rsid w:val="00B83E81"/>
    <w:rsid w:val="00B83F86"/>
    <w:rsid w:val="00B85CD0"/>
    <w:rsid w:val="00B86EB8"/>
    <w:rsid w:val="00B87454"/>
    <w:rsid w:val="00B874A4"/>
    <w:rsid w:val="00B87D05"/>
    <w:rsid w:val="00B90196"/>
    <w:rsid w:val="00B92748"/>
    <w:rsid w:val="00B929E9"/>
    <w:rsid w:val="00B96153"/>
    <w:rsid w:val="00B961DE"/>
    <w:rsid w:val="00B96268"/>
    <w:rsid w:val="00B9797E"/>
    <w:rsid w:val="00BA084A"/>
    <w:rsid w:val="00BA1AC5"/>
    <w:rsid w:val="00BA1F6B"/>
    <w:rsid w:val="00BA3ECF"/>
    <w:rsid w:val="00BA46D5"/>
    <w:rsid w:val="00BA516F"/>
    <w:rsid w:val="00BA7232"/>
    <w:rsid w:val="00BA73F1"/>
    <w:rsid w:val="00BB2183"/>
    <w:rsid w:val="00BB2FEC"/>
    <w:rsid w:val="00BB3037"/>
    <w:rsid w:val="00BB513B"/>
    <w:rsid w:val="00BB5A5D"/>
    <w:rsid w:val="00BB73D5"/>
    <w:rsid w:val="00BC0473"/>
    <w:rsid w:val="00BC0C7D"/>
    <w:rsid w:val="00BC184E"/>
    <w:rsid w:val="00BC1960"/>
    <w:rsid w:val="00BC6634"/>
    <w:rsid w:val="00BC6A21"/>
    <w:rsid w:val="00BD1189"/>
    <w:rsid w:val="00BD2847"/>
    <w:rsid w:val="00BD5692"/>
    <w:rsid w:val="00BD6202"/>
    <w:rsid w:val="00BD665C"/>
    <w:rsid w:val="00BD67D0"/>
    <w:rsid w:val="00BE225C"/>
    <w:rsid w:val="00BE405D"/>
    <w:rsid w:val="00BE44CB"/>
    <w:rsid w:val="00BE453C"/>
    <w:rsid w:val="00BE4AEC"/>
    <w:rsid w:val="00BE4B12"/>
    <w:rsid w:val="00BE4FB8"/>
    <w:rsid w:val="00BE5674"/>
    <w:rsid w:val="00BE749E"/>
    <w:rsid w:val="00BE7CC0"/>
    <w:rsid w:val="00BF026A"/>
    <w:rsid w:val="00BF0DE4"/>
    <w:rsid w:val="00BF1725"/>
    <w:rsid w:val="00BF244D"/>
    <w:rsid w:val="00BF32ED"/>
    <w:rsid w:val="00BF7ACB"/>
    <w:rsid w:val="00BF7D93"/>
    <w:rsid w:val="00C004C1"/>
    <w:rsid w:val="00C06465"/>
    <w:rsid w:val="00C06BE3"/>
    <w:rsid w:val="00C0771B"/>
    <w:rsid w:val="00C121DF"/>
    <w:rsid w:val="00C12ABF"/>
    <w:rsid w:val="00C15130"/>
    <w:rsid w:val="00C168DE"/>
    <w:rsid w:val="00C179D3"/>
    <w:rsid w:val="00C20B03"/>
    <w:rsid w:val="00C21D83"/>
    <w:rsid w:val="00C24FC7"/>
    <w:rsid w:val="00C251E5"/>
    <w:rsid w:val="00C25A4D"/>
    <w:rsid w:val="00C26D71"/>
    <w:rsid w:val="00C32FBA"/>
    <w:rsid w:val="00C339C4"/>
    <w:rsid w:val="00C35F32"/>
    <w:rsid w:val="00C40609"/>
    <w:rsid w:val="00C441D1"/>
    <w:rsid w:val="00C4568B"/>
    <w:rsid w:val="00C46DB8"/>
    <w:rsid w:val="00C46F1A"/>
    <w:rsid w:val="00C50C18"/>
    <w:rsid w:val="00C51201"/>
    <w:rsid w:val="00C516D4"/>
    <w:rsid w:val="00C52445"/>
    <w:rsid w:val="00C53691"/>
    <w:rsid w:val="00C56C77"/>
    <w:rsid w:val="00C5701D"/>
    <w:rsid w:val="00C57555"/>
    <w:rsid w:val="00C610CB"/>
    <w:rsid w:val="00C6133B"/>
    <w:rsid w:val="00C6220E"/>
    <w:rsid w:val="00C6225B"/>
    <w:rsid w:val="00C65D24"/>
    <w:rsid w:val="00C66AFD"/>
    <w:rsid w:val="00C6790D"/>
    <w:rsid w:val="00C708A0"/>
    <w:rsid w:val="00C727DF"/>
    <w:rsid w:val="00C74054"/>
    <w:rsid w:val="00C877AF"/>
    <w:rsid w:val="00C87A42"/>
    <w:rsid w:val="00C91364"/>
    <w:rsid w:val="00C937AA"/>
    <w:rsid w:val="00C94F53"/>
    <w:rsid w:val="00C956B2"/>
    <w:rsid w:val="00C96C07"/>
    <w:rsid w:val="00C97083"/>
    <w:rsid w:val="00C971B5"/>
    <w:rsid w:val="00C97828"/>
    <w:rsid w:val="00CA2282"/>
    <w:rsid w:val="00CA584C"/>
    <w:rsid w:val="00CA75A6"/>
    <w:rsid w:val="00CB0096"/>
    <w:rsid w:val="00CB0A9E"/>
    <w:rsid w:val="00CB158A"/>
    <w:rsid w:val="00CB22CD"/>
    <w:rsid w:val="00CB34DC"/>
    <w:rsid w:val="00CB37FC"/>
    <w:rsid w:val="00CB52B0"/>
    <w:rsid w:val="00CB62B6"/>
    <w:rsid w:val="00CB6B46"/>
    <w:rsid w:val="00CB7CDA"/>
    <w:rsid w:val="00CB7D83"/>
    <w:rsid w:val="00CB7FF6"/>
    <w:rsid w:val="00CC2AE9"/>
    <w:rsid w:val="00CC3621"/>
    <w:rsid w:val="00CC7C16"/>
    <w:rsid w:val="00CD1972"/>
    <w:rsid w:val="00CD2964"/>
    <w:rsid w:val="00CD2D65"/>
    <w:rsid w:val="00CD2E69"/>
    <w:rsid w:val="00CD3181"/>
    <w:rsid w:val="00CD5F85"/>
    <w:rsid w:val="00CD6139"/>
    <w:rsid w:val="00CD634E"/>
    <w:rsid w:val="00CD6FEC"/>
    <w:rsid w:val="00CD7490"/>
    <w:rsid w:val="00CE39D5"/>
    <w:rsid w:val="00CE3BAF"/>
    <w:rsid w:val="00CE4124"/>
    <w:rsid w:val="00CE4747"/>
    <w:rsid w:val="00CE7CDD"/>
    <w:rsid w:val="00CF1FF7"/>
    <w:rsid w:val="00CF41F0"/>
    <w:rsid w:val="00CF7708"/>
    <w:rsid w:val="00CF7F35"/>
    <w:rsid w:val="00CF7F76"/>
    <w:rsid w:val="00D00B58"/>
    <w:rsid w:val="00D01345"/>
    <w:rsid w:val="00D0345D"/>
    <w:rsid w:val="00D03B35"/>
    <w:rsid w:val="00D04A55"/>
    <w:rsid w:val="00D07BB5"/>
    <w:rsid w:val="00D106D7"/>
    <w:rsid w:val="00D1154C"/>
    <w:rsid w:val="00D132F1"/>
    <w:rsid w:val="00D136EC"/>
    <w:rsid w:val="00D148FB"/>
    <w:rsid w:val="00D23123"/>
    <w:rsid w:val="00D246C8"/>
    <w:rsid w:val="00D25461"/>
    <w:rsid w:val="00D30484"/>
    <w:rsid w:val="00D3052E"/>
    <w:rsid w:val="00D31337"/>
    <w:rsid w:val="00D3334D"/>
    <w:rsid w:val="00D33B9D"/>
    <w:rsid w:val="00D3441E"/>
    <w:rsid w:val="00D34807"/>
    <w:rsid w:val="00D3529B"/>
    <w:rsid w:val="00D365FD"/>
    <w:rsid w:val="00D36D61"/>
    <w:rsid w:val="00D44BF7"/>
    <w:rsid w:val="00D45A6A"/>
    <w:rsid w:val="00D45D30"/>
    <w:rsid w:val="00D45E51"/>
    <w:rsid w:val="00D47DAA"/>
    <w:rsid w:val="00D506EA"/>
    <w:rsid w:val="00D5131A"/>
    <w:rsid w:val="00D518ED"/>
    <w:rsid w:val="00D52509"/>
    <w:rsid w:val="00D554B5"/>
    <w:rsid w:val="00D55D53"/>
    <w:rsid w:val="00D606C2"/>
    <w:rsid w:val="00D618CE"/>
    <w:rsid w:val="00D62253"/>
    <w:rsid w:val="00D6691E"/>
    <w:rsid w:val="00D66E83"/>
    <w:rsid w:val="00D67C58"/>
    <w:rsid w:val="00D70C3D"/>
    <w:rsid w:val="00D727B3"/>
    <w:rsid w:val="00D735E8"/>
    <w:rsid w:val="00D7379E"/>
    <w:rsid w:val="00D745F1"/>
    <w:rsid w:val="00D74768"/>
    <w:rsid w:val="00D75604"/>
    <w:rsid w:val="00D80004"/>
    <w:rsid w:val="00D80AA6"/>
    <w:rsid w:val="00D83547"/>
    <w:rsid w:val="00D8394F"/>
    <w:rsid w:val="00D83E40"/>
    <w:rsid w:val="00D83EF4"/>
    <w:rsid w:val="00D84E4F"/>
    <w:rsid w:val="00D858D0"/>
    <w:rsid w:val="00D868E3"/>
    <w:rsid w:val="00D86DBD"/>
    <w:rsid w:val="00D874E4"/>
    <w:rsid w:val="00D9092D"/>
    <w:rsid w:val="00D90F5B"/>
    <w:rsid w:val="00D91B1B"/>
    <w:rsid w:val="00D92145"/>
    <w:rsid w:val="00D929DD"/>
    <w:rsid w:val="00D931B8"/>
    <w:rsid w:val="00D93B48"/>
    <w:rsid w:val="00D93D4F"/>
    <w:rsid w:val="00D94CE1"/>
    <w:rsid w:val="00DA0697"/>
    <w:rsid w:val="00DA11E8"/>
    <w:rsid w:val="00DA3371"/>
    <w:rsid w:val="00DA3D52"/>
    <w:rsid w:val="00DA5D2A"/>
    <w:rsid w:val="00DA7115"/>
    <w:rsid w:val="00DB08C1"/>
    <w:rsid w:val="00DB1896"/>
    <w:rsid w:val="00DB2F20"/>
    <w:rsid w:val="00DB43AD"/>
    <w:rsid w:val="00DB4F99"/>
    <w:rsid w:val="00DB6112"/>
    <w:rsid w:val="00DC0ADA"/>
    <w:rsid w:val="00DC22CF"/>
    <w:rsid w:val="00DC26CB"/>
    <w:rsid w:val="00DC27A5"/>
    <w:rsid w:val="00DC3F6C"/>
    <w:rsid w:val="00DC467F"/>
    <w:rsid w:val="00DD04C4"/>
    <w:rsid w:val="00DD08B3"/>
    <w:rsid w:val="00DD28DA"/>
    <w:rsid w:val="00DD2AA3"/>
    <w:rsid w:val="00DD4F15"/>
    <w:rsid w:val="00DD5393"/>
    <w:rsid w:val="00DD5940"/>
    <w:rsid w:val="00DD79E4"/>
    <w:rsid w:val="00DE0B17"/>
    <w:rsid w:val="00DE121A"/>
    <w:rsid w:val="00DE236A"/>
    <w:rsid w:val="00DE34C3"/>
    <w:rsid w:val="00DE6195"/>
    <w:rsid w:val="00DE67BC"/>
    <w:rsid w:val="00DE730A"/>
    <w:rsid w:val="00DF175B"/>
    <w:rsid w:val="00DF17E9"/>
    <w:rsid w:val="00DF37E6"/>
    <w:rsid w:val="00DF5EB6"/>
    <w:rsid w:val="00E00F7B"/>
    <w:rsid w:val="00E01E49"/>
    <w:rsid w:val="00E01F55"/>
    <w:rsid w:val="00E021F1"/>
    <w:rsid w:val="00E0321F"/>
    <w:rsid w:val="00E05614"/>
    <w:rsid w:val="00E0615D"/>
    <w:rsid w:val="00E07BE7"/>
    <w:rsid w:val="00E107B8"/>
    <w:rsid w:val="00E11C9E"/>
    <w:rsid w:val="00E12133"/>
    <w:rsid w:val="00E12AFD"/>
    <w:rsid w:val="00E131F5"/>
    <w:rsid w:val="00E137ED"/>
    <w:rsid w:val="00E1392E"/>
    <w:rsid w:val="00E13ED8"/>
    <w:rsid w:val="00E1455A"/>
    <w:rsid w:val="00E14ACD"/>
    <w:rsid w:val="00E152B4"/>
    <w:rsid w:val="00E213C6"/>
    <w:rsid w:val="00E21FB0"/>
    <w:rsid w:val="00E22B1B"/>
    <w:rsid w:val="00E23695"/>
    <w:rsid w:val="00E23843"/>
    <w:rsid w:val="00E23FFD"/>
    <w:rsid w:val="00E2411C"/>
    <w:rsid w:val="00E271FC"/>
    <w:rsid w:val="00E27A96"/>
    <w:rsid w:val="00E3081C"/>
    <w:rsid w:val="00E31DEA"/>
    <w:rsid w:val="00E40F63"/>
    <w:rsid w:val="00E41A13"/>
    <w:rsid w:val="00E41C38"/>
    <w:rsid w:val="00E42717"/>
    <w:rsid w:val="00E42D0E"/>
    <w:rsid w:val="00E434B6"/>
    <w:rsid w:val="00E43D25"/>
    <w:rsid w:val="00E44D71"/>
    <w:rsid w:val="00E459E5"/>
    <w:rsid w:val="00E470BE"/>
    <w:rsid w:val="00E50792"/>
    <w:rsid w:val="00E556FE"/>
    <w:rsid w:val="00E56C0D"/>
    <w:rsid w:val="00E56E34"/>
    <w:rsid w:val="00E57522"/>
    <w:rsid w:val="00E60122"/>
    <w:rsid w:val="00E61F0D"/>
    <w:rsid w:val="00E6504F"/>
    <w:rsid w:val="00E65DBE"/>
    <w:rsid w:val="00E6728A"/>
    <w:rsid w:val="00E67C79"/>
    <w:rsid w:val="00E73E06"/>
    <w:rsid w:val="00E7401B"/>
    <w:rsid w:val="00E811B0"/>
    <w:rsid w:val="00E83E35"/>
    <w:rsid w:val="00E8528B"/>
    <w:rsid w:val="00E867B5"/>
    <w:rsid w:val="00E871EA"/>
    <w:rsid w:val="00E91FAC"/>
    <w:rsid w:val="00E92D52"/>
    <w:rsid w:val="00E938E5"/>
    <w:rsid w:val="00E940FC"/>
    <w:rsid w:val="00E95D0F"/>
    <w:rsid w:val="00E962F6"/>
    <w:rsid w:val="00E97017"/>
    <w:rsid w:val="00E9770F"/>
    <w:rsid w:val="00EA1CC0"/>
    <w:rsid w:val="00EA1D52"/>
    <w:rsid w:val="00EA2E64"/>
    <w:rsid w:val="00EA4600"/>
    <w:rsid w:val="00EA4BE6"/>
    <w:rsid w:val="00EA4F51"/>
    <w:rsid w:val="00EB0D0D"/>
    <w:rsid w:val="00EB14F9"/>
    <w:rsid w:val="00EB26D4"/>
    <w:rsid w:val="00EB3E07"/>
    <w:rsid w:val="00EB4757"/>
    <w:rsid w:val="00EB4FA1"/>
    <w:rsid w:val="00EB5199"/>
    <w:rsid w:val="00EC0CA4"/>
    <w:rsid w:val="00EC15D7"/>
    <w:rsid w:val="00EC1A5F"/>
    <w:rsid w:val="00EC4E32"/>
    <w:rsid w:val="00EC539B"/>
    <w:rsid w:val="00EC5D8F"/>
    <w:rsid w:val="00ED0FEA"/>
    <w:rsid w:val="00ED3E92"/>
    <w:rsid w:val="00ED3F12"/>
    <w:rsid w:val="00ED4756"/>
    <w:rsid w:val="00ED4805"/>
    <w:rsid w:val="00ED4EAD"/>
    <w:rsid w:val="00ED562F"/>
    <w:rsid w:val="00ED5EE5"/>
    <w:rsid w:val="00ED7725"/>
    <w:rsid w:val="00EE2D71"/>
    <w:rsid w:val="00EE44C0"/>
    <w:rsid w:val="00EE4A94"/>
    <w:rsid w:val="00EE5C0D"/>
    <w:rsid w:val="00EE62C7"/>
    <w:rsid w:val="00EF0D50"/>
    <w:rsid w:val="00EF1372"/>
    <w:rsid w:val="00EF23E8"/>
    <w:rsid w:val="00EF2676"/>
    <w:rsid w:val="00EF4279"/>
    <w:rsid w:val="00EF7FD8"/>
    <w:rsid w:val="00F01F5E"/>
    <w:rsid w:val="00F02525"/>
    <w:rsid w:val="00F02C90"/>
    <w:rsid w:val="00F0461C"/>
    <w:rsid w:val="00F072A2"/>
    <w:rsid w:val="00F0756A"/>
    <w:rsid w:val="00F07C5B"/>
    <w:rsid w:val="00F07D1C"/>
    <w:rsid w:val="00F10D05"/>
    <w:rsid w:val="00F1349C"/>
    <w:rsid w:val="00F1399D"/>
    <w:rsid w:val="00F13CF6"/>
    <w:rsid w:val="00F14295"/>
    <w:rsid w:val="00F15430"/>
    <w:rsid w:val="00F16DAD"/>
    <w:rsid w:val="00F1710A"/>
    <w:rsid w:val="00F20009"/>
    <w:rsid w:val="00F20873"/>
    <w:rsid w:val="00F2288B"/>
    <w:rsid w:val="00F22DE9"/>
    <w:rsid w:val="00F24BB4"/>
    <w:rsid w:val="00F25438"/>
    <w:rsid w:val="00F275D4"/>
    <w:rsid w:val="00F27708"/>
    <w:rsid w:val="00F30423"/>
    <w:rsid w:val="00F31274"/>
    <w:rsid w:val="00F333BC"/>
    <w:rsid w:val="00F36165"/>
    <w:rsid w:val="00F36F4E"/>
    <w:rsid w:val="00F401CE"/>
    <w:rsid w:val="00F424FE"/>
    <w:rsid w:val="00F42623"/>
    <w:rsid w:val="00F4289E"/>
    <w:rsid w:val="00F44925"/>
    <w:rsid w:val="00F44E89"/>
    <w:rsid w:val="00F4696F"/>
    <w:rsid w:val="00F4733B"/>
    <w:rsid w:val="00F4771A"/>
    <w:rsid w:val="00F50047"/>
    <w:rsid w:val="00F519D2"/>
    <w:rsid w:val="00F51B34"/>
    <w:rsid w:val="00F52DF4"/>
    <w:rsid w:val="00F5632B"/>
    <w:rsid w:val="00F567C1"/>
    <w:rsid w:val="00F56C11"/>
    <w:rsid w:val="00F577F1"/>
    <w:rsid w:val="00F578BD"/>
    <w:rsid w:val="00F60EF0"/>
    <w:rsid w:val="00F61E88"/>
    <w:rsid w:val="00F62738"/>
    <w:rsid w:val="00F62CA0"/>
    <w:rsid w:val="00F644A4"/>
    <w:rsid w:val="00F6750C"/>
    <w:rsid w:val="00F67F72"/>
    <w:rsid w:val="00F708D7"/>
    <w:rsid w:val="00F73A2B"/>
    <w:rsid w:val="00F774BF"/>
    <w:rsid w:val="00F8003D"/>
    <w:rsid w:val="00F81AFD"/>
    <w:rsid w:val="00F82EF0"/>
    <w:rsid w:val="00F837E6"/>
    <w:rsid w:val="00F84BCB"/>
    <w:rsid w:val="00F859D2"/>
    <w:rsid w:val="00F86534"/>
    <w:rsid w:val="00F8666B"/>
    <w:rsid w:val="00F86CB7"/>
    <w:rsid w:val="00F8744B"/>
    <w:rsid w:val="00F8749A"/>
    <w:rsid w:val="00F87584"/>
    <w:rsid w:val="00F9083F"/>
    <w:rsid w:val="00F90928"/>
    <w:rsid w:val="00F91304"/>
    <w:rsid w:val="00F92F2F"/>
    <w:rsid w:val="00F92FA0"/>
    <w:rsid w:val="00F936C1"/>
    <w:rsid w:val="00F93B46"/>
    <w:rsid w:val="00F945EF"/>
    <w:rsid w:val="00F951B7"/>
    <w:rsid w:val="00F953A8"/>
    <w:rsid w:val="00F9553E"/>
    <w:rsid w:val="00F95769"/>
    <w:rsid w:val="00F95D91"/>
    <w:rsid w:val="00F96668"/>
    <w:rsid w:val="00F96727"/>
    <w:rsid w:val="00F97FC2"/>
    <w:rsid w:val="00FA0787"/>
    <w:rsid w:val="00FA2E59"/>
    <w:rsid w:val="00FA3CF8"/>
    <w:rsid w:val="00FA5949"/>
    <w:rsid w:val="00FA6CDB"/>
    <w:rsid w:val="00FA7A0C"/>
    <w:rsid w:val="00FA7F7F"/>
    <w:rsid w:val="00FB0043"/>
    <w:rsid w:val="00FB0459"/>
    <w:rsid w:val="00FB18E2"/>
    <w:rsid w:val="00FB19BC"/>
    <w:rsid w:val="00FB4899"/>
    <w:rsid w:val="00FB4D74"/>
    <w:rsid w:val="00FB508D"/>
    <w:rsid w:val="00FB5964"/>
    <w:rsid w:val="00FB5EC8"/>
    <w:rsid w:val="00FB63F3"/>
    <w:rsid w:val="00FB7E36"/>
    <w:rsid w:val="00FC419F"/>
    <w:rsid w:val="00FC4BCA"/>
    <w:rsid w:val="00FC5BD0"/>
    <w:rsid w:val="00FC7894"/>
    <w:rsid w:val="00FD2880"/>
    <w:rsid w:val="00FD3761"/>
    <w:rsid w:val="00FD4204"/>
    <w:rsid w:val="00FD5751"/>
    <w:rsid w:val="00FD5D81"/>
    <w:rsid w:val="00FD64B6"/>
    <w:rsid w:val="00FD6D18"/>
    <w:rsid w:val="00FD6D2B"/>
    <w:rsid w:val="00FD733D"/>
    <w:rsid w:val="00FD79AE"/>
    <w:rsid w:val="00FE0B32"/>
    <w:rsid w:val="00FE1726"/>
    <w:rsid w:val="00FE1FC2"/>
    <w:rsid w:val="00FE3B36"/>
    <w:rsid w:val="00FE474C"/>
    <w:rsid w:val="00FE6E1A"/>
    <w:rsid w:val="00FF05E3"/>
    <w:rsid w:val="00FF1F2E"/>
    <w:rsid w:val="00FF2F23"/>
    <w:rsid w:val="00FF3F1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Heading3"/>
    <w:link w:val="Heading2Char"/>
    <w:uiPriority w:val="9"/>
    <w:unhideWhenUsed/>
    <w:qFormat/>
    <w:rsid w:val="00961B3C"/>
    <w:pPr>
      <w:numPr>
        <w:numId w:val="1"/>
      </w:numPr>
      <w:spacing w:before="40"/>
      <w:outlineLvl w:val="1"/>
    </w:pPr>
    <w:rPr>
      <w:sz w:val="26"/>
      <w:szCs w:val="26"/>
    </w:rPr>
  </w:style>
  <w:style w:type="paragraph" w:styleId="Heading3">
    <w:name w:val="heading 3"/>
    <w:next w:val="Normal"/>
    <w:link w:val="Heading3Char"/>
    <w:uiPriority w:val="9"/>
    <w:unhideWhenUsed/>
    <w:qFormat/>
    <w:rsid w:val="00DB4F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6541F"/>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8638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1,Listenabsatz1,Dot pt,F5 List Paragraph,No Spacing1,List Paragraph Char Char Char,Indicator Text,Numbered Para 1,Bullet 1,Bullet Points,Párrafo de lista,MAIN CONTENT,Recommendation,List Paragraph2,L"/>
    <w:basedOn w:val="Normal"/>
    <w:link w:val="ListParagraphChar"/>
    <w:uiPriority w:val="34"/>
    <w:qFormat/>
    <w:rsid w:val="009B0BAE"/>
    <w:pPr>
      <w:ind w:left="720"/>
      <w:contextualSpacing/>
    </w:pPr>
  </w:style>
  <w:style w:type="character" w:styleId="CommentReference">
    <w:name w:val="annotation reference"/>
    <w:basedOn w:val="DefaultParagraphFont"/>
    <w:uiPriority w:val="99"/>
    <w:unhideWhenUsed/>
    <w:rsid w:val="00A16297"/>
    <w:rPr>
      <w:sz w:val="16"/>
      <w:szCs w:val="16"/>
    </w:rPr>
  </w:style>
  <w:style w:type="paragraph" w:styleId="CommentText">
    <w:name w:val="annotation text"/>
    <w:basedOn w:val="Normal"/>
    <w:link w:val="CommentTextChar"/>
    <w:uiPriority w:val="99"/>
    <w:unhideWhenUsed/>
    <w:rsid w:val="00A16297"/>
    <w:pPr>
      <w:spacing w:line="240" w:lineRule="auto"/>
    </w:pPr>
    <w:rPr>
      <w:sz w:val="20"/>
      <w:szCs w:val="20"/>
    </w:rPr>
  </w:style>
  <w:style w:type="character" w:customStyle="1" w:styleId="CommentTextChar">
    <w:name w:val="Comment Text Char"/>
    <w:basedOn w:val="DefaultParagraphFont"/>
    <w:link w:val="CommentText"/>
    <w:uiPriority w:val="99"/>
    <w:rsid w:val="00A16297"/>
    <w:rPr>
      <w:sz w:val="20"/>
      <w:szCs w:val="20"/>
    </w:rPr>
  </w:style>
  <w:style w:type="paragraph" w:styleId="CommentSubject">
    <w:name w:val="annotation subject"/>
    <w:basedOn w:val="CommentText"/>
    <w:next w:val="CommentText"/>
    <w:link w:val="CommentSubjectChar"/>
    <w:uiPriority w:val="99"/>
    <w:semiHidden/>
    <w:unhideWhenUsed/>
    <w:rsid w:val="00A16297"/>
    <w:rPr>
      <w:b/>
      <w:bCs/>
    </w:rPr>
  </w:style>
  <w:style w:type="character" w:customStyle="1" w:styleId="CommentSubjectChar">
    <w:name w:val="Comment Subject Char"/>
    <w:basedOn w:val="CommentTextChar"/>
    <w:link w:val="CommentSubject"/>
    <w:uiPriority w:val="99"/>
    <w:semiHidden/>
    <w:rsid w:val="00A16297"/>
    <w:rPr>
      <w:b/>
      <w:bCs/>
      <w:sz w:val="20"/>
      <w:szCs w:val="20"/>
    </w:rPr>
  </w:style>
  <w:style w:type="paragraph" w:styleId="BalloonText">
    <w:name w:val="Balloon Text"/>
    <w:basedOn w:val="Normal"/>
    <w:link w:val="BalloonTextChar"/>
    <w:uiPriority w:val="99"/>
    <w:semiHidden/>
    <w:unhideWhenUsed/>
    <w:rsid w:val="00A1629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16297"/>
    <w:rPr>
      <w:rFonts w:ascii="Segoe UI" w:hAnsi="Segoe UI" w:cs="Segoe UI"/>
      <w:szCs w:val="18"/>
    </w:rPr>
  </w:style>
  <w:style w:type="paragraph" w:styleId="Title">
    <w:name w:val="Title"/>
    <w:basedOn w:val="Normal"/>
    <w:next w:val="Normal"/>
    <w:link w:val="TitleChar"/>
    <w:uiPriority w:val="10"/>
    <w:qFormat/>
    <w:rsid w:val="009103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03B9"/>
    <w:rPr>
      <w:rFonts w:asciiTheme="majorHAnsi" w:eastAsiaTheme="majorEastAsia" w:hAnsiTheme="majorHAnsi" w:cstheme="majorBidi"/>
      <w:color w:val="2E74B5" w:themeColor="accent1" w:themeShade="BF"/>
      <w:sz w:val="32"/>
      <w:szCs w:val="32"/>
    </w:rPr>
  </w:style>
  <w:style w:type="paragraph" w:styleId="TOCHeading">
    <w:name w:val="TOC Heading"/>
    <w:aliases w:val="kopjes na 1.1"/>
    <w:basedOn w:val="Heading1"/>
    <w:next w:val="Normal"/>
    <w:uiPriority w:val="39"/>
    <w:unhideWhenUsed/>
    <w:qFormat/>
    <w:rsid w:val="00032440"/>
    <w:pPr>
      <w:outlineLvl w:val="9"/>
    </w:pPr>
    <w:rPr>
      <w:rFonts w:ascii="Verdana" w:hAnsi="Verdana"/>
      <w:sz w:val="20"/>
      <w:szCs w:val="20"/>
      <w:lang w:val="nl-NL" w:eastAsia="nl-NL"/>
    </w:rPr>
  </w:style>
  <w:style w:type="paragraph" w:styleId="TOC1">
    <w:name w:val="toc 1"/>
    <w:basedOn w:val="Normal"/>
    <w:next w:val="Normal"/>
    <w:autoRedefine/>
    <w:uiPriority w:val="39"/>
    <w:unhideWhenUsed/>
    <w:rsid w:val="004525C1"/>
    <w:pPr>
      <w:tabs>
        <w:tab w:val="left" w:pos="660"/>
        <w:tab w:val="right" w:leader="dot" w:pos="9017"/>
      </w:tabs>
      <w:spacing w:after="100"/>
    </w:pPr>
  </w:style>
  <w:style w:type="character" w:styleId="Hyperlink">
    <w:name w:val="Hyperlink"/>
    <w:basedOn w:val="DefaultParagraphFont"/>
    <w:uiPriority w:val="99"/>
    <w:unhideWhenUsed/>
    <w:rsid w:val="009103B9"/>
    <w:rPr>
      <w:color w:val="0563C1" w:themeColor="hyperlink"/>
      <w:u w:val="single"/>
    </w:rPr>
  </w:style>
  <w:style w:type="character" w:customStyle="1" w:styleId="Heading2Char">
    <w:name w:val="Heading 2 Char"/>
    <w:basedOn w:val="DefaultParagraphFont"/>
    <w:link w:val="Heading2"/>
    <w:uiPriority w:val="9"/>
    <w:rsid w:val="00961B3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B6DA3"/>
    <w:pPr>
      <w:spacing w:after="100"/>
      <w:ind w:left="180"/>
    </w:pPr>
  </w:style>
  <w:style w:type="character" w:customStyle="1" w:styleId="Heading3Char">
    <w:name w:val="Heading 3 Char"/>
    <w:basedOn w:val="DefaultParagraphFont"/>
    <w:link w:val="Heading3"/>
    <w:uiPriority w:val="9"/>
    <w:rsid w:val="00DB4F9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1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41A"/>
    <w:pPr>
      <w:spacing w:after="0" w:line="240" w:lineRule="auto"/>
    </w:pPr>
  </w:style>
  <w:style w:type="character" w:customStyle="1" w:styleId="Heading4Char">
    <w:name w:val="Heading 4 Char"/>
    <w:basedOn w:val="DefaultParagraphFont"/>
    <w:link w:val="Heading4"/>
    <w:uiPriority w:val="9"/>
    <w:rsid w:val="00B6541F"/>
    <w:rPr>
      <w:rFonts w:eastAsiaTheme="majorEastAsia" w:cstheme="majorBidi"/>
      <w:i/>
      <w:iCs/>
      <w:color w:val="2E74B5" w:themeColor="accent1" w:themeShade="BF"/>
    </w:rPr>
  </w:style>
  <w:style w:type="paragraph" w:styleId="TOC3">
    <w:name w:val="toc 3"/>
    <w:basedOn w:val="Normal"/>
    <w:next w:val="Normal"/>
    <w:autoRedefine/>
    <w:uiPriority w:val="39"/>
    <w:unhideWhenUsed/>
    <w:rsid w:val="00DB4F99"/>
    <w:pPr>
      <w:tabs>
        <w:tab w:val="right" w:leader="dot" w:pos="9017"/>
      </w:tabs>
      <w:spacing w:after="100"/>
      <w:ind w:left="357"/>
    </w:pPr>
  </w:style>
  <w:style w:type="paragraph" w:customStyle="1" w:styleId="Stijl1">
    <w:name w:val="Stijl1"/>
    <w:basedOn w:val="Heading1"/>
    <w:link w:val="Stijl1Char"/>
    <w:qFormat/>
    <w:rsid w:val="00B96268"/>
    <w:pPr>
      <w:numPr>
        <w:numId w:val="16"/>
      </w:numPr>
    </w:pPr>
    <w:rPr>
      <w:rFonts w:ascii="Verdana" w:hAnsi="Verdana"/>
      <w:sz w:val="24"/>
      <w:szCs w:val="28"/>
    </w:rPr>
  </w:style>
  <w:style w:type="paragraph" w:customStyle="1" w:styleId="Stijl2">
    <w:name w:val="Stijl2"/>
    <w:basedOn w:val="Stijl1"/>
    <w:link w:val="Stijl2Char"/>
    <w:qFormat/>
    <w:rsid w:val="00032440"/>
    <w:pPr>
      <w:numPr>
        <w:numId w:val="0"/>
      </w:numPr>
    </w:pPr>
    <w:rPr>
      <w:sz w:val="22"/>
      <w:szCs w:val="22"/>
      <w:lang w:val="nl-NL"/>
    </w:rPr>
  </w:style>
  <w:style w:type="character" w:customStyle="1" w:styleId="Stijl1Char">
    <w:name w:val="Stijl1 Char"/>
    <w:basedOn w:val="Heading1Char"/>
    <w:link w:val="Stijl1"/>
    <w:rsid w:val="00B96268"/>
    <w:rPr>
      <w:rFonts w:asciiTheme="majorHAnsi" w:eastAsiaTheme="majorEastAsia" w:hAnsiTheme="majorHAnsi" w:cstheme="majorBidi"/>
      <w:color w:val="2E74B5" w:themeColor="accent1" w:themeShade="BF"/>
      <w:sz w:val="24"/>
      <w:szCs w:val="28"/>
    </w:rPr>
  </w:style>
  <w:style w:type="character" w:customStyle="1" w:styleId="Stijl2Char">
    <w:name w:val="Stijl2 Char"/>
    <w:basedOn w:val="Stijl1Char"/>
    <w:link w:val="Stijl2"/>
    <w:rsid w:val="00032440"/>
    <w:rPr>
      <w:rFonts w:asciiTheme="majorHAnsi" w:eastAsiaTheme="majorEastAsia" w:hAnsiTheme="majorHAnsi" w:cstheme="majorBidi"/>
      <w:color w:val="2E74B5" w:themeColor="accent1" w:themeShade="BF"/>
      <w:sz w:val="22"/>
      <w:szCs w:val="28"/>
      <w:lang w:val="nl-NL"/>
    </w:rPr>
  </w:style>
  <w:style w:type="paragraph" w:customStyle="1" w:styleId="Default">
    <w:name w:val="Default"/>
    <w:rsid w:val="00E57522"/>
    <w:pPr>
      <w:autoSpaceDE w:val="0"/>
      <w:autoSpaceDN w:val="0"/>
      <w:adjustRightInd w:val="0"/>
      <w:spacing w:after="0" w:line="240" w:lineRule="auto"/>
    </w:pPr>
    <w:rPr>
      <w:rFonts w:cs="Verdana"/>
      <w:color w:val="000000"/>
      <w:sz w:val="24"/>
      <w:szCs w:val="24"/>
      <w:lang w:val="nl-NL"/>
    </w:rPr>
  </w:style>
  <w:style w:type="character" w:styleId="IntenseEmphasis">
    <w:name w:val="Intense Emphasis"/>
    <w:basedOn w:val="DefaultParagraphFont"/>
    <w:uiPriority w:val="21"/>
    <w:qFormat/>
    <w:rsid w:val="00305C24"/>
    <w:rPr>
      <w:i/>
      <w:iCs/>
      <w:color w:val="5B9BD5" w:themeColor="accent1"/>
    </w:rPr>
  </w:style>
  <w:style w:type="character" w:customStyle="1" w:styleId="ListParagraphChar">
    <w:name w:val="List Paragraph Char"/>
    <w:aliases w:val="Heading 2_sj Char,List Paragraph1 Char,Listenabsatz1 Char,Dot pt Char,F5 List Paragraph Char,No Spacing1 Char,List Paragraph Char Char Char Char,Indicator Text Char,Numbered Para 1 Char,Bullet 1 Char,Bullet Points Char,L Char"/>
    <w:basedOn w:val="DefaultParagraphFont"/>
    <w:link w:val="ListParagraph"/>
    <w:uiPriority w:val="34"/>
    <w:qFormat/>
    <w:rsid w:val="00305C24"/>
  </w:style>
  <w:style w:type="character" w:customStyle="1" w:styleId="A4">
    <w:name w:val="A4"/>
    <w:uiPriority w:val="99"/>
    <w:rsid w:val="00305C24"/>
    <w:rPr>
      <w:rFonts w:cs="RijksoverheidSerif"/>
      <w:color w:val="000000"/>
      <w:sz w:val="18"/>
      <w:szCs w:val="18"/>
    </w:rPr>
  </w:style>
  <w:style w:type="paragraph" w:customStyle="1" w:styleId="Pa5">
    <w:name w:val="Pa5"/>
    <w:basedOn w:val="Default"/>
    <w:next w:val="Default"/>
    <w:uiPriority w:val="99"/>
    <w:rsid w:val="00305C24"/>
    <w:pPr>
      <w:spacing w:line="180" w:lineRule="atLeast"/>
    </w:pPr>
    <w:rPr>
      <w:rFonts w:ascii="RijksoverheidSerif" w:hAnsi="RijksoverheidSerif" w:cstheme="minorBidi"/>
      <w:color w:val="auto"/>
    </w:rPr>
  </w:style>
  <w:style w:type="paragraph" w:customStyle="1" w:styleId="Pa9">
    <w:name w:val="Pa9"/>
    <w:basedOn w:val="Default"/>
    <w:next w:val="Default"/>
    <w:uiPriority w:val="99"/>
    <w:rsid w:val="00305C24"/>
    <w:pPr>
      <w:spacing w:line="180" w:lineRule="atLeast"/>
    </w:pPr>
    <w:rPr>
      <w:rFonts w:ascii="RijksoverheidSerif" w:hAnsi="RijksoverheidSerif" w:cstheme="minorBidi"/>
      <w:color w:val="auto"/>
    </w:rPr>
  </w:style>
  <w:style w:type="paragraph" w:styleId="FootnoteText">
    <w:name w:val="footnote text"/>
    <w:basedOn w:val="Normal"/>
    <w:link w:val="FootnoteTextChar"/>
    <w:uiPriority w:val="99"/>
    <w:unhideWhenUsed/>
    <w:rsid w:val="00305C24"/>
    <w:pPr>
      <w:autoSpaceDN w:val="0"/>
      <w:spacing w:after="0" w:line="240" w:lineRule="auto"/>
      <w:textAlignment w:val="baseline"/>
    </w:pPr>
    <w:rPr>
      <w:rFonts w:eastAsia="DejaVu Sans" w:cs="Lohit Hindi"/>
      <w:color w:val="000000"/>
      <w:sz w:val="20"/>
      <w:szCs w:val="20"/>
      <w:lang w:val="nl-NL" w:eastAsia="nl-NL"/>
    </w:rPr>
  </w:style>
  <w:style w:type="character" w:customStyle="1" w:styleId="FootnoteTextChar">
    <w:name w:val="Footnote Text Char"/>
    <w:basedOn w:val="DefaultParagraphFont"/>
    <w:link w:val="FootnoteText"/>
    <w:uiPriority w:val="99"/>
    <w:rsid w:val="00305C24"/>
    <w:rPr>
      <w:rFonts w:eastAsia="DejaVu Sans" w:cs="Lohit Hindi"/>
      <w:color w:val="000000"/>
      <w:sz w:val="20"/>
      <w:szCs w:val="20"/>
      <w:lang w:val="nl-NL" w:eastAsia="nl-NL"/>
    </w:rPr>
  </w:style>
  <w:style w:type="character" w:styleId="FootnoteReference">
    <w:name w:val="footnote reference"/>
    <w:aliases w:val="SUPERS,stylish,BVI fnr,Footnote symbol, BVI fnr, Char2,Char2,Footnote Reference Superscript,Footnote call,(Footnote Reference),Footnote,Voetnootverwijzing,Times 10 Point,Exposant 3 Point,Footnote reference number,note TESI,number,Ref"/>
    <w:basedOn w:val="DefaultParagraphFont"/>
    <w:link w:val="FootnoteReferenceCharChar1Char"/>
    <w:uiPriority w:val="99"/>
    <w:unhideWhenUsed/>
    <w:rsid w:val="00305C24"/>
    <w:rPr>
      <w:vertAlign w:val="superscript"/>
    </w:rPr>
  </w:style>
  <w:style w:type="paragraph" w:customStyle="1" w:styleId="Lijstalinea1">
    <w:name w:val="Lijstalinea1"/>
    <w:basedOn w:val="Normal"/>
    <w:semiHidden/>
    <w:rsid w:val="003879CA"/>
    <w:pPr>
      <w:numPr>
        <w:numId w:val="9"/>
      </w:numPr>
    </w:pPr>
  </w:style>
  <w:style w:type="paragraph" w:styleId="BodyText">
    <w:name w:val="Body Text"/>
    <w:basedOn w:val="Normal"/>
    <w:link w:val="BodyTextChar"/>
    <w:uiPriority w:val="99"/>
    <w:rsid w:val="00DE730A"/>
    <w:pPr>
      <w:widowControl w:val="0"/>
      <w:spacing w:before="2" w:after="0" w:line="240" w:lineRule="auto"/>
      <w:ind w:left="113"/>
    </w:pPr>
    <w:rPr>
      <w:rFonts w:ascii="Times New Roman" w:eastAsia="MS ??" w:hAnsi="Times New Roman" w:cs="Times New Roman"/>
      <w:sz w:val="17"/>
      <w:szCs w:val="17"/>
    </w:rPr>
  </w:style>
  <w:style w:type="character" w:customStyle="1" w:styleId="BodyTextChar">
    <w:name w:val="Body Text Char"/>
    <w:basedOn w:val="DefaultParagraphFont"/>
    <w:link w:val="BodyText"/>
    <w:uiPriority w:val="99"/>
    <w:rsid w:val="00DE730A"/>
    <w:rPr>
      <w:rFonts w:ascii="Times New Roman" w:eastAsia="MS ??" w:hAnsi="Times New Roman" w:cs="Times New Roman"/>
      <w:sz w:val="17"/>
      <w:szCs w:val="17"/>
    </w:rPr>
  </w:style>
  <w:style w:type="table" w:customStyle="1" w:styleId="Tabelraster1">
    <w:name w:val="Tabelraster1"/>
    <w:basedOn w:val="TableNormal"/>
    <w:next w:val="TableGrid"/>
    <w:uiPriority w:val="59"/>
    <w:rsid w:val="00DE730A"/>
    <w:pPr>
      <w:spacing w:after="0" w:line="240" w:lineRule="auto"/>
    </w:pPr>
    <w:rPr>
      <w:rFonts w:asciiTheme="minorHAnsi" w:eastAsiaTheme="minorEastAsia"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DE730A"/>
    <w:pPr>
      <w:spacing w:after="0" w:line="240" w:lineRule="auto"/>
    </w:pPr>
    <w:rPr>
      <w:rFonts w:asciiTheme="minorHAnsi" w:eastAsiaTheme="minorEastAsia"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1A5F"/>
    <w:pPr>
      <w:spacing w:after="0" w:line="240" w:lineRule="auto"/>
    </w:pPr>
  </w:style>
  <w:style w:type="paragraph" w:customStyle="1" w:styleId="voettekt">
    <w:name w:val="voettekt"/>
    <w:basedOn w:val="FootnoteText"/>
    <w:link w:val="voettektChar"/>
    <w:qFormat/>
    <w:rsid w:val="00B6541F"/>
    <w:rPr>
      <w:sz w:val="16"/>
      <w:szCs w:val="16"/>
    </w:rPr>
  </w:style>
  <w:style w:type="character" w:styleId="IntenseReference">
    <w:name w:val="Intense Reference"/>
    <w:basedOn w:val="DefaultParagraphFont"/>
    <w:uiPriority w:val="32"/>
    <w:qFormat/>
    <w:rsid w:val="00B96268"/>
    <w:rPr>
      <w:b/>
      <w:bCs/>
      <w:smallCaps/>
      <w:color w:val="5B9BD5" w:themeColor="accent1"/>
      <w:spacing w:val="5"/>
    </w:rPr>
  </w:style>
  <w:style w:type="character" w:customStyle="1" w:styleId="voettektChar">
    <w:name w:val="voettekt Char"/>
    <w:basedOn w:val="FootnoteTextChar"/>
    <w:link w:val="voettekt"/>
    <w:rsid w:val="00B6541F"/>
    <w:rPr>
      <w:rFonts w:eastAsia="DejaVu Sans" w:cs="Lohit Hindi"/>
      <w:color w:val="000000"/>
      <w:sz w:val="16"/>
      <w:szCs w:val="16"/>
      <w:lang w:val="nl-NL" w:eastAsia="nl-NL"/>
    </w:rPr>
  </w:style>
  <w:style w:type="character" w:styleId="SubtleEmphasis">
    <w:name w:val="Subtle Emphasis"/>
    <w:basedOn w:val="DefaultParagraphFont"/>
    <w:uiPriority w:val="19"/>
    <w:qFormat/>
    <w:rsid w:val="00664088"/>
    <w:rPr>
      <w:i/>
      <w:iCs/>
      <w:color w:val="404040" w:themeColor="text1" w:themeTint="BF"/>
    </w:rPr>
  </w:style>
  <w:style w:type="character" w:customStyle="1" w:styleId="Heading5Char">
    <w:name w:val="Heading 5 Char"/>
    <w:basedOn w:val="DefaultParagraphFont"/>
    <w:link w:val="Heading5"/>
    <w:uiPriority w:val="9"/>
    <w:rsid w:val="00A8638C"/>
    <w:rPr>
      <w:rFonts w:asciiTheme="majorHAnsi" w:eastAsiaTheme="majorEastAsia" w:hAnsiTheme="majorHAnsi" w:cstheme="majorBidi"/>
      <w:color w:val="2E74B5" w:themeColor="accent1" w:themeShade="BF"/>
    </w:rPr>
  </w:style>
  <w:style w:type="character" w:customStyle="1" w:styleId="A10">
    <w:name w:val="A10"/>
    <w:uiPriority w:val="99"/>
    <w:rsid w:val="00A8638C"/>
    <w:rPr>
      <w:rFonts w:ascii="RijksoverheidSansText" w:hAnsi="RijksoverheidSansText" w:cs="RijksoverheidSansText"/>
      <w:b/>
      <w:bCs/>
      <w:color w:val="000000"/>
      <w:sz w:val="11"/>
      <w:szCs w:val="11"/>
    </w:rPr>
  </w:style>
  <w:style w:type="character" w:customStyle="1" w:styleId="A7">
    <w:name w:val="A7"/>
    <w:uiPriority w:val="99"/>
    <w:rsid w:val="00A8638C"/>
    <w:rPr>
      <w:rFonts w:cs="RijksoverheidSerif"/>
      <w:i/>
      <w:iCs/>
      <w:color w:val="000000"/>
      <w:sz w:val="18"/>
      <w:szCs w:val="18"/>
    </w:rPr>
  </w:style>
  <w:style w:type="paragraph" w:styleId="NormalWeb">
    <w:name w:val="Normal (Web)"/>
    <w:basedOn w:val="Normal"/>
    <w:uiPriority w:val="99"/>
    <w:semiHidden/>
    <w:unhideWhenUsed/>
    <w:rsid w:val="00A8638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Header">
    <w:name w:val="header"/>
    <w:basedOn w:val="Normal"/>
    <w:link w:val="HeaderChar"/>
    <w:uiPriority w:val="99"/>
    <w:unhideWhenUsed/>
    <w:rsid w:val="00A863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38C"/>
  </w:style>
  <w:style w:type="paragraph" w:styleId="Footer">
    <w:name w:val="footer"/>
    <w:basedOn w:val="Normal"/>
    <w:link w:val="FooterChar"/>
    <w:uiPriority w:val="99"/>
    <w:unhideWhenUsed/>
    <w:rsid w:val="00A863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38C"/>
  </w:style>
  <w:style w:type="numbering" w:customStyle="1" w:styleId="Lijststijl">
    <w:name w:val="Lijststijl"/>
    <w:uiPriority w:val="99"/>
    <w:rsid w:val="00A8638C"/>
    <w:pPr>
      <w:numPr>
        <w:numId w:val="28"/>
      </w:numPr>
    </w:pPr>
  </w:style>
  <w:style w:type="character" w:styleId="Strong">
    <w:name w:val="Strong"/>
    <w:basedOn w:val="DefaultParagraphFont"/>
    <w:uiPriority w:val="22"/>
    <w:qFormat/>
    <w:rsid w:val="00A8638C"/>
    <w:rPr>
      <w:b/>
      <w:bCs/>
    </w:rPr>
  </w:style>
  <w:style w:type="paragraph" w:customStyle="1" w:styleId="Lijstmetopsommingstekens">
    <w:name w:val="Lijst met opsommingstekens"/>
    <w:basedOn w:val="ListParagraph"/>
    <w:uiPriority w:val="10"/>
    <w:rsid w:val="00A8638C"/>
    <w:pPr>
      <w:numPr>
        <w:numId w:val="30"/>
      </w:numPr>
      <w:spacing w:after="0" w:line="240" w:lineRule="auto"/>
      <w:contextualSpacing w:val="0"/>
    </w:pPr>
    <w:rPr>
      <w:rFonts w:ascii="Calibri" w:hAnsi="Calibri" w:cs="Calibri"/>
      <w:sz w:val="22"/>
      <w:lang w:val="nl-NL"/>
    </w:rPr>
  </w:style>
  <w:style w:type="character" w:styleId="FollowedHyperlink">
    <w:name w:val="FollowedHyperlink"/>
    <w:basedOn w:val="DefaultParagraphFont"/>
    <w:uiPriority w:val="99"/>
    <w:semiHidden/>
    <w:unhideWhenUsed/>
    <w:rsid w:val="000D3C9C"/>
    <w:rPr>
      <w:color w:val="954F72" w:themeColor="followedHyperlink"/>
      <w:u w:val="single"/>
    </w:rPr>
  </w:style>
  <w:style w:type="paragraph" w:customStyle="1" w:styleId="Pa1">
    <w:name w:val="Pa1"/>
    <w:basedOn w:val="Default"/>
    <w:next w:val="Default"/>
    <w:uiPriority w:val="99"/>
    <w:rsid w:val="00AE4A2D"/>
    <w:pPr>
      <w:spacing w:line="720" w:lineRule="atLeast"/>
    </w:pPr>
    <w:rPr>
      <w:rFonts w:ascii="RijksoverheidSansHeading" w:hAnsi="RijksoverheidSansHeading" w:cstheme="minorBidi"/>
      <w:color w:val="auto"/>
    </w:rPr>
  </w:style>
  <w:style w:type="paragraph" w:customStyle="1" w:styleId="Pa0">
    <w:name w:val="Pa0"/>
    <w:basedOn w:val="Default"/>
    <w:next w:val="Default"/>
    <w:uiPriority w:val="99"/>
    <w:rsid w:val="00AE4A2D"/>
    <w:pPr>
      <w:spacing w:line="360" w:lineRule="atLeast"/>
    </w:pPr>
    <w:rPr>
      <w:rFonts w:ascii="RijksoverheidSansHeading" w:hAnsi="RijksoverheidSansHeading" w:cstheme="minorBidi"/>
      <w:color w:val="auto"/>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rsid w:val="00716B07"/>
    <w:pPr>
      <w:autoSpaceDE w:val="0"/>
      <w:autoSpaceDN w:val="0"/>
      <w:spacing w:after="0" w:line="240" w:lineRule="exact"/>
      <w:jc w:val="both"/>
    </w:pPr>
    <w:rPr>
      <w:vertAlign w:val="superscript"/>
    </w:rPr>
  </w:style>
  <w:style w:type="character" w:customStyle="1" w:styleId="normaltextrun">
    <w:name w:val="normaltextrun"/>
    <w:basedOn w:val="DefaultParagraphFont"/>
    <w:rsid w:val="00DE236A"/>
  </w:style>
  <w:style w:type="character" w:customStyle="1" w:styleId="UnresolvedMention">
    <w:name w:val="Unresolved Mention"/>
    <w:basedOn w:val="DefaultParagraphFont"/>
    <w:uiPriority w:val="99"/>
    <w:semiHidden/>
    <w:unhideWhenUsed/>
    <w:rsid w:val="00775D1F"/>
    <w:rPr>
      <w:color w:val="605E5C"/>
      <w:shd w:val="clear" w:color="auto" w:fill="E1DFDD"/>
    </w:rPr>
  </w:style>
  <w:style w:type="paragraph" w:customStyle="1" w:styleId="CM1">
    <w:name w:val="CM1"/>
    <w:basedOn w:val="Default"/>
    <w:next w:val="Default"/>
    <w:uiPriority w:val="99"/>
    <w:rsid w:val="000825B2"/>
    <w:rPr>
      <w:rFonts w:ascii="Times New Roman" w:hAnsi="Times New Roman" w:cs="Times New Roman"/>
      <w:color w:val="auto"/>
    </w:rPr>
  </w:style>
  <w:style w:type="paragraph" w:customStyle="1" w:styleId="CM3">
    <w:name w:val="CM3"/>
    <w:basedOn w:val="Default"/>
    <w:next w:val="Default"/>
    <w:uiPriority w:val="99"/>
    <w:rsid w:val="000825B2"/>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3407">
      <w:bodyDiv w:val="1"/>
      <w:marLeft w:val="0"/>
      <w:marRight w:val="0"/>
      <w:marTop w:val="0"/>
      <w:marBottom w:val="0"/>
      <w:divBdr>
        <w:top w:val="none" w:sz="0" w:space="0" w:color="auto"/>
        <w:left w:val="none" w:sz="0" w:space="0" w:color="auto"/>
        <w:bottom w:val="none" w:sz="0" w:space="0" w:color="auto"/>
        <w:right w:val="none" w:sz="0" w:space="0" w:color="auto"/>
      </w:divBdr>
    </w:div>
    <w:div w:id="688726971">
      <w:bodyDiv w:val="1"/>
      <w:marLeft w:val="0"/>
      <w:marRight w:val="0"/>
      <w:marTop w:val="0"/>
      <w:marBottom w:val="0"/>
      <w:divBdr>
        <w:top w:val="none" w:sz="0" w:space="0" w:color="auto"/>
        <w:left w:val="none" w:sz="0" w:space="0" w:color="auto"/>
        <w:bottom w:val="none" w:sz="0" w:space="0" w:color="auto"/>
        <w:right w:val="none" w:sz="0" w:space="0" w:color="auto"/>
      </w:divBdr>
    </w:div>
    <w:div w:id="836506025">
      <w:bodyDiv w:val="1"/>
      <w:marLeft w:val="0"/>
      <w:marRight w:val="0"/>
      <w:marTop w:val="0"/>
      <w:marBottom w:val="0"/>
      <w:divBdr>
        <w:top w:val="none" w:sz="0" w:space="0" w:color="auto"/>
        <w:left w:val="none" w:sz="0" w:space="0" w:color="auto"/>
        <w:bottom w:val="none" w:sz="0" w:space="0" w:color="auto"/>
        <w:right w:val="none" w:sz="0" w:space="0" w:color="auto"/>
      </w:divBdr>
    </w:div>
    <w:div w:id="1055008326">
      <w:bodyDiv w:val="1"/>
      <w:marLeft w:val="0"/>
      <w:marRight w:val="0"/>
      <w:marTop w:val="0"/>
      <w:marBottom w:val="0"/>
      <w:divBdr>
        <w:top w:val="none" w:sz="0" w:space="0" w:color="auto"/>
        <w:left w:val="none" w:sz="0" w:space="0" w:color="auto"/>
        <w:bottom w:val="none" w:sz="0" w:space="0" w:color="auto"/>
        <w:right w:val="none" w:sz="0" w:space="0" w:color="auto"/>
      </w:divBdr>
    </w:div>
    <w:div w:id="1294750759">
      <w:bodyDiv w:val="1"/>
      <w:marLeft w:val="0"/>
      <w:marRight w:val="0"/>
      <w:marTop w:val="0"/>
      <w:marBottom w:val="0"/>
      <w:divBdr>
        <w:top w:val="none" w:sz="0" w:space="0" w:color="auto"/>
        <w:left w:val="none" w:sz="0" w:space="0" w:color="auto"/>
        <w:bottom w:val="none" w:sz="0" w:space="0" w:color="auto"/>
        <w:right w:val="none" w:sz="0" w:space="0" w:color="auto"/>
      </w:divBdr>
    </w:div>
    <w:div w:id="1409113752">
      <w:bodyDiv w:val="1"/>
      <w:marLeft w:val="0"/>
      <w:marRight w:val="0"/>
      <w:marTop w:val="0"/>
      <w:marBottom w:val="0"/>
      <w:divBdr>
        <w:top w:val="none" w:sz="0" w:space="0" w:color="auto"/>
        <w:left w:val="none" w:sz="0" w:space="0" w:color="auto"/>
        <w:bottom w:val="none" w:sz="0" w:space="0" w:color="auto"/>
        <w:right w:val="none" w:sz="0" w:space="0" w:color="auto"/>
      </w:divBdr>
    </w:div>
    <w:div w:id="1426925398">
      <w:bodyDiv w:val="1"/>
      <w:marLeft w:val="0"/>
      <w:marRight w:val="0"/>
      <w:marTop w:val="0"/>
      <w:marBottom w:val="0"/>
      <w:divBdr>
        <w:top w:val="none" w:sz="0" w:space="0" w:color="auto"/>
        <w:left w:val="none" w:sz="0" w:space="0" w:color="auto"/>
        <w:bottom w:val="none" w:sz="0" w:space="0" w:color="auto"/>
        <w:right w:val="none" w:sz="0" w:space="0" w:color="auto"/>
      </w:divBdr>
    </w:div>
    <w:div w:id="1736780380">
      <w:bodyDiv w:val="1"/>
      <w:marLeft w:val="0"/>
      <w:marRight w:val="0"/>
      <w:marTop w:val="0"/>
      <w:marBottom w:val="0"/>
      <w:divBdr>
        <w:top w:val="none" w:sz="0" w:space="0" w:color="auto"/>
        <w:left w:val="none" w:sz="0" w:space="0" w:color="auto"/>
        <w:bottom w:val="none" w:sz="0" w:space="0" w:color="auto"/>
        <w:right w:val="none" w:sz="0" w:space="0" w:color="auto"/>
      </w:divBdr>
    </w:div>
    <w:div w:id="1862623710">
      <w:bodyDiv w:val="1"/>
      <w:marLeft w:val="0"/>
      <w:marRight w:val="0"/>
      <w:marTop w:val="0"/>
      <w:marBottom w:val="0"/>
      <w:divBdr>
        <w:top w:val="none" w:sz="0" w:space="0" w:color="auto"/>
        <w:left w:val="none" w:sz="0" w:space="0" w:color="auto"/>
        <w:bottom w:val="none" w:sz="0" w:space="0" w:color="auto"/>
        <w:right w:val="none" w:sz="0" w:space="0" w:color="auto"/>
      </w:divBdr>
    </w:div>
    <w:div w:id="19818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www.slimmetschoolafval.nl" TargetMode="External" Id="rId18" /><Relationship Type="http://schemas.openxmlformats.org/officeDocument/2006/relationships/hyperlink" Target="https://doi.org/10.18174/432050" TargetMode="External" Id="rId26" /><Relationship Type="http://schemas.openxmlformats.org/officeDocument/2006/relationships/hyperlink" Target="https://zoek.officielebekendmakingen.nl/stcrt-2015-36471.html" TargetMode="External" Id="rId39" /><Relationship Type="http://schemas.openxmlformats.org/officeDocument/2006/relationships/hyperlink" Target="http://www.schonestranden.nl" TargetMode="External" Id="rId21" /><Relationship Type="http://schemas.openxmlformats.org/officeDocument/2006/relationships/hyperlink" Target="https://www.pbl.nl/publicaties/Wat-natuur-de-mens-biedt_-Ecosysteemdiensten-verkend" TargetMode="External" Id="rId34" /><Relationship Type="http://schemas.openxmlformats.org/officeDocument/2006/relationships/hyperlink" Target="https://eur-lex.europa.eu/legal-content/NL/TXT/PDF/?uri=CELEX:32014R1143&amp;from=EN" TargetMode="External" Id="rId42" /><Relationship Type="http://schemas.openxmlformats.org/officeDocument/2006/relationships/hyperlink" Target="https://www.ospar.org/documents?v=35420" TargetMode="External" Id="rId47" /><Relationship Type="http://schemas.openxmlformats.org/officeDocument/2006/relationships/hyperlink" Target="https://www.ospar.org/documents?v=38018" TargetMode="External" Id="rId50" /><Relationship Type="http://schemas.openxmlformats.org/officeDocument/2006/relationships/hyperlink" Target="https://doi.org/10.18174/529399" TargetMode="External" Id="rId55" /><Relationship Type="http://schemas.openxmlformats.org/officeDocument/2006/relationships/theme" Target="theme/theme1.xml" Id="rId63" /><Relationship Type="http://schemas.openxmlformats.org/officeDocument/2006/relationships/settings" Target="settings.xml" Id="rId7" /><Relationship Type="http://schemas.openxmlformats.org/officeDocument/2006/relationships/image" Target="media/image1.emf" Id="rId16" /><Relationship Type="http://schemas.openxmlformats.org/officeDocument/2006/relationships/hyperlink" Target="https://www.rijksoverheid.nl/binaries/rijksoverheid/documenten/rapporten/2017/11/07/maritieme-monitor/Maritieme+Monitor+2017.pdf" TargetMode="External" Id="rId29" /><Relationship Type="http://schemas.openxmlformats.org/officeDocument/2006/relationships/header" Target="header1.xml" Id="rId11" /><Relationship Type="http://schemas.openxmlformats.org/officeDocument/2006/relationships/hyperlink" Target="http://www.schoudersonderschoon.nl" TargetMode="External" Id="rId24" /><Relationship Type="http://schemas.openxmlformats.org/officeDocument/2006/relationships/hyperlink" Target="https://www.pbl.nl/sites/default/files/cms/publicaties/pbl-2019-achtergronden-bij-detoekomst-van-de-noordzee_3177.pdf" TargetMode="External" Id="rId32" /><Relationship Type="http://schemas.openxmlformats.org/officeDocument/2006/relationships/hyperlink" Target="https://www.natura2000.nl/sites/default/files/Nieuws/WOt-brochure%20Vogel-%20en%20Habitatrichtlijnrapportage%202019.PDF" TargetMode="External" Id="rId37" /><Relationship Type="http://schemas.openxmlformats.org/officeDocument/2006/relationships/hyperlink" Target="https://zoek.officielebekendmakingen.nl/kst-956451" TargetMode="External" Id="rId40" /><Relationship Type="http://schemas.openxmlformats.org/officeDocument/2006/relationships/hyperlink" Target="https://www.noordzeeloket.nl/publish/pages/122603/mariene_strategie_voor_het_nederlandse_deel_van_de_noordzee_2012-2020_deel_i_682.pdf" TargetMode="External" Id="rId45" /><Relationship Type="http://schemas.openxmlformats.org/officeDocument/2006/relationships/hyperlink" Target="https://www.noordzeeloket.nl/publish/pages/157579/kec_update_2018_effecten_impulsief_geluid_op_bruinvissen_20190124def.pdf" TargetMode="External" Id="rId53" /><Relationship Type="http://schemas.openxmlformats.org/officeDocument/2006/relationships/hyperlink" Target="https://www.noordzeeloket.nl/publish/pages/182554/mariene_strategie_deel_2.pdf" TargetMode="External" Id="rId58" /><Relationship Type="http://schemas.openxmlformats.org/officeDocument/2006/relationships/numbering" Target="numbering.xml" Id="rId5" /><Relationship Type="http://schemas.openxmlformats.org/officeDocument/2006/relationships/hyperlink" Target="https://www.rijksoverheid.nl/binaries/rijksoverheid/documenten/rapporten/2021/05/26/bijlage-1-eindrapport-ecologisch-onderzoek-msc-zoe/bijlage-1-eindrapport-ecologisch-onderzoek-msc-zoe.pdf" TargetMode="External" Id="rId61" /><Relationship Type="http://schemas.openxmlformats.org/officeDocument/2006/relationships/hyperlink" Target="http://www.afvalopschool.nl" TargetMode="External" Id="rId19" /><Relationship Type="http://schemas.openxmlformats.org/officeDocument/2006/relationships/footer" Target="footer3.xml" Id="rId14" /><Relationship Type="http://schemas.openxmlformats.org/officeDocument/2006/relationships/hyperlink" Target="https://www.afvalcirculair.nl/onderwerpen/linkportaal/afvalwebsites/scholieren/" TargetMode="External" Id="rId22" /><Relationship Type="http://schemas.openxmlformats.org/officeDocument/2006/relationships/hyperlink" Target="https://library.wur.nl/WebQuery/wurpubs/fulltext/495958" TargetMode="External" Id="rId27" /><Relationship Type="http://schemas.openxmlformats.org/officeDocument/2006/relationships/hyperlink" Target="https://www.noordzeeloket.nl/publish/pages/182025/economic_description_of_the_dutch_north_sea_and_coast_2010_2015_and_2017.pdf" TargetMode="External" Id="rId30" /><Relationship Type="http://schemas.openxmlformats.org/officeDocument/2006/relationships/hyperlink" Target="https://www.noordzeeloket.nl/@199580/mariene-strategie/" TargetMode="External" Id="rId35" /><Relationship Type="http://schemas.openxmlformats.org/officeDocument/2006/relationships/hyperlink" Target="https://wetten.overheid.nl/BWBR0031671/2012-06-20" TargetMode="External" Id="rId43" /><Relationship Type="http://schemas.openxmlformats.org/officeDocument/2006/relationships/hyperlink" Target="https://www.ospar.org/documents?v=42718" TargetMode="External" Id="rId48" /><Relationship Type="http://schemas.openxmlformats.org/officeDocument/2006/relationships/hyperlink" Target="https://puc.overheid.nl/rijkswaterstaat/doc/PUC_625266_31/1/" TargetMode="External" Id="rId56" /><Relationship Type="http://schemas.openxmlformats.org/officeDocument/2006/relationships/webSettings" Target="webSettings.xml" Id="rId8" /><Relationship Type="http://schemas.openxmlformats.org/officeDocument/2006/relationships/hyperlink" Target="https://www.emodnet-chemistry.eu/repository/EU_MLbaselines_Paper.pdf" TargetMode="External" Id="rId51" /><Relationship Type="http://schemas.openxmlformats.org/officeDocument/2006/relationships/footer" Target="footer1.xml" Id="rId12" /><Relationship Type="http://schemas.openxmlformats.org/officeDocument/2006/relationships/image" Target="media/image2.png" Id="rId17" /><Relationship Type="http://schemas.openxmlformats.org/officeDocument/2006/relationships/hyperlink" Target="https://www.noordzeeloket.nl/publish/pages/138544/the_cost_of_degradation_v_0_06_2018-015_strietman.pdf" TargetMode="External" Id="rId25" /><Relationship Type="http://schemas.openxmlformats.org/officeDocument/2006/relationships/hyperlink" Target="https://www.noordzeeloket.nl/publish/pages/182024/recreation_and_tourism_in_the_northeast_atlantic_region.pdf" TargetMode="External" Id="rId33" /><Relationship Type="http://schemas.openxmlformats.org/officeDocument/2006/relationships/hyperlink" Target="https://zoek.officielebekendmakingen.nl/stcrt-2020-56788.html" TargetMode="External" Id="rId38" /><Relationship Type="http://schemas.openxmlformats.org/officeDocument/2006/relationships/hyperlink" Target="https://www.noordzeeloket.nl/functies-gebruik/zwerfvuil-noordzee/@171543/ospar-rap-action-41-0/" TargetMode="External" Id="rId46" /><Relationship Type="http://schemas.openxmlformats.org/officeDocument/2006/relationships/hyperlink" Target="https://www.interregemr.eu/projecten/lives-nl" TargetMode="External" Id="rId59" /><Relationship Type="http://schemas.openxmlformats.org/officeDocument/2006/relationships/hyperlink" Target="http://www.strandinspecties.nl" TargetMode="External" Id="rId20" /><Relationship Type="http://schemas.openxmlformats.org/officeDocument/2006/relationships/hyperlink" Target="https://zoek.officielebekendmakingen.nl/blg-956452" TargetMode="External" Id="rId41" /><Relationship Type="http://schemas.openxmlformats.org/officeDocument/2006/relationships/hyperlink" Target="https://www.rijksoverheid.nl/documenten/convenanten/2020/06/03/zeehondenakkoord" TargetMode="External" Id="rId54" /><Relationship Type="http://schemas.openxmlformats.org/officeDocument/2006/relationships/fontTable" Target="fontTable.xml" Id="rId62" /><Relationship Type="http://schemas.openxmlformats.org/officeDocument/2006/relationships/styles" Target="styles.xml" Id="rId6" /><Relationship Type="http://schemas.openxmlformats.org/officeDocument/2006/relationships/chart" Target="charts/chart1.xml" Id="rId15" /><Relationship Type="http://schemas.openxmlformats.org/officeDocument/2006/relationships/hyperlink" Target="https://www.aandeslagmetafval.nl/" TargetMode="External" Id="rId23" /><Relationship Type="http://schemas.openxmlformats.org/officeDocument/2006/relationships/hyperlink" Target="https://doi.org/10.18174/495958" TargetMode="External" Id="rId28" /><Relationship Type="http://schemas.openxmlformats.org/officeDocument/2006/relationships/hyperlink" Target="https://www.noordzeeloket.nl/beleid/europese/achtergrond/documenten-mariene/@168123/mariene-strategie-2/" TargetMode="External" Id="rId36" /><Relationship Type="http://schemas.openxmlformats.org/officeDocument/2006/relationships/hyperlink" Target="https://www.ospar.org/documents?v=40957" TargetMode="External" Id="rId49" /><Relationship Type="http://schemas.openxmlformats.org/officeDocument/2006/relationships/hyperlink" Target="https://zoek.officielebekendmakingen.nl/stcrt-2008-2692.html" TargetMode="External" Id="rId57" /><Relationship Type="http://schemas.openxmlformats.org/officeDocument/2006/relationships/endnotes" Target="endnotes.xml" Id="rId10" /><Relationship Type="http://schemas.openxmlformats.org/officeDocument/2006/relationships/hyperlink" Target="https://www.noordzeeloket.nl/publish/pages/152024/de_toekomst_van_de_noordzee.pdf" TargetMode="External" Id="rId31" /><Relationship Type="http://schemas.openxmlformats.org/officeDocument/2006/relationships/hyperlink" Target="https://zoek.officielebekendmakingen.nl/stcrt-2017-48032.html" TargetMode="External" Id="rId44" /><Relationship Type="http://schemas.openxmlformats.org/officeDocument/2006/relationships/hyperlink" Target="https://www.researchgate.net/publication/317788710_OSPAR_standard_method_and_software_for_statistical_analysis_of_beach_litter_data" TargetMode="External" Id="rId52" /><Relationship Type="http://schemas.openxmlformats.org/officeDocument/2006/relationships/hyperlink" Target="https://www.schonestranden.nl/schonewp/wp-content/uploads/2020/02/Eindrapport-Evaluatie-Green-Deals-Witteveen-Bos.pdf" TargetMode="External" Id="rId6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1D25682&amp;did=2021D2568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d.rws.nl\p-dfs01\homes\veerenr\0508%20Harde%20schijf%20laptop%20mei%202008\2020%20projecten\Programma%20van%20maatregelen\Tabel%20Economische%20beschrijving%20Noordzee%20obv%20CB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Blad2!$I$8</c:f>
              <c:strCache>
                <c:ptCount val="1"/>
                <c:pt idx="0">
                  <c:v>Werkgelegenheid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Blad2!$H$9:$H$11</c:f>
              <c:numCache>
                <c:formatCode>General</c:formatCode>
                <c:ptCount val="3"/>
                <c:pt idx="0">
                  <c:v>2010</c:v>
                </c:pt>
                <c:pt idx="1">
                  <c:v>2015</c:v>
                </c:pt>
                <c:pt idx="2">
                  <c:v>2017</c:v>
                </c:pt>
              </c:numCache>
            </c:numRef>
          </c:cat>
          <c:val>
            <c:numRef>
              <c:f>Blad2!$I$9:$I$11</c:f>
              <c:numCache>
                <c:formatCode>General</c:formatCode>
                <c:ptCount val="3"/>
                <c:pt idx="0">
                  <c:v>100</c:v>
                </c:pt>
                <c:pt idx="1">
                  <c:v>133.33333333333334</c:v>
                </c:pt>
                <c:pt idx="2">
                  <c:v>100</c:v>
                </c:pt>
              </c:numCache>
            </c:numRef>
          </c:val>
          <c:smooth val="0"/>
          <c:extLst>
            <c:ext xmlns:c16="http://schemas.microsoft.com/office/drawing/2014/chart" uri="{C3380CC4-5D6E-409C-BE32-E72D297353CC}">
              <c16:uniqueId val="{00000000-C3AF-4B72-A5F3-C19F253DCE0C}"/>
            </c:ext>
          </c:extLst>
        </c:ser>
        <c:ser>
          <c:idx val="2"/>
          <c:order val="1"/>
          <c:tx>
            <c:strRef>
              <c:f>Blad2!$J$8</c:f>
              <c:strCache>
                <c:ptCount val="1"/>
                <c:pt idx="0">
                  <c:v>Productiewaarde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Blad2!$H$9:$H$11</c:f>
              <c:numCache>
                <c:formatCode>General</c:formatCode>
                <c:ptCount val="3"/>
                <c:pt idx="0">
                  <c:v>2010</c:v>
                </c:pt>
                <c:pt idx="1">
                  <c:v>2015</c:v>
                </c:pt>
                <c:pt idx="2">
                  <c:v>2017</c:v>
                </c:pt>
              </c:numCache>
            </c:numRef>
          </c:cat>
          <c:val>
            <c:numRef>
              <c:f>Blad2!$J$9:$J$11</c:f>
              <c:numCache>
                <c:formatCode>General</c:formatCode>
                <c:ptCount val="3"/>
                <c:pt idx="0">
                  <c:v>100</c:v>
                </c:pt>
                <c:pt idx="1">
                  <c:v>89.565838842236914</c:v>
                </c:pt>
                <c:pt idx="2">
                  <c:v>56.172949794532784</c:v>
                </c:pt>
              </c:numCache>
            </c:numRef>
          </c:val>
          <c:smooth val="0"/>
          <c:extLst>
            <c:ext xmlns:c16="http://schemas.microsoft.com/office/drawing/2014/chart" uri="{C3380CC4-5D6E-409C-BE32-E72D297353CC}">
              <c16:uniqueId val="{00000001-C3AF-4B72-A5F3-C19F253DCE0C}"/>
            </c:ext>
          </c:extLst>
        </c:ser>
        <c:ser>
          <c:idx val="3"/>
          <c:order val="2"/>
          <c:tx>
            <c:strRef>
              <c:f>Blad2!$K$8</c:f>
              <c:strCache>
                <c:ptCount val="1"/>
                <c:pt idx="0">
                  <c:v>Toegevoegde waarde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Blad2!$H$9:$H$11</c:f>
              <c:numCache>
                <c:formatCode>General</c:formatCode>
                <c:ptCount val="3"/>
                <c:pt idx="0">
                  <c:v>2010</c:v>
                </c:pt>
                <c:pt idx="1">
                  <c:v>2015</c:v>
                </c:pt>
                <c:pt idx="2">
                  <c:v>2017</c:v>
                </c:pt>
              </c:numCache>
            </c:numRef>
          </c:cat>
          <c:val>
            <c:numRef>
              <c:f>Blad2!$K$9:$K$11</c:f>
              <c:numCache>
                <c:formatCode>General</c:formatCode>
                <c:ptCount val="3"/>
                <c:pt idx="0">
                  <c:v>100</c:v>
                </c:pt>
                <c:pt idx="1">
                  <c:v>72.663252240717028</c:v>
                </c:pt>
                <c:pt idx="2">
                  <c:v>44.19547588561673</c:v>
                </c:pt>
              </c:numCache>
            </c:numRef>
          </c:val>
          <c:smooth val="0"/>
          <c:extLst>
            <c:ext xmlns:c16="http://schemas.microsoft.com/office/drawing/2014/chart" uri="{C3380CC4-5D6E-409C-BE32-E72D297353CC}">
              <c16:uniqueId val="{00000002-C3AF-4B72-A5F3-C19F253DCE0C}"/>
            </c:ext>
          </c:extLst>
        </c:ser>
        <c:dLbls>
          <c:showLegendKey val="0"/>
          <c:showVal val="0"/>
          <c:showCatName val="0"/>
          <c:showSerName val="0"/>
          <c:showPercent val="0"/>
          <c:showBubbleSize val="0"/>
        </c:dLbls>
        <c:marker val="1"/>
        <c:smooth val="0"/>
        <c:axId val="57306496"/>
        <c:axId val="57463168"/>
      </c:lineChart>
      <c:catAx>
        <c:axId val="5730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63168"/>
        <c:crosses val="autoZero"/>
        <c:auto val="1"/>
        <c:lblAlgn val="ctr"/>
        <c:lblOffset val="100"/>
        <c:noMultiLvlLbl val="0"/>
      </c:catAx>
      <c:valAx>
        <c:axId val="5746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06496"/>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43734</ap:Words>
  <ap:Characters>249284</ap:Characters>
  <ap:DocSecurity>0</ap:DocSecurity>
  <ap:Lines>2077</ap:Lines>
  <ap:Paragraphs>584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292434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2025-04-17T14:13:00.0000000Z</dcterms:created>
  <dcterms:modified xsi:type="dcterms:W3CDTF">2025-04-17T14:13:00.0000000Z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0x01010015CFD747B9EE3547B184852A4A6CA6A4</vt:lpwstr>
  </property>
  <property fmtid="{D5CDD505-2E9C-101B-9397-08002B2CF9AE}" pid="3" name="ClassificationContentMarkingFooterShapeIds">
    <vt:lpwstr>1,2,4</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