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2ED1" w:rsidR="00252ED1" w:rsidRDefault="00F43F5F" w14:paraId="5A53B5BF" w14:textId="77777777">
      <w:pPr>
        <w:rPr>
          <w:rFonts w:ascii="Calibri" w:hAnsi="Calibri" w:cs="Calibri"/>
        </w:rPr>
      </w:pPr>
      <w:r w:rsidRPr="00252ED1">
        <w:rPr>
          <w:rFonts w:ascii="Calibri" w:hAnsi="Calibri" w:cs="Calibri"/>
        </w:rPr>
        <w:t>31490</w:t>
      </w:r>
      <w:r w:rsidRPr="00252ED1" w:rsidR="00252ED1">
        <w:rPr>
          <w:rFonts w:ascii="Calibri" w:hAnsi="Calibri" w:cs="Calibri"/>
        </w:rPr>
        <w:tab/>
      </w:r>
      <w:r w:rsidRPr="00252ED1" w:rsidR="00252ED1">
        <w:rPr>
          <w:rFonts w:ascii="Calibri" w:hAnsi="Calibri" w:cs="Calibri"/>
        </w:rPr>
        <w:tab/>
      </w:r>
      <w:r w:rsidRPr="00252ED1" w:rsidR="00252ED1">
        <w:rPr>
          <w:rFonts w:ascii="Calibri" w:hAnsi="Calibri" w:cs="Calibri"/>
        </w:rPr>
        <w:tab/>
        <w:t>Vernieuwing van de rijksdienst</w:t>
      </w:r>
    </w:p>
    <w:p w:rsidRPr="00252ED1" w:rsidR="00252ED1" w:rsidP="00252ED1" w:rsidRDefault="00252ED1" w14:paraId="63B540B6" w14:textId="03A590D4">
      <w:pPr>
        <w:ind w:left="2124" w:hanging="2124"/>
        <w:rPr>
          <w:rFonts w:ascii="Calibri" w:hAnsi="Calibri" w:cs="Calibri"/>
        </w:rPr>
      </w:pPr>
      <w:r w:rsidRPr="00252ED1">
        <w:rPr>
          <w:rFonts w:ascii="Calibri" w:hAnsi="Calibri" w:cs="Calibri"/>
        </w:rPr>
        <w:t>Nr. 363</w:t>
      </w:r>
      <w:r w:rsidRPr="00252ED1">
        <w:rPr>
          <w:rFonts w:ascii="Calibri" w:hAnsi="Calibri" w:cs="Calibri"/>
        </w:rPr>
        <w:tab/>
        <w:t>Brief van de minister van Binnenlandse Zaken en Koninkrijksrelaties</w:t>
      </w:r>
    </w:p>
    <w:p w:rsidRPr="00252ED1" w:rsidR="00252ED1" w:rsidP="00F43F5F" w:rsidRDefault="00252ED1" w14:paraId="72BFD67E" w14:textId="77777777">
      <w:pPr>
        <w:spacing w:after="0"/>
        <w:rPr>
          <w:rFonts w:ascii="Calibri" w:hAnsi="Calibri" w:cs="Calibri"/>
        </w:rPr>
      </w:pPr>
      <w:r w:rsidRPr="00252ED1">
        <w:rPr>
          <w:rFonts w:ascii="Calibri" w:hAnsi="Calibri" w:cs="Calibri"/>
        </w:rPr>
        <w:t>Aan de Voorzitter van de Tweede Kamer der Staten-Generaal</w:t>
      </w:r>
    </w:p>
    <w:p w:rsidRPr="00252ED1" w:rsidR="00252ED1" w:rsidP="00F43F5F" w:rsidRDefault="00252ED1" w14:paraId="12D8C205" w14:textId="77777777">
      <w:pPr>
        <w:spacing w:after="0"/>
        <w:rPr>
          <w:rFonts w:ascii="Calibri" w:hAnsi="Calibri" w:cs="Calibri"/>
        </w:rPr>
      </w:pPr>
    </w:p>
    <w:p w:rsidRPr="00252ED1" w:rsidR="00252ED1" w:rsidP="00F43F5F" w:rsidRDefault="00252ED1" w14:paraId="6E02F588" w14:textId="77777777">
      <w:pPr>
        <w:spacing w:after="0"/>
        <w:rPr>
          <w:rFonts w:ascii="Calibri" w:hAnsi="Calibri" w:cs="Calibri"/>
        </w:rPr>
      </w:pPr>
      <w:r w:rsidRPr="00252ED1">
        <w:rPr>
          <w:rFonts w:ascii="Calibri" w:hAnsi="Calibri" w:cs="Calibri"/>
        </w:rPr>
        <w:t>Den Haag, 18 april 2025</w:t>
      </w:r>
    </w:p>
    <w:p w:rsidRPr="00252ED1" w:rsidR="00F43F5F" w:rsidP="00F43F5F" w:rsidRDefault="00F43F5F" w14:paraId="70D6A3AE" w14:textId="1BC84B71">
      <w:pPr>
        <w:spacing w:after="0"/>
        <w:rPr>
          <w:rFonts w:ascii="Calibri" w:hAnsi="Calibri" w:cs="Calibri"/>
        </w:rPr>
      </w:pPr>
      <w:r w:rsidRPr="00252ED1">
        <w:rPr>
          <w:rFonts w:ascii="Calibri" w:hAnsi="Calibri" w:cs="Calibri"/>
        </w:rPr>
        <w:br/>
      </w:r>
      <w:r w:rsidRPr="00252ED1">
        <w:rPr>
          <w:rFonts w:ascii="Calibri" w:hAnsi="Calibri" w:cs="Calibri"/>
        </w:rPr>
        <w:br/>
        <w:t xml:space="preserve">De laatste jaren zijn de uitgaven aan externe inhuur </w:t>
      </w:r>
      <w:proofErr w:type="spellStart"/>
      <w:r w:rsidRPr="00252ED1">
        <w:rPr>
          <w:rFonts w:ascii="Calibri" w:hAnsi="Calibri" w:cs="Calibri"/>
        </w:rPr>
        <w:t>rijksbreed</w:t>
      </w:r>
      <w:proofErr w:type="spellEnd"/>
      <w:r w:rsidRPr="00252ED1">
        <w:rPr>
          <w:rFonts w:ascii="Calibri" w:hAnsi="Calibri" w:cs="Calibri"/>
        </w:rPr>
        <w:t xml:space="preserve"> toegenomen. De Roemernorm, die bepaalt dat maximaal 10% van de totale personele uitgaven besteed mag worden aan externe inhuur, wordt overschreden</w:t>
      </w:r>
      <w:r w:rsidRPr="00252ED1">
        <w:rPr>
          <w:rStyle w:val="Voetnootmarkering"/>
          <w:rFonts w:ascii="Calibri" w:hAnsi="Calibri" w:cs="Calibri"/>
        </w:rPr>
        <w:footnoteReference w:id="1"/>
      </w:r>
      <w:r w:rsidRPr="00252ED1">
        <w:rPr>
          <w:rFonts w:ascii="Calibri" w:hAnsi="Calibri" w:cs="Calibri"/>
        </w:rPr>
        <w:t>. In het regeerprogramma is daarom opgenomen dat de externe inhuur substantieel moet worden teruggebracht. In het commissiedebat Functioneren Rijksdienst van 6 november 2024 (Kamerstuk 31 490, nr. 356) heb ik toegezegd om met een plan van aanpak te komen.</w:t>
      </w:r>
      <w:r w:rsidRPr="00252ED1">
        <w:rPr>
          <w:rStyle w:val="Voetnootmarkering"/>
          <w:rFonts w:ascii="Calibri" w:hAnsi="Calibri" w:cs="Calibri"/>
        </w:rPr>
        <w:footnoteReference w:id="2"/>
      </w:r>
      <w:r w:rsidRPr="00252ED1">
        <w:rPr>
          <w:rFonts w:ascii="Calibri" w:hAnsi="Calibri" w:cs="Calibri"/>
        </w:rPr>
        <w:t xml:space="preserve">  </w:t>
      </w:r>
    </w:p>
    <w:p w:rsidRPr="00252ED1" w:rsidR="00F43F5F" w:rsidP="00F43F5F" w:rsidRDefault="00F43F5F" w14:paraId="75523488" w14:textId="77777777">
      <w:pPr>
        <w:spacing w:after="0"/>
        <w:rPr>
          <w:rFonts w:ascii="Calibri" w:hAnsi="Calibri" w:cs="Calibri"/>
        </w:rPr>
      </w:pPr>
      <w:r w:rsidRPr="00252ED1">
        <w:rPr>
          <w:rFonts w:ascii="Calibri" w:hAnsi="Calibri" w:cs="Calibri"/>
        </w:rPr>
        <w:t>In deze brief geef ik u inzicht in welke acties ik tot dusverre heb ondernomen en welke vervolgaanpak nodig is om de doelstelling uit het regeerprogramma te realiseren.</w:t>
      </w:r>
    </w:p>
    <w:p w:rsidRPr="00252ED1" w:rsidR="00F43F5F" w:rsidP="00F43F5F" w:rsidRDefault="00F43F5F" w14:paraId="6DB63C04" w14:textId="77777777">
      <w:pPr>
        <w:spacing w:after="0"/>
        <w:rPr>
          <w:rFonts w:ascii="Calibri" w:hAnsi="Calibri" w:cs="Calibri"/>
        </w:rPr>
      </w:pPr>
    </w:p>
    <w:p w:rsidRPr="00252ED1" w:rsidR="00F43F5F" w:rsidP="00F43F5F" w:rsidRDefault="00F43F5F" w14:paraId="032953FA" w14:textId="77777777">
      <w:pPr>
        <w:spacing w:after="0"/>
        <w:rPr>
          <w:rFonts w:ascii="Calibri" w:hAnsi="Calibri" w:cs="Calibri"/>
        </w:rPr>
      </w:pPr>
      <w:r w:rsidRPr="00252ED1">
        <w:rPr>
          <w:rFonts w:ascii="Calibri" w:hAnsi="Calibri" w:cs="Calibri"/>
        </w:rPr>
        <w:t>Tijdens het begrotingsdebat van het ministerie van Binnenlandse Zaken (BZK) op 19 oktober 2023 heeft de staatssecretaris Digitalisering en Koninkrijksrelaties aan de Tweede Kamer toegezegd een nader onderzoek uit te voeren hoe de Roemernorm alsnog zou kunnen worden gerealiseerd (uitvoering motie Nijboer)</w:t>
      </w:r>
      <w:r w:rsidRPr="00252ED1">
        <w:rPr>
          <w:rStyle w:val="Voetnootmarkering"/>
          <w:rFonts w:ascii="Calibri" w:hAnsi="Calibri" w:cs="Calibri"/>
        </w:rPr>
        <w:footnoteReference w:id="3"/>
      </w:r>
      <w:r w:rsidRPr="00252ED1">
        <w:rPr>
          <w:rFonts w:ascii="Calibri" w:hAnsi="Calibri" w:cs="Calibri"/>
        </w:rPr>
        <w:t>. In dit kader heb ik de Auditdienst Rijk (ADR) gevraagd een onderzoek uit te voeren naar de oorzaken van de overschrijdingen van de Roemernorm, de sturing en beheersing, de mogelijke consequenties bij een strikte toepassing van de Roemernorm en aanbevelingen aan de ministeries en hun uitvoeringsorganisaties te formuleren. De uitkomsten van dit onderzoek vormen samen met de follow up van het rapport ‘Grip op ICT inhuur’</w:t>
      </w:r>
      <w:r w:rsidRPr="00252ED1">
        <w:rPr>
          <w:rStyle w:val="Voetnootmarkering"/>
          <w:rFonts w:ascii="Calibri" w:hAnsi="Calibri" w:cs="Calibri"/>
        </w:rPr>
        <w:footnoteReference w:id="4"/>
      </w:r>
      <w:r w:rsidRPr="00252ED1">
        <w:rPr>
          <w:rFonts w:ascii="Calibri" w:hAnsi="Calibri" w:cs="Calibri"/>
        </w:rPr>
        <w:t xml:space="preserve"> de basis voor de activiteiten om de externe inhuur terug te dringen. </w:t>
      </w:r>
    </w:p>
    <w:p w:rsidRPr="00252ED1" w:rsidR="00F43F5F" w:rsidP="00F43F5F" w:rsidRDefault="00F43F5F" w14:paraId="63874E4C" w14:textId="77777777">
      <w:pPr>
        <w:spacing w:after="0"/>
        <w:rPr>
          <w:rFonts w:ascii="Calibri" w:hAnsi="Calibri" w:cs="Calibri"/>
          <w:b/>
          <w:bCs/>
          <w:u w:val="single"/>
        </w:rPr>
      </w:pPr>
    </w:p>
    <w:p w:rsidRPr="00252ED1" w:rsidR="00F43F5F" w:rsidP="00F43F5F" w:rsidRDefault="00F43F5F" w14:paraId="4ACC08EC" w14:textId="77777777">
      <w:pPr>
        <w:spacing w:after="0"/>
        <w:rPr>
          <w:rFonts w:ascii="Calibri" w:hAnsi="Calibri" w:cs="Calibri"/>
          <w:b/>
          <w:bCs/>
          <w:u w:val="single"/>
        </w:rPr>
      </w:pPr>
      <w:r w:rsidRPr="00252ED1">
        <w:rPr>
          <w:rFonts w:ascii="Calibri" w:hAnsi="Calibri" w:cs="Calibri"/>
          <w:b/>
          <w:bCs/>
          <w:u w:val="single"/>
        </w:rPr>
        <w:t>Achtergrond</w:t>
      </w:r>
    </w:p>
    <w:p w:rsidRPr="00252ED1" w:rsidR="00F43F5F" w:rsidP="00F43F5F" w:rsidRDefault="00F43F5F" w14:paraId="107F2246" w14:textId="77777777">
      <w:pPr>
        <w:spacing w:after="0"/>
        <w:rPr>
          <w:rFonts w:ascii="Calibri" w:hAnsi="Calibri" w:cs="Calibri"/>
          <w:b/>
          <w:bCs/>
          <w:u w:val="single"/>
        </w:rPr>
      </w:pPr>
    </w:p>
    <w:p w:rsidRPr="00252ED1" w:rsidR="00F43F5F" w:rsidP="00F43F5F" w:rsidRDefault="00F43F5F" w14:paraId="7852976A" w14:textId="77777777">
      <w:pPr>
        <w:pStyle w:val="Lijstalinea"/>
        <w:widowControl w:val="0"/>
        <w:tabs>
          <w:tab w:val="left" w:pos="840"/>
        </w:tabs>
        <w:autoSpaceDE w:val="0"/>
        <w:autoSpaceDN w:val="0"/>
        <w:spacing w:after="0" w:line="240" w:lineRule="atLeast"/>
        <w:ind w:left="0"/>
        <w:contextualSpacing w:val="0"/>
        <w:rPr>
          <w:rFonts w:ascii="Calibri" w:hAnsi="Calibri" w:cs="Calibri"/>
        </w:rPr>
      </w:pPr>
      <w:r w:rsidRPr="00252ED1">
        <w:rPr>
          <w:rFonts w:ascii="Calibri" w:hAnsi="Calibri" w:cs="Calibri"/>
        </w:rPr>
        <w:t xml:space="preserve">In 2010 heeft het toenmalig kabinet met de Tweede Kamer afspraken gemaakt over </w:t>
      </w:r>
      <w:r w:rsidRPr="00252ED1">
        <w:rPr>
          <w:rFonts w:ascii="Calibri" w:hAnsi="Calibri" w:cs="Calibri"/>
        </w:rPr>
        <w:lastRenderedPageBreak/>
        <w:t>externe inhuur</w:t>
      </w:r>
      <w:r w:rsidRPr="00252ED1">
        <w:rPr>
          <w:rStyle w:val="Voetnootmarkering"/>
          <w:rFonts w:ascii="Calibri" w:hAnsi="Calibri" w:cs="Calibri"/>
        </w:rPr>
        <w:footnoteReference w:id="5"/>
      </w:r>
      <w:r w:rsidRPr="00252ED1">
        <w:rPr>
          <w:rFonts w:ascii="Calibri" w:hAnsi="Calibri" w:cs="Calibri"/>
        </w:rPr>
        <w:t xml:space="preserve"> bij de Rijksoverheid. De uitgaven aan externe inhuur mogen niet meer dan 10% van de totale personele uitgaven betreffen (de zogenaamde Roemernorm n.a.v. de motie-Roemer</w:t>
      </w:r>
      <w:r w:rsidRPr="00252ED1">
        <w:rPr>
          <w:rStyle w:val="Voetnootmarkering"/>
          <w:rFonts w:ascii="Calibri" w:hAnsi="Calibri" w:cs="Calibri"/>
        </w:rPr>
        <w:footnoteReference w:id="6"/>
      </w:r>
      <w:r w:rsidRPr="00252ED1">
        <w:rPr>
          <w:rFonts w:ascii="Calibri" w:hAnsi="Calibri" w:cs="Calibri"/>
        </w:rPr>
        <w:t xml:space="preserve">). </w:t>
      </w:r>
      <w:r w:rsidRPr="00252ED1">
        <w:rPr>
          <w:rFonts w:ascii="Calibri" w:hAnsi="Calibri" w:cs="Calibri"/>
          <w:color w:val="211D1F"/>
        </w:rPr>
        <w:t>Deze uitgavennorm voor externe inhuur is richtinggevend, waarbij achteraf door de desbetreffende minister wordt verklaard waarom de norm al of niet is gerealiseerd.</w:t>
      </w:r>
      <w:r w:rsidRPr="00252ED1">
        <w:rPr>
          <w:rStyle w:val="Voetnootmarkering"/>
          <w:rFonts w:ascii="Calibri" w:hAnsi="Calibri" w:cs="Calibri"/>
          <w:color w:val="211D1F"/>
        </w:rPr>
        <w:footnoteReference w:id="7"/>
      </w:r>
      <w:r w:rsidRPr="00252ED1">
        <w:rPr>
          <w:rFonts w:ascii="Calibri" w:hAnsi="Calibri" w:cs="Calibri"/>
          <w:color w:val="211D1F"/>
        </w:rPr>
        <w:t xml:space="preserve"> </w:t>
      </w:r>
      <w:r w:rsidRPr="00252ED1">
        <w:rPr>
          <w:rFonts w:ascii="Calibri" w:hAnsi="Calibri" w:cs="Calibri"/>
        </w:rPr>
        <w:t xml:space="preserve">In het geval de norm wordt overschreden, is het uitgangspunt ‘leg uit’ </w:t>
      </w:r>
      <w:r w:rsidRPr="00252ED1">
        <w:rPr>
          <w:rFonts w:ascii="Calibri" w:hAnsi="Calibri" w:cs="Calibri"/>
          <w:i/>
          <w:iCs/>
        </w:rPr>
        <w:t>(</w:t>
      </w:r>
      <w:proofErr w:type="spellStart"/>
      <w:r w:rsidRPr="00252ED1">
        <w:rPr>
          <w:rFonts w:ascii="Calibri" w:hAnsi="Calibri" w:cs="Calibri"/>
          <w:i/>
          <w:iCs/>
        </w:rPr>
        <w:t>comply</w:t>
      </w:r>
      <w:proofErr w:type="spellEnd"/>
      <w:r w:rsidRPr="00252ED1">
        <w:rPr>
          <w:rFonts w:ascii="Calibri" w:hAnsi="Calibri" w:cs="Calibri"/>
          <w:i/>
          <w:iCs/>
        </w:rPr>
        <w:t>-or-</w:t>
      </w:r>
      <w:proofErr w:type="spellStart"/>
      <w:r w:rsidRPr="00252ED1">
        <w:rPr>
          <w:rFonts w:ascii="Calibri" w:hAnsi="Calibri" w:cs="Calibri"/>
          <w:i/>
          <w:iCs/>
        </w:rPr>
        <w:t>explain</w:t>
      </w:r>
      <w:proofErr w:type="spellEnd"/>
      <w:r w:rsidRPr="00252ED1">
        <w:rPr>
          <w:rFonts w:ascii="Calibri" w:hAnsi="Calibri" w:cs="Calibri"/>
          <w:i/>
          <w:iCs/>
        </w:rPr>
        <w:t>)</w:t>
      </w:r>
      <w:r w:rsidRPr="00252ED1">
        <w:rPr>
          <w:rFonts w:ascii="Calibri" w:hAnsi="Calibri" w:cs="Calibri"/>
        </w:rPr>
        <w:t>. De ministeries zijn verantwoordelijk voor het voldoen aan de norm. Zij leggen verantwoording af in hun departementale jaarverslag. In de Jaarrapportage Bedrijfsvoering Rijk (JBR) wordt het totaal aan externe inhuur bij het Rijk inzichtelijk gemaakt</w:t>
      </w:r>
      <w:r w:rsidRPr="00252ED1">
        <w:rPr>
          <w:rStyle w:val="Voetnootmarkering"/>
          <w:rFonts w:ascii="Calibri" w:hAnsi="Calibri" w:cs="Calibri"/>
        </w:rPr>
        <w:footnoteReference w:id="8"/>
      </w:r>
      <w:r w:rsidRPr="00252ED1">
        <w:rPr>
          <w:rFonts w:ascii="Calibri" w:hAnsi="Calibri" w:cs="Calibri"/>
        </w:rPr>
        <w:t xml:space="preserve">. Sinds 2020 is sprake van een toename van externe inhuur. In de jaarverslagen van de ministeries is aangegeven dat deze toename vooral verklaard wordt door exogene factoren, zoals arbeidsmarktkrapte (met name op het gebied van ICT), de schade-afhandeling Groningen, de afwikkeling van de Toeslagenaffaire en de afhandeling van de COVID crisis. Deze oorzaken worden aangegeven in de verantwoordingen in het jaarverslag van de departementen. </w:t>
      </w:r>
    </w:p>
    <w:p w:rsidRPr="00252ED1" w:rsidR="00F43F5F" w:rsidP="00F43F5F" w:rsidRDefault="00F43F5F" w14:paraId="1387C25C" w14:textId="77777777">
      <w:pPr>
        <w:pStyle w:val="Lijstalinea"/>
        <w:widowControl w:val="0"/>
        <w:tabs>
          <w:tab w:val="left" w:pos="840"/>
        </w:tabs>
        <w:autoSpaceDE w:val="0"/>
        <w:autoSpaceDN w:val="0"/>
        <w:spacing w:after="0" w:line="240" w:lineRule="atLeast"/>
        <w:ind w:left="0"/>
        <w:contextualSpacing w:val="0"/>
        <w:rPr>
          <w:rFonts w:ascii="Calibri" w:hAnsi="Calibri" w:cs="Calibri"/>
        </w:rPr>
      </w:pPr>
    </w:p>
    <w:p w:rsidRPr="00252ED1" w:rsidR="00F43F5F" w:rsidP="00F43F5F" w:rsidRDefault="00F43F5F" w14:paraId="5A37F8D8" w14:textId="77777777">
      <w:pPr>
        <w:pStyle w:val="Plattetekst"/>
        <w:spacing w:line="240" w:lineRule="atLeast"/>
        <w:ind w:right="-45"/>
        <w:rPr>
          <w:rFonts w:ascii="Calibri" w:hAnsi="Calibri" w:cs="Calibri"/>
          <w:spacing w:val="-2"/>
          <w:sz w:val="22"/>
          <w:szCs w:val="22"/>
        </w:rPr>
      </w:pPr>
      <w:r w:rsidRPr="00252ED1">
        <w:rPr>
          <w:rFonts w:ascii="Calibri" w:hAnsi="Calibri" w:cs="Calibri"/>
          <w:sz w:val="22"/>
          <w:szCs w:val="22"/>
        </w:rPr>
        <w:t>Externe</w:t>
      </w:r>
      <w:r w:rsidRPr="00252ED1">
        <w:rPr>
          <w:rFonts w:ascii="Calibri" w:hAnsi="Calibri" w:cs="Calibri"/>
          <w:spacing w:val="-3"/>
          <w:sz w:val="22"/>
          <w:szCs w:val="22"/>
        </w:rPr>
        <w:t xml:space="preserve"> </w:t>
      </w:r>
      <w:r w:rsidRPr="00252ED1">
        <w:rPr>
          <w:rFonts w:ascii="Calibri" w:hAnsi="Calibri" w:cs="Calibri"/>
          <w:sz w:val="22"/>
          <w:szCs w:val="22"/>
        </w:rPr>
        <w:t>inhuur</w:t>
      </w:r>
      <w:r w:rsidRPr="00252ED1">
        <w:rPr>
          <w:rFonts w:ascii="Calibri" w:hAnsi="Calibri" w:cs="Calibri"/>
          <w:spacing w:val="-3"/>
          <w:sz w:val="22"/>
          <w:szCs w:val="22"/>
        </w:rPr>
        <w:t xml:space="preserve"> </w:t>
      </w:r>
      <w:r w:rsidRPr="00252ED1">
        <w:rPr>
          <w:rFonts w:ascii="Calibri" w:hAnsi="Calibri" w:cs="Calibri"/>
          <w:sz w:val="22"/>
          <w:szCs w:val="22"/>
        </w:rPr>
        <w:t>is</w:t>
      </w:r>
      <w:r w:rsidRPr="00252ED1">
        <w:rPr>
          <w:rFonts w:ascii="Calibri" w:hAnsi="Calibri" w:cs="Calibri"/>
          <w:spacing w:val="-3"/>
          <w:sz w:val="22"/>
          <w:szCs w:val="22"/>
        </w:rPr>
        <w:t xml:space="preserve"> </w:t>
      </w:r>
      <w:r w:rsidRPr="00252ED1">
        <w:rPr>
          <w:rFonts w:ascii="Calibri" w:hAnsi="Calibri" w:cs="Calibri"/>
          <w:sz w:val="22"/>
          <w:szCs w:val="22"/>
        </w:rPr>
        <w:t>het</w:t>
      </w:r>
      <w:r w:rsidRPr="00252ED1">
        <w:rPr>
          <w:rFonts w:ascii="Calibri" w:hAnsi="Calibri" w:cs="Calibri"/>
          <w:spacing w:val="-2"/>
          <w:sz w:val="22"/>
          <w:szCs w:val="22"/>
        </w:rPr>
        <w:t xml:space="preserve"> </w:t>
      </w:r>
      <w:r w:rsidRPr="00252ED1">
        <w:rPr>
          <w:rFonts w:ascii="Calibri" w:hAnsi="Calibri" w:cs="Calibri"/>
          <w:sz w:val="22"/>
          <w:szCs w:val="22"/>
        </w:rPr>
        <w:t>deel</w:t>
      </w:r>
      <w:r w:rsidRPr="00252ED1">
        <w:rPr>
          <w:rFonts w:ascii="Calibri" w:hAnsi="Calibri" w:cs="Calibri"/>
          <w:spacing w:val="-2"/>
          <w:sz w:val="22"/>
          <w:szCs w:val="22"/>
        </w:rPr>
        <w:t xml:space="preserve"> </w:t>
      </w:r>
      <w:r w:rsidRPr="00252ED1">
        <w:rPr>
          <w:rFonts w:ascii="Calibri" w:hAnsi="Calibri" w:cs="Calibri"/>
          <w:sz w:val="22"/>
          <w:szCs w:val="22"/>
        </w:rPr>
        <w:t>van</w:t>
      </w:r>
      <w:r w:rsidRPr="00252ED1">
        <w:rPr>
          <w:rFonts w:ascii="Calibri" w:hAnsi="Calibri" w:cs="Calibri"/>
          <w:spacing w:val="-2"/>
          <w:sz w:val="22"/>
          <w:szCs w:val="22"/>
        </w:rPr>
        <w:t xml:space="preserve"> </w:t>
      </w:r>
      <w:r w:rsidRPr="00252ED1">
        <w:rPr>
          <w:rFonts w:ascii="Calibri" w:hAnsi="Calibri" w:cs="Calibri"/>
          <w:sz w:val="22"/>
          <w:szCs w:val="22"/>
        </w:rPr>
        <w:t>de personele</w:t>
      </w:r>
      <w:r w:rsidRPr="00252ED1">
        <w:rPr>
          <w:rFonts w:ascii="Calibri" w:hAnsi="Calibri" w:cs="Calibri"/>
          <w:spacing w:val="-3"/>
          <w:sz w:val="22"/>
          <w:szCs w:val="22"/>
        </w:rPr>
        <w:t xml:space="preserve"> </w:t>
      </w:r>
      <w:r w:rsidRPr="00252ED1">
        <w:rPr>
          <w:rFonts w:ascii="Calibri" w:hAnsi="Calibri" w:cs="Calibri"/>
          <w:sz w:val="22"/>
          <w:szCs w:val="22"/>
        </w:rPr>
        <w:t>uitgaven</w:t>
      </w:r>
      <w:r w:rsidRPr="00252ED1">
        <w:rPr>
          <w:rFonts w:ascii="Calibri" w:hAnsi="Calibri" w:cs="Calibri"/>
          <w:spacing w:val="-4"/>
          <w:sz w:val="22"/>
          <w:szCs w:val="22"/>
        </w:rPr>
        <w:t xml:space="preserve"> </w:t>
      </w:r>
      <w:r w:rsidRPr="00252ED1">
        <w:rPr>
          <w:rFonts w:ascii="Calibri" w:hAnsi="Calibri" w:cs="Calibri"/>
          <w:sz w:val="22"/>
          <w:szCs w:val="22"/>
        </w:rPr>
        <w:t>dat</w:t>
      </w:r>
      <w:r w:rsidRPr="00252ED1">
        <w:rPr>
          <w:rFonts w:ascii="Calibri" w:hAnsi="Calibri" w:cs="Calibri"/>
          <w:spacing w:val="-3"/>
          <w:sz w:val="22"/>
          <w:szCs w:val="22"/>
        </w:rPr>
        <w:t xml:space="preserve"> </w:t>
      </w:r>
      <w:r w:rsidRPr="00252ED1">
        <w:rPr>
          <w:rFonts w:ascii="Calibri" w:hAnsi="Calibri" w:cs="Calibri"/>
          <w:sz w:val="22"/>
          <w:szCs w:val="22"/>
        </w:rPr>
        <w:t>het</w:t>
      </w:r>
      <w:r w:rsidRPr="00252ED1">
        <w:rPr>
          <w:rFonts w:ascii="Calibri" w:hAnsi="Calibri" w:cs="Calibri"/>
          <w:spacing w:val="-2"/>
          <w:sz w:val="22"/>
          <w:szCs w:val="22"/>
        </w:rPr>
        <w:t xml:space="preserve"> </w:t>
      </w:r>
      <w:r w:rsidRPr="00252ED1">
        <w:rPr>
          <w:rFonts w:ascii="Calibri" w:hAnsi="Calibri" w:cs="Calibri"/>
          <w:sz w:val="22"/>
          <w:szCs w:val="22"/>
        </w:rPr>
        <w:t>Rijk</w:t>
      </w:r>
      <w:r w:rsidRPr="00252ED1">
        <w:rPr>
          <w:rFonts w:ascii="Calibri" w:hAnsi="Calibri" w:cs="Calibri"/>
          <w:spacing w:val="-4"/>
          <w:sz w:val="22"/>
          <w:szCs w:val="22"/>
        </w:rPr>
        <w:t xml:space="preserve"> </w:t>
      </w:r>
      <w:r w:rsidRPr="00252ED1">
        <w:rPr>
          <w:rFonts w:ascii="Calibri" w:hAnsi="Calibri" w:cs="Calibri"/>
          <w:sz w:val="22"/>
          <w:szCs w:val="22"/>
        </w:rPr>
        <w:t>aan</w:t>
      </w:r>
      <w:r w:rsidRPr="00252ED1">
        <w:rPr>
          <w:rFonts w:ascii="Calibri" w:hAnsi="Calibri" w:cs="Calibri"/>
          <w:spacing w:val="-3"/>
          <w:sz w:val="22"/>
          <w:szCs w:val="22"/>
        </w:rPr>
        <w:t xml:space="preserve"> </w:t>
      </w:r>
      <w:r w:rsidRPr="00252ED1">
        <w:rPr>
          <w:rFonts w:ascii="Calibri" w:hAnsi="Calibri" w:cs="Calibri"/>
          <w:sz w:val="22"/>
          <w:szCs w:val="22"/>
        </w:rPr>
        <w:t>inhuur</w:t>
      </w:r>
      <w:r w:rsidRPr="00252ED1">
        <w:rPr>
          <w:rFonts w:ascii="Calibri" w:hAnsi="Calibri" w:cs="Calibri"/>
          <w:spacing w:val="-3"/>
          <w:sz w:val="22"/>
          <w:szCs w:val="22"/>
        </w:rPr>
        <w:t xml:space="preserve"> </w:t>
      </w:r>
      <w:r w:rsidRPr="00252ED1">
        <w:rPr>
          <w:rFonts w:ascii="Calibri" w:hAnsi="Calibri" w:cs="Calibri"/>
          <w:sz w:val="22"/>
          <w:szCs w:val="22"/>
        </w:rPr>
        <w:t>besteedt.</w:t>
      </w:r>
      <w:r w:rsidRPr="00252ED1">
        <w:rPr>
          <w:rFonts w:ascii="Calibri" w:hAnsi="Calibri" w:cs="Calibri"/>
          <w:spacing w:val="-4"/>
          <w:sz w:val="22"/>
          <w:szCs w:val="22"/>
        </w:rPr>
        <w:t xml:space="preserve"> </w:t>
      </w:r>
      <w:r w:rsidRPr="00252ED1">
        <w:rPr>
          <w:rFonts w:ascii="Calibri" w:hAnsi="Calibri" w:cs="Calibri"/>
          <w:sz w:val="22"/>
          <w:szCs w:val="22"/>
        </w:rPr>
        <w:t>Deze</w:t>
      </w:r>
      <w:r w:rsidRPr="00252ED1">
        <w:rPr>
          <w:rFonts w:ascii="Calibri" w:hAnsi="Calibri" w:cs="Calibri"/>
          <w:spacing w:val="-2"/>
          <w:sz w:val="22"/>
          <w:szCs w:val="22"/>
        </w:rPr>
        <w:t xml:space="preserve"> </w:t>
      </w:r>
      <w:r w:rsidRPr="00252ED1">
        <w:rPr>
          <w:rFonts w:ascii="Calibri" w:hAnsi="Calibri" w:cs="Calibri"/>
          <w:sz w:val="22"/>
          <w:szCs w:val="22"/>
        </w:rPr>
        <w:t xml:space="preserve">inhuur is nodig bij piekbelasting, ziekte, moeilijk vervulbare vacatures en specialistische en innovatieve </w:t>
      </w:r>
      <w:r w:rsidRPr="00252ED1">
        <w:rPr>
          <w:rFonts w:ascii="Calibri" w:hAnsi="Calibri" w:cs="Calibri"/>
          <w:spacing w:val="-2"/>
          <w:sz w:val="22"/>
          <w:szCs w:val="22"/>
        </w:rPr>
        <w:t xml:space="preserve">werkzaamheden, dit laatste vooral op het gebied van ICT. Daarnaast biedt inhuur flexibiliteit bij een veranderende vraag naar capaciteit. </w:t>
      </w:r>
      <w:r w:rsidRPr="00252ED1">
        <w:rPr>
          <w:rFonts w:ascii="Calibri" w:hAnsi="Calibri" w:cs="Calibri"/>
          <w:sz w:val="22"/>
          <w:szCs w:val="22"/>
        </w:rPr>
        <w:t>De beslissing om al of niet over te gaan tot externe inhuur is, binnen de huidige (politieke) kaders, een managementbeslissing binnen het desbetreffende ministerie.</w:t>
      </w:r>
      <w:r w:rsidRPr="00252ED1">
        <w:rPr>
          <w:rFonts w:ascii="Calibri" w:hAnsi="Calibri" w:cs="Calibri"/>
          <w:spacing w:val="-2"/>
          <w:sz w:val="22"/>
          <w:szCs w:val="22"/>
        </w:rPr>
        <w:t xml:space="preserve"> </w:t>
      </w:r>
      <w:r w:rsidRPr="00252ED1">
        <w:rPr>
          <w:rFonts w:ascii="Calibri" w:hAnsi="Calibri" w:cs="Calibri"/>
          <w:sz w:val="22"/>
          <w:szCs w:val="22"/>
        </w:rPr>
        <w:t>Externe inhuur</w:t>
      </w:r>
      <w:r w:rsidRPr="00252ED1">
        <w:rPr>
          <w:rFonts w:ascii="Calibri" w:hAnsi="Calibri" w:cs="Calibri"/>
          <w:spacing w:val="-2"/>
          <w:sz w:val="22"/>
          <w:szCs w:val="22"/>
        </w:rPr>
        <w:t xml:space="preserve"> </w:t>
      </w:r>
      <w:r w:rsidRPr="00252ED1">
        <w:rPr>
          <w:rFonts w:ascii="Calibri" w:hAnsi="Calibri" w:cs="Calibri"/>
          <w:sz w:val="22"/>
          <w:szCs w:val="22"/>
        </w:rPr>
        <w:t>kan worden onderverdeeld in de categorieën beleid, beleidsondersteunend personeel en uitvoering.</w:t>
      </w:r>
    </w:p>
    <w:p w:rsidRPr="00252ED1" w:rsidR="00F43F5F" w:rsidP="00F43F5F" w:rsidRDefault="00F43F5F" w14:paraId="305263DE" w14:textId="77777777">
      <w:pPr>
        <w:widowControl w:val="0"/>
        <w:tabs>
          <w:tab w:val="left" w:pos="840"/>
        </w:tabs>
        <w:autoSpaceDE w:val="0"/>
        <w:spacing w:after="0"/>
        <w:rPr>
          <w:rFonts w:ascii="Calibri" w:hAnsi="Calibri" w:cs="Calibri"/>
        </w:rPr>
      </w:pPr>
    </w:p>
    <w:p w:rsidRPr="00252ED1" w:rsidR="00F43F5F" w:rsidP="00F43F5F" w:rsidRDefault="00F43F5F" w14:paraId="63CDF69D" w14:textId="77777777">
      <w:pPr>
        <w:widowControl w:val="0"/>
        <w:tabs>
          <w:tab w:val="left" w:pos="840"/>
        </w:tabs>
        <w:autoSpaceDE w:val="0"/>
        <w:spacing w:after="0"/>
        <w:rPr>
          <w:rFonts w:ascii="Calibri" w:hAnsi="Calibri" w:cs="Calibri"/>
        </w:rPr>
      </w:pPr>
      <w:r w:rsidRPr="00252ED1">
        <w:rPr>
          <w:rFonts w:ascii="Calibri" w:hAnsi="Calibri" w:cs="Calibri"/>
        </w:rPr>
        <w:t>In onderstaande tabel, afkomstig uit de JBR 2023, is per categorie aangegeven hoeveel in 2023 procentueel werd besteed aan uitgaven voor externe inhuur ten opzichte van de totale personele uitgaven:</w:t>
      </w:r>
    </w:p>
    <w:p w:rsidRPr="00252ED1" w:rsidR="00F43F5F" w:rsidP="00F43F5F" w:rsidRDefault="00F43F5F" w14:paraId="6F7AE35D" w14:textId="77777777">
      <w:pPr>
        <w:widowControl w:val="0"/>
        <w:tabs>
          <w:tab w:val="left" w:pos="840"/>
        </w:tabs>
        <w:autoSpaceDE w:val="0"/>
        <w:spacing w:after="0"/>
        <w:rPr>
          <w:rFonts w:ascii="Calibri" w:hAnsi="Calibri" w:cs="Calibri"/>
        </w:rPr>
      </w:pPr>
    </w:p>
    <w:tbl>
      <w:tblPr>
        <w:tblW w:w="5812" w:type="dxa"/>
        <w:tblCellMar>
          <w:left w:w="70" w:type="dxa"/>
          <w:right w:w="70" w:type="dxa"/>
        </w:tblCellMar>
        <w:tblLook w:val="04A0" w:firstRow="1" w:lastRow="0" w:firstColumn="1" w:lastColumn="0" w:noHBand="0" w:noVBand="1"/>
      </w:tblPr>
      <w:tblGrid>
        <w:gridCol w:w="4820"/>
        <w:gridCol w:w="992"/>
      </w:tblGrid>
      <w:tr w:rsidRPr="00252ED1" w:rsidR="00F43F5F" w:rsidTr="00AA43D2" w14:paraId="01816899" w14:textId="77777777">
        <w:trPr>
          <w:trHeight w:val="288"/>
        </w:trPr>
        <w:tc>
          <w:tcPr>
            <w:tcW w:w="4820" w:type="dxa"/>
            <w:tcBorders>
              <w:top w:val="nil"/>
              <w:left w:val="nil"/>
              <w:bottom w:val="nil"/>
              <w:right w:val="nil"/>
            </w:tcBorders>
            <w:shd w:val="clear" w:color="000000" w:fill="00B0F0"/>
            <w:noWrap/>
            <w:vAlign w:val="center"/>
            <w:hideMark/>
          </w:tcPr>
          <w:p w:rsidRPr="00252ED1" w:rsidR="00F43F5F" w:rsidP="00F43F5F" w:rsidRDefault="00F43F5F" w14:paraId="58714A10" w14:textId="77777777">
            <w:pPr>
              <w:spacing w:after="0" w:line="240" w:lineRule="auto"/>
              <w:rPr>
                <w:rFonts w:ascii="Calibri" w:hAnsi="Calibri" w:eastAsia="Times New Roman" w:cs="Calibri"/>
                <w:b/>
                <w:bCs/>
                <w:color w:val="FFFFFF"/>
              </w:rPr>
            </w:pPr>
            <w:r w:rsidRPr="00252ED1">
              <w:rPr>
                <w:rFonts w:ascii="Calibri" w:hAnsi="Calibri" w:eastAsia="Times New Roman" w:cs="Calibri"/>
                <w:b/>
                <w:bCs/>
                <w:color w:val="FFFFFF"/>
              </w:rPr>
              <w:t>Inhuur percentage 2023 </w:t>
            </w:r>
          </w:p>
        </w:tc>
        <w:tc>
          <w:tcPr>
            <w:tcW w:w="992" w:type="dxa"/>
            <w:tcBorders>
              <w:top w:val="nil"/>
              <w:left w:val="nil"/>
              <w:bottom w:val="nil"/>
              <w:right w:val="nil"/>
            </w:tcBorders>
            <w:shd w:val="clear" w:color="000000" w:fill="00B0F0"/>
            <w:noWrap/>
            <w:vAlign w:val="center"/>
            <w:hideMark/>
          </w:tcPr>
          <w:p w:rsidRPr="00252ED1" w:rsidR="00F43F5F" w:rsidP="00F43F5F" w:rsidRDefault="00F43F5F" w14:paraId="0D333B95" w14:textId="77777777">
            <w:pPr>
              <w:spacing w:after="0" w:line="240" w:lineRule="auto"/>
              <w:jc w:val="right"/>
              <w:rPr>
                <w:rFonts w:ascii="Calibri" w:hAnsi="Calibri" w:eastAsia="Times New Roman" w:cs="Calibri"/>
                <w:b/>
                <w:bCs/>
                <w:color w:val="FFFFFF"/>
              </w:rPr>
            </w:pPr>
            <w:r w:rsidRPr="00252ED1">
              <w:rPr>
                <w:rFonts w:ascii="Calibri" w:hAnsi="Calibri" w:eastAsia="Times New Roman" w:cs="Calibri"/>
                <w:b/>
                <w:bCs/>
                <w:color w:val="FFFFFF"/>
              </w:rPr>
              <w:t>Aandeel</w:t>
            </w:r>
          </w:p>
        </w:tc>
      </w:tr>
      <w:tr w:rsidRPr="00252ED1" w:rsidR="00F43F5F" w:rsidTr="00AA43D2" w14:paraId="1F601A2D" w14:textId="77777777">
        <w:trPr>
          <w:trHeight w:val="360"/>
        </w:trPr>
        <w:tc>
          <w:tcPr>
            <w:tcW w:w="4820" w:type="dxa"/>
            <w:tcBorders>
              <w:top w:val="single" w:color="00B0F0" w:sz="4" w:space="0"/>
              <w:left w:val="nil"/>
              <w:bottom w:val="single" w:color="00B0F0" w:sz="4" w:space="0"/>
              <w:right w:val="nil"/>
            </w:tcBorders>
            <w:shd w:val="clear" w:color="auto" w:fill="auto"/>
            <w:vAlign w:val="center"/>
            <w:hideMark/>
          </w:tcPr>
          <w:p w:rsidRPr="00252ED1" w:rsidR="00F43F5F" w:rsidP="00F43F5F" w:rsidRDefault="00F43F5F" w14:paraId="5C96622A" w14:textId="77777777">
            <w:pPr>
              <w:spacing w:after="0" w:line="240" w:lineRule="auto"/>
              <w:rPr>
                <w:rFonts w:ascii="Calibri" w:hAnsi="Calibri" w:eastAsia="Times New Roman" w:cs="Calibri"/>
              </w:rPr>
            </w:pPr>
            <w:r w:rsidRPr="00252ED1">
              <w:rPr>
                <w:rFonts w:ascii="Calibri" w:hAnsi="Calibri" w:eastAsia="Times New Roman" w:cs="Calibri"/>
              </w:rPr>
              <w:t>1. Interim-management</w:t>
            </w:r>
          </w:p>
        </w:tc>
        <w:tc>
          <w:tcPr>
            <w:tcW w:w="992" w:type="dxa"/>
            <w:tcBorders>
              <w:top w:val="single" w:color="00B0F0" w:sz="4" w:space="0"/>
              <w:left w:val="nil"/>
              <w:bottom w:val="single" w:color="00B0F0" w:sz="4" w:space="0"/>
              <w:right w:val="nil"/>
            </w:tcBorders>
            <w:shd w:val="clear" w:color="000000" w:fill="FFFFFF"/>
            <w:noWrap/>
            <w:vAlign w:val="center"/>
            <w:hideMark/>
          </w:tcPr>
          <w:p w:rsidRPr="00252ED1" w:rsidR="00F43F5F" w:rsidP="00F43F5F" w:rsidRDefault="00F43F5F" w14:paraId="1040C206" w14:textId="77777777">
            <w:pPr>
              <w:spacing w:after="0" w:line="240" w:lineRule="auto"/>
              <w:jc w:val="right"/>
              <w:rPr>
                <w:rFonts w:ascii="Calibri" w:hAnsi="Calibri" w:eastAsia="Times New Roman" w:cs="Calibri"/>
              </w:rPr>
            </w:pPr>
            <w:r w:rsidRPr="00252ED1">
              <w:rPr>
                <w:rFonts w:ascii="Calibri" w:hAnsi="Calibri" w:eastAsia="Times New Roman" w:cs="Calibri"/>
              </w:rPr>
              <w:t>5%</w:t>
            </w:r>
          </w:p>
        </w:tc>
      </w:tr>
      <w:tr w:rsidRPr="00252ED1" w:rsidR="00F43F5F" w:rsidTr="00AA43D2" w14:paraId="34D01F86" w14:textId="77777777">
        <w:trPr>
          <w:trHeight w:val="480"/>
        </w:trPr>
        <w:tc>
          <w:tcPr>
            <w:tcW w:w="4820" w:type="dxa"/>
            <w:tcBorders>
              <w:top w:val="nil"/>
              <w:left w:val="nil"/>
              <w:bottom w:val="single" w:color="00B0F0" w:sz="4" w:space="0"/>
              <w:right w:val="nil"/>
            </w:tcBorders>
            <w:shd w:val="clear" w:color="auto" w:fill="auto"/>
            <w:vAlign w:val="center"/>
            <w:hideMark/>
          </w:tcPr>
          <w:p w:rsidRPr="00252ED1" w:rsidR="00F43F5F" w:rsidP="00F43F5F" w:rsidRDefault="00F43F5F" w14:paraId="44D8FA74" w14:textId="77777777">
            <w:pPr>
              <w:spacing w:after="0" w:line="240" w:lineRule="auto"/>
              <w:rPr>
                <w:rFonts w:ascii="Calibri" w:hAnsi="Calibri" w:eastAsia="Times New Roman" w:cs="Calibri"/>
              </w:rPr>
            </w:pPr>
            <w:r w:rsidRPr="00252ED1">
              <w:rPr>
                <w:rFonts w:ascii="Calibri" w:hAnsi="Calibri" w:eastAsia="Times New Roman" w:cs="Calibri"/>
              </w:rPr>
              <w:t>2. Organisatie- en formatieadvies</w:t>
            </w:r>
          </w:p>
        </w:tc>
        <w:tc>
          <w:tcPr>
            <w:tcW w:w="992" w:type="dxa"/>
            <w:tcBorders>
              <w:top w:val="nil"/>
              <w:left w:val="nil"/>
              <w:bottom w:val="single" w:color="00B0F0" w:sz="4" w:space="0"/>
              <w:right w:val="nil"/>
            </w:tcBorders>
            <w:shd w:val="clear" w:color="000000" w:fill="FFFFFF"/>
            <w:noWrap/>
            <w:vAlign w:val="center"/>
            <w:hideMark/>
          </w:tcPr>
          <w:p w:rsidRPr="00252ED1" w:rsidR="00F43F5F" w:rsidP="00F43F5F" w:rsidRDefault="00F43F5F" w14:paraId="530D0044" w14:textId="77777777">
            <w:pPr>
              <w:spacing w:after="0" w:line="240" w:lineRule="auto"/>
              <w:jc w:val="right"/>
              <w:rPr>
                <w:rFonts w:ascii="Calibri" w:hAnsi="Calibri" w:eastAsia="Times New Roman" w:cs="Calibri"/>
              </w:rPr>
            </w:pPr>
            <w:r w:rsidRPr="00252ED1">
              <w:rPr>
                <w:rFonts w:ascii="Calibri" w:hAnsi="Calibri" w:eastAsia="Times New Roman" w:cs="Calibri"/>
              </w:rPr>
              <w:t>2%</w:t>
            </w:r>
          </w:p>
        </w:tc>
      </w:tr>
      <w:tr w:rsidRPr="00252ED1" w:rsidR="00F43F5F" w:rsidTr="00AA43D2" w14:paraId="3682C117" w14:textId="77777777">
        <w:trPr>
          <w:trHeight w:val="405"/>
        </w:trPr>
        <w:tc>
          <w:tcPr>
            <w:tcW w:w="4820" w:type="dxa"/>
            <w:tcBorders>
              <w:top w:val="nil"/>
              <w:left w:val="nil"/>
              <w:bottom w:val="single" w:color="00B0F0" w:sz="4" w:space="0"/>
              <w:right w:val="nil"/>
            </w:tcBorders>
            <w:shd w:val="clear" w:color="auto" w:fill="auto"/>
            <w:vAlign w:val="center"/>
            <w:hideMark/>
          </w:tcPr>
          <w:p w:rsidRPr="00252ED1" w:rsidR="00F43F5F" w:rsidP="00F43F5F" w:rsidRDefault="00F43F5F" w14:paraId="2F5623F5" w14:textId="77777777">
            <w:pPr>
              <w:spacing w:after="0" w:line="240" w:lineRule="auto"/>
              <w:rPr>
                <w:rFonts w:ascii="Calibri" w:hAnsi="Calibri" w:eastAsia="Times New Roman" w:cs="Calibri"/>
              </w:rPr>
            </w:pPr>
            <w:r w:rsidRPr="00252ED1">
              <w:rPr>
                <w:rFonts w:ascii="Calibri" w:hAnsi="Calibri" w:eastAsia="Times New Roman" w:cs="Calibri"/>
              </w:rPr>
              <w:t>3. Beleidsadvies</w:t>
            </w:r>
          </w:p>
        </w:tc>
        <w:tc>
          <w:tcPr>
            <w:tcW w:w="992" w:type="dxa"/>
            <w:tcBorders>
              <w:top w:val="nil"/>
              <w:left w:val="nil"/>
              <w:bottom w:val="single" w:color="00B0F0" w:sz="4" w:space="0"/>
              <w:right w:val="nil"/>
            </w:tcBorders>
            <w:shd w:val="clear" w:color="000000" w:fill="FFFFFF"/>
            <w:noWrap/>
            <w:vAlign w:val="center"/>
            <w:hideMark/>
          </w:tcPr>
          <w:p w:rsidRPr="00252ED1" w:rsidR="00F43F5F" w:rsidP="00F43F5F" w:rsidRDefault="00F43F5F" w14:paraId="16AE4466" w14:textId="77777777">
            <w:pPr>
              <w:spacing w:after="0" w:line="240" w:lineRule="auto"/>
              <w:jc w:val="right"/>
              <w:rPr>
                <w:rFonts w:ascii="Calibri" w:hAnsi="Calibri" w:eastAsia="Times New Roman" w:cs="Calibri"/>
              </w:rPr>
            </w:pPr>
            <w:r w:rsidRPr="00252ED1">
              <w:rPr>
                <w:rFonts w:ascii="Calibri" w:hAnsi="Calibri" w:eastAsia="Times New Roman" w:cs="Calibri"/>
              </w:rPr>
              <w:t>3%</w:t>
            </w:r>
          </w:p>
        </w:tc>
      </w:tr>
      <w:tr w:rsidRPr="00252ED1" w:rsidR="00F43F5F" w:rsidTr="00AA43D2" w14:paraId="399E2B12" w14:textId="77777777">
        <w:trPr>
          <w:trHeight w:val="270"/>
        </w:trPr>
        <w:tc>
          <w:tcPr>
            <w:tcW w:w="4820" w:type="dxa"/>
            <w:tcBorders>
              <w:top w:val="nil"/>
              <w:left w:val="nil"/>
              <w:bottom w:val="single" w:color="00B0F0" w:sz="4" w:space="0"/>
              <w:right w:val="nil"/>
            </w:tcBorders>
            <w:shd w:val="clear" w:color="auto" w:fill="auto"/>
            <w:vAlign w:val="center"/>
            <w:hideMark/>
          </w:tcPr>
          <w:p w:rsidRPr="00252ED1" w:rsidR="00F43F5F" w:rsidP="00F43F5F" w:rsidRDefault="00F43F5F" w14:paraId="5136667F" w14:textId="77777777">
            <w:pPr>
              <w:spacing w:after="0" w:line="240" w:lineRule="auto"/>
              <w:rPr>
                <w:rFonts w:ascii="Calibri" w:hAnsi="Calibri" w:eastAsia="Times New Roman" w:cs="Calibri"/>
              </w:rPr>
            </w:pPr>
            <w:r w:rsidRPr="00252ED1">
              <w:rPr>
                <w:rFonts w:ascii="Calibri" w:hAnsi="Calibri" w:eastAsia="Times New Roman" w:cs="Calibri"/>
              </w:rPr>
              <w:t>4. Communicatieadvisering</w:t>
            </w:r>
          </w:p>
        </w:tc>
        <w:tc>
          <w:tcPr>
            <w:tcW w:w="992" w:type="dxa"/>
            <w:tcBorders>
              <w:top w:val="nil"/>
              <w:left w:val="nil"/>
              <w:bottom w:val="single" w:color="00B0F0" w:sz="4" w:space="0"/>
              <w:right w:val="nil"/>
            </w:tcBorders>
            <w:shd w:val="clear" w:color="000000" w:fill="FFFFFF"/>
            <w:noWrap/>
            <w:vAlign w:val="center"/>
            <w:hideMark/>
          </w:tcPr>
          <w:p w:rsidRPr="00252ED1" w:rsidR="00F43F5F" w:rsidP="00F43F5F" w:rsidRDefault="00F43F5F" w14:paraId="2F06F97E" w14:textId="77777777">
            <w:pPr>
              <w:spacing w:after="0" w:line="240" w:lineRule="auto"/>
              <w:jc w:val="right"/>
              <w:rPr>
                <w:rFonts w:ascii="Calibri" w:hAnsi="Calibri" w:eastAsia="Times New Roman" w:cs="Calibri"/>
              </w:rPr>
            </w:pPr>
            <w:r w:rsidRPr="00252ED1">
              <w:rPr>
                <w:rFonts w:ascii="Calibri" w:hAnsi="Calibri" w:eastAsia="Times New Roman" w:cs="Calibri"/>
              </w:rPr>
              <w:t>2%</w:t>
            </w:r>
          </w:p>
        </w:tc>
      </w:tr>
      <w:tr w:rsidRPr="00252ED1" w:rsidR="00F43F5F" w:rsidTr="00AA43D2" w14:paraId="0596A7AA" w14:textId="77777777">
        <w:trPr>
          <w:trHeight w:val="288"/>
        </w:trPr>
        <w:tc>
          <w:tcPr>
            <w:tcW w:w="4820" w:type="dxa"/>
            <w:tcBorders>
              <w:top w:val="nil"/>
              <w:left w:val="nil"/>
              <w:bottom w:val="single" w:color="00B0F0" w:sz="4" w:space="0"/>
              <w:right w:val="nil"/>
            </w:tcBorders>
            <w:shd w:val="clear" w:color="auto" w:fill="auto"/>
            <w:vAlign w:val="center"/>
            <w:hideMark/>
          </w:tcPr>
          <w:p w:rsidRPr="00252ED1" w:rsidR="00F43F5F" w:rsidP="00F43F5F" w:rsidRDefault="00F43F5F" w14:paraId="03E71248" w14:textId="77777777">
            <w:pPr>
              <w:spacing w:after="0" w:line="240" w:lineRule="auto"/>
              <w:rPr>
                <w:rFonts w:ascii="Calibri" w:hAnsi="Calibri" w:eastAsia="Times New Roman" w:cs="Calibri"/>
                <w:b/>
                <w:bCs/>
              </w:rPr>
            </w:pPr>
            <w:r w:rsidRPr="00252ED1">
              <w:rPr>
                <w:rFonts w:ascii="Calibri" w:hAnsi="Calibri" w:eastAsia="Times New Roman" w:cs="Calibri"/>
                <w:b/>
                <w:bCs/>
              </w:rPr>
              <w:t>Totaal Beleid</w:t>
            </w:r>
          </w:p>
        </w:tc>
        <w:tc>
          <w:tcPr>
            <w:tcW w:w="992" w:type="dxa"/>
            <w:tcBorders>
              <w:top w:val="nil"/>
              <w:left w:val="nil"/>
              <w:bottom w:val="single" w:color="00B0F0" w:sz="4" w:space="0"/>
              <w:right w:val="nil"/>
            </w:tcBorders>
            <w:shd w:val="clear" w:color="000000" w:fill="FFFFFF"/>
            <w:noWrap/>
            <w:vAlign w:val="center"/>
            <w:hideMark/>
          </w:tcPr>
          <w:p w:rsidRPr="00252ED1" w:rsidR="00F43F5F" w:rsidP="00F43F5F" w:rsidRDefault="00F43F5F" w14:paraId="52B5053C" w14:textId="77777777">
            <w:pPr>
              <w:spacing w:after="0" w:line="240" w:lineRule="auto"/>
              <w:jc w:val="right"/>
              <w:rPr>
                <w:rFonts w:ascii="Calibri" w:hAnsi="Calibri" w:eastAsia="Times New Roman" w:cs="Calibri"/>
                <w:b/>
                <w:bCs/>
              </w:rPr>
            </w:pPr>
            <w:r w:rsidRPr="00252ED1">
              <w:rPr>
                <w:rFonts w:ascii="Calibri" w:hAnsi="Calibri" w:eastAsia="Times New Roman" w:cs="Calibri"/>
                <w:b/>
                <w:bCs/>
              </w:rPr>
              <w:t>12%</w:t>
            </w:r>
          </w:p>
        </w:tc>
      </w:tr>
      <w:tr w:rsidRPr="00252ED1" w:rsidR="00F43F5F" w:rsidTr="00AA43D2" w14:paraId="1D56CC26" w14:textId="77777777">
        <w:trPr>
          <w:trHeight w:val="288"/>
        </w:trPr>
        <w:tc>
          <w:tcPr>
            <w:tcW w:w="4820" w:type="dxa"/>
            <w:tcBorders>
              <w:top w:val="nil"/>
              <w:left w:val="nil"/>
              <w:bottom w:val="single" w:color="00B0F0" w:sz="4" w:space="0"/>
              <w:right w:val="nil"/>
            </w:tcBorders>
            <w:shd w:val="clear" w:color="auto" w:fill="auto"/>
            <w:vAlign w:val="center"/>
            <w:hideMark/>
          </w:tcPr>
          <w:p w:rsidRPr="00252ED1" w:rsidR="00F43F5F" w:rsidP="00F43F5F" w:rsidRDefault="00F43F5F" w14:paraId="7FAAE890" w14:textId="77777777">
            <w:pPr>
              <w:spacing w:after="0" w:line="240" w:lineRule="auto"/>
              <w:rPr>
                <w:rFonts w:ascii="Calibri" w:hAnsi="Calibri" w:eastAsia="Times New Roman" w:cs="Calibri"/>
              </w:rPr>
            </w:pPr>
            <w:r w:rsidRPr="00252ED1">
              <w:rPr>
                <w:rFonts w:ascii="Calibri" w:hAnsi="Calibri" w:eastAsia="Times New Roman" w:cs="Calibri"/>
              </w:rPr>
              <w:t>5. Juridisch advies</w:t>
            </w:r>
          </w:p>
        </w:tc>
        <w:tc>
          <w:tcPr>
            <w:tcW w:w="992" w:type="dxa"/>
            <w:tcBorders>
              <w:top w:val="nil"/>
              <w:left w:val="nil"/>
              <w:bottom w:val="single" w:color="00B0F0" w:sz="4" w:space="0"/>
              <w:right w:val="nil"/>
            </w:tcBorders>
            <w:shd w:val="clear" w:color="000000" w:fill="FFFFFF"/>
            <w:noWrap/>
            <w:vAlign w:val="center"/>
            <w:hideMark/>
          </w:tcPr>
          <w:p w:rsidRPr="00252ED1" w:rsidR="00F43F5F" w:rsidP="00F43F5F" w:rsidRDefault="00F43F5F" w14:paraId="5AA8EB46" w14:textId="77777777">
            <w:pPr>
              <w:spacing w:after="0" w:line="240" w:lineRule="auto"/>
              <w:jc w:val="right"/>
              <w:rPr>
                <w:rFonts w:ascii="Calibri" w:hAnsi="Calibri" w:eastAsia="Times New Roman" w:cs="Calibri"/>
              </w:rPr>
            </w:pPr>
            <w:r w:rsidRPr="00252ED1">
              <w:rPr>
                <w:rFonts w:ascii="Calibri" w:hAnsi="Calibri" w:eastAsia="Times New Roman" w:cs="Calibri"/>
              </w:rPr>
              <w:t>6%</w:t>
            </w:r>
          </w:p>
        </w:tc>
      </w:tr>
      <w:tr w:rsidRPr="00252ED1" w:rsidR="00F43F5F" w:rsidTr="00AA43D2" w14:paraId="612F2E27" w14:textId="77777777">
        <w:trPr>
          <w:trHeight w:val="390"/>
        </w:trPr>
        <w:tc>
          <w:tcPr>
            <w:tcW w:w="4820" w:type="dxa"/>
            <w:tcBorders>
              <w:top w:val="nil"/>
              <w:left w:val="nil"/>
              <w:bottom w:val="single" w:color="00B0F0" w:sz="4" w:space="0"/>
              <w:right w:val="nil"/>
            </w:tcBorders>
            <w:shd w:val="clear" w:color="auto" w:fill="auto"/>
            <w:vAlign w:val="center"/>
            <w:hideMark/>
          </w:tcPr>
          <w:p w:rsidRPr="00252ED1" w:rsidR="00F43F5F" w:rsidP="00F43F5F" w:rsidRDefault="00F43F5F" w14:paraId="25E2A0FA" w14:textId="77777777">
            <w:pPr>
              <w:spacing w:after="0" w:line="240" w:lineRule="auto"/>
              <w:rPr>
                <w:rFonts w:ascii="Calibri" w:hAnsi="Calibri" w:eastAsia="Times New Roman" w:cs="Calibri"/>
              </w:rPr>
            </w:pPr>
            <w:r w:rsidRPr="00252ED1">
              <w:rPr>
                <w:rFonts w:ascii="Calibri" w:hAnsi="Calibri" w:eastAsia="Times New Roman" w:cs="Calibri"/>
              </w:rPr>
              <w:t>6. Advisering opdrachtgevers automatisering</w:t>
            </w:r>
          </w:p>
        </w:tc>
        <w:tc>
          <w:tcPr>
            <w:tcW w:w="992" w:type="dxa"/>
            <w:tcBorders>
              <w:top w:val="nil"/>
              <w:left w:val="nil"/>
              <w:bottom w:val="single" w:color="00B0F0" w:sz="4" w:space="0"/>
              <w:right w:val="nil"/>
            </w:tcBorders>
            <w:shd w:val="clear" w:color="000000" w:fill="FFFFFF"/>
            <w:noWrap/>
            <w:vAlign w:val="center"/>
            <w:hideMark/>
          </w:tcPr>
          <w:p w:rsidRPr="00252ED1" w:rsidR="00F43F5F" w:rsidP="00F43F5F" w:rsidRDefault="00F43F5F" w14:paraId="02466221" w14:textId="77777777">
            <w:pPr>
              <w:spacing w:after="0" w:line="240" w:lineRule="auto"/>
              <w:jc w:val="right"/>
              <w:rPr>
                <w:rFonts w:ascii="Calibri" w:hAnsi="Calibri" w:eastAsia="Times New Roman" w:cs="Calibri"/>
              </w:rPr>
            </w:pPr>
            <w:r w:rsidRPr="00252ED1">
              <w:rPr>
                <w:rFonts w:ascii="Calibri" w:hAnsi="Calibri" w:eastAsia="Times New Roman" w:cs="Calibri"/>
              </w:rPr>
              <w:t>44%</w:t>
            </w:r>
          </w:p>
        </w:tc>
      </w:tr>
      <w:tr w:rsidRPr="00252ED1" w:rsidR="00F43F5F" w:rsidTr="00AA43D2" w14:paraId="12598A63" w14:textId="77777777">
        <w:trPr>
          <w:trHeight w:val="390"/>
        </w:trPr>
        <w:tc>
          <w:tcPr>
            <w:tcW w:w="4820" w:type="dxa"/>
            <w:tcBorders>
              <w:top w:val="nil"/>
              <w:left w:val="nil"/>
              <w:bottom w:val="single" w:color="00B0F0" w:sz="4" w:space="0"/>
              <w:right w:val="nil"/>
            </w:tcBorders>
            <w:shd w:val="clear" w:color="auto" w:fill="auto"/>
            <w:vAlign w:val="center"/>
            <w:hideMark/>
          </w:tcPr>
          <w:p w:rsidRPr="00252ED1" w:rsidR="00F43F5F" w:rsidP="00F43F5F" w:rsidRDefault="00F43F5F" w14:paraId="6A0A87C7" w14:textId="77777777">
            <w:pPr>
              <w:spacing w:after="0" w:line="240" w:lineRule="auto"/>
              <w:rPr>
                <w:rFonts w:ascii="Calibri" w:hAnsi="Calibri" w:eastAsia="Times New Roman" w:cs="Calibri"/>
              </w:rPr>
            </w:pPr>
            <w:r w:rsidRPr="00252ED1">
              <w:rPr>
                <w:rFonts w:ascii="Calibri" w:hAnsi="Calibri" w:eastAsia="Times New Roman" w:cs="Calibri"/>
              </w:rPr>
              <w:t>7. Accountancy, financiële en administratieve organisatie</w:t>
            </w:r>
          </w:p>
        </w:tc>
        <w:tc>
          <w:tcPr>
            <w:tcW w:w="992" w:type="dxa"/>
            <w:tcBorders>
              <w:top w:val="nil"/>
              <w:left w:val="nil"/>
              <w:bottom w:val="single" w:color="00B0F0" w:sz="4" w:space="0"/>
              <w:right w:val="nil"/>
            </w:tcBorders>
            <w:shd w:val="clear" w:color="000000" w:fill="FFFFFF"/>
            <w:noWrap/>
            <w:vAlign w:val="center"/>
            <w:hideMark/>
          </w:tcPr>
          <w:p w:rsidRPr="00252ED1" w:rsidR="00F43F5F" w:rsidP="00F43F5F" w:rsidRDefault="00F43F5F" w14:paraId="3107C692" w14:textId="77777777">
            <w:pPr>
              <w:spacing w:after="0" w:line="240" w:lineRule="auto"/>
              <w:jc w:val="right"/>
              <w:rPr>
                <w:rFonts w:ascii="Calibri" w:hAnsi="Calibri" w:eastAsia="Times New Roman" w:cs="Calibri"/>
              </w:rPr>
            </w:pPr>
            <w:r w:rsidRPr="00252ED1">
              <w:rPr>
                <w:rFonts w:ascii="Calibri" w:hAnsi="Calibri" w:eastAsia="Times New Roman" w:cs="Calibri"/>
              </w:rPr>
              <w:t>8%</w:t>
            </w:r>
          </w:p>
        </w:tc>
      </w:tr>
      <w:tr w:rsidRPr="00252ED1" w:rsidR="00F43F5F" w:rsidTr="00AA43D2" w14:paraId="3CFCCD78" w14:textId="77777777">
        <w:trPr>
          <w:trHeight w:val="495"/>
        </w:trPr>
        <w:tc>
          <w:tcPr>
            <w:tcW w:w="4820" w:type="dxa"/>
            <w:tcBorders>
              <w:top w:val="nil"/>
              <w:left w:val="nil"/>
              <w:bottom w:val="single" w:color="00B0F0" w:sz="4" w:space="0"/>
              <w:right w:val="nil"/>
            </w:tcBorders>
            <w:shd w:val="clear" w:color="auto" w:fill="auto"/>
            <w:vAlign w:val="center"/>
            <w:hideMark/>
          </w:tcPr>
          <w:p w:rsidRPr="00252ED1" w:rsidR="00F43F5F" w:rsidP="00F43F5F" w:rsidRDefault="00F43F5F" w14:paraId="101EA60D" w14:textId="77777777">
            <w:pPr>
              <w:spacing w:after="0" w:line="240" w:lineRule="auto"/>
              <w:rPr>
                <w:rFonts w:ascii="Calibri" w:hAnsi="Calibri" w:eastAsia="Times New Roman" w:cs="Calibri"/>
                <w:b/>
                <w:bCs/>
              </w:rPr>
            </w:pPr>
            <w:r w:rsidRPr="00252ED1">
              <w:rPr>
                <w:rFonts w:ascii="Calibri" w:hAnsi="Calibri" w:eastAsia="Times New Roman" w:cs="Calibri"/>
                <w:b/>
                <w:bCs/>
              </w:rPr>
              <w:lastRenderedPageBreak/>
              <w:t>Totaal (</w:t>
            </w:r>
            <w:proofErr w:type="spellStart"/>
            <w:r w:rsidRPr="00252ED1">
              <w:rPr>
                <w:rFonts w:ascii="Calibri" w:hAnsi="Calibri" w:eastAsia="Times New Roman" w:cs="Calibri"/>
                <w:b/>
                <w:bCs/>
              </w:rPr>
              <w:t>beleids</w:t>
            </w:r>
            <w:proofErr w:type="spellEnd"/>
            <w:r w:rsidRPr="00252ED1">
              <w:rPr>
                <w:rFonts w:ascii="Calibri" w:hAnsi="Calibri" w:eastAsia="Times New Roman" w:cs="Calibri"/>
                <w:b/>
                <w:bCs/>
              </w:rPr>
              <w:t>)ondersteunend</w:t>
            </w:r>
          </w:p>
        </w:tc>
        <w:tc>
          <w:tcPr>
            <w:tcW w:w="992" w:type="dxa"/>
            <w:tcBorders>
              <w:top w:val="nil"/>
              <w:left w:val="nil"/>
              <w:bottom w:val="single" w:color="00B0F0" w:sz="4" w:space="0"/>
              <w:right w:val="nil"/>
            </w:tcBorders>
            <w:shd w:val="clear" w:color="000000" w:fill="FFFFFF"/>
            <w:noWrap/>
            <w:vAlign w:val="center"/>
            <w:hideMark/>
          </w:tcPr>
          <w:p w:rsidRPr="00252ED1" w:rsidR="00F43F5F" w:rsidP="00F43F5F" w:rsidRDefault="00F43F5F" w14:paraId="02D4E90A" w14:textId="77777777">
            <w:pPr>
              <w:spacing w:after="0" w:line="240" w:lineRule="auto"/>
              <w:jc w:val="right"/>
              <w:rPr>
                <w:rFonts w:ascii="Calibri" w:hAnsi="Calibri" w:eastAsia="Times New Roman" w:cs="Calibri"/>
                <w:b/>
                <w:bCs/>
              </w:rPr>
            </w:pPr>
            <w:r w:rsidRPr="00252ED1">
              <w:rPr>
                <w:rFonts w:ascii="Calibri" w:hAnsi="Calibri" w:eastAsia="Times New Roman" w:cs="Calibri"/>
                <w:b/>
                <w:bCs/>
              </w:rPr>
              <w:t>59%</w:t>
            </w:r>
          </w:p>
        </w:tc>
      </w:tr>
      <w:tr w:rsidRPr="00252ED1" w:rsidR="00F43F5F" w:rsidTr="00AA43D2" w14:paraId="2E254FA7" w14:textId="77777777">
        <w:trPr>
          <w:trHeight w:val="360"/>
        </w:trPr>
        <w:tc>
          <w:tcPr>
            <w:tcW w:w="4820" w:type="dxa"/>
            <w:tcBorders>
              <w:top w:val="nil"/>
              <w:left w:val="nil"/>
              <w:bottom w:val="single" w:color="00B0F0" w:sz="4" w:space="0"/>
              <w:right w:val="nil"/>
            </w:tcBorders>
            <w:shd w:val="clear" w:color="auto" w:fill="auto"/>
            <w:vAlign w:val="center"/>
            <w:hideMark/>
          </w:tcPr>
          <w:p w:rsidRPr="00252ED1" w:rsidR="00F43F5F" w:rsidP="00F43F5F" w:rsidRDefault="00F43F5F" w14:paraId="49634E36" w14:textId="77777777">
            <w:pPr>
              <w:spacing w:after="0" w:line="240" w:lineRule="auto"/>
              <w:rPr>
                <w:rFonts w:ascii="Calibri" w:hAnsi="Calibri" w:eastAsia="Times New Roman" w:cs="Calibri"/>
              </w:rPr>
            </w:pPr>
            <w:r w:rsidRPr="00252ED1">
              <w:rPr>
                <w:rFonts w:ascii="Calibri" w:hAnsi="Calibri" w:eastAsia="Times New Roman" w:cs="Calibri"/>
              </w:rPr>
              <w:t>8. Uitvoering (formatie en piek)</w:t>
            </w:r>
          </w:p>
        </w:tc>
        <w:tc>
          <w:tcPr>
            <w:tcW w:w="992" w:type="dxa"/>
            <w:tcBorders>
              <w:top w:val="nil"/>
              <w:left w:val="nil"/>
              <w:bottom w:val="single" w:color="00B0F0" w:sz="4" w:space="0"/>
              <w:right w:val="nil"/>
            </w:tcBorders>
            <w:shd w:val="clear" w:color="000000" w:fill="FFFFFF"/>
            <w:noWrap/>
            <w:vAlign w:val="center"/>
            <w:hideMark/>
          </w:tcPr>
          <w:p w:rsidRPr="00252ED1" w:rsidR="00F43F5F" w:rsidP="00F43F5F" w:rsidRDefault="00F43F5F" w14:paraId="01BC4164" w14:textId="77777777">
            <w:pPr>
              <w:spacing w:after="0" w:line="240" w:lineRule="auto"/>
              <w:jc w:val="right"/>
              <w:rPr>
                <w:rFonts w:ascii="Calibri" w:hAnsi="Calibri" w:eastAsia="Times New Roman" w:cs="Calibri"/>
              </w:rPr>
            </w:pPr>
            <w:r w:rsidRPr="00252ED1">
              <w:rPr>
                <w:rFonts w:ascii="Calibri" w:hAnsi="Calibri" w:eastAsia="Times New Roman" w:cs="Calibri"/>
              </w:rPr>
              <w:t>29%</w:t>
            </w:r>
          </w:p>
        </w:tc>
      </w:tr>
      <w:tr w:rsidRPr="00252ED1" w:rsidR="00F43F5F" w:rsidTr="00AA43D2" w14:paraId="57790BA0" w14:textId="77777777">
        <w:trPr>
          <w:trHeight w:val="450"/>
        </w:trPr>
        <w:tc>
          <w:tcPr>
            <w:tcW w:w="4820" w:type="dxa"/>
            <w:tcBorders>
              <w:top w:val="nil"/>
              <w:left w:val="nil"/>
              <w:bottom w:val="single" w:color="00B0F0" w:sz="4" w:space="0"/>
              <w:right w:val="nil"/>
            </w:tcBorders>
            <w:shd w:val="clear" w:color="auto" w:fill="auto"/>
            <w:vAlign w:val="center"/>
            <w:hideMark/>
          </w:tcPr>
          <w:p w:rsidRPr="00252ED1" w:rsidR="00F43F5F" w:rsidP="00F43F5F" w:rsidRDefault="00F43F5F" w14:paraId="686D8798" w14:textId="77777777">
            <w:pPr>
              <w:spacing w:after="0" w:line="240" w:lineRule="auto"/>
              <w:rPr>
                <w:rFonts w:ascii="Calibri" w:hAnsi="Calibri" w:eastAsia="Times New Roman" w:cs="Calibri"/>
                <w:b/>
                <w:bCs/>
              </w:rPr>
            </w:pPr>
            <w:r w:rsidRPr="00252ED1">
              <w:rPr>
                <w:rFonts w:ascii="Calibri" w:hAnsi="Calibri" w:eastAsia="Times New Roman" w:cs="Calibri"/>
                <w:b/>
                <w:bCs/>
              </w:rPr>
              <w:t>Totaal ondersteuning bedrijfsvoering</w:t>
            </w:r>
          </w:p>
        </w:tc>
        <w:tc>
          <w:tcPr>
            <w:tcW w:w="992" w:type="dxa"/>
            <w:tcBorders>
              <w:top w:val="nil"/>
              <w:left w:val="nil"/>
              <w:bottom w:val="single" w:color="00B0F0" w:sz="4" w:space="0"/>
              <w:right w:val="nil"/>
            </w:tcBorders>
            <w:shd w:val="clear" w:color="000000" w:fill="FFFFFF"/>
            <w:noWrap/>
            <w:vAlign w:val="center"/>
            <w:hideMark/>
          </w:tcPr>
          <w:p w:rsidRPr="00252ED1" w:rsidR="00F43F5F" w:rsidP="00F43F5F" w:rsidRDefault="00F43F5F" w14:paraId="4CF7BF77" w14:textId="77777777">
            <w:pPr>
              <w:spacing w:after="0" w:line="240" w:lineRule="auto"/>
              <w:jc w:val="right"/>
              <w:rPr>
                <w:rFonts w:ascii="Calibri" w:hAnsi="Calibri" w:eastAsia="Times New Roman" w:cs="Calibri"/>
                <w:b/>
                <w:bCs/>
              </w:rPr>
            </w:pPr>
            <w:r w:rsidRPr="00252ED1">
              <w:rPr>
                <w:rFonts w:ascii="Calibri" w:hAnsi="Calibri" w:eastAsia="Times New Roman" w:cs="Calibri"/>
                <w:b/>
                <w:bCs/>
              </w:rPr>
              <w:t>29%</w:t>
            </w:r>
          </w:p>
        </w:tc>
      </w:tr>
      <w:tr w:rsidRPr="00252ED1" w:rsidR="00F43F5F" w:rsidTr="00AA43D2" w14:paraId="42DBB484" w14:textId="77777777">
        <w:trPr>
          <w:trHeight w:val="450"/>
        </w:trPr>
        <w:tc>
          <w:tcPr>
            <w:tcW w:w="4820" w:type="dxa"/>
            <w:tcBorders>
              <w:top w:val="nil"/>
              <w:left w:val="nil"/>
              <w:bottom w:val="single" w:color="00B0F0" w:sz="4" w:space="0"/>
              <w:right w:val="nil"/>
            </w:tcBorders>
            <w:shd w:val="clear" w:color="auto" w:fill="auto"/>
            <w:vAlign w:val="center"/>
            <w:hideMark/>
          </w:tcPr>
          <w:p w:rsidRPr="00252ED1" w:rsidR="00F43F5F" w:rsidP="00F43F5F" w:rsidRDefault="00F43F5F" w14:paraId="59BFD955" w14:textId="77777777">
            <w:pPr>
              <w:spacing w:after="0" w:line="240" w:lineRule="auto"/>
              <w:rPr>
                <w:rFonts w:ascii="Calibri" w:hAnsi="Calibri" w:eastAsia="Times New Roman" w:cs="Calibri"/>
                <w:b/>
                <w:bCs/>
              </w:rPr>
            </w:pPr>
            <w:r w:rsidRPr="00252ED1">
              <w:rPr>
                <w:rFonts w:ascii="Calibri" w:hAnsi="Calibri" w:eastAsia="Times New Roman" w:cs="Calibri"/>
                <w:b/>
                <w:bCs/>
              </w:rPr>
              <w:t>Totale uitgaven aan externe inhuur</w:t>
            </w:r>
          </w:p>
        </w:tc>
        <w:tc>
          <w:tcPr>
            <w:tcW w:w="992" w:type="dxa"/>
            <w:tcBorders>
              <w:top w:val="nil"/>
              <w:left w:val="nil"/>
              <w:bottom w:val="single" w:color="00B0F0" w:sz="4" w:space="0"/>
              <w:right w:val="nil"/>
            </w:tcBorders>
            <w:shd w:val="clear" w:color="000000" w:fill="FFFFFF"/>
            <w:noWrap/>
            <w:vAlign w:val="center"/>
            <w:hideMark/>
          </w:tcPr>
          <w:p w:rsidRPr="00252ED1" w:rsidR="00F43F5F" w:rsidP="00F43F5F" w:rsidRDefault="00F43F5F" w14:paraId="30017469" w14:textId="77777777">
            <w:pPr>
              <w:spacing w:after="0" w:line="240" w:lineRule="auto"/>
              <w:jc w:val="right"/>
              <w:rPr>
                <w:rFonts w:ascii="Calibri" w:hAnsi="Calibri" w:eastAsia="Times New Roman" w:cs="Calibri"/>
                <w:b/>
                <w:bCs/>
              </w:rPr>
            </w:pPr>
            <w:r w:rsidRPr="00252ED1">
              <w:rPr>
                <w:rFonts w:ascii="Calibri" w:hAnsi="Calibri" w:eastAsia="Times New Roman" w:cs="Calibri"/>
                <w:b/>
                <w:bCs/>
              </w:rPr>
              <w:t>100%</w:t>
            </w:r>
          </w:p>
        </w:tc>
      </w:tr>
    </w:tbl>
    <w:p w:rsidRPr="00252ED1" w:rsidR="00F43F5F" w:rsidP="00F43F5F" w:rsidRDefault="00F43F5F" w14:paraId="01A8F3AA" w14:textId="77777777">
      <w:pPr>
        <w:widowControl w:val="0"/>
        <w:tabs>
          <w:tab w:val="left" w:pos="840"/>
        </w:tabs>
        <w:autoSpaceDE w:val="0"/>
        <w:spacing w:after="0" w:line="240" w:lineRule="auto"/>
        <w:rPr>
          <w:rFonts w:ascii="Calibri" w:hAnsi="Calibri" w:cs="Calibri"/>
        </w:rPr>
      </w:pPr>
      <w:r w:rsidRPr="00252ED1">
        <w:rPr>
          <w:rFonts w:ascii="Calibri" w:hAnsi="Calibri" w:cs="Calibri"/>
        </w:rPr>
        <w:t xml:space="preserve"> Bron: JBR 2023</w:t>
      </w:r>
    </w:p>
    <w:p w:rsidRPr="00252ED1" w:rsidR="00F43F5F" w:rsidP="00F43F5F" w:rsidRDefault="00F43F5F" w14:paraId="49986DB7" w14:textId="77777777">
      <w:pPr>
        <w:pStyle w:val="Lijstalinea"/>
        <w:widowControl w:val="0"/>
        <w:tabs>
          <w:tab w:val="left" w:pos="840"/>
        </w:tabs>
        <w:autoSpaceDE w:val="0"/>
        <w:autoSpaceDN w:val="0"/>
        <w:spacing w:after="0" w:line="240" w:lineRule="auto"/>
        <w:ind w:left="360"/>
        <w:contextualSpacing w:val="0"/>
        <w:rPr>
          <w:rFonts w:ascii="Calibri" w:hAnsi="Calibri" w:cs="Calibri"/>
          <w:spacing w:val="-2"/>
        </w:rPr>
      </w:pPr>
    </w:p>
    <w:p w:rsidRPr="00252ED1" w:rsidR="00F43F5F" w:rsidP="00F43F5F" w:rsidRDefault="00F43F5F" w14:paraId="77B5DEB8" w14:textId="77777777">
      <w:pPr>
        <w:pStyle w:val="Lijstalinea"/>
        <w:widowControl w:val="0"/>
        <w:tabs>
          <w:tab w:val="left" w:pos="840"/>
        </w:tabs>
        <w:autoSpaceDE w:val="0"/>
        <w:autoSpaceDN w:val="0"/>
        <w:spacing w:after="0" w:line="240" w:lineRule="atLeast"/>
        <w:ind w:left="0"/>
        <w:contextualSpacing w:val="0"/>
        <w:rPr>
          <w:rFonts w:ascii="Calibri" w:hAnsi="Calibri" w:cs="Calibri"/>
        </w:rPr>
      </w:pPr>
    </w:p>
    <w:p w:rsidRPr="00252ED1" w:rsidR="00F43F5F" w:rsidP="00F43F5F" w:rsidRDefault="00F43F5F" w14:paraId="172E2AF6" w14:textId="77777777">
      <w:pPr>
        <w:pStyle w:val="Lijstalinea"/>
        <w:widowControl w:val="0"/>
        <w:tabs>
          <w:tab w:val="left" w:pos="840"/>
        </w:tabs>
        <w:autoSpaceDE w:val="0"/>
        <w:autoSpaceDN w:val="0"/>
        <w:spacing w:after="0" w:line="240" w:lineRule="atLeast"/>
        <w:ind w:left="0"/>
        <w:contextualSpacing w:val="0"/>
        <w:rPr>
          <w:rFonts w:ascii="Calibri" w:hAnsi="Calibri" w:cs="Calibri"/>
        </w:rPr>
      </w:pPr>
      <w:r w:rsidRPr="00252ED1">
        <w:rPr>
          <w:rFonts w:ascii="Calibri" w:hAnsi="Calibri" w:cs="Calibri"/>
        </w:rPr>
        <w:t xml:space="preserve">Uit de tabel blijkt dat in 2023 het meest werd ingehuurd voor ICT werkzaamheden (44% van de uitgaven externe inhuur) en voor formatie en piekwerkzaamheden bij de uitvoeringsorganisaties (29% van de uitgaven externe inhuur). </w:t>
      </w:r>
    </w:p>
    <w:p w:rsidRPr="00252ED1" w:rsidR="00F43F5F" w:rsidP="00F43F5F" w:rsidRDefault="00F43F5F" w14:paraId="6132EB6B" w14:textId="77777777">
      <w:pPr>
        <w:pStyle w:val="Lijstalinea"/>
        <w:widowControl w:val="0"/>
        <w:tabs>
          <w:tab w:val="left" w:pos="840"/>
        </w:tabs>
        <w:autoSpaceDE w:val="0"/>
        <w:autoSpaceDN w:val="0"/>
        <w:spacing w:after="0" w:line="240" w:lineRule="atLeast"/>
        <w:ind w:left="0"/>
        <w:contextualSpacing w:val="0"/>
        <w:rPr>
          <w:rFonts w:ascii="Calibri" w:hAnsi="Calibri" w:cs="Calibri"/>
        </w:rPr>
      </w:pPr>
    </w:p>
    <w:p w:rsidRPr="00252ED1" w:rsidR="00F43F5F" w:rsidP="00F43F5F" w:rsidRDefault="00F43F5F" w14:paraId="797E4FB8" w14:textId="77777777">
      <w:pPr>
        <w:spacing w:after="0"/>
        <w:rPr>
          <w:rFonts w:ascii="Calibri" w:hAnsi="Calibri" w:cs="Calibri"/>
        </w:rPr>
      </w:pPr>
      <w:r w:rsidRPr="00252ED1">
        <w:rPr>
          <w:rFonts w:ascii="Calibri" w:hAnsi="Calibri" w:cs="Calibri"/>
        </w:rPr>
        <w:t xml:space="preserve">In wat volgt ga ik eerst in op het onderzoek van de ADR, </w:t>
      </w:r>
      <w:proofErr w:type="spellStart"/>
      <w:r w:rsidRPr="00252ED1">
        <w:rPr>
          <w:rFonts w:ascii="Calibri" w:hAnsi="Calibri" w:cs="Calibri"/>
        </w:rPr>
        <w:t>Rijksbreed</w:t>
      </w:r>
      <w:proofErr w:type="spellEnd"/>
      <w:r w:rsidRPr="00252ED1">
        <w:rPr>
          <w:rFonts w:ascii="Calibri" w:hAnsi="Calibri" w:cs="Calibri"/>
        </w:rPr>
        <w:t xml:space="preserve"> onderzoek externe inhuur, en de strategische aanpak voor een duurzame ICT arbeidsmarkt om vervolgens aan te geven welke acties reeds zijn ondernomen en welke maatregelen (mogelijk) nog in gang worden gezet.</w:t>
      </w:r>
    </w:p>
    <w:p w:rsidRPr="00252ED1" w:rsidR="00F43F5F" w:rsidP="00F43F5F" w:rsidRDefault="00F43F5F" w14:paraId="7DC53C9A" w14:textId="77777777">
      <w:pPr>
        <w:pStyle w:val="Lijstalinea"/>
        <w:widowControl w:val="0"/>
        <w:tabs>
          <w:tab w:val="left" w:pos="840"/>
        </w:tabs>
        <w:autoSpaceDE w:val="0"/>
        <w:autoSpaceDN w:val="0"/>
        <w:spacing w:after="0" w:line="240" w:lineRule="atLeast"/>
        <w:ind w:left="0"/>
        <w:contextualSpacing w:val="0"/>
        <w:rPr>
          <w:rFonts w:ascii="Calibri" w:hAnsi="Calibri" w:cs="Calibri"/>
        </w:rPr>
      </w:pPr>
    </w:p>
    <w:p w:rsidRPr="00252ED1" w:rsidR="00F43F5F" w:rsidP="00F43F5F" w:rsidRDefault="00F43F5F" w14:paraId="12B2DC68" w14:textId="77777777">
      <w:pPr>
        <w:spacing w:after="0"/>
        <w:rPr>
          <w:rFonts w:ascii="Calibri" w:hAnsi="Calibri" w:cs="Calibri"/>
          <w:b/>
          <w:bCs/>
          <w:u w:val="single"/>
        </w:rPr>
      </w:pPr>
      <w:r w:rsidRPr="00252ED1">
        <w:rPr>
          <w:rFonts w:ascii="Calibri" w:hAnsi="Calibri" w:cs="Calibri"/>
          <w:b/>
          <w:bCs/>
          <w:u w:val="single"/>
        </w:rPr>
        <w:t xml:space="preserve">Onderzoek ADR: </w:t>
      </w:r>
      <w:proofErr w:type="spellStart"/>
      <w:r w:rsidRPr="00252ED1">
        <w:rPr>
          <w:rFonts w:ascii="Calibri" w:hAnsi="Calibri" w:cs="Calibri"/>
          <w:b/>
          <w:bCs/>
          <w:u w:val="single"/>
        </w:rPr>
        <w:t>Rijksbreed</w:t>
      </w:r>
      <w:proofErr w:type="spellEnd"/>
      <w:r w:rsidRPr="00252ED1">
        <w:rPr>
          <w:rFonts w:ascii="Calibri" w:hAnsi="Calibri" w:cs="Calibri"/>
          <w:b/>
          <w:bCs/>
          <w:u w:val="single"/>
        </w:rPr>
        <w:t xml:space="preserve"> onderzoek externe inhuur</w:t>
      </w:r>
    </w:p>
    <w:p w:rsidRPr="00252ED1" w:rsidR="00F43F5F" w:rsidP="00F43F5F" w:rsidRDefault="00F43F5F" w14:paraId="72BE2A04" w14:textId="77777777">
      <w:pPr>
        <w:spacing w:after="0"/>
        <w:rPr>
          <w:rFonts w:ascii="Calibri" w:hAnsi="Calibri" w:cs="Calibri"/>
          <w:b/>
          <w:bCs/>
          <w:u w:val="single"/>
        </w:rPr>
      </w:pPr>
    </w:p>
    <w:p w:rsidRPr="00252ED1" w:rsidR="00F43F5F" w:rsidP="00F43F5F" w:rsidRDefault="00F43F5F" w14:paraId="045ECA0D" w14:textId="77777777">
      <w:pPr>
        <w:pStyle w:val="Lijstalinea"/>
        <w:spacing w:after="0" w:line="240" w:lineRule="atLeast"/>
        <w:ind w:left="0"/>
        <w:rPr>
          <w:rFonts w:ascii="Calibri" w:hAnsi="Calibri" w:cs="Calibri"/>
        </w:rPr>
      </w:pPr>
      <w:r w:rsidRPr="00252ED1">
        <w:rPr>
          <w:rFonts w:ascii="Calibri" w:hAnsi="Calibri" w:cs="Calibri"/>
        </w:rPr>
        <w:t>Ik heb de Auditdienst Rijk (ADR) gevraagd een onderzoek uit te voeren waarin zij de nadere verdeling van de externe inhuur over de periode 2018 tot en met 2023 per departement (uitgesplitst in kerndepartement, uitvoeringsorganisaties en/of agentschappen) onderzoekt om diepgaander inzicht te geven in de oorzaken van de overschrijdingen van de Roemernorm, de sturing en beheersing, de mogelijke consequenties bij een strikte toepassing van de Roemernorm en aanbevelingen te formuleren aan de ministeries en hun uitvoeringsorganisaties. De belangrijkste bevindingen treft u hieronder aan.</w:t>
      </w:r>
      <w:r w:rsidRPr="00252ED1">
        <w:rPr>
          <w:rStyle w:val="Voetnootmarkering"/>
          <w:rFonts w:ascii="Calibri" w:hAnsi="Calibri" w:cs="Calibri"/>
        </w:rPr>
        <w:footnoteReference w:id="9"/>
      </w:r>
      <w:r w:rsidRPr="00252ED1">
        <w:rPr>
          <w:rFonts w:ascii="Calibri" w:hAnsi="Calibri" w:cs="Calibri"/>
        </w:rPr>
        <w:t xml:space="preserve"> </w:t>
      </w:r>
    </w:p>
    <w:p w:rsidRPr="00252ED1" w:rsidR="00F43F5F" w:rsidP="00F43F5F" w:rsidRDefault="00F43F5F" w14:paraId="437A0C18" w14:textId="77777777">
      <w:pPr>
        <w:pStyle w:val="Kop4"/>
        <w:spacing w:after="0"/>
        <w:rPr>
          <w:rFonts w:ascii="Calibri" w:hAnsi="Calibri" w:cs="Calibri"/>
          <w:b/>
          <w:bCs/>
          <w:color w:val="000000" w:themeColor="text1"/>
        </w:rPr>
      </w:pPr>
      <w:r w:rsidRPr="00252ED1">
        <w:rPr>
          <w:rFonts w:ascii="Calibri" w:hAnsi="Calibri" w:cs="Calibri"/>
          <w:b/>
          <w:bCs/>
          <w:color w:val="000000" w:themeColor="text1"/>
        </w:rPr>
        <w:t>Enkele feiten</w:t>
      </w:r>
    </w:p>
    <w:p w:rsidRPr="00252ED1" w:rsidR="00F43F5F" w:rsidP="00F43F5F" w:rsidRDefault="00F43F5F" w14:paraId="3C2ED77A" w14:textId="77777777">
      <w:pPr>
        <w:spacing w:after="0"/>
        <w:rPr>
          <w:rFonts w:ascii="Calibri" w:hAnsi="Calibri" w:cs="Calibri"/>
        </w:rPr>
      </w:pPr>
      <w:r w:rsidRPr="00252ED1">
        <w:rPr>
          <w:rFonts w:ascii="Calibri" w:hAnsi="Calibri" w:cs="Calibri"/>
        </w:rPr>
        <w:t xml:space="preserve">De totale uitgaven </w:t>
      </w:r>
      <w:proofErr w:type="spellStart"/>
      <w:r w:rsidRPr="00252ED1">
        <w:rPr>
          <w:rFonts w:ascii="Calibri" w:hAnsi="Calibri" w:cs="Calibri"/>
        </w:rPr>
        <w:t>rijksbreed</w:t>
      </w:r>
      <w:proofErr w:type="spellEnd"/>
      <w:r w:rsidRPr="00252ED1">
        <w:rPr>
          <w:rFonts w:ascii="Calibri" w:hAnsi="Calibri" w:cs="Calibri"/>
        </w:rPr>
        <w:t xml:space="preserve"> aan externe inhuur ten opzichte van de totale personele uitgaven </w:t>
      </w:r>
      <w:proofErr w:type="spellStart"/>
      <w:r w:rsidRPr="00252ED1">
        <w:rPr>
          <w:rFonts w:ascii="Calibri" w:hAnsi="Calibri" w:cs="Calibri"/>
        </w:rPr>
        <w:t>rijksbreed</w:t>
      </w:r>
      <w:proofErr w:type="spellEnd"/>
      <w:r w:rsidRPr="00252ED1">
        <w:rPr>
          <w:rFonts w:ascii="Calibri" w:hAnsi="Calibri" w:cs="Calibri"/>
        </w:rPr>
        <w:t xml:space="preserve"> liggen rond de 13% over er periode 2018-2023 en zijn over die periode toegenomen van circa 10% in 2018 tot circa 15% in 2023. </w:t>
      </w:r>
    </w:p>
    <w:p w:rsidRPr="00252ED1" w:rsidR="00F43F5F" w:rsidP="00F43F5F" w:rsidRDefault="00F43F5F" w14:paraId="6C0D263B" w14:textId="77777777">
      <w:pPr>
        <w:spacing w:after="0"/>
        <w:rPr>
          <w:rFonts w:ascii="Calibri" w:hAnsi="Calibri" w:cs="Calibri"/>
        </w:rPr>
      </w:pPr>
      <w:r w:rsidRPr="00252ED1">
        <w:rPr>
          <w:rFonts w:ascii="Calibri" w:hAnsi="Calibri" w:cs="Calibri"/>
        </w:rPr>
        <w:t xml:space="preserve">De externe inhuur bij de kerndepartementen ligt in de meeste gevallen beneden de 10%. Externe inhuur moet worden verantwoord in 8 verschillende categorieën. Twee inhuurcategorieën samen bepalen circa 80% van de gehele externe inhuur, over de hele periode 2018-2023: categorie 6. Advisering opdrachtgevers automatisering-ICT voor circa 43% en categorie 8. Uitzendkrachten (formatie en piek) voor circa 38%. Bij Beleid wordt 11% ingehuurd. De meeste externe inhuur zit bij de grotere, vaak (maar niet altijd) ICT-gedreven uitvoeringsorganisaties en bij de crisisorganisaties. </w:t>
      </w:r>
    </w:p>
    <w:p w:rsidRPr="00252ED1" w:rsidR="00F43F5F" w:rsidP="00F43F5F" w:rsidRDefault="00F43F5F" w14:paraId="4F808724" w14:textId="77777777">
      <w:pPr>
        <w:spacing w:after="0"/>
        <w:rPr>
          <w:rFonts w:ascii="Calibri" w:hAnsi="Calibri" w:cs="Calibri"/>
        </w:rPr>
      </w:pPr>
    </w:p>
    <w:p w:rsidRPr="00252ED1" w:rsidR="00F43F5F" w:rsidP="00F43F5F" w:rsidRDefault="00F43F5F" w14:paraId="10CD4487" w14:textId="77777777">
      <w:pPr>
        <w:spacing w:after="0"/>
        <w:rPr>
          <w:rFonts w:ascii="Calibri" w:hAnsi="Calibri" w:cs="Calibri"/>
          <w:noProof/>
          <w:u w:val="single"/>
        </w:rPr>
      </w:pPr>
      <w:r w:rsidRPr="00252ED1">
        <w:rPr>
          <w:rFonts w:ascii="Calibri" w:hAnsi="Calibri" w:cs="Calibri"/>
        </w:rPr>
        <w:lastRenderedPageBreak/>
        <w:t xml:space="preserve">In onderstaande figuur, afkomstig uit het ADR onderzoek, is de verdeling van uitgaven externe inhuur voor de jaren 2018-2023 voor de gehele rijksdienst per categorie </w:t>
      </w:r>
      <w:r w:rsidRPr="00252ED1">
        <w:rPr>
          <w:rFonts w:ascii="Calibri" w:hAnsi="Calibri" w:cs="Calibri"/>
          <w:u w:val="single"/>
        </w:rPr>
        <w:t>in percentages</w:t>
      </w:r>
      <w:r w:rsidRPr="00252ED1">
        <w:rPr>
          <w:rFonts w:ascii="Calibri" w:hAnsi="Calibri" w:cs="Calibri"/>
        </w:rPr>
        <w:t xml:space="preserve"> weergegeven:</w:t>
      </w:r>
      <w:r w:rsidRPr="00252ED1">
        <w:rPr>
          <w:rFonts w:ascii="Calibri" w:hAnsi="Calibri" w:cs="Calibri"/>
          <w:noProof/>
          <w:u w:val="single"/>
        </w:rPr>
        <w:t xml:space="preserve"> </w:t>
      </w:r>
    </w:p>
    <w:p w:rsidRPr="00252ED1" w:rsidR="00F43F5F" w:rsidP="00F43F5F" w:rsidRDefault="00F43F5F" w14:paraId="7817A4C8" w14:textId="77777777">
      <w:pPr>
        <w:spacing w:after="0"/>
        <w:rPr>
          <w:rFonts w:ascii="Calibri" w:hAnsi="Calibri" w:cs="Calibri"/>
          <w:b/>
          <w:bCs/>
        </w:rPr>
      </w:pPr>
      <w:r w:rsidRPr="00252ED1">
        <w:rPr>
          <w:rFonts w:ascii="Calibri" w:hAnsi="Calibri" w:cs="Calibri"/>
          <w:noProof/>
          <w:u w:val="single"/>
        </w:rPr>
        <w:drawing>
          <wp:anchor distT="0" distB="0" distL="114300" distR="114300" simplePos="0" relativeHeight="251659264" behindDoc="0" locked="0" layoutInCell="1" allowOverlap="1" wp14:editId="006FEE6B" wp14:anchorId="7BDDD941">
            <wp:simplePos x="0" y="0"/>
            <wp:positionH relativeFrom="column">
              <wp:posOffset>1905</wp:posOffset>
            </wp:positionH>
            <wp:positionV relativeFrom="paragraph">
              <wp:posOffset>25980</wp:posOffset>
            </wp:positionV>
            <wp:extent cx="4675367" cy="2692510"/>
            <wp:effectExtent l="0" t="0" r="3810" b="1905"/>
            <wp:wrapTopAndBottom/>
            <wp:docPr id="1795080081" name="Afbeelding 1" descr="Afbeelding met tekst, schermopname, Kleurrijkheid, softwa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80081" name="Afbeelding 1" descr="Afbeelding met tekst, schermopname, Kleurrijkheid, software&#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675367" cy="2692510"/>
                    </a:xfrm>
                    <a:prstGeom prst="rect">
                      <a:avLst/>
                    </a:prstGeom>
                    <a:noFill/>
                  </pic:spPr>
                </pic:pic>
              </a:graphicData>
            </a:graphic>
            <wp14:sizeRelH relativeFrom="margin">
              <wp14:pctWidth>0</wp14:pctWidth>
            </wp14:sizeRelH>
            <wp14:sizeRelV relativeFrom="margin">
              <wp14:pctHeight>0</wp14:pctHeight>
            </wp14:sizeRelV>
          </wp:anchor>
        </w:drawing>
      </w:r>
    </w:p>
    <w:p w:rsidRPr="00252ED1" w:rsidR="00F43F5F" w:rsidP="00F43F5F" w:rsidRDefault="00F43F5F" w14:paraId="3E197B7A" w14:textId="77777777">
      <w:pPr>
        <w:spacing w:after="0"/>
        <w:rPr>
          <w:rFonts w:ascii="Calibri" w:hAnsi="Calibri" w:cs="Calibri"/>
        </w:rPr>
      </w:pPr>
      <w:r w:rsidRPr="00252ED1">
        <w:rPr>
          <w:rFonts w:ascii="Calibri" w:hAnsi="Calibri" w:cs="Calibri"/>
          <w:b/>
          <w:bCs/>
        </w:rPr>
        <w:t>Oorzaken overschrijding Roemernorm</w:t>
      </w:r>
    </w:p>
    <w:p w:rsidRPr="00252ED1" w:rsidR="00F43F5F" w:rsidP="00F43F5F" w:rsidRDefault="00F43F5F" w14:paraId="72A2C3AB" w14:textId="77777777">
      <w:pPr>
        <w:spacing w:after="0"/>
        <w:rPr>
          <w:rFonts w:ascii="Calibri" w:hAnsi="Calibri" w:cs="Calibri"/>
        </w:rPr>
      </w:pPr>
      <w:r w:rsidRPr="00252ED1">
        <w:rPr>
          <w:rFonts w:ascii="Calibri" w:hAnsi="Calibri" w:cs="Calibri"/>
        </w:rPr>
        <w:t xml:space="preserve">Afhankelijk van de situatie en context van betreffende organisaties zijn er uiteenlopende oorzaken waarom de Roemernorm is overschreden: </w:t>
      </w:r>
    </w:p>
    <w:p w:rsidRPr="00252ED1" w:rsidR="00F43F5F" w:rsidP="00F43F5F" w:rsidRDefault="00F43F5F" w14:paraId="69397AD8" w14:textId="77777777">
      <w:pPr>
        <w:pStyle w:val="Lijstalinea"/>
        <w:numPr>
          <w:ilvl w:val="0"/>
          <w:numId w:val="3"/>
        </w:numPr>
        <w:spacing w:after="0" w:line="240" w:lineRule="atLeast"/>
        <w:rPr>
          <w:rFonts w:ascii="Calibri" w:hAnsi="Calibri" w:cs="Calibri"/>
        </w:rPr>
      </w:pPr>
      <w:r w:rsidRPr="00252ED1">
        <w:rPr>
          <w:rFonts w:ascii="Calibri" w:hAnsi="Calibri" w:cs="Calibri"/>
        </w:rPr>
        <w:t xml:space="preserve">(tijdelijke) voorziene en onvoorziene piekbelasting; </w:t>
      </w:r>
    </w:p>
    <w:p w:rsidRPr="00252ED1" w:rsidR="00F43F5F" w:rsidP="00F43F5F" w:rsidRDefault="00F43F5F" w14:paraId="5D2A96E5" w14:textId="77777777">
      <w:pPr>
        <w:pStyle w:val="Lijstalinea"/>
        <w:numPr>
          <w:ilvl w:val="0"/>
          <w:numId w:val="3"/>
        </w:numPr>
        <w:spacing w:after="0" w:line="240" w:lineRule="atLeast"/>
        <w:rPr>
          <w:rFonts w:ascii="Calibri" w:hAnsi="Calibri" w:cs="Calibri"/>
        </w:rPr>
      </w:pPr>
      <w:r w:rsidRPr="00252ED1">
        <w:rPr>
          <w:rFonts w:ascii="Calibri" w:hAnsi="Calibri" w:cs="Calibri"/>
        </w:rPr>
        <w:t>specifieke expertise (die de overheid niet zelf in huis wil hebben, benutten innovaties en toepassingen ten behoeve van rijksoverheid);</w:t>
      </w:r>
    </w:p>
    <w:p w:rsidRPr="00252ED1" w:rsidR="00F43F5F" w:rsidP="00F43F5F" w:rsidRDefault="00F43F5F" w14:paraId="45EBB4A5" w14:textId="77777777">
      <w:pPr>
        <w:pStyle w:val="Lijstalinea"/>
        <w:numPr>
          <w:ilvl w:val="0"/>
          <w:numId w:val="3"/>
        </w:numPr>
        <w:spacing w:after="0" w:line="240" w:lineRule="atLeast"/>
        <w:rPr>
          <w:rFonts w:ascii="Calibri" w:hAnsi="Calibri" w:cs="Calibri"/>
        </w:rPr>
      </w:pPr>
      <w:r w:rsidRPr="00252ED1">
        <w:rPr>
          <w:rFonts w:ascii="Calibri" w:hAnsi="Calibri" w:cs="Calibri"/>
        </w:rPr>
        <w:t>flexibiliteit (snel op- en afschalen, bijvoorbeeld bij crisisregelingen);</w:t>
      </w:r>
    </w:p>
    <w:p w:rsidRPr="00252ED1" w:rsidR="00F43F5F" w:rsidP="00F43F5F" w:rsidRDefault="00F43F5F" w14:paraId="7E7DF587" w14:textId="77777777">
      <w:pPr>
        <w:pStyle w:val="Lijstalinea"/>
        <w:numPr>
          <w:ilvl w:val="0"/>
          <w:numId w:val="3"/>
        </w:numPr>
        <w:spacing w:after="0" w:line="240" w:lineRule="atLeast"/>
        <w:rPr>
          <w:rFonts w:ascii="Calibri" w:hAnsi="Calibri" w:cs="Calibri"/>
        </w:rPr>
      </w:pPr>
      <w:r w:rsidRPr="00252ED1">
        <w:rPr>
          <w:rFonts w:ascii="Calibri" w:hAnsi="Calibri" w:cs="Calibri"/>
        </w:rPr>
        <w:t>krapte op de arbeidsmarkt (mensen zijn er vaak wel, maar willen niet in dienst komen bij de rijksdienst, met name specialistische (ICT) functies);</w:t>
      </w:r>
    </w:p>
    <w:p w:rsidRPr="00252ED1" w:rsidR="00F43F5F" w:rsidP="00F43F5F" w:rsidRDefault="00F43F5F" w14:paraId="41414935" w14:textId="77777777">
      <w:pPr>
        <w:pStyle w:val="Lijstalinea"/>
        <w:numPr>
          <w:ilvl w:val="0"/>
          <w:numId w:val="3"/>
        </w:numPr>
        <w:spacing w:after="0" w:line="240" w:lineRule="atLeast"/>
        <w:rPr>
          <w:rFonts w:ascii="Calibri" w:hAnsi="Calibri" w:cs="Calibri"/>
        </w:rPr>
      </w:pPr>
      <w:r w:rsidRPr="00252ED1">
        <w:rPr>
          <w:rFonts w:ascii="Calibri" w:hAnsi="Calibri" w:cs="Calibri"/>
        </w:rPr>
        <w:t xml:space="preserve">onzekerheid over structurele financiering (terwijl wel duidelijk is dat het om structureel uit te voeren werkzaamheden gaat) en </w:t>
      </w:r>
    </w:p>
    <w:p w:rsidRPr="00252ED1" w:rsidR="00F43F5F" w:rsidP="00F43F5F" w:rsidRDefault="00F43F5F" w14:paraId="00A25830" w14:textId="77777777">
      <w:pPr>
        <w:pStyle w:val="Lijstalinea"/>
        <w:numPr>
          <w:ilvl w:val="0"/>
          <w:numId w:val="3"/>
        </w:numPr>
        <w:spacing w:after="0" w:line="240" w:lineRule="atLeast"/>
        <w:rPr>
          <w:rFonts w:ascii="Calibri" w:hAnsi="Calibri" w:cs="Calibri"/>
        </w:rPr>
      </w:pPr>
      <w:r w:rsidRPr="00252ED1">
        <w:rPr>
          <w:rFonts w:ascii="Calibri" w:hAnsi="Calibri" w:cs="Calibri"/>
        </w:rPr>
        <w:t>soms een wat lage drempel (‘</w:t>
      </w:r>
      <w:proofErr w:type="spellStart"/>
      <w:r w:rsidRPr="00252ED1">
        <w:rPr>
          <w:rFonts w:ascii="Calibri" w:hAnsi="Calibri" w:cs="Calibri"/>
        </w:rPr>
        <w:t>explain</w:t>
      </w:r>
      <w:proofErr w:type="spellEnd"/>
      <w:r w:rsidRPr="00252ED1">
        <w:rPr>
          <w:rFonts w:ascii="Calibri" w:hAnsi="Calibri" w:cs="Calibri"/>
        </w:rPr>
        <w:t>’) om mensen in te huren, zeker als er grote maatschappelijke en politieke druk is om gevraagde werkzaamheden te verrichten.</w:t>
      </w:r>
    </w:p>
    <w:p w:rsidRPr="00252ED1" w:rsidR="00F43F5F" w:rsidP="00F43F5F" w:rsidRDefault="00F43F5F" w14:paraId="6F1DEC6C" w14:textId="77777777">
      <w:pPr>
        <w:spacing w:after="0"/>
        <w:rPr>
          <w:rFonts w:ascii="Calibri" w:hAnsi="Calibri" w:cs="Calibri"/>
        </w:rPr>
      </w:pPr>
    </w:p>
    <w:p w:rsidRPr="00252ED1" w:rsidR="00F43F5F" w:rsidP="00F43F5F" w:rsidRDefault="00F43F5F" w14:paraId="6A03D3E8" w14:textId="77777777">
      <w:pPr>
        <w:spacing w:after="0"/>
        <w:rPr>
          <w:rFonts w:ascii="Calibri" w:hAnsi="Calibri" w:cs="Calibri"/>
        </w:rPr>
      </w:pPr>
      <w:r w:rsidRPr="00252ED1">
        <w:rPr>
          <w:rFonts w:ascii="Calibri" w:hAnsi="Calibri" w:cs="Calibri"/>
        </w:rPr>
        <w:t>In het extreme geval dat er in het geheel geen externe inhuur zou mogen plaatsvinden, zal volgens de ADR de taakuitvoering en maatschappelijke dienstverlening ernstig in gevaar komen, bijvoorbeeld bij het werken aan het financieel herstel van de problemen met de kinderopvangtoeslag. Een zekere mate van externe inhuur wordt gezien als noodzakelijk én gewenst om als overheid haar taken goed te kunnen uitvoeren.</w:t>
      </w:r>
    </w:p>
    <w:p w:rsidRPr="00252ED1" w:rsidR="00F43F5F" w:rsidP="00F43F5F" w:rsidRDefault="00F43F5F" w14:paraId="2FE56D95" w14:textId="77777777">
      <w:pPr>
        <w:spacing w:after="0"/>
        <w:rPr>
          <w:rFonts w:ascii="Calibri" w:hAnsi="Calibri" w:cs="Calibri"/>
        </w:rPr>
      </w:pPr>
    </w:p>
    <w:p w:rsidRPr="00252ED1" w:rsidR="00F43F5F" w:rsidP="00F43F5F" w:rsidRDefault="00F43F5F" w14:paraId="0FA9C21A" w14:textId="77777777">
      <w:pPr>
        <w:pStyle w:val="Kop4"/>
        <w:spacing w:after="0"/>
        <w:rPr>
          <w:rFonts w:ascii="Calibri" w:hAnsi="Calibri" w:cs="Calibri"/>
          <w:b/>
          <w:bCs/>
          <w:color w:val="auto"/>
        </w:rPr>
      </w:pPr>
      <w:r w:rsidRPr="00252ED1">
        <w:rPr>
          <w:rFonts w:ascii="Calibri" w:hAnsi="Calibri" w:cs="Calibri"/>
          <w:b/>
          <w:bCs/>
          <w:color w:val="auto"/>
        </w:rPr>
        <w:t>Aanbevelingen ADR voor het optimaal benutten van externe inhuur</w:t>
      </w:r>
    </w:p>
    <w:p w:rsidRPr="00252ED1" w:rsidR="00F43F5F" w:rsidP="00F43F5F" w:rsidRDefault="00F43F5F" w14:paraId="7E88122B" w14:textId="77777777">
      <w:pPr>
        <w:spacing w:after="0"/>
        <w:rPr>
          <w:rFonts w:ascii="Calibri" w:hAnsi="Calibri" w:cs="Calibri"/>
        </w:rPr>
      </w:pPr>
      <w:r w:rsidRPr="00252ED1">
        <w:rPr>
          <w:rFonts w:ascii="Calibri" w:hAnsi="Calibri" w:cs="Calibri"/>
        </w:rPr>
        <w:t>De ADR geeft een aantal handelingsperspectieven om externe inhuur optimaal te kunnen benutten.</w:t>
      </w:r>
    </w:p>
    <w:p w:rsidRPr="00252ED1" w:rsidR="00F43F5F" w:rsidP="00F43F5F" w:rsidRDefault="00F43F5F" w14:paraId="452DFAB3" w14:textId="77777777">
      <w:pPr>
        <w:spacing w:after="0"/>
        <w:rPr>
          <w:rFonts w:ascii="Calibri" w:hAnsi="Calibri" w:cs="Calibri"/>
        </w:rPr>
      </w:pPr>
    </w:p>
    <w:p w:rsidRPr="00252ED1" w:rsidR="00F43F5F" w:rsidP="00F43F5F" w:rsidRDefault="00F43F5F" w14:paraId="0FF78144" w14:textId="77777777">
      <w:pPr>
        <w:pStyle w:val="Kop4"/>
        <w:spacing w:after="0"/>
        <w:rPr>
          <w:rFonts w:ascii="Calibri" w:hAnsi="Calibri" w:cs="Calibri"/>
          <w:color w:val="auto"/>
          <w:u w:val="single"/>
        </w:rPr>
      </w:pPr>
      <w:r w:rsidRPr="00252ED1">
        <w:rPr>
          <w:rFonts w:ascii="Calibri" w:hAnsi="Calibri" w:cs="Calibri"/>
          <w:color w:val="auto"/>
          <w:u w:val="single"/>
        </w:rPr>
        <w:t>Focus op optimaal benutten van externe inhuur, niet op een absolute norm</w:t>
      </w:r>
    </w:p>
    <w:p w:rsidRPr="00252ED1" w:rsidR="00F43F5F" w:rsidP="00F43F5F" w:rsidRDefault="00F43F5F" w14:paraId="2526D82F" w14:textId="77777777">
      <w:pPr>
        <w:spacing w:after="0"/>
        <w:rPr>
          <w:rFonts w:ascii="Calibri" w:hAnsi="Calibri" w:cs="Calibri"/>
        </w:rPr>
      </w:pPr>
      <w:r w:rsidRPr="00252ED1">
        <w:rPr>
          <w:rFonts w:ascii="Calibri" w:hAnsi="Calibri" w:cs="Calibri"/>
        </w:rPr>
        <w:t xml:space="preserve">Uitgaande van de benodigde capaciteit voor het te verrichten werk zijn ‘het zelf doen’, ‘externe inhuur’ en ‘inkoop’ communicerende vaten. Externe inhuur is noodzakelijk én gewenst; het gaat om het op een optimale wijze (zo doelmatig mogelijk) benutten daarvan; leg hier de focus op. Benader dit in samenhang vanuit de </w:t>
      </w:r>
      <w:proofErr w:type="spellStart"/>
      <w:r w:rsidRPr="00252ED1">
        <w:rPr>
          <w:rFonts w:ascii="Calibri" w:hAnsi="Calibri" w:cs="Calibri"/>
        </w:rPr>
        <w:t>sourcingstrategieën</w:t>
      </w:r>
      <w:proofErr w:type="spellEnd"/>
      <w:r w:rsidRPr="00252ED1">
        <w:rPr>
          <w:rFonts w:ascii="Calibri" w:hAnsi="Calibri" w:cs="Calibri"/>
        </w:rPr>
        <w:t xml:space="preserve"> van de voor taakuitvoering verantwoordelijke (taak)organisaties. Het versterken van samenwerking tussen </w:t>
      </w:r>
      <w:proofErr w:type="spellStart"/>
      <w:r w:rsidRPr="00252ED1">
        <w:rPr>
          <w:rFonts w:ascii="Calibri" w:hAnsi="Calibri" w:cs="Calibri"/>
        </w:rPr>
        <w:t>rijksbrede</w:t>
      </w:r>
      <w:proofErr w:type="spellEnd"/>
      <w:r w:rsidRPr="00252ED1">
        <w:rPr>
          <w:rFonts w:ascii="Calibri" w:hAnsi="Calibri" w:cs="Calibri"/>
        </w:rPr>
        <w:t xml:space="preserve"> (ICT-) dienstverleners past hier ook bij. In de praktijk wordt er onnodig geschermd met ‘de ministeriële verantwoordelijkheid’. Het Coördinatiebesluit bestaat en kan zonder aarzeling (na goed overleg) gewoon gebruikt worden om de samenwerking tussen </w:t>
      </w:r>
      <w:proofErr w:type="spellStart"/>
      <w:r w:rsidRPr="00252ED1">
        <w:rPr>
          <w:rFonts w:ascii="Calibri" w:hAnsi="Calibri" w:cs="Calibri"/>
        </w:rPr>
        <w:t>rijksbrede</w:t>
      </w:r>
      <w:proofErr w:type="spellEnd"/>
      <w:r w:rsidRPr="00252ED1">
        <w:rPr>
          <w:rFonts w:ascii="Calibri" w:hAnsi="Calibri" w:cs="Calibri"/>
        </w:rPr>
        <w:t xml:space="preserve"> ICT-dienstverleners te verbeteren: dit dient vanzelfsprekend te zijn.</w:t>
      </w:r>
    </w:p>
    <w:p w:rsidRPr="00252ED1" w:rsidR="00F43F5F" w:rsidP="00F43F5F" w:rsidRDefault="00F43F5F" w14:paraId="5E404BAE" w14:textId="77777777">
      <w:pPr>
        <w:spacing w:after="0"/>
        <w:rPr>
          <w:rFonts w:ascii="Calibri" w:hAnsi="Calibri" w:cs="Calibri"/>
        </w:rPr>
      </w:pPr>
    </w:p>
    <w:p w:rsidRPr="00252ED1" w:rsidR="00F43F5F" w:rsidP="00F43F5F" w:rsidRDefault="00F43F5F" w14:paraId="63A42C6C" w14:textId="77777777">
      <w:pPr>
        <w:pStyle w:val="Kop4"/>
        <w:spacing w:after="0"/>
        <w:rPr>
          <w:rFonts w:ascii="Calibri" w:hAnsi="Calibri" w:cs="Calibri"/>
          <w:color w:val="auto"/>
          <w:u w:val="single"/>
        </w:rPr>
      </w:pPr>
      <w:r w:rsidRPr="00252ED1">
        <w:rPr>
          <w:rFonts w:ascii="Calibri" w:hAnsi="Calibri" w:cs="Calibri"/>
          <w:color w:val="auto"/>
          <w:u w:val="single"/>
        </w:rPr>
        <w:t>Minimaliseren benodigde capaciteit</w:t>
      </w:r>
    </w:p>
    <w:p w:rsidRPr="00252ED1" w:rsidR="00F43F5F" w:rsidP="00F43F5F" w:rsidRDefault="00F43F5F" w14:paraId="2C491FC0" w14:textId="77777777">
      <w:pPr>
        <w:spacing w:after="0"/>
        <w:rPr>
          <w:rFonts w:ascii="Calibri" w:hAnsi="Calibri" w:cs="Calibri"/>
          <w:color w:val="FF0000"/>
        </w:rPr>
      </w:pPr>
      <w:bookmarkStart w:name="_Hlk192688900" w:id="0"/>
      <w:r w:rsidRPr="00252ED1">
        <w:rPr>
          <w:rFonts w:ascii="Calibri" w:hAnsi="Calibri" w:cs="Calibri"/>
        </w:rPr>
        <w:t xml:space="preserve">Minder benodigde capaciteit betekent ook minder externe inhuur. (Beleidsmatige) keuzes bepalen al grotendeels de benodigde capaciteit. </w:t>
      </w:r>
      <w:bookmarkStart w:name="_Hlk191378029" w:id="1"/>
      <w:r w:rsidRPr="00252ED1">
        <w:rPr>
          <w:rFonts w:ascii="Calibri" w:hAnsi="Calibri" w:cs="Calibri"/>
        </w:rPr>
        <w:t xml:space="preserve">Er kan daarom niet genoeg aandacht en energie gestoken worden om bij ‘aanvang’ vanuit verschillende betrokkenen (o.a. de taakorganisaties) te doordenken op welke manier (hoe) bepaalde (urgente) maatschappelijke opgaven het beste kunnen worden aangepakt. </w:t>
      </w:r>
      <w:bookmarkEnd w:id="1"/>
      <w:r w:rsidRPr="00252ED1">
        <w:rPr>
          <w:rFonts w:ascii="Calibri" w:hAnsi="Calibri" w:cs="Calibri"/>
        </w:rPr>
        <w:t>Ook als er sprake is van begrijpelijke en steeds toenemende hoge politieke en maatschappelijke druk.</w:t>
      </w:r>
      <w:r w:rsidRPr="00252ED1">
        <w:rPr>
          <w:rFonts w:ascii="Calibri" w:hAnsi="Calibri" w:cs="Calibri"/>
          <w:color w:val="FF0000"/>
        </w:rPr>
        <w:t xml:space="preserve"> </w:t>
      </w:r>
    </w:p>
    <w:bookmarkEnd w:id="0"/>
    <w:p w:rsidRPr="00252ED1" w:rsidR="00F43F5F" w:rsidP="00F43F5F" w:rsidRDefault="00F43F5F" w14:paraId="0C53CD8A" w14:textId="77777777">
      <w:pPr>
        <w:spacing w:after="0"/>
        <w:rPr>
          <w:rFonts w:ascii="Calibri" w:hAnsi="Calibri" w:cs="Calibri"/>
        </w:rPr>
      </w:pPr>
    </w:p>
    <w:p w:rsidRPr="00252ED1" w:rsidR="00F43F5F" w:rsidP="00F43F5F" w:rsidRDefault="00F43F5F" w14:paraId="0600D0DF" w14:textId="77777777">
      <w:pPr>
        <w:pStyle w:val="Kop4"/>
        <w:spacing w:after="0"/>
        <w:rPr>
          <w:rFonts w:ascii="Calibri" w:hAnsi="Calibri" w:cs="Calibri"/>
          <w:color w:val="auto"/>
          <w:u w:val="single"/>
        </w:rPr>
      </w:pPr>
      <w:r w:rsidRPr="00252ED1">
        <w:rPr>
          <w:rFonts w:ascii="Calibri" w:hAnsi="Calibri" w:cs="Calibri"/>
          <w:color w:val="auto"/>
          <w:u w:val="single"/>
        </w:rPr>
        <w:t>Maak mogelijk andere principiële- en beleidsmatige afwegingen</w:t>
      </w:r>
    </w:p>
    <w:p w:rsidRPr="00252ED1" w:rsidR="00F43F5F" w:rsidP="00F43F5F" w:rsidRDefault="00F43F5F" w14:paraId="6859B527" w14:textId="77777777">
      <w:pPr>
        <w:spacing w:after="0"/>
        <w:rPr>
          <w:rFonts w:ascii="Calibri" w:hAnsi="Calibri" w:cs="Calibri"/>
        </w:rPr>
      </w:pPr>
      <w:bookmarkStart w:name="_Hlk192688956" w:id="2"/>
      <w:r w:rsidRPr="00252ED1">
        <w:rPr>
          <w:rFonts w:ascii="Calibri" w:hAnsi="Calibri" w:cs="Calibri"/>
        </w:rPr>
        <w:t xml:space="preserve">Er kan meer aandacht worden besteed aan het beter inzetten van </w:t>
      </w:r>
      <w:proofErr w:type="spellStart"/>
      <w:r w:rsidRPr="00252ED1">
        <w:rPr>
          <w:rFonts w:ascii="Calibri" w:hAnsi="Calibri" w:cs="Calibri"/>
        </w:rPr>
        <w:t>rijksmedewerkers</w:t>
      </w:r>
      <w:proofErr w:type="spellEnd"/>
      <w:r w:rsidRPr="00252ED1">
        <w:rPr>
          <w:rFonts w:ascii="Calibri" w:hAnsi="Calibri" w:cs="Calibri"/>
        </w:rPr>
        <w:t xml:space="preserve"> op tijdelijke, ‘moeilijke’ onderwerpen. Voor een deel gebeurt dit al via de diverse (</w:t>
      </w:r>
      <w:proofErr w:type="spellStart"/>
      <w:r w:rsidRPr="00252ED1">
        <w:rPr>
          <w:rFonts w:ascii="Calibri" w:hAnsi="Calibri" w:cs="Calibri"/>
        </w:rPr>
        <w:t>flex</w:t>
      </w:r>
      <w:proofErr w:type="spellEnd"/>
      <w:r w:rsidRPr="00252ED1">
        <w:rPr>
          <w:rFonts w:ascii="Calibri" w:hAnsi="Calibri" w:cs="Calibri"/>
        </w:rPr>
        <w:t xml:space="preserve">)pools maar het adagium van ‘tijdelijk werk door tijdelijke medewerkers’ wordt nog alom gehanteerd. Daarbij past ook de vraag of de rijksoverheid, meer dan nu, in staat zou willen zijn zelf meer eigen medewerkers in te zetten. Dit zou, zoals ook door </w:t>
      </w:r>
      <w:proofErr w:type="spellStart"/>
      <w:r w:rsidRPr="00252ED1">
        <w:rPr>
          <w:rFonts w:ascii="Calibri" w:hAnsi="Calibri" w:cs="Calibri"/>
        </w:rPr>
        <w:t>ABDTOPConsult</w:t>
      </w:r>
      <w:proofErr w:type="spellEnd"/>
      <w:r w:rsidRPr="00252ED1">
        <w:rPr>
          <w:rFonts w:ascii="Calibri" w:hAnsi="Calibri" w:cs="Calibri"/>
        </w:rPr>
        <w:t xml:space="preserve"> in het rapport ‘Grip op ICT inhuur’ is aangegeven, een aanzienlijke uitbreiding van (ICT-)pools en vergelijkbare voorzieningen kunnen betekenen. </w:t>
      </w:r>
    </w:p>
    <w:bookmarkEnd w:id="2"/>
    <w:p w:rsidRPr="00252ED1" w:rsidR="00F43F5F" w:rsidP="00F43F5F" w:rsidRDefault="00F43F5F" w14:paraId="54879792" w14:textId="77777777">
      <w:pPr>
        <w:spacing w:after="0"/>
        <w:rPr>
          <w:rFonts w:ascii="Calibri" w:hAnsi="Calibri" w:cs="Calibri"/>
        </w:rPr>
      </w:pPr>
    </w:p>
    <w:p w:rsidRPr="00252ED1" w:rsidR="00F43F5F" w:rsidP="00F43F5F" w:rsidRDefault="00F43F5F" w14:paraId="70CEA649" w14:textId="77777777">
      <w:pPr>
        <w:spacing w:after="0"/>
        <w:rPr>
          <w:rFonts w:ascii="Calibri" w:hAnsi="Calibri" w:cs="Calibri" w:eastAsiaTheme="majorEastAsia"/>
          <w:i/>
          <w:iCs/>
          <w:u w:val="single"/>
        </w:rPr>
      </w:pPr>
      <w:r w:rsidRPr="00252ED1">
        <w:rPr>
          <w:rFonts w:ascii="Calibri" w:hAnsi="Calibri" w:cs="Calibri" w:eastAsiaTheme="majorEastAsia"/>
          <w:i/>
          <w:iCs/>
          <w:u w:val="single"/>
        </w:rPr>
        <w:t>Een maximaal percentage inhuur is geen doel op zich; de</w:t>
      </w:r>
      <w:r w:rsidRPr="00252ED1">
        <w:rPr>
          <w:rFonts w:ascii="Calibri" w:hAnsi="Calibri" w:cs="Calibri"/>
          <w:b/>
          <w:u w:val="single"/>
        </w:rPr>
        <w:t xml:space="preserve"> </w:t>
      </w:r>
      <w:r w:rsidRPr="00252ED1">
        <w:rPr>
          <w:rFonts w:ascii="Calibri" w:hAnsi="Calibri" w:cs="Calibri" w:eastAsiaTheme="majorEastAsia"/>
          <w:i/>
          <w:iCs/>
          <w:u w:val="single"/>
        </w:rPr>
        <w:t xml:space="preserve">Roemernorm als blijvende aanmoediging </w:t>
      </w:r>
    </w:p>
    <w:p w:rsidRPr="00252ED1" w:rsidR="00F43F5F" w:rsidP="00F43F5F" w:rsidRDefault="00F43F5F" w14:paraId="42CE2E17" w14:textId="77777777">
      <w:pPr>
        <w:spacing w:after="0"/>
        <w:rPr>
          <w:rFonts w:ascii="Calibri" w:hAnsi="Calibri" w:cs="Calibri"/>
        </w:rPr>
      </w:pPr>
      <w:bookmarkStart w:name="_Hlk192688999" w:id="3"/>
      <w:r w:rsidRPr="00252ED1">
        <w:rPr>
          <w:rFonts w:ascii="Calibri" w:hAnsi="Calibri" w:cs="Calibri"/>
        </w:rPr>
        <w:t>Uit het onderzoek komt naar voren dat de Roemernorm uit 2010 als gedateerd wordt ervaren. Dit komt doordat dit een algemene norm is die in de praktijk nuance mist. In sommige gevallen is 10% al ‘te hoog’ en in andere gevallen veel ‘te laag’ en irreëel en ongewenst. Kern van de zaak blijft dat de rijkoverheid optimaal met externe inhuur om moet gaan op een zo effectief en efficiënt mogelijke wijze. De Roemernorm is echter wel alom bekend en blijft volgens de ADR een mooie ‘trigger’ totdat er een beter alternatief is gevonden.</w:t>
      </w:r>
    </w:p>
    <w:p w:rsidRPr="00252ED1" w:rsidR="00F43F5F" w:rsidP="00F43F5F" w:rsidRDefault="00F43F5F" w14:paraId="7ACAEDA9" w14:textId="77777777">
      <w:pPr>
        <w:pStyle w:val="OpsommingN1Bullet"/>
        <w:numPr>
          <w:ilvl w:val="0"/>
          <w:numId w:val="0"/>
        </w:numPr>
        <w:spacing w:line="240" w:lineRule="atLeast"/>
        <w:ind w:left="284" w:hanging="284"/>
        <w:rPr>
          <w:rFonts w:ascii="Calibri" w:hAnsi="Calibri" w:cs="Calibri"/>
          <w:sz w:val="22"/>
          <w:szCs w:val="22"/>
        </w:rPr>
      </w:pPr>
    </w:p>
    <w:p w:rsidRPr="00252ED1" w:rsidR="00F43F5F" w:rsidP="00F43F5F" w:rsidRDefault="00F43F5F" w14:paraId="560C6D45" w14:textId="77777777">
      <w:pPr>
        <w:pStyle w:val="OpsommingN1Bullet"/>
        <w:numPr>
          <w:ilvl w:val="0"/>
          <w:numId w:val="0"/>
        </w:numPr>
        <w:spacing w:line="240" w:lineRule="atLeast"/>
        <w:rPr>
          <w:rFonts w:ascii="Calibri" w:hAnsi="Calibri" w:cs="Calibri"/>
          <w:sz w:val="22"/>
          <w:szCs w:val="22"/>
        </w:rPr>
      </w:pPr>
      <w:r w:rsidRPr="00252ED1">
        <w:rPr>
          <w:rFonts w:ascii="Calibri" w:hAnsi="Calibri" w:cs="Calibri"/>
          <w:sz w:val="22"/>
          <w:szCs w:val="22"/>
        </w:rPr>
        <w:lastRenderedPageBreak/>
        <w:t>De situaties verschillen vaak in bijvoorbeeld maatschappelijke urgentie, de aard van organisaties, de arbeidsmarkt en technologische ontwikkelingen. Om goed zicht te houden en scherp te blijven op ‘het optimaal inzetten van externe inhuur’, in samenhang met genoemde relatie met HRM en Inkoop, acht de ADR het zinvol om de ingezette monitoring mét (nog betere en kritischere) verantwoording te blijven doen. De rijksoverheid zou als jaarlijks resultaat gerealiseerde verbeteringen, in lijn met de aanbevelingen, kunnen presenteren, bijvoorbeeld in de Jaarrapportage Bedrijfsvoering Rijk. Bij dit onderwerp is iedere keer een stap vooruit (in de doelmatigheid) belangrijker dan het behalen van een door de</w:t>
      </w:r>
    </w:p>
    <w:p w:rsidRPr="00252ED1" w:rsidR="00F43F5F" w:rsidP="00F43F5F" w:rsidRDefault="00F43F5F" w14:paraId="35C8DA17" w14:textId="77777777">
      <w:pPr>
        <w:pStyle w:val="OpsommingN1Bullet"/>
        <w:numPr>
          <w:ilvl w:val="0"/>
          <w:numId w:val="0"/>
        </w:numPr>
        <w:spacing w:line="240" w:lineRule="atLeast"/>
        <w:rPr>
          <w:rFonts w:ascii="Calibri" w:hAnsi="Calibri" w:cs="Calibri"/>
          <w:sz w:val="22"/>
          <w:szCs w:val="22"/>
        </w:rPr>
      </w:pPr>
      <w:r w:rsidRPr="00252ED1">
        <w:rPr>
          <w:rFonts w:ascii="Calibri" w:hAnsi="Calibri" w:cs="Calibri"/>
          <w:sz w:val="22"/>
          <w:szCs w:val="22"/>
        </w:rPr>
        <w:t xml:space="preserve">politiek gewenste norm. </w:t>
      </w:r>
    </w:p>
    <w:bookmarkEnd w:id="3"/>
    <w:p w:rsidRPr="00252ED1" w:rsidR="00F43F5F" w:rsidP="00F43F5F" w:rsidRDefault="00F43F5F" w14:paraId="75637F04" w14:textId="77777777">
      <w:pPr>
        <w:spacing w:after="0"/>
        <w:rPr>
          <w:rFonts w:ascii="Calibri" w:hAnsi="Calibri" w:cs="Calibri"/>
        </w:rPr>
      </w:pPr>
    </w:p>
    <w:p w:rsidRPr="00252ED1" w:rsidR="00F43F5F" w:rsidP="00F43F5F" w:rsidRDefault="00F43F5F" w14:paraId="4C1DA691" w14:textId="77777777">
      <w:pPr>
        <w:spacing w:after="0"/>
        <w:rPr>
          <w:rFonts w:ascii="Calibri" w:hAnsi="Calibri" w:cs="Calibri"/>
          <w:b/>
          <w:bCs/>
          <w:u w:val="single"/>
        </w:rPr>
      </w:pPr>
    </w:p>
    <w:p w:rsidRPr="00252ED1" w:rsidR="00F43F5F" w:rsidP="00F43F5F" w:rsidRDefault="00F43F5F" w14:paraId="288BF1CD" w14:textId="77777777">
      <w:pPr>
        <w:spacing w:after="0"/>
        <w:rPr>
          <w:rFonts w:ascii="Calibri" w:hAnsi="Calibri" w:cs="Calibri"/>
          <w:b/>
          <w:bCs/>
          <w:u w:val="single"/>
        </w:rPr>
      </w:pPr>
      <w:r w:rsidRPr="00252ED1">
        <w:rPr>
          <w:rFonts w:ascii="Calibri" w:hAnsi="Calibri" w:cs="Calibri"/>
          <w:b/>
          <w:bCs/>
          <w:u w:val="single"/>
        </w:rPr>
        <w:t xml:space="preserve">Activiteiten op het gebied van ICT inhuur </w:t>
      </w:r>
    </w:p>
    <w:p w:rsidRPr="00252ED1" w:rsidR="00F43F5F" w:rsidP="00F43F5F" w:rsidRDefault="00F43F5F" w14:paraId="1BC8193F" w14:textId="77777777">
      <w:pPr>
        <w:spacing w:after="0"/>
        <w:rPr>
          <w:rFonts w:ascii="Calibri" w:hAnsi="Calibri" w:cs="Calibri"/>
          <w:b/>
          <w:bCs/>
          <w:u w:val="single"/>
        </w:rPr>
      </w:pPr>
    </w:p>
    <w:p w:rsidRPr="00252ED1" w:rsidR="00F43F5F" w:rsidP="00F43F5F" w:rsidRDefault="00F43F5F" w14:paraId="667D3C35" w14:textId="77777777">
      <w:pPr>
        <w:spacing w:after="0"/>
        <w:rPr>
          <w:rFonts w:ascii="Calibri" w:hAnsi="Calibri" w:cs="Calibri"/>
          <w:color w:val="FF0000"/>
        </w:rPr>
      </w:pPr>
      <w:r w:rsidRPr="00252ED1">
        <w:rPr>
          <w:rFonts w:ascii="Calibri" w:hAnsi="Calibri" w:cs="Calibri"/>
        </w:rPr>
        <w:t>ABD Topconsult heeft in april 2024 het onderzoek Grip op ICT inhuur</w:t>
      </w:r>
      <w:r w:rsidRPr="00252ED1">
        <w:rPr>
          <w:rStyle w:val="Voetnootmarkering"/>
          <w:rFonts w:ascii="Calibri" w:hAnsi="Calibri" w:cs="Calibri"/>
        </w:rPr>
        <w:footnoteReference w:id="10"/>
      </w:r>
      <w:r w:rsidRPr="00252ED1">
        <w:rPr>
          <w:rFonts w:ascii="Calibri" w:hAnsi="Calibri" w:cs="Calibri"/>
        </w:rPr>
        <w:t xml:space="preserve"> afgerond naar het terugdringen van externe inhuur op het terrein van ICT. Dit is van belang omdat externe inhuur op het terrein van ICT 44 % (in 2023) van de totale inhuur bedraagt. Naar aanleiding hiervan is er een strategische aanpak voor een duurzame ICT-arbeidsmarkt opgesteld.</w:t>
      </w:r>
    </w:p>
    <w:p w:rsidRPr="00252ED1" w:rsidR="00F43F5F" w:rsidP="00F43F5F" w:rsidRDefault="00F43F5F" w14:paraId="6D7BB18A" w14:textId="77777777">
      <w:pPr>
        <w:spacing w:after="0"/>
        <w:rPr>
          <w:rFonts w:ascii="Calibri" w:hAnsi="Calibri" w:cs="Calibri"/>
          <w:b/>
          <w:bCs/>
        </w:rPr>
      </w:pPr>
    </w:p>
    <w:p w:rsidRPr="00252ED1" w:rsidR="00F43F5F" w:rsidP="00F43F5F" w:rsidRDefault="00F43F5F" w14:paraId="3D56F7BD" w14:textId="77777777">
      <w:pPr>
        <w:spacing w:after="0"/>
        <w:rPr>
          <w:rFonts w:ascii="Calibri" w:hAnsi="Calibri" w:cs="Calibri"/>
          <w:b/>
          <w:bCs/>
        </w:rPr>
      </w:pPr>
      <w:r w:rsidRPr="00252ED1">
        <w:rPr>
          <w:rFonts w:ascii="Calibri" w:hAnsi="Calibri" w:cs="Calibri"/>
          <w:b/>
          <w:bCs/>
        </w:rPr>
        <w:t>Strategische aanpak voor een duurzame ICT-arbeidsmarkt</w:t>
      </w:r>
    </w:p>
    <w:p w:rsidRPr="00252ED1" w:rsidR="00F43F5F" w:rsidP="00F43F5F" w:rsidRDefault="00F43F5F" w14:paraId="4C6AEA32" w14:textId="77777777">
      <w:pPr>
        <w:spacing w:after="0"/>
        <w:rPr>
          <w:rFonts w:ascii="Calibri" w:hAnsi="Calibri" w:cs="Calibri"/>
        </w:rPr>
      </w:pPr>
      <w:r w:rsidRPr="00252ED1">
        <w:rPr>
          <w:rFonts w:ascii="Calibri" w:hAnsi="Calibri" w:cs="Calibri"/>
        </w:rPr>
        <w:t>De Rijksoverheid staat voor een structurele uitdaging op het gebied van ICT-capaciteit. De toenemende digitalisering vraagt om gespecialiseerde kennis, terwijl de arbeidsmarkt steeds krapper wordt. Binnen de I-strategie Rijk wordt er aanvullend beleid ontwikkeld op het staande personeelsbeleid van de rijksoverheid om deze uitdaging op te vangen en grip te krijgen op de instroom, doorstroom en borging van cruciale digitale expertise. Om hier structureel op in te spelen, wordt er een programma ontwikkeld waarin diverse projecten worden samengebracht die bijdragen aan een toekomstbestendige ICT-arbeidsmarkt. Dit programma, genaamd ICT-Personeelsstrategie richt zich op meerdere strategische pijlers die gezamenlijk de afhankelijkheid van externe inhuur verminderen en de interne kennispositie versterken. De aanpak rust op de volgende pijlers, in de bijlage bij deze kamerbrief worden deze nader toegelicht en wordt per pijler aangegeven welke activiteiten in gang zijn gezet:</w:t>
      </w:r>
    </w:p>
    <w:p w:rsidRPr="00252ED1" w:rsidR="00F43F5F" w:rsidP="00F43F5F" w:rsidRDefault="00F43F5F" w14:paraId="3CA76684" w14:textId="77777777">
      <w:pPr>
        <w:spacing w:after="0"/>
        <w:rPr>
          <w:rFonts w:ascii="Calibri" w:hAnsi="Calibri" w:cs="Calibri"/>
        </w:rPr>
      </w:pPr>
    </w:p>
    <w:p w:rsidRPr="00252ED1" w:rsidR="00F43F5F" w:rsidP="00F43F5F" w:rsidRDefault="00F43F5F" w14:paraId="7D14B46F" w14:textId="77777777">
      <w:pPr>
        <w:pStyle w:val="Lijstalinea"/>
        <w:numPr>
          <w:ilvl w:val="0"/>
          <w:numId w:val="1"/>
        </w:numPr>
        <w:spacing w:after="0" w:line="240" w:lineRule="atLeast"/>
        <w:rPr>
          <w:rFonts w:ascii="Calibri" w:hAnsi="Calibri" w:cs="Calibri"/>
          <w:i/>
          <w:iCs/>
          <w:u w:val="single"/>
        </w:rPr>
      </w:pPr>
      <w:r w:rsidRPr="00252ED1">
        <w:rPr>
          <w:rFonts w:ascii="Calibri" w:hAnsi="Calibri" w:cs="Calibri"/>
          <w:i/>
          <w:iCs/>
          <w:u w:val="single"/>
        </w:rPr>
        <w:t>Gerichte regie op ICT-capaciteit en personeelsontwikkeling;</w:t>
      </w:r>
    </w:p>
    <w:p w:rsidRPr="00252ED1" w:rsidR="00F43F5F" w:rsidP="00F43F5F" w:rsidRDefault="00F43F5F" w14:paraId="1E5B0867" w14:textId="77777777">
      <w:pPr>
        <w:pStyle w:val="Lijstalinea"/>
        <w:numPr>
          <w:ilvl w:val="0"/>
          <w:numId w:val="1"/>
        </w:numPr>
        <w:spacing w:after="0" w:line="240" w:lineRule="atLeast"/>
        <w:rPr>
          <w:rFonts w:ascii="Calibri" w:hAnsi="Calibri" w:cs="Calibri"/>
          <w:i/>
          <w:iCs/>
          <w:u w:val="single"/>
        </w:rPr>
      </w:pPr>
      <w:r w:rsidRPr="00252ED1">
        <w:rPr>
          <w:rFonts w:ascii="Calibri" w:hAnsi="Calibri" w:cs="Calibri"/>
          <w:i/>
          <w:iCs/>
          <w:u w:val="single"/>
        </w:rPr>
        <w:t>Instroom van nieuw talent als oplossing voor kennis- en capaciteitsbehoud;</w:t>
      </w:r>
    </w:p>
    <w:p w:rsidRPr="00252ED1" w:rsidR="00F43F5F" w:rsidP="00F43F5F" w:rsidRDefault="00F43F5F" w14:paraId="255E177C" w14:textId="77777777">
      <w:pPr>
        <w:pStyle w:val="Lijstalinea"/>
        <w:numPr>
          <w:ilvl w:val="0"/>
          <w:numId w:val="1"/>
        </w:numPr>
        <w:spacing w:after="0" w:line="240" w:lineRule="atLeast"/>
        <w:rPr>
          <w:rFonts w:ascii="Calibri" w:hAnsi="Calibri" w:cs="Calibri"/>
          <w:i/>
          <w:iCs/>
          <w:u w:val="single"/>
        </w:rPr>
      </w:pPr>
      <w:r w:rsidRPr="00252ED1">
        <w:rPr>
          <w:rFonts w:ascii="Calibri" w:hAnsi="Calibri" w:cs="Calibri"/>
          <w:i/>
          <w:iCs/>
          <w:u w:val="single"/>
        </w:rPr>
        <w:t>Stimuleren gebruik interne ICT-pools;</w:t>
      </w:r>
    </w:p>
    <w:p w:rsidRPr="00252ED1" w:rsidR="00F43F5F" w:rsidP="00F43F5F" w:rsidRDefault="00F43F5F" w14:paraId="25B7AF23" w14:textId="77777777">
      <w:pPr>
        <w:pStyle w:val="Lijstalinea"/>
        <w:numPr>
          <w:ilvl w:val="0"/>
          <w:numId w:val="1"/>
        </w:numPr>
        <w:spacing w:after="0" w:line="240" w:lineRule="atLeast"/>
        <w:rPr>
          <w:rFonts w:ascii="Calibri" w:hAnsi="Calibri" w:cs="Calibri"/>
          <w:i/>
          <w:iCs/>
          <w:u w:val="single"/>
        </w:rPr>
      </w:pPr>
      <w:r w:rsidRPr="00252ED1">
        <w:rPr>
          <w:rFonts w:ascii="Calibri" w:hAnsi="Calibri" w:cs="Calibri"/>
          <w:i/>
          <w:iCs/>
          <w:u w:val="single"/>
        </w:rPr>
        <w:t>Positionering als concurrerende ICT-werkgever;</w:t>
      </w:r>
    </w:p>
    <w:p w:rsidRPr="00252ED1" w:rsidR="00F43F5F" w:rsidP="00F43F5F" w:rsidRDefault="00F43F5F" w14:paraId="12C6A94F" w14:textId="77777777">
      <w:pPr>
        <w:pStyle w:val="Lijstalinea"/>
        <w:numPr>
          <w:ilvl w:val="0"/>
          <w:numId w:val="1"/>
        </w:numPr>
        <w:spacing w:after="0" w:line="240" w:lineRule="atLeast"/>
        <w:rPr>
          <w:rFonts w:ascii="Calibri" w:hAnsi="Calibri" w:cs="Calibri"/>
          <w:i/>
          <w:iCs/>
          <w:u w:val="single"/>
        </w:rPr>
      </w:pPr>
      <w:r w:rsidRPr="00252ED1">
        <w:rPr>
          <w:rFonts w:ascii="Calibri" w:hAnsi="Calibri" w:cs="Calibri"/>
          <w:i/>
          <w:iCs/>
          <w:u w:val="single"/>
        </w:rPr>
        <w:t>Duurzame ontwikkeling en retentie van ICT-talent.</w:t>
      </w:r>
    </w:p>
    <w:p w:rsidRPr="00252ED1" w:rsidR="00F43F5F" w:rsidP="00F43F5F" w:rsidRDefault="00F43F5F" w14:paraId="6A59FC23" w14:textId="77777777">
      <w:pPr>
        <w:spacing w:after="0"/>
        <w:rPr>
          <w:rFonts w:ascii="Calibri" w:hAnsi="Calibri" w:cs="Calibri"/>
          <w:b/>
          <w:bCs/>
          <w:u w:val="single"/>
        </w:rPr>
      </w:pPr>
    </w:p>
    <w:p w:rsidR="00252ED1" w:rsidRDefault="00252ED1" w14:paraId="660AA710" w14:textId="77777777">
      <w:pPr>
        <w:rPr>
          <w:rFonts w:ascii="Calibri" w:hAnsi="Calibri" w:cs="Calibri"/>
          <w:b/>
          <w:bCs/>
          <w:u w:val="single"/>
        </w:rPr>
      </w:pPr>
      <w:r>
        <w:rPr>
          <w:rFonts w:ascii="Calibri" w:hAnsi="Calibri" w:cs="Calibri"/>
          <w:b/>
          <w:bCs/>
          <w:u w:val="single"/>
        </w:rPr>
        <w:br w:type="page"/>
      </w:r>
    </w:p>
    <w:p w:rsidRPr="00252ED1" w:rsidR="00F43F5F" w:rsidP="00F43F5F" w:rsidRDefault="00F43F5F" w14:paraId="192AACA6" w14:textId="6A269AB9">
      <w:pPr>
        <w:spacing w:after="0"/>
        <w:rPr>
          <w:rFonts w:ascii="Calibri" w:hAnsi="Calibri" w:cs="Calibri"/>
          <w:b/>
          <w:bCs/>
          <w:u w:val="single"/>
        </w:rPr>
      </w:pPr>
      <w:r w:rsidRPr="00252ED1">
        <w:rPr>
          <w:rFonts w:ascii="Calibri" w:hAnsi="Calibri" w:cs="Calibri"/>
          <w:b/>
          <w:bCs/>
          <w:u w:val="single"/>
        </w:rPr>
        <w:lastRenderedPageBreak/>
        <w:t>Vervolg</w:t>
      </w:r>
    </w:p>
    <w:p w:rsidRPr="00252ED1" w:rsidR="00F43F5F" w:rsidP="00F43F5F" w:rsidRDefault="00F43F5F" w14:paraId="152E1F4B" w14:textId="77777777">
      <w:pPr>
        <w:spacing w:after="0"/>
        <w:rPr>
          <w:rFonts w:ascii="Calibri" w:hAnsi="Calibri" w:cs="Calibri"/>
        </w:rPr>
      </w:pPr>
    </w:p>
    <w:p w:rsidRPr="00252ED1" w:rsidR="00F43F5F" w:rsidP="00F43F5F" w:rsidRDefault="00F43F5F" w14:paraId="2573428F" w14:textId="77777777">
      <w:pPr>
        <w:spacing w:after="0"/>
        <w:rPr>
          <w:rFonts w:ascii="Calibri" w:hAnsi="Calibri" w:cs="Calibri"/>
        </w:rPr>
      </w:pPr>
      <w:r w:rsidRPr="00252ED1">
        <w:rPr>
          <w:rFonts w:ascii="Calibri" w:hAnsi="Calibri" w:cs="Calibri"/>
        </w:rPr>
        <w:t xml:space="preserve">Het kabinet is de ADR en ABD Top Consult erkentelijk voor hun onderzoeken over externe inhuur. Beide onderzoeken dragen bij aan het inzicht van de inhoud en omvang van externe inhuur, de mogelijke oorzaken van overschrijding van de Roemernorm en wat er zou moeten gebeuren om de externe inhuur terug te dringen. </w:t>
      </w:r>
    </w:p>
    <w:p w:rsidRPr="00252ED1" w:rsidR="00F43F5F" w:rsidP="00F43F5F" w:rsidRDefault="00F43F5F" w14:paraId="51CD3846" w14:textId="77777777">
      <w:pPr>
        <w:pStyle w:val="Lijstalinea"/>
        <w:widowControl w:val="0"/>
        <w:tabs>
          <w:tab w:val="left" w:pos="840"/>
        </w:tabs>
        <w:autoSpaceDE w:val="0"/>
        <w:autoSpaceDN w:val="0"/>
        <w:spacing w:after="0" w:line="240" w:lineRule="atLeast"/>
        <w:ind w:left="0"/>
        <w:contextualSpacing w:val="0"/>
        <w:rPr>
          <w:rFonts w:ascii="Calibri" w:hAnsi="Calibri" w:cs="Calibri"/>
        </w:rPr>
      </w:pPr>
    </w:p>
    <w:p w:rsidRPr="00252ED1" w:rsidR="00F43F5F" w:rsidP="00F43F5F" w:rsidRDefault="00F43F5F" w14:paraId="48F4A47B" w14:textId="77777777">
      <w:pPr>
        <w:pStyle w:val="Lijstalinea"/>
        <w:widowControl w:val="0"/>
        <w:tabs>
          <w:tab w:val="left" w:pos="840"/>
        </w:tabs>
        <w:autoSpaceDE w:val="0"/>
        <w:autoSpaceDN w:val="0"/>
        <w:spacing w:after="0" w:line="240" w:lineRule="atLeast"/>
        <w:ind w:left="0"/>
        <w:contextualSpacing w:val="0"/>
        <w:rPr>
          <w:rFonts w:ascii="Calibri" w:hAnsi="Calibri" w:cs="Calibri"/>
        </w:rPr>
      </w:pPr>
      <w:r w:rsidRPr="00252ED1">
        <w:rPr>
          <w:rFonts w:ascii="Calibri" w:hAnsi="Calibri" w:cs="Calibri"/>
        </w:rPr>
        <w:t xml:space="preserve">Uit deze onderzoeken blijkt dat externe inhuur een legitiem instrument is om te voorzien in de noodzakelijke personele capaciteit bij piekbelasting, ziekte, moeilijk vervulbare vacatures en specialistische en innovatieve </w:t>
      </w:r>
      <w:r w:rsidRPr="00252ED1">
        <w:rPr>
          <w:rFonts w:ascii="Calibri" w:hAnsi="Calibri" w:cs="Calibri"/>
          <w:spacing w:val="-2"/>
        </w:rPr>
        <w:t xml:space="preserve">werkzaamheden. Dit laatste vooral op het gebied van ICT. Daarnaast biedt inhuur flexibiliteit bij een veranderende vraag naar capaciteit. </w:t>
      </w:r>
      <w:r w:rsidRPr="00252ED1">
        <w:rPr>
          <w:rFonts w:ascii="Calibri" w:hAnsi="Calibri" w:cs="Calibri"/>
        </w:rPr>
        <w:t xml:space="preserve">In het extreme geval dat er in het geheel geen externe inhuur zou mogen plaatsvinden, zal volgens de ADR de taakuitvoering en maatschappelijke dienstverlening ernstig in gevaar komen. Een zekere mate van externe inhuur wordt gezien als noodzakelijk én gewenst om als overheid haar taken goed te kunnen uitvoeren. Terugkijkend is in 2023 het meest ingehuurd voor ICT- werkzaamheden (44% van de totale uitgaven aan externe inhuur) en voor formatie en piekwerkzaamheden bij uitvoeringsorganisaties (29% van de totale uitgaven aan externe inhuur). </w:t>
      </w:r>
    </w:p>
    <w:p w:rsidRPr="00252ED1" w:rsidR="00F43F5F" w:rsidP="00F43F5F" w:rsidRDefault="00F43F5F" w14:paraId="6C56CE5C" w14:textId="77777777">
      <w:pPr>
        <w:pStyle w:val="Lijstalinea"/>
        <w:widowControl w:val="0"/>
        <w:tabs>
          <w:tab w:val="left" w:pos="840"/>
        </w:tabs>
        <w:autoSpaceDE w:val="0"/>
        <w:autoSpaceDN w:val="0"/>
        <w:spacing w:after="0" w:line="240" w:lineRule="atLeast"/>
        <w:ind w:left="0"/>
        <w:contextualSpacing w:val="0"/>
        <w:rPr>
          <w:rFonts w:ascii="Calibri" w:hAnsi="Calibri" w:cs="Calibri"/>
        </w:rPr>
      </w:pPr>
    </w:p>
    <w:p w:rsidRPr="00252ED1" w:rsidR="00F43F5F" w:rsidP="00F43F5F" w:rsidRDefault="00F43F5F" w14:paraId="59378ACB" w14:textId="77777777">
      <w:pPr>
        <w:spacing w:after="0"/>
        <w:rPr>
          <w:rFonts w:ascii="Calibri" w:hAnsi="Calibri" w:cs="Calibri"/>
        </w:rPr>
      </w:pPr>
      <w:r w:rsidRPr="00252ED1">
        <w:rPr>
          <w:rFonts w:ascii="Calibri" w:hAnsi="Calibri" w:cs="Calibri"/>
        </w:rPr>
        <w:t>De Roemernorm uit 2010 wordt volgens de ADR als gedateerd ervaren. De norm is echter wel alom bekend en heeft in die zin een signaalfunctie. Een alternatieve norm, zoals een gedifferentieerde norm met bijvoorbeeld verschillende percentages per inhuur-categorie, acht de ADR weinig zinvol, omdat dit geen recht doet aan de complexe werkelijkheid. Monitoring én verantwoording over gerealiseerde verbeteringen acht de ADR wel van belang.</w:t>
      </w:r>
    </w:p>
    <w:p w:rsidRPr="00252ED1" w:rsidR="00F43F5F" w:rsidP="00F43F5F" w:rsidRDefault="00F43F5F" w14:paraId="42D472D3" w14:textId="77777777">
      <w:pPr>
        <w:spacing w:after="0"/>
        <w:rPr>
          <w:rFonts w:ascii="Calibri" w:hAnsi="Calibri" w:cs="Calibri"/>
        </w:rPr>
      </w:pPr>
    </w:p>
    <w:p w:rsidRPr="00252ED1" w:rsidR="00F43F5F" w:rsidP="00F43F5F" w:rsidRDefault="00F43F5F" w14:paraId="6B45E3C3" w14:textId="77777777">
      <w:pPr>
        <w:spacing w:after="0"/>
        <w:rPr>
          <w:rFonts w:ascii="Calibri" w:hAnsi="Calibri" w:cs="Calibri"/>
        </w:rPr>
      </w:pPr>
      <w:r w:rsidRPr="00252ED1">
        <w:rPr>
          <w:rFonts w:ascii="Calibri" w:hAnsi="Calibri" w:cs="Calibri"/>
        </w:rPr>
        <w:t xml:space="preserve">Het kabinet houdt dan ook vast aan de doelstelling dat de uitgaven aan externe inhuur in lijn moeten komen met de Roemernorm. De ADR doet in dit kader zowel aanbevelingen die de ministeries en hun uitvoeringsorganisaties zelf op moeten pakken, als aanbevelingen die een </w:t>
      </w:r>
      <w:proofErr w:type="spellStart"/>
      <w:r w:rsidRPr="00252ED1">
        <w:rPr>
          <w:rFonts w:ascii="Calibri" w:hAnsi="Calibri" w:cs="Calibri"/>
        </w:rPr>
        <w:t>rijksbrede</w:t>
      </w:r>
      <w:proofErr w:type="spellEnd"/>
      <w:r w:rsidRPr="00252ED1">
        <w:rPr>
          <w:rFonts w:ascii="Calibri" w:hAnsi="Calibri" w:cs="Calibri"/>
        </w:rPr>
        <w:t xml:space="preserve"> component hebben. Aanbevelingen die betrekking hebben op de interne bedrijfsvoering per ministerie zien op het sturen aan de ‘voorkant’: is de inzet van externe inhuur wel echt nodig? Dit gaat over beleidsmatige afwegingen en het minimaliseren van (externe) capaciteit. Aanbevelingen met een </w:t>
      </w:r>
      <w:proofErr w:type="spellStart"/>
      <w:r w:rsidRPr="00252ED1">
        <w:rPr>
          <w:rFonts w:ascii="Calibri" w:hAnsi="Calibri" w:cs="Calibri"/>
        </w:rPr>
        <w:t>rijksbrede</w:t>
      </w:r>
      <w:proofErr w:type="spellEnd"/>
      <w:r w:rsidRPr="00252ED1">
        <w:rPr>
          <w:rFonts w:ascii="Calibri" w:hAnsi="Calibri" w:cs="Calibri"/>
        </w:rPr>
        <w:t xml:space="preserve"> component gaan over de flexibele inzet van personeel, zoals het werken met diverse pools. De suggestie van de ADR is om dit verder uit te breiden en nog meer dan nu, medewerkers veel flexibeler in te zetten. Dit zou volgens de ADR ook bij kunnen dragen aan de wensen van mensen (ook hen die nog aarzelen om bij de rijkoverheid in dienst te willen komen) voor meer afwisseling/keuze en flexibiliteit in hun werk. Dit zou moeten worden vormgegeven in samenhang met de </w:t>
      </w:r>
      <w:proofErr w:type="spellStart"/>
      <w:r w:rsidRPr="00252ED1">
        <w:rPr>
          <w:rFonts w:ascii="Calibri" w:hAnsi="Calibri" w:cs="Calibri"/>
        </w:rPr>
        <w:t>sourcing</w:t>
      </w:r>
      <w:proofErr w:type="spellEnd"/>
      <w:r w:rsidRPr="00252ED1">
        <w:rPr>
          <w:rFonts w:ascii="Calibri" w:hAnsi="Calibri" w:cs="Calibri"/>
        </w:rPr>
        <w:t xml:space="preserve"> strategieën van de voor taakuitvoering verantwoordelijke (taak)organisaties. Het versterken van samenwerking tussen </w:t>
      </w:r>
      <w:proofErr w:type="spellStart"/>
      <w:r w:rsidRPr="00252ED1">
        <w:rPr>
          <w:rFonts w:ascii="Calibri" w:hAnsi="Calibri" w:cs="Calibri"/>
        </w:rPr>
        <w:t>rijksbrede</w:t>
      </w:r>
      <w:proofErr w:type="spellEnd"/>
      <w:r w:rsidRPr="00252ED1">
        <w:rPr>
          <w:rFonts w:ascii="Calibri" w:hAnsi="Calibri" w:cs="Calibri"/>
        </w:rPr>
        <w:t xml:space="preserve"> (ICT-) dienstverleners past hier goed bij.</w:t>
      </w:r>
    </w:p>
    <w:p w:rsidRPr="00252ED1" w:rsidR="00F43F5F" w:rsidP="00F43F5F" w:rsidRDefault="00F43F5F" w14:paraId="733FAB3E" w14:textId="77777777">
      <w:pPr>
        <w:pStyle w:val="Kopblauwcursief"/>
        <w:spacing w:line="240" w:lineRule="atLeast"/>
        <w:rPr>
          <w:rFonts w:ascii="Calibri" w:hAnsi="Calibri" w:cs="Calibri"/>
          <w:b w:val="0"/>
          <w:bCs/>
          <w:i w:val="0"/>
          <w:iCs/>
          <w:color w:val="auto"/>
          <w:sz w:val="22"/>
          <w:szCs w:val="22"/>
        </w:rPr>
      </w:pPr>
      <w:bookmarkStart w:name="_Hlk191976861" w:id="4"/>
    </w:p>
    <w:p w:rsidRPr="00252ED1" w:rsidR="00F43F5F" w:rsidP="00F43F5F" w:rsidRDefault="00F43F5F" w14:paraId="6C997004" w14:textId="77777777">
      <w:pPr>
        <w:pStyle w:val="Kopblauwcursief"/>
        <w:spacing w:line="240" w:lineRule="atLeast"/>
        <w:rPr>
          <w:rFonts w:ascii="Calibri" w:hAnsi="Calibri" w:cs="Calibri"/>
          <w:b w:val="0"/>
          <w:bCs/>
          <w:i w:val="0"/>
          <w:iCs/>
          <w:color w:val="auto"/>
          <w:sz w:val="22"/>
          <w:szCs w:val="22"/>
        </w:rPr>
      </w:pPr>
      <w:r w:rsidRPr="00252ED1">
        <w:rPr>
          <w:rFonts w:ascii="Calibri" w:hAnsi="Calibri" w:cs="Calibri"/>
          <w:b w:val="0"/>
          <w:bCs/>
          <w:i w:val="0"/>
          <w:iCs/>
          <w:color w:val="auto"/>
          <w:sz w:val="22"/>
          <w:szCs w:val="22"/>
        </w:rPr>
        <w:t xml:space="preserve">Specifiek op het terrein van ICT inhuur beveelt ABD </w:t>
      </w:r>
      <w:proofErr w:type="spellStart"/>
      <w:r w:rsidRPr="00252ED1">
        <w:rPr>
          <w:rFonts w:ascii="Calibri" w:hAnsi="Calibri" w:cs="Calibri"/>
          <w:b w:val="0"/>
          <w:bCs/>
          <w:i w:val="0"/>
          <w:iCs/>
          <w:color w:val="auto"/>
          <w:sz w:val="22"/>
          <w:szCs w:val="22"/>
        </w:rPr>
        <w:t>TopConsult</w:t>
      </w:r>
      <w:proofErr w:type="spellEnd"/>
      <w:r w:rsidRPr="00252ED1">
        <w:rPr>
          <w:rFonts w:ascii="Calibri" w:hAnsi="Calibri" w:cs="Calibri"/>
          <w:b w:val="0"/>
          <w:bCs/>
          <w:i w:val="0"/>
          <w:iCs/>
          <w:color w:val="auto"/>
          <w:sz w:val="22"/>
          <w:szCs w:val="22"/>
        </w:rPr>
        <w:t xml:space="preserve"> in haar onderzoek Grip op ICT inhuur aan om de externe inhuur van ICT’ers terug te dringen. De rode draad door de handelingsperspectieven is dat we bewuster moeten sturen op de ontwikkeling van onze ICT en daarmee dus ook op ICT-inhuur. Ook wordt aangegeven dat de grote vraag naar ICT-capaciteit de komende jaren niet zal afnemen.</w:t>
      </w:r>
      <w:r w:rsidRPr="00252ED1">
        <w:rPr>
          <w:rFonts w:ascii="Calibri" w:hAnsi="Calibri" w:cs="Calibri"/>
          <w:b w:val="0"/>
          <w:i w:val="0"/>
          <w:color w:val="auto"/>
          <w:sz w:val="22"/>
          <w:szCs w:val="22"/>
        </w:rPr>
        <w:t xml:space="preserve"> </w:t>
      </w:r>
      <w:r w:rsidRPr="00252ED1">
        <w:rPr>
          <w:rFonts w:ascii="Calibri" w:hAnsi="Calibri" w:cs="Calibri"/>
          <w:b w:val="0"/>
          <w:bCs/>
          <w:i w:val="0"/>
          <w:iCs/>
          <w:color w:val="auto"/>
          <w:sz w:val="22"/>
          <w:szCs w:val="22"/>
        </w:rPr>
        <w:t>Door de inzet van ICT-middelen zoals arbeidsbesparende technologie/AI/data gedreven werken zorgt dit ervoor dat binnen andere domeinen minder personeel en externe inhuur nodig is. Op de korte termijn vraagt dit echter wel meer ICT-</w:t>
      </w:r>
      <w:proofErr w:type="spellStart"/>
      <w:r w:rsidRPr="00252ED1">
        <w:rPr>
          <w:rFonts w:ascii="Calibri" w:hAnsi="Calibri" w:cs="Calibri"/>
          <w:b w:val="0"/>
          <w:bCs/>
          <w:i w:val="0"/>
          <w:iCs/>
          <w:color w:val="auto"/>
          <w:sz w:val="22"/>
          <w:szCs w:val="22"/>
        </w:rPr>
        <w:t>ers</w:t>
      </w:r>
      <w:proofErr w:type="spellEnd"/>
      <w:r w:rsidRPr="00252ED1">
        <w:rPr>
          <w:rFonts w:ascii="Calibri" w:hAnsi="Calibri" w:cs="Calibri"/>
          <w:b w:val="0"/>
          <w:bCs/>
          <w:i w:val="0"/>
          <w:iCs/>
          <w:color w:val="auto"/>
          <w:sz w:val="22"/>
          <w:szCs w:val="22"/>
        </w:rPr>
        <w:t xml:space="preserve">. Het Rijk staat hierin niet alleen: ook bedrijven herkennen de druk van ICT-ontwikkelingen en de bijbehorende inhuurdiscussies. Een risico is dat organisaties in hun voortbestaan te veel afhankelijk worden van externe inhuur: organisaties waar veel externen werkzaam zijn zouden volgens het advies moeten werken aan een betere integratie van internen en externen, een goede planning van het werk en ontschotting van ICT, HR en Inkoop. </w:t>
      </w:r>
    </w:p>
    <w:bookmarkEnd w:id="4"/>
    <w:p w:rsidRPr="00252ED1" w:rsidR="00F43F5F" w:rsidP="00F43F5F" w:rsidRDefault="00F43F5F" w14:paraId="556B4B74" w14:textId="77777777">
      <w:pPr>
        <w:pStyle w:val="Lijstalinea"/>
        <w:widowControl w:val="0"/>
        <w:tabs>
          <w:tab w:val="left" w:pos="840"/>
        </w:tabs>
        <w:autoSpaceDE w:val="0"/>
        <w:autoSpaceDN w:val="0"/>
        <w:spacing w:after="0" w:line="240" w:lineRule="atLeast"/>
        <w:ind w:left="0"/>
        <w:contextualSpacing w:val="0"/>
        <w:rPr>
          <w:rFonts w:ascii="Calibri" w:hAnsi="Calibri" w:cs="Calibri"/>
        </w:rPr>
      </w:pPr>
    </w:p>
    <w:p w:rsidRPr="00252ED1" w:rsidR="00F43F5F" w:rsidP="00F43F5F" w:rsidRDefault="00F43F5F" w14:paraId="103A80AD" w14:textId="77777777">
      <w:pPr>
        <w:pStyle w:val="Lijstalinea"/>
        <w:widowControl w:val="0"/>
        <w:tabs>
          <w:tab w:val="left" w:pos="840"/>
        </w:tabs>
        <w:autoSpaceDE w:val="0"/>
        <w:autoSpaceDN w:val="0"/>
        <w:spacing w:after="0" w:line="240" w:lineRule="atLeast"/>
        <w:ind w:left="0"/>
        <w:contextualSpacing w:val="0"/>
        <w:rPr>
          <w:rFonts w:ascii="Calibri" w:hAnsi="Calibri" w:cs="Calibri"/>
        </w:rPr>
      </w:pPr>
      <w:r w:rsidRPr="00252ED1">
        <w:rPr>
          <w:rFonts w:ascii="Calibri" w:hAnsi="Calibri" w:cs="Calibri"/>
        </w:rPr>
        <w:t xml:space="preserve">De aanbevelingen uit beide rapporten sluiten aan bij de voornemens die ik heb neergelegd in de brief aan Uw Kamer over de stappen die worden gezet in het kader van de taakstelling en de doorontwikkeling van de Rijksoverheid. Vanuit mijn coördinerende rol zet ik de komende tijd in op de doorontwikkeling van de </w:t>
      </w:r>
      <w:proofErr w:type="spellStart"/>
      <w:r w:rsidRPr="00252ED1">
        <w:rPr>
          <w:rFonts w:ascii="Calibri" w:hAnsi="Calibri" w:cs="Calibri"/>
        </w:rPr>
        <w:t>rijksbrede</w:t>
      </w:r>
      <w:proofErr w:type="spellEnd"/>
      <w:r w:rsidRPr="00252ED1">
        <w:rPr>
          <w:rFonts w:ascii="Calibri" w:hAnsi="Calibri" w:cs="Calibri"/>
        </w:rPr>
        <w:t xml:space="preserve"> bedrijfsvoering, onder andere door medewerkers en middelen opgavegericht in te zetten op departements- en domein overstijgende dossiers. </w:t>
      </w:r>
    </w:p>
    <w:p w:rsidRPr="00252ED1" w:rsidR="00F43F5F" w:rsidP="00F43F5F" w:rsidRDefault="00F43F5F" w14:paraId="2F673707" w14:textId="77777777">
      <w:pPr>
        <w:spacing w:after="0"/>
        <w:rPr>
          <w:rFonts w:ascii="Calibri" w:hAnsi="Calibri" w:cs="Calibri"/>
        </w:rPr>
      </w:pPr>
    </w:p>
    <w:p w:rsidRPr="00252ED1" w:rsidR="00F43F5F" w:rsidP="00F43F5F" w:rsidRDefault="00F43F5F" w14:paraId="25B6DAA4" w14:textId="77777777">
      <w:pPr>
        <w:spacing w:after="0"/>
        <w:rPr>
          <w:rFonts w:ascii="Calibri" w:hAnsi="Calibri" w:cs="Calibri"/>
        </w:rPr>
      </w:pPr>
      <w:r w:rsidRPr="00252ED1">
        <w:rPr>
          <w:rFonts w:ascii="Calibri" w:hAnsi="Calibri" w:cs="Calibri"/>
        </w:rPr>
        <w:t>Daarnaast zal externe inhuur kunnen worden verminderd door in te zetten op het intern uitvoeren van taken waarvoor eerder externe inhuur plaatsvond. Door dergelijke ‘verambtelijking’ neemt de omvang van ‘personeel in dienst’ (de fte’s) toe. Gelet op de toekomstbestendigheid (o.a. borgen kennis) van de Rijksoverheid en het feit dat ‘</w:t>
      </w:r>
      <w:proofErr w:type="spellStart"/>
      <w:r w:rsidRPr="00252ED1">
        <w:rPr>
          <w:rFonts w:ascii="Calibri" w:hAnsi="Calibri" w:cs="Calibri"/>
        </w:rPr>
        <w:t>verambtelijken</w:t>
      </w:r>
      <w:proofErr w:type="spellEnd"/>
      <w:r w:rsidRPr="00252ED1">
        <w:rPr>
          <w:rFonts w:ascii="Calibri" w:hAnsi="Calibri" w:cs="Calibri"/>
        </w:rPr>
        <w:t xml:space="preserve">’ per saldo een financiële besparing oplevert ten opzichte van ‘extern inhuren’, wordt nadrukkelijk door het kabinet geaccepteerd dat </w:t>
      </w:r>
      <w:proofErr w:type="spellStart"/>
      <w:r w:rsidRPr="00252ED1">
        <w:rPr>
          <w:rFonts w:ascii="Calibri" w:hAnsi="Calibri" w:cs="Calibri"/>
        </w:rPr>
        <w:t>verambtelijken</w:t>
      </w:r>
      <w:proofErr w:type="spellEnd"/>
      <w:r w:rsidRPr="00252ED1">
        <w:rPr>
          <w:rFonts w:ascii="Calibri" w:hAnsi="Calibri" w:cs="Calibri"/>
        </w:rPr>
        <w:t xml:space="preserve"> een opwaartse druk geeft op de omvang van het </w:t>
      </w:r>
      <w:proofErr w:type="spellStart"/>
      <w:r w:rsidRPr="00252ED1">
        <w:rPr>
          <w:rFonts w:ascii="Calibri" w:hAnsi="Calibri" w:cs="Calibri"/>
        </w:rPr>
        <w:t>rijksbrede</w:t>
      </w:r>
      <w:proofErr w:type="spellEnd"/>
      <w:r w:rsidRPr="00252ED1">
        <w:rPr>
          <w:rFonts w:ascii="Calibri" w:hAnsi="Calibri" w:cs="Calibri"/>
        </w:rPr>
        <w:t xml:space="preserve"> personeelsbestand. </w:t>
      </w:r>
      <w:bookmarkStart w:name="_Hlk191931213" w:id="5"/>
      <w:r w:rsidRPr="00252ED1">
        <w:rPr>
          <w:rFonts w:ascii="Calibri" w:hAnsi="Calibri" w:cs="Calibri"/>
        </w:rPr>
        <w:t xml:space="preserve">Voorts zal ook de aanpak van de schijnzelfstandigheid (wet DBA) onder meer tot gevolg hebben dat meer medewerkers in ambtelijke dienst zullen worden genomen in plaats van extern ingehuurd, ook leidt dit ertoe dat een aantal zzp-contracten niet wordt verlengd. </w:t>
      </w:r>
    </w:p>
    <w:bookmarkEnd w:id="5"/>
    <w:p w:rsidRPr="00252ED1" w:rsidR="00F43F5F" w:rsidP="00F43F5F" w:rsidRDefault="00F43F5F" w14:paraId="72EE89E9" w14:textId="77777777">
      <w:pPr>
        <w:spacing w:after="0"/>
        <w:rPr>
          <w:rFonts w:ascii="Calibri" w:hAnsi="Calibri" w:cs="Calibri"/>
        </w:rPr>
      </w:pPr>
    </w:p>
    <w:p w:rsidRPr="00252ED1" w:rsidR="00F43F5F" w:rsidP="00F43F5F" w:rsidRDefault="00F43F5F" w14:paraId="442DA2A9" w14:textId="77777777">
      <w:pPr>
        <w:spacing w:after="0"/>
        <w:rPr>
          <w:rFonts w:ascii="Calibri" w:hAnsi="Calibri" w:cs="Calibri"/>
        </w:rPr>
      </w:pPr>
      <w:r w:rsidRPr="00252ED1">
        <w:rPr>
          <w:rFonts w:ascii="Calibri" w:hAnsi="Calibri" w:cs="Calibri"/>
        </w:rPr>
        <w:t>De aanbeveling van de ADR om goed zicht te houden en scherp te blijven op ‘het optimaal inzetten van externe inhuur’ vind ik zinvol. De informatiebronnen om de voortgang te monitoren zijn de begrotingen (september) en jaarverslagen (mei) van de ministeries en hun uitvoeringsorganisaties. Daarin wordt toegelicht wat de ontwikkelingen m.b.t. de externe inhuur zijn en wordt aangegeven wat de stand van zaken is m.b.t. de Roemernorm. Jaarlijks (mei) neem ik dan het samenvattende resultaat van alle ontwikkelingen op in de Jaarrapportage bedrijfsvoering Rijk (JBR). Dit sluit aan bij het in de motie Sneller/Vermeer</w:t>
      </w:r>
      <w:r w:rsidRPr="00252ED1">
        <w:rPr>
          <w:rStyle w:val="Voetnootmarkering"/>
          <w:rFonts w:ascii="Calibri" w:hAnsi="Calibri" w:cs="Calibri"/>
        </w:rPr>
        <w:footnoteReference w:id="11"/>
      </w:r>
      <w:r w:rsidRPr="00252ED1">
        <w:rPr>
          <w:rFonts w:ascii="Calibri" w:hAnsi="Calibri" w:cs="Calibri"/>
        </w:rPr>
        <w:t xml:space="preserve"> gevraagde</w:t>
      </w:r>
      <w:r w:rsidRPr="00252ED1">
        <w:rPr>
          <w:rFonts w:ascii="Calibri" w:hAnsi="Calibri" w:cs="Calibri"/>
          <w:color w:val="333333"/>
          <w:shd w:val="clear" w:color="auto" w:fill="FFFFFF"/>
        </w:rPr>
        <w:t xml:space="preserve">, thans in ontwikkeling </w:t>
      </w:r>
      <w:r w:rsidRPr="00252ED1">
        <w:rPr>
          <w:rFonts w:ascii="Calibri" w:hAnsi="Calibri" w:cs="Calibri"/>
          <w:color w:val="333333"/>
          <w:shd w:val="clear" w:color="auto" w:fill="FFFFFF"/>
        </w:rPr>
        <w:lastRenderedPageBreak/>
        <w:t>zijnde dashboard voor realisatie van de Roemernorm. Schematisch ziet dit er als volgt uit:</w:t>
      </w:r>
    </w:p>
    <w:p w:rsidRPr="00252ED1" w:rsidR="00F43F5F" w:rsidP="00F43F5F" w:rsidRDefault="00F43F5F" w14:paraId="25C60058" w14:textId="77777777">
      <w:pPr>
        <w:spacing w:after="0"/>
        <w:rPr>
          <w:rFonts w:ascii="Calibri" w:hAnsi="Calibri" w:cs="Calibri"/>
          <w:color w:val="333333"/>
          <w:shd w:val="clear" w:color="auto" w:fill="FFFFFF"/>
        </w:rPr>
      </w:pPr>
    </w:p>
    <w:tbl>
      <w:tblPr>
        <w:tblStyle w:val="Tabelraster"/>
        <w:tblW w:w="0" w:type="auto"/>
        <w:tblInd w:w="0" w:type="dxa"/>
        <w:tblLook w:val="04A0" w:firstRow="1" w:lastRow="0" w:firstColumn="1" w:lastColumn="0" w:noHBand="0" w:noVBand="1"/>
      </w:tblPr>
      <w:tblGrid>
        <w:gridCol w:w="2443"/>
        <w:gridCol w:w="2353"/>
        <w:gridCol w:w="2735"/>
      </w:tblGrid>
      <w:tr w:rsidRPr="00252ED1" w:rsidR="00F43F5F" w:rsidTr="00AA43D2" w14:paraId="679BF4BC" w14:textId="77777777">
        <w:tc>
          <w:tcPr>
            <w:tcW w:w="3005" w:type="dxa"/>
          </w:tcPr>
          <w:p w:rsidRPr="00252ED1" w:rsidR="00F43F5F" w:rsidP="00F43F5F" w:rsidRDefault="00F43F5F" w14:paraId="3807E65E" w14:textId="77777777">
            <w:pPr>
              <w:rPr>
                <w:rFonts w:ascii="Calibri" w:hAnsi="Calibri" w:cs="Calibri"/>
                <w:sz w:val="22"/>
                <w:szCs w:val="22"/>
              </w:rPr>
            </w:pPr>
            <w:r w:rsidRPr="00252ED1">
              <w:rPr>
                <w:rFonts w:ascii="Calibri" w:hAnsi="Calibri" w:cs="Calibri"/>
                <w:sz w:val="22"/>
                <w:szCs w:val="22"/>
              </w:rPr>
              <w:t>Wat</w:t>
            </w:r>
          </w:p>
        </w:tc>
        <w:tc>
          <w:tcPr>
            <w:tcW w:w="3006" w:type="dxa"/>
          </w:tcPr>
          <w:p w:rsidRPr="00252ED1" w:rsidR="00F43F5F" w:rsidP="00F43F5F" w:rsidRDefault="00F43F5F" w14:paraId="221D790B" w14:textId="77777777">
            <w:pPr>
              <w:rPr>
                <w:rFonts w:ascii="Calibri" w:hAnsi="Calibri" w:cs="Calibri"/>
                <w:sz w:val="22"/>
                <w:szCs w:val="22"/>
              </w:rPr>
            </w:pPr>
            <w:r w:rsidRPr="00252ED1">
              <w:rPr>
                <w:rFonts w:ascii="Calibri" w:hAnsi="Calibri" w:cs="Calibri"/>
                <w:sz w:val="22"/>
                <w:szCs w:val="22"/>
              </w:rPr>
              <w:t>Wie</w:t>
            </w:r>
          </w:p>
        </w:tc>
        <w:tc>
          <w:tcPr>
            <w:tcW w:w="3006" w:type="dxa"/>
          </w:tcPr>
          <w:p w:rsidRPr="00252ED1" w:rsidR="00F43F5F" w:rsidP="00F43F5F" w:rsidRDefault="00F43F5F" w14:paraId="5FB96D1E" w14:textId="77777777">
            <w:pPr>
              <w:rPr>
                <w:rFonts w:ascii="Calibri" w:hAnsi="Calibri" w:cs="Calibri"/>
                <w:sz w:val="22"/>
                <w:szCs w:val="22"/>
              </w:rPr>
            </w:pPr>
            <w:r w:rsidRPr="00252ED1">
              <w:rPr>
                <w:rFonts w:ascii="Calibri" w:hAnsi="Calibri" w:cs="Calibri"/>
                <w:sz w:val="22"/>
                <w:szCs w:val="22"/>
              </w:rPr>
              <w:t>Rapportages</w:t>
            </w:r>
          </w:p>
        </w:tc>
      </w:tr>
      <w:tr w:rsidRPr="00252ED1" w:rsidR="00F43F5F" w:rsidTr="00AA43D2" w14:paraId="4C295BC2" w14:textId="77777777">
        <w:tc>
          <w:tcPr>
            <w:tcW w:w="3005" w:type="dxa"/>
          </w:tcPr>
          <w:p w:rsidRPr="00252ED1" w:rsidR="00F43F5F" w:rsidP="00F43F5F" w:rsidRDefault="00F43F5F" w14:paraId="6508AC28" w14:textId="77777777">
            <w:pPr>
              <w:rPr>
                <w:rFonts w:ascii="Calibri" w:hAnsi="Calibri" w:cs="Calibri"/>
                <w:sz w:val="22"/>
                <w:szCs w:val="22"/>
              </w:rPr>
            </w:pPr>
            <w:r w:rsidRPr="00252ED1">
              <w:rPr>
                <w:rFonts w:ascii="Calibri" w:hAnsi="Calibri" w:cs="Calibri"/>
                <w:sz w:val="22"/>
                <w:szCs w:val="22"/>
              </w:rPr>
              <w:t>Stand van zaken terugdringen externe inhuur per ministerie</w:t>
            </w:r>
          </w:p>
        </w:tc>
        <w:tc>
          <w:tcPr>
            <w:tcW w:w="3006" w:type="dxa"/>
          </w:tcPr>
          <w:p w:rsidRPr="00252ED1" w:rsidR="00F43F5F" w:rsidP="00F43F5F" w:rsidRDefault="00F43F5F" w14:paraId="18C16EE6" w14:textId="77777777">
            <w:pPr>
              <w:rPr>
                <w:rFonts w:ascii="Calibri" w:hAnsi="Calibri" w:cs="Calibri"/>
                <w:sz w:val="22"/>
                <w:szCs w:val="22"/>
              </w:rPr>
            </w:pPr>
            <w:r w:rsidRPr="00252ED1">
              <w:rPr>
                <w:rFonts w:ascii="Calibri" w:hAnsi="Calibri" w:cs="Calibri"/>
                <w:sz w:val="22"/>
                <w:szCs w:val="22"/>
              </w:rPr>
              <w:t>Alle ministeries</w:t>
            </w:r>
          </w:p>
        </w:tc>
        <w:tc>
          <w:tcPr>
            <w:tcW w:w="3006" w:type="dxa"/>
          </w:tcPr>
          <w:p w:rsidRPr="00252ED1" w:rsidR="00F43F5F" w:rsidP="00F43F5F" w:rsidRDefault="00F43F5F" w14:paraId="4FC82467" w14:textId="77777777">
            <w:pPr>
              <w:rPr>
                <w:rFonts w:ascii="Calibri" w:hAnsi="Calibri" w:cs="Calibri"/>
                <w:sz w:val="22"/>
                <w:szCs w:val="22"/>
              </w:rPr>
            </w:pPr>
            <w:r w:rsidRPr="00252ED1">
              <w:rPr>
                <w:rFonts w:ascii="Calibri" w:hAnsi="Calibri" w:cs="Calibri"/>
                <w:sz w:val="22"/>
                <w:szCs w:val="22"/>
              </w:rPr>
              <w:t>Departementale begroting (september)/jaarverslag (mei)</w:t>
            </w:r>
          </w:p>
        </w:tc>
      </w:tr>
      <w:tr w:rsidRPr="00252ED1" w:rsidR="00F43F5F" w:rsidTr="00AA43D2" w14:paraId="674E2C33" w14:textId="77777777">
        <w:tc>
          <w:tcPr>
            <w:tcW w:w="3005" w:type="dxa"/>
          </w:tcPr>
          <w:p w:rsidRPr="00252ED1" w:rsidR="00F43F5F" w:rsidP="00F43F5F" w:rsidRDefault="00F43F5F" w14:paraId="69B2013C" w14:textId="77777777">
            <w:pPr>
              <w:rPr>
                <w:rFonts w:ascii="Calibri" w:hAnsi="Calibri" w:cs="Calibri"/>
                <w:sz w:val="22"/>
                <w:szCs w:val="22"/>
              </w:rPr>
            </w:pPr>
            <w:r w:rsidRPr="00252ED1">
              <w:rPr>
                <w:rFonts w:ascii="Calibri" w:hAnsi="Calibri" w:cs="Calibri"/>
                <w:sz w:val="22"/>
                <w:szCs w:val="22"/>
              </w:rPr>
              <w:t xml:space="preserve">Overzicht </w:t>
            </w:r>
            <w:proofErr w:type="spellStart"/>
            <w:r w:rsidRPr="00252ED1">
              <w:rPr>
                <w:rFonts w:ascii="Calibri" w:hAnsi="Calibri" w:cs="Calibri"/>
                <w:sz w:val="22"/>
                <w:szCs w:val="22"/>
              </w:rPr>
              <w:t>rijksbrede</w:t>
            </w:r>
            <w:proofErr w:type="spellEnd"/>
            <w:r w:rsidRPr="00252ED1">
              <w:rPr>
                <w:rFonts w:ascii="Calibri" w:hAnsi="Calibri" w:cs="Calibri"/>
                <w:sz w:val="22"/>
                <w:szCs w:val="22"/>
              </w:rPr>
              <w:t xml:space="preserve"> externe inhuur stand van zaken en gerealiseerde verbeteringen</w:t>
            </w:r>
          </w:p>
        </w:tc>
        <w:tc>
          <w:tcPr>
            <w:tcW w:w="3006" w:type="dxa"/>
          </w:tcPr>
          <w:p w:rsidRPr="00252ED1" w:rsidR="00F43F5F" w:rsidP="00F43F5F" w:rsidRDefault="00F43F5F" w14:paraId="6CE639E1" w14:textId="77777777">
            <w:pPr>
              <w:rPr>
                <w:rFonts w:ascii="Calibri" w:hAnsi="Calibri" w:cs="Calibri"/>
                <w:sz w:val="22"/>
                <w:szCs w:val="22"/>
              </w:rPr>
            </w:pPr>
            <w:r w:rsidRPr="00252ED1">
              <w:rPr>
                <w:rFonts w:ascii="Calibri" w:hAnsi="Calibri" w:cs="Calibri"/>
                <w:sz w:val="22"/>
                <w:szCs w:val="22"/>
              </w:rPr>
              <w:t>BZK</w:t>
            </w:r>
          </w:p>
        </w:tc>
        <w:tc>
          <w:tcPr>
            <w:tcW w:w="3006" w:type="dxa"/>
          </w:tcPr>
          <w:p w:rsidRPr="00252ED1" w:rsidR="00F43F5F" w:rsidP="00F43F5F" w:rsidRDefault="00F43F5F" w14:paraId="574759D5" w14:textId="77777777">
            <w:pPr>
              <w:rPr>
                <w:rFonts w:ascii="Calibri" w:hAnsi="Calibri" w:cs="Calibri"/>
                <w:sz w:val="22"/>
                <w:szCs w:val="22"/>
              </w:rPr>
            </w:pPr>
            <w:r w:rsidRPr="00252ED1">
              <w:rPr>
                <w:rFonts w:ascii="Calibri" w:hAnsi="Calibri" w:cs="Calibri"/>
                <w:sz w:val="22"/>
                <w:szCs w:val="22"/>
              </w:rPr>
              <w:t>Jaarrapportage bedrijfsvoering Rijk (mei)</w:t>
            </w:r>
          </w:p>
        </w:tc>
      </w:tr>
      <w:tr w:rsidRPr="00252ED1" w:rsidR="00F43F5F" w:rsidTr="00AA43D2" w14:paraId="3D6E26FA" w14:textId="77777777">
        <w:tc>
          <w:tcPr>
            <w:tcW w:w="3005" w:type="dxa"/>
          </w:tcPr>
          <w:p w:rsidRPr="00252ED1" w:rsidR="00F43F5F" w:rsidP="00F43F5F" w:rsidRDefault="00F43F5F" w14:paraId="3D0288FA" w14:textId="77777777">
            <w:pPr>
              <w:rPr>
                <w:rFonts w:ascii="Calibri" w:hAnsi="Calibri" w:cs="Calibri"/>
                <w:sz w:val="22"/>
                <w:szCs w:val="22"/>
              </w:rPr>
            </w:pPr>
            <w:r w:rsidRPr="00252ED1">
              <w:rPr>
                <w:rFonts w:ascii="Calibri" w:hAnsi="Calibri" w:cs="Calibri"/>
                <w:sz w:val="22"/>
                <w:szCs w:val="22"/>
              </w:rPr>
              <w:t xml:space="preserve">Dashboard externe inhuur </w:t>
            </w:r>
          </w:p>
        </w:tc>
        <w:tc>
          <w:tcPr>
            <w:tcW w:w="3006" w:type="dxa"/>
          </w:tcPr>
          <w:p w:rsidRPr="00252ED1" w:rsidR="00F43F5F" w:rsidP="00F43F5F" w:rsidRDefault="00F43F5F" w14:paraId="254DC09B" w14:textId="77777777">
            <w:pPr>
              <w:rPr>
                <w:rFonts w:ascii="Calibri" w:hAnsi="Calibri" w:cs="Calibri"/>
                <w:sz w:val="22"/>
                <w:szCs w:val="22"/>
              </w:rPr>
            </w:pPr>
            <w:r w:rsidRPr="00252ED1">
              <w:rPr>
                <w:rFonts w:ascii="Calibri" w:hAnsi="Calibri" w:cs="Calibri"/>
                <w:sz w:val="22"/>
                <w:szCs w:val="22"/>
              </w:rPr>
              <w:t>BZK</w:t>
            </w:r>
          </w:p>
        </w:tc>
        <w:tc>
          <w:tcPr>
            <w:tcW w:w="3006" w:type="dxa"/>
          </w:tcPr>
          <w:p w:rsidRPr="00252ED1" w:rsidR="00F43F5F" w:rsidP="00F43F5F" w:rsidRDefault="00F43F5F" w14:paraId="32E2AF5C" w14:textId="77777777">
            <w:pPr>
              <w:rPr>
                <w:rFonts w:ascii="Calibri" w:hAnsi="Calibri" w:cs="Calibri"/>
                <w:sz w:val="22"/>
                <w:szCs w:val="22"/>
              </w:rPr>
            </w:pPr>
            <w:r w:rsidRPr="00252ED1">
              <w:rPr>
                <w:rFonts w:ascii="Calibri" w:hAnsi="Calibri" w:cs="Calibri"/>
                <w:sz w:val="22"/>
                <w:szCs w:val="22"/>
              </w:rPr>
              <w:t>In ontwikkeling</w:t>
            </w:r>
          </w:p>
        </w:tc>
      </w:tr>
    </w:tbl>
    <w:p w:rsidRPr="00252ED1" w:rsidR="00F43F5F" w:rsidP="00F43F5F" w:rsidRDefault="00F43F5F" w14:paraId="45DA1465" w14:textId="77777777">
      <w:pPr>
        <w:spacing w:after="0"/>
        <w:rPr>
          <w:rFonts w:ascii="Calibri" w:hAnsi="Calibri" w:cs="Calibri"/>
        </w:rPr>
      </w:pPr>
    </w:p>
    <w:p w:rsidRPr="00252ED1" w:rsidR="00F43F5F" w:rsidP="00F43F5F" w:rsidRDefault="00F43F5F" w14:paraId="5A4D3CC8" w14:textId="77777777">
      <w:pPr>
        <w:spacing w:after="0"/>
        <w:rPr>
          <w:rFonts w:ascii="Calibri" w:hAnsi="Calibri" w:cs="Calibri"/>
        </w:rPr>
      </w:pPr>
      <w:r w:rsidRPr="00252ED1">
        <w:rPr>
          <w:rFonts w:ascii="Calibri" w:hAnsi="Calibri" w:cs="Calibri"/>
        </w:rPr>
        <w:t xml:space="preserve">Zoals hierboven aangegeven, is het primair de verantwoordelijkheid van de ministeries en hun uitvoeringsorganisaties om de externe inhuur terug te dringen. Ik kan en wil daar niet in treden omdat ministeries en hun uitvoeringsorganisaties zelf het beste kunnen beoordelen of in bepaalde, specifieke gevallen externe inhuur nodig is voor de taakuitvoering en maatschappelijke dienstverlening. </w:t>
      </w:r>
    </w:p>
    <w:p w:rsidRPr="00252ED1" w:rsidR="00F43F5F" w:rsidP="00F43F5F" w:rsidRDefault="00F43F5F" w14:paraId="6021B98B" w14:textId="77777777">
      <w:pPr>
        <w:spacing w:after="0"/>
        <w:rPr>
          <w:rFonts w:ascii="Calibri" w:hAnsi="Calibri" w:cs="Calibri"/>
        </w:rPr>
      </w:pPr>
    </w:p>
    <w:p w:rsidRPr="00252ED1" w:rsidR="00F43F5F" w:rsidP="00F43F5F" w:rsidRDefault="00F43F5F" w14:paraId="08D7F120" w14:textId="77777777">
      <w:pPr>
        <w:spacing w:after="0"/>
        <w:rPr>
          <w:rFonts w:ascii="Calibri" w:hAnsi="Calibri" w:cs="Calibri"/>
        </w:rPr>
      </w:pPr>
      <w:bookmarkStart w:name="_Hlk192659558" w:id="6"/>
      <w:r w:rsidRPr="00252ED1">
        <w:rPr>
          <w:rFonts w:ascii="Calibri" w:hAnsi="Calibri" w:cs="Calibri"/>
        </w:rPr>
        <w:t>Desalniettemin acht ik het van belang dat de trend dat de Roemernorm wordt overschreden, wordt doorbroken en er een daling zal worden gerealiseerd. Ik zal daarom de voortgang van de reductie periodiek bespreken in de Ministeriële Commissie Taakstelling Rijksdienst. In mei 2025 verschijnen de rapportages over het jaar 2024, de stand ten opzichte van de Roemernorm in 2024 is de zogenaamde 0-meting. In de daaropvolgende rapportages wordt de voortgang gemonitord. Indien daaruit blijkt dat de stijgende trend niet wordt doorbroken, zal ik op dat moment in overleg met de collega’s bezien welke aanvullende maatregelen nodig zijn.</w:t>
      </w:r>
    </w:p>
    <w:bookmarkEnd w:id="6"/>
    <w:p w:rsidRPr="00252ED1" w:rsidR="00F43F5F" w:rsidP="00F43F5F" w:rsidRDefault="00F43F5F" w14:paraId="5F4A141E" w14:textId="77777777">
      <w:pPr>
        <w:spacing w:after="0"/>
        <w:rPr>
          <w:rFonts w:ascii="Calibri" w:hAnsi="Calibri" w:cs="Calibri"/>
        </w:rPr>
      </w:pPr>
    </w:p>
    <w:p w:rsidRPr="00252ED1" w:rsidR="00F43F5F" w:rsidP="00F43F5F" w:rsidRDefault="00F43F5F" w14:paraId="37F2A548" w14:textId="77777777">
      <w:pPr>
        <w:spacing w:after="0"/>
        <w:rPr>
          <w:rFonts w:ascii="Calibri" w:hAnsi="Calibri" w:cs="Calibri"/>
        </w:rPr>
      </w:pPr>
      <w:r w:rsidRPr="00252ED1">
        <w:rPr>
          <w:rFonts w:ascii="Calibri" w:hAnsi="Calibri" w:cs="Calibri"/>
        </w:rPr>
        <w:t>De minister van Binnenlandse Zaken en Koninkrijksrelaties,</w:t>
      </w:r>
    </w:p>
    <w:p w:rsidRPr="00252ED1" w:rsidR="00F43F5F" w:rsidP="00F43F5F" w:rsidRDefault="00F43F5F" w14:paraId="0558115B" w14:textId="77777777">
      <w:pPr>
        <w:spacing w:after="0"/>
        <w:rPr>
          <w:rFonts w:ascii="Calibri" w:hAnsi="Calibri" w:cs="Calibri"/>
        </w:rPr>
      </w:pPr>
      <w:r w:rsidRPr="00252ED1">
        <w:rPr>
          <w:rFonts w:ascii="Calibri" w:hAnsi="Calibri" w:cs="Calibri"/>
        </w:rPr>
        <w:t xml:space="preserve">J.J.M. </w:t>
      </w:r>
      <w:proofErr w:type="spellStart"/>
      <w:r w:rsidRPr="00252ED1">
        <w:rPr>
          <w:rFonts w:ascii="Calibri" w:hAnsi="Calibri" w:cs="Calibri"/>
        </w:rPr>
        <w:t>Uitermark</w:t>
      </w:r>
      <w:proofErr w:type="spellEnd"/>
    </w:p>
    <w:p w:rsidRPr="00252ED1" w:rsidR="00F80165" w:rsidP="00F43F5F" w:rsidRDefault="00F80165" w14:paraId="1E9E8842" w14:textId="77777777">
      <w:pPr>
        <w:spacing w:after="0"/>
        <w:rPr>
          <w:rFonts w:ascii="Calibri" w:hAnsi="Calibri" w:cs="Calibri"/>
        </w:rPr>
      </w:pPr>
    </w:p>
    <w:sectPr w:rsidRPr="00252ED1" w:rsidR="00F80165" w:rsidSect="00F43F5F">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04BCB" w14:textId="77777777" w:rsidR="00F43F5F" w:rsidRDefault="00F43F5F" w:rsidP="00F43F5F">
      <w:pPr>
        <w:spacing w:after="0" w:line="240" w:lineRule="auto"/>
      </w:pPr>
      <w:r>
        <w:separator/>
      </w:r>
    </w:p>
  </w:endnote>
  <w:endnote w:type="continuationSeparator" w:id="0">
    <w:p w14:paraId="6BAE0734" w14:textId="77777777" w:rsidR="00F43F5F" w:rsidRDefault="00F43F5F" w:rsidP="00F4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Hoofdtekst)">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649C" w14:textId="77777777" w:rsidR="00222A82" w:rsidRPr="00F43F5F" w:rsidRDefault="00222A82" w:rsidP="00F43F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0C9FC" w14:textId="77777777" w:rsidR="00222A82" w:rsidRPr="00F43F5F" w:rsidRDefault="00222A82" w:rsidP="00F43F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F91B" w14:textId="77777777" w:rsidR="00222A82" w:rsidRPr="00F43F5F" w:rsidRDefault="00222A82" w:rsidP="00F43F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77C89" w14:textId="77777777" w:rsidR="00F43F5F" w:rsidRDefault="00F43F5F" w:rsidP="00F43F5F">
      <w:pPr>
        <w:spacing w:after="0" w:line="240" w:lineRule="auto"/>
      </w:pPr>
      <w:r>
        <w:separator/>
      </w:r>
    </w:p>
  </w:footnote>
  <w:footnote w:type="continuationSeparator" w:id="0">
    <w:p w14:paraId="68B02DCC" w14:textId="77777777" w:rsidR="00F43F5F" w:rsidRDefault="00F43F5F" w:rsidP="00F43F5F">
      <w:pPr>
        <w:spacing w:after="0" w:line="240" w:lineRule="auto"/>
      </w:pPr>
      <w:r>
        <w:continuationSeparator/>
      </w:r>
    </w:p>
  </w:footnote>
  <w:footnote w:id="1">
    <w:p w14:paraId="15A7725E" w14:textId="77777777" w:rsidR="00F43F5F" w:rsidRPr="00252ED1" w:rsidRDefault="00F43F5F" w:rsidP="00F43F5F">
      <w:pPr>
        <w:pStyle w:val="Voetnoottekst"/>
        <w:rPr>
          <w:rFonts w:ascii="Calibri" w:hAnsi="Calibri" w:cs="Calibri"/>
          <w:lang w:val="en-US"/>
        </w:rPr>
      </w:pPr>
      <w:r w:rsidRPr="00252ED1">
        <w:rPr>
          <w:rStyle w:val="Voetnootmarkering"/>
          <w:rFonts w:ascii="Calibri" w:hAnsi="Calibri" w:cs="Calibri"/>
        </w:rPr>
        <w:footnoteRef/>
      </w:r>
      <w:r w:rsidRPr="00252ED1">
        <w:rPr>
          <w:rFonts w:ascii="Calibri" w:hAnsi="Calibri" w:cs="Calibri"/>
        </w:rPr>
        <w:t xml:space="preserve"> </w:t>
      </w:r>
    </w:p>
    <w:tbl>
      <w:tblPr>
        <w:tblW w:w="5357" w:type="dxa"/>
        <w:tblLayout w:type="fixed"/>
        <w:tblCellMar>
          <w:left w:w="0" w:type="dxa"/>
          <w:right w:w="0" w:type="dxa"/>
        </w:tblCellMar>
        <w:tblLook w:val="0000" w:firstRow="0" w:lastRow="0" w:firstColumn="0" w:lastColumn="0" w:noHBand="0" w:noVBand="0"/>
      </w:tblPr>
      <w:tblGrid>
        <w:gridCol w:w="562"/>
        <w:gridCol w:w="567"/>
        <w:gridCol w:w="567"/>
        <w:gridCol w:w="541"/>
        <w:gridCol w:w="567"/>
        <w:gridCol w:w="567"/>
        <w:gridCol w:w="567"/>
        <w:gridCol w:w="567"/>
        <w:gridCol w:w="426"/>
        <w:gridCol w:w="426"/>
      </w:tblGrid>
      <w:tr w:rsidR="00F43F5F" w:rsidRPr="00252ED1" w14:paraId="6ABE9903" w14:textId="77777777" w:rsidTr="001A78D7">
        <w:trPr>
          <w:trHeight w:val="330"/>
        </w:trPr>
        <w:tc>
          <w:tcPr>
            <w:tcW w:w="562" w:type="dxa"/>
            <w:tcBorders>
              <w:top w:val="single" w:sz="4" w:space="0" w:color="000000"/>
              <w:left w:val="single" w:sz="4" w:space="0" w:color="000000"/>
              <w:bottom w:val="single" w:sz="4" w:space="0" w:color="000000"/>
              <w:right w:val="single" w:sz="4" w:space="0" w:color="000000"/>
            </w:tcBorders>
            <w:shd w:val="clear" w:color="auto" w:fill="F2F2F2"/>
          </w:tcPr>
          <w:p w14:paraId="53DB4D19"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2023</w:t>
            </w:r>
          </w:p>
        </w:tc>
        <w:tc>
          <w:tcPr>
            <w:tcW w:w="567" w:type="dxa"/>
            <w:tcBorders>
              <w:top w:val="single" w:sz="4" w:space="0" w:color="000000"/>
              <w:left w:val="none" w:sz="6" w:space="0" w:color="auto"/>
              <w:bottom w:val="single" w:sz="4" w:space="0" w:color="000000"/>
              <w:right w:val="single" w:sz="4" w:space="0" w:color="000000"/>
            </w:tcBorders>
            <w:shd w:val="clear" w:color="auto" w:fill="F2F2F2"/>
          </w:tcPr>
          <w:p w14:paraId="1F29A6D4"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1BF1D854"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2021</w:t>
            </w:r>
          </w:p>
        </w:tc>
        <w:tc>
          <w:tcPr>
            <w:tcW w:w="541" w:type="dxa"/>
            <w:tcBorders>
              <w:top w:val="single" w:sz="4" w:space="0" w:color="000000"/>
              <w:left w:val="single" w:sz="4" w:space="0" w:color="000000"/>
              <w:bottom w:val="single" w:sz="4" w:space="0" w:color="000000"/>
              <w:right w:val="single" w:sz="4" w:space="0" w:color="000000"/>
            </w:tcBorders>
            <w:shd w:val="clear" w:color="auto" w:fill="F2F2F2"/>
          </w:tcPr>
          <w:p w14:paraId="2804C2AB"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2020</w:t>
            </w:r>
          </w:p>
        </w:tc>
        <w:tc>
          <w:tcPr>
            <w:tcW w:w="567" w:type="dxa"/>
            <w:tcBorders>
              <w:top w:val="single" w:sz="4" w:space="0" w:color="000000"/>
              <w:left w:val="single" w:sz="4" w:space="0" w:color="000000"/>
              <w:bottom w:val="single" w:sz="4" w:space="0" w:color="000000"/>
              <w:right w:val="single" w:sz="6" w:space="0" w:color="000000"/>
            </w:tcBorders>
            <w:shd w:val="clear" w:color="auto" w:fill="F2F2F2"/>
          </w:tcPr>
          <w:p w14:paraId="59ACDDC8"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2019</w:t>
            </w:r>
          </w:p>
        </w:tc>
        <w:tc>
          <w:tcPr>
            <w:tcW w:w="567" w:type="dxa"/>
            <w:tcBorders>
              <w:top w:val="single" w:sz="4" w:space="0" w:color="000000"/>
              <w:left w:val="single" w:sz="6" w:space="0" w:color="000000"/>
              <w:bottom w:val="single" w:sz="4" w:space="0" w:color="000000"/>
              <w:right w:val="single" w:sz="4" w:space="0" w:color="000000"/>
            </w:tcBorders>
            <w:shd w:val="clear" w:color="auto" w:fill="F2F2F2"/>
          </w:tcPr>
          <w:p w14:paraId="57C51C51"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3FDC4763"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14:paraId="00AB7364"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2016</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Pr>
          <w:p w14:paraId="4C766F50"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2015</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Pr>
          <w:p w14:paraId="76991B70"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2014</w:t>
            </w:r>
          </w:p>
        </w:tc>
      </w:tr>
      <w:tr w:rsidR="00F43F5F" w:rsidRPr="00252ED1" w14:paraId="5CB8A939" w14:textId="77777777" w:rsidTr="001A78D7">
        <w:trPr>
          <w:trHeight w:val="322"/>
        </w:trPr>
        <w:tc>
          <w:tcPr>
            <w:tcW w:w="562" w:type="dxa"/>
            <w:tcBorders>
              <w:top w:val="single" w:sz="4" w:space="0" w:color="000000"/>
              <w:left w:val="single" w:sz="4" w:space="0" w:color="000000"/>
              <w:bottom w:val="single" w:sz="6" w:space="0" w:color="000000"/>
              <w:right w:val="single" w:sz="4" w:space="0" w:color="000000"/>
            </w:tcBorders>
          </w:tcPr>
          <w:p w14:paraId="2D00F5B6"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15,4%</w:t>
            </w:r>
          </w:p>
        </w:tc>
        <w:tc>
          <w:tcPr>
            <w:tcW w:w="567" w:type="dxa"/>
            <w:tcBorders>
              <w:top w:val="single" w:sz="4" w:space="0" w:color="000000"/>
              <w:left w:val="none" w:sz="6" w:space="0" w:color="auto"/>
              <w:bottom w:val="single" w:sz="6" w:space="0" w:color="000000"/>
              <w:right w:val="single" w:sz="4" w:space="0" w:color="000000"/>
            </w:tcBorders>
          </w:tcPr>
          <w:p w14:paraId="18DF16FE"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14,2%</w:t>
            </w:r>
          </w:p>
        </w:tc>
        <w:tc>
          <w:tcPr>
            <w:tcW w:w="567" w:type="dxa"/>
            <w:tcBorders>
              <w:top w:val="single" w:sz="4" w:space="0" w:color="000000"/>
              <w:left w:val="single" w:sz="4" w:space="0" w:color="000000"/>
              <w:bottom w:val="single" w:sz="6" w:space="0" w:color="000000"/>
              <w:right w:val="single" w:sz="4" w:space="0" w:color="000000"/>
            </w:tcBorders>
          </w:tcPr>
          <w:p w14:paraId="4181D9E0"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13,4%</w:t>
            </w:r>
          </w:p>
        </w:tc>
        <w:tc>
          <w:tcPr>
            <w:tcW w:w="541" w:type="dxa"/>
            <w:tcBorders>
              <w:top w:val="single" w:sz="4" w:space="0" w:color="000000"/>
              <w:left w:val="single" w:sz="4" w:space="0" w:color="000000"/>
              <w:bottom w:val="single" w:sz="6" w:space="0" w:color="000000"/>
              <w:right w:val="single" w:sz="4" w:space="0" w:color="000000"/>
            </w:tcBorders>
          </w:tcPr>
          <w:p w14:paraId="2D904AC8"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12,2%</w:t>
            </w:r>
          </w:p>
        </w:tc>
        <w:tc>
          <w:tcPr>
            <w:tcW w:w="567" w:type="dxa"/>
            <w:tcBorders>
              <w:top w:val="single" w:sz="4" w:space="0" w:color="000000"/>
              <w:left w:val="single" w:sz="4" w:space="0" w:color="000000"/>
              <w:bottom w:val="single" w:sz="6" w:space="0" w:color="000000"/>
              <w:right w:val="single" w:sz="6" w:space="0" w:color="000000"/>
            </w:tcBorders>
          </w:tcPr>
          <w:p w14:paraId="13919D6C"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10,3%</w:t>
            </w:r>
          </w:p>
        </w:tc>
        <w:tc>
          <w:tcPr>
            <w:tcW w:w="567" w:type="dxa"/>
            <w:tcBorders>
              <w:top w:val="single" w:sz="4" w:space="0" w:color="000000"/>
              <w:left w:val="single" w:sz="6" w:space="0" w:color="000000"/>
              <w:bottom w:val="single" w:sz="6" w:space="0" w:color="000000"/>
              <w:right w:val="single" w:sz="4" w:space="0" w:color="000000"/>
            </w:tcBorders>
          </w:tcPr>
          <w:p w14:paraId="5450E5A4"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10,7%</w:t>
            </w:r>
          </w:p>
        </w:tc>
        <w:tc>
          <w:tcPr>
            <w:tcW w:w="567" w:type="dxa"/>
            <w:tcBorders>
              <w:top w:val="single" w:sz="4" w:space="0" w:color="000000"/>
              <w:left w:val="single" w:sz="4" w:space="0" w:color="000000"/>
              <w:bottom w:val="single" w:sz="6" w:space="0" w:color="000000"/>
              <w:right w:val="single" w:sz="4" w:space="0" w:color="000000"/>
            </w:tcBorders>
          </w:tcPr>
          <w:p w14:paraId="3E86A144"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10,4%</w:t>
            </w:r>
          </w:p>
        </w:tc>
        <w:tc>
          <w:tcPr>
            <w:tcW w:w="567" w:type="dxa"/>
            <w:tcBorders>
              <w:top w:val="single" w:sz="4" w:space="0" w:color="000000"/>
              <w:left w:val="single" w:sz="4" w:space="0" w:color="000000"/>
              <w:bottom w:val="single" w:sz="6" w:space="0" w:color="000000"/>
              <w:right w:val="single" w:sz="4" w:space="0" w:color="000000"/>
            </w:tcBorders>
          </w:tcPr>
          <w:p w14:paraId="4DE57BA1"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10,7%</w:t>
            </w:r>
          </w:p>
        </w:tc>
        <w:tc>
          <w:tcPr>
            <w:tcW w:w="426" w:type="dxa"/>
            <w:tcBorders>
              <w:top w:val="single" w:sz="4" w:space="0" w:color="000000"/>
              <w:left w:val="single" w:sz="4" w:space="0" w:color="000000"/>
              <w:bottom w:val="single" w:sz="6" w:space="0" w:color="000000"/>
              <w:right w:val="single" w:sz="4" w:space="0" w:color="000000"/>
            </w:tcBorders>
          </w:tcPr>
          <w:p w14:paraId="77C4A5BA"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9,6%</w:t>
            </w:r>
          </w:p>
        </w:tc>
        <w:tc>
          <w:tcPr>
            <w:tcW w:w="426" w:type="dxa"/>
            <w:tcBorders>
              <w:top w:val="single" w:sz="4" w:space="0" w:color="000000"/>
              <w:left w:val="single" w:sz="4" w:space="0" w:color="000000"/>
              <w:bottom w:val="single" w:sz="6" w:space="0" w:color="000000"/>
              <w:right w:val="single" w:sz="4" w:space="0" w:color="000000"/>
            </w:tcBorders>
          </w:tcPr>
          <w:p w14:paraId="4E16D365" w14:textId="77777777" w:rsidR="00F43F5F" w:rsidRPr="00252ED1" w:rsidRDefault="00F43F5F" w:rsidP="001A78D7">
            <w:pPr>
              <w:kinsoku w:val="0"/>
              <w:overflowPunct w:val="0"/>
              <w:autoSpaceDE w:val="0"/>
              <w:adjustRightInd w:val="0"/>
              <w:rPr>
                <w:rFonts w:ascii="Calibri" w:hAnsi="Calibri" w:cs="Calibri"/>
                <w:spacing w:val="-4"/>
                <w:sz w:val="20"/>
                <w:szCs w:val="20"/>
              </w:rPr>
            </w:pPr>
            <w:r w:rsidRPr="00252ED1">
              <w:rPr>
                <w:rFonts w:ascii="Calibri" w:hAnsi="Calibri" w:cs="Calibri"/>
                <w:spacing w:val="-4"/>
                <w:sz w:val="20"/>
                <w:szCs w:val="20"/>
              </w:rPr>
              <w:t>9,8%</w:t>
            </w:r>
          </w:p>
        </w:tc>
      </w:tr>
    </w:tbl>
    <w:p w14:paraId="3340E040" w14:textId="4825DB82" w:rsidR="00F43F5F" w:rsidRPr="00252ED1" w:rsidRDefault="00F43F5F" w:rsidP="00F43F5F">
      <w:pPr>
        <w:pStyle w:val="Voetnoottekst"/>
        <w:rPr>
          <w:rFonts w:ascii="Calibri" w:hAnsi="Calibri" w:cs="Calibri"/>
          <w:lang w:val="en-US"/>
        </w:rPr>
      </w:pPr>
    </w:p>
  </w:footnote>
  <w:footnote w:id="2">
    <w:p w14:paraId="5AE7CA58" w14:textId="77777777" w:rsidR="00F43F5F" w:rsidRPr="00252ED1" w:rsidRDefault="00F43F5F" w:rsidP="00F43F5F">
      <w:pPr>
        <w:pStyle w:val="Voetnoottekst"/>
        <w:rPr>
          <w:rFonts w:ascii="Calibri" w:hAnsi="Calibri" w:cs="Calibri"/>
          <w:color w:val="000000" w:themeColor="text1"/>
        </w:rPr>
      </w:pPr>
      <w:r w:rsidRPr="00252ED1">
        <w:rPr>
          <w:rStyle w:val="Voetnootmarkering"/>
          <w:rFonts w:ascii="Calibri" w:hAnsi="Calibri" w:cs="Calibri"/>
          <w:color w:val="000000" w:themeColor="text1"/>
        </w:rPr>
        <w:footnoteRef/>
      </w:r>
      <w:r w:rsidRPr="00252ED1">
        <w:rPr>
          <w:rFonts w:ascii="Calibri" w:hAnsi="Calibri" w:cs="Calibri"/>
          <w:color w:val="000000" w:themeColor="text1"/>
        </w:rPr>
        <w:t xml:space="preserve"> </w:t>
      </w:r>
      <w:r w:rsidRPr="00252ED1">
        <w:rPr>
          <w:rFonts w:ascii="Calibri" w:hAnsi="Calibri" w:cs="Calibri"/>
          <w:color w:val="000000" w:themeColor="text1"/>
          <w:shd w:val="clear" w:color="auto" w:fill="FFFFFF"/>
        </w:rPr>
        <w:t>TZ202411-031</w:t>
      </w:r>
    </w:p>
  </w:footnote>
  <w:footnote w:id="3">
    <w:p w14:paraId="094A7CAC" w14:textId="636E357F" w:rsidR="00F43F5F" w:rsidRPr="00252ED1" w:rsidRDefault="00F43F5F" w:rsidP="00F43F5F">
      <w:pPr>
        <w:pStyle w:val="Voetnoottekst"/>
        <w:rPr>
          <w:rFonts w:ascii="Calibri" w:hAnsi="Calibri" w:cs="Calibri"/>
          <w:color w:val="000000" w:themeColor="text1"/>
        </w:rPr>
      </w:pPr>
      <w:r w:rsidRPr="0001458F">
        <w:rPr>
          <w:rStyle w:val="Voetnootmarkering"/>
          <w:rFonts w:ascii="Calibri" w:hAnsi="Calibri" w:cs="Calibri"/>
          <w:color w:val="000000" w:themeColor="text1"/>
        </w:rPr>
        <w:footnoteRef/>
      </w:r>
      <w:r w:rsidRPr="0001458F">
        <w:rPr>
          <w:rFonts w:ascii="Calibri" w:hAnsi="Calibri" w:cs="Calibri"/>
          <w:color w:val="000000" w:themeColor="text1"/>
        </w:rPr>
        <w:t xml:space="preserve"> </w:t>
      </w:r>
      <w:r w:rsidRPr="0001458F">
        <w:rPr>
          <w:rFonts w:ascii="Calibri" w:hAnsi="Calibri" w:cs="Calibri"/>
          <w:color w:val="000000" w:themeColor="text1"/>
          <w:shd w:val="clear" w:color="auto" w:fill="FFFFFF"/>
        </w:rPr>
        <w:t>Kamerstukken II 2023/24, 36 410 VII, nr. 63</w:t>
      </w:r>
    </w:p>
  </w:footnote>
  <w:footnote w:id="4">
    <w:p w14:paraId="099D78C7" w14:textId="77777777" w:rsidR="00F43F5F" w:rsidRPr="00252ED1" w:rsidRDefault="00F43F5F" w:rsidP="00F43F5F">
      <w:pPr>
        <w:pStyle w:val="Voetnoottekst"/>
        <w:rPr>
          <w:rFonts w:ascii="Calibri" w:hAnsi="Calibri" w:cs="Calibri"/>
          <w:color w:val="000000" w:themeColor="text1"/>
        </w:rPr>
      </w:pPr>
      <w:r w:rsidRPr="00252ED1">
        <w:rPr>
          <w:rStyle w:val="Voetnootmarkering"/>
          <w:rFonts w:ascii="Calibri" w:hAnsi="Calibri" w:cs="Calibri"/>
          <w:color w:val="000000" w:themeColor="text1"/>
        </w:rPr>
        <w:footnoteRef/>
      </w:r>
      <w:r w:rsidRPr="00252ED1">
        <w:rPr>
          <w:rFonts w:ascii="Calibri" w:hAnsi="Calibri" w:cs="Calibri"/>
          <w:color w:val="000000" w:themeColor="text1"/>
        </w:rPr>
        <w:t xml:space="preserve"> </w:t>
      </w:r>
      <w:hyperlink r:id="rId1" w:history="1">
        <w:r w:rsidRPr="00252ED1">
          <w:rPr>
            <w:rStyle w:val="Hyperlink"/>
            <w:rFonts w:ascii="Calibri" w:hAnsi="Calibri" w:cs="Calibri"/>
            <w:color w:val="000000" w:themeColor="text1"/>
            <w:u w:val="none"/>
          </w:rPr>
          <w:t>Grip op ICT-inhuur | Rapport | Rijksoverheid.nl</w:t>
        </w:r>
      </w:hyperlink>
    </w:p>
  </w:footnote>
  <w:footnote w:id="5">
    <w:p w14:paraId="792F16CC" w14:textId="36FE4126" w:rsidR="00F43F5F" w:rsidRPr="00252ED1" w:rsidRDefault="00F43F5F" w:rsidP="00F43F5F">
      <w:pPr>
        <w:pStyle w:val="Voetnoottekst"/>
        <w:rPr>
          <w:rFonts w:ascii="Calibri" w:hAnsi="Calibri" w:cs="Calibri"/>
        </w:rPr>
      </w:pPr>
      <w:r w:rsidRPr="00252ED1">
        <w:rPr>
          <w:rStyle w:val="Voetnootmarkering"/>
          <w:rFonts w:ascii="Calibri" w:hAnsi="Calibri" w:cs="Calibri"/>
          <w:color w:val="000000" w:themeColor="text1"/>
        </w:rPr>
        <w:footnoteRef/>
      </w:r>
      <w:r w:rsidRPr="00252ED1">
        <w:rPr>
          <w:rFonts w:ascii="Calibri" w:hAnsi="Calibri" w:cs="Calibri"/>
          <w:color w:val="000000" w:themeColor="text1"/>
        </w:rPr>
        <w:t xml:space="preserve"> </w:t>
      </w:r>
      <w:hyperlink r:id="rId2" w:history="1">
        <w:r w:rsidRPr="00252ED1">
          <w:rPr>
            <w:rStyle w:val="Hyperlink"/>
            <w:rFonts w:ascii="Calibri" w:hAnsi="Calibri" w:cs="Calibri"/>
            <w:color w:val="000000" w:themeColor="text1"/>
            <w:u w:val="none"/>
          </w:rPr>
          <w:t>Kamerstuk 31 701, nr. 32</w:t>
        </w:r>
      </w:hyperlink>
    </w:p>
  </w:footnote>
  <w:footnote w:id="6">
    <w:p w14:paraId="1E8A8C45" w14:textId="77777777" w:rsidR="00F43F5F" w:rsidRPr="00252ED1" w:rsidRDefault="00F43F5F" w:rsidP="00F43F5F">
      <w:pPr>
        <w:pStyle w:val="Voetnoottekst"/>
        <w:rPr>
          <w:rFonts w:ascii="Calibri" w:hAnsi="Calibri" w:cs="Calibri"/>
          <w:color w:val="auto"/>
        </w:rPr>
      </w:pPr>
      <w:r w:rsidRPr="00252ED1">
        <w:rPr>
          <w:rStyle w:val="Voetnootmarkering"/>
          <w:rFonts w:ascii="Calibri" w:hAnsi="Calibri" w:cs="Calibri"/>
          <w:color w:val="auto"/>
        </w:rPr>
        <w:footnoteRef/>
      </w:r>
      <w:r w:rsidRPr="00252ED1">
        <w:rPr>
          <w:rFonts w:ascii="Calibri" w:hAnsi="Calibri" w:cs="Calibri"/>
          <w:color w:val="auto"/>
        </w:rPr>
        <w:t xml:space="preserve"> </w:t>
      </w:r>
      <w:r w:rsidRPr="00252ED1">
        <w:rPr>
          <w:rFonts w:ascii="Calibri" w:hAnsi="Calibri" w:cs="Calibri"/>
          <w:color w:val="auto"/>
          <w:shd w:val="clear" w:color="auto" w:fill="FFFFFF"/>
        </w:rPr>
        <w:t>Kamerstuk </w:t>
      </w:r>
      <w:hyperlink r:id="rId3" w:tooltip="link naar publicatie kst-32360-5" w:history="1">
        <w:r w:rsidRPr="00252ED1">
          <w:rPr>
            <w:rStyle w:val="Hyperlink"/>
            <w:rFonts w:ascii="Calibri" w:hAnsi="Calibri" w:cs="Calibri"/>
            <w:color w:val="auto"/>
            <w:u w:val="none"/>
            <w:shd w:val="clear" w:color="auto" w:fill="FFFFFF"/>
          </w:rPr>
          <w:t>32 360, nr. 5</w:t>
        </w:r>
      </w:hyperlink>
    </w:p>
  </w:footnote>
  <w:footnote w:id="7">
    <w:p w14:paraId="4433E5CB" w14:textId="53163023" w:rsidR="00F43F5F" w:rsidRPr="00252ED1" w:rsidRDefault="00F43F5F" w:rsidP="00F43F5F">
      <w:pPr>
        <w:pStyle w:val="Voetnoottekst"/>
        <w:rPr>
          <w:rFonts w:ascii="Calibri" w:hAnsi="Calibri" w:cs="Calibri"/>
        </w:rPr>
      </w:pPr>
      <w:r w:rsidRPr="00252ED1">
        <w:rPr>
          <w:rStyle w:val="Voetnootmarkering"/>
          <w:rFonts w:ascii="Calibri" w:hAnsi="Calibri" w:cs="Calibri"/>
          <w:color w:val="auto"/>
        </w:rPr>
        <w:footnoteRef/>
      </w:r>
      <w:r w:rsidRPr="00252ED1">
        <w:rPr>
          <w:rFonts w:ascii="Calibri" w:hAnsi="Calibri" w:cs="Calibri"/>
          <w:color w:val="auto"/>
        </w:rPr>
        <w:t xml:space="preserve"> </w:t>
      </w:r>
      <w:hyperlink r:id="rId4" w:history="1">
        <w:r w:rsidRPr="00252ED1">
          <w:rPr>
            <w:rStyle w:val="Hyperlink"/>
            <w:rFonts w:ascii="Calibri" w:hAnsi="Calibri" w:cs="Calibri"/>
            <w:color w:val="auto"/>
            <w:u w:val="none"/>
          </w:rPr>
          <w:t>Kamerstuk 31 701, nr. 32</w:t>
        </w:r>
      </w:hyperlink>
    </w:p>
  </w:footnote>
  <w:footnote w:id="8">
    <w:p w14:paraId="16037577" w14:textId="7A22E5A3" w:rsidR="00F43F5F" w:rsidRPr="00252ED1" w:rsidRDefault="00F43F5F" w:rsidP="00F43F5F">
      <w:pPr>
        <w:pStyle w:val="Voetnoottekst"/>
        <w:rPr>
          <w:rFonts w:ascii="Calibri" w:hAnsi="Calibri" w:cs="Calibri"/>
        </w:rPr>
      </w:pPr>
      <w:r w:rsidRPr="00252ED1">
        <w:rPr>
          <w:rStyle w:val="Voetnootmarkering"/>
          <w:rFonts w:ascii="Calibri" w:hAnsi="Calibri" w:cs="Calibri"/>
        </w:rPr>
        <w:footnoteRef/>
      </w:r>
      <w:r w:rsidRPr="00252ED1">
        <w:rPr>
          <w:rFonts w:ascii="Calibri" w:hAnsi="Calibri" w:cs="Calibri"/>
        </w:rPr>
        <w:t xml:space="preserve"> </w:t>
      </w:r>
      <w:hyperlink r:id="rId5" w:history="1">
        <w:r w:rsidRPr="00252ED1">
          <w:rPr>
            <w:rStyle w:val="Hyperlink"/>
            <w:rFonts w:ascii="Calibri" w:hAnsi="Calibri" w:cs="Calibri"/>
          </w:rPr>
          <w:t>https://zoek.officielebekendmakingen.nl/kst-31701-21.html</w:t>
        </w:r>
      </w:hyperlink>
      <w:r w:rsidRPr="00252ED1">
        <w:rPr>
          <w:rFonts w:ascii="Calibri" w:hAnsi="Calibri" w:cs="Calibri"/>
        </w:rPr>
        <w:t xml:space="preserve"> </w:t>
      </w:r>
    </w:p>
  </w:footnote>
  <w:footnote w:id="9">
    <w:p w14:paraId="1DBE0C1B" w14:textId="77777777" w:rsidR="00F43F5F" w:rsidRPr="00252ED1" w:rsidRDefault="00F43F5F" w:rsidP="00F43F5F">
      <w:pPr>
        <w:pStyle w:val="Voetnoottekst"/>
        <w:rPr>
          <w:rFonts w:ascii="Calibri" w:hAnsi="Calibri" w:cs="Calibri"/>
        </w:rPr>
      </w:pPr>
      <w:r w:rsidRPr="00252ED1">
        <w:rPr>
          <w:rStyle w:val="Voetnootmarkering"/>
          <w:rFonts w:ascii="Calibri" w:hAnsi="Calibri" w:cs="Calibri"/>
        </w:rPr>
        <w:footnoteRef/>
      </w:r>
      <w:r w:rsidRPr="00252ED1">
        <w:rPr>
          <w:rFonts w:ascii="Calibri" w:hAnsi="Calibri" w:cs="Calibri"/>
        </w:rPr>
        <w:t xml:space="preserve"> Het gehele ADR rapport is als bijlage bijgevoegd.</w:t>
      </w:r>
    </w:p>
  </w:footnote>
  <w:footnote w:id="10">
    <w:p w14:paraId="1EE3324A" w14:textId="77777777" w:rsidR="00F43F5F" w:rsidRPr="00252ED1" w:rsidRDefault="00F43F5F" w:rsidP="00F43F5F">
      <w:pPr>
        <w:pStyle w:val="Voetnoottekst"/>
        <w:rPr>
          <w:rFonts w:ascii="Calibri" w:hAnsi="Calibri" w:cs="Calibri"/>
        </w:rPr>
      </w:pPr>
      <w:r w:rsidRPr="00252ED1">
        <w:rPr>
          <w:rStyle w:val="Voetnootmarkering"/>
          <w:rFonts w:ascii="Calibri" w:hAnsi="Calibri" w:cs="Calibri"/>
        </w:rPr>
        <w:footnoteRef/>
      </w:r>
      <w:r w:rsidRPr="00252ED1">
        <w:rPr>
          <w:rFonts w:ascii="Calibri" w:hAnsi="Calibri" w:cs="Calibri"/>
        </w:rPr>
        <w:t xml:space="preserve"> </w:t>
      </w:r>
      <w:hyperlink r:id="rId6" w:history="1">
        <w:r w:rsidRPr="00252ED1">
          <w:rPr>
            <w:rStyle w:val="Hyperlink"/>
            <w:rFonts w:ascii="Calibri" w:hAnsi="Calibri" w:cs="Calibri"/>
            <w:u w:val="none"/>
          </w:rPr>
          <w:t>Grip op ICT-inhuur | Rapport | Rijksoverheid.nl</w:t>
        </w:r>
      </w:hyperlink>
    </w:p>
  </w:footnote>
  <w:footnote w:id="11">
    <w:p w14:paraId="0D0D097E" w14:textId="2DD8507E" w:rsidR="00F43F5F" w:rsidRPr="00252ED1" w:rsidRDefault="00F43F5F" w:rsidP="00F43F5F">
      <w:pPr>
        <w:pStyle w:val="Voetnoottekst"/>
        <w:rPr>
          <w:rFonts w:ascii="Calibri" w:hAnsi="Calibri" w:cs="Calibri"/>
        </w:rPr>
      </w:pPr>
      <w:r w:rsidRPr="00252ED1">
        <w:rPr>
          <w:rStyle w:val="Voetnootmarkering"/>
          <w:rFonts w:ascii="Calibri" w:hAnsi="Calibri" w:cs="Calibri"/>
          <w:color w:val="000000" w:themeColor="text1"/>
        </w:rPr>
        <w:footnoteRef/>
      </w:r>
      <w:r w:rsidRPr="00252ED1">
        <w:rPr>
          <w:rFonts w:ascii="Calibri" w:hAnsi="Calibri" w:cs="Calibri"/>
          <w:color w:val="000000" w:themeColor="text1"/>
        </w:rPr>
        <w:t xml:space="preserve"> </w:t>
      </w:r>
      <w:r w:rsidRPr="00252ED1">
        <w:rPr>
          <w:rFonts w:ascii="Calibri" w:hAnsi="Calibri" w:cs="Calibri"/>
          <w:color w:val="000000" w:themeColor="text1"/>
          <w:shd w:val="clear" w:color="auto" w:fill="FFFFFF"/>
        </w:rPr>
        <w:t>Kamerstuk 31 490, nr. 354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79D0" w14:textId="77777777" w:rsidR="00222A82" w:rsidRPr="00F43F5F" w:rsidRDefault="00222A82" w:rsidP="00F43F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2098" w14:textId="77777777" w:rsidR="00222A82" w:rsidRPr="00F43F5F" w:rsidRDefault="00222A82" w:rsidP="00F43F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18DB" w14:textId="77777777" w:rsidR="00222A82" w:rsidRPr="00F43F5F" w:rsidRDefault="00222A82" w:rsidP="00F43F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0954"/>
    <w:multiLevelType w:val="hybridMultilevel"/>
    <w:tmpl w:val="38768188"/>
    <w:lvl w:ilvl="0" w:tplc="C748A37E">
      <w:start w:val="1"/>
      <w:numFmt w:val="bullet"/>
      <w:pStyle w:val="OpsommingN1Bullet"/>
      <w:lvlText w:val="•"/>
      <w:lvlJc w:val="left"/>
      <w:pPr>
        <w:tabs>
          <w:tab w:val="num" w:pos="284"/>
        </w:tabs>
        <w:ind w:left="284" w:hanging="284"/>
      </w:pPr>
      <w:rPr>
        <w:rFonts w:ascii="Verdana (Hoofdtekst)" w:hAnsi="Verdana (Hoofdtekst)" w:cs="Times New Roman" w:hint="default"/>
        <w:color w:val="000000" w:themeColor="text1"/>
      </w:rPr>
    </w:lvl>
    <w:lvl w:ilvl="1" w:tplc="C1625104">
      <w:numFmt w:val="bullet"/>
      <w:lvlText w:val=""/>
      <w:lvlJc w:val="left"/>
      <w:pPr>
        <w:ind w:left="1440" w:hanging="360"/>
      </w:pPr>
      <w:rPr>
        <w:rFonts w:ascii="Symbol" w:eastAsiaTheme="minorEastAsia" w:hAnsi="Symbol" w:cstheme="minorBidi" w:hint="default"/>
      </w:rPr>
    </w:lvl>
    <w:lvl w:ilvl="2" w:tplc="5E24EF9A">
      <w:numFmt w:val="bullet"/>
      <w:lvlText w:val="-"/>
      <w:lvlJc w:val="left"/>
      <w:pPr>
        <w:ind w:left="2160" w:hanging="360"/>
      </w:pPr>
      <w:rPr>
        <w:rFonts w:ascii="Verdana" w:eastAsiaTheme="minorEastAsia" w:hAnsi="Verdana" w:cstheme="minorBidi" w:hint="default"/>
      </w:rPr>
    </w:lvl>
    <w:lvl w:ilvl="3" w:tplc="A46A25B4" w:tentative="1">
      <w:start w:val="1"/>
      <w:numFmt w:val="bullet"/>
      <w:lvlText w:val=""/>
      <w:lvlJc w:val="left"/>
      <w:pPr>
        <w:ind w:left="2880" w:hanging="360"/>
      </w:pPr>
      <w:rPr>
        <w:rFonts w:ascii="Symbol" w:hAnsi="Symbol" w:hint="default"/>
      </w:rPr>
    </w:lvl>
    <w:lvl w:ilvl="4" w:tplc="CC14ADCC" w:tentative="1">
      <w:start w:val="1"/>
      <w:numFmt w:val="bullet"/>
      <w:lvlText w:val="o"/>
      <w:lvlJc w:val="left"/>
      <w:pPr>
        <w:ind w:left="3600" w:hanging="360"/>
      </w:pPr>
      <w:rPr>
        <w:rFonts w:ascii="Courier New" w:hAnsi="Courier New" w:hint="default"/>
      </w:rPr>
    </w:lvl>
    <w:lvl w:ilvl="5" w:tplc="074C3CF0" w:tentative="1">
      <w:start w:val="1"/>
      <w:numFmt w:val="bullet"/>
      <w:lvlText w:val=""/>
      <w:lvlJc w:val="left"/>
      <w:pPr>
        <w:ind w:left="4320" w:hanging="360"/>
      </w:pPr>
      <w:rPr>
        <w:rFonts w:ascii="Wingdings" w:hAnsi="Wingdings" w:hint="default"/>
      </w:rPr>
    </w:lvl>
    <w:lvl w:ilvl="6" w:tplc="151070D0" w:tentative="1">
      <w:start w:val="1"/>
      <w:numFmt w:val="bullet"/>
      <w:lvlText w:val=""/>
      <w:lvlJc w:val="left"/>
      <w:pPr>
        <w:ind w:left="5040" w:hanging="360"/>
      </w:pPr>
      <w:rPr>
        <w:rFonts w:ascii="Symbol" w:hAnsi="Symbol" w:hint="default"/>
      </w:rPr>
    </w:lvl>
    <w:lvl w:ilvl="7" w:tplc="6A6C13C6" w:tentative="1">
      <w:start w:val="1"/>
      <w:numFmt w:val="bullet"/>
      <w:lvlText w:val="o"/>
      <w:lvlJc w:val="left"/>
      <w:pPr>
        <w:ind w:left="5760" w:hanging="360"/>
      </w:pPr>
      <w:rPr>
        <w:rFonts w:ascii="Courier New" w:hAnsi="Courier New" w:hint="default"/>
      </w:rPr>
    </w:lvl>
    <w:lvl w:ilvl="8" w:tplc="125256D2" w:tentative="1">
      <w:start w:val="1"/>
      <w:numFmt w:val="bullet"/>
      <w:lvlText w:val=""/>
      <w:lvlJc w:val="left"/>
      <w:pPr>
        <w:ind w:left="6480" w:hanging="360"/>
      </w:pPr>
      <w:rPr>
        <w:rFonts w:ascii="Wingdings" w:hAnsi="Wingdings" w:hint="default"/>
      </w:rPr>
    </w:lvl>
  </w:abstractNum>
  <w:abstractNum w:abstractNumId="1" w15:restartNumberingAfterBreak="0">
    <w:nsid w:val="0C61167F"/>
    <w:multiLevelType w:val="hybridMultilevel"/>
    <w:tmpl w:val="982651C4"/>
    <w:lvl w:ilvl="0" w:tplc="781C2E72">
      <w:start w:val="1"/>
      <w:numFmt w:val="bullet"/>
      <w:lvlText w:val=""/>
      <w:lvlJc w:val="left"/>
      <w:pPr>
        <w:ind w:left="360" w:hanging="360"/>
      </w:pPr>
      <w:rPr>
        <w:rFonts w:ascii="Symbol" w:hAnsi="Symbol" w:hint="default"/>
      </w:rPr>
    </w:lvl>
    <w:lvl w:ilvl="1" w:tplc="1D186512" w:tentative="1">
      <w:start w:val="1"/>
      <w:numFmt w:val="bullet"/>
      <w:lvlText w:val="o"/>
      <w:lvlJc w:val="left"/>
      <w:pPr>
        <w:ind w:left="1080" w:hanging="360"/>
      </w:pPr>
      <w:rPr>
        <w:rFonts w:ascii="Courier New" w:hAnsi="Courier New" w:cs="Courier New" w:hint="default"/>
      </w:rPr>
    </w:lvl>
    <w:lvl w:ilvl="2" w:tplc="F3E05EA2" w:tentative="1">
      <w:start w:val="1"/>
      <w:numFmt w:val="bullet"/>
      <w:lvlText w:val=""/>
      <w:lvlJc w:val="left"/>
      <w:pPr>
        <w:ind w:left="1800" w:hanging="360"/>
      </w:pPr>
      <w:rPr>
        <w:rFonts w:ascii="Wingdings" w:hAnsi="Wingdings" w:hint="default"/>
      </w:rPr>
    </w:lvl>
    <w:lvl w:ilvl="3" w:tplc="EAF69E1E" w:tentative="1">
      <w:start w:val="1"/>
      <w:numFmt w:val="bullet"/>
      <w:lvlText w:val=""/>
      <w:lvlJc w:val="left"/>
      <w:pPr>
        <w:ind w:left="2520" w:hanging="360"/>
      </w:pPr>
      <w:rPr>
        <w:rFonts w:ascii="Symbol" w:hAnsi="Symbol" w:hint="default"/>
      </w:rPr>
    </w:lvl>
    <w:lvl w:ilvl="4" w:tplc="6AC8020C" w:tentative="1">
      <w:start w:val="1"/>
      <w:numFmt w:val="bullet"/>
      <w:lvlText w:val="o"/>
      <w:lvlJc w:val="left"/>
      <w:pPr>
        <w:ind w:left="3240" w:hanging="360"/>
      </w:pPr>
      <w:rPr>
        <w:rFonts w:ascii="Courier New" w:hAnsi="Courier New" w:cs="Courier New" w:hint="default"/>
      </w:rPr>
    </w:lvl>
    <w:lvl w:ilvl="5" w:tplc="DCAE8476" w:tentative="1">
      <w:start w:val="1"/>
      <w:numFmt w:val="bullet"/>
      <w:lvlText w:val=""/>
      <w:lvlJc w:val="left"/>
      <w:pPr>
        <w:ind w:left="3960" w:hanging="360"/>
      </w:pPr>
      <w:rPr>
        <w:rFonts w:ascii="Wingdings" w:hAnsi="Wingdings" w:hint="default"/>
      </w:rPr>
    </w:lvl>
    <w:lvl w:ilvl="6" w:tplc="2BA497D4" w:tentative="1">
      <w:start w:val="1"/>
      <w:numFmt w:val="bullet"/>
      <w:lvlText w:val=""/>
      <w:lvlJc w:val="left"/>
      <w:pPr>
        <w:ind w:left="4680" w:hanging="360"/>
      </w:pPr>
      <w:rPr>
        <w:rFonts w:ascii="Symbol" w:hAnsi="Symbol" w:hint="default"/>
      </w:rPr>
    </w:lvl>
    <w:lvl w:ilvl="7" w:tplc="15023282" w:tentative="1">
      <w:start w:val="1"/>
      <w:numFmt w:val="bullet"/>
      <w:lvlText w:val="o"/>
      <w:lvlJc w:val="left"/>
      <w:pPr>
        <w:ind w:left="5400" w:hanging="360"/>
      </w:pPr>
      <w:rPr>
        <w:rFonts w:ascii="Courier New" w:hAnsi="Courier New" w:cs="Courier New" w:hint="default"/>
      </w:rPr>
    </w:lvl>
    <w:lvl w:ilvl="8" w:tplc="033ECCEA" w:tentative="1">
      <w:start w:val="1"/>
      <w:numFmt w:val="bullet"/>
      <w:lvlText w:val=""/>
      <w:lvlJc w:val="left"/>
      <w:pPr>
        <w:ind w:left="6120" w:hanging="360"/>
      </w:pPr>
      <w:rPr>
        <w:rFonts w:ascii="Wingdings" w:hAnsi="Wingdings" w:hint="default"/>
      </w:rPr>
    </w:lvl>
  </w:abstractNum>
  <w:abstractNum w:abstractNumId="2" w15:restartNumberingAfterBreak="0">
    <w:nsid w:val="6ED07F78"/>
    <w:multiLevelType w:val="hybridMultilevel"/>
    <w:tmpl w:val="9F2CE6FA"/>
    <w:lvl w:ilvl="0" w:tplc="CC0A38FE">
      <w:start w:val="1"/>
      <w:numFmt w:val="upperLetter"/>
      <w:lvlText w:val="%1."/>
      <w:lvlJc w:val="left"/>
      <w:pPr>
        <w:ind w:left="360" w:hanging="360"/>
      </w:pPr>
      <w:rPr>
        <w:rFonts w:hint="default"/>
      </w:rPr>
    </w:lvl>
    <w:lvl w:ilvl="1" w:tplc="B3902A1A" w:tentative="1">
      <w:start w:val="1"/>
      <w:numFmt w:val="lowerLetter"/>
      <w:lvlText w:val="%2."/>
      <w:lvlJc w:val="left"/>
      <w:pPr>
        <w:ind w:left="1080" w:hanging="360"/>
      </w:pPr>
    </w:lvl>
    <w:lvl w:ilvl="2" w:tplc="9E40790A" w:tentative="1">
      <w:start w:val="1"/>
      <w:numFmt w:val="lowerRoman"/>
      <w:lvlText w:val="%3."/>
      <w:lvlJc w:val="right"/>
      <w:pPr>
        <w:ind w:left="1800" w:hanging="180"/>
      </w:pPr>
    </w:lvl>
    <w:lvl w:ilvl="3" w:tplc="08DC4560" w:tentative="1">
      <w:start w:val="1"/>
      <w:numFmt w:val="decimal"/>
      <w:lvlText w:val="%4."/>
      <w:lvlJc w:val="left"/>
      <w:pPr>
        <w:ind w:left="2520" w:hanging="360"/>
      </w:pPr>
    </w:lvl>
    <w:lvl w:ilvl="4" w:tplc="C734BB0C" w:tentative="1">
      <w:start w:val="1"/>
      <w:numFmt w:val="lowerLetter"/>
      <w:lvlText w:val="%5."/>
      <w:lvlJc w:val="left"/>
      <w:pPr>
        <w:ind w:left="3240" w:hanging="360"/>
      </w:pPr>
    </w:lvl>
    <w:lvl w:ilvl="5" w:tplc="67B02204" w:tentative="1">
      <w:start w:val="1"/>
      <w:numFmt w:val="lowerRoman"/>
      <w:lvlText w:val="%6."/>
      <w:lvlJc w:val="right"/>
      <w:pPr>
        <w:ind w:left="3960" w:hanging="180"/>
      </w:pPr>
    </w:lvl>
    <w:lvl w:ilvl="6" w:tplc="50983828" w:tentative="1">
      <w:start w:val="1"/>
      <w:numFmt w:val="decimal"/>
      <w:lvlText w:val="%7."/>
      <w:lvlJc w:val="left"/>
      <w:pPr>
        <w:ind w:left="4680" w:hanging="360"/>
      </w:pPr>
    </w:lvl>
    <w:lvl w:ilvl="7" w:tplc="C44A0596" w:tentative="1">
      <w:start w:val="1"/>
      <w:numFmt w:val="lowerLetter"/>
      <w:lvlText w:val="%8."/>
      <w:lvlJc w:val="left"/>
      <w:pPr>
        <w:ind w:left="5400" w:hanging="360"/>
      </w:pPr>
    </w:lvl>
    <w:lvl w:ilvl="8" w:tplc="95DEC8E0" w:tentative="1">
      <w:start w:val="1"/>
      <w:numFmt w:val="lowerRoman"/>
      <w:lvlText w:val="%9."/>
      <w:lvlJc w:val="right"/>
      <w:pPr>
        <w:ind w:left="6120" w:hanging="180"/>
      </w:pPr>
    </w:lvl>
  </w:abstractNum>
  <w:num w:numId="1" w16cid:durableId="1817454244">
    <w:abstractNumId w:val="2"/>
  </w:num>
  <w:num w:numId="2" w16cid:durableId="398284618">
    <w:abstractNumId w:val="0"/>
  </w:num>
  <w:num w:numId="3" w16cid:durableId="38171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5F"/>
    <w:rsid w:val="0001458F"/>
    <w:rsid w:val="00091035"/>
    <w:rsid w:val="00222A82"/>
    <w:rsid w:val="00252ED1"/>
    <w:rsid w:val="009F0DAE"/>
    <w:rsid w:val="00C72B1B"/>
    <w:rsid w:val="00EA20A8"/>
    <w:rsid w:val="00F43F5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899E9"/>
  <w15:chartTrackingRefBased/>
  <w15:docId w15:val="{1E3AF2A3-146D-4CE0-8DD1-AD7F8BBC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3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3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3F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3F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3F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3F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3F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3F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3F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3F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3F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3F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3F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3F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3F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3F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3F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3F5F"/>
    <w:rPr>
      <w:rFonts w:eastAsiaTheme="majorEastAsia" w:cstheme="majorBidi"/>
      <w:color w:val="272727" w:themeColor="text1" w:themeTint="D8"/>
    </w:rPr>
  </w:style>
  <w:style w:type="paragraph" w:styleId="Titel">
    <w:name w:val="Title"/>
    <w:basedOn w:val="Standaard"/>
    <w:next w:val="Standaard"/>
    <w:link w:val="TitelChar"/>
    <w:uiPriority w:val="10"/>
    <w:qFormat/>
    <w:rsid w:val="00F43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3F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3F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3F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3F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3F5F"/>
    <w:rPr>
      <w:i/>
      <w:iCs/>
      <w:color w:val="404040" w:themeColor="text1" w:themeTint="BF"/>
    </w:rPr>
  </w:style>
  <w:style w:type="paragraph" w:styleId="Lijstalinea">
    <w:name w:val="List Paragraph"/>
    <w:aliases w:val="Bullet 1,Bullet Points,Colorful List - Accent 11,Dot pt,F5 List Paragraph,Indicator Text,L,List Paragraph Char Char Char,List Paragraph1,List Paragraph2,MAIN CONTENT,No Spacing1,Normal numbere,Numbered Para 1,Párrafo de lista,Recommendation"/>
    <w:basedOn w:val="Standaard"/>
    <w:link w:val="LijstalineaChar"/>
    <w:uiPriority w:val="34"/>
    <w:qFormat/>
    <w:rsid w:val="00F43F5F"/>
    <w:pPr>
      <w:ind w:left="720"/>
      <w:contextualSpacing/>
    </w:pPr>
  </w:style>
  <w:style w:type="character" w:styleId="Intensievebenadrukking">
    <w:name w:val="Intense Emphasis"/>
    <w:basedOn w:val="Standaardalinea-lettertype"/>
    <w:uiPriority w:val="21"/>
    <w:qFormat/>
    <w:rsid w:val="00F43F5F"/>
    <w:rPr>
      <w:i/>
      <w:iCs/>
      <w:color w:val="0F4761" w:themeColor="accent1" w:themeShade="BF"/>
    </w:rPr>
  </w:style>
  <w:style w:type="paragraph" w:styleId="Duidelijkcitaat">
    <w:name w:val="Intense Quote"/>
    <w:basedOn w:val="Standaard"/>
    <w:next w:val="Standaard"/>
    <w:link w:val="DuidelijkcitaatChar"/>
    <w:uiPriority w:val="30"/>
    <w:qFormat/>
    <w:rsid w:val="00F43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3F5F"/>
    <w:rPr>
      <w:i/>
      <w:iCs/>
      <w:color w:val="0F4761" w:themeColor="accent1" w:themeShade="BF"/>
    </w:rPr>
  </w:style>
  <w:style w:type="character" w:styleId="Intensieveverwijzing">
    <w:name w:val="Intense Reference"/>
    <w:basedOn w:val="Standaardalinea-lettertype"/>
    <w:uiPriority w:val="32"/>
    <w:qFormat/>
    <w:rsid w:val="00F43F5F"/>
    <w:rPr>
      <w:b/>
      <w:bCs/>
      <w:smallCaps/>
      <w:color w:val="0F4761" w:themeColor="accent1" w:themeShade="BF"/>
      <w:spacing w:val="5"/>
    </w:rPr>
  </w:style>
  <w:style w:type="character" w:styleId="Hyperlink">
    <w:name w:val="Hyperlink"/>
    <w:basedOn w:val="Standaardalinea-lettertype"/>
    <w:uiPriority w:val="99"/>
    <w:unhideWhenUsed/>
    <w:rsid w:val="00F43F5F"/>
    <w:rPr>
      <w:color w:val="467886" w:themeColor="hyperlink"/>
      <w:u w:val="single"/>
    </w:rPr>
  </w:style>
  <w:style w:type="table" w:styleId="Tabelraster">
    <w:name w:val="Table Grid"/>
    <w:uiPriority w:val="39"/>
    <w:rsid w:val="00F43F5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Koptekst">
    <w:name w:val="header"/>
    <w:basedOn w:val="Standaard"/>
    <w:link w:val="KoptekstChar"/>
    <w:uiPriority w:val="99"/>
    <w:unhideWhenUsed/>
    <w:rsid w:val="00F43F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3F5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3F5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3F5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43F5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43F5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43F5F"/>
    <w:rPr>
      <w:vertAlign w:val="superscript"/>
    </w:rPr>
  </w:style>
  <w:style w:type="paragraph" w:styleId="Plattetekst">
    <w:name w:val="Body Text"/>
    <w:basedOn w:val="Standaard"/>
    <w:link w:val="PlattetekstChar"/>
    <w:uiPriority w:val="1"/>
    <w:qFormat/>
    <w:rsid w:val="00F43F5F"/>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F43F5F"/>
    <w:rPr>
      <w:rFonts w:ascii="Verdana" w:eastAsia="Verdana" w:hAnsi="Verdana" w:cs="Verdana"/>
      <w:kern w:val="0"/>
      <w:sz w:val="18"/>
      <w:szCs w:val="18"/>
      <w14:ligatures w14:val="none"/>
    </w:r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2 Char,MAIN CONTENT Char"/>
    <w:basedOn w:val="Standaardalinea-lettertype"/>
    <w:link w:val="Lijstalinea"/>
    <w:uiPriority w:val="34"/>
    <w:qFormat/>
    <w:locked/>
    <w:rsid w:val="00F43F5F"/>
  </w:style>
  <w:style w:type="paragraph" w:customStyle="1" w:styleId="OpsommingN1Bullet">
    <w:name w:val="Opsomming N1 Bullet"/>
    <w:basedOn w:val="Standaard"/>
    <w:uiPriority w:val="4"/>
    <w:qFormat/>
    <w:rsid w:val="00F43F5F"/>
    <w:pPr>
      <w:numPr>
        <w:numId w:val="2"/>
      </w:numPr>
      <w:tabs>
        <w:tab w:val="left" w:pos="567"/>
      </w:tabs>
      <w:spacing w:after="0" w:line="280" w:lineRule="atLeast"/>
    </w:pPr>
    <w:rPr>
      <w:rFonts w:eastAsiaTheme="minorEastAsia"/>
      <w:kern w:val="0"/>
      <w:sz w:val="18"/>
      <w:szCs w:val="24"/>
      <w14:ligatures w14:val="none"/>
    </w:rPr>
  </w:style>
  <w:style w:type="paragraph" w:customStyle="1" w:styleId="Kopblauwcursief">
    <w:name w:val="Kop blauw cursief"/>
    <w:basedOn w:val="Standaard"/>
    <w:next w:val="Standaard"/>
    <w:uiPriority w:val="3"/>
    <w:qFormat/>
    <w:rsid w:val="00F43F5F"/>
    <w:pPr>
      <w:tabs>
        <w:tab w:val="left" w:pos="284"/>
        <w:tab w:val="left" w:pos="567"/>
      </w:tabs>
      <w:spacing w:after="0" w:line="280" w:lineRule="atLeast"/>
    </w:pPr>
    <w:rPr>
      <w:rFonts w:eastAsiaTheme="minorEastAsia"/>
      <w:b/>
      <w:i/>
      <w:color w:val="A02B93" w:themeColor="accent5"/>
      <w:kern w:val="0"/>
      <w:sz w:val="18"/>
      <w:szCs w:val="24"/>
      <w14:ligatures w14:val="none"/>
    </w:rPr>
  </w:style>
  <w:style w:type="character" w:styleId="Onopgelostemelding">
    <w:name w:val="Unresolved Mention"/>
    <w:basedOn w:val="Standaardalinea-lettertype"/>
    <w:uiPriority w:val="99"/>
    <w:semiHidden/>
    <w:unhideWhenUsed/>
    <w:rsid w:val="00F43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32360-5.html" TargetMode="External"/><Relationship Id="rId2" Type="http://schemas.openxmlformats.org/officeDocument/2006/relationships/hyperlink" Target="https://zoek.officielebekendmakingen.nl/kst-31701-32.html" TargetMode="External"/><Relationship Id="rId1" Type="http://schemas.openxmlformats.org/officeDocument/2006/relationships/hyperlink" Target="https://www.rijksoverheid.nl/documenten/rapporten/2024/04/09/rapport-abdtopconsult-grip-op-ict-inhuur" TargetMode="External"/><Relationship Id="rId6" Type="http://schemas.openxmlformats.org/officeDocument/2006/relationships/hyperlink" Target="https://www.rijksoverheid.nl/documenten/rapporten/2024/04/09/rapport-abdtopconsult-grip-op-ict-inhuur" TargetMode="External"/><Relationship Id="rId5" Type="http://schemas.openxmlformats.org/officeDocument/2006/relationships/hyperlink" Target="https://zoek.officielebekendmakingen.nl/kst-31701-21.html" TargetMode="External"/><Relationship Id="rId4" Type="http://schemas.openxmlformats.org/officeDocument/2006/relationships/hyperlink" Target="https://zoek.officielebekendmakingen.nl/kst-31701-32.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3123</ap:Words>
  <ap:Characters>17179</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2025-04-23T10:06:00.0000000Z</dcterms:created>
  <dcterms:modified xsi:type="dcterms:W3CDTF">2025-04-23T10:06:00.0000000Z</dcterms:modified>
  <version/>
  <category/>
</coreProperties>
</file>