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729" w:rsidP="004F3729" w:rsidRDefault="004F3729" w14:paraId="034C366A" w14:textId="54F6861B">
      <w:r>
        <w:t>AH 2023</w:t>
      </w:r>
    </w:p>
    <w:p w:rsidR="004F3729" w:rsidP="004F3729" w:rsidRDefault="004F3729" w14:paraId="254DBBC0" w14:textId="2486CFF0">
      <w:r>
        <w:t>2025Z06866</w:t>
      </w:r>
    </w:p>
    <w:p w:rsidRPr="004F3729" w:rsidR="004F3729" w:rsidP="004F3729" w:rsidRDefault="004F3729" w14:paraId="5E8CE875" w14:textId="7AEAA3B2">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22 april 2025)</w:t>
      </w:r>
    </w:p>
    <w:p w:rsidR="004F3729" w:rsidP="004F3729" w:rsidRDefault="004F3729" w14:paraId="1DD02650" w14:textId="77777777"/>
    <w:p w:rsidRPr="00FD5FB1" w:rsidR="004F3729" w:rsidP="004F3729" w:rsidRDefault="004F3729" w14:paraId="555A83D2" w14:textId="77777777">
      <w:pPr>
        <w:rPr>
          <w:i/>
          <w:iCs/>
        </w:rPr>
      </w:pPr>
      <w:r>
        <w:rPr>
          <w:i/>
          <w:iCs/>
        </w:rPr>
        <w:t xml:space="preserve">1. </w:t>
      </w:r>
      <w:r w:rsidRPr="00FD5FB1">
        <w:rPr>
          <w:i/>
          <w:iCs/>
        </w:rPr>
        <w:t xml:space="preserve">Deelt u de mening dat de beslisnota bijgevoegd bij de Kamerbrief ‘Hervormingsagenda voor versobering van de Algemene Bestuursdienst (ABD) (Kamerstuk 31490, nr. 360) onvoldoende inzicht geeft in de afweging om tot de maatregelen zoals voorgesteld in de Kamerbrief te komen? </w:t>
      </w:r>
    </w:p>
    <w:p w:rsidR="004F3729" w:rsidP="004F3729" w:rsidRDefault="004F3729" w14:paraId="0C8003B2" w14:textId="77777777">
      <w:pPr>
        <w:pStyle w:val="Lijstalinea"/>
      </w:pPr>
    </w:p>
    <w:p w:rsidR="004F3729" w:rsidP="004F3729" w:rsidRDefault="004F3729" w14:paraId="261A6AC7" w14:textId="77777777">
      <w:r w:rsidRPr="001C5B5B">
        <w:t>In de genoemde beslisnota staan geen afwegingen beschreven. In deze beantwoording zal ik dit zoveel mogelijk inkleuren, maar merk ik ook op dat de genoemde maatregelen tot versobering van de Algemene Bestuursdienst momenteel nog worden onderzocht. Ik informeer u voor het zomerreces over de uitkomsten daarvan.</w:t>
      </w:r>
    </w:p>
    <w:p w:rsidRPr="00FD5FB1" w:rsidR="004F3729" w:rsidP="004F3729" w:rsidRDefault="004F3729" w14:paraId="5E7F2716" w14:textId="77777777"/>
    <w:p w:rsidRPr="00FD5FB1" w:rsidR="004F3729" w:rsidP="004F3729" w:rsidRDefault="004F3729" w14:paraId="4F0B6C2E" w14:textId="77777777">
      <w:pPr>
        <w:rPr>
          <w:i/>
          <w:iCs/>
        </w:rPr>
      </w:pPr>
      <w:r w:rsidRPr="00FD5FB1">
        <w:rPr>
          <w:i/>
          <w:iCs/>
        </w:rPr>
        <w:t xml:space="preserve">2. Kunt u nader toelichten hoe het verkleinen van de ABD-doelgroep bijdraagt aan versobering van de ABD, zoals is voorgesteld in het regeerprogramma? Deelt u de mening dat het verkleinen van de ABD-doelgroep geen versobering is, maar slechts een organisatorische hervorming? Zo nee, waarom niet? </w:t>
      </w:r>
    </w:p>
    <w:p w:rsidRPr="00FD5FB1" w:rsidR="004F3729" w:rsidP="004F3729" w:rsidRDefault="004F3729" w14:paraId="0441FDDA" w14:textId="77777777">
      <w:pPr>
        <w:rPr>
          <w:i/>
          <w:iCs/>
        </w:rPr>
      </w:pPr>
      <w:r>
        <w:rPr>
          <w:i/>
          <w:iCs/>
        </w:rPr>
        <w:br/>
      </w:r>
      <w:r w:rsidRPr="00FD5FB1">
        <w:rPr>
          <w:i/>
          <w:iCs/>
        </w:rPr>
        <w:t xml:space="preserve">5. Draagt het verkleinen van de ABD-doelgroep volgens u bij aan de bezuinigingsopgave voor de  Rijksdienst? Zo ja, op welke manier? Zo nee, welke maatregelen zouden volgens u kunnen bijdragen aan zowel de versobering van de ABD als aan de bezuinigingsopgave voor de Rijksdienst? </w:t>
      </w:r>
    </w:p>
    <w:p w:rsidRPr="00FD5FB1" w:rsidR="004F3729" w:rsidP="004F3729" w:rsidRDefault="004F3729" w14:paraId="72B43F34" w14:textId="77777777"/>
    <w:p w:rsidRPr="00FD5FB1" w:rsidR="004F3729" w:rsidP="004F3729" w:rsidRDefault="004F3729" w14:paraId="07E991C6" w14:textId="77777777">
      <w:r w:rsidRPr="00905992">
        <w:t>Bij de maatregel om de schalen 15 (deels) niet meer onder de ABD te laten vallen wordt dienstverlening (werving, ondersteuning bij de selectie en loopbaanbegeleiding) voor deze functies mogelijk decentraal belegd bij de departementen. De functies zelf maken nu reeds onderdeel uit van de formatie van de departementen. De impact van de maatregel wordt op dit moment onderzocht. Deze maatregel is niet zozeer gericht op bezuiniging maar ik verwacht wel dat deze maatregel leidt tot substantiële versobering van de dienstverlening door de ABD</w:t>
      </w:r>
      <w:r>
        <w:t>.</w:t>
      </w:r>
      <w:r>
        <w:br/>
      </w:r>
    </w:p>
    <w:p w:rsidRPr="00FD5FB1" w:rsidR="004F3729" w:rsidP="004F3729" w:rsidRDefault="004F3729" w14:paraId="268A115A" w14:textId="77777777">
      <w:pPr>
        <w:rPr>
          <w:i/>
          <w:iCs/>
        </w:rPr>
      </w:pPr>
      <w:r w:rsidRPr="00FD5FB1">
        <w:rPr>
          <w:i/>
          <w:iCs/>
        </w:rPr>
        <w:lastRenderedPageBreak/>
        <w:t xml:space="preserve">3. Welke veranderingen voorziet u voor de HR-afdelingen van de afzonderlijke departementen als gevolg van het schrappen van schaal 15 uit de ABD-doelgroep? </w:t>
      </w:r>
    </w:p>
    <w:p w:rsidRPr="00FD5FB1" w:rsidR="004F3729" w:rsidP="004F3729" w:rsidRDefault="004F3729" w14:paraId="19C87AEC" w14:textId="77777777"/>
    <w:p w:rsidRPr="00FD5FB1" w:rsidR="004F3729" w:rsidP="004F3729" w:rsidRDefault="004F3729" w14:paraId="3B205F51" w14:textId="77777777">
      <w:r w:rsidRPr="00FD5FB1">
        <w:t>De impact van de optie om de schalen 15 niet meer onder de ABD te laten vallen wordt op dit moment</w:t>
      </w:r>
      <w:r>
        <w:t xml:space="preserve"> verkend</w:t>
      </w:r>
      <w:r w:rsidRPr="00FD5FB1">
        <w:t xml:space="preserve">. Daarbij worden gesprekken gevoerd met de departementen en met uitvoeringsorganisaties. Verschillende MD-taken, waaronder de werving en selectie voor deze functies zullen in dat geval gedaan moeten worden door de departementen zelf. De uitkomsten van </w:t>
      </w:r>
      <w:r>
        <w:t>de verkenning</w:t>
      </w:r>
      <w:r w:rsidRPr="00FD5FB1">
        <w:t xml:space="preserve"> komen terug in de brief die ik voor het zomerreces naar uw Kamer stuur. </w:t>
      </w:r>
    </w:p>
    <w:p w:rsidR="004F3729" w:rsidP="004F3729" w:rsidRDefault="004F3729" w14:paraId="63F56703" w14:textId="77777777"/>
    <w:p w:rsidRPr="00FD5FB1" w:rsidR="004F3729" w:rsidP="004F3729" w:rsidRDefault="004F3729" w14:paraId="587DCDF5" w14:textId="77777777">
      <w:pPr>
        <w:rPr>
          <w:i/>
          <w:iCs/>
        </w:rPr>
      </w:pPr>
      <w:r w:rsidRPr="00FD5FB1">
        <w:rPr>
          <w:i/>
          <w:iCs/>
        </w:rPr>
        <w:t>4. Kunt u ingaan op het voorziene effect in doorstroming naar de ABD-doelgroep als gevolg van het schrappen van schaal 15 uit de ABD-doelgroep? Kunt u ingaan op de gevolgen van deze maatregelen voor instroom in en selectie voor de ABD-functies? Wordt er ook gekeken naar externe instroom? Zo ja, hoe wordt daarbij naar generieke expertises, zoals omschreven in het opleidingsprogramma, gekeken?</w:t>
      </w:r>
    </w:p>
    <w:p w:rsidR="004F3729" w:rsidP="004F3729" w:rsidRDefault="004F3729" w14:paraId="6D53111C" w14:textId="77777777"/>
    <w:p w:rsidR="004F3729" w:rsidP="004F3729" w:rsidRDefault="004F3729" w14:paraId="26C44899" w14:textId="77777777">
      <w:r w:rsidRPr="00FD5FB1">
        <w:t xml:space="preserve">Een voorwaarde die ik heb gesteld bij de optie om schalen 15 niet meer onder de ABD te laten vallen is dat er rijksbreed zicht blijft op de kwaliteit van het management en op talentvolle medewerkers die de potentie hebben om door te groeien naar topfuncties. Ook geldt als voorwaarde dat er voor de schalen 15 </w:t>
      </w:r>
      <w:r>
        <w:t xml:space="preserve">centraal </w:t>
      </w:r>
      <w:r w:rsidRPr="00FD5FB1">
        <w:t xml:space="preserve">ontwikkelaanbod moet blijven op leiderschap en ambtelijk vakmanschap. Daarmee moet de kwaliteit van de in- en doorstroom in de ABD geborgd worden. Voor voldoende externe instroom op de schalen 15 zullen departementen zelf verantwoordelijk zijn. </w:t>
      </w:r>
      <w:r>
        <w:t>DGABD houdt dan nog zicht op externe instroom op de schalen 16 tot en met 19.</w:t>
      </w:r>
    </w:p>
    <w:p w:rsidRPr="00FD5FB1" w:rsidR="004F3729" w:rsidP="004F3729" w:rsidRDefault="004F3729" w14:paraId="5321DEF0" w14:textId="77777777"/>
    <w:p w:rsidR="004F3729" w:rsidP="004F3729" w:rsidRDefault="004F3729" w14:paraId="5572705B" w14:textId="77777777">
      <w:pPr>
        <w:rPr>
          <w:i/>
          <w:iCs/>
        </w:rPr>
      </w:pPr>
      <w:r w:rsidRPr="00FD5FB1">
        <w:rPr>
          <w:i/>
          <w:iCs/>
        </w:rPr>
        <w:t xml:space="preserve">6. Kunt u ingaan op de keuze waarom er wordt voorgesteld om medewerkers in schaal 15 niet meer onderdeel te laten zijn van de ABD-doelgroep, terwijl in uitvoeringsorganisaties medewerkers in schaal 15 op eindverantwoordelijke functies zitten? Heeft u overwogen om niet op basis van salarisschalen, maar op basis van organisatierollen onderscheid te maken? Zo ja, waarom is gekozen voor onderscheid op basis van salarisschalen? </w:t>
      </w:r>
    </w:p>
    <w:p w:rsidRPr="00FD5FB1" w:rsidR="004F3729" w:rsidP="004F3729" w:rsidRDefault="004F3729" w14:paraId="224D44BA" w14:textId="77777777">
      <w:pPr>
        <w:rPr>
          <w:i/>
          <w:iCs/>
        </w:rPr>
      </w:pPr>
    </w:p>
    <w:p w:rsidR="004F3729" w:rsidP="004F3729" w:rsidRDefault="004F3729" w14:paraId="09525C1B" w14:textId="77777777">
      <w:r w:rsidRPr="00FD5FB1">
        <w:t xml:space="preserve">Als onderdeel </w:t>
      </w:r>
      <w:r>
        <w:t xml:space="preserve">de verkenning </w:t>
      </w:r>
      <w:r w:rsidRPr="00FD5FB1">
        <w:t xml:space="preserve">naar de optie om de schalen 15 niet meer onder de ABD te laten vallen, worden gesprekken gevoerd met uitvoeringsorganisaties, o.a. </w:t>
      </w:r>
      <w:r w:rsidRPr="00FD5FB1">
        <w:lastRenderedPageBreak/>
        <w:t>om te toetsen of zij zelf de dienstverlening aan de mensen in deze schalen kunnen verzorgen. Hierbij is een voorwaarde dat er rijksbreed zicht blijft op de kwaliteit van het management en talentvolle medewerkers die de potentie hebben om door te groeien naar topfuncties, juist ook om de uitwisseling tussen beleid, uitvoering en toezicht zo vroeg mogelijk onderdeel te laten zijn van de loopbaan van toekomstig (top)management. Ik heb niet overwogen om de functies in schalen 15 bij uitvoeringsorganisaties uit te zonderen van deze maatregel omdat de dienstverleningsafspraken met de ABD in het verleden zijn gericht op leidinggevende functies met personele verantwoordelijkheden en salarisschaal niveau 15 en niet op basis van eindverantwoordelijkheid.</w:t>
      </w:r>
    </w:p>
    <w:p w:rsidRPr="00FD5FB1" w:rsidR="004F3729" w:rsidP="004F3729" w:rsidRDefault="004F3729" w14:paraId="37A424B1" w14:textId="77777777">
      <w:r w:rsidRPr="00FD5FB1">
        <w:t xml:space="preserve">     </w:t>
      </w:r>
    </w:p>
    <w:p w:rsidR="004F3729" w:rsidP="004F3729" w:rsidRDefault="004F3729" w14:paraId="2F206C93" w14:textId="77777777">
      <w:pPr>
        <w:rPr>
          <w:i/>
          <w:iCs/>
        </w:rPr>
      </w:pPr>
      <w:r w:rsidRPr="00FD5FB1">
        <w:rPr>
          <w:i/>
          <w:iCs/>
        </w:rPr>
        <w:t>7. Kunt u deze vragen uiterlijk 22 april aanstaande beantwoorden, zodat de antwoorden betrokken kunnen worden bij het commissiedebat Functioneren Rijksdienst op 24 april aanstaande?</w:t>
      </w:r>
    </w:p>
    <w:p w:rsidRPr="00FD5FB1" w:rsidR="004F3729" w:rsidP="004F3729" w:rsidRDefault="004F3729" w14:paraId="09F207D1" w14:textId="77777777">
      <w:pPr>
        <w:rPr>
          <w:i/>
          <w:iCs/>
        </w:rPr>
      </w:pPr>
    </w:p>
    <w:p w:rsidRPr="00FD5FB1" w:rsidR="004F3729" w:rsidP="004F3729" w:rsidRDefault="004F3729" w14:paraId="25228A2F" w14:textId="77777777">
      <w:r>
        <w:t>Ja</w:t>
      </w:r>
      <w:r w:rsidRPr="00FD5FB1">
        <w:t>.</w:t>
      </w:r>
    </w:p>
    <w:p w:rsidRPr="00FD5FB1" w:rsidR="004F3729" w:rsidP="004F3729" w:rsidRDefault="004F3729" w14:paraId="391BFBD3" w14:textId="77777777"/>
    <w:p w:rsidR="00983A03" w:rsidRDefault="00983A03" w14:paraId="0198A3D3" w14:textId="77777777"/>
    <w:sectPr w:rsidR="00983A03" w:rsidSect="004F372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D1DE3" w14:textId="77777777" w:rsidR="004F3729" w:rsidRDefault="004F3729" w:rsidP="004F3729">
      <w:pPr>
        <w:spacing w:after="0" w:line="240" w:lineRule="auto"/>
      </w:pPr>
      <w:r>
        <w:separator/>
      </w:r>
    </w:p>
  </w:endnote>
  <w:endnote w:type="continuationSeparator" w:id="0">
    <w:p w14:paraId="495E590A" w14:textId="77777777" w:rsidR="004F3729" w:rsidRDefault="004F3729" w:rsidP="004F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7120" w14:textId="77777777" w:rsidR="004F3729" w:rsidRPr="004F3729" w:rsidRDefault="004F3729" w:rsidP="004F37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C4F2" w14:textId="77777777" w:rsidR="004F3729" w:rsidRPr="004F3729" w:rsidRDefault="004F3729" w:rsidP="004F37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0EAD" w14:textId="77777777" w:rsidR="004F3729" w:rsidRPr="004F3729" w:rsidRDefault="004F3729" w:rsidP="004F37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A76E" w14:textId="77777777" w:rsidR="004F3729" w:rsidRDefault="004F3729" w:rsidP="004F3729">
      <w:pPr>
        <w:spacing w:after="0" w:line="240" w:lineRule="auto"/>
      </w:pPr>
      <w:r>
        <w:separator/>
      </w:r>
    </w:p>
  </w:footnote>
  <w:footnote w:type="continuationSeparator" w:id="0">
    <w:p w14:paraId="0EC7A624" w14:textId="77777777" w:rsidR="004F3729" w:rsidRDefault="004F3729" w:rsidP="004F3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459F" w14:textId="77777777" w:rsidR="004F3729" w:rsidRPr="004F3729" w:rsidRDefault="004F3729" w:rsidP="004F37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E23F" w14:textId="77777777" w:rsidR="004F3729" w:rsidRPr="004F3729" w:rsidRDefault="004F3729" w:rsidP="004F37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207F" w14:textId="77777777" w:rsidR="004F3729" w:rsidRPr="004F3729" w:rsidRDefault="004F3729" w:rsidP="004F37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29"/>
    <w:rsid w:val="004F3729"/>
    <w:rsid w:val="00983A03"/>
    <w:rsid w:val="00BB49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C13D"/>
  <w15:chartTrackingRefBased/>
  <w15:docId w15:val="{BA0C1493-AE99-4502-9FFF-23663825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3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3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37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37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37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37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37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37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37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37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37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37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37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37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37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37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37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3729"/>
    <w:rPr>
      <w:rFonts w:eastAsiaTheme="majorEastAsia" w:cstheme="majorBidi"/>
      <w:color w:val="272727" w:themeColor="text1" w:themeTint="D8"/>
    </w:rPr>
  </w:style>
  <w:style w:type="paragraph" w:styleId="Titel">
    <w:name w:val="Title"/>
    <w:basedOn w:val="Standaard"/>
    <w:next w:val="Standaard"/>
    <w:link w:val="TitelChar"/>
    <w:uiPriority w:val="10"/>
    <w:qFormat/>
    <w:rsid w:val="004F3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37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37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37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37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3729"/>
    <w:rPr>
      <w:i/>
      <w:iCs/>
      <w:color w:val="404040" w:themeColor="text1" w:themeTint="BF"/>
    </w:rPr>
  </w:style>
  <w:style w:type="paragraph" w:styleId="Lijstalinea">
    <w:name w:val="List Paragraph"/>
    <w:basedOn w:val="Standaard"/>
    <w:uiPriority w:val="34"/>
    <w:qFormat/>
    <w:rsid w:val="004F3729"/>
    <w:pPr>
      <w:ind w:left="720"/>
      <w:contextualSpacing/>
    </w:pPr>
  </w:style>
  <w:style w:type="character" w:styleId="Intensievebenadrukking">
    <w:name w:val="Intense Emphasis"/>
    <w:basedOn w:val="Standaardalinea-lettertype"/>
    <w:uiPriority w:val="21"/>
    <w:qFormat/>
    <w:rsid w:val="004F3729"/>
    <w:rPr>
      <w:i/>
      <w:iCs/>
      <w:color w:val="2F5496" w:themeColor="accent1" w:themeShade="BF"/>
    </w:rPr>
  </w:style>
  <w:style w:type="paragraph" w:styleId="Duidelijkcitaat">
    <w:name w:val="Intense Quote"/>
    <w:basedOn w:val="Standaard"/>
    <w:next w:val="Standaard"/>
    <w:link w:val="DuidelijkcitaatChar"/>
    <w:uiPriority w:val="30"/>
    <w:qFormat/>
    <w:rsid w:val="004F3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3729"/>
    <w:rPr>
      <w:i/>
      <w:iCs/>
      <w:color w:val="2F5496" w:themeColor="accent1" w:themeShade="BF"/>
    </w:rPr>
  </w:style>
  <w:style w:type="character" w:styleId="Intensieveverwijzing">
    <w:name w:val="Intense Reference"/>
    <w:basedOn w:val="Standaardalinea-lettertype"/>
    <w:uiPriority w:val="32"/>
    <w:qFormat/>
    <w:rsid w:val="004F3729"/>
    <w:rPr>
      <w:b/>
      <w:bCs/>
      <w:smallCaps/>
      <w:color w:val="2F5496" w:themeColor="accent1" w:themeShade="BF"/>
      <w:spacing w:val="5"/>
    </w:rPr>
  </w:style>
  <w:style w:type="paragraph" w:styleId="Koptekst">
    <w:name w:val="header"/>
    <w:basedOn w:val="Standaard"/>
    <w:link w:val="KoptekstChar"/>
    <w:uiPriority w:val="99"/>
    <w:unhideWhenUsed/>
    <w:rsid w:val="004F37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F372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F37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F3729"/>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771</ap:Words>
  <ap:Characters>4244</ap:Characters>
  <ap:DocSecurity>0</ap:DocSecurity>
  <ap:Lines>35</ap:Lines>
  <ap:Paragraphs>10</ap:Paragraphs>
  <ap:ScaleCrop>false</ap:ScaleCrop>
  <ap:LinksUpToDate>false</ap:LinksUpToDate>
  <ap:CharactersWithSpaces>5005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2025-04-22T18:03:00.0000000Z</dcterms:created>
  <dcterms:modified xsi:type="dcterms:W3CDTF">2025-04-22T18:04:00.0000000Z</dcterms:modified>
  <version/>
  <category/>
</coreProperties>
</file>