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545909" w:rsidRDefault="00264B26" w14:paraId="67155EF1" w14:textId="05FA7280">
      <w:r>
        <w:t>Geachte Voorzitter</w:t>
      </w:r>
      <w:r w:rsidR="002E0463">
        <w:t>,</w:t>
      </w:r>
    </w:p>
    <w:p w:rsidR="002E0463" w:rsidP="00545909" w:rsidRDefault="00545909" w14:paraId="72DD6A85" w14:textId="77777777">
      <w:pPr>
        <w:pStyle w:val="Geenafstand"/>
        <w:spacing w:line="240" w:lineRule="atLeast"/>
        <w:rPr>
          <w:rFonts w:ascii="Verdana" w:hAnsi="Verdana"/>
          <w:sz w:val="18"/>
          <w:szCs w:val="18"/>
        </w:rPr>
      </w:pPr>
      <w:r>
        <w:br/>
      </w:r>
      <w:r w:rsidR="002E0463">
        <w:rPr>
          <w:rFonts w:ascii="Verdana" w:hAnsi="Verdana"/>
          <w:sz w:val="18"/>
          <w:szCs w:val="18"/>
        </w:rPr>
        <w:t>Op 14 maart 2025 is de evaluatie van de Rijkscofinanciering aan de Nederlandse programma’s onder het Europese Fonds voor Regionale Ontwikkeling (EFRO) over de periode 2014-2020 afgerond. Hierbij bied ik u het eindrapport over deze evaluatie aan</w:t>
      </w:r>
      <w:r w:rsidR="002E0463">
        <w:rPr>
          <w:rStyle w:val="Voetnootmarkering"/>
          <w:rFonts w:ascii="Verdana" w:hAnsi="Verdana"/>
          <w:sz w:val="18"/>
          <w:szCs w:val="18"/>
        </w:rPr>
        <w:footnoteReference w:id="1"/>
      </w:r>
      <w:r w:rsidR="002E0463">
        <w:rPr>
          <w:rFonts w:ascii="Verdana" w:hAnsi="Verdana"/>
          <w:sz w:val="18"/>
          <w:szCs w:val="18"/>
        </w:rPr>
        <w:t>.</w:t>
      </w:r>
    </w:p>
    <w:p w:rsidR="002E0463" w:rsidP="00545909" w:rsidRDefault="002E0463" w14:paraId="334C728B" w14:textId="77777777">
      <w:pPr>
        <w:pStyle w:val="Geenafstand"/>
        <w:spacing w:line="240" w:lineRule="atLeast"/>
        <w:rPr>
          <w:rFonts w:ascii="Verdana" w:hAnsi="Verdana"/>
          <w:sz w:val="18"/>
          <w:szCs w:val="18"/>
        </w:rPr>
      </w:pPr>
    </w:p>
    <w:p w:rsidR="002E0463" w:rsidP="00545909" w:rsidRDefault="002E0463" w14:paraId="16D30CA6" w14:textId="5DCF582A">
      <w:pPr>
        <w:pStyle w:val="Geenafstand"/>
        <w:spacing w:line="240" w:lineRule="atLeast"/>
        <w:rPr>
          <w:rFonts w:ascii="Verdana" w:hAnsi="Verdana"/>
          <w:sz w:val="18"/>
          <w:szCs w:val="18"/>
        </w:rPr>
      </w:pPr>
      <w:r>
        <w:rPr>
          <w:rFonts w:ascii="Verdana" w:hAnsi="Verdana"/>
          <w:sz w:val="18"/>
          <w:szCs w:val="18"/>
        </w:rPr>
        <w:t xml:space="preserve">De EFRO-programmaperiodes lopen gelijk met de periode van het Meerjarig Financieel Kader (MFK) voor de begroting van de Europese Unie (EU). De werkelijke afsluiting van de EFRO-programma’s over de periode 2014-2020 gebeurt echter pas enkele jaren later vanwege de doorlooptijd van projecten en de vereiste </w:t>
      </w:r>
      <w:r w:rsidR="00475415">
        <w:rPr>
          <w:rFonts w:ascii="Verdana" w:hAnsi="Verdana"/>
          <w:sz w:val="18"/>
          <w:szCs w:val="18"/>
        </w:rPr>
        <w:t>financiële controles</w:t>
      </w:r>
      <w:r>
        <w:rPr>
          <w:rFonts w:ascii="Verdana" w:hAnsi="Verdana"/>
          <w:sz w:val="18"/>
          <w:szCs w:val="18"/>
        </w:rPr>
        <w:t xml:space="preserve"> die hier op volgen. De verwachting is dat de EFRO-programma’s in Nederland pas in 2026 definitief zijn beëindigd. Het merendeel van de projecten is wel al afgerond, wat betekent dat de evaluatie van de Rijkscofinanciering al uitgevoerd kon worden. Op dit moment worden in Nederland ook de EFRO-programma’s voor de huidige programmaperiode (2021-2027) uitgevoerd, terwijl de discussie over de EFRO-programma’s na 2027 ook gestart is. Om deze reden ga ik in deze brief zowel in op de evaluatie van de Rijkscofinanciering in de EFRO-programmaperiode 2014-2020, alsook op de huidige EFRO-programma’s en de periode na 2027. </w:t>
      </w:r>
    </w:p>
    <w:p w:rsidR="00264B26" w:rsidP="00545909" w:rsidRDefault="007E7C36" w14:paraId="75B93D2A" w14:textId="5A13F9C6">
      <w:pPr>
        <w:tabs>
          <w:tab w:val="left" w:pos="5588"/>
        </w:tabs>
      </w:pPr>
      <w:r>
        <w:tab/>
      </w:r>
    </w:p>
    <w:p w:rsidR="00264B26" w:rsidP="00545909" w:rsidRDefault="00264B26" w14:paraId="4A63F67D" w14:textId="77777777"/>
    <w:p w:rsidR="00264B26" w:rsidP="00545909" w:rsidRDefault="00264B26" w14:paraId="692F68F1" w14:textId="77777777"/>
    <w:p w:rsidR="00545909" w:rsidP="00545909" w:rsidRDefault="00545909" w14:paraId="5FCCFE14" w14:textId="77777777"/>
    <w:p w:rsidRPr="005C65B5" w:rsidR="00545909" w:rsidP="00545909" w:rsidRDefault="00545909" w14:paraId="73692EF8" w14:textId="77777777"/>
    <w:p w:rsidRPr="00591E4A" w:rsidR="00264B26" w:rsidP="00545909" w:rsidRDefault="00264B26" w14:paraId="5E6C5AAF" w14:textId="77777777">
      <w:pPr>
        <w:rPr>
          <w:szCs w:val="18"/>
        </w:rPr>
      </w:pPr>
      <w:r>
        <w:rPr>
          <w:szCs w:val="18"/>
        </w:rPr>
        <w:t xml:space="preserve">Dirk </w:t>
      </w:r>
      <w:proofErr w:type="spellStart"/>
      <w:r>
        <w:rPr>
          <w:szCs w:val="18"/>
        </w:rPr>
        <w:t>Beljaarts</w:t>
      </w:r>
      <w:proofErr w:type="spellEnd"/>
    </w:p>
    <w:p w:rsidRPr="00012B4F" w:rsidR="00264B26" w:rsidP="00545909" w:rsidRDefault="00264B26" w14:paraId="7DDFD119" w14:textId="77777777">
      <w:r w:rsidRPr="005C65B5">
        <w:t>Minister van Economische Zaken</w:t>
      </w:r>
    </w:p>
    <w:p w:rsidR="00264B26" w:rsidP="00545909" w:rsidRDefault="00264B26" w14:paraId="708D5F54" w14:textId="77777777">
      <w:pPr>
        <w:pStyle w:val="Geenafstand"/>
        <w:spacing w:line="240" w:lineRule="atLeast"/>
        <w:rPr>
          <w:rFonts w:ascii="Verdana" w:hAnsi="Verdana"/>
          <w:sz w:val="18"/>
          <w:szCs w:val="18"/>
        </w:rPr>
      </w:pPr>
    </w:p>
    <w:p w:rsidR="00264B26" w:rsidP="00545909" w:rsidRDefault="00264B26" w14:paraId="42E1FDCB" w14:textId="77777777">
      <w:pPr>
        <w:rPr>
          <w:rFonts w:eastAsiaTheme="minorHAnsi" w:cstheme="minorBidi"/>
          <w:b/>
          <w:bCs/>
          <w:szCs w:val="18"/>
          <w:lang w:eastAsia="en-US"/>
        </w:rPr>
      </w:pPr>
      <w:r>
        <w:rPr>
          <w:b/>
          <w:bCs/>
          <w:szCs w:val="18"/>
        </w:rPr>
        <w:br w:type="page"/>
      </w:r>
    </w:p>
    <w:p w:rsidRPr="00264B26" w:rsidR="002E0463" w:rsidP="00545909" w:rsidRDefault="002E0463" w14:paraId="3DCB9F74" w14:textId="0039C25C">
      <w:pPr>
        <w:pStyle w:val="Geenafstand"/>
        <w:spacing w:line="240" w:lineRule="atLeast"/>
        <w:rPr>
          <w:rFonts w:ascii="Verdana" w:hAnsi="Verdana"/>
          <w:b/>
          <w:bCs/>
          <w:i/>
          <w:iCs/>
          <w:sz w:val="18"/>
          <w:szCs w:val="18"/>
        </w:rPr>
      </w:pPr>
      <w:r w:rsidRPr="00264B26">
        <w:rPr>
          <w:rFonts w:ascii="Verdana" w:hAnsi="Verdana"/>
          <w:b/>
          <w:bCs/>
          <w:i/>
          <w:iCs/>
          <w:sz w:val="18"/>
          <w:szCs w:val="18"/>
        </w:rPr>
        <w:lastRenderedPageBreak/>
        <w:t>EFRO in Nederland</w:t>
      </w:r>
    </w:p>
    <w:p w:rsidR="002E0463" w:rsidP="00545909" w:rsidRDefault="002E0463" w14:paraId="47B105A6" w14:textId="77777777">
      <w:pPr>
        <w:pStyle w:val="Geenafstand"/>
        <w:spacing w:line="240" w:lineRule="atLeast"/>
        <w:rPr>
          <w:rFonts w:ascii="Verdana" w:hAnsi="Verdana"/>
          <w:b/>
          <w:bCs/>
          <w:sz w:val="18"/>
          <w:szCs w:val="18"/>
        </w:rPr>
      </w:pPr>
    </w:p>
    <w:p w:rsidR="002E0463" w:rsidP="00545909" w:rsidRDefault="002E0463" w14:paraId="6D328958" w14:textId="477EF06C">
      <w:pPr>
        <w:pStyle w:val="Geenafstand"/>
        <w:spacing w:line="240" w:lineRule="atLeast"/>
        <w:rPr>
          <w:rFonts w:ascii="Verdana" w:hAnsi="Verdana"/>
          <w:sz w:val="18"/>
          <w:szCs w:val="18"/>
        </w:rPr>
      </w:pPr>
      <w:r>
        <w:rPr>
          <w:rFonts w:ascii="Verdana" w:hAnsi="Verdana"/>
          <w:sz w:val="18"/>
          <w:szCs w:val="18"/>
        </w:rPr>
        <w:t xml:space="preserve">EFRO is één van de Europese </w:t>
      </w:r>
      <w:r w:rsidR="005504EA">
        <w:rPr>
          <w:rFonts w:ascii="Verdana" w:hAnsi="Verdana"/>
          <w:sz w:val="18"/>
          <w:szCs w:val="18"/>
        </w:rPr>
        <w:t>fondsen</w:t>
      </w:r>
      <w:r>
        <w:rPr>
          <w:rFonts w:ascii="Verdana" w:hAnsi="Verdana"/>
          <w:sz w:val="18"/>
          <w:szCs w:val="18"/>
        </w:rPr>
        <w:t xml:space="preserve"> </w:t>
      </w:r>
      <w:r w:rsidR="005504EA">
        <w:rPr>
          <w:rFonts w:ascii="Verdana" w:hAnsi="Verdana"/>
          <w:sz w:val="18"/>
          <w:szCs w:val="18"/>
        </w:rPr>
        <w:t>waar</w:t>
      </w:r>
      <w:r>
        <w:rPr>
          <w:rFonts w:ascii="Verdana" w:hAnsi="Verdana"/>
          <w:sz w:val="18"/>
          <w:szCs w:val="18"/>
        </w:rPr>
        <w:t xml:space="preserve"> Nederland</w:t>
      </w:r>
      <w:r w:rsidR="005504EA">
        <w:rPr>
          <w:rFonts w:ascii="Verdana" w:hAnsi="Verdana"/>
          <w:sz w:val="18"/>
          <w:szCs w:val="18"/>
        </w:rPr>
        <w:t xml:space="preserve"> voor</w:t>
      </w:r>
      <w:r>
        <w:rPr>
          <w:rFonts w:ascii="Verdana" w:hAnsi="Verdana"/>
          <w:sz w:val="18"/>
          <w:szCs w:val="18"/>
        </w:rPr>
        <w:t xml:space="preserve"> in aanmerking komt om het Cohesiebeleid tot uitvoering te bren</w:t>
      </w:r>
      <w:r w:rsidRPr="0015546C">
        <w:rPr>
          <w:rFonts w:ascii="Verdana" w:hAnsi="Verdana"/>
          <w:sz w:val="18"/>
          <w:szCs w:val="18"/>
        </w:rPr>
        <w:t>gen.</w:t>
      </w:r>
      <w:r>
        <w:rPr>
          <w:rFonts w:ascii="Verdana" w:hAnsi="Verdana"/>
          <w:sz w:val="18"/>
          <w:szCs w:val="18"/>
        </w:rPr>
        <w:t xml:space="preserve"> Doel van het Cohesiebeleid is om economische en sociale cohesie tussen Europese regio’s te versterken. Op Europees niveau is het overgrote deel van de EFRO-middelen bestemd voor de minder ontwikkelde regio’s van de EU. Nederland ontvangt relatief weinig EFRO-middelen, aangezien onze regio’s economisch goed ontwikkeld zijn. Vanuit het MFK was voor de EFRO-programma’s</w:t>
      </w:r>
      <w:r w:rsidR="00475415">
        <w:rPr>
          <w:rFonts w:ascii="Verdana" w:hAnsi="Verdana"/>
          <w:sz w:val="18"/>
          <w:szCs w:val="18"/>
        </w:rPr>
        <w:t xml:space="preserve"> 2014-2020</w:t>
      </w:r>
      <w:r>
        <w:rPr>
          <w:rFonts w:ascii="Verdana" w:hAnsi="Verdana"/>
          <w:sz w:val="18"/>
          <w:szCs w:val="18"/>
        </w:rPr>
        <w:t xml:space="preserve"> in Nederland een budget van ruim € 820 mln. te besteden. In reactie op de Coronapandemie is via het economische herstelprogramma REACT-EU nog € 269,5 mln. aanvullend budget beschikbaar gesteld. </w:t>
      </w:r>
    </w:p>
    <w:p w:rsidR="002E0463" w:rsidP="00545909" w:rsidRDefault="002E0463" w14:paraId="46CBDF38" w14:textId="77777777">
      <w:pPr>
        <w:pStyle w:val="Geenafstand"/>
        <w:spacing w:line="240" w:lineRule="atLeast"/>
        <w:rPr>
          <w:rFonts w:ascii="Verdana" w:hAnsi="Verdana"/>
          <w:sz w:val="18"/>
          <w:szCs w:val="18"/>
        </w:rPr>
      </w:pPr>
    </w:p>
    <w:p w:rsidR="002E0463" w:rsidP="00545909" w:rsidRDefault="002E0463" w14:paraId="163F30B4" w14:textId="6337CA42">
      <w:pPr>
        <w:pStyle w:val="Geenafstand"/>
        <w:spacing w:line="240" w:lineRule="atLeast"/>
        <w:rPr>
          <w:rFonts w:ascii="Verdana" w:hAnsi="Verdana"/>
          <w:sz w:val="18"/>
          <w:szCs w:val="18"/>
        </w:rPr>
      </w:pPr>
      <w:r>
        <w:rPr>
          <w:rFonts w:ascii="Verdana" w:hAnsi="Verdana"/>
          <w:sz w:val="18"/>
          <w:szCs w:val="18"/>
        </w:rPr>
        <w:t xml:space="preserve">Een vereiste vanuit de EU is dat EFRO-middelen in ontwikkelde lidstaten voor ten minste 50% meegefinancierd worden via publieke of private cofinanciering. Het ministerie van EZ neemt </w:t>
      </w:r>
      <w:r w:rsidR="00475415">
        <w:rPr>
          <w:rFonts w:ascii="Verdana" w:hAnsi="Verdana"/>
          <w:sz w:val="18"/>
          <w:szCs w:val="18"/>
        </w:rPr>
        <w:t xml:space="preserve">met een bedrag van € 171 mln. een </w:t>
      </w:r>
      <w:r>
        <w:rPr>
          <w:rFonts w:ascii="Verdana" w:hAnsi="Verdana"/>
          <w:sz w:val="18"/>
          <w:szCs w:val="18"/>
        </w:rPr>
        <w:t>deel van deze publieke financiering in de EFRO-programma’s op zich door Rijkscofinanciering te verlenen. Andere publieke financiers zijn decentrale overheden. De private financiering komt vanuit de eigen bijdrage van bedrijven.</w:t>
      </w:r>
    </w:p>
    <w:p w:rsidR="002E0463" w:rsidP="00545909" w:rsidRDefault="002E0463" w14:paraId="113C1633" w14:textId="77777777">
      <w:pPr>
        <w:pStyle w:val="Geenafstand"/>
        <w:spacing w:line="240" w:lineRule="atLeast"/>
        <w:rPr>
          <w:rFonts w:ascii="Verdana" w:hAnsi="Verdana"/>
          <w:sz w:val="18"/>
          <w:szCs w:val="18"/>
        </w:rPr>
      </w:pPr>
    </w:p>
    <w:p w:rsidR="002E0463" w:rsidP="00545909" w:rsidRDefault="002E0463" w14:paraId="492C6DD4" w14:textId="682B4E21">
      <w:pPr>
        <w:pStyle w:val="Geenafstand"/>
        <w:spacing w:line="240" w:lineRule="atLeast"/>
        <w:rPr>
          <w:rFonts w:ascii="Verdana" w:hAnsi="Verdana"/>
          <w:sz w:val="18"/>
          <w:szCs w:val="18"/>
        </w:rPr>
      </w:pPr>
      <w:r>
        <w:rPr>
          <w:rFonts w:ascii="Verdana" w:hAnsi="Verdana"/>
          <w:sz w:val="18"/>
          <w:szCs w:val="18"/>
        </w:rPr>
        <w:t xml:space="preserve">De </w:t>
      </w:r>
      <w:r w:rsidR="00545909">
        <w:rPr>
          <w:rFonts w:ascii="Verdana" w:hAnsi="Verdana"/>
          <w:sz w:val="18"/>
          <w:szCs w:val="18"/>
        </w:rPr>
        <w:t>m</w:t>
      </w:r>
      <w:r>
        <w:rPr>
          <w:rFonts w:ascii="Verdana" w:hAnsi="Verdana"/>
          <w:sz w:val="18"/>
          <w:szCs w:val="18"/>
        </w:rPr>
        <w:t xml:space="preserve">inister van Economische Zaken (EZ) is coördinerend bewindspersoon voor de </w:t>
      </w:r>
      <w:r w:rsidR="005504EA">
        <w:rPr>
          <w:rFonts w:ascii="Verdana" w:hAnsi="Verdana"/>
          <w:sz w:val="18"/>
          <w:szCs w:val="18"/>
        </w:rPr>
        <w:t>f</w:t>
      </w:r>
      <w:r>
        <w:rPr>
          <w:rFonts w:ascii="Verdana" w:hAnsi="Verdana"/>
          <w:sz w:val="18"/>
          <w:szCs w:val="18"/>
        </w:rPr>
        <w:t xml:space="preserve">ondsen </w:t>
      </w:r>
      <w:r w:rsidR="005504EA">
        <w:rPr>
          <w:rFonts w:ascii="Verdana" w:hAnsi="Verdana"/>
          <w:sz w:val="18"/>
          <w:szCs w:val="18"/>
        </w:rPr>
        <w:t xml:space="preserve">onder het Cohesiebeleid </w:t>
      </w:r>
      <w:r>
        <w:rPr>
          <w:rFonts w:ascii="Verdana" w:hAnsi="Verdana"/>
          <w:sz w:val="18"/>
          <w:szCs w:val="18"/>
        </w:rPr>
        <w:t xml:space="preserve">en is specifiek verantwoordelijk voor de besteding van EFRO-middelen in Nederland. EFRO kan worden onderverdeeld in </w:t>
      </w:r>
      <w:proofErr w:type="spellStart"/>
      <w:r>
        <w:rPr>
          <w:rFonts w:ascii="Verdana" w:hAnsi="Verdana"/>
          <w:sz w:val="18"/>
          <w:szCs w:val="18"/>
        </w:rPr>
        <w:t>landsdelige</w:t>
      </w:r>
      <w:proofErr w:type="spellEnd"/>
      <w:r>
        <w:rPr>
          <w:rFonts w:ascii="Verdana" w:hAnsi="Verdana"/>
          <w:sz w:val="18"/>
          <w:szCs w:val="18"/>
        </w:rPr>
        <w:t xml:space="preserve"> programma’s en grensoverschrijdende programma’s (de zogeheten </w:t>
      </w:r>
      <w:proofErr w:type="spellStart"/>
      <w:r>
        <w:rPr>
          <w:rFonts w:ascii="Verdana" w:hAnsi="Verdana"/>
          <w:sz w:val="18"/>
          <w:szCs w:val="18"/>
        </w:rPr>
        <w:t>Interreg</w:t>
      </w:r>
      <w:proofErr w:type="spellEnd"/>
      <w:r>
        <w:rPr>
          <w:rFonts w:ascii="Verdana" w:hAnsi="Verdana"/>
          <w:sz w:val="18"/>
          <w:szCs w:val="18"/>
        </w:rPr>
        <w:t xml:space="preserve"> programma’s). Bij </w:t>
      </w:r>
      <w:proofErr w:type="spellStart"/>
      <w:r>
        <w:rPr>
          <w:rFonts w:ascii="Verdana" w:hAnsi="Verdana"/>
          <w:sz w:val="18"/>
          <w:szCs w:val="18"/>
        </w:rPr>
        <w:t>landsdelige</w:t>
      </w:r>
      <w:proofErr w:type="spellEnd"/>
      <w:r>
        <w:rPr>
          <w:rFonts w:ascii="Verdana" w:hAnsi="Verdana"/>
          <w:sz w:val="18"/>
          <w:szCs w:val="18"/>
        </w:rPr>
        <w:t xml:space="preserve"> programma’s (Noord, Oost, Zuid en West) werken Nederlandse provincies samen met het Rijk om de programma’s in de regio uit te voeren. Bij </w:t>
      </w:r>
      <w:proofErr w:type="spellStart"/>
      <w:r>
        <w:rPr>
          <w:rFonts w:ascii="Verdana" w:hAnsi="Verdana"/>
          <w:sz w:val="18"/>
          <w:szCs w:val="18"/>
        </w:rPr>
        <w:t>Interreg</w:t>
      </w:r>
      <w:proofErr w:type="spellEnd"/>
      <w:r>
        <w:rPr>
          <w:rFonts w:ascii="Verdana" w:hAnsi="Verdana"/>
          <w:sz w:val="18"/>
          <w:szCs w:val="18"/>
        </w:rPr>
        <w:t xml:space="preserve"> programma’s is er samenwerking tussen grensregio’s (Duitsland-Nederland, Euregio Maas-Rijn, Vlaanderen-Nederland en de kustgebieden in Twee Zeeën)</w:t>
      </w:r>
      <w:r>
        <w:rPr>
          <w:rStyle w:val="Voetnootmarkering"/>
          <w:rFonts w:ascii="Verdana" w:hAnsi="Verdana"/>
          <w:sz w:val="18"/>
          <w:szCs w:val="18"/>
        </w:rPr>
        <w:footnoteReference w:id="2"/>
      </w:r>
      <w:r>
        <w:rPr>
          <w:rFonts w:ascii="Verdana" w:hAnsi="Verdana"/>
          <w:sz w:val="18"/>
          <w:szCs w:val="18"/>
        </w:rPr>
        <w:t xml:space="preserve">. De uitvoering van deze programma’s is per programmagebied in de regio belegd bij </w:t>
      </w:r>
      <w:r w:rsidR="00475415">
        <w:rPr>
          <w:rFonts w:ascii="Verdana" w:hAnsi="Verdana"/>
          <w:sz w:val="18"/>
          <w:szCs w:val="18"/>
        </w:rPr>
        <w:t xml:space="preserve">zogenaamde </w:t>
      </w:r>
      <w:r>
        <w:rPr>
          <w:rFonts w:ascii="Verdana" w:hAnsi="Verdana"/>
          <w:sz w:val="18"/>
          <w:szCs w:val="18"/>
        </w:rPr>
        <w:t xml:space="preserve">managementautoriteiten. </w:t>
      </w:r>
    </w:p>
    <w:p w:rsidR="002E0463" w:rsidP="00545909" w:rsidRDefault="002E0463" w14:paraId="487E4CE9" w14:textId="77777777">
      <w:pPr>
        <w:pStyle w:val="Geenafstand"/>
        <w:spacing w:line="240" w:lineRule="atLeast"/>
        <w:rPr>
          <w:rFonts w:ascii="Verdana" w:hAnsi="Verdana"/>
          <w:sz w:val="18"/>
          <w:szCs w:val="18"/>
        </w:rPr>
      </w:pPr>
    </w:p>
    <w:tbl>
      <w:tblPr>
        <w:tblStyle w:val="Tabelraster"/>
        <w:tblW w:w="0" w:type="auto"/>
        <w:tblLook w:val="04A0" w:firstRow="1" w:lastRow="0" w:firstColumn="1" w:lastColumn="0" w:noHBand="0" w:noVBand="1"/>
      </w:tblPr>
      <w:tblGrid>
        <w:gridCol w:w="2530"/>
        <w:gridCol w:w="2259"/>
        <w:gridCol w:w="2730"/>
      </w:tblGrid>
      <w:tr w:rsidR="002E0463" w:rsidTr="00E44CDD" w14:paraId="4F456C41" w14:textId="77777777">
        <w:tc>
          <w:tcPr>
            <w:tcW w:w="3020" w:type="dxa"/>
          </w:tcPr>
          <w:p w:rsidR="002E0463" w:rsidP="00545909" w:rsidRDefault="002E0463" w14:paraId="305959E4" w14:textId="77777777">
            <w:pPr>
              <w:pStyle w:val="Geenafstand"/>
              <w:spacing w:line="240" w:lineRule="atLeast"/>
              <w:rPr>
                <w:rFonts w:ascii="Verdana" w:hAnsi="Verdana"/>
                <w:sz w:val="18"/>
                <w:szCs w:val="18"/>
              </w:rPr>
            </w:pPr>
          </w:p>
        </w:tc>
        <w:tc>
          <w:tcPr>
            <w:tcW w:w="3021" w:type="dxa"/>
          </w:tcPr>
          <w:p w:rsidRPr="003928BD" w:rsidR="002E0463" w:rsidP="00545909" w:rsidRDefault="002E0463" w14:paraId="6EDA5219" w14:textId="77777777">
            <w:pPr>
              <w:pStyle w:val="Geenafstand"/>
              <w:spacing w:line="240" w:lineRule="atLeast"/>
              <w:rPr>
                <w:rFonts w:ascii="Verdana" w:hAnsi="Verdana"/>
                <w:b/>
                <w:bCs/>
                <w:sz w:val="18"/>
                <w:szCs w:val="18"/>
              </w:rPr>
            </w:pPr>
            <w:r w:rsidRPr="003928BD">
              <w:rPr>
                <w:rFonts w:ascii="Verdana" w:hAnsi="Verdana"/>
                <w:b/>
                <w:bCs/>
                <w:sz w:val="18"/>
                <w:szCs w:val="18"/>
              </w:rPr>
              <w:t>EFRO</w:t>
            </w:r>
          </w:p>
        </w:tc>
        <w:tc>
          <w:tcPr>
            <w:tcW w:w="3021" w:type="dxa"/>
          </w:tcPr>
          <w:p w:rsidRPr="003928BD" w:rsidR="002E0463" w:rsidP="00545909" w:rsidRDefault="002E0463" w14:paraId="488C73DB" w14:textId="77777777">
            <w:pPr>
              <w:pStyle w:val="Geenafstand"/>
              <w:spacing w:line="240" w:lineRule="atLeast"/>
              <w:rPr>
                <w:rFonts w:ascii="Verdana" w:hAnsi="Verdana"/>
                <w:b/>
                <w:bCs/>
                <w:sz w:val="18"/>
                <w:szCs w:val="18"/>
              </w:rPr>
            </w:pPr>
            <w:r w:rsidRPr="003928BD">
              <w:rPr>
                <w:rFonts w:ascii="Verdana" w:hAnsi="Verdana"/>
                <w:b/>
                <w:bCs/>
                <w:sz w:val="18"/>
                <w:szCs w:val="18"/>
              </w:rPr>
              <w:t>Rijkscofinanciering</w:t>
            </w:r>
          </w:p>
        </w:tc>
      </w:tr>
      <w:tr w:rsidR="002E0463" w:rsidTr="00E44CDD" w14:paraId="3948C1B7" w14:textId="77777777">
        <w:tc>
          <w:tcPr>
            <w:tcW w:w="3020" w:type="dxa"/>
          </w:tcPr>
          <w:p w:rsidRPr="003928BD" w:rsidR="002E0463" w:rsidP="00545909" w:rsidRDefault="002E0463" w14:paraId="3556CF55" w14:textId="77777777">
            <w:pPr>
              <w:pStyle w:val="Geenafstand"/>
              <w:spacing w:line="240" w:lineRule="atLeast"/>
              <w:rPr>
                <w:rFonts w:ascii="Verdana" w:hAnsi="Verdana"/>
                <w:b/>
                <w:bCs/>
                <w:sz w:val="18"/>
                <w:szCs w:val="18"/>
              </w:rPr>
            </w:pPr>
            <w:proofErr w:type="spellStart"/>
            <w:r w:rsidRPr="003928BD">
              <w:rPr>
                <w:rFonts w:ascii="Verdana" w:hAnsi="Verdana"/>
                <w:b/>
                <w:bCs/>
                <w:sz w:val="18"/>
                <w:szCs w:val="18"/>
              </w:rPr>
              <w:t>Landsdelige</w:t>
            </w:r>
            <w:proofErr w:type="spellEnd"/>
            <w:r w:rsidRPr="003928BD">
              <w:rPr>
                <w:rFonts w:ascii="Verdana" w:hAnsi="Verdana"/>
                <w:b/>
                <w:bCs/>
                <w:sz w:val="18"/>
                <w:szCs w:val="18"/>
              </w:rPr>
              <w:t xml:space="preserve"> EFRO-programma’s</w:t>
            </w:r>
          </w:p>
        </w:tc>
        <w:tc>
          <w:tcPr>
            <w:tcW w:w="3021" w:type="dxa"/>
          </w:tcPr>
          <w:p w:rsidR="002E0463" w:rsidP="00545909" w:rsidRDefault="002E0463" w14:paraId="5E5CC1ED" w14:textId="77777777">
            <w:pPr>
              <w:pStyle w:val="Geenafstand"/>
              <w:spacing w:line="240" w:lineRule="atLeast"/>
              <w:rPr>
                <w:rFonts w:ascii="Verdana" w:hAnsi="Verdana"/>
                <w:sz w:val="18"/>
                <w:szCs w:val="18"/>
              </w:rPr>
            </w:pPr>
            <w:r>
              <w:rPr>
                <w:rFonts w:ascii="Verdana" w:hAnsi="Verdana"/>
                <w:sz w:val="18"/>
                <w:szCs w:val="18"/>
              </w:rPr>
              <w:t>510,3</w:t>
            </w:r>
          </w:p>
        </w:tc>
        <w:tc>
          <w:tcPr>
            <w:tcW w:w="3021" w:type="dxa"/>
          </w:tcPr>
          <w:p w:rsidR="002E0463" w:rsidP="00545909" w:rsidRDefault="002E0463" w14:paraId="278876F8" w14:textId="77777777">
            <w:pPr>
              <w:pStyle w:val="Geenafstand"/>
              <w:spacing w:line="240" w:lineRule="atLeast"/>
              <w:rPr>
                <w:rFonts w:ascii="Verdana" w:hAnsi="Verdana"/>
                <w:sz w:val="18"/>
                <w:szCs w:val="18"/>
              </w:rPr>
            </w:pPr>
            <w:r>
              <w:rPr>
                <w:rFonts w:ascii="Verdana" w:hAnsi="Verdana"/>
                <w:sz w:val="18"/>
                <w:szCs w:val="18"/>
              </w:rPr>
              <w:t>91,9</w:t>
            </w:r>
          </w:p>
        </w:tc>
      </w:tr>
      <w:tr w:rsidR="002E0463" w:rsidTr="00E44CDD" w14:paraId="32F22B27" w14:textId="77777777">
        <w:tc>
          <w:tcPr>
            <w:tcW w:w="3020" w:type="dxa"/>
          </w:tcPr>
          <w:p w:rsidRPr="003928BD" w:rsidR="002E0463" w:rsidP="00545909" w:rsidRDefault="002E0463" w14:paraId="373C571B" w14:textId="77777777">
            <w:pPr>
              <w:pStyle w:val="Geenafstand"/>
              <w:spacing w:line="240" w:lineRule="atLeast"/>
              <w:rPr>
                <w:rFonts w:ascii="Verdana" w:hAnsi="Verdana"/>
                <w:b/>
                <w:bCs/>
                <w:sz w:val="18"/>
                <w:szCs w:val="18"/>
              </w:rPr>
            </w:pPr>
            <w:r w:rsidRPr="003928BD">
              <w:rPr>
                <w:rFonts w:ascii="Verdana" w:hAnsi="Verdana"/>
                <w:b/>
                <w:bCs/>
                <w:sz w:val="18"/>
                <w:szCs w:val="18"/>
              </w:rPr>
              <w:t>REACT-EU</w:t>
            </w:r>
          </w:p>
        </w:tc>
        <w:tc>
          <w:tcPr>
            <w:tcW w:w="3021" w:type="dxa"/>
          </w:tcPr>
          <w:p w:rsidR="002E0463" w:rsidP="00545909" w:rsidRDefault="002E0463" w14:paraId="20E6878B" w14:textId="77777777">
            <w:pPr>
              <w:pStyle w:val="Geenafstand"/>
              <w:spacing w:line="240" w:lineRule="atLeast"/>
              <w:rPr>
                <w:rFonts w:ascii="Verdana" w:hAnsi="Verdana"/>
                <w:sz w:val="18"/>
                <w:szCs w:val="18"/>
              </w:rPr>
            </w:pPr>
            <w:r>
              <w:rPr>
                <w:rFonts w:ascii="Verdana" w:hAnsi="Verdana"/>
                <w:sz w:val="18"/>
                <w:szCs w:val="18"/>
              </w:rPr>
              <w:t>269,5</w:t>
            </w:r>
          </w:p>
        </w:tc>
        <w:tc>
          <w:tcPr>
            <w:tcW w:w="3021" w:type="dxa"/>
          </w:tcPr>
          <w:p w:rsidR="002E0463" w:rsidP="00545909" w:rsidRDefault="002E0463" w14:paraId="46EAA614" w14:textId="77777777">
            <w:pPr>
              <w:pStyle w:val="Geenafstand"/>
              <w:spacing w:line="240" w:lineRule="atLeast"/>
              <w:rPr>
                <w:rFonts w:ascii="Verdana" w:hAnsi="Verdana"/>
                <w:sz w:val="18"/>
                <w:szCs w:val="18"/>
              </w:rPr>
            </w:pPr>
            <w:r>
              <w:rPr>
                <w:rFonts w:ascii="Verdana" w:hAnsi="Verdana"/>
                <w:sz w:val="18"/>
                <w:szCs w:val="18"/>
              </w:rPr>
              <w:t>30,0</w:t>
            </w:r>
          </w:p>
        </w:tc>
      </w:tr>
      <w:tr w:rsidR="002E0463" w:rsidTr="00E44CDD" w14:paraId="048F86AC" w14:textId="77777777">
        <w:tc>
          <w:tcPr>
            <w:tcW w:w="3020" w:type="dxa"/>
          </w:tcPr>
          <w:p w:rsidRPr="003928BD" w:rsidR="002E0463" w:rsidP="00545909" w:rsidRDefault="002E0463" w14:paraId="0F6E4180" w14:textId="77777777">
            <w:pPr>
              <w:pStyle w:val="Geenafstand"/>
              <w:spacing w:line="240" w:lineRule="atLeast"/>
              <w:rPr>
                <w:rFonts w:ascii="Verdana" w:hAnsi="Verdana"/>
                <w:b/>
                <w:bCs/>
                <w:sz w:val="18"/>
                <w:szCs w:val="18"/>
              </w:rPr>
            </w:pPr>
            <w:proofErr w:type="spellStart"/>
            <w:r w:rsidRPr="003928BD">
              <w:rPr>
                <w:rFonts w:ascii="Verdana" w:hAnsi="Verdana"/>
                <w:b/>
                <w:bCs/>
                <w:sz w:val="18"/>
                <w:szCs w:val="18"/>
              </w:rPr>
              <w:t>Interreg</w:t>
            </w:r>
            <w:proofErr w:type="spellEnd"/>
            <w:r w:rsidRPr="003928BD">
              <w:rPr>
                <w:rFonts w:ascii="Verdana" w:hAnsi="Verdana"/>
                <w:b/>
                <w:bCs/>
                <w:sz w:val="18"/>
                <w:szCs w:val="18"/>
              </w:rPr>
              <w:t xml:space="preserve"> programma’s</w:t>
            </w:r>
          </w:p>
        </w:tc>
        <w:tc>
          <w:tcPr>
            <w:tcW w:w="3021" w:type="dxa"/>
          </w:tcPr>
          <w:p w:rsidR="002E0463" w:rsidP="00545909" w:rsidRDefault="002E0463" w14:paraId="13D3862C" w14:textId="77777777">
            <w:pPr>
              <w:pStyle w:val="Geenafstand"/>
              <w:spacing w:line="240" w:lineRule="atLeast"/>
              <w:rPr>
                <w:rFonts w:ascii="Verdana" w:hAnsi="Verdana"/>
                <w:sz w:val="18"/>
                <w:szCs w:val="18"/>
              </w:rPr>
            </w:pPr>
            <w:r>
              <w:rPr>
                <w:rFonts w:ascii="Verdana" w:hAnsi="Verdana"/>
                <w:sz w:val="18"/>
                <w:szCs w:val="18"/>
              </w:rPr>
              <w:t>309,7</w:t>
            </w:r>
          </w:p>
        </w:tc>
        <w:tc>
          <w:tcPr>
            <w:tcW w:w="3021" w:type="dxa"/>
          </w:tcPr>
          <w:p w:rsidR="002E0463" w:rsidP="00545909" w:rsidRDefault="002E0463" w14:paraId="34CF0214" w14:textId="77777777">
            <w:pPr>
              <w:pStyle w:val="Geenafstand"/>
              <w:spacing w:line="240" w:lineRule="atLeast"/>
              <w:rPr>
                <w:rFonts w:ascii="Verdana" w:hAnsi="Verdana"/>
                <w:sz w:val="18"/>
                <w:szCs w:val="18"/>
              </w:rPr>
            </w:pPr>
            <w:r>
              <w:rPr>
                <w:rFonts w:ascii="Verdana" w:hAnsi="Verdana"/>
                <w:sz w:val="18"/>
                <w:szCs w:val="18"/>
              </w:rPr>
              <w:t>49,0</w:t>
            </w:r>
          </w:p>
        </w:tc>
      </w:tr>
    </w:tbl>
    <w:p w:rsidR="002E0463" w:rsidP="00545909" w:rsidRDefault="002E0463" w14:paraId="112E19F4" w14:textId="77777777">
      <w:pPr>
        <w:pStyle w:val="Geenafstand"/>
        <w:spacing w:line="240" w:lineRule="atLeast"/>
        <w:rPr>
          <w:rFonts w:ascii="Verdana" w:hAnsi="Verdana"/>
          <w:b/>
          <w:bCs/>
          <w:sz w:val="14"/>
          <w:szCs w:val="14"/>
        </w:rPr>
      </w:pPr>
      <w:r w:rsidRPr="00E100D8">
        <w:rPr>
          <w:rFonts w:ascii="Verdana" w:hAnsi="Verdana"/>
          <w:b/>
          <w:bCs/>
          <w:sz w:val="14"/>
          <w:szCs w:val="14"/>
        </w:rPr>
        <w:t xml:space="preserve">Tabel 1: Bijdrage EU en </w:t>
      </w:r>
      <w:r>
        <w:rPr>
          <w:rFonts w:ascii="Verdana" w:hAnsi="Verdana"/>
          <w:b/>
          <w:bCs/>
          <w:sz w:val="14"/>
          <w:szCs w:val="14"/>
        </w:rPr>
        <w:t xml:space="preserve">ministerie van </w:t>
      </w:r>
      <w:r w:rsidRPr="00E100D8">
        <w:rPr>
          <w:rFonts w:ascii="Verdana" w:hAnsi="Verdana"/>
          <w:b/>
          <w:bCs/>
          <w:sz w:val="14"/>
          <w:szCs w:val="14"/>
        </w:rPr>
        <w:t>EZ aan EFRO</w:t>
      </w:r>
      <w:r>
        <w:rPr>
          <w:rFonts w:ascii="Verdana" w:hAnsi="Verdana"/>
          <w:b/>
          <w:bCs/>
          <w:sz w:val="14"/>
          <w:szCs w:val="14"/>
        </w:rPr>
        <w:t>-</w:t>
      </w:r>
      <w:r w:rsidRPr="00E100D8">
        <w:rPr>
          <w:rFonts w:ascii="Verdana" w:hAnsi="Verdana"/>
          <w:b/>
          <w:bCs/>
          <w:sz w:val="14"/>
          <w:szCs w:val="14"/>
        </w:rPr>
        <w:t xml:space="preserve">programma’s </w:t>
      </w:r>
      <w:r>
        <w:rPr>
          <w:rFonts w:ascii="Verdana" w:hAnsi="Verdana"/>
          <w:b/>
          <w:bCs/>
          <w:sz w:val="14"/>
          <w:szCs w:val="14"/>
        </w:rPr>
        <w:t xml:space="preserve">2014-2020 </w:t>
      </w:r>
      <w:r w:rsidRPr="00E100D8">
        <w:rPr>
          <w:rFonts w:ascii="Verdana" w:hAnsi="Verdana"/>
          <w:b/>
          <w:bCs/>
          <w:sz w:val="14"/>
          <w:szCs w:val="14"/>
        </w:rPr>
        <w:t>(in mln. euro’s)</w:t>
      </w:r>
    </w:p>
    <w:p w:rsidR="002E0463" w:rsidP="00545909" w:rsidRDefault="002E0463" w14:paraId="77AD3177" w14:textId="77777777">
      <w:pPr>
        <w:pStyle w:val="Geenafstand"/>
        <w:spacing w:line="240" w:lineRule="atLeast"/>
        <w:rPr>
          <w:rFonts w:ascii="Verdana" w:hAnsi="Verdana"/>
          <w:b/>
          <w:bCs/>
          <w:sz w:val="18"/>
          <w:szCs w:val="18"/>
        </w:rPr>
      </w:pPr>
    </w:p>
    <w:p w:rsidRPr="00264B26" w:rsidR="002E0463" w:rsidP="00545909" w:rsidRDefault="002E0463" w14:paraId="4A4F9D7D" w14:textId="3742E99A">
      <w:pPr>
        <w:pStyle w:val="Geenafstand"/>
        <w:spacing w:line="240" w:lineRule="atLeast"/>
        <w:rPr>
          <w:rFonts w:ascii="Verdana" w:hAnsi="Verdana"/>
          <w:b/>
          <w:bCs/>
          <w:i/>
          <w:iCs/>
          <w:sz w:val="18"/>
          <w:szCs w:val="18"/>
        </w:rPr>
      </w:pPr>
      <w:r w:rsidRPr="00264B26">
        <w:rPr>
          <w:rFonts w:ascii="Verdana" w:hAnsi="Verdana"/>
          <w:b/>
          <w:bCs/>
          <w:i/>
          <w:iCs/>
          <w:sz w:val="18"/>
          <w:szCs w:val="18"/>
        </w:rPr>
        <w:t xml:space="preserve">Bevindingen </w:t>
      </w:r>
      <w:r w:rsidRPr="00264B26" w:rsidR="00264B26">
        <w:rPr>
          <w:rFonts w:ascii="Verdana" w:hAnsi="Verdana"/>
          <w:b/>
          <w:bCs/>
          <w:i/>
          <w:iCs/>
          <w:sz w:val="18"/>
          <w:szCs w:val="18"/>
        </w:rPr>
        <w:t>e</w:t>
      </w:r>
      <w:r w:rsidRPr="00264B26">
        <w:rPr>
          <w:rFonts w:ascii="Verdana" w:hAnsi="Verdana"/>
          <w:b/>
          <w:bCs/>
          <w:i/>
          <w:iCs/>
          <w:sz w:val="18"/>
          <w:szCs w:val="18"/>
        </w:rPr>
        <w:t>valuatie Rijkscofinanciering in EFRO 2014-2020</w:t>
      </w:r>
    </w:p>
    <w:p w:rsidR="002E0463" w:rsidP="00545909" w:rsidRDefault="002E0463" w14:paraId="6B59969B" w14:textId="77777777">
      <w:pPr>
        <w:pStyle w:val="Geenafstand"/>
        <w:spacing w:line="240" w:lineRule="atLeast"/>
        <w:rPr>
          <w:rFonts w:ascii="Verdana" w:hAnsi="Verdana"/>
          <w:sz w:val="18"/>
          <w:szCs w:val="18"/>
        </w:rPr>
      </w:pPr>
    </w:p>
    <w:p w:rsidR="002E0463" w:rsidP="00545909" w:rsidRDefault="002E0463" w14:paraId="66F39C1C" w14:textId="592E6517">
      <w:pPr>
        <w:pStyle w:val="Geenafstand"/>
        <w:spacing w:line="240" w:lineRule="atLeast"/>
        <w:rPr>
          <w:rFonts w:ascii="Verdana" w:hAnsi="Verdana"/>
          <w:sz w:val="18"/>
          <w:szCs w:val="18"/>
        </w:rPr>
      </w:pPr>
      <w:r>
        <w:rPr>
          <w:rFonts w:ascii="Verdana" w:hAnsi="Verdana"/>
          <w:sz w:val="18"/>
          <w:szCs w:val="18"/>
        </w:rPr>
        <w:t xml:space="preserve">De Rijkscofinanciering in de EFRO-programma’s over de periode 2014-2020 is in opdracht van het ministerie van EZ door onderzoeksbureau </w:t>
      </w:r>
      <w:proofErr w:type="spellStart"/>
      <w:r>
        <w:rPr>
          <w:rFonts w:ascii="Verdana" w:hAnsi="Verdana"/>
          <w:sz w:val="18"/>
          <w:szCs w:val="18"/>
        </w:rPr>
        <w:t>Technopolis</w:t>
      </w:r>
      <w:proofErr w:type="spellEnd"/>
      <w:r>
        <w:rPr>
          <w:rFonts w:ascii="Verdana" w:hAnsi="Verdana"/>
          <w:sz w:val="18"/>
          <w:szCs w:val="18"/>
        </w:rPr>
        <w:t xml:space="preserve"> B.V. geëvalueerd. </w:t>
      </w:r>
      <w:r w:rsidR="005504EA">
        <w:rPr>
          <w:rFonts w:ascii="Verdana" w:hAnsi="Verdana"/>
          <w:sz w:val="18"/>
          <w:szCs w:val="18"/>
        </w:rPr>
        <w:t>Doel</w:t>
      </w:r>
      <w:r>
        <w:rPr>
          <w:rFonts w:ascii="Verdana" w:hAnsi="Verdana"/>
          <w:sz w:val="18"/>
          <w:szCs w:val="18"/>
        </w:rPr>
        <w:t xml:space="preserve"> van de evaluatie was het nader onderzoeken van de doeltreffendheid en doelmatigheid van de Rijkscofinanciering. Hierbij </w:t>
      </w:r>
      <w:r w:rsidR="005504EA">
        <w:rPr>
          <w:rFonts w:ascii="Verdana" w:hAnsi="Verdana"/>
          <w:sz w:val="18"/>
          <w:szCs w:val="18"/>
        </w:rPr>
        <w:t xml:space="preserve">is onderzocht </w:t>
      </w:r>
      <w:r>
        <w:rPr>
          <w:rFonts w:ascii="Verdana" w:hAnsi="Verdana"/>
          <w:sz w:val="18"/>
          <w:szCs w:val="18"/>
        </w:rPr>
        <w:t xml:space="preserve">of de inzet van </w:t>
      </w:r>
      <w:r w:rsidR="005504EA">
        <w:rPr>
          <w:rFonts w:ascii="Verdana" w:hAnsi="Verdana"/>
          <w:sz w:val="18"/>
          <w:szCs w:val="18"/>
        </w:rPr>
        <w:t>Rijks</w:t>
      </w:r>
      <w:r>
        <w:rPr>
          <w:rFonts w:ascii="Verdana" w:hAnsi="Verdana"/>
          <w:sz w:val="18"/>
          <w:szCs w:val="18"/>
        </w:rPr>
        <w:t xml:space="preserve">cofinanciering </w:t>
      </w:r>
      <w:r w:rsidR="005504EA">
        <w:rPr>
          <w:rFonts w:ascii="Verdana" w:hAnsi="Verdana"/>
          <w:sz w:val="18"/>
          <w:szCs w:val="18"/>
        </w:rPr>
        <w:t>heeft bijgedragen</w:t>
      </w:r>
      <w:r>
        <w:rPr>
          <w:rFonts w:ascii="Verdana" w:hAnsi="Verdana"/>
          <w:sz w:val="18"/>
          <w:szCs w:val="18"/>
        </w:rPr>
        <w:t xml:space="preserve"> aan nationale beleidsdoelen op het gebied van innovatie en het bevorderen van een koolstofarme economie. </w:t>
      </w:r>
    </w:p>
    <w:p w:rsidR="002E0463" w:rsidP="00545909" w:rsidRDefault="002E0463" w14:paraId="2AB8DC47" w14:textId="77777777">
      <w:pPr>
        <w:pStyle w:val="Geenafstand"/>
        <w:spacing w:line="240" w:lineRule="atLeast"/>
        <w:rPr>
          <w:rFonts w:ascii="Verdana" w:hAnsi="Verdana"/>
          <w:sz w:val="18"/>
          <w:szCs w:val="18"/>
        </w:rPr>
      </w:pPr>
    </w:p>
    <w:p w:rsidR="002E0463" w:rsidP="00545909" w:rsidRDefault="002E0463" w14:paraId="10E75E2C" w14:textId="12D746D1">
      <w:pPr>
        <w:pStyle w:val="Geenafstand"/>
        <w:spacing w:line="240" w:lineRule="atLeast"/>
        <w:rPr>
          <w:rFonts w:ascii="Verdana" w:hAnsi="Verdana"/>
          <w:sz w:val="18"/>
          <w:szCs w:val="18"/>
        </w:rPr>
      </w:pPr>
      <w:r>
        <w:rPr>
          <w:rFonts w:ascii="Verdana" w:hAnsi="Verdana"/>
          <w:sz w:val="18"/>
          <w:szCs w:val="18"/>
        </w:rPr>
        <w:t xml:space="preserve">De prioriteiten van EFRO in Nederland </w:t>
      </w:r>
      <w:r w:rsidR="00660C41">
        <w:rPr>
          <w:rFonts w:ascii="Verdana" w:hAnsi="Verdana"/>
          <w:sz w:val="18"/>
          <w:szCs w:val="18"/>
        </w:rPr>
        <w:t xml:space="preserve">in de programmaperiode 2014-2020 </w:t>
      </w:r>
      <w:r>
        <w:rPr>
          <w:rFonts w:ascii="Verdana" w:hAnsi="Verdana"/>
          <w:sz w:val="18"/>
          <w:szCs w:val="18"/>
        </w:rPr>
        <w:t xml:space="preserve">zijn het stimuleren van innovatie en het bevorderen van een koolstofarme economie, met het mkb als voornaamste doelgroep. De inzet van Rijkscofinanciering is erop gericht om in lijn met de prioriteiten van de EFRO-programma’s projecten te ondersteunen die bijdragen aan het realiseren van nationale beleidsdoelen, specifiek het Topsectorenbeleid en later het </w:t>
      </w:r>
      <w:proofErr w:type="spellStart"/>
      <w:r>
        <w:rPr>
          <w:rFonts w:ascii="Verdana" w:hAnsi="Verdana"/>
          <w:sz w:val="18"/>
          <w:szCs w:val="18"/>
        </w:rPr>
        <w:t>Missiegedreven</w:t>
      </w:r>
      <w:proofErr w:type="spellEnd"/>
      <w:r>
        <w:rPr>
          <w:rFonts w:ascii="Verdana" w:hAnsi="Verdana"/>
          <w:sz w:val="18"/>
          <w:szCs w:val="18"/>
        </w:rPr>
        <w:t xml:space="preserve"> Topsectoren- en Innovatiebeleid (MTIB)</w:t>
      </w:r>
      <w:r>
        <w:rPr>
          <w:rStyle w:val="Voetnootmarkering"/>
          <w:rFonts w:ascii="Verdana" w:hAnsi="Verdana"/>
          <w:sz w:val="18"/>
          <w:szCs w:val="18"/>
        </w:rPr>
        <w:footnoteReference w:id="3"/>
      </w:r>
      <w:r>
        <w:rPr>
          <w:rFonts w:ascii="Verdana" w:hAnsi="Verdana"/>
          <w:sz w:val="18"/>
          <w:szCs w:val="18"/>
        </w:rPr>
        <w:t>. Dit betekent dat niet ieder EFRO-project in aanmerking komt voor Rijkscofinanciering.</w:t>
      </w:r>
    </w:p>
    <w:p w:rsidR="002E0463" w:rsidP="00545909" w:rsidRDefault="002E0463" w14:paraId="17147150" w14:textId="77777777">
      <w:pPr>
        <w:pStyle w:val="Geenafstand"/>
        <w:spacing w:line="240" w:lineRule="atLeast"/>
        <w:rPr>
          <w:rFonts w:ascii="Verdana" w:hAnsi="Verdana"/>
          <w:sz w:val="18"/>
          <w:szCs w:val="18"/>
        </w:rPr>
      </w:pPr>
    </w:p>
    <w:p w:rsidR="005504EA" w:rsidP="00545909" w:rsidRDefault="002E0463" w14:paraId="68ECCBE9" w14:textId="55793FA0">
      <w:pPr>
        <w:pStyle w:val="Geenafstand"/>
        <w:spacing w:line="240" w:lineRule="atLeast"/>
        <w:rPr>
          <w:rFonts w:ascii="Verdana" w:hAnsi="Verdana"/>
          <w:sz w:val="18"/>
          <w:szCs w:val="18"/>
        </w:rPr>
      </w:pPr>
      <w:r>
        <w:rPr>
          <w:rFonts w:ascii="Verdana" w:hAnsi="Verdana"/>
          <w:sz w:val="18"/>
          <w:szCs w:val="18"/>
        </w:rPr>
        <w:t xml:space="preserve">De bevindingen uit de evaluatie tonen aan dat de Rijkscofinanciering via de EFRO-programma’s een bijdrage levert aan nationale beleidsdoelen door het stimuleren van investeringen in innovatie-infrastructuur, zoals fieldlabs, campussen en proeftuinen. </w:t>
      </w:r>
      <w:r w:rsidR="005504EA">
        <w:rPr>
          <w:rFonts w:ascii="Verdana" w:hAnsi="Verdana"/>
          <w:sz w:val="18"/>
          <w:szCs w:val="18"/>
        </w:rPr>
        <w:t xml:space="preserve">Een belangrijke focus van de gefinancierde projecten ter bevordering van een koolstofarme economie is gericht op de ontwikkeling van duurzame technologieën die op termijn ook de </w:t>
      </w:r>
      <w:r w:rsidRPr="0043058E" w:rsidR="005504EA">
        <w:rPr>
          <w:rFonts w:ascii="Verdana" w:hAnsi="Verdana"/>
          <w:sz w:val="18"/>
          <w:szCs w:val="18"/>
        </w:rPr>
        <w:t>CO</w:t>
      </w:r>
      <w:r w:rsidRPr="0043058E" w:rsidR="005504EA">
        <w:rPr>
          <w:rFonts w:hint="eastAsia" w:ascii="Verdana" w:hAnsi="Verdana"/>
          <w:sz w:val="18"/>
          <w:szCs w:val="18"/>
        </w:rPr>
        <w:t>₂</w:t>
      </w:r>
      <w:r w:rsidRPr="0043058E" w:rsidR="005504EA">
        <w:rPr>
          <w:rFonts w:ascii="Verdana" w:hAnsi="Verdana"/>
          <w:sz w:val="18"/>
          <w:szCs w:val="18"/>
        </w:rPr>
        <w:t>-uitstoot</w:t>
      </w:r>
      <w:r w:rsidR="005504EA">
        <w:rPr>
          <w:rFonts w:ascii="Verdana" w:hAnsi="Verdana"/>
          <w:sz w:val="18"/>
          <w:szCs w:val="18"/>
        </w:rPr>
        <w:t xml:space="preserve"> reduceren.</w:t>
      </w:r>
    </w:p>
    <w:p w:rsidR="005504EA" w:rsidP="00545909" w:rsidRDefault="005504EA" w14:paraId="1DA181DF" w14:textId="77777777">
      <w:pPr>
        <w:pStyle w:val="Geenafstand"/>
        <w:spacing w:line="240" w:lineRule="atLeast"/>
        <w:rPr>
          <w:rFonts w:ascii="Verdana" w:hAnsi="Verdana"/>
          <w:sz w:val="18"/>
          <w:szCs w:val="18"/>
        </w:rPr>
      </w:pPr>
    </w:p>
    <w:p w:rsidR="002E0463" w:rsidP="00545909" w:rsidRDefault="002E0463" w14:paraId="064BCDCD" w14:textId="1E9A9EB8">
      <w:pPr>
        <w:pStyle w:val="Geenafstand"/>
        <w:spacing w:line="240" w:lineRule="atLeast"/>
        <w:rPr>
          <w:rFonts w:ascii="Verdana" w:hAnsi="Verdana"/>
          <w:sz w:val="18"/>
          <w:szCs w:val="18"/>
        </w:rPr>
      </w:pPr>
      <w:r>
        <w:rPr>
          <w:rFonts w:ascii="Verdana" w:hAnsi="Verdana"/>
          <w:sz w:val="18"/>
          <w:szCs w:val="18"/>
        </w:rPr>
        <w:t xml:space="preserve">Er worden projecten gefinancierd die sterk gericht zijn op samenwerking, netwerken en kennisdeling tussen mkb’ers, kennisinstellingen en soms ook grote bedrijven. Deze ecosysteem-effecten zijn een grote meerwaarde voor het versterken van de innovatiecapaciteit in Nederland. De Rijkscofinanciering maakt het mogelijk dat ook grootschalige samenwerkingsprojecten, test- en demonstraties van prototypes en opschaling van technologieën plaats kunnen vinden. </w:t>
      </w:r>
      <w:r w:rsidRPr="00EB25EA">
        <w:rPr>
          <w:rFonts w:ascii="Verdana" w:hAnsi="Verdana"/>
          <w:sz w:val="18"/>
          <w:szCs w:val="18"/>
        </w:rPr>
        <w:t>Een aanzienlijk deel van de deelnemende consortia in EFRO</w:t>
      </w:r>
      <w:r>
        <w:rPr>
          <w:rFonts w:ascii="Verdana" w:hAnsi="Verdana"/>
          <w:sz w:val="18"/>
          <w:szCs w:val="18"/>
        </w:rPr>
        <w:t>-</w:t>
      </w:r>
      <w:r w:rsidRPr="00EB25EA">
        <w:rPr>
          <w:rFonts w:ascii="Verdana" w:hAnsi="Verdana"/>
          <w:sz w:val="18"/>
          <w:szCs w:val="18"/>
        </w:rPr>
        <w:t>projecten blijft ook na afloop van het project samenwerken. Veel consortia bouwen langdurige relaties op die leiden tot vervolgprojecten of tot structurele deelname in (grensoverschrijdende) netwerken.</w:t>
      </w:r>
    </w:p>
    <w:p w:rsidR="002E0463" w:rsidP="00545909" w:rsidRDefault="002E0463" w14:paraId="2522ECBE" w14:textId="77777777">
      <w:pPr>
        <w:pStyle w:val="Geenafstand"/>
        <w:spacing w:line="240" w:lineRule="atLeast"/>
        <w:rPr>
          <w:rFonts w:ascii="Verdana" w:hAnsi="Verdana"/>
          <w:sz w:val="18"/>
          <w:szCs w:val="18"/>
        </w:rPr>
      </w:pPr>
    </w:p>
    <w:p w:rsidR="002E0463" w:rsidP="00545909" w:rsidRDefault="002E0463" w14:paraId="47E10280" w14:textId="272ED269">
      <w:pPr>
        <w:pStyle w:val="Geenafstand"/>
        <w:spacing w:line="240" w:lineRule="atLeast"/>
        <w:rPr>
          <w:rFonts w:ascii="Verdana" w:hAnsi="Verdana"/>
          <w:sz w:val="18"/>
          <w:szCs w:val="18"/>
        </w:rPr>
      </w:pPr>
      <w:r>
        <w:rPr>
          <w:rFonts w:ascii="Verdana" w:hAnsi="Verdana"/>
          <w:sz w:val="18"/>
          <w:szCs w:val="18"/>
        </w:rPr>
        <w:t xml:space="preserve">De Rijkscofinanciering </w:t>
      </w:r>
      <w:r w:rsidR="005504EA">
        <w:rPr>
          <w:rFonts w:ascii="Verdana" w:hAnsi="Verdana"/>
          <w:sz w:val="18"/>
          <w:szCs w:val="18"/>
        </w:rPr>
        <w:t>vergroot</w:t>
      </w:r>
      <w:r>
        <w:rPr>
          <w:rFonts w:ascii="Verdana" w:hAnsi="Verdana"/>
          <w:sz w:val="18"/>
          <w:szCs w:val="18"/>
        </w:rPr>
        <w:t xml:space="preserve"> het totale </w:t>
      </w:r>
      <w:r w:rsidR="005504EA">
        <w:rPr>
          <w:rFonts w:ascii="Verdana" w:hAnsi="Verdana"/>
          <w:sz w:val="18"/>
          <w:szCs w:val="18"/>
        </w:rPr>
        <w:t>EFRO-</w:t>
      </w:r>
      <w:r>
        <w:rPr>
          <w:rFonts w:ascii="Verdana" w:hAnsi="Verdana"/>
          <w:sz w:val="18"/>
          <w:szCs w:val="18"/>
        </w:rPr>
        <w:t xml:space="preserve">budget, waardoor meer projecten kunnen worden gefinancierd. Bovendien </w:t>
      </w:r>
      <w:r w:rsidRPr="005B495E">
        <w:rPr>
          <w:rFonts w:ascii="Verdana" w:hAnsi="Verdana"/>
          <w:sz w:val="18"/>
          <w:szCs w:val="18"/>
        </w:rPr>
        <w:t xml:space="preserve">helpt de Rijkscofinanciering mkb’ers om de benodigde voorfinanciering te </w:t>
      </w:r>
      <w:r w:rsidR="00475415">
        <w:rPr>
          <w:rFonts w:ascii="Verdana" w:hAnsi="Verdana"/>
          <w:sz w:val="18"/>
          <w:szCs w:val="18"/>
        </w:rPr>
        <w:t>krijgen</w:t>
      </w:r>
      <w:r w:rsidRPr="005B495E">
        <w:rPr>
          <w:rFonts w:ascii="Verdana" w:hAnsi="Verdana"/>
          <w:sz w:val="18"/>
          <w:szCs w:val="18"/>
        </w:rPr>
        <w:t xml:space="preserve"> om projecten te starten, </w:t>
      </w:r>
      <w:r w:rsidR="005504EA">
        <w:rPr>
          <w:rFonts w:ascii="Verdana" w:hAnsi="Verdana"/>
          <w:sz w:val="18"/>
          <w:szCs w:val="18"/>
        </w:rPr>
        <w:t>terwijl</w:t>
      </w:r>
      <w:r w:rsidRPr="005B495E">
        <w:rPr>
          <w:rFonts w:ascii="Verdana" w:hAnsi="Verdana"/>
          <w:sz w:val="18"/>
          <w:szCs w:val="18"/>
        </w:rPr>
        <w:t xml:space="preserve"> de Europese subsidie pas na declaratie van kosten uitgekeerd wordt. Bij de </w:t>
      </w:r>
      <w:proofErr w:type="spellStart"/>
      <w:r w:rsidRPr="005B495E">
        <w:rPr>
          <w:rFonts w:ascii="Verdana" w:hAnsi="Verdana"/>
          <w:sz w:val="18"/>
          <w:szCs w:val="18"/>
        </w:rPr>
        <w:t>Interreg</w:t>
      </w:r>
      <w:proofErr w:type="spellEnd"/>
      <w:r w:rsidRPr="005B495E">
        <w:rPr>
          <w:rFonts w:ascii="Verdana" w:hAnsi="Verdana"/>
          <w:sz w:val="18"/>
          <w:szCs w:val="18"/>
        </w:rPr>
        <w:t xml:space="preserve"> programma’s is een extra meerwaarde van de Rijkscofinanciering dat de financiering</w:t>
      </w:r>
      <w:r>
        <w:rPr>
          <w:rFonts w:ascii="Verdana" w:hAnsi="Verdana"/>
          <w:sz w:val="18"/>
          <w:szCs w:val="18"/>
        </w:rPr>
        <w:t xml:space="preserve"> fungeert als hefboom om publieke middelen aan te trekken uit de samenwerkende landen in deze programma’s. De Rijkscofinanciering is ook van belang geweest om te voldoen aan de vereiste van de EU om voldoende nationale cofinanciering te leveren om EFRO-subsidie te verkrijgen.</w:t>
      </w:r>
    </w:p>
    <w:p w:rsidR="002E0463" w:rsidP="00545909" w:rsidRDefault="002E0463" w14:paraId="1E29BB4C" w14:textId="77777777">
      <w:pPr>
        <w:pStyle w:val="Geenafstand"/>
        <w:spacing w:line="240" w:lineRule="atLeast"/>
        <w:rPr>
          <w:rFonts w:ascii="Verdana" w:hAnsi="Verdana"/>
          <w:sz w:val="18"/>
          <w:szCs w:val="18"/>
        </w:rPr>
      </w:pPr>
    </w:p>
    <w:p w:rsidR="002E0463" w:rsidP="00545909" w:rsidRDefault="005504EA" w14:paraId="4203216F" w14:textId="4E5BECA4">
      <w:pPr>
        <w:pStyle w:val="Geenafstand"/>
        <w:spacing w:line="240" w:lineRule="atLeast"/>
        <w:rPr>
          <w:rFonts w:ascii="Verdana Pro" w:hAnsi="Verdana Pro"/>
          <w:sz w:val="18"/>
          <w:szCs w:val="18"/>
        </w:rPr>
      </w:pPr>
      <w:r>
        <w:rPr>
          <w:rFonts w:ascii="Verdana Pro" w:hAnsi="Verdana Pro"/>
          <w:sz w:val="18"/>
          <w:szCs w:val="18"/>
        </w:rPr>
        <w:t>De</w:t>
      </w:r>
      <w:r w:rsidR="002E0463">
        <w:rPr>
          <w:rFonts w:ascii="Verdana Pro" w:hAnsi="Verdana Pro"/>
          <w:sz w:val="18"/>
          <w:szCs w:val="18"/>
        </w:rPr>
        <w:t xml:space="preserve"> met Rijkscofinanciering gesteunde projecten </w:t>
      </w:r>
      <w:r>
        <w:rPr>
          <w:rFonts w:ascii="Verdana Pro" w:hAnsi="Verdana Pro"/>
          <w:sz w:val="18"/>
          <w:szCs w:val="18"/>
        </w:rPr>
        <w:t xml:space="preserve">sloten in 2014-2020 goed </w:t>
      </w:r>
      <w:r w:rsidR="00475415">
        <w:rPr>
          <w:rFonts w:ascii="Verdana Pro" w:hAnsi="Verdana Pro"/>
          <w:sz w:val="18"/>
          <w:szCs w:val="18"/>
        </w:rPr>
        <w:t xml:space="preserve">aan </w:t>
      </w:r>
      <w:r>
        <w:rPr>
          <w:rFonts w:ascii="Verdana Pro" w:hAnsi="Verdana Pro"/>
          <w:sz w:val="18"/>
          <w:szCs w:val="18"/>
        </w:rPr>
        <w:t>op</w:t>
      </w:r>
      <w:r w:rsidR="002E0463">
        <w:rPr>
          <w:rFonts w:ascii="Verdana Pro" w:hAnsi="Verdana Pro"/>
          <w:sz w:val="18"/>
          <w:szCs w:val="18"/>
        </w:rPr>
        <w:t xml:space="preserve"> het Topsectorenbeleid. Vrijwel alle projecten konden worden ondergebracht </w:t>
      </w:r>
      <w:r>
        <w:rPr>
          <w:rFonts w:ascii="Verdana Pro" w:hAnsi="Verdana Pro"/>
          <w:sz w:val="18"/>
          <w:szCs w:val="18"/>
        </w:rPr>
        <w:t>bij</w:t>
      </w:r>
      <w:r w:rsidR="002E0463">
        <w:rPr>
          <w:rFonts w:ascii="Verdana Pro" w:hAnsi="Verdana Pro"/>
          <w:sz w:val="18"/>
          <w:szCs w:val="18"/>
        </w:rPr>
        <w:t xml:space="preserve"> een van de Topsectoren. Hierbij blijft het belangrijk om de inzet van de Rijkscofinanciering waar mogelijk beleidsmatig aan te scherpen, met focus op nationale beleidsdoelen. Zo is er in de huidige EFRO-programmaperiode ook aandacht voor het sturen van de inzet van Rijkscofinanciering naar projecten op de sleuteltechnologieën uit de Nationale Technologiestrategie (NTS)</w:t>
      </w:r>
      <w:r w:rsidR="002E0463">
        <w:rPr>
          <w:rFonts w:ascii="Verdana Pro" w:hAnsi="Verdana Pro"/>
          <w:sz w:val="18"/>
          <w:szCs w:val="18"/>
          <w:vertAlign w:val="superscript"/>
        </w:rPr>
        <w:footnoteReference w:id="4"/>
      </w:r>
      <w:r w:rsidR="002E0463">
        <w:rPr>
          <w:rFonts w:ascii="Verdana Pro" w:hAnsi="Verdana Pro"/>
          <w:sz w:val="18"/>
          <w:szCs w:val="18"/>
        </w:rPr>
        <w:t xml:space="preserve">. </w:t>
      </w:r>
    </w:p>
    <w:p w:rsidR="002E0463" w:rsidP="00545909" w:rsidRDefault="002E0463" w14:paraId="0D267C77" w14:textId="77777777">
      <w:pPr>
        <w:pStyle w:val="Geenafstand"/>
        <w:spacing w:line="240" w:lineRule="atLeast"/>
        <w:rPr>
          <w:rFonts w:ascii="Verdana" w:hAnsi="Verdana"/>
          <w:sz w:val="18"/>
          <w:szCs w:val="18"/>
        </w:rPr>
      </w:pPr>
    </w:p>
    <w:p w:rsidR="002E0463" w:rsidP="00545909" w:rsidRDefault="002E0463" w14:paraId="18818C3E" w14:textId="654CB2E9">
      <w:pPr>
        <w:pStyle w:val="Geenafstand"/>
        <w:spacing w:line="240" w:lineRule="atLeast"/>
        <w:rPr>
          <w:rFonts w:ascii="Verdana" w:hAnsi="Verdana"/>
          <w:sz w:val="18"/>
          <w:szCs w:val="18"/>
        </w:rPr>
      </w:pPr>
      <w:r>
        <w:rPr>
          <w:rFonts w:ascii="Verdana" w:hAnsi="Verdana"/>
          <w:sz w:val="18"/>
          <w:szCs w:val="18"/>
        </w:rPr>
        <w:t xml:space="preserve">Uit de bevindingen volgt dat de administratielast voor de uitvoering van Rijkscofinanciering in de EFRO-programma’s laag is, omdat zowel op Rijksniveau als in de regio’s gebruik wordt gemaakt van al bestaande structuren. Gevolg is dat de kosten voor het verlenen van Rijkscofinanciering beperkt blijven. De samenwerking tussen het ministerie van EZ, de managementautoriteiten en andere financiers verliep efficiënt. Voor aanvragers van subsidie zijn de administratielasten bij de EFRO-programma’s hoog, wat onder meer komt door complexe eisen die de EU stelt en strikte procedures bij de verantwoording van kosten. </w:t>
      </w:r>
      <w:r w:rsidR="005504EA">
        <w:rPr>
          <w:rFonts w:ascii="Verdana" w:hAnsi="Verdana"/>
          <w:sz w:val="18"/>
          <w:szCs w:val="18"/>
        </w:rPr>
        <w:t>De</w:t>
      </w:r>
      <w:r>
        <w:rPr>
          <w:rFonts w:ascii="Verdana" w:hAnsi="Verdana"/>
          <w:sz w:val="18"/>
          <w:szCs w:val="18"/>
        </w:rPr>
        <w:t xml:space="preserve"> Rijkscofinanciering </w:t>
      </w:r>
      <w:r w:rsidR="005504EA">
        <w:rPr>
          <w:rFonts w:ascii="Verdana" w:hAnsi="Verdana"/>
          <w:sz w:val="18"/>
          <w:szCs w:val="18"/>
        </w:rPr>
        <w:t xml:space="preserve">leidt </w:t>
      </w:r>
      <w:r>
        <w:rPr>
          <w:rFonts w:ascii="Verdana" w:hAnsi="Verdana"/>
          <w:sz w:val="18"/>
          <w:szCs w:val="18"/>
        </w:rPr>
        <w:t xml:space="preserve">nauwelijks tot extra lasten: bij de </w:t>
      </w:r>
      <w:proofErr w:type="spellStart"/>
      <w:r>
        <w:rPr>
          <w:rFonts w:ascii="Verdana" w:hAnsi="Verdana"/>
          <w:sz w:val="18"/>
          <w:szCs w:val="18"/>
        </w:rPr>
        <w:t>landsdelige</w:t>
      </w:r>
      <w:proofErr w:type="spellEnd"/>
      <w:r>
        <w:rPr>
          <w:rFonts w:ascii="Verdana" w:hAnsi="Verdana"/>
          <w:sz w:val="18"/>
          <w:szCs w:val="18"/>
        </w:rPr>
        <w:t xml:space="preserve"> EFRO-programma’s wordt de nationale cofinanciering toegekend na een positieve beoordeling van de oorspronkelijke aanvraag, en bij de </w:t>
      </w:r>
      <w:proofErr w:type="spellStart"/>
      <w:r>
        <w:rPr>
          <w:rFonts w:ascii="Verdana" w:hAnsi="Verdana"/>
          <w:sz w:val="18"/>
          <w:szCs w:val="18"/>
        </w:rPr>
        <w:t>Interreg</w:t>
      </w:r>
      <w:proofErr w:type="spellEnd"/>
      <w:r>
        <w:rPr>
          <w:rFonts w:ascii="Verdana" w:hAnsi="Verdana"/>
          <w:sz w:val="18"/>
          <w:szCs w:val="18"/>
        </w:rPr>
        <w:t xml:space="preserve"> programma’s is slechts een korte aanvullende aanvraag vereist.</w:t>
      </w:r>
    </w:p>
    <w:p w:rsidR="002E0463" w:rsidP="00545909" w:rsidRDefault="002E0463" w14:paraId="2848DD56" w14:textId="77777777">
      <w:pPr>
        <w:pStyle w:val="Geenafstand"/>
        <w:spacing w:line="240" w:lineRule="atLeast"/>
        <w:rPr>
          <w:rFonts w:ascii="Verdana" w:hAnsi="Verdana"/>
          <w:b/>
          <w:bCs/>
          <w:sz w:val="18"/>
          <w:szCs w:val="18"/>
        </w:rPr>
      </w:pPr>
    </w:p>
    <w:p w:rsidRPr="00264B26" w:rsidR="002E0463" w:rsidP="00545909" w:rsidRDefault="002E0463" w14:paraId="3CEDE40A" w14:textId="2F67482E">
      <w:pPr>
        <w:pStyle w:val="Geenafstand"/>
        <w:spacing w:line="240" w:lineRule="atLeast"/>
        <w:rPr>
          <w:rFonts w:ascii="Verdana" w:hAnsi="Verdana"/>
          <w:b/>
          <w:bCs/>
          <w:i/>
          <w:iCs/>
          <w:sz w:val="18"/>
          <w:szCs w:val="18"/>
        </w:rPr>
      </w:pPr>
      <w:r w:rsidRPr="00264B26">
        <w:rPr>
          <w:rFonts w:ascii="Verdana" w:hAnsi="Verdana"/>
          <w:b/>
          <w:bCs/>
          <w:i/>
          <w:iCs/>
          <w:sz w:val="18"/>
          <w:szCs w:val="18"/>
        </w:rPr>
        <w:t>Reactie op aanbevelingen uit de evaluatie</w:t>
      </w:r>
    </w:p>
    <w:p w:rsidR="002E0463" w:rsidP="00545909" w:rsidRDefault="002E0463" w14:paraId="0D523258" w14:textId="77777777">
      <w:pPr>
        <w:pStyle w:val="Geenafstand"/>
        <w:spacing w:line="240" w:lineRule="atLeast"/>
        <w:rPr>
          <w:rFonts w:ascii="Verdana" w:hAnsi="Verdana"/>
          <w:sz w:val="18"/>
          <w:szCs w:val="18"/>
        </w:rPr>
      </w:pPr>
    </w:p>
    <w:p w:rsidR="002E0463" w:rsidP="00545909" w:rsidRDefault="002E0463" w14:paraId="2562243A" w14:textId="77777777">
      <w:pPr>
        <w:pStyle w:val="Geenafstand"/>
        <w:spacing w:line="240" w:lineRule="atLeast"/>
        <w:rPr>
          <w:rFonts w:ascii="Verdana" w:hAnsi="Verdana"/>
          <w:sz w:val="18"/>
          <w:szCs w:val="18"/>
        </w:rPr>
      </w:pPr>
      <w:r>
        <w:rPr>
          <w:rFonts w:ascii="Verdana" w:hAnsi="Verdana"/>
          <w:sz w:val="18"/>
          <w:szCs w:val="18"/>
        </w:rPr>
        <w:t xml:space="preserve">De aanbevelingen uit de evaluatie richten zich op hoe het ministerie van EZ gerichter kan sturen op de inzet van Rijkscofinanciering in de EFRO-programma’s om bij te dragen aan zowel de Europese prioriteiten als nationale beleidsdoelen, zoals het </w:t>
      </w:r>
      <w:proofErr w:type="spellStart"/>
      <w:r>
        <w:rPr>
          <w:rFonts w:ascii="Verdana" w:hAnsi="Verdana"/>
          <w:sz w:val="18"/>
          <w:szCs w:val="18"/>
        </w:rPr>
        <w:t>Missiegedreven</w:t>
      </w:r>
      <w:proofErr w:type="spellEnd"/>
      <w:r>
        <w:rPr>
          <w:rFonts w:ascii="Verdana" w:hAnsi="Verdana"/>
          <w:sz w:val="18"/>
          <w:szCs w:val="18"/>
        </w:rPr>
        <w:t xml:space="preserve"> Innovatie- en Topsectorenbeleid (MTIB) en de Nationale Technologiestrategie (NTS). Er worden drie strategische opties voor de inzet van Rijkscofinanciering voorgesteld:</w:t>
      </w:r>
    </w:p>
    <w:p w:rsidR="002E0463" w:rsidP="00545909" w:rsidRDefault="002E0463" w14:paraId="411478C5" w14:textId="77777777">
      <w:pPr>
        <w:pStyle w:val="Geenafstand"/>
        <w:spacing w:line="240" w:lineRule="atLeast"/>
        <w:rPr>
          <w:rFonts w:ascii="Verdana" w:hAnsi="Verdana"/>
          <w:sz w:val="18"/>
          <w:szCs w:val="18"/>
        </w:rPr>
      </w:pPr>
    </w:p>
    <w:p w:rsidRPr="00AC771F" w:rsidR="002E0463" w:rsidP="00545909" w:rsidRDefault="002E0463" w14:paraId="496A0425" w14:textId="77777777">
      <w:pPr>
        <w:pStyle w:val="Geenafstand"/>
        <w:numPr>
          <w:ilvl w:val="0"/>
          <w:numId w:val="15"/>
        </w:numPr>
        <w:spacing w:line="240" w:lineRule="atLeast"/>
        <w:rPr>
          <w:rFonts w:ascii="Verdana" w:hAnsi="Verdana"/>
          <w:i/>
          <w:iCs/>
          <w:sz w:val="18"/>
          <w:szCs w:val="18"/>
        </w:rPr>
      </w:pPr>
      <w:r w:rsidRPr="00AC771F">
        <w:rPr>
          <w:rFonts w:ascii="Verdana" w:hAnsi="Verdana"/>
          <w:i/>
          <w:iCs/>
          <w:sz w:val="18"/>
          <w:szCs w:val="18"/>
        </w:rPr>
        <w:t>Investeringen in grootschalige innovatie infrastructuur</w:t>
      </w:r>
    </w:p>
    <w:p w:rsidR="002E0463" w:rsidP="00545909" w:rsidRDefault="002E0463" w14:paraId="032DCC79" w14:textId="77777777">
      <w:pPr>
        <w:pStyle w:val="Geenafstand"/>
        <w:spacing w:line="240" w:lineRule="atLeast"/>
        <w:rPr>
          <w:rFonts w:ascii="Verdana" w:hAnsi="Verdana"/>
          <w:sz w:val="18"/>
          <w:szCs w:val="18"/>
        </w:rPr>
      </w:pPr>
    </w:p>
    <w:p w:rsidR="002E0463" w:rsidP="00545909" w:rsidRDefault="002E0463" w14:paraId="0F09E6F2" w14:textId="125DC6B6">
      <w:pPr>
        <w:pStyle w:val="Geenafstand"/>
        <w:spacing w:line="240" w:lineRule="atLeast"/>
        <w:rPr>
          <w:rFonts w:ascii="Verdana" w:hAnsi="Verdana"/>
          <w:sz w:val="18"/>
          <w:szCs w:val="18"/>
        </w:rPr>
      </w:pPr>
      <w:r>
        <w:rPr>
          <w:rFonts w:ascii="Verdana" w:hAnsi="Verdana"/>
          <w:sz w:val="18"/>
          <w:szCs w:val="18"/>
        </w:rPr>
        <w:t>De Rijkscofinanciering kan nadrukkelijker worden ingezet voor kapitaalintensieve projecten, zoals fieldlabs, campussen en proeftuinen, die regio’s zelf</w:t>
      </w:r>
      <w:r w:rsidR="005504EA">
        <w:rPr>
          <w:rFonts w:ascii="Verdana" w:hAnsi="Verdana"/>
          <w:sz w:val="18"/>
          <w:szCs w:val="18"/>
        </w:rPr>
        <w:t>standig</w:t>
      </w:r>
      <w:r>
        <w:rPr>
          <w:rFonts w:ascii="Verdana" w:hAnsi="Verdana"/>
          <w:sz w:val="18"/>
          <w:szCs w:val="18"/>
        </w:rPr>
        <w:t xml:space="preserve"> moeilijker kunnen realiseren. Deze infrastructuur legt een duurzame basis voor samenwerking, onderzoek, innovatie en economische groei. Deze grootschalige projecten worden meestal daar gestart waar een innovatiecluster al gevestigd </w:t>
      </w:r>
      <w:r w:rsidR="00F141A8">
        <w:rPr>
          <w:rFonts w:ascii="Verdana" w:hAnsi="Verdana"/>
          <w:sz w:val="18"/>
          <w:szCs w:val="18"/>
        </w:rPr>
        <w:t>is</w:t>
      </w:r>
      <w:r>
        <w:rPr>
          <w:rFonts w:ascii="Verdana" w:hAnsi="Verdana"/>
          <w:sz w:val="18"/>
          <w:szCs w:val="18"/>
        </w:rPr>
        <w:t xml:space="preserve">, dus is het belangrijk om waakzaam te blijven dat regio’s zonder deze sterke randvoorwaarden niet achterblijven. </w:t>
      </w:r>
      <w:r w:rsidR="00F141A8">
        <w:rPr>
          <w:rFonts w:ascii="Verdana" w:hAnsi="Verdana"/>
          <w:sz w:val="18"/>
          <w:szCs w:val="18"/>
        </w:rPr>
        <w:t>Aandacht voor</w:t>
      </w:r>
      <w:r>
        <w:rPr>
          <w:rFonts w:ascii="Verdana" w:hAnsi="Verdana"/>
          <w:sz w:val="18"/>
          <w:szCs w:val="18"/>
        </w:rPr>
        <w:t xml:space="preserve"> minder ontwikkelde regio’s blijft </w:t>
      </w:r>
      <w:r w:rsidR="00660C41">
        <w:rPr>
          <w:rFonts w:ascii="Verdana" w:hAnsi="Verdana"/>
          <w:sz w:val="18"/>
          <w:szCs w:val="18"/>
        </w:rPr>
        <w:t>relevant</w:t>
      </w:r>
      <w:r>
        <w:rPr>
          <w:rFonts w:ascii="Verdana" w:hAnsi="Verdana"/>
          <w:sz w:val="18"/>
          <w:szCs w:val="18"/>
        </w:rPr>
        <w:t xml:space="preserve"> om dit risico tegen te gaan. </w:t>
      </w:r>
    </w:p>
    <w:p w:rsidR="002E0463" w:rsidP="00545909" w:rsidRDefault="002E0463" w14:paraId="09ED931C" w14:textId="77777777">
      <w:pPr>
        <w:pStyle w:val="Geenafstand"/>
        <w:spacing w:line="240" w:lineRule="atLeast"/>
        <w:ind w:left="720"/>
        <w:rPr>
          <w:rFonts w:ascii="Verdana" w:hAnsi="Verdana"/>
          <w:sz w:val="18"/>
          <w:szCs w:val="18"/>
        </w:rPr>
      </w:pPr>
    </w:p>
    <w:p w:rsidRPr="00AC771F" w:rsidR="002E0463" w:rsidP="00545909" w:rsidRDefault="002E0463" w14:paraId="7A313E55" w14:textId="77777777">
      <w:pPr>
        <w:pStyle w:val="Geenafstand"/>
        <w:numPr>
          <w:ilvl w:val="0"/>
          <w:numId w:val="15"/>
        </w:numPr>
        <w:spacing w:line="240" w:lineRule="atLeast"/>
        <w:rPr>
          <w:rFonts w:ascii="Verdana" w:hAnsi="Verdana"/>
          <w:i/>
          <w:iCs/>
          <w:sz w:val="18"/>
          <w:szCs w:val="18"/>
        </w:rPr>
      </w:pPr>
      <w:r w:rsidRPr="00AC771F">
        <w:rPr>
          <w:rFonts w:ascii="Verdana" w:hAnsi="Verdana"/>
          <w:i/>
          <w:iCs/>
          <w:sz w:val="18"/>
          <w:szCs w:val="18"/>
        </w:rPr>
        <w:t>Implementatie- en opschalingsprojecten in het mkb</w:t>
      </w:r>
    </w:p>
    <w:p w:rsidR="002E0463" w:rsidP="00545909" w:rsidRDefault="002E0463" w14:paraId="4E3146AD" w14:textId="77777777">
      <w:pPr>
        <w:pStyle w:val="Geenafstand"/>
        <w:spacing w:line="240" w:lineRule="atLeast"/>
        <w:rPr>
          <w:rFonts w:ascii="Verdana" w:hAnsi="Verdana"/>
          <w:sz w:val="18"/>
          <w:szCs w:val="18"/>
        </w:rPr>
      </w:pPr>
    </w:p>
    <w:p w:rsidR="002E0463" w:rsidP="00545909" w:rsidRDefault="002E0463" w14:paraId="5371482B" w14:textId="2EA9A34B">
      <w:pPr>
        <w:pStyle w:val="Geenafstand"/>
        <w:spacing w:line="240" w:lineRule="atLeast"/>
        <w:rPr>
          <w:rFonts w:ascii="Verdana" w:hAnsi="Verdana"/>
          <w:sz w:val="18"/>
          <w:szCs w:val="18"/>
        </w:rPr>
      </w:pPr>
      <w:r>
        <w:rPr>
          <w:rFonts w:ascii="Verdana" w:hAnsi="Verdana"/>
          <w:sz w:val="18"/>
          <w:szCs w:val="18"/>
        </w:rPr>
        <w:t xml:space="preserve">De Rijkscofinanciering kan ingezet worden voor de uitrol en opschaling van bijna marktrijpe innovaties, zoals energiebesparende technologieën, circulaire oplossingen of digitaliseringsprojecten. Dit helpt bedrijven om geteste innovaties breder toe te passen, vaak in samenwerking met lokale betrokkenen. Deze optie biedt directe maatschappelijke impact en sluit vooral aan bij de doelen voor het realiseren van een koolstofarme economie. Het risico is dat de aandacht voor de vroege ontwikkelfase kan afnemen. Een mix tussen </w:t>
      </w:r>
      <w:r w:rsidR="00F141A8">
        <w:rPr>
          <w:rFonts w:ascii="Verdana" w:hAnsi="Verdana"/>
          <w:sz w:val="18"/>
          <w:szCs w:val="18"/>
        </w:rPr>
        <w:t>kennis</w:t>
      </w:r>
      <w:r>
        <w:rPr>
          <w:rFonts w:ascii="Verdana" w:hAnsi="Verdana"/>
          <w:sz w:val="18"/>
          <w:szCs w:val="18"/>
        </w:rPr>
        <w:t>ontwikkeling en uitrol en opschaling van innovaties blijft noodzakelijk.</w:t>
      </w:r>
    </w:p>
    <w:p w:rsidR="002E0463" w:rsidP="00545909" w:rsidRDefault="002E0463" w14:paraId="3BEA73FC" w14:textId="77777777">
      <w:pPr>
        <w:pStyle w:val="Geenafstand"/>
        <w:spacing w:line="240" w:lineRule="atLeast"/>
        <w:ind w:left="720"/>
        <w:rPr>
          <w:rFonts w:ascii="Verdana" w:hAnsi="Verdana"/>
          <w:sz w:val="18"/>
          <w:szCs w:val="18"/>
        </w:rPr>
      </w:pPr>
    </w:p>
    <w:p w:rsidRPr="00AC771F" w:rsidR="002E0463" w:rsidP="00545909" w:rsidRDefault="002E0463" w14:paraId="2C7066A3" w14:textId="1BEB30AA">
      <w:pPr>
        <w:pStyle w:val="Geenafstand"/>
        <w:numPr>
          <w:ilvl w:val="0"/>
          <w:numId w:val="15"/>
        </w:numPr>
        <w:spacing w:line="240" w:lineRule="atLeast"/>
        <w:rPr>
          <w:rFonts w:ascii="Verdana" w:hAnsi="Verdana"/>
          <w:i/>
          <w:iCs/>
          <w:sz w:val="18"/>
          <w:szCs w:val="18"/>
        </w:rPr>
      </w:pPr>
      <w:r>
        <w:rPr>
          <w:rFonts w:ascii="Verdana" w:hAnsi="Verdana"/>
          <w:i/>
          <w:iCs/>
          <w:sz w:val="18"/>
          <w:szCs w:val="18"/>
        </w:rPr>
        <w:t>R</w:t>
      </w:r>
      <w:r w:rsidRPr="00AC771F">
        <w:rPr>
          <w:rFonts w:ascii="Verdana" w:hAnsi="Verdana"/>
          <w:i/>
          <w:iCs/>
          <w:sz w:val="18"/>
          <w:szCs w:val="18"/>
        </w:rPr>
        <w:t xml:space="preserve">egionale autonomie </w:t>
      </w:r>
      <w:r>
        <w:rPr>
          <w:rFonts w:ascii="Verdana" w:hAnsi="Verdana"/>
          <w:i/>
          <w:iCs/>
          <w:sz w:val="18"/>
          <w:szCs w:val="18"/>
        </w:rPr>
        <w:t>op inzet middelen</w:t>
      </w:r>
    </w:p>
    <w:p w:rsidR="002E0463" w:rsidP="00545909" w:rsidRDefault="002E0463" w14:paraId="6F1E37C1" w14:textId="77777777">
      <w:pPr>
        <w:pStyle w:val="Geenafstand"/>
        <w:spacing w:line="240" w:lineRule="atLeast"/>
        <w:rPr>
          <w:rFonts w:ascii="Verdana" w:hAnsi="Verdana"/>
          <w:sz w:val="18"/>
          <w:szCs w:val="18"/>
        </w:rPr>
      </w:pPr>
    </w:p>
    <w:p w:rsidR="002E0463" w:rsidP="00545909" w:rsidRDefault="002E0463" w14:paraId="754DDE52" w14:textId="4D434362">
      <w:pPr>
        <w:pStyle w:val="Geenafstand"/>
        <w:spacing w:line="240" w:lineRule="atLeast"/>
        <w:rPr>
          <w:rFonts w:ascii="Verdana" w:hAnsi="Verdana"/>
          <w:sz w:val="18"/>
          <w:szCs w:val="18"/>
        </w:rPr>
      </w:pPr>
      <w:r>
        <w:rPr>
          <w:rFonts w:ascii="Verdana" w:hAnsi="Verdana"/>
          <w:sz w:val="18"/>
          <w:szCs w:val="18"/>
        </w:rPr>
        <w:t>De regio’s bepalen grotendeels zelf hoe de middelen worden ingezet, passend bij de eigen regionale investeringsstrategieën. Deze optie gaat uit van de autonomie van de regio’s en geeft de kans om regio specifieke maatschappelijke uitdagingen aan te pakken. Het risico is dat deze benadering kan leiden tot minder sturing op het behalen van nationale beleidsdoelen</w:t>
      </w:r>
      <w:r w:rsidR="00F141A8">
        <w:rPr>
          <w:rFonts w:ascii="Verdana" w:hAnsi="Verdana"/>
          <w:sz w:val="18"/>
          <w:szCs w:val="18"/>
        </w:rPr>
        <w:t xml:space="preserve"> en een minder goede samenhang met nationale innovatie-instrumenten.</w:t>
      </w:r>
    </w:p>
    <w:p w:rsidR="002E0463" w:rsidP="00545909" w:rsidRDefault="002E0463" w14:paraId="4756EFB1" w14:textId="77777777">
      <w:pPr>
        <w:pStyle w:val="Geenafstand"/>
        <w:spacing w:line="240" w:lineRule="atLeast"/>
        <w:rPr>
          <w:rFonts w:ascii="Verdana" w:hAnsi="Verdana"/>
          <w:sz w:val="18"/>
          <w:szCs w:val="18"/>
        </w:rPr>
      </w:pPr>
    </w:p>
    <w:p w:rsidR="00F141A8" w:rsidP="00545909" w:rsidRDefault="002E0463" w14:paraId="694873C0" w14:textId="77777777">
      <w:pPr>
        <w:pStyle w:val="Geenafstand"/>
        <w:spacing w:line="240" w:lineRule="atLeast"/>
        <w:rPr>
          <w:rFonts w:ascii="Verdana" w:hAnsi="Verdana"/>
          <w:sz w:val="18"/>
          <w:szCs w:val="18"/>
        </w:rPr>
      </w:pPr>
      <w:r>
        <w:rPr>
          <w:rFonts w:ascii="Verdana" w:hAnsi="Verdana"/>
          <w:sz w:val="18"/>
          <w:szCs w:val="18"/>
        </w:rPr>
        <w:t xml:space="preserve">Een andere aanbeveling is gericht op het verminderen van de administratielast bij de regionale managementautoriteiten door dataverzameling te standaardiseren en informatieverzoeken strakker te bundelen. </w:t>
      </w:r>
      <w:r w:rsidR="00F141A8">
        <w:rPr>
          <w:rFonts w:ascii="Verdana" w:hAnsi="Verdana"/>
          <w:sz w:val="18"/>
          <w:szCs w:val="18"/>
        </w:rPr>
        <w:t xml:space="preserve">EZ heeft deze data nodig om de realisatie van nationale beleidsdoelen via de Rijkscofinanciering te monitoren, </w:t>
      </w:r>
      <w:r>
        <w:rPr>
          <w:rFonts w:ascii="Verdana" w:hAnsi="Verdana"/>
          <w:sz w:val="18"/>
          <w:szCs w:val="18"/>
        </w:rPr>
        <w:t>maar dit mag niet ten koste gaan van de uitvoerbaarheid van de EFRO-programma’s.</w:t>
      </w:r>
    </w:p>
    <w:p w:rsidR="00545909" w:rsidP="00545909" w:rsidRDefault="00545909" w14:paraId="6A68E89D" w14:textId="77777777">
      <w:pPr>
        <w:pStyle w:val="Geenafstand"/>
        <w:spacing w:line="240" w:lineRule="atLeast"/>
        <w:rPr>
          <w:rFonts w:ascii="Verdana" w:hAnsi="Verdana"/>
          <w:sz w:val="18"/>
          <w:szCs w:val="18"/>
        </w:rPr>
      </w:pPr>
    </w:p>
    <w:p w:rsidR="002E0463" w:rsidP="00545909" w:rsidRDefault="002E0463" w14:paraId="3DCD84CA" w14:textId="17F9EF95">
      <w:pPr>
        <w:pStyle w:val="Geenafstand"/>
        <w:spacing w:line="240" w:lineRule="atLeast"/>
        <w:rPr>
          <w:rFonts w:ascii="Verdana" w:hAnsi="Verdana"/>
          <w:sz w:val="18"/>
          <w:szCs w:val="18"/>
        </w:rPr>
      </w:pPr>
      <w:r>
        <w:rPr>
          <w:rFonts w:ascii="Verdana" w:hAnsi="Verdana"/>
          <w:sz w:val="18"/>
          <w:szCs w:val="18"/>
        </w:rPr>
        <w:t>Tot slot is uit de evaluatie ook een aanbeveling voortgekomen om de aansluiting van het Nederlandse innovatie-instrumentarium op de Rijkscofinanciering in de EFRO-programma’s te optimaliseren. Dit kan mkb’ers helpen om logisch</w:t>
      </w:r>
      <w:r w:rsidR="00F141A8">
        <w:rPr>
          <w:rFonts w:ascii="Verdana" w:hAnsi="Verdana"/>
          <w:sz w:val="18"/>
          <w:szCs w:val="18"/>
        </w:rPr>
        <w:t>er de stappen in het</w:t>
      </w:r>
      <w:r>
        <w:rPr>
          <w:rFonts w:ascii="Verdana" w:hAnsi="Verdana"/>
          <w:sz w:val="18"/>
          <w:szCs w:val="18"/>
        </w:rPr>
        <w:t xml:space="preserve"> financieringsplan te doorlopen dat past bij het innovatieproces</w:t>
      </w:r>
      <w:r w:rsidR="00F141A8">
        <w:rPr>
          <w:rFonts w:ascii="Verdana" w:hAnsi="Verdana"/>
          <w:sz w:val="18"/>
          <w:szCs w:val="18"/>
        </w:rPr>
        <w:t>;</w:t>
      </w:r>
      <w:r>
        <w:rPr>
          <w:rFonts w:ascii="Verdana" w:hAnsi="Verdana"/>
          <w:sz w:val="18"/>
          <w:szCs w:val="18"/>
        </w:rPr>
        <w:t xml:space="preserve"> van kleinschalige R&amp;D tot brede opschaling van technologieën. In overleg met de regio’s wil ik onderzoeken of een integratie van de nationale MIT-regeling met de EFRO-programma’s vanaf de start van de volgende programmaperiode na 2027 kan bijdragen aan een efficiëntere ondersteuning van innovatieve bedrijven, mede vanwege het feit dat het ministerie van EZ cofinanciering beschikbaar stelt voor beide </w:t>
      </w:r>
      <w:r w:rsidR="00F141A8">
        <w:rPr>
          <w:rFonts w:ascii="Verdana" w:hAnsi="Verdana"/>
          <w:sz w:val="18"/>
          <w:szCs w:val="18"/>
        </w:rPr>
        <w:t xml:space="preserve">regionaal </w:t>
      </w:r>
      <w:proofErr w:type="spellStart"/>
      <w:r w:rsidR="00F141A8">
        <w:rPr>
          <w:rFonts w:ascii="Verdana" w:hAnsi="Verdana"/>
          <w:sz w:val="18"/>
          <w:szCs w:val="18"/>
        </w:rPr>
        <w:t>geörienteerde</w:t>
      </w:r>
      <w:proofErr w:type="spellEnd"/>
      <w:r w:rsidR="00F141A8">
        <w:rPr>
          <w:rFonts w:ascii="Verdana" w:hAnsi="Verdana"/>
          <w:sz w:val="18"/>
          <w:szCs w:val="18"/>
        </w:rPr>
        <w:t xml:space="preserve"> </w:t>
      </w:r>
      <w:r>
        <w:rPr>
          <w:rFonts w:ascii="Verdana" w:hAnsi="Verdana"/>
          <w:sz w:val="18"/>
          <w:szCs w:val="18"/>
        </w:rPr>
        <w:t>instrumenten</w:t>
      </w:r>
      <w:r w:rsidR="00F141A8">
        <w:rPr>
          <w:rFonts w:ascii="Verdana" w:hAnsi="Verdana"/>
          <w:sz w:val="18"/>
          <w:szCs w:val="18"/>
        </w:rPr>
        <w:t>.</w:t>
      </w:r>
    </w:p>
    <w:p w:rsidR="002E0463" w:rsidP="00545909" w:rsidRDefault="002E0463" w14:paraId="106C2189" w14:textId="77777777">
      <w:pPr>
        <w:pStyle w:val="Geenafstand"/>
        <w:spacing w:line="240" w:lineRule="atLeast"/>
        <w:rPr>
          <w:rFonts w:ascii="Verdana" w:hAnsi="Verdana"/>
          <w:sz w:val="18"/>
          <w:szCs w:val="18"/>
        </w:rPr>
      </w:pPr>
    </w:p>
    <w:p w:rsidRPr="00264B26" w:rsidR="002E0463" w:rsidP="00545909" w:rsidRDefault="002E0463" w14:paraId="1F4F4AAE" w14:textId="77777777">
      <w:pPr>
        <w:pStyle w:val="Geenafstand"/>
        <w:spacing w:line="240" w:lineRule="atLeast"/>
        <w:rPr>
          <w:rFonts w:ascii="Verdana" w:hAnsi="Verdana"/>
          <w:b/>
          <w:bCs/>
          <w:i/>
          <w:iCs/>
          <w:sz w:val="18"/>
          <w:szCs w:val="18"/>
        </w:rPr>
      </w:pPr>
      <w:r w:rsidRPr="00264B26">
        <w:rPr>
          <w:rFonts w:ascii="Verdana" w:hAnsi="Verdana"/>
          <w:b/>
          <w:bCs/>
          <w:i/>
          <w:iCs/>
          <w:sz w:val="18"/>
          <w:szCs w:val="18"/>
        </w:rPr>
        <w:t>Toekomstige inzet Rijkscofinanciering in EFRO</w:t>
      </w:r>
    </w:p>
    <w:p w:rsidR="002E0463" w:rsidP="00545909" w:rsidRDefault="002E0463" w14:paraId="3FF0BABF" w14:textId="77777777">
      <w:pPr>
        <w:pStyle w:val="Geenafstand"/>
        <w:spacing w:line="240" w:lineRule="atLeast"/>
        <w:rPr>
          <w:rFonts w:ascii="Verdana" w:hAnsi="Verdana"/>
          <w:sz w:val="18"/>
          <w:szCs w:val="18"/>
        </w:rPr>
      </w:pPr>
    </w:p>
    <w:p w:rsidR="002E0463" w:rsidP="00545909" w:rsidRDefault="002E0463" w14:paraId="1138FA72" w14:textId="77777777">
      <w:pPr>
        <w:pStyle w:val="Geenafstand"/>
        <w:spacing w:line="240" w:lineRule="atLeast"/>
        <w:rPr>
          <w:rFonts w:ascii="Verdana" w:hAnsi="Verdana"/>
          <w:sz w:val="18"/>
          <w:szCs w:val="18"/>
        </w:rPr>
      </w:pPr>
      <w:r>
        <w:rPr>
          <w:rFonts w:ascii="Verdana" w:hAnsi="Verdana"/>
          <w:sz w:val="18"/>
          <w:szCs w:val="18"/>
        </w:rPr>
        <w:t xml:space="preserve">De komende tijd zal ik mij nader beraden op welke wijze de Rijkscofinanciering in de EFRO-programma’s na 2027 ingezet moet worden. De aanbevelingen uit deze evaluatie bieden daarbij belangrijke inzichten. Bij de inzet van Rijkscofinanciering is het nodig om de juiste balans te vinden tussen zowel de nationale beleidsdoelen als de regionale uitdagingen en kansen. Dit betekent dat ik op de goede samenwerking met decentrale overheden in de huidige EFRO-programma’s voort wil bouwen om tot besluitvorming te komen. </w:t>
      </w:r>
      <w:r w:rsidRPr="00CA0EAD">
        <w:rPr>
          <w:rFonts w:ascii="Verdana" w:hAnsi="Verdana"/>
          <w:sz w:val="18"/>
          <w:szCs w:val="18"/>
        </w:rPr>
        <w:t>In het besluit zal ook rekening gehouden worden met de wijze waarop de EFRO-programma’s passen binnen de context van het al bestaande nationaal en regionaal instrumentarium.</w:t>
      </w:r>
    </w:p>
    <w:p w:rsidR="002E0463" w:rsidP="00545909" w:rsidRDefault="002E0463" w14:paraId="51EC9EB6" w14:textId="77777777">
      <w:pPr>
        <w:pStyle w:val="Geenafstand"/>
        <w:spacing w:line="240" w:lineRule="atLeast"/>
        <w:rPr>
          <w:rFonts w:ascii="Verdana" w:hAnsi="Verdana"/>
          <w:sz w:val="18"/>
          <w:szCs w:val="18"/>
        </w:rPr>
      </w:pPr>
    </w:p>
    <w:p w:rsidR="002E0463" w:rsidP="00545909" w:rsidRDefault="002E0463" w14:paraId="7D9187E7" w14:textId="77777777">
      <w:pPr>
        <w:pStyle w:val="Geenafstand"/>
        <w:spacing w:line="240" w:lineRule="atLeast"/>
        <w:rPr>
          <w:rFonts w:ascii="Verdana" w:hAnsi="Verdana"/>
          <w:sz w:val="18"/>
          <w:szCs w:val="18"/>
        </w:rPr>
      </w:pPr>
      <w:r>
        <w:rPr>
          <w:rFonts w:ascii="Verdana" w:hAnsi="Verdana"/>
          <w:sz w:val="18"/>
          <w:szCs w:val="18"/>
        </w:rPr>
        <w:t>In oktober 2024 heb ik u geïnformeerd over de Nederlandse visie op het Cohesiebeleid na 2027</w:t>
      </w:r>
      <w:r>
        <w:rPr>
          <w:rStyle w:val="Voetnootmarkering"/>
          <w:rFonts w:ascii="Verdana" w:hAnsi="Verdana"/>
          <w:sz w:val="18"/>
          <w:szCs w:val="18"/>
        </w:rPr>
        <w:footnoteReference w:id="5"/>
      </w:r>
      <w:r>
        <w:rPr>
          <w:rFonts w:ascii="Verdana" w:hAnsi="Verdana"/>
          <w:sz w:val="18"/>
          <w:szCs w:val="18"/>
        </w:rPr>
        <w:t xml:space="preserve">, welke in nauwe afstemming met de regio’s tot stand is gekomen. Het doel is om de concurrentiekracht van de EU te vergroten door een digitale, sociale en groene transitie te realiseren, met onderzoek en innovatie als dwarsdoorsnijder. Met een plaatsgebonden benadering kan de Rijkscofinanciering in Nederland hier een bijdrage aan leveren, waarbij de sterktes in de regio benut worden via innovatie, samenwerking en regionale specialisaties. </w:t>
      </w:r>
    </w:p>
    <w:p w:rsidR="002E0463" w:rsidP="00545909" w:rsidRDefault="002E0463" w14:paraId="53179650" w14:textId="77777777">
      <w:pPr>
        <w:pStyle w:val="Geenafstand"/>
        <w:spacing w:line="240" w:lineRule="atLeast"/>
        <w:rPr>
          <w:rFonts w:ascii="Verdana" w:hAnsi="Verdana"/>
          <w:sz w:val="18"/>
          <w:szCs w:val="18"/>
        </w:rPr>
      </w:pPr>
    </w:p>
    <w:p w:rsidRPr="0015546C" w:rsidR="002E0463" w:rsidP="00545909" w:rsidRDefault="002E0463" w14:paraId="4AEE5C65" w14:textId="0211E987">
      <w:pPr>
        <w:pStyle w:val="Geenafstand"/>
        <w:spacing w:line="240" w:lineRule="atLeast"/>
        <w:rPr>
          <w:rFonts w:ascii="Verdana" w:hAnsi="Verdana"/>
          <w:sz w:val="18"/>
          <w:szCs w:val="18"/>
        </w:rPr>
      </w:pPr>
      <w:r>
        <w:rPr>
          <w:rFonts w:ascii="Verdana" w:hAnsi="Verdana"/>
          <w:sz w:val="18"/>
          <w:szCs w:val="18"/>
        </w:rPr>
        <w:t>In juli 2025 worden de voorstellen van de EC voor het nieuwe MFK verwacht. De maatschappelijke uitdagingen zijn groot in de EU, met actuele vraagstukken op innovatie, energie, klimaat en defensie.</w:t>
      </w:r>
      <w:r w:rsidR="00F141A8">
        <w:rPr>
          <w:rFonts w:ascii="Verdana" w:hAnsi="Verdana"/>
          <w:sz w:val="18"/>
          <w:szCs w:val="18"/>
        </w:rPr>
        <w:t xml:space="preserve"> </w:t>
      </w:r>
      <w:r>
        <w:rPr>
          <w:rFonts w:ascii="Verdana" w:hAnsi="Verdana"/>
          <w:sz w:val="18"/>
          <w:szCs w:val="18"/>
        </w:rPr>
        <w:t>Eind maart van dit jaar bent u geïnformeerd over de inzet van het Kabinet bij de aankomende onderhandelingen over het MFK</w:t>
      </w:r>
      <w:r>
        <w:rPr>
          <w:rStyle w:val="Voetnootmarkering"/>
          <w:rFonts w:ascii="Verdana" w:hAnsi="Verdana"/>
          <w:sz w:val="18"/>
          <w:szCs w:val="18"/>
        </w:rPr>
        <w:footnoteReference w:id="6"/>
      </w:r>
      <w:r>
        <w:rPr>
          <w:rFonts w:ascii="Verdana" w:hAnsi="Verdana"/>
          <w:sz w:val="18"/>
          <w:szCs w:val="18"/>
        </w:rPr>
        <w:t>.</w:t>
      </w:r>
      <w:r w:rsidRPr="0008158E">
        <w:rPr>
          <w:rFonts w:ascii="Verdana" w:hAnsi="Verdana"/>
          <w:sz w:val="18"/>
          <w:szCs w:val="18"/>
        </w:rPr>
        <w:t xml:space="preserve"> </w:t>
      </w:r>
      <w:r>
        <w:rPr>
          <w:rFonts w:ascii="Verdana" w:hAnsi="Verdana"/>
          <w:sz w:val="18"/>
          <w:szCs w:val="18"/>
        </w:rPr>
        <w:t>De belangrijkste prioriteiten zijn het versterken van het Europees concurrentievermogen, een rigide migratie- en asielbeleid, en veiligheid en defensie. Het is mede afhankelijk van de uitkomsten van de onderhandelingen over het MFK wat de uiteindelijke inzet van de Rijkscofinanciering in de EFRO-programma’s na 2027 zal zijn.</w:t>
      </w:r>
    </w:p>
    <w:p w:rsidRPr="005C65B5" w:rsidR="00591E4A" w:rsidP="00545909" w:rsidRDefault="00591E4A" w14:paraId="59BDF215" w14:textId="77777777"/>
    <w:p w:rsidR="004425CC" w:rsidP="00545909" w:rsidRDefault="004425CC" w14:paraId="758C4717"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2AD3" w14:textId="77777777" w:rsidR="00A13F69" w:rsidRDefault="00A13F69">
      <w:r>
        <w:separator/>
      </w:r>
    </w:p>
    <w:p w14:paraId="29D5A7C3" w14:textId="77777777" w:rsidR="00A13F69" w:rsidRDefault="00A13F69"/>
  </w:endnote>
  <w:endnote w:type="continuationSeparator" w:id="0">
    <w:p w14:paraId="62919723" w14:textId="77777777" w:rsidR="00A13F69" w:rsidRDefault="00A13F69">
      <w:r>
        <w:continuationSeparator/>
      </w:r>
    </w:p>
    <w:p w14:paraId="065FFD60" w14:textId="77777777" w:rsidR="00A13F69" w:rsidRDefault="00A13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Pro">
    <w:altName w:val="Calibri"/>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5F7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A2550C" w14:paraId="18FF1622" w14:textId="77777777" w:rsidTr="00CA6A25">
      <w:trPr>
        <w:trHeight w:hRule="exact" w:val="240"/>
      </w:trPr>
      <w:tc>
        <w:tcPr>
          <w:tcW w:w="7601" w:type="dxa"/>
          <w:shd w:val="clear" w:color="auto" w:fill="auto"/>
        </w:tcPr>
        <w:p w14:paraId="191FE4DA" w14:textId="77777777" w:rsidR="00527BD4" w:rsidRDefault="00527BD4" w:rsidP="003F1F6B">
          <w:pPr>
            <w:pStyle w:val="Huisstijl-Rubricering"/>
          </w:pPr>
        </w:p>
      </w:tc>
      <w:tc>
        <w:tcPr>
          <w:tcW w:w="2156" w:type="dxa"/>
        </w:tcPr>
        <w:p w14:paraId="779B39A3" w14:textId="539201D9" w:rsidR="00527BD4" w:rsidRPr="00645414" w:rsidRDefault="00545909"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9D5125">
              <w:t>5</w:t>
            </w:r>
          </w:fldSimple>
        </w:p>
      </w:tc>
    </w:tr>
  </w:tbl>
  <w:p w14:paraId="0D00C9D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2550C" w14:paraId="1A389C6D" w14:textId="77777777" w:rsidTr="00CA6A25">
      <w:trPr>
        <w:trHeight w:hRule="exact" w:val="240"/>
      </w:trPr>
      <w:tc>
        <w:tcPr>
          <w:tcW w:w="7601" w:type="dxa"/>
          <w:shd w:val="clear" w:color="auto" w:fill="auto"/>
        </w:tcPr>
        <w:p w14:paraId="0749B826" w14:textId="77777777" w:rsidR="00527BD4" w:rsidRDefault="00527BD4" w:rsidP="008C356D">
          <w:pPr>
            <w:pStyle w:val="Huisstijl-Rubricering"/>
          </w:pPr>
        </w:p>
      </w:tc>
      <w:tc>
        <w:tcPr>
          <w:tcW w:w="2170" w:type="dxa"/>
        </w:tcPr>
        <w:p w14:paraId="322A4227" w14:textId="4A66BAB3" w:rsidR="00527BD4" w:rsidRPr="00ED539E" w:rsidRDefault="00545909"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D5125">
              <w:t>5</w:t>
            </w:r>
          </w:fldSimple>
        </w:p>
      </w:tc>
    </w:tr>
  </w:tbl>
  <w:p w14:paraId="08D5B54D" w14:textId="77777777" w:rsidR="00527BD4" w:rsidRPr="00BC3B53" w:rsidRDefault="00527BD4" w:rsidP="008C356D">
    <w:pPr>
      <w:pStyle w:val="Voettekst"/>
      <w:spacing w:line="240" w:lineRule="auto"/>
      <w:rPr>
        <w:sz w:val="2"/>
        <w:szCs w:val="2"/>
      </w:rPr>
    </w:pPr>
  </w:p>
  <w:p w14:paraId="09990B3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5601B" w14:textId="77777777" w:rsidR="00A13F69" w:rsidRDefault="00A13F69">
      <w:r>
        <w:separator/>
      </w:r>
    </w:p>
    <w:p w14:paraId="0B14E75E" w14:textId="77777777" w:rsidR="00A13F69" w:rsidRDefault="00A13F69"/>
  </w:footnote>
  <w:footnote w:type="continuationSeparator" w:id="0">
    <w:p w14:paraId="6BB24CE0" w14:textId="77777777" w:rsidR="00A13F69" w:rsidRDefault="00A13F69">
      <w:r>
        <w:continuationSeparator/>
      </w:r>
    </w:p>
    <w:p w14:paraId="323C2CFB" w14:textId="77777777" w:rsidR="00A13F69" w:rsidRDefault="00A13F69"/>
  </w:footnote>
  <w:footnote w:id="1">
    <w:p w14:paraId="0E7E1E51" w14:textId="77777777" w:rsidR="002E0463" w:rsidRPr="00545909" w:rsidRDefault="002E0463" w:rsidP="002E0463">
      <w:pPr>
        <w:pStyle w:val="Voetnoottekst"/>
        <w:jc w:val="both"/>
        <w:rPr>
          <w:rFonts w:ascii="Verdana Pro" w:hAnsi="Verdana Pro"/>
          <w:szCs w:val="13"/>
        </w:rPr>
      </w:pPr>
      <w:r w:rsidRPr="00545909">
        <w:rPr>
          <w:rStyle w:val="Voetnootmarkering"/>
          <w:rFonts w:ascii="Verdana Pro" w:hAnsi="Verdana Pro"/>
          <w:szCs w:val="13"/>
        </w:rPr>
        <w:footnoteRef/>
      </w:r>
      <w:r w:rsidRPr="00545909">
        <w:rPr>
          <w:rFonts w:ascii="Verdana Pro" w:hAnsi="Verdana Pro"/>
          <w:szCs w:val="13"/>
        </w:rPr>
        <w:t xml:space="preserve"> Te raadplegen via www.tweedekamer.nl.</w:t>
      </w:r>
    </w:p>
  </w:footnote>
  <w:footnote w:id="2">
    <w:p w14:paraId="0044B131" w14:textId="77777777" w:rsidR="002E0463" w:rsidRPr="00545909" w:rsidRDefault="002E0463" w:rsidP="002E0463">
      <w:pPr>
        <w:pStyle w:val="Voetnoottekst"/>
        <w:jc w:val="both"/>
        <w:rPr>
          <w:szCs w:val="13"/>
        </w:rPr>
      </w:pPr>
      <w:r w:rsidRPr="00545909">
        <w:rPr>
          <w:rStyle w:val="Voetnootmarkering"/>
          <w:rFonts w:ascii="Verdana Pro" w:hAnsi="Verdana Pro"/>
          <w:szCs w:val="13"/>
        </w:rPr>
        <w:footnoteRef/>
      </w:r>
      <w:r w:rsidRPr="00545909">
        <w:rPr>
          <w:rFonts w:ascii="Verdana Pro" w:hAnsi="Verdana Pro"/>
          <w:szCs w:val="13"/>
        </w:rPr>
        <w:t xml:space="preserve"> Met het uittreden van het Verenigd Koninkrijk uit de Europese Unie (</w:t>
      </w:r>
      <w:proofErr w:type="spellStart"/>
      <w:r w:rsidRPr="00545909">
        <w:rPr>
          <w:rFonts w:ascii="Verdana Pro" w:hAnsi="Verdana Pro"/>
          <w:szCs w:val="13"/>
        </w:rPr>
        <w:t>Brexit</w:t>
      </w:r>
      <w:proofErr w:type="spellEnd"/>
      <w:r w:rsidRPr="00545909">
        <w:rPr>
          <w:rFonts w:ascii="Verdana Pro" w:hAnsi="Verdana Pro"/>
          <w:szCs w:val="13"/>
        </w:rPr>
        <w:t xml:space="preserve">) bestaat het </w:t>
      </w:r>
      <w:proofErr w:type="spellStart"/>
      <w:r w:rsidRPr="00545909">
        <w:rPr>
          <w:rFonts w:ascii="Verdana Pro" w:hAnsi="Verdana Pro"/>
          <w:szCs w:val="13"/>
        </w:rPr>
        <w:t>Interreg</w:t>
      </w:r>
      <w:proofErr w:type="spellEnd"/>
      <w:r w:rsidRPr="00545909">
        <w:rPr>
          <w:rFonts w:ascii="Verdana Pro" w:hAnsi="Verdana Pro"/>
          <w:szCs w:val="13"/>
        </w:rPr>
        <w:t xml:space="preserve"> Twee Zeeën programma vanaf de EFRO-programmaperiode 2021-2027 niet meer.</w:t>
      </w:r>
      <w:r w:rsidRPr="00545909">
        <w:rPr>
          <w:szCs w:val="13"/>
        </w:rPr>
        <w:t xml:space="preserve"> </w:t>
      </w:r>
    </w:p>
  </w:footnote>
  <w:footnote w:id="3">
    <w:p w14:paraId="664E5581" w14:textId="77777777" w:rsidR="002E0463" w:rsidRPr="00545909" w:rsidRDefault="002E0463" w:rsidP="002E0463">
      <w:pPr>
        <w:pStyle w:val="Voetnoottekst"/>
        <w:jc w:val="both"/>
        <w:rPr>
          <w:rFonts w:ascii="Verdana Pro" w:hAnsi="Verdana Pro"/>
          <w:szCs w:val="13"/>
        </w:rPr>
      </w:pPr>
      <w:r w:rsidRPr="00545909">
        <w:rPr>
          <w:rStyle w:val="Voetnootmarkering"/>
          <w:rFonts w:ascii="Verdana Pro" w:hAnsi="Verdana Pro"/>
          <w:szCs w:val="13"/>
        </w:rPr>
        <w:footnoteRef/>
      </w:r>
      <w:r w:rsidRPr="00545909">
        <w:rPr>
          <w:rFonts w:ascii="Verdana Pro" w:hAnsi="Verdana Pro"/>
          <w:szCs w:val="13"/>
        </w:rPr>
        <w:t xml:space="preserve"> In 2019 is het Topsectorenbeleid herijkt naar het </w:t>
      </w:r>
      <w:proofErr w:type="spellStart"/>
      <w:r w:rsidRPr="00545909">
        <w:rPr>
          <w:rFonts w:ascii="Verdana Pro" w:hAnsi="Verdana Pro"/>
          <w:szCs w:val="13"/>
        </w:rPr>
        <w:t>Missiegedreven</w:t>
      </w:r>
      <w:proofErr w:type="spellEnd"/>
      <w:r w:rsidRPr="00545909">
        <w:rPr>
          <w:rFonts w:ascii="Verdana Pro" w:hAnsi="Verdana Pro"/>
          <w:szCs w:val="13"/>
        </w:rPr>
        <w:t xml:space="preserve"> Topsectoren- en Innovatiebeleid (MTIB) door maatschappelijke uitdagingen en sleuteltechnologieën centraal te stellen in het Rijksbeleid.</w:t>
      </w:r>
    </w:p>
  </w:footnote>
  <w:footnote w:id="4">
    <w:p w14:paraId="66331240" w14:textId="77777777" w:rsidR="002E0463" w:rsidRPr="00545909" w:rsidRDefault="002E0463" w:rsidP="00D06B0D">
      <w:pPr>
        <w:pStyle w:val="Voetnoottekst"/>
        <w:jc w:val="both"/>
        <w:rPr>
          <w:rFonts w:ascii="Verdana Pro" w:hAnsi="Verdana Pro"/>
          <w:szCs w:val="13"/>
        </w:rPr>
      </w:pPr>
      <w:r w:rsidRPr="00545909">
        <w:rPr>
          <w:rStyle w:val="Voetnootmarkering"/>
          <w:rFonts w:ascii="Verdana Pro" w:hAnsi="Verdana Pro"/>
          <w:szCs w:val="13"/>
        </w:rPr>
        <w:footnoteRef/>
      </w:r>
      <w:r w:rsidRPr="00545909">
        <w:rPr>
          <w:rFonts w:ascii="Verdana Pro" w:hAnsi="Verdana Pro"/>
          <w:szCs w:val="13"/>
        </w:rPr>
        <w:t xml:space="preserve"> De NTS is in 2024 in samenwerking met relevante stakeholders door het ministerie van EZ uitgewerkt en kenbaar gemaakt. </w:t>
      </w:r>
    </w:p>
  </w:footnote>
  <w:footnote w:id="5">
    <w:p w14:paraId="5050080D" w14:textId="2A859990" w:rsidR="002E0463" w:rsidRPr="00545909" w:rsidRDefault="002E0463" w:rsidP="00D06B0D">
      <w:pPr>
        <w:pStyle w:val="Voetnoottekst"/>
        <w:jc w:val="both"/>
        <w:rPr>
          <w:rFonts w:ascii="Verdana Pro" w:hAnsi="Verdana Pro"/>
          <w:szCs w:val="13"/>
        </w:rPr>
      </w:pPr>
      <w:r w:rsidRPr="00545909">
        <w:rPr>
          <w:rStyle w:val="Voetnootmarkering"/>
          <w:rFonts w:ascii="Verdana Pro" w:hAnsi="Verdana Pro"/>
          <w:szCs w:val="13"/>
        </w:rPr>
        <w:footnoteRef/>
      </w:r>
      <w:r w:rsidRPr="00545909">
        <w:rPr>
          <w:rFonts w:ascii="Verdana Pro" w:hAnsi="Verdana Pro"/>
          <w:szCs w:val="13"/>
        </w:rPr>
        <w:t xml:space="preserve"> </w:t>
      </w:r>
      <w:hyperlink r:id="rId1" w:history="1">
        <w:r w:rsidR="00A300E8" w:rsidRPr="00545909">
          <w:rPr>
            <w:rStyle w:val="Hyperlink"/>
            <w:rFonts w:ascii="Verdana Pro" w:hAnsi="Verdana Pro"/>
            <w:szCs w:val="13"/>
          </w:rPr>
          <w:t>Visiepaper Cohesiebeleid post 2027 | Rapport | Rijksoverheid.nl</w:t>
        </w:r>
      </w:hyperlink>
    </w:p>
  </w:footnote>
  <w:footnote w:id="6">
    <w:p w14:paraId="2951BCA8" w14:textId="4875F29F" w:rsidR="002E0463" w:rsidRPr="00545909" w:rsidRDefault="002E0463" w:rsidP="00D06B0D">
      <w:pPr>
        <w:pStyle w:val="Geenafstand"/>
        <w:jc w:val="both"/>
        <w:rPr>
          <w:rFonts w:ascii="Verdana" w:hAnsi="Verdana"/>
          <w:sz w:val="13"/>
          <w:szCs w:val="13"/>
        </w:rPr>
      </w:pPr>
      <w:r w:rsidRPr="00545909">
        <w:rPr>
          <w:rStyle w:val="Voetnootmarkering"/>
          <w:rFonts w:ascii="Verdana Pro" w:hAnsi="Verdana Pro"/>
          <w:sz w:val="13"/>
          <w:szCs w:val="13"/>
        </w:rPr>
        <w:footnoteRef/>
      </w:r>
      <w:r w:rsidRPr="00545909">
        <w:rPr>
          <w:rFonts w:ascii="Verdana Pro" w:hAnsi="Verdana Pro"/>
          <w:sz w:val="13"/>
          <w:szCs w:val="13"/>
        </w:rPr>
        <w:t xml:space="preserve"> </w:t>
      </w:r>
      <w:hyperlink r:id="rId2" w:history="1">
        <w:r w:rsidR="00A300E8" w:rsidRPr="00545909">
          <w:rPr>
            <w:rStyle w:val="Hyperlink"/>
            <w:rFonts w:ascii="Verdana Pro" w:hAnsi="Verdana Pro"/>
            <w:sz w:val="13"/>
            <w:szCs w:val="13"/>
          </w:rPr>
          <w:t>Kamerbrief Nederlandse inzet onderhandelingen MFK 2028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2550C" w14:paraId="3DA015D8" w14:textId="77777777" w:rsidTr="00A50CF6">
      <w:tc>
        <w:tcPr>
          <w:tcW w:w="2156" w:type="dxa"/>
          <w:shd w:val="clear" w:color="auto" w:fill="auto"/>
        </w:tcPr>
        <w:p w14:paraId="419649F5" w14:textId="77777777" w:rsidR="00527BD4" w:rsidRPr="005819CE" w:rsidRDefault="00545909" w:rsidP="00A50CF6">
          <w:pPr>
            <w:pStyle w:val="Huisstijl-Adres"/>
            <w:rPr>
              <w:b/>
            </w:rPr>
          </w:pPr>
          <w:r>
            <w:rPr>
              <w:b/>
            </w:rPr>
            <w:t>Directoraat-generaal Bedrijfsleven &amp; Innovatie</w:t>
          </w:r>
          <w:r w:rsidRPr="005819CE">
            <w:rPr>
              <w:b/>
            </w:rPr>
            <w:br/>
          </w:r>
          <w:r>
            <w:t>Directie Innovatie en Kennis</w:t>
          </w:r>
        </w:p>
      </w:tc>
    </w:tr>
    <w:tr w:rsidR="00A2550C" w14:paraId="6CCE2B77" w14:textId="77777777" w:rsidTr="00A50CF6">
      <w:trPr>
        <w:trHeight w:hRule="exact" w:val="200"/>
      </w:trPr>
      <w:tc>
        <w:tcPr>
          <w:tcW w:w="2156" w:type="dxa"/>
          <w:shd w:val="clear" w:color="auto" w:fill="auto"/>
        </w:tcPr>
        <w:p w14:paraId="4172D124" w14:textId="77777777" w:rsidR="00527BD4" w:rsidRPr="005819CE" w:rsidRDefault="00527BD4" w:rsidP="00A50CF6"/>
      </w:tc>
    </w:tr>
    <w:tr w:rsidR="00A2550C" w14:paraId="2B6ACDFA" w14:textId="77777777" w:rsidTr="00502512">
      <w:trPr>
        <w:trHeight w:hRule="exact" w:val="774"/>
      </w:trPr>
      <w:tc>
        <w:tcPr>
          <w:tcW w:w="2156" w:type="dxa"/>
          <w:shd w:val="clear" w:color="auto" w:fill="auto"/>
        </w:tcPr>
        <w:p w14:paraId="3C6668D2" w14:textId="77777777" w:rsidR="00527BD4" w:rsidRDefault="00545909" w:rsidP="003A5290">
          <w:pPr>
            <w:pStyle w:val="Huisstijl-Kopje"/>
          </w:pPr>
          <w:r>
            <w:t>Ons kenmerk</w:t>
          </w:r>
        </w:p>
        <w:p w14:paraId="3FD00C0B" w14:textId="77777777" w:rsidR="00527BD4" w:rsidRPr="005819CE" w:rsidRDefault="00545909" w:rsidP="004425CC">
          <w:pPr>
            <w:pStyle w:val="Huisstijl-Kopje"/>
          </w:pPr>
          <w:r>
            <w:rPr>
              <w:b w:val="0"/>
            </w:rPr>
            <w:t>DGBI-I&amp;K</w:t>
          </w:r>
          <w:r w:rsidRPr="00502512">
            <w:rPr>
              <w:b w:val="0"/>
            </w:rPr>
            <w:t xml:space="preserve"> / </w:t>
          </w:r>
          <w:r>
            <w:rPr>
              <w:b w:val="0"/>
            </w:rPr>
            <w:t>98291942</w:t>
          </w:r>
        </w:p>
      </w:tc>
    </w:tr>
  </w:tbl>
  <w:p w14:paraId="080F9A93" w14:textId="77777777" w:rsidR="00527BD4" w:rsidRDefault="00527BD4" w:rsidP="004F44C2"/>
  <w:p w14:paraId="2C0CEEFA" w14:textId="77777777" w:rsidR="00545909" w:rsidRDefault="00545909" w:rsidP="004F44C2"/>
  <w:p w14:paraId="59A9C18F" w14:textId="77777777" w:rsidR="00527BD4" w:rsidRPr="00740712" w:rsidRDefault="00527BD4" w:rsidP="004F44C2"/>
  <w:p w14:paraId="607361B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2550C" w14:paraId="6BACE829" w14:textId="77777777" w:rsidTr="00751A6A">
      <w:trPr>
        <w:trHeight w:val="2636"/>
      </w:trPr>
      <w:tc>
        <w:tcPr>
          <w:tcW w:w="737" w:type="dxa"/>
          <w:shd w:val="clear" w:color="auto" w:fill="auto"/>
        </w:tcPr>
        <w:p w14:paraId="59A0885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E9ACCD0" w14:textId="77777777" w:rsidR="00527BD4" w:rsidRDefault="00545909"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A6A4E51" wp14:editId="3B4B545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3B040A6" w14:textId="77777777" w:rsidR="007269E3" w:rsidRDefault="007269E3" w:rsidP="00651CEE">
          <w:pPr>
            <w:framePr w:w="6340" w:h="2750" w:hRule="exact" w:hSpace="180" w:wrap="around" w:vAnchor="page" w:hAnchor="text" w:x="3873" w:y="-140"/>
            <w:spacing w:line="240" w:lineRule="auto"/>
          </w:pPr>
        </w:p>
      </w:tc>
    </w:tr>
  </w:tbl>
  <w:p w14:paraId="63534E26" w14:textId="77777777" w:rsidR="00527BD4" w:rsidRDefault="00527BD4" w:rsidP="00D0609E">
    <w:pPr>
      <w:framePr w:w="6340" w:h="2750" w:hRule="exact" w:hSpace="180" w:wrap="around" w:vAnchor="page" w:hAnchor="text" w:x="3873" w:y="-140"/>
    </w:pPr>
  </w:p>
  <w:p w14:paraId="0DE9FF5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2550C" w:rsidRPr="00545909" w14:paraId="21955D23" w14:textId="77777777" w:rsidTr="00A50CF6">
      <w:tc>
        <w:tcPr>
          <w:tcW w:w="2160" w:type="dxa"/>
          <w:shd w:val="clear" w:color="auto" w:fill="auto"/>
        </w:tcPr>
        <w:p w14:paraId="64F49566" w14:textId="77777777" w:rsidR="00527BD4" w:rsidRPr="005819CE" w:rsidRDefault="00545909" w:rsidP="00A50CF6">
          <w:pPr>
            <w:pStyle w:val="Huisstijl-Adres"/>
            <w:rPr>
              <w:b/>
            </w:rPr>
          </w:pPr>
          <w:r>
            <w:rPr>
              <w:b/>
            </w:rPr>
            <w:t>Directoraat-generaal Bedrijfsleven &amp; Innovatie</w:t>
          </w:r>
          <w:r w:rsidRPr="005819CE">
            <w:rPr>
              <w:b/>
            </w:rPr>
            <w:br/>
          </w:r>
          <w:r>
            <w:t>Directie Innovatie en Kennis</w:t>
          </w:r>
        </w:p>
        <w:p w14:paraId="16145521" w14:textId="77777777" w:rsidR="00527BD4" w:rsidRPr="00BE5ED9" w:rsidRDefault="00545909" w:rsidP="00A50CF6">
          <w:pPr>
            <w:pStyle w:val="Huisstijl-Adres"/>
          </w:pPr>
          <w:r>
            <w:rPr>
              <w:b/>
            </w:rPr>
            <w:t>Bezoekadres</w:t>
          </w:r>
          <w:r>
            <w:rPr>
              <w:b/>
            </w:rPr>
            <w:br/>
          </w:r>
          <w:r>
            <w:t>Bezuidenhoutseweg 73</w:t>
          </w:r>
          <w:r w:rsidRPr="005819CE">
            <w:br/>
          </w:r>
          <w:r>
            <w:t>2594 AC Den Haag</w:t>
          </w:r>
        </w:p>
        <w:p w14:paraId="25129C1F" w14:textId="77777777" w:rsidR="00EF495B" w:rsidRDefault="00545909" w:rsidP="0098788A">
          <w:pPr>
            <w:pStyle w:val="Huisstijl-Adres"/>
          </w:pPr>
          <w:r>
            <w:rPr>
              <w:b/>
            </w:rPr>
            <w:t>Postadres</w:t>
          </w:r>
          <w:r>
            <w:rPr>
              <w:b/>
            </w:rPr>
            <w:br/>
          </w:r>
          <w:r>
            <w:t>Postbus 20401</w:t>
          </w:r>
          <w:r w:rsidRPr="005819CE">
            <w:br/>
            <w:t>2500 E</w:t>
          </w:r>
          <w:r>
            <w:t>K</w:t>
          </w:r>
          <w:r w:rsidRPr="005819CE">
            <w:t xml:space="preserve"> Den Haag</w:t>
          </w:r>
        </w:p>
        <w:p w14:paraId="55FC0F87" w14:textId="77777777" w:rsidR="00EF495B" w:rsidRPr="005B3814" w:rsidRDefault="00545909" w:rsidP="0098788A">
          <w:pPr>
            <w:pStyle w:val="Huisstijl-Adres"/>
          </w:pPr>
          <w:r>
            <w:rPr>
              <w:b/>
            </w:rPr>
            <w:t>Overheidsidentificatienr</w:t>
          </w:r>
          <w:r>
            <w:rPr>
              <w:b/>
            </w:rPr>
            <w:br/>
          </w:r>
          <w:r w:rsidRPr="005B3814">
            <w:t>00000001003214369000</w:t>
          </w:r>
        </w:p>
        <w:p w14:paraId="0681187E" w14:textId="2A34DF66" w:rsidR="00527BD4" w:rsidRPr="00545909" w:rsidRDefault="00545909"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2550C" w:rsidRPr="00545909" w14:paraId="232624F2" w14:textId="77777777" w:rsidTr="00A50CF6">
      <w:trPr>
        <w:trHeight w:hRule="exact" w:val="200"/>
      </w:trPr>
      <w:tc>
        <w:tcPr>
          <w:tcW w:w="2160" w:type="dxa"/>
          <w:shd w:val="clear" w:color="auto" w:fill="auto"/>
        </w:tcPr>
        <w:p w14:paraId="7A22C680" w14:textId="77777777" w:rsidR="00527BD4" w:rsidRPr="005169C0" w:rsidRDefault="00527BD4" w:rsidP="00A50CF6"/>
      </w:tc>
    </w:tr>
    <w:tr w:rsidR="00A2550C" w14:paraId="68BD21DD" w14:textId="77777777" w:rsidTr="00A50CF6">
      <w:tc>
        <w:tcPr>
          <w:tcW w:w="2160" w:type="dxa"/>
          <w:shd w:val="clear" w:color="auto" w:fill="auto"/>
        </w:tcPr>
        <w:p w14:paraId="096428EA" w14:textId="77777777" w:rsidR="000C0163" w:rsidRPr="005819CE" w:rsidRDefault="00545909" w:rsidP="000C0163">
          <w:pPr>
            <w:pStyle w:val="Huisstijl-Kopje"/>
          </w:pPr>
          <w:r>
            <w:t>Ons kenmerk</w:t>
          </w:r>
          <w:r w:rsidRPr="005819CE">
            <w:t xml:space="preserve"> </w:t>
          </w:r>
        </w:p>
        <w:p w14:paraId="54E70471" w14:textId="3A94E709" w:rsidR="00527BD4" w:rsidRDefault="00545909" w:rsidP="00A50CF6">
          <w:pPr>
            <w:pStyle w:val="Huisstijl-Gegeven"/>
          </w:pPr>
          <w:r>
            <w:t>DGBI-I&amp;K</w:t>
          </w:r>
          <w:r w:rsidR="00926AE2">
            <w:t xml:space="preserve"> / </w:t>
          </w:r>
          <w:r>
            <w:t>98291942</w:t>
          </w:r>
        </w:p>
        <w:p w14:paraId="3DA24EB9" w14:textId="77777777" w:rsidR="00527BD4" w:rsidRPr="005819CE" w:rsidRDefault="00545909" w:rsidP="00A50CF6">
          <w:pPr>
            <w:pStyle w:val="Huisstijl-Kopje"/>
          </w:pPr>
          <w:r>
            <w:t>Bijlage(n)</w:t>
          </w:r>
        </w:p>
        <w:p w14:paraId="16B2E9B9" w14:textId="44CC62AC" w:rsidR="00527BD4" w:rsidRPr="005819CE" w:rsidRDefault="00545909" w:rsidP="00A50CF6">
          <w:pPr>
            <w:pStyle w:val="Huisstijl-Gegeven"/>
          </w:pPr>
          <w:r>
            <w:t>1</w:t>
          </w:r>
        </w:p>
      </w:tc>
    </w:tr>
  </w:tbl>
  <w:p w14:paraId="3AC91C5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A2550C" w14:paraId="274FF7D1" w14:textId="77777777" w:rsidTr="007610AA">
      <w:trPr>
        <w:trHeight w:val="400"/>
      </w:trPr>
      <w:tc>
        <w:tcPr>
          <w:tcW w:w="7520" w:type="dxa"/>
          <w:gridSpan w:val="2"/>
          <w:shd w:val="clear" w:color="auto" w:fill="auto"/>
        </w:tcPr>
        <w:p w14:paraId="504FFAA9" w14:textId="77777777" w:rsidR="00527BD4" w:rsidRPr="00BC3B53" w:rsidRDefault="00545909" w:rsidP="00A50CF6">
          <w:pPr>
            <w:pStyle w:val="Huisstijl-Retouradres"/>
          </w:pPr>
          <w:r>
            <w:t>&gt; Retouradres Postbus 20401 2500 EK Den Haag</w:t>
          </w:r>
        </w:p>
      </w:tc>
    </w:tr>
    <w:tr w:rsidR="00A2550C" w14:paraId="379C4BCF" w14:textId="77777777" w:rsidTr="007610AA">
      <w:tc>
        <w:tcPr>
          <w:tcW w:w="7520" w:type="dxa"/>
          <w:gridSpan w:val="2"/>
          <w:shd w:val="clear" w:color="auto" w:fill="auto"/>
        </w:tcPr>
        <w:p w14:paraId="41E2DF46" w14:textId="77777777" w:rsidR="00527BD4" w:rsidRPr="00983E8F" w:rsidRDefault="00527BD4" w:rsidP="00A50CF6">
          <w:pPr>
            <w:pStyle w:val="Huisstijl-Rubricering"/>
          </w:pPr>
        </w:p>
      </w:tc>
    </w:tr>
    <w:tr w:rsidR="00A2550C" w14:paraId="39176FD1" w14:textId="77777777" w:rsidTr="007610AA">
      <w:trPr>
        <w:trHeight w:hRule="exact" w:val="2440"/>
      </w:trPr>
      <w:tc>
        <w:tcPr>
          <w:tcW w:w="7520" w:type="dxa"/>
          <w:gridSpan w:val="2"/>
          <w:shd w:val="clear" w:color="auto" w:fill="auto"/>
        </w:tcPr>
        <w:p w14:paraId="799EFA5A" w14:textId="77777777" w:rsidR="00545909" w:rsidRDefault="00264B26">
          <w:pPr>
            <w:pStyle w:val="Huisstijl-NAW"/>
          </w:pPr>
          <w:r>
            <w:t xml:space="preserve">De Voorzitter van de Tweede Kamer </w:t>
          </w:r>
        </w:p>
        <w:p w14:paraId="54F3EDA4" w14:textId="0ECD6B6D" w:rsidR="00A2550C" w:rsidRDefault="00264B26">
          <w:pPr>
            <w:pStyle w:val="Huisstijl-NAW"/>
          </w:pPr>
          <w:r>
            <w:t>der Staten-Generaal</w:t>
          </w:r>
        </w:p>
        <w:p w14:paraId="1A2F5146" w14:textId="77777777" w:rsidR="00264B26" w:rsidRDefault="00264B26">
          <w:pPr>
            <w:pStyle w:val="Huisstijl-NAW"/>
          </w:pPr>
          <w:r>
            <w:t>Prinses Irenestraat 6</w:t>
          </w:r>
        </w:p>
        <w:p w14:paraId="7DA18926" w14:textId="10C5C938" w:rsidR="00264B26" w:rsidRDefault="00264B26">
          <w:pPr>
            <w:pStyle w:val="Huisstijl-NAW"/>
          </w:pPr>
          <w:r>
            <w:t xml:space="preserve">2595 BD </w:t>
          </w:r>
          <w:r w:rsidR="00545909">
            <w:t xml:space="preserve"> DEN HAAG</w:t>
          </w:r>
        </w:p>
      </w:tc>
    </w:tr>
    <w:tr w:rsidR="00A2550C" w14:paraId="79A63A3C" w14:textId="77777777" w:rsidTr="007610AA">
      <w:trPr>
        <w:trHeight w:hRule="exact" w:val="400"/>
      </w:trPr>
      <w:tc>
        <w:tcPr>
          <w:tcW w:w="7520" w:type="dxa"/>
          <w:gridSpan w:val="2"/>
          <w:shd w:val="clear" w:color="auto" w:fill="auto"/>
        </w:tcPr>
        <w:p w14:paraId="53297CD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2550C" w14:paraId="2562A911" w14:textId="77777777" w:rsidTr="007610AA">
      <w:trPr>
        <w:trHeight w:val="240"/>
      </w:trPr>
      <w:tc>
        <w:tcPr>
          <w:tcW w:w="900" w:type="dxa"/>
          <w:shd w:val="clear" w:color="auto" w:fill="auto"/>
        </w:tcPr>
        <w:p w14:paraId="7915079B" w14:textId="77777777" w:rsidR="00527BD4" w:rsidRPr="007709EF" w:rsidRDefault="00545909" w:rsidP="00A50CF6">
          <w:pPr>
            <w:rPr>
              <w:szCs w:val="18"/>
            </w:rPr>
          </w:pPr>
          <w:r>
            <w:rPr>
              <w:szCs w:val="18"/>
            </w:rPr>
            <w:t>Datum</w:t>
          </w:r>
        </w:p>
      </w:tc>
      <w:tc>
        <w:tcPr>
          <w:tcW w:w="6620" w:type="dxa"/>
          <w:shd w:val="clear" w:color="auto" w:fill="auto"/>
        </w:tcPr>
        <w:p w14:paraId="36D1B03B" w14:textId="10229979" w:rsidR="00527BD4" w:rsidRPr="007709EF" w:rsidRDefault="005169C0" w:rsidP="00A50CF6">
          <w:r>
            <w:t>23 april 2025</w:t>
          </w:r>
        </w:p>
      </w:tc>
    </w:tr>
    <w:tr w:rsidR="00A2550C" w14:paraId="2ACBA70F" w14:textId="77777777" w:rsidTr="007610AA">
      <w:trPr>
        <w:trHeight w:val="240"/>
      </w:trPr>
      <w:tc>
        <w:tcPr>
          <w:tcW w:w="900" w:type="dxa"/>
          <w:shd w:val="clear" w:color="auto" w:fill="auto"/>
        </w:tcPr>
        <w:p w14:paraId="54FCBEA7" w14:textId="77777777" w:rsidR="00527BD4" w:rsidRPr="007709EF" w:rsidRDefault="00545909" w:rsidP="00A50CF6">
          <w:pPr>
            <w:rPr>
              <w:szCs w:val="18"/>
            </w:rPr>
          </w:pPr>
          <w:r>
            <w:rPr>
              <w:szCs w:val="18"/>
            </w:rPr>
            <w:t>Betreft</w:t>
          </w:r>
        </w:p>
      </w:tc>
      <w:tc>
        <w:tcPr>
          <w:tcW w:w="6620" w:type="dxa"/>
          <w:shd w:val="clear" w:color="auto" w:fill="auto"/>
        </w:tcPr>
        <w:p w14:paraId="7F2ADF76" w14:textId="77777777" w:rsidR="00527BD4" w:rsidRPr="007709EF" w:rsidRDefault="00545909" w:rsidP="00A50CF6">
          <w:r>
            <w:t>Kamerbrief Eindrapport Evaluatie Rijkscofinanciering in EFRO 2014-2020</w:t>
          </w:r>
        </w:p>
      </w:tc>
    </w:tr>
  </w:tbl>
  <w:p w14:paraId="61D4A138"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65841CE">
      <w:start w:val="1"/>
      <w:numFmt w:val="bullet"/>
      <w:pStyle w:val="Lijstopsomteken"/>
      <w:lvlText w:val="•"/>
      <w:lvlJc w:val="left"/>
      <w:pPr>
        <w:tabs>
          <w:tab w:val="num" w:pos="227"/>
        </w:tabs>
        <w:ind w:left="227" w:hanging="227"/>
      </w:pPr>
      <w:rPr>
        <w:rFonts w:ascii="Verdana" w:hAnsi="Verdana" w:hint="default"/>
        <w:sz w:val="18"/>
        <w:szCs w:val="18"/>
      </w:rPr>
    </w:lvl>
    <w:lvl w:ilvl="1" w:tplc="EE469148" w:tentative="1">
      <w:start w:val="1"/>
      <w:numFmt w:val="bullet"/>
      <w:lvlText w:val="o"/>
      <w:lvlJc w:val="left"/>
      <w:pPr>
        <w:tabs>
          <w:tab w:val="num" w:pos="1440"/>
        </w:tabs>
        <w:ind w:left="1440" w:hanging="360"/>
      </w:pPr>
      <w:rPr>
        <w:rFonts w:ascii="Courier New" w:hAnsi="Courier New" w:cs="Courier New" w:hint="default"/>
      </w:rPr>
    </w:lvl>
    <w:lvl w:ilvl="2" w:tplc="E06E67E6" w:tentative="1">
      <w:start w:val="1"/>
      <w:numFmt w:val="bullet"/>
      <w:lvlText w:val=""/>
      <w:lvlJc w:val="left"/>
      <w:pPr>
        <w:tabs>
          <w:tab w:val="num" w:pos="2160"/>
        </w:tabs>
        <w:ind w:left="2160" w:hanging="360"/>
      </w:pPr>
      <w:rPr>
        <w:rFonts w:ascii="Wingdings" w:hAnsi="Wingdings" w:hint="default"/>
      </w:rPr>
    </w:lvl>
    <w:lvl w:ilvl="3" w:tplc="384E8C5E" w:tentative="1">
      <w:start w:val="1"/>
      <w:numFmt w:val="bullet"/>
      <w:lvlText w:val=""/>
      <w:lvlJc w:val="left"/>
      <w:pPr>
        <w:tabs>
          <w:tab w:val="num" w:pos="2880"/>
        </w:tabs>
        <w:ind w:left="2880" w:hanging="360"/>
      </w:pPr>
      <w:rPr>
        <w:rFonts w:ascii="Symbol" w:hAnsi="Symbol" w:hint="default"/>
      </w:rPr>
    </w:lvl>
    <w:lvl w:ilvl="4" w:tplc="90069A50" w:tentative="1">
      <w:start w:val="1"/>
      <w:numFmt w:val="bullet"/>
      <w:lvlText w:val="o"/>
      <w:lvlJc w:val="left"/>
      <w:pPr>
        <w:tabs>
          <w:tab w:val="num" w:pos="3600"/>
        </w:tabs>
        <w:ind w:left="3600" w:hanging="360"/>
      </w:pPr>
      <w:rPr>
        <w:rFonts w:ascii="Courier New" w:hAnsi="Courier New" w:cs="Courier New" w:hint="default"/>
      </w:rPr>
    </w:lvl>
    <w:lvl w:ilvl="5" w:tplc="92FA2666" w:tentative="1">
      <w:start w:val="1"/>
      <w:numFmt w:val="bullet"/>
      <w:lvlText w:val=""/>
      <w:lvlJc w:val="left"/>
      <w:pPr>
        <w:tabs>
          <w:tab w:val="num" w:pos="4320"/>
        </w:tabs>
        <w:ind w:left="4320" w:hanging="360"/>
      </w:pPr>
      <w:rPr>
        <w:rFonts w:ascii="Wingdings" w:hAnsi="Wingdings" w:hint="default"/>
      </w:rPr>
    </w:lvl>
    <w:lvl w:ilvl="6" w:tplc="74A8DD34" w:tentative="1">
      <w:start w:val="1"/>
      <w:numFmt w:val="bullet"/>
      <w:lvlText w:val=""/>
      <w:lvlJc w:val="left"/>
      <w:pPr>
        <w:tabs>
          <w:tab w:val="num" w:pos="5040"/>
        </w:tabs>
        <w:ind w:left="5040" w:hanging="360"/>
      </w:pPr>
      <w:rPr>
        <w:rFonts w:ascii="Symbol" w:hAnsi="Symbol" w:hint="default"/>
      </w:rPr>
    </w:lvl>
    <w:lvl w:ilvl="7" w:tplc="D3A29EC8" w:tentative="1">
      <w:start w:val="1"/>
      <w:numFmt w:val="bullet"/>
      <w:lvlText w:val="o"/>
      <w:lvlJc w:val="left"/>
      <w:pPr>
        <w:tabs>
          <w:tab w:val="num" w:pos="5760"/>
        </w:tabs>
        <w:ind w:left="5760" w:hanging="360"/>
      </w:pPr>
      <w:rPr>
        <w:rFonts w:ascii="Courier New" w:hAnsi="Courier New" w:cs="Courier New" w:hint="default"/>
      </w:rPr>
    </w:lvl>
    <w:lvl w:ilvl="8" w:tplc="CF685A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E730DA0C">
      <w:start w:val="1"/>
      <w:numFmt w:val="bullet"/>
      <w:pStyle w:val="Lijstopsomteken2"/>
      <w:lvlText w:val="–"/>
      <w:lvlJc w:val="left"/>
      <w:pPr>
        <w:tabs>
          <w:tab w:val="num" w:pos="227"/>
        </w:tabs>
        <w:ind w:left="227" w:firstLine="0"/>
      </w:pPr>
      <w:rPr>
        <w:rFonts w:ascii="Verdana" w:hAnsi="Verdana" w:hint="default"/>
      </w:rPr>
    </w:lvl>
    <w:lvl w:ilvl="1" w:tplc="8AE85832" w:tentative="1">
      <w:start w:val="1"/>
      <w:numFmt w:val="bullet"/>
      <w:lvlText w:val="o"/>
      <w:lvlJc w:val="left"/>
      <w:pPr>
        <w:tabs>
          <w:tab w:val="num" w:pos="1440"/>
        </w:tabs>
        <w:ind w:left="1440" w:hanging="360"/>
      </w:pPr>
      <w:rPr>
        <w:rFonts w:ascii="Courier New" w:hAnsi="Courier New" w:cs="Courier New" w:hint="default"/>
      </w:rPr>
    </w:lvl>
    <w:lvl w:ilvl="2" w:tplc="02E8FCC4" w:tentative="1">
      <w:start w:val="1"/>
      <w:numFmt w:val="bullet"/>
      <w:lvlText w:val=""/>
      <w:lvlJc w:val="left"/>
      <w:pPr>
        <w:tabs>
          <w:tab w:val="num" w:pos="2160"/>
        </w:tabs>
        <w:ind w:left="2160" w:hanging="360"/>
      </w:pPr>
      <w:rPr>
        <w:rFonts w:ascii="Wingdings" w:hAnsi="Wingdings" w:hint="default"/>
      </w:rPr>
    </w:lvl>
    <w:lvl w:ilvl="3" w:tplc="AD08AB56" w:tentative="1">
      <w:start w:val="1"/>
      <w:numFmt w:val="bullet"/>
      <w:lvlText w:val=""/>
      <w:lvlJc w:val="left"/>
      <w:pPr>
        <w:tabs>
          <w:tab w:val="num" w:pos="2880"/>
        </w:tabs>
        <w:ind w:left="2880" w:hanging="360"/>
      </w:pPr>
      <w:rPr>
        <w:rFonts w:ascii="Symbol" w:hAnsi="Symbol" w:hint="default"/>
      </w:rPr>
    </w:lvl>
    <w:lvl w:ilvl="4" w:tplc="70E6BB60" w:tentative="1">
      <w:start w:val="1"/>
      <w:numFmt w:val="bullet"/>
      <w:lvlText w:val="o"/>
      <w:lvlJc w:val="left"/>
      <w:pPr>
        <w:tabs>
          <w:tab w:val="num" w:pos="3600"/>
        </w:tabs>
        <w:ind w:left="3600" w:hanging="360"/>
      </w:pPr>
      <w:rPr>
        <w:rFonts w:ascii="Courier New" w:hAnsi="Courier New" w:cs="Courier New" w:hint="default"/>
      </w:rPr>
    </w:lvl>
    <w:lvl w:ilvl="5" w:tplc="F35492D0" w:tentative="1">
      <w:start w:val="1"/>
      <w:numFmt w:val="bullet"/>
      <w:lvlText w:val=""/>
      <w:lvlJc w:val="left"/>
      <w:pPr>
        <w:tabs>
          <w:tab w:val="num" w:pos="4320"/>
        </w:tabs>
        <w:ind w:left="4320" w:hanging="360"/>
      </w:pPr>
      <w:rPr>
        <w:rFonts w:ascii="Wingdings" w:hAnsi="Wingdings" w:hint="default"/>
      </w:rPr>
    </w:lvl>
    <w:lvl w:ilvl="6" w:tplc="B672C97E" w:tentative="1">
      <w:start w:val="1"/>
      <w:numFmt w:val="bullet"/>
      <w:lvlText w:val=""/>
      <w:lvlJc w:val="left"/>
      <w:pPr>
        <w:tabs>
          <w:tab w:val="num" w:pos="5040"/>
        </w:tabs>
        <w:ind w:left="5040" w:hanging="360"/>
      </w:pPr>
      <w:rPr>
        <w:rFonts w:ascii="Symbol" w:hAnsi="Symbol" w:hint="default"/>
      </w:rPr>
    </w:lvl>
    <w:lvl w:ilvl="7" w:tplc="67CC55BA" w:tentative="1">
      <w:start w:val="1"/>
      <w:numFmt w:val="bullet"/>
      <w:lvlText w:val="o"/>
      <w:lvlJc w:val="left"/>
      <w:pPr>
        <w:tabs>
          <w:tab w:val="num" w:pos="5760"/>
        </w:tabs>
        <w:ind w:left="5760" w:hanging="360"/>
      </w:pPr>
      <w:rPr>
        <w:rFonts w:ascii="Courier New" w:hAnsi="Courier New" w:cs="Courier New" w:hint="default"/>
      </w:rPr>
    </w:lvl>
    <w:lvl w:ilvl="8" w:tplc="468E118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F248B"/>
    <w:multiLevelType w:val="hybridMultilevel"/>
    <w:tmpl w:val="9E84C9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74991432">
    <w:abstractNumId w:val="10"/>
  </w:num>
  <w:num w:numId="2" w16cid:durableId="87042341">
    <w:abstractNumId w:val="7"/>
  </w:num>
  <w:num w:numId="3" w16cid:durableId="768696428">
    <w:abstractNumId w:val="6"/>
  </w:num>
  <w:num w:numId="4" w16cid:durableId="53746288">
    <w:abstractNumId w:val="5"/>
  </w:num>
  <w:num w:numId="5" w16cid:durableId="1518889781">
    <w:abstractNumId w:val="4"/>
  </w:num>
  <w:num w:numId="6" w16cid:durableId="271518011">
    <w:abstractNumId w:val="8"/>
  </w:num>
  <w:num w:numId="7" w16cid:durableId="1339430320">
    <w:abstractNumId w:val="3"/>
  </w:num>
  <w:num w:numId="8" w16cid:durableId="1737123924">
    <w:abstractNumId w:val="2"/>
  </w:num>
  <w:num w:numId="9" w16cid:durableId="1094786509">
    <w:abstractNumId w:val="1"/>
  </w:num>
  <w:num w:numId="10" w16cid:durableId="1663661048">
    <w:abstractNumId w:val="0"/>
  </w:num>
  <w:num w:numId="11" w16cid:durableId="2105220879">
    <w:abstractNumId w:val="9"/>
  </w:num>
  <w:num w:numId="12" w16cid:durableId="1527600173">
    <w:abstractNumId w:val="11"/>
  </w:num>
  <w:num w:numId="13" w16cid:durableId="1926723493">
    <w:abstractNumId w:val="14"/>
  </w:num>
  <w:num w:numId="14" w16cid:durableId="1793473435">
    <w:abstractNumId w:val="12"/>
  </w:num>
  <w:num w:numId="15" w16cid:durableId="769787392">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hideSpellingErrors/>
  <w:hideGrammaticalErrors/>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3F6D"/>
    <w:rsid w:val="00016012"/>
    <w:rsid w:val="00020189"/>
    <w:rsid w:val="00020EE4"/>
    <w:rsid w:val="00023E9A"/>
    <w:rsid w:val="00033CDD"/>
    <w:rsid w:val="00034A84"/>
    <w:rsid w:val="00035E67"/>
    <w:rsid w:val="000366F3"/>
    <w:rsid w:val="0006024D"/>
    <w:rsid w:val="00071F28"/>
    <w:rsid w:val="00074079"/>
    <w:rsid w:val="00090464"/>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C6825"/>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4B26"/>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463"/>
    <w:rsid w:val="002E0F69"/>
    <w:rsid w:val="002E6A8E"/>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779BE"/>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75415"/>
    <w:rsid w:val="00483F0B"/>
    <w:rsid w:val="00491F74"/>
    <w:rsid w:val="00496319"/>
    <w:rsid w:val="00497279"/>
    <w:rsid w:val="004A163B"/>
    <w:rsid w:val="004A2F34"/>
    <w:rsid w:val="004A670A"/>
    <w:rsid w:val="004B5465"/>
    <w:rsid w:val="004B70F0"/>
    <w:rsid w:val="004C21A8"/>
    <w:rsid w:val="004D505E"/>
    <w:rsid w:val="004D72CA"/>
    <w:rsid w:val="004E2242"/>
    <w:rsid w:val="004E505E"/>
    <w:rsid w:val="004F42FF"/>
    <w:rsid w:val="004F44C2"/>
    <w:rsid w:val="00502512"/>
    <w:rsid w:val="00503FD2"/>
    <w:rsid w:val="00505262"/>
    <w:rsid w:val="00516022"/>
    <w:rsid w:val="005169C0"/>
    <w:rsid w:val="00521CEE"/>
    <w:rsid w:val="00524FB4"/>
    <w:rsid w:val="00527BD4"/>
    <w:rsid w:val="00537095"/>
    <w:rsid w:val="005403C8"/>
    <w:rsid w:val="005429DC"/>
    <w:rsid w:val="00545909"/>
    <w:rsid w:val="005504EA"/>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F62D3"/>
    <w:rsid w:val="005F6D11"/>
    <w:rsid w:val="00600CF0"/>
    <w:rsid w:val="006048F4"/>
    <w:rsid w:val="0060660A"/>
    <w:rsid w:val="00613B1D"/>
    <w:rsid w:val="00617106"/>
    <w:rsid w:val="00617A44"/>
    <w:rsid w:val="006202B6"/>
    <w:rsid w:val="00625CD0"/>
    <w:rsid w:val="0062627D"/>
    <w:rsid w:val="00627432"/>
    <w:rsid w:val="006448E4"/>
    <w:rsid w:val="00645414"/>
    <w:rsid w:val="00651CEE"/>
    <w:rsid w:val="00653606"/>
    <w:rsid w:val="00660C41"/>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E7C36"/>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D5125"/>
    <w:rsid w:val="009E3C59"/>
    <w:rsid w:val="009F3259"/>
    <w:rsid w:val="00A037D5"/>
    <w:rsid w:val="00A056DE"/>
    <w:rsid w:val="00A128AD"/>
    <w:rsid w:val="00A13F69"/>
    <w:rsid w:val="00A16D7E"/>
    <w:rsid w:val="00A21E76"/>
    <w:rsid w:val="00A23BC8"/>
    <w:rsid w:val="00A245F8"/>
    <w:rsid w:val="00A2550C"/>
    <w:rsid w:val="00A300E8"/>
    <w:rsid w:val="00A30E68"/>
    <w:rsid w:val="00A31933"/>
    <w:rsid w:val="00A329D2"/>
    <w:rsid w:val="00A34AA0"/>
    <w:rsid w:val="00A3715C"/>
    <w:rsid w:val="00A413B4"/>
    <w:rsid w:val="00A41FE2"/>
    <w:rsid w:val="00A42127"/>
    <w:rsid w:val="00A46FEF"/>
    <w:rsid w:val="00A47948"/>
    <w:rsid w:val="00A50CF6"/>
    <w:rsid w:val="00A56946"/>
    <w:rsid w:val="00A6170E"/>
    <w:rsid w:val="00A63B8C"/>
    <w:rsid w:val="00A715F8"/>
    <w:rsid w:val="00A72504"/>
    <w:rsid w:val="00A7668F"/>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66D30"/>
    <w:rsid w:val="00B70BF3"/>
    <w:rsid w:val="00B71DC2"/>
    <w:rsid w:val="00B849F5"/>
    <w:rsid w:val="00B91CFC"/>
    <w:rsid w:val="00B93893"/>
    <w:rsid w:val="00BA1397"/>
    <w:rsid w:val="00BA7E0A"/>
    <w:rsid w:val="00BC2C00"/>
    <w:rsid w:val="00BC3B53"/>
    <w:rsid w:val="00BC3B96"/>
    <w:rsid w:val="00BC4AE3"/>
    <w:rsid w:val="00BC5B28"/>
    <w:rsid w:val="00BD2370"/>
    <w:rsid w:val="00BE3F88"/>
    <w:rsid w:val="00BE4756"/>
    <w:rsid w:val="00BE5ED9"/>
    <w:rsid w:val="00BE7B41"/>
    <w:rsid w:val="00C02972"/>
    <w:rsid w:val="00C15A91"/>
    <w:rsid w:val="00C206F1"/>
    <w:rsid w:val="00C217E1"/>
    <w:rsid w:val="00C219B1"/>
    <w:rsid w:val="00C34A98"/>
    <w:rsid w:val="00C4015B"/>
    <w:rsid w:val="00C40C60"/>
    <w:rsid w:val="00C43FE6"/>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6B0D"/>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337D"/>
    <w:rsid w:val="00E3731D"/>
    <w:rsid w:val="00E51469"/>
    <w:rsid w:val="00E634E3"/>
    <w:rsid w:val="00E717C4"/>
    <w:rsid w:val="00E77E18"/>
    <w:rsid w:val="00E77F89"/>
    <w:rsid w:val="00E80330"/>
    <w:rsid w:val="00E806C5"/>
    <w:rsid w:val="00E80E71"/>
    <w:rsid w:val="00E850D3"/>
    <w:rsid w:val="00E853D6"/>
    <w:rsid w:val="00E876B9"/>
    <w:rsid w:val="00EA4EB8"/>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41A8"/>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07E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2E0463"/>
    <w:rPr>
      <w:rFonts w:asciiTheme="minorHAnsi" w:eastAsiaTheme="minorHAnsi" w:hAnsiTheme="minorHAnsi" w:cstheme="minorBidi"/>
      <w:sz w:val="22"/>
      <w:szCs w:val="22"/>
      <w:lang w:val="nl-NL"/>
    </w:rPr>
  </w:style>
  <w:style w:type="character" w:styleId="Voetnootmarkering">
    <w:name w:val="footnote reference"/>
    <w:basedOn w:val="Standaardalinea-lettertype"/>
    <w:uiPriority w:val="99"/>
    <w:semiHidden/>
    <w:unhideWhenUsed/>
    <w:rsid w:val="002E0463"/>
    <w:rPr>
      <w:vertAlign w:val="superscript"/>
    </w:rPr>
  </w:style>
  <w:style w:type="character" w:styleId="Onopgelostemelding">
    <w:name w:val="Unresolved Mention"/>
    <w:basedOn w:val="Standaardalinea-lettertype"/>
    <w:uiPriority w:val="99"/>
    <w:semiHidden/>
    <w:unhideWhenUsed/>
    <w:rsid w:val="00A300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3/28/kamerbrief-inzake-nederlandse-inzet-hoofdlijnen-mfk-2028" TargetMode="External"/><Relationship Id="rId1" Type="http://schemas.openxmlformats.org/officeDocument/2006/relationships/hyperlink" Target="https://www.rijksoverheid.nl/documenten/rapporten/2024/10/04/visiepaper-cohesiebeleid-post-202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2016</ap:Words>
  <ap:Characters>11090</ap:Characters>
  <ap:DocSecurity>0</ap:DocSecurity>
  <ap:Lines>92</ap:Lines>
  <ap:Paragraphs>26</ap:Paragraphs>
  <ap:ScaleCrop>false</ap:ScaleCrop>
  <ap:LinksUpToDate>false</ap:LinksUpToDate>
  <ap:CharactersWithSpaces>13080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2025-04-23T09:34:00.0000000Z</dcterms:created>
  <dcterms:modified xsi:type="dcterms:W3CDTF">2025-04-23T09:34:00.0000000Z</dcterms:modified>
  <dc:description>------------------------</dc:description>
  <dc:subject/>
  <keywords/>
  <version/>
  <category/>
</coreProperties>
</file>