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2025Z08157</w:t>
        <w:br/>
      </w:r>
      <w:proofErr w:type="spellEnd"/>
    </w:p>
    <w:p>
      <w:pPr>
        <w:pStyle w:val="Normal"/>
        <w:rPr>
          <w:b w:val="1"/>
          <w:bCs w:val="1"/>
        </w:rPr>
      </w:pPr>
      <w:r w:rsidR="250AE766">
        <w:rPr>
          <w:b w:val="0"/>
          <w:bCs w:val="0"/>
        </w:rPr>
        <w:t>(ingezonden 23 april 2025)</w:t>
        <w:br/>
      </w:r>
    </w:p>
    <w:p>
      <w:r>
        <w:t xml:space="preserve">Vragen van Diederik van Dijk en Flach (beiden SGP) aan de ministers van Justitie en Veiligheid en van Binnenlandse Zaken en Koninkrijksrelaties over het bericht ‘Hoe wij bij een CvI-lezing werden belaagd en geïntimideerd door demonstranten’</w:t>
      </w:r>
      <w:r>
        <w:br/>
      </w:r>
    </w:p>
    <w:p>
      <w:pPr>
        <w:pStyle w:val="ListParagraph"/>
        <w:numPr>
          <w:ilvl w:val="0"/>
          <w:numId w:val="100476410"/>
        </w:numPr>
        <w:ind w:left="360"/>
      </w:pPr>
      <w:r>
        <w:t>Bent u bekend met het bericht ‘Hoe wij bij een CvI-lezing werden belaagd en geïntimideerd door demonstranten’? 1)</w:t>
      </w:r>
      <w:r>
        <w:br/>
      </w:r>
    </w:p>
    <w:p>
      <w:pPr>
        <w:pStyle w:val="ListParagraph"/>
        <w:numPr>
          <w:ilvl w:val="0"/>
          <w:numId w:val="100476410"/>
        </w:numPr>
        <w:ind w:left="360"/>
      </w:pPr>
      <w:r>
        <w:t>Wat is uw reactie hierop?</w:t>
      </w:r>
      <w:r>
        <w:br/>
      </w:r>
    </w:p>
    <w:p>
      <w:pPr>
        <w:pStyle w:val="ListParagraph"/>
        <w:numPr>
          <w:ilvl w:val="0"/>
          <w:numId w:val="100476410"/>
        </w:numPr>
        <w:ind w:left="360"/>
      </w:pPr>
      <w:r>
        <w:t>Bent u het ermee eens dat het demonstratierecht zich absoluut niet leent voor, en zelfs misbruikt wordt indien sprake is van, intimidatie, bedreiging en vernieling van eigendommen?</w:t>
      </w:r>
      <w:r>
        <w:br/>
      </w:r>
    </w:p>
    <w:p>
      <w:pPr>
        <w:pStyle w:val="ListParagraph"/>
        <w:numPr>
          <w:ilvl w:val="0"/>
          <w:numId w:val="100476410"/>
        </w:numPr>
        <w:ind w:left="360"/>
      </w:pPr>
      <w:r>
        <w:t>Deelt u de mening dat uit artikel 9 Grondwet voortvloeit dat het recht op betoging beschermd wordt behoudens ieders verantwoordelijkheid volgens de wet en derhalve ingegrepen moet worden zodra het strafrecht in het geding is?</w:t>
      </w:r>
      <w:r>
        <w:br/>
      </w:r>
    </w:p>
    <w:p>
      <w:pPr>
        <w:pStyle w:val="ListParagraph"/>
        <w:numPr>
          <w:ilvl w:val="0"/>
          <w:numId w:val="100476410"/>
        </w:numPr>
        <w:ind w:left="360"/>
      </w:pPr>
      <w:r>
        <w:t>Deelt u de zorg dat het demonstratierecht steeds vaker als dekmantel zal dienen teneinde strafrechtelijk gedrag te vertonen zonder dat hier strafrechtelijk tegen wordt opgetreden? Hoe gaat u dit verschijnsel tegen?</w:t>
      </w:r>
      <w:r>
        <w:br/>
      </w:r>
    </w:p>
    <w:p>
      <w:pPr>
        <w:pStyle w:val="ListParagraph"/>
        <w:numPr>
          <w:ilvl w:val="0"/>
          <w:numId w:val="100476410"/>
        </w:numPr>
        <w:ind w:left="360"/>
      </w:pPr>
      <w:r>
        <w:t>Kunt u zich rekenschap geven van het feit dat het recht op betoging en vereniging door hetzelfde Grondwetsartikel beschermd worden en derhalve dezelfde mate van bescherming verdienen? Kunt u aangeven hoe deze afweging heeft plaatsgevonden in bovengenoemde casus? Weegt hier de religieuze lading van de bijeenkomst nog mee, welke tevens door artikel 6 Grondwet beschermd wordt?</w:t>
      </w:r>
      <w:r>
        <w:br/>
      </w:r>
    </w:p>
    <w:p>
      <w:pPr>
        <w:pStyle w:val="ListParagraph"/>
        <w:numPr>
          <w:ilvl w:val="0"/>
          <w:numId w:val="100476410"/>
        </w:numPr>
        <w:ind w:left="360"/>
      </w:pPr>
      <w:r>
        <w:t>Klopt het dat indien tijdens een demonstratie schade aan eigendommen ontstaat of sprake is van intimidatie slechts achteraf kan worden opgetreden, zelfs indien de Politie bij de demonstratie aanwezig is?</w:t>
      </w:r>
      <w:r>
        <w:br/>
      </w:r>
    </w:p>
    <w:p>
      <w:pPr>
        <w:pStyle w:val="ListParagraph"/>
        <w:numPr>
          <w:ilvl w:val="0"/>
          <w:numId w:val="100476410"/>
        </w:numPr>
        <w:ind w:left="360"/>
      </w:pPr>
      <w:r>
        <w:t>Bent u bereid er bij lokale bestuurders en het Openbaar Ministerie op aan te dringen dat strafbaar gedrag tijdens demonstraties als zodanig bestempeld wordt en indien nodig de Wet Openbare Manifestaties zo aan te passen dat strafbaar gedrag niet goedgekeurd wordt vanwege het enkele feit dat het door de organisator als demonstratie bestempeld wordt?</w:t>
      </w:r>
      <w:r>
        <w:br/>
      </w:r>
    </w:p>
    <w:p>
      <w:r>
        <w:t xml:space="preserve"> </w:t>
      </w:r>
      <w:r>
        <w:br/>
      </w:r>
    </w:p>
    <w:p>
      <w:r>
        <w:t xml:space="preserve"> </w:t>
      </w:r>
      <w:r>
        <w:br/>
      </w:r>
    </w:p>
    <w:p>
      <w:r>
        <w:t xml:space="preserve">1) Cvandaag, 22 april 2025, ‘Hoe wij bij een CvI-lezing werden belaagd en geïntimideerd door demonstranten’ (https://cvandaag.nl/105570-hoe-wij-bij-een-cvi-lezing-werden-belaagd-en-gentimideerd-door-demonstranten/aHVpU0tiTGNwdU1OOVVINFVMY1FxcWpVa1d3N3hmM3FMS3MycFlXUi9vT2F1d3FXNVhndlluND0).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360">
    <w:abstractNumId w:val="100476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