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7329" w:rsidR="004A4D24" w:rsidRDefault="005F2630" w14:paraId="2C04CFD3" w14:textId="77777777">
      <w:pPr>
        <w:pStyle w:val="StandaardAanhef"/>
      </w:pPr>
      <w:r w:rsidRPr="007B7329">
        <w:t>Geachte voorzitter,</w:t>
      </w:r>
    </w:p>
    <w:p w:rsidR="00980B67" w:rsidRDefault="009D0291" w14:paraId="4FA594A3" w14:textId="77777777">
      <w:pPr>
        <w:pStyle w:val="StandaardSlotzin"/>
      </w:pPr>
      <w:r w:rsidRPr="007B7329">
        <w:t xml:space="preserve">Met deze brief informeer ik uw Kamer over </w:t>
      </w:r>
      <w:r w:rsidR="00B7063C">
        <w:t xml:space="preserve">de </w:t>
      </w:r>
      <w:r w:rsidRPr="007B7329">
        <w:t>besluit</w:t>
      </w:r>
      <w:r w:rsidR="00DA6105">
        <w:t>en</w:t>
      </w:r>
      <w:r w:rsidRPr="007B7329">
        <w:t xml:space="preserve"> </w:t>
      </w:r>
      <w:r w:rsidR="00DA6105">
        <w:t xml:space="preserve">op </w:t>
      </w:r>
      <w:r w:rsidRPr="007B7329" w:rsidR="00F5631E">
        <w:t>een tweetal</w:t>
      </w:r>
      <w:r w:rsidRPr="007B7329">
        <w:t xml:space="preserve"> Woo-verzoek</w:t>
      </w:r>
      <w:r w:rsidRPr="007B7329" w:rsidR="00374CA6">
        <w:t>en</w:t>
      </w:r>
      <w:r w:rsidR="00980B67">
        <w:t xml:space="preserve">. </w:t>
      </w:r>
      <w:r w:rsidRPr="007B7329" w:rsidR="00980B67">
        <w:t xml:space="preserve">In het najaar van 2024 verschenen verschillende berichten in de media over situaties waarbij door een samenwerkingsverband wordt geïnvesteerd in een bedrijfsmiddel dat in aanmerking komt voor de EIA of de MIA en de Vamil </w:t>
      </w:r>
      <w:r w:rsidR="00980B67">
        <w:t xml:space="preserve">en </w:t>
      </w:r>
      <w:r w:rsidRPr="007B7329" w:rsidR="00980B67">
        <w:t xml:space="preserve">dat vervolgens wordt verhuurd aan een andere onderneming. Deze situaties werden ook in verband gebracht met voormalig </w:t>
      </w:r>
      <w:r w:rsidRPr="00230D70" w:rsidR="00980B67">
        <w:t>staatssecretaris Fiscaliteit en Belastingdienst</w:t>
      </w:r>
      <w:r w:rsidR="00980B67">
        <w:t xml:space="preserve"> </w:t>
      </w:r>
      <w:r w:rsidRPr="007B7329" w:rsidR="00980B67">
        <w:t xml:space="preserve">Idsinga. Naar aanleiding van deze berichten zijn Kamervragen gesteld. </w:t>
      </w:r>
      <w:r w:rsidR="00980B67">
        <w:t>Gedurende</w:t>
      </w:r>
      <w:r w:rsidRPr="007B7329" w:rsidR="00980B67">
        <w:t xml:space="preserve"> de parlementaire behandeling van het Belastingplan 2025 </w:t>
      </w:r>
      <w:r w:rsidR="00980B67">
        <w:t xml:space="preserve">was hier eveneens aandacht voor en zijn er </w:t>
      </w:r>
      <w:r w:rsidRPr="007B7329" w:rsidR="00980B67">
        <w:t xml:space="preserve">verschillende aanpassingen in de </w:t>
      </w:r>
      <w:r w:rsidR="00980B67">
        <w:t>EIA, MIA en Vamil</w:t>
      </w:r>
      <w:r w:rsidRPr="007B7329" w:rsidR="00980B67">
        <w:t xml:space="preserve"> aan de orde geweest en deels doorgevoerd.</w:t>
      </w:r>
      <w:bookmarkStart w:name="_Hlk195622052" w:id="0"/>
      <w:r w:rsidRPr="007B7329" w:rsidR="00980B67">
        <w:t xml:space="preserve"> Aangezien </w:t>
      </w:r>
      <w:r w:rsidR="00980B67">
        <w:t>de</w:t>
      </w:r>
      <w:r w:rsidRPr="007B7329" w:rsidR="00980B67">
        <w:t xml:space="preserve"> Woo-besluit</w:t>
      </w:r>
      <w:r w:rsidR="00980B67">
        <w:t>en</w:t>
      </w:r>
      <w:r w:rsidRPr="007B7329" w:rsidR="00980B67">
        <w:t xml:space="preserve"> </w:t>
      </w:r>
      <w:r w:rsidR="00980B67">
        <w:t xml:space="preserve">betrekking hebben </w:t>
      </w:r>
      <w:r w:rsidRPr="007B7329" w:rsidR="00980B67">
        <w:t xml:space="preserve">op de periode tot </w:t>
      </w:r>
      <w:r w:rsidR="00980B67">
        <w:t xml:space="preserve">en met </w:t>
      </w:r>
      <w:r w:rsidRPr="007B7329" w:rsidR="00980B67">
        <w:t>13 november 202</w:t>
      </w:r>
      <w:r w:rsidR="00980B67">
        <w:t>4</w:t>
      </w:r>
      <w:r w:rsidRPr="007B7329" w:rsidR="00980B67">
        <w:t xml:space="preserve"> en daarmee niet de volledige periode </w:t>
      </w:r>
      <w:r w:rsidR="00980B67">
        <w:t xml:space="preserve">eind vorig jaar </w:t>
      </w:r>
      <w:r w:rsidRPr="007B7329" w:rsidR="00980B67">
        <w:t>omvat</w:t>
      </w:r>
      <w:r w:rsidR="00980B67">
        <w:t>ten</w:t>
      </w:r>
      <w:r w:rsidRPr="007B7329" w:rsidR="00980B67">
        <w:t xml:space="preserve"> waarin aandacht is geweest voor dit onderwerp, hecht ik eraan met deze brief een </w:t>
      </w:r>
      <w:r w:rsidR="00980B67">
        <w:t>completer</w:t>
      </w:r>
      <w:r w:rsidRPr="007B7329" w:rsidR="00980B67">
        <w:t xml:space="preserve"> beeld te schetsen. </w:t>
      </w:r>
      <w:bookmarkEnd w:id="0"/>
      <w:r w:rsidR="00980B67">
        <w:t>De</w:t>
      </w:r>
      <w:r w:rsidRPr="007B7329" w:rsidR="00980B67">
        <w:t xml:space="preserve"> besluit</w:t>
      </w:r>
      <w:r w:rsidR="00980B67">
        <w:t>en op</w:t>
      </w:r>
      <w:r w:rsidRPr="007B7329" w:rsidR="00980B67">
        <w:t xml:space="preserve"> </w:t>
      </w:r>
      <w:r w:rsidR="00980B67">
        <w:t xml:space="preserve">beide </w:t>
      </w:r>
      <w:r w:rsidRPr="007B7329" w:rsidR="00980B67">
        <w:t>Woo-verzoek</w:t>
      </w:r>
      <w:r w:rsidR="00980B67">
        <w:t>en worden gepubliceerd op de website van de rijksoverheid</w:t>
      </w:r>
      <w:r w:rsidRPr="007B7329" w:rsidR="00980B67">
        <w:t>.</w:t>
      </w:r>
      <w:r w:rsidR="00980B67">
        <w:t xml:space="preserve"> Op een van beide Woo-verzoeken volgt nog een tweede deelbesluit.</w:t>
      </w:r>
    </w:p>
    <w:p w:rsidRPr="007B7329" w:rsidR="00807BBD" w:rsidRDefault="00980B67" w14:paraId="1E4419E4" w14:textId="77777777">
      <w:pPr>
        <w:pStyle w:val="StandaardSlotzin"/>
      </w:pPr>
      <w:r>
        <w:t>De Woo-verzoeken zien op</w:t>
      </w:r>
      <w:r w:rsidRPr="007B7329" w:rsidR="009D0291">
        <w:t xml:space="preserve"> zogenoemde ‘grondslagleenconstructies’ met de </w:t>
      </w:r>
      <w:r w:rsidRPr="007B7329" w:rsidR="000C6F13">
        <w:t>e</w:t>
      </w:r>
      <w:r w:rsidRPr="007B7329" w:rsidR="009D0291">
        <w:t xml:space="preserve">nergie-investeringsaftrek (EIA), de </w:t>
      </w:r>
      <w:r w:rsidRPr="007B7329" w:rsidR="000C6F13">
        <w:t>m</w:t>
      </w:r>
      <w:r w:rsidRPr="007B7329" w:rsidR="009D0291">
        <w:t>ilieu-investeringsaftrek</w:t>
      </w:r>
      <w:r w:rsidRPr="007B7329" w:rsidR="000C6F13">
        <w:t xml:space="preserve"> (MIA)</w:t>
      </w:r>
      <w:r w:rsidRPr="007B7329" w:rsidR="009D0291">
        <w:t xml:space="preserve"> en de </w:t>
      </w:r>
      <w:r w:rsidRPr="007B7329" w:rsidR="000C6F13">
        <w:t>w</w:t>
      </w:r>
      <w:r w:rsidRPr="007B7329" w:rsidR="009D0291">
        <w:t>illekeurige afschrijving milieubedrijfsmiddelen (Vamil).</w:t>
      </w:r>
      <w:r w:rsidRPr="007B7329" w:rsidR="00655805">
        <w:t xml:space="preserve"> </w:t>
      </w:r>
      <w:r w:rsidRPr="00E85CD6" w:rsidR="00E85CD6">
        <w:t xml:space="preserve">Onder het begrip </w:t>
      </w:r>
      <w:r w:rsidR="00B7063C">
        <w:t xml:space="preserve">grondslagleenconstructies </w:t>
      </w:r>
      <w:r w:rsidRPr="00E85CD6" w:rsidR="00E85CD6">
        <w:t xml:space="preserve">kan </w:t>
      </w:r>
      <w:r w:rsidR="00E85CD6">
        <w:t>in dit kader worden</w:t>
      </w:r>
      <w:r w:rsidRPr="00E85CD6" w:rsidR="00E85CD6">
        <w:t xml:space="preserve"> verstaan: situaties </w:t>
      </w:r>
      <w:r w:rsidR="00B7063C">
        <w:t>waarin</w:t>
      </w:r>
      <w:r w:rsidRPr="00E85CD6" w:rsidR="00B7063C">
        <w:t xml:space="preserve"> </w:t>
      </w:r>
      <w:r w:rsidRPr="00E85CD6" w:rsidR="00E85CD6">
        <w:t>ondernemingen die in aanmerking komen voor de EIA en MIA maar deze niet volledig kunnen verzilveren</w:t>
      </w:r>
      <w:r>
        <w:t xml:space="preserve"> – </w:t>
      </w:r>
      <w:r w:rsidRPr="00E85CD6" w:rsidR="00E85CD6">
        <w:t>omdat zij geen of beperkt winst maken</w:t>
      </w:r>
      <w:r>
        <w:t xml:space="preserve"> –</w:t>
      </w:r>
      <w:r w:rsidRPr="00E85CD6" w:rsidR="00E85CD6">
        <w:t xml:space="preserve"> het recht op aftrek van </w:t>
      </w:r>
      <w:r w:rsidR="00004734">
        <w:t xml:space="preserve">de </w:t>
      </w:r>
      <w:r w:rsidRPr="00E85CD6" w:rsidR="00E85CD6">
        <w:t xml:space="preserve">EIA </w:t>
      </w:r>
      <w:r w:rsidR="00E85CD6">
        <w:t>of</w:t>
      </w:r>
      <w:r w:rsidRPr="00E85CD6" w:rsidR="00E85CD6">
        <w:t xml:space="preserve"> MIA “delen” met </w:t>
      </w:r>
      <w:r w:rsidR="00B7063C">
        <w:t xml:space="preserve">een </w:t>
      </w:r>
      <w:r w:rsidRPr="00E85CD6" w:rsidR="00E85CD6">
        <w:t>andere partij</w:t>
      </w:r>
      <w:r w:rsidR="00B7063C">
        <w:t>. Waarbij die andere partij</w:t>
      </w:r>
      <w:r w:rsidRPr="00E85CD6" w:rsidR="00E85CD6">
        <w:t xml:space="preserve"> wel baat </w:t>
      </w:r>
      <w:r w:rsidR="00B7063C">
        <w:t>heeft</w:t>
      </w:r>
      <w:r w:rsidRPr="00E85CD6" w:rsidR="00B7063C">
        <w:t xml:space="preserve"> </w:t>
      </w:r>
      <w:r w:rsidRPr="00E85CD6" w:rsidR="00E85CD6">
        <w:t>bij de aftrek.</w:t>
      </w:r>
      <w:r w:rsidR="00E85CD6">
        <w:rPr>
          <w:rStyle w:val="Voetnootmarkering"/>
        </w:rPr>
        <w:footnoteReference w:id="1"/>
      </w:r>
    </w:p>
    <w:p w:rsidRPr="007B7329" w:rsidR="005143CC" w:rsidP="005143CC" w:rsidRDefault="005143CC" w14:paraId="35A21027" w14:textId="77777777"/>
    <w:p w:rsidRPr="007B7329" w:rsidR="008F78E4" w:rsidP="00997479" w:rsidRDefault="00807BBD" w14:paraId="25527738" w14:textId="77777777">
      <w:pPr>
        <w:rPr>
          <w:b/>
          <w:bCs/>
        </w:rPr>
      </w:pPr>
      <w:r w:rsidRPr="007B7329">
        <w:rPr>
          <w:b/>
          <w:bCs/>
        </w:rPr>
        <w:t xml:space="preserve">Informatie </w:t>
      </w:r>
      <w:r w:rsidRPr="007B7329" w:rsidR="004F4ED2">
        <w:rPr>
          <w:b/>
          <w:bCs/>
        </w:rPr>
        <w:t xml:space="preserve">die </w:t>
      </w:r>
      <w:r w:rsidRPr="007B7329" w:rsidR="00513A46">
        <w:rPr>
          <w:b/>
          <w:bCs/>
        </w:rPr>
        <w:t>openbaar wordt</w:t>
      </w:r>
      <w:r w:rsidRPr="007B7329" w:rsidR="004F4ED2">
        <w:rPr>
          <w:b/>
          <w:bCs/>
        </w:rPr>
        <w:t xml:space="preserve"> met</w:t>
      </w:r>
      <w:r w:rsidRPr="007B7329">
        <w:rPr>
          <w:b/>
          <w:bCs/>
        </w:rPr>
        <w:t xml:space="preserve"> </w:t>
      </w:r>
      <w:r w:rsidR="00213101">
        <w:rPr>
          <w:b/>
          <w:bCs/>
        </w:rPr>
        <w:t>de</w:t>
      </w:r>
      <w:r w:rsidRPr="007B7329" w:rsidR="00213101">
        <w:rPr>
          <w:b/>
          <w:bCs/>
        </w:rPr>
        <w:t xml:space="preserve"> </w:t>
      </w:r>
      <w:r w:rsidRPr="007B7329">
        <w:rPr>
          <w:b/>
          <w:bCs/>
        </w:rPr>
        <w:t>W</w:t>
      </w:r>
      <w:r w:rsidRPr="007B7329" w:rsidR="004F4ED2">
        <w:rPr>
          <w:b/>
          <w:bCs/>
        </w:rPr>
        <w:t>oo</w:t>
      </w:r>
      <w:r w:rsidRPr="007B7329">
        <w:rPr>
          <w:b/>
          <w:bCs/>
        </w:rPr>
        <w:t>-besluit</w:t>
      </w:r>
      <w:r w:rsidR="00213101">
        <w:rPr>
          <w:b/>
          <w:bCs/>
        </w:rPr>
        <w:t>en</w:t>
      </w:r>
    </w:p>
    <w:p w:rsidRPr="007B7329" w:rsidR="00137077" w:rsidP="00513A46" w:rsidRDefault="00513A46" w14:paraId="67B46B05" w14:textId="77777777">
      <w:bookmarkStart w:name="_Hlk195686977" w:id="2"/>
      <w:r w:rsidRPr="007B7329">
        <w:t>D</w:t>
      </w:r>
      <w:r w:rsidRPr="007B7329" w:rsidR="00137077">
        <w:t>e openbaar gemaakte stukken</w:t>
      </w:r>
      <w:r w:rsidRPr="007B7329" w:rsidR="004F4ED2">
        <w:t xml:space="preserve"> </w:t>
      </w:r>
      <w:r w:rsidR="00B91201">
        <w:t>betreffen</w:t>
      </w:r>
      <w:r w:rsidRPr="007B7329" w:rsidR="00B91201">
        <w:t xml:space="preserve"> </w:t>
      </w:r>
      <w:r w:rsidRPr="007B7329">
        <w:t xml:space="preserve">deels de interne ambtelijke informatievoorziening over de werking van de </w:t>
      </w:r>
      <w:r w:rsidR="00101D85">
        <w:t>structuren die op verschillende momenten aan de orde waren</w:t>
      </w:r>
      <w:r w:rsidRPr="007B7329">
        <w:t xml:space="preserve">. Naast beschrijvingen over hoe de structuren werken, </w:t>
      </w:r>
      <w:r w:rsidRPr="007B7329" w:rsidR="00997479">
        <w:t xml:space="preserve">zijn </w:t>
      </w:r>
      <w:r w:rsidRPr="007B7329">
        <w:t xml:space="preserve">ook </w:t>
      </w:r>
      <w:r w:rsidRPr="007B7329" w:rsidR="00997479">
        <w:t>intern</w:t>
      </w:r>
      <w:r w:rsidRPr="007B7329" w:rsidR="00137077">
        <w:t xml:space="preserve"> verschillende (niet altijd concreet uitgewerkte) ideeën genoemd om de regelingen aan te passen.</w:t>
      </w:r>
      <w:r w:rsidRPr="007B7329">
        <w:t xml:space="preserve"> Ook komt naar voren dat </w:t>
      </w:r>
      <w:r w:rsidRPr="007B7329" w:rsidR="00003CA3">
        <w:t>ambtenaren</w:t>
      </w:r>
      <w:r w:rsidRPr="007B7329">
        <w:t xml:space="preserve"> </w:t>
      </w:r>
      <w:r w:rsidRPr="007B7329">
        <w:lastRenderedPageBreak/>
        <w:t xml:space="preserve">zich kritisch hebben uitgelaten over de </w:t>
      </w:r>
      <w:r w:rsidRPr="007B7329" w:rsidR="00003CA3">
        <w:t>in de media omschreven situaties</w:t>
      </w:r>
      <w:r w:rsidRPr="007B7329">
        <w:t xml:space="preserve">. </w:t>
      </w:r>
      <w:r w:rsidRPr="007B7329" w:rsidR="00137077">
        <w:t xml:space="preserve">Verder wordt een aantal stukken openbaar gemaakt dat ten grondslag lag aan een tweetal </w:t>
      </w:r>
      <w:r w:rsidR="00A87E78">
        <w:t>K</w:t>
      </w:r>
      <w:r w:rsidRPr="007B7329" w:rsidR="00137077">
        <w:t>amerbrieven uit 2014 en 2015</w:t>
      </w:r>
      <w:r w:rsidRPr="007B7329" w:rsidR="00003CA3">
        <w:t>.</w:t>
      </w:r>
      <w:r w:rsidRPr="007B7329" w:rsidR="00137077">
        <w:rPr>
          <w:rStyle w:val="Voetnootmarkering"/>
        </w:rPr>
        <w:footnoteReference w:id="2"/>
      </w:r>
      <w:r w:rsidRPr="007B7329" w:rsidR="00137077">
        <w:t xml:space="preserve"> </w:t>
      </w:r>
    </w:p>
    <w:bookmarkEnd w:id="2"/>
    <w:p w:rsidRPr="007B7329" w:rsidR="004064F0" w:rsidP="00977342" w:rsidRDefault="004064F0" w14:paraId="0F7A8A31" w14:textId="77777777"/>
    <w:p w:rsidRPr="007B7329" w:rsidR="004064F0" w:rsidP="004064F0" w:rsidRDefault="005F254B" w14:paraId="6B143870" w14:textId="77777777">
      <w:pPr>
        <w:rPr>
          <w:b/>
          <w:bCs/>
        </w:rPr>
      </w:pPr>
      <w:r w:rsidRPr="007B7329">
        <w:rPr>
          <w:b/>
          <w:bCs/>
        </w:rPr>
        <w:t>Aandacht voor EIA, MIA en Vamil rondom Belastingplan 2025</w:t>
      </w:r>
    </w:p>
    <w:p w:rsidRPr="007B7329" w:rsidR="004064F0" w:rsidP="004064F0" w:rsidRDefault="004064F0" w14:paraId="01C61B33" w14:textId="77777777">
      <w:r w:rsidRPr="007B7329">
        <w:t>R</w:t>
      </w:r>
      <w:r w:rsidRPr="007B7329" w:rsidR="005F254B">
        <w:t xml:space="preserve">ondom de behandeling van het Belastingplan 2025 is er naar aanleiding van de hiervoor genoemde berichtgeving in de media </w:t>
      </w:r>
      <w:r w:rsidR="001078EE">
        <w:t>in</w:t>
      </w:r>
      <w:r w:rsidRPr="007B7329" w:rsidR="001078EE">
        <w:t xml:space="preserve"> </w:t>
      </w:r>
      <w:r w:rsidRPr="007B7329" w:rsidR="005F254B">
        <w:t xml:space="preserve">uw Kamer aandacht geweest voor </w:t>
      </w:r>
      <w:r w:rsidR="000E09E8">
        <w:t xml:space="preserve">specifieke situaties waarin </w:t>
      </w:r>
      <w:r w:rsidRPr="007B7329" w:rsidR="005F254B">
        <w:t xml:space="preserve">de EIA, MIA en Vamil </w:t>
      </w:r>
      <w:r w:rsidR="000E09E8">
        <w:t xml:space="preserve">werden gebruikt </w:t>
      </w:r>
      <w:r w:rsidRPr="007B7329" w:rsidR="005F254B">
        <w:t xml:space="preserve">door samenwerkingsverbanden. De leden </w:t>
      </w:r>
      <w:r w:rsidRPr="007B7329" w:rsidR="00513A46">
        <w:t>Maâtoug</w:t>
      </w:r>
      <w:r w:rsidRPr="007B7329" w:rsidR="005F254B">
        <w:t xml:space="preserve"> en Stultiens hebben </w:t>
      </w:r>
      <w:r w:rsidR="00B7063C">
        <w:t xml:space="preserve">hierover </w:t>
      </w:r>
      <w:r w:rsidRPr="007B7329" w:rsidR="005F254B">
        <w:t>schriftelijke vragen gesteld</w:t>
      </w:r>
      <w:r w:rsidR="00B7063C">
        <w:t>. V</w:t>
      </w:r>
      <w:r w:rsidRPr="007B7329" w:rsidR="00B7063C">
        <w:t xml:space="preserve">ooruitlopend </w:t>
      </w:r>
      <w:r w:rsidRPr="007B7329" w:rsidR="005F254B">
        <w:t>op de beantwoordin</w:t>
      </w:r>
      <w:r w:rsidRPr="00950892" w:rsidR="005F254B">
        <w:t xml:space="preserve">g van deze vragen is de minister voorafgaand aan de plenaire behandeling van het </w:t>
      </w:r>
      <w:r w:rsidRPr="007B7329" w:rsidR="005F254B">
        <w:t xml:space="preserve">Belastingplan 2025 reeds schriftelijk ingegaan op een deel van deze vragen. </w:t>
      </w:r>
      <w:r w:rsidRPr="007B7329" w:rsidR="00146AB2">
        <w:t xml:space="preserve">In december is de volledige set schriftelijke vragen beantwoord. </w:t>
      </w:r>
      <w:r w:rsidRPr="007B7329" w:rsidR="005F254B">
        <w:t xml:space="preserve">Hieronder </w:t>
      </w:r>
      <w:r w:rsidRPr="007B7329" w:rsidR="00146AB2">
        <w:t>vat</w:t>
      </w:r>
      <w:r w:rsidRPr="007B7329" w:rsidR="005F254B">
        <w:t xml:space="preserve"> ik </w:t>
      </w:r>
      <w:r w:rsidRPr="007B7329" w:rsidR="00146AB2">
        <w:t>de aspecten van de EIA, MIA en Vamil waar de aandacht eind vorig jaar voornamelijk naar uitging samen</w:t>
      </w:r>
      <w:r w:rsidRPr="007B7329" w:rsidR="005F254B">
        <w:t>.</w:t>
      </w:r>
      <w:r w:rsidRPr="007B7329" w:rsidR="00513A46">
        <w:t xml:space="preserve"> Ik sluit deze brief af met een overzicht van de (voorgestelde) aanpassingen in de relevante regelgeving. </w:t>
      </w:r>
      <w:r w:rsidRPr="007B7329" w:rsidR="005F254B">
        <w:t xml:space="preserve">Voor een uitgebreide weergave van de werking van (met name) de EIA en de MIA, en de bewuste situaties verwijs ik graag naar </w:t>
      </w:r>
      <w:r w:rsidR="00980B67">
        <w:t xml:space="preserve">de </w:t>
      </w:r>
      <w:r w:rsidRPr="007B7329" w:rsidR="005F254B">
        <w:t>eerdere stukken.</w:t>
      </w:r>
      <w:r w:rsidR="00950892">
        <w:rPr>
          <w:rStyle w:val="Voetnootmarkering"/>
        </w:rPr>
        <w:footnoteReference w:id="3"/>
      </w:r>
      <w:r w:rsidRPr="007B7329" w:rsidDel="00950892" w:rsidR="00950892">
        <w:rPr>
          <w:rStyle w:val="Voetnootmarkering"/>
        </w:rPr>
        <w:t xml:space="preserve"> </w:t>
      </w:r>
    </w:p>
    <w:p w:rsidRPr="007B7329" w:rsidR="004064F0" w:rsidP="004064F0" w:rsidRDefault="004064F0" w14:paraId="280E2668" w14:textId="77777777">
      <w:pPr>
        <w:rPr>
          <w:b/>
          <w:bCs/>
        </w:rPr>
      </w:pPr>
    </w:p>
    <w:p w:rsidRPr="007B7329" w:rsidR="005841E8" w:rsidP="004064F0" w:rsidRDefault="00807BBD" w14:paraId="41E42413" w14:textId="77777777">
      <w:pPr>
        <w:rPr>
          <w:b/>
          <w:bCs/>
        </w:rPr>
      </w:pPr>
      <w:r w:rsidRPr="007B7329">
        <w:rPr>
          <w:b/>
          <w:bCs/>
        </w:rPr>
        <w:t>Toelich</w:t>
      </w:r>
      <w:r w:rsidRPr="007B7329" w:rsidR="004F4ED2">
        <w:rPr>
          <w:b/>
          <w:bCs/>
        </w:rPr>
        <w:t>ti</w:t>
      </w:r>
      <w:r w:rsidRPr="007B7329">
        <w:rPr>
          <w:b/>
          <w:bCs/>
        </w:rPr>
        <w:t xml:space="preserve">ng </w:t>
      </w:r>
      <w:r w:rsidRPr="007B7329" w:rsidR="005143CC">
        <w:rPr>
          <w:b/>
          <w:bCs/>
        </w:rPr>
        <w:t xml:space="preserve">EIA, MIA en Vamil </w:t>
      </w:r>
    </w:p>
    <w:p w:rsidRPr="007B7329" w:rsidR="005841E8" w:rsidP="004064F0" w:rsidRDefault="005841E8" w14:paraId="6848B189" w14:textId="77777777">
      <w:pPr>
        <w:rPr>
          <w:b/>
          <w:bCs/>
        </w:rPr>
      </w:pPr>
    </w:p>
    <w:p w:rsidRPr="007B7329" w:rsidR="005143CC" w:rsidP="00977342" w:rsidRDefault="005841E8" w14:paraId="47CFBD4B" w14:textId="77777777">
      <w:pPr>
        <w:rPr>
          <w:i/>
          <w:iCs/>
        </w:rPr>
      </w:pPr>
      <w:r w:rsidRPr="007B7329">
        <w:rPr>
          <w:i/>
          <w:iCs/>
        </w:rPr>
        <w:t>A</w:t>
      </w:r>
      <w:r w:rsidRPr="007B7329" w:rsidR="005143CC">
        <w:rPr>
          <w:i/>
          <w:iCs/>
        </w:rPr>
        <w:t>lgemeen</w:t>
      </w:r>
    </w:p>
    <w:p w:rsidRPr="007B7329" w:rsidR="005143CC" w:rsidP="009D0291" w:rsidRDefault="005143CC" w14:paraId="079DCF00" w14:textId="77777777">
      <w:pPr>
        <w:rPr>
          <w:b/>
          <w:bCs/>
        </w:rPr>
      </w:pPr>
      <w:r w:rsidRPr="007B7329">
        <w:t xml:space="preserve">De EIA, MIA en Vamil zijn generieke regelingen die in beginsel </w:t>
      </w:r>
      <w:r w:rsidRPr="007B7329" w:rsidR="005E7E53">
        <w:t xml:space="preserve">openstaan </w:t>
      </w:r>
      <w:r w:rsidRPr="007B7329">
        <w:t>voor iedere ondernemer in de inkomstenbelasting en iedere vennootschapsbelastingplichtige. Het doel van de regelingen is het stimuleren van investeringen in aangewezen energiebesparende en milieuvriendelijke bedrijfsmiddelen. De EIA en MIA hebben het karakter van een eenmalige aanvullende aftrekpost.</w:t>
      </w:r>
      <w:r w:rsidRPr="007B7329">
        <w:rPr>
          <w:vertAlign w:val="superscript"/>
        </w:rPr>
        <w:footnoteReference w:id="4"/>
      </w:r>
      <w:r w:rsidRPr="007B7329">
        <w:t xml:space="preserve"> De Vamil biedt de mogelijkheid om voor 75% naar vrije keuze af te schrijven op een bedrijfsmiddel (sneller of langzamer). Dit kan leiden tot een liquiditeitsvoordeel voor de ondernemer ten opzichte van de reguliere afschrijvingsregels.</w:t>
      </w:r>
      <w:r w:rsidRPr="007B7329" w:rsidDel="001E5FE6">
        <w:t xml:space="preserve"> </w:t>
      </w:r>
      <w:r w:rsidRPr="007B7329">
        <w:t>Door toepassing van de Vamil gaat dus geen belastinggrondslag verloren. Samenloop tussen de EIA en MIA is wettelijk uitgesloten.</w:t>
      </w:r>
      <w:r w:rsidRPr="007B7329" w:rsidR="00950892">
        <w:rPr>
          <w:vertAlign w:val="superscript"/>
        </w:rPr>
        <w:footnoteReference w:id="5"/>
      </w:r>
      <w:r w:rsidRPr="007B7329">
        <w:t xml:space="preserve"> Deze regelingen kunnen wel gelijktijdig met de Vamil worden toegepast, indien een bepaald bedrijfsmiddel voor zowel de EIA of de MIA als de Vamil kwalificeert. </w:t>
      </w:r>
    </w:p>
    <w:p w:rsidRPr="007B7329" w:rsidR="00D90007" w:rsidP="00D90007" w:rsidRDefault="00D90007" w14:paraId="4C1AE3EE" w14:textId="77777777"/>
    <w:p w:rsidRPr="007B7329" w:rsidR="005D3AD2" w:rsidP="00D90007" w:rsidRDefault="0032467E" w14:paraId="3EA6EC64" w14:textId="77777777">
      <w:pPr>
        <w:rPr>
          <w:i/>
          <w:iCs/>
        </w:rPr>
      </w:pPr>
      <w:r w:rsidRPr="007B7329">
        <w:rPr>
          <w:i/>
          <w:iCs/>
        </w:rPr>
        <w:t>IB-</w:t>
      </w:r>
      <w:r w:rsidRPr="007B7329" w:rsidR="005D3AD2">
        <w:rPr>
          <w:i/>
          <w:iCs/>
        </w:rPr>
        <w:t>Ondernemerschap</w:t>
      </w:r>
    </w:p>
    <w:p w:rsidRPr="007B7329" w:rsidR="00EE58C7" w:rsidP="0032467E" w:rsidRDefault="00EE58C7" w14:paraId="24C78462" w14:textId="77777777">
      <w:r w:rsidRPr="007B7329">
        <w:t>De vragen vanuit uw Kamer</w:t>
      </w:r>
      <w:r w:rsidRPr="007B7329" w:rsidR="003D6435">
        <w:t xml:space="preserve"> die</w:t>
      </w:r>
      <w:r w:rsidRPr="007B7329">
        <w:t xml:space="preserve"> eind vorig jaar</w:t>
      </w:r>
      <w:r w:rsidRPr="007B7329" w:rsidR="003D6435">
        <w:t xml:space="preserve"> zijn gesteld</w:t>
      </w:r>
      <w:r w:rsidRPr="007B7329">
        <w:t xml:space="preserve">, zagen op het gebruik van de EIA, MIA en Vamil door samenwerkingsverbanden. Het </w:t>
      </w:r>
      <w:r w:rsidR="00980B67">
        <w:t>ging</w:t>
      </w:r>
      <w:r w:rsidRPr="007B7329">
        <w:t xml:space="preserve"> daarbij om situaties waarbij door een samenwerkingsverband, zoals een maatschap, wordt geïnvesteerd in een bedrijfsmiddel dat in aanmerking komt voor de MIA en de Vamil en dat wordt verhuurd aan een andere onderneming. Om als participant/natuurlijk persoon in een dergelijk samenwerkingsverband gebruik te kunnen maken van de gelijktijdige toepassing van de MIA en de Vamil moet de participant aan te merken zijn als ondernemer voor de</w:t>
      </w:r>
      <w:r w:rsidRPr="007B7329" w:rsidR="004F4ED2">
        <w:t xml:space="preserve"> </w:t>
      </w:r>
      <w:r w:rsidRPr="007B7329">
        <w:t>inkomstenbelasting</w:t>
      </w:r>
      <w:r w:rsidR="00D6734D">
        <w:t>.</w:t>
      </w:r>
      <w:r w:rsidRPr="007B7329">
        <w:t xml:space="preserve"> </w:t>
      </w:r>
      <w:r w:rsidRPr="007B7329" w:rsidR="0032467E">
        <w:t>Niet elke participant in een samenwerkingsverband zal aan deze voorwaarden voldoen. Als sprake is van passief vermogensbeheer waarbij geen noemenswaardig (ondernemers)risico word</w:t>
      </w:r>
      <w:r w:rsidRPr="007B7329" w:rsidR="003D6435">
        <w:t>t</w:t>
      </w:r>
      <w:r w:rsidRPr="007B7329" w:rsidR="0032467E">
        <w:t xml:space="preserve"> gelopen, zoals bij het houden van effecten, is in de regel sprake van beleggen en dus niet van een onderneming. </w:t>
      </w:r>
      <w:r w:rsidRPr="007B7329" w:rsidR="007B7329">
        <w:lastRenderedPageBreak/>
        <w:t xml:space="preserve">Het relevante onderscheid in de inkomstenbelasting is dus of er al dan niet sprake is van kwalificerend ondernemerschap. </w:t>
      </w:r>
      <w:r w:rsidRPr="007B7329">
        <w:t>In een later jaar, wanneer het gebruik van de regelingen niet meer aan de orde is, kan het samenwerkingsverband worden omgezet in bijvoorbeeld</w:t>
      </w:r>
      <w:r w:rsidRPr="007B7329" w:rsidR="007B7329">
        <w:t xml:space="preserve"> een</w:t>
      </w:r>
      <w:r w:rsidRPr="007B7329">
        <w:t xml:space="preserve"> bv. Daarmee word</w:t>
      </w:r>
      <w:r w:rsidRPr="007B7329" w:rsidR="007B7329">
        <w:t>t het risico</w:t>
      </w:r>
      <w:r w:rsidRPr="007B7329">
        <w:t xml:space="preserve"> voor de natuurlijke persoon beperkt en (vanaf dat moment) </w:t>
      </w:r>
      <w:r w:rsidRPr="007B7329" w:rsidR="001078EE">
        <w:t xml:space="preserve">verlegd </w:t>
      </w:r>
      <w:r w:rsidRPr="007B7329">
        <w:t>naar het niveau van de bv</w:t>
      </w:r>
      <w:r w:rsidR="001078EE">
        <w:t>,</w:t>
      </w:r>
      <w:r w:rsidRPr="007B7329" w:rsidR="00605538">
        <w:t xml:space="preserve"> die vervolgens belastingplichtig wordt voor de vennootschapsbelasting</w:t>
      </w:r>
      <w:r w:rsidRPr="007B7329" w:rsidR="007B7329">
        <w:t>.</w:t>
      </w:r>
      <w:r w:rsidRPr="007B7329" w:rsidR="00605538">
        <w:t xml:space="preserve"> </w:t>
      </w:r>
    </w:p>
    <w:p w:rsidRPr="007B7329" w:rsidR="0032467E" w:rsidP="0032467E" w:rsidRDefault="0032467E" w14:paraId="152E6518" w14:textId="77777777"/>
    <w:p w:rsidRPr="007B7329" w:rsidR="0032467E" w:rsidP="0032467E" w:rsidRDefault="0032467E" w14:paraId="2FE8F3C1" w14:textId="77777777">
      <w:pPr>
        <w:rPr>
          <w:i/>
          <w:iCs/>
        </w:rPr>
      </w:pPr>
      <w:r w:rsidRPr="007B7329">
        <w:rPr>
          <w:i/>
          <w:iCs/>
        </w:rPr>
        <w:t>Verrekening EIA, MIA en Vamil met ander inkomen in box 1</w:t>
      </w:r>
    </w:p>
    <w:p w:rsidRPr="007B7329" w:rsidR="0032467E" w:rsidP="0032467E" w:rsidRDefault="0032467E" w14:paraId="16DC0922" w14:textId="77777777">
      <w:r w:rsidRPr="007B7329">
        <w:t>Mede afhankelijk van de winst en de omvang van de investering kan het toepassen van de EIA of MIA (al dan niet in combinatie met de Vamil) ertoe leiden dat de belastbare winst uit onderneming in een jaar negatief wordt. Een ondernemer voor de inkomstenbelasting kan dit negatieve bedrag uit belastbare winst verrekenen met eventueel overig belastbaar inkomen uit werk en woning in box 1, zoals belastbaar loon of belastbaar resultaat uit overige werkzaamheden. Dit volgt niet uit de regelingen zelf, maar uit de systematiek van de inkomstenbelasting.</w:t>
      </w:r>
    </w:p>
    <w:p w:rsidRPr="007B7329" w:rsidR="0032467E" w:rsidP="0032467E" w:rsidRDefault="0032467E" w14:paraId="125724E9" w14:textId="77777777"/>
    <w:p w:rsidRPr="007B7329" w:rsidR="001D517E" w:rsidP="001D517E" w:rsidRDefault="001D517E" w14:paraId="342FC407" w14:textId="77777777">
      <w:pPr>
        <w:rPr>
          <w:i/>
          <w:iCs/>
        </w:rPr>
      </w:pPr>
      <w:r w:rsidRPr="007B7329">
        <w:rPr>
          <w:i/>
          <w:iCs/>
        </w:rPr>
        <w:t>Omvang aftrekpost</w:t>
      </w:r>
    </w:p>
    <w:p w:rsidRPr="007B7329" w:rsidR="001D517E" w:rsidP="001D517E" w:rsidRDefault="001D517E" w14:paraId="27802207" w14:textId="77777777">
      <w:r w:rsidRPr="007B7329">
        <w:t>Onder omstandigheden kan de vermindering van belasting als gevolg van de EIA en de MIA (al dan niet in combinatie met snellere afschrijving onder de Vamil) in een jaar hoger zijn dan de investering van eigen geld. Dit is met name denkbaar naarmate een investering in een bedrijfsmiddel meer met schuld is gefinancierd en minder met eigen vermogen. Daarbij wordt opgemerkt dat de EIA en MIA aansluiten bij het investeringsbedrag. De wijze van financiering van een investering is derhalve niet relevant voor de hoogte van de aftrek op grond van de EIA of MIA. Voor zover een belastingplichtige een investering in een voor EIA of MIA kwalificerend bedrijfsmiddel financiert met schuld, zal hij ook een (rente)vergoeding moeten betalen en de schuld op termijn moet</w:t>
      </w:r>
      <w:r w:rsidR="003A1C43">
        <w:t>en</w:t>
      </w:r>
      <w:r w:rsidRPr="007B7329">
        <w:t xml:space="preserve"> aflossen. </w:t>
      </w:r>
    </w:p>
    <w:p w:rsidRPr="007B7329" w:rsidR="005D3AD2" w:rsidP="00D90007" w:rsidRDefault="005D3AD2" w14:paraId="79A62614" w14:textId="77777777"/>
    <w:p w:rsidRPr="007B7329" w:rsidR="00137077" w:rsidP="00D90007" w:rsidRDefault="002C1D24" w14:paraId="760FCEAA" w14:textId="77777777">
      <w:pPr>
        <w:rPr>
          <w:i/>
          <w:iCs/>
        </w:rPr>
      </w:pPr>
      <w:r>
        <w:rPr>
          <w:i/>
          <w:iCs/>
        </w:rPr>
        <w:t>Overwegingen</w:t>
      </w:r>
      <w:r w:rsidRPr="007B7329" w:rsidR="00137077">
        <w:rPr>
          <w:i/>
          <w:iCs/>
        </w:rPr>
        <w:t xml:space="preserve"> ten aanzien van eventuele aanpassing regelingen</w:t>
      </w:r>
    </w:p>
    <w:p w:rsidRPr="007B7329" w:rsidR="00D90007" w:rsidP="00D90007" w:rsidRDefault="00137077" w14:paraId="57784445" w14:textId="77777777">
      <w:r w:rsidRPr="007B7329">
        <w:t>Zoals hiervoor omschreven</w:t>
      </w:r>
      <w:r w:rsidR="00EB7936">
        <w:t>,</w:t>
      </w:r>
      <w:r w:rsidRPr="007B7329">
        <w:t xml:space="preserve"> is het </w:t>
      </w:r>
      <w:r w:rsidRPr="007B7329" w:rsidR="00D90007">
        <w:t xml:space="preserve">in beginsel mogelijk om de regelingen toe te passen op een investering door een onderneming in een samenwerkingsverband </w:t>
      </w:r>
      <w:r w:rsidR="003A1C43">
        <w:t>(</w:t>
      </w:r>
      <w:r w:rsidRPr="007B7329" w:rsidR="00693551">
        <w:t>ongeacht de wijze van financiering</w:t>
      </w:r>
      <w:r w:rsidR="003A1C43">
        <w:t>),</w:t>
      </w:r>
      <w:r w:rsidRPr="007B7329" w:rsidR="00D90007">
        <w:t xml:space="preserve"> of als een bedrijfsmiddel wordt verhuurd (uiteraard mits aan alle voorwaarden is voldaan). Ook dergelijke situaties kunnen een bijdrage leveren aan de doelstelling van de regelingen (energiebesparing respectievelijk verbetering van het milieu door stimulering van innovatieve bedrijfsmiddelen). Wetstechnisch is het mogelijk om het gebruik van de EIA en de MIA zoals </w:t>
      </w:r>
      <w:r w:rsidRPr="007B7329" w:rsidR="000C6F13">
        <w:t xml:space="preserve">aan de orde </w:t>
      </w:r>
      <w:r w:rsidRPr="007B7329" w:rsidR="00F968D8">
        <w:t>in</w:t>
      </w:r>
      <w:r w:rsidRPr="007B7329" w:rsidR="004C39B9">
        <w:t xml:space="preserve"> de eerder genoemde schriftelijke vragen</w:t>
      </w:r>
      <w:r w:rsidRPr="007B7329" w:rsidR="00F968D8">
        <w:t xml:space="preserve"> </w:t>
      </w:r>
      <w:r w:rsidRPr="007B7329" w:rsidR="000C6F13">
        <w:t>te beperken (zie ook</w:t>
      </w:r>
      <w:r w:rsidRPr="007B7329" w:rsidR="00C404F0">
        <w:t xml:space="preserve"> het amendement Maâtoug c.s.</w:t>
      </w:r>
      <w:r w:rsidRPr="007B7329" w:rsidR="000C6F13">
        <w:t xml:space="preserve"> hierna)</w:t>
      </w:r>
      <w:r w:rsidRPr="007B7329" w:rsidR="00D90007">
        <w:t>.</w:t>
      </w:r>
      <w:r w:rsidRPr="007B7329" w:rsidR="000C6F13">
        <w:t xml:space="preserve"> </w:t>
      </w:r>
      <w:r w:rsidRPr="007B7329" w:rsidR="00D90007">
        <w:t xml:space="preserve">Dit zou ertoe leiden dat de regelingen in bepaalde situaties (die een bijdrage leveren aan de doelen van de regelingen) niet meer kunnen worden toegepast, of minder aantrekkelijk worden. </w:t>
      </w:r>
    </w:p>
    <w:p w:rsidRPr="007B7329" w:rsidR="00655805" w:rsidP="009D0291" w:rsidRDefault="00655805" w14:paraId="3BDFF64A" w14:textId="77777777">
      <w:pPr>
        <w:rPr>
          <w:i/>
          <w:iCs/>
        </w:rPr>
      </w:pPr>
    </w:p>
    <w:p w:rsidRPr="007B7329" w:rsidR="00655805" w:rsidP="009D0291" w:rsidRDefault="00655805" w14:paraId="19F84BF4" w14:textId="77777777">
      <w:pPr>
        <w:rPr>
          <w:b/>
          <w:bCs/>
        </w:rPr>
      </w:pPr>
      <w:r w:rsidRPr="007B7329">
        <w:rPr>
          <w:b/>
          <w:bCs/>
        </w:rPr>
        <w:t>Ontwikkelingen na 13 november 2024 (einddatum Woo-verzoek</w:t>
      </w:r>
      <w:r w:rsidR="009E3FCE">
        <w:rPr>
          <w:b/>
          <w:bCs/>
        </w:rPr>
        <w:t>en</w:t>
      </w:r>
      <w:r w:rsidRPr="007B7329">
        <w:rPr>
          <w:b/>
          <w:bCs/>
        </w:rPr>
        <w:t>)</w:t>
      </w:r>
    </w:p>
    <w:p w:rsidRPr="007B7329" w:rsidR="00D90007" w:rsidP="008F78E4" w:rsidRDefault="005E7E53" w14:paraId="658685A9" w14:textId="77777777">
      <w:r w:rsidRPr="007B7329">
        <w:t>Rondom de behandeling van het Belastingplan zijn een aantal aanpassingen ten aanzien van de EIA, MIA en Vamil voorgesteld en deels ook doorgevoerd.</w:t>
      </w:r>
      <w:r w:rsidRPr="007B7329" w:rsidDel="00950892" w:rsidR="00950892">
        <w:t xml:space="preserve"> </w:t>
      </w:r>
    </w:p>
    <w:p w:rsidRPr="007B7329" w:rsidR="00D90007" w:rsidP="009D0291" w:rsidRDefault="00D90007" w14:paraId="74C2A32C" w14:textId="77777777">
      <w:pPr>
        <w:rPr>
          <w:i/>
          <w:iCs/>
        </w:rPr>
      </w:pPr>
    </w:p>
    <w:p w:rsidRPr="007B7329" w:rsidR="00655805" w:rsidP="009D0291" w:rsidRDefault="00655805" w14:paraId="69FAB5B5" w14:textId="77777777">
      <w:pPr>
        <w:rPr>
          <w:i/>
          <w:iCs/>
        </w:rPr>
      </w:pPr>
      <w:r w:rsidRPr="007B7329">
        <w:rPr>
          <w:i/>
          <w:iCs/>
        </w:rPr>
        <w:t>Amendement Grinwis</w:t>
      </w:r>
      <w:r w:rsidRPr="007B7329" w:rsidR="006D0EAE">
        <w:rPr>
          <w:i/>
          <w:iCs/>
        </w:rPr>
        <w:t xml:space="preserve"> c.s. (m.b.t. giftenaftrek</w:t>
      </w:r>
      <w:r w:rsidRPr="007B7329" w:rsidR="00A23D25">
        <w:rPr>
          <w:i/>
          <w:iCs/>
        </w:rPr>
        <w:t>, aangenomen</w:t>
      </w:r>
      <w:r w:rsidRPr="007B7329" w:rsidR="006D0EAE">
        <w:rPr>
          <w:i/>
          <w:iCs/>
        </w:rPr>
        <w:t>)</w:t>
      </w:r>
      <w:r w:rsidRPr="007B7329">
        <w:rPr>
          <w:rStyle w:val="Voetnootmarkering"/>
          <w:i/>
          <w:iCs/>
        </w:rPr>
        <w:footnoteReference w:id="6"/>
      </w:r>
    </w:p>
    <w:p w:rsidRPr="007B7329" w:rsidR="006D0EAE" w:rsidP="009D0291" w:rsidRDefault="001652D5" w14:paraId="5219E227" w14:textId="77777777">
      <w:r w:rsidRPr="007B7329">
        <w:t>T</w:t>
      </w:r>
      <w:r w:rsidRPr="007B7329" w:rsidR="006D0EAE">
        <w:t xml:space="preserve">er </w:t>
      </w:r>
      <w:r w:rsidRPr="007B7329" w:rsidR="00655805">
        <w:t xml:space="preserve">dekking van </w:t>
      </w:r>
      <w:r w:rsidRPr="007B7329" w:rsidR="006D0EAE">
        <w:t>dit amendement</w:t>
      </w:r>
      <w:r w:rsidRPr="007B7329" w:rsidR="00655805">
        <w:t xml:space="preserve"> beogen </w:t>
      </w:r>
      <w:r w:rsidRPr="007B7329">
        <w:t xml:space="preserve">de indieners </w:t>
      </w:r>
      <w:r w:rsidRPr="007B7329" w:rsidR="00655805">
        <w:t>fiscale constructies in de samenloop van de MIA en de Vamil af te schaffen</w:t>
      </w:r>
      <w:r w:rsidRPr="007B7329" w:rsidR="006D0EAE">
        <w:t xml:space="preserve"> door </w:t>
      </w:r>
      <w:r w:rsidRPr="007B7329" w:rsidR="00A23D25">
        <w:t>per 2025</w:t>
      </w:r>
      <w:r w:rsidRPr="007B7329" w:rsidR="006D0EAE">
        <w:t xml:space="preserve"> de budgetten van de MIA </w:t>
      </w:r>
      <w:r w:rsidR="005A3295">
        <w:t xml:space="preserve">en </w:t>
      </w:r>
      <w:r w:rsidR="008B0B75">
        <w:t xml:space="preserve">de </w:t>
      </w:r>
      <w:r w:rsidRPr="007B7329" w:rsidR="005A3295">
        <w:t xml:space="preserve">Vamil </w:t>
      </w:r>
      <w:r w:rsidRPr="007B7329">
        <w:t xml:space="preserve">te verlagen </w:t>
      </w:r>
      <w:r w:rsidRPr="007B7329" w:rsidR="006D0EAE">
        <w:t>(beide met € 5 miljoen).</w:t>
      </w:r>
      <w:r w:rsidRPr="007B7329" w:rsidR="005D3AD2">
        <w:t xml:space="preserve"> Dit amendement is aangenomen.</w:t>
      </w:r>
    </w:p>
    <w:p w:rsidRPr="007B7329" w:rsidR="006D0EAE" w:rsidP="009D0291" w:rsidRDefault="006D0EAE" w14:paraId="4605E69B" w14:textId="77777777"/>
    <w:p w:rsidRPr="007B7329" w:rsidR="006D0EAE" w:rsidP="006D0EAE" w:rsidRDefault="006D0EAE" w14:paraId="6B6CAC7C" w14:textId="77777777">
      <w:pPr>
        <w:rPr>
          <w:i/>
          <w:iCs/>
        </w:rPr>
      </w:pPr>
      <w:r w:rsidRPr="007B7329">
        <w:rPr>
          <w:i/>
          <w:iCs/>
        </w:rPr>
        <w:lastRenderedPageBreak/>
        <w:t>Amendement Vermeer (</w:t>
      </w:r>
      <w:r w:rsidRPr="007B7329" w:rsidR="00A23D25">
        <w:rPr>
          <w:i/>
          <w:iCs/>
        </w:rPr>
        <w:t xml:space="preserve">m.b.t. </w:t>
      </w:r>
      <w:r w:rsidRPr="007C157D" w:rsidR="007C157D">
        <w:rPr>
          <w:i/>
          <w:iCs/>
        </w:rPr>
        <w:t>LPG-G3 kortingsregeling</w:t>
      </w:r>
      <w:r w:rsidRPr="007B7329" w:rsidR="00A23D25">
        <w:rPr>
          <w:i/>
          <w:iCs/>
        </w:rPr>
        <w:t>, aangenomen</w:t>
      </w:r>
      <w:r w:rsidRPr="007B7329">
        <w:rPr>
          <w:i/>
          <w:iCs/>
        </w:rPr>
        <w:t>)</w:t>
      </w:r>
      <w:r w:rsidRPr="007B7329">
        <w:rPr>
          <w:rStyle w:val="Voetnootmarkering"/>
          <w:i/>
          <w:iCs/>
        </w:rPr>
        <w:footnoteReference w:id="7"/>
      </w:r>
    </w:p>
    <w:p w:rsidRPr="007B7329" w:rsidR="006D0EAE" w:rsidP="006D0EAE" w:rsidRDefault="006D0EAE" w14:paraId="43220BA1" w14:textId="77777777">
      <w:r w:rsidRPr="007B7329">
        <w:t xml:space="preserve">Als onderdeel van de dekking van dit amendement </w:t>
      </w:r>
      <w:r w:rsidR="00F70B6B">
        <w:t>wordt</w:t>
      </w:r>
      <w:r w:rsidRPr="007B7329">
        <w:t xml:space="preserve"> het budget van de MIA per 2026 verla</w:t>
      </w:r>
      <w:r w:rsidRPr="007B7329" w:rsidR="001652D5">
        <w:t>a</w:t>
      </w:r>
      <w:r w:rsidRPr="007B7329">
        <w:t>g</w:t>
      </w:r>
      <w:r w:rsidRPr="007B7329" w:rsidR="001652D5">
        <w:t>d</w:t>
      </w:r>
      <w:r w:rsidRPr="007B7329">
        <w:t xml:space="preserve"> met </w:t>
      </w:r>
      <w:r w:rsidR="005E6D6A">
        <w:t>€ 54 miljoen</w:t>
      </w:r>
      <w:r w:rsidRPr="007B7329">
        <w:t>.</w:t>
      </w:r>
      <w:r w:rsidR="005E6D6A">
        <w:t xml:space="preserve"> </w:t>
      </w:r>
      <w:r w:rsidRPr="007B7329" w:rsidR="005D3AD2">
        <w:t>Dit amendement is aangenomen.</w:t>
      </w:r>
    </w:p>
    <w:p w:rsidRPr="007B7329" w:rsidR="006D0EAE" w:rsidP="009D0291" w:rsidRDefault="006D0EAE" w14:paraId="0C24FFA0" w14:textId="77777777"/>
    <w:p w:rsidRPr="007B7329" w:rsidR="006D0EAE" w:rsidP="006D0EAE" w:rsidRDefault="006D0EAE" w14:paraId="026F5254" w14:textId="77777777">
      <w:pPr>
        <w:rPr>
          <w:i/>
          <w:iCs/>
        </w:rPr>
      </w:pPr>
      <w:r w:rsidRPr="007B7329">
        <w:rPr>
          <w:i/>
          <w:iCs/>
        </w:rPr>
        <w:t>Amendement Maatoug c.s. (m.b.t. EIA en MIA</w:t>
      </w:r>
      <w:r w:rsidRPr="007B7329" w:rsidR="00A23D25">
        <w:rPr>
          <w:i/>
          <w:iCs/>
        </w:rPr>
        <w:t>, niet aangenomen</w:t>
      </w:r>
      <w:r w:rsidRPr="007B7329">
        <w:rPr>
          <w:i/>
          <w:iCs/>
        </w:rPr>
        <w:t>)</w:t>
      </w:r>
      <w:r w:rsidRPr="007B7329">
        <w:rPr>
          <w:rStyle w:val="Voetnootmarkering"/>
          <w:i/>
          <w:iCs/>
        </w:rPr>
        <w:footnoteReference w:id="8"/>
      </w:r>
    </w:p>
    <w:p w:rsidRPr="007B7329" w:rsidR="00655805" w:rsidP="009D0291" w:rsidRDefault="006D0EAE" w14:paraId="03B612A6" w14:textId="77777777">
      <w:r w:rsidRPr="007B7329">
        <w:t xml:space="preserve">Met het doel om ontwijking tegen te gaan stelt dit amendement </w:t>
      </w:r>
      <w:r w:rsidRPr="007B7329" w:rsidR="001652D5">
        <w:t xml:space="preserve">voor </w:t>
      </w:r>
      <w:r w:rsidRPr="007B7329">
        <w:t xml:space="preserve">dat </w:t>
      </w:r>
      <w:r w:rsidRPr="007B7329" w:rsidR="001652D5">
        <w:t xml:space="preserve">de </w:t>
      </w:r>
      <w:r w:rsidRPr="007B7329">
        <w:t xml:space="preserve">EIA en </w:t>
      </w:r>
      <w:r w:rsidRPr="007B7329" w:rsidR="001652D5">
        <w:t xml:space="preserve">de </w:t>
      </w:r>
      <w:r w:rsidRPr="007B7329">
        <w:t xml:space="preserve">MIA </w:t>
      </w:r>
      <w:r w:rsidRPr="007B7329" w:rsidR="003C52D8">
        <w:t xml:space="preserve">per 2029 </w:t>
      </w:r>
      <w:r w:rsidRPr="007B7329">
        <w:t>niet kunnen leiden tot een negatieve winst uit onderneming in box 1 van de inkomstenbelasting</w:t>
      </w:r>
      <w:r w:rsidRPr="007B7329" w:rsidR="00A23D25">
        <w:t>, waardoor verrekening met ander inkomen in box 1 niet langer mogelijk zou zijn. Dit amendement is door het kabinet geap</w:t>
      </w:r>
      <w:r w:rsidRPr="007B7329" w:rsidR="00861BA3">
        <w:t>p</w:t>
      </w:r>
      <w:r w:rsidRPr="007B7329" w:rsidR="00A23D25">
        <w:t>recieerd met ‘oordeel Kamer’, maar is niet aangenomen.</w:t>
      </w:r>
      <w:r w:rsidRPr="007B7329" w:rsidR="005D3AD2">
        <w:t xml:space="preserve"> </w:t>
      </w:r>
    </w:p>
    <w:p w:rsidRPr="007B7329" w:rsidR="00A23D25" w:rsidP="009D0291" w:rsidRDefault="00A23D25" w14:paraId="7AF60B46" w14:textId="77777777"/>
    <w:p w:rsidRPr="007B7329" w:rsidR="00A23D25" w:rsidP="00A23D25" w:rsidRDefault="00A23D25" w14:paraId="4C1B6A44" w14:textId="77777777">
      <w:pPr>
        <w:rPr>
          <w:i/>
          <w:iCs/>
        </w:rPr>
      </w:pPr>
      <w:r w:rsidRPr="007B7329">
        <w:rPr>
          <w:i/>
          <w:iCs/>
        </w:rPr>
        <w:t>Aanpassing milieulijst</w:t>
      </w:r>
    </w:p>
    <w:p w:rsidRPr="007B7329" w:rsidR="00A23D25" w:rsidP="00A23D25" w:rsidRDefault="000C6F13" w14:paraId="52C88858" w14:textId="77777777">
      <w:r w:rsidRPr="007B7329">
        <w:t xml:space="preserve">Eind 2024 was er onder andere aandacht voor het gebruik van de MIA en Vamil voor productiesystemen voor algen, kroos of (zee)wieren. </w:t>
      </w:r>
      <w:r w:rsidRPr="007B7329" w:rsidR="00A23D25">
        <w:t>Volgens de milieulijst voor 2025</w:t>
      </w:r>
      <w:r w:rsidRPr="007B7329" w:rsidR="00A23D25">
        <w:rPr>
          <w:rStyle w:val="Voetnootmarkering"/>
        </w:rPr>
        <w:footnoteReference w:id="9"/>
      </w:r>
      <w:r w:rsidRPr="007B7329" w:rsidR="00A23D25">
        <w:t xml:space="preserve"> komen</w:t>
      </w:r>
      <w:r w:rsidRPr="007B7329">
        <w:t xml:space="preserve"> deze p</w:t>
      </w:r>
      <w:r w:rsidRPr="007B7329" w:rsidR="00A23D25">
        <w:t xml:space="preserve">roductiesystemen </w:t>
      </w:r>
      <w:r w:rsidRPr="007B7329">
        <w:t xml:space="preserve">enkel </w:t>
      </w:r>
      <w:r w:rsidRPr="007B7329" w:rsidR="00A23D25">
        <w:t>in aanmerking voor de MIA tegen een percentage van 36%. In eerdere jaren kwamen deze productiesystemen in aanmerking voor de MIA tegen het hoogste percentage van 45% én de Vamil (deze regelingen kunnen tegelijkertijd worden toegepast).</w:t>
      </w:r>
    </w:p>
    <w:p w:rsidRPr="007B7329" w:rsidR="00A23D25" w:rsidP="009D0291" w:rsidRDefault="00A23D25" w14:paraId="72238968" w14:textId="77777777"/>
    <w:p w:rsidRPr="00230D70" w:rsidR="00230D70" w:rsidP="00230D70" w:rsidRDefault="00230D70" w14:paraId="585B5B22" w14:textId="77777777">
      <w:r w:rsidRPr="00230D70">
        <w:t xml:space="preserve">Ik hoop uw Kamer </w:t>
      </w:r>
      <w:r>
        <w:t>met het voorgaande</w:t>
      </w:r>
      <w:r w:rsidRPr="00230D70">
        <w:t xml:space="preserve"> een</w:t>
      </w:r>
      <w:r>
        <w:t xml:space="preserve"> duidelijk</w:t>
      </w:r>
      <w:r w:rsidRPr="00230D70">
        <w:t xml:space="preserve"> overzicht </w:t>
      </w:r>
      <w:r>
        <w:t xml:space="preserve">te hebben geboden </w:t>
      </w:r>
      <w:r w:rsidRPr="00230D70">
        <w:t xml:space="preserve">van de materie die in </w:t>
      </w:r>
      <w:r w:rsidR="009E3FCE">
        <w:t>de</w:t>
      </w:r>
      <w:r w:rsidRPr="00230D70" w:rsidR="009E3FCE">
        <w:t xml:space="preserve"> </w:t>
      </w:r>
      <w:r w:rsidRPr="00230D70">
        <w:t>Woo-verzoek</w:t>
      </w:r>
      <w:r w:rsidR="009E3FCE">
        <w:t>en</w:t>
      </w:r>
      <w:r w:rsidRPr="00230D70">
        <w:t xml:space="preserve"> aan de orde is.</w:t>
      </w:r>
    </w:p>
    <w:p w:rsidRPr="007B7329" w:rsidR="006D0EAE" w:rsidP="009D0291" w:rsidRDefault="006D0EAE" w14:paraId="43C40709" w14:textId="77777777"/>
    <w:p w:rsidRPr="007B7329" w:rsidR="004A4D24" w:rsidRDefault="005F2630" w14:paraId="524EBC62" w14:textId="77777777">
      <w:pPr>
        <w:pStyle w:val="StandaardSlotzin"/>
      </w:pPr>
      <w:r w:rsidRPr="007B7329">
        <w:t>Hoogachtend,</w:t>
      </w:r>
    </w:p>
    <w:p w:rsidRPr="007B7329" w:rsidR="004A4D24" w:rsidRDefault="004A4D24" w14:paraId="319DECD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A4D24" w14:paraId="5A276E12" w14:textId="77777777">
        <w:tc>
          <w:tcPr>
            <w:tcW w:w="3592" w:type="dxa"/>
          </w:tcPr>
          <w:p w:rsidR="004A4D24" w:rsidRDefault="005F2630" w14:paraId="1292F960" w14:textId="77777777">
            <w:r w:rsidRPr="007B7329">
              <w:t>de</w:t>
            </w:r>
            <w:r w:rsidR="00950892">
              <w:t xml:space="preserve"> staatssecretaris </w:t>
            </w:r>
            <w:r w:rsidR="00B7063C">
              <w:t xml:space="preserve">van Financiën - </w:t>
            </w:r>
            <w:r w:rsidRPr="00230D70" w:rsidR="00230D70">
              <w:t>Fiscaliteit, Belastingdienst en Douane</w:t>
            </w:r>
            <w:r w:rsidR="00230D70">
              <w:t>,</w:t>
            </w:r>
            <w:r w:rsidRPr="007B7329">
              <w:br/>
            </w:r>
            <w:r w:rsidRPr="007B7329">
              <w:br/>
            </w:r>
            <w:r w:rsidRPr="007B7329">
              <w:br/>
            </w:r>
            <w:r w:rsidRPr="007B7329">
              <w:br/>
            </w:r>
            <w:r w:rsidRPr="007B7329">
              <w:br/>
            </w:r>
            <w:r w:rsidRPr="007B7329">
              <w:br/>
            </w:r>
            <w:r w:rsidRPr="007B7329">
              <w:br/>
              <w:t xml:space="preserve"> </w:t>
            </w:r>
            <w:r w:rsidR="00950892">
              <w:t>T</w:t>
            </w:r>
            <w:r w:rsidRPr="007B7329">
              <w:t xml:space="preserve">. </w:t>
            </w:r>
            <w:r w:rsidR="00950892">
              <w:t>van Oostenbruggen</w:t>
            </w:r>
          </w:p>
        </w:tc>
        <w:tc>
          <w:tcPr>
            <w:tcW w:w="3892" w:type="dxa"/>
          </w:tcPr>
          <w:p w:rsidR="004A4D24" w:rsidRDefault="004A4D24" w14:paraId="2B759D7C" w14:textId="77777777"/>
        </w:tc>
      </w:tr>
      <w:tr w:rsidR="004A4D24" w14:paraId="32A7E079" w14:textId="77777777">
        <w:tc>
          <w:tcPr>
            <w:tcW w:w="3592" w:type="dxa"/>
          </w:tcPr>
          <w:p w:rsidR="004A4D24" w:rsidRDefault="004A4D24" w14:paraId="35B68214" w14:textId="77777777"/>
        </w:tc>
        <w:tc>
          <w:tcPr>
            <w:tcW w:w="3892" w:type="dxa"/>
          </w:tcPr>
          <w:p w:rsidR="004A4D24" w:rsidRDefault="004A4D24" w14:paraId="35A9156E" w14:textId="77777777"/>
        </w:tc>
      </w:tr>
      <w:tr w:rsidR="004A4D24" w14:paraId="3C66D941" w14:textId="77777777">
        <w:tc>
          <w:tcPr>
            <w:tcW w:w="3592" w:type="dxa"/>
          </w:tcPr>
          <w:p w:rsidR="004A4D24" w:rsidRDefault="004A4D24" w14:paraId="6D5B4EAE" w14:textId="77777777"/>
        </w:tc>
        <w:tc>
          <w:tcPr>
            <w:tcW w:w="3892" w:type="dxa"/>
          </w:tcPr>
          <w:p w:rsidR="004A4D24" w:rsidRDefault="004A4D24" w14:paraId="62E66969" w14:textId="77777777"/>
        </w:tc>
      </w:tr>
      <w:tr w:rsidR="004A4D24" w14:paraId="68665470" w14:textId="77777777">
        <w:tc>
          <w:tcPr>
            <w:tcW w:w="3592" w:type="dxa"/>
          </w:tcPr>
          <w:p w:rsidR="004A4D24" w:rsidRDefault="004A4D24" w14:paraId="50A972F8" w14:textId="77777777"/>
        </w:tc>
        <w:tc>
          <w:tcPr>
            <w:tcW w:w="3892" w:type="dxa"/>
          </w:tcPr>
          <w:p w:rsidR="004A4D24" w:rsidRDefault="004A4D24" w14:paraId="0FAC8490" w14:textId="77777777"/>
        </w:tc>
      </w:tr>
      <w:tr w:rsidR="004A4D24" w14:paraId="3B734942" w14:textId="77777777">
        <w:tc>
          <w:tcPr>
            <w:tcW w:w="3592" w:type="dxa"/>
          </w:tcPr>
          <w:p w:rsidR="004A4D24" w:rsidRDefault="004A4D24" w14:paraId="38C23B82" w14:textId="77777777"/>
        </w:tc>
        <w:tc>
          <w:tcPr>
            <w:tcW w:w="3892" w:type="dxa"/>
          </w:tcPr>
          <w:p w:rsidR="004A4D24" w:rsidRDefault="004A4D24" w14:paraId="0E71B682" w14:textId="77777777"/>
        </w:tc>
      </w:tr>
    </w:tbl>
    <w:p w:rsidR="004A4D24" w:rsidRDefault="004A4D24" w14:paraId="50CE2D03" w14:textId="77777777">
      <w:pPr>
        <w:pStyle w:val="Verdana7"/>
      </w:pPr>
    </w:p>
    <w:sectPr w:rsidR="004A4D24">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85F9" w14:textId="77777777" w:rsidR="00A41F87" w:rsidRDefault="00A41F87">
      <w:pPr>
        <w:spacing w:line="240" w:lineRule="auto"/>
      </w:pPr>
      <w:r>
        <w:separator/>
      </w:r>
    </w:p>
  </w:endnote>
  <w:endnote w:type="continuationSeparator" w:id="0">
    <w:p w14:paraId="161A6B37" w14:textId="77777777" w:rsidR="00A41F87" w:rsidRDefault="00A41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6D9D" w14:textId="77777777" w:rsidR="00D908B2" w:rsidRDefault="00D908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C8BC" w14:textId="77777777" w:rsidR="00D908B2" w:rsidRDefault="00D908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EB2D" w14:textId="77777777" w:rsidR="00D908B2" w:rsidRDefault="00D908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30A9" w14:textId="77777777" w:rsidR="00A41F87" w:rsidRDefault="00A41F87">
      <w:pPr>
        <w:spacing w:line="240" w:lineRule="auto"/>
      </w:pPr>
      <w:r>
        <w:separator/>
      </w:r>
    </w:p>
  </w:footnote>
  <w:footnote w:type="continuationSeparator" w:id="0">
    <w:p w14:paraId="3B643078" w14:textId="77777777" w:rsidR="00A41F87" w:rsidRDefault="00A41F87">
      <w:pPr>
        <w:spacing w:line="240" w:lineRule="auto"/>
      </w:pPr>
      <w:r>
        <w:continuationSeparator/>
      </w:r>
    </w:p>
  </w:footnote>
  <w:footnote w:id="1">
    <w:p w14:paraId="2F2A2619" w14:textId="77777777" w:rsidR="00E85CD6" w:rsidRPr="00E85CD6" w:rsidRDefault="00E85CD6" w:rsidP="00E85CD6">
      <w:pPr>
        <w:pStyle w:val="Voetnoottekst"/>
        <w:rPr>
          <w:sz w:val="13"/>
          <w:szCs w:val="13"/>
        </w:rPr>
      </w:pPr>
      <w:r w:rsidRPr="00E85CD6">
        <w:rPr>
          <w:rStyle w:val="Voetnootmarkering"/>
          <w:sz w:val="13"/>
          <w:szCs w:val="13"/>
        </w:rPr>
        <w:footnoteRef/>
      </w:r>
      <w:r w:rsidRPr="00E85CD6">
        <w:rPr>
          <w:sz w:val="13"/>
          <w:szCs w:val="13"/>
        </w:rPr>
        <w:t xml:space="preserve"> Zie </w:t>
      </w:r>
      <w:bookmarkStart w:id="1" w:name="_Hlk195534607"/>
      <w:r w:rsidRPr="00E85CD6">
        <w:rPr>
          <w:sz w:val="13"/>
          <w:szCs w:val="13"/>
        </w:rPr>
        <w:t>Aanhangsel Handelingen II 2024/25, 933</w:t>
      </w:r>
      <w:r>
        <w:rPr>
          <w:sz w:val="13"/>
          <w:szCs w:val="13"/>
        </w:rPr>
        <w:t>.</w:t>
      </w:r>
      <w:bookmarkEnd w:id="1"/>
    </w:p>
  </w:footnote>
  <w:footnote w:id="2">
    <w:p w14:paraId="7F04627F" w14:textId="77777777" w:rsidR="00137077" w:rsidRPr="00E45B9D" w:rsidRDefault="00137077" w:rsidP="00137077">
      <w:pPr>
        <w:pStyle w:val="Voetnoottekst"/>
        <w:rPr>
          <w:sz w:val="13"/>
          <w:szCs w:val="13"/>
        </w:rPr>
      </w:pPr>
      <w:r w:rsidRPr="00E45B9D">
        <w:rPr>
          <w:rStyle w:val="Voetnootmarkering"/>
          <w:sz w:val="13"/>
          <w:szCs w:val="13"/>
        </w:rPr>
        <w:footnoteRef/>
      </w:r>
      <w:r w:rsidRPr="00E45B9D">
        <w:rPr>
          <w:sz w:val="13"/>
          <w:szCs w:val="13"/>
        </w:rPr>
        <w:t xml:space="preserve"> Kamerstukken II 2014/15, 34002, nrs. 80 en 97.</w:t>
      </w:r>
    </w:p>
  </w:footnote>
  <w:footnote w:id="3">
    <w:p w14:paraId="6643A509" w14:textId="77777777" w:rsidR="00950892" w:rsidRPr="00950892" w:rsidRDefault="00950892">
      <w:pPr>
        <w:pStyle w:val="Voetnoottekst"/>
        <w:rPr>
          <w:sz w:val="13"/>
          <w:szCs w:val="13"/>
        </w:rPr>
      </w:pPr>
      <w:r w:rsidRPr="00950892">
        <w:rPr>
          <w:rStyle w:val="Voetnootmarkering"/>
          <w:sz w:val="13"/>
          <w:szCs w:val="13"/>
        </w:rPr>
        <w:footnoteRef/>
      </w:r>
      <w:r w:rsidRPr="00950892">
        <w:rPr>
          <w:sz w:val="13"/>
          <w:szCs w:val="13"/>
        </w:rPr>
        <w:t xml:space="preserve"> Kamerstukken II 2024/25, 36602, nr. 86 en Aanhangsel Handelingen II 2024/25, 933.</w:t>
      </w:r>
    </w:p>
  </w:footnote>
  <w:footnote w:id="4">
    <w:p w14:paraId="4C1F30B2" w14:textId="77777777" w:rsidR="005143CC" w:rsidRPr="005F2630" w:rsidRDefault="005143CC" w:rsidP="005143CC">
      <w:pPr>
        <w:pStyle w:val="Voetnoottekst"/>
        <w:rPr>
          <w:sz w:val="13"/>
          <w:szCs w:val="13"/>
        </w:rPr>
      </w:pPr>
      <w:r w:rsidRPr="005F2630">
        <w:rPr>
          <w:rStyle w:val="Voetnootmarkering"/>
          <w:sz w:val="13"/>
          <w:szCs w:val="13"/>
        </w:rPr>
        <w:footnoteRef/>
      </w:r>
      <w:r w:rsidRPr="005F2630">
        <w:rPr>
          <w:sz w:val="13"/>
          <w:szCs w:val="13"/>
        </w:rPr>
        <w:t xml:space="preserve"> EIA: 40% van het investeringsbedrag. MIA: 27%, 36% of 45% van het investeringsbedrag, afhankelijk van de categorie bedrijfsmiddel.</w:t>
      </w:r>
    </w:p>
  </w:footnote>
  <w:footnote w:id="5">
    <w:p w14:paraId="639C021D" w14:textId="77777777" w:rsidR="00950892" w:rsidRPr="005F2630" w:rsidRDefault="00950892" w:rsidP="00950892">
      <w:pPr>
        <w:pStyle w:val="Voetnoottekst"/>
        <w:rPr>
          <w:sz w:val="13"/>
          <w:szCs w:val="13"/>
        </w:rPr>
      </w:pPr>
      <w:r w:rsidRPr="005F2630">
        <w:rPr>
          <w:rStyle w:val="Voetnootmarkering"/>
          <w:sz w:val="13"/>
          <w:szCs w:val="13"/>
        </w:rPr>
        <w:footnoteRef/>
      </w:r>
      <w:r w:rsidRPr="005F2630">
        <w:rPr>
          <w:sz w:val="13"/>
          <w:szCs w:val="13"/>
        </w:rPr>
        <w:t xml:space="preserve"> Artikel 3.42a, zesde lid, Wet inkomstenbelasting 2001.</w:t>
      </w:r>
    </w:p>
  </w:footnote>
  <w:footnote w:id="6">
    <w:p w14:paraId="730A107D" w14:textId="77777777" w:rsidR="00655805" w:rsidRPr="005F2630" w:rsidRDefault="00655805">
      <w:pPr>
        <w:pStyle w:val="Voetnoottekst"/>
        <w:rPr>
          <w:sz w:val="13"/>
          <w:szCs w:val="13"/>
        </w:rPr>
      </w:pPr>
      <w:r w:rsidRPr="005F2630">
        <w:rPr>
          <w:rStyle w:val="Voetnootmarkering"/>
          <w:sz w:val="13"/>
          <w:szCs w:val="13"/>
        </w:rPr>
        <w:footnoteRef/>
      </w:r>
      <w:r w:rsidRPr="005F2630">
        <w:rPr>
          <w:sz w:val="13"/>
          <w:szCs w:val="13"/>
        </w:rPr>
        <w:t xml:space="preserve"> Kamerstukken II 2024/25, 36602, nr. 90.</w:t>
      </w:r>
    </w:p>
  </w:footnote>
  <w:footnote w:id="7">
    <w:p w14:paraId="64277236" w14:textId="77777777" w:rsidR="006D0EAE" w:rsidRPr="005F2630" w:rsidRDefault="006D0EAE" w:rsidP="006D0EAE">
      <w:pPr>
        <w:pStyle w:val="Voetnoottekst"/>
        <w:rPr>
          <w:sz w:val="13"/>
          <w:szCs w:val="13"/>
        </w:rPr>
      </w:pPr>
      <w:r w:rsidRPr="005F2630">
        <w:rPr>
          <w:rStyle w:val="Voetnootmarkering"/>
          <w:sz w:val="13"/>
          <w:szCs w:val="13"/>
        </w:rPr>
        <w:footnoteRef/>
      </w:r>
      <w:r w:rsidRPr="005F2630">
        <w:rPr>
          <w:sz w:val="13"/>
          <w:szCs w:val="13"/>
        </w:rPr>
        <w:t xml:space="preserve"> Kamerstukken II 2024/25, 36602, nr. 66.</w:t>
      </w:r>
    </w:p>
  </w:footnote>
  <w:footnote w:id="8">
    <w:p w14:paraId="5855638C" w14:textId="77777777" w:rsidR="006D0EAE" w:rsidRPr="005F2630" w:rsidRDefault="006D0EAE" w:rsidP="006D0EAE">
      <w:pPr>
        <w:pStyle w:val="Voetnoottekst"/>
        <w:rPr>
          <w:sz w:val="13"/>
          <w:szCs w:val="13"/>
        </w:rPr>
      </w:pPr>
      <w:r w:rsidRPr="005F2630">
        <w:rPr>
          <w:rStyle w:val="Voetnootmarkering"/>
          <w:sz w:val="13"/>
          <w:szCs w:val="13"/>
        </w:rPr>
        <w:footnoteRef/>
      </w:r>
      <w:r w:rsidRPr="005F2630">
        <w:rPr>
          <w:sz w:val="13"/>
          <w:szCs w:val="13"/>
        </w:rPr>
        <w:t xml:space="preserve"> Kamerstukken II 2024/25, 36602, nr. 138.</w:t>
      </w:r>
    </w:p>
  </w:footnote>
  <w:footnote w:id="9">
    <w:p w14:paraId="5ED8DB35" w14:textId="77777777" w:rsidR="00A23D25" w:rsidRPr="005F2630" w:rsidRDefault="00A23D25">
      <w:pPr>
        <w:pStyle w:val="Voetnoottekst"/>
        <w:rPr>
          <w:sz w:val="13"/>
          <w:szCs w:val="13"/>
        </w:rPr>
      </w:pPr>
      <w:r w:rsidRPr="005F2630">
        <w:rPr>
          <w:rStyle w:val="Voetnootmarkering"/>
          <w:sz w:val="13"/>
          <w:szCs w:val="13"/>
        </w:rPr>
        <w:footnoteRef/>
      </w:r>
      <w:r w:rsidRPr="005F2630">
        <w:rPr>
          <w:sz w:val="13"/>
          <w:szCs w:val="13"/>
        </w:rPr>
        <w:t xml:space="preserve"> </w:t>
      </w:r>
      <w:r w:rsidRPr="005F2630">
        <w:rPr>
          <w:i/>
          <w:iCs/>
          <w:sz w:val="13"/>
          <w:szCs w:val="13"/>
        </w:rPr>
        <w:t>Staatscourant</w:t>
      </w:r>
      <w:r w:rsidRPr="005F2630">
        <w:rPr>
          <w:sz w:val="13"/>
          <w:szCs w:val="13"/>
        </w:rPr>
        <w:t xml:space="preserve"> 2024, 40369.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E86C" w14:textId="77777777" w:rsidR="00D908B2" w:rsidRDefault="00D908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8F26" w14:textId="77777777" w:rsidR="004A4D24" w:rsidRDefault="005F2630">
    <w:r>
      <w:rPr>
        <w:noProof/>
      </w:rPr>
      <mc:AlternateContent>
        <mc:Choice Requires="wps">
          <w:drawing>
            <wp:anchor distT="0" distB="0" distL="0" distR="0" simplePos="0" relativeHeight="251652096" behindDoc="0" locked="1" layoutInCell="1" allowOverlap="1" wp14:anchorId="2FBE2CF0" wp14:editId="2DCEB460">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0EC42CA" w14:textId="77777777" w:rsidR="004A4D24" w:rsidRDefault="005F2630">
                          <w:pPr>
                            <w:pStyle w:val="StandaardReferentiegegevensKop"/>
                          </w:pPr>
                          <w:r>
                            <w:t>Directie Directe Belastingen &amp; Toeslagen</w:t>
                          </w:r>
                        </w:p>
                        <w:p w14:paraId="02CAE813" w14:textId="77777777" w:rsidR="004A4D24" w:rsidRDefault="004A4D24">
                          <w:pPr>
                            <w:pStyle w:val="WitregelW1"/>
                          </w:pPr>
                        </w:p>
                        <w:p w14:paraId="3D35C638" w14:textId="77777777" w:rsidR="004A4D24" w:rsidRDefault="005F2630">
                          <w:pPr>
                            <w:pStyle w:val="StandaardReferentiegegevensKop"/>
                          </w:pPr>
                          <w:r>
                            <w:t>Ons kenmerk</w:t>
                          </w:r>
                        </w:p>
                        <w:p w14:paraId="530222DA" w14:textId="4218FC7A" w:rsidR="00AA7F8F" w:rsidRDefault="00D908B2">
                          <w:pPr>
                            <w:pStyle w:val="StandaardReferentiegegevens"/>
                          </w:pPr>
                          <w:r>
                            <w:fldChar w:fldCharType="begin"/>
                          </w:r>
                          <w:r>
                            <w:instrText xml:space="preserve"> DOCPROPERTY  "Kenmerk"  \* MERGEFORMAT </w:instrText>
                          </w:r>
                          <w:r>
                            <w:fldChar w:fldCharType="separate"/>
                          </w:r>
                          <w:r>
                            <w:t>2025-0000107792</w:t>
                          </w:r>
                          <w:r>
                            <w:fldChar w:fldCharType="end"/>
                          </w:r>
                        </w:p>
                      </w:txbxContent>
                    </wps:txbx>
                    <wps:bodyPr vert="horz" wrap="square" lIns="0" tIns="0" rIns="0" bIns="0" anchor="t" anchorCtr="0"/>
                  </wps:wsp>
                </a:graphicData>
              </a:graphic>
            </wp:anchor>
          </w:drawing>
        </mc:Choice>
        <mc:Fallback>
          <w:pict>
            <v:shapetype w14:anchorId="2FBE2CF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0EC42CA" w14:textId="77777777" w:rsidR="004A4D24" w:rsidRDefault="005F2630">
                    <w:pPr>
                      <w:pStyle w:val="StandaardReferentiegegevensKop"/>
                    </w:pPr>
                    <w:r>
                      <w:t>Directie Directe Belastingen &amp; Toeslagen</w:t>
                    </w:r>
                  </w:p>
                  <w:p w14:paraId="02CAE813" w14:textId="77777777" w:rsidR="004A4D24" w:rsidRDefault="004A4D24">
                    <w:pPr>
                      <w:pStyle w:val="WitregelW1"/>
                    </w:pPr>
                  </w:p>
                  <w:p w14:paraId="3D35C638" w14:textId="77777777" w:rsidR="004A4D24" w:rsidRDefault="005F2630">
                    <w:pPr>
                      <w:pStyle w:val="StandaardReferentiegegevensKop"/>
                    </w:pPr>
                    <w:r>
                      <w:t>Ons kenmerk</w:t>
                    </w:r>
                  </w:p>
                  <w:p w14:paraId="530222DA" w14:textId="4218FC7A" w:rsidR="00AA7F8F" w:rsidRDefault="00D908B2">
                    <w:pPr>
                      <w:pStyle w:val="StandaardReferentiegegevens"/>
                    </w:pPr>
                    <w:r>
                      <w:fldChar w:fldCharType="begin"/>
                    </w:r>
                    <w:r>
                      <w:instrText xml:space="preserve"> DOCPROPERTY  "Kenmerk"  \* MERGEFORMAT </w:instrText>
                    </w:r>
                    <w:r>
                      <w:fldChar w:fldCharType="separate"/>
                    </w:r>
                    <w:r>
                      <w:t>2025-0000107792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EAA1C3" wp14:editId="5D4C9C5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896907" w14:textId="77777777" w:rsidR="00AA7F8F" w:rsidRDefault="000D616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EAA1C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A896907" w14:textId="77777777" w:rsidR="00AA7F8F" w:rsidRDefault="000D616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F16A206" wp14:editId="0252BA0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E2A867B" w14:textId="7290901D" w:rsidR="00AA7F8F" w:rsidRDefault="000D616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F16A20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E2A867B" w14:textId="7290901D" w:rsidR="00AA7F8F" w:rsidRDefault="000D616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CE8D" w14:textId="77777777" w:rsidR="004A4D24" w:rsidRDefault="005F2630">
    <w:pPr>
      <w:spacing w:after="7029" w:line="14" w:lineRule="exact"/>
    </w:pPr>
    <w:r>
      <w:rPr>
        <w:noProof/>
      </w:rPr>
      <mc:AlternateContent>
        <mc:Choice Requires="wps">
          <w:drawing>
            <wp:anchor distT="0" distB="0" distL="0" distR="0" simplePos="0" relativeHeight="251655168" behindDoc="0" locked="1" layoutInCell="1" allowOverlap="1" wp14:anchorId="3AB6EC44" wp14:editId="1692CB1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953FAC7" w14:textId="77777777" w:rsidR="004A4D24" w:rsidRDefault="005F2630">
                          <w:pPr>
                            <w:spacing w:line="240" w:lineRule="auto"/>
                          </w:pPr>
                          <w:r>
                            <w:rPr>
                              <w:noProof/>
                            </w:rPr>
                            <w:drawing>
                              <wp:inline distT="0" distB="0" distL="0" distR="0" wp14:anchorId="45750059" wp14:editId="349B26A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AB6EC4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953FAC7" w14:textId="77777777" w:rsidR="004A4D24" w:rsidRDefault="005F2630">
                    <w:pPr>
                      <w:spacing w:line="240" w:lineRule="auto"/>
                    </w:pPr>
                    <w:r>
                      <w:rPr>
                        <w:noProof/>
                      </w:rPr>
                      <w:drawing>
                        <wp:inline distT="0" distB="0" distL="0" distR="0" wp14:anchorId="45750059" wp14:editId="349B26A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8870349" wp14:editId="0E95C2A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D94EB3A" w14:textId="77777777" w:rsidR="005F2630" w:rsidRDefault="005F2630"/>
                      </w:txbxContent>
                    </wps:txbx>
                    <wps:bodyPr vert="horz" wrap="square" lIns="0" tIns="0" rIns="0" bIns="0" anchor="t" anchorCtr="0"/>
                  </wps:wsp>
                </a:graphicData>
              </a:graphic>
            </wp:anchor>
          </w:drawing>
        </mc:Choice>
        <mc:Fallback>
          <w:pict>
            <v:shape w14:anchorId="1887034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D94EB3A" w14:textId="77777777" w:rsidR="005F2630" w:rsidRDefault="005F263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258CD1F" wp14:editId="43C1D2F0">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E3EEE24" w14:textId="77777777" w:rsidR="004A4D24" w:rsidRDefault="005F2630">
                          <w:pPr>
                            <w:pStyle w:val="StandaardReferentiegegevensKop"/>
                          </w:pPr>
                          <w:r>
                            <w:t>Directie Directe Belastingen &amp; Toeslagen</w:t>
                          </w:r>
                        </w:p>
                        <w:p w14:paraId="1F4286C3" w14:textId="77777777" w:rsidR="004A4D24" w:rsidRDefault="004A4D24">
                          <w:pPr>
                            <w:pStyle w:val="WitregelW1"/>
                          </w:pPr>
                        </w:p>
                        <w:p w14:paraId="5638BCB5" w14:textId="77777777" w:rsidR="004A4D24" w:rsidRDefault="005F2630">
                          <w:pPr>
                            <w:pStyle w:val="StandaardReferentiegegevens"/>
                          </w:pPr>
                          <w:r>
                            <w:t>Korte Voorhout 7</w:t>
                          </w:r>
                        </w:p>
                        <w:p w14:paraId="59AC4BBC" w14:textId="77777777" w:rsidR="004A4D24" w:rsidRDefault="005F2630">
                          <w:pPr>
                            <w:pStyle w:val="StandaardReferentiegegevens"/>
                          </w:pPr>
                          <w:r>
                            <w:t>2511 CW  'S-GRAVENHAGE</w:t>
                          </w:r>
                        </w:p>
                        <w:p w14:paraId="41E25F49" w14:textId="77777777" w:rsidR="004A4D24" w:rsidRDefault="005F2630">
                          <w:pPr>
                            <w:pStyle w:val="StandaardReferentiegegevens"/>
                          </w:pPr>
                          <w:r>
                            <w:t>POSTBUS 20201</w:t>
                          </w:r>
                        </w:p>
                        <w:p w14:paraId="246E5441" w14:textId="77777777" w:rsidR="004A4D24" w:rsidRDefault="005F2630">
                          <w:pPr>
                            <w:pStyle w:val="StandaardReferentiegegevens"/>
                          </w:pPr>
                          <w:r>
                            <w:t>2500 EE  'S-GRAVENHAGE</w:t>
                          </w:r>
                        </w:p>
                        <w:p w14:paraId="37A30832" w14:textId="77777777" w:rsidR="004A4D24" w:rsidRDefault="005F2630">
                          <w:pPr>
                            <w:pStyle w:val="StandaardReferentiegegevens"/>
                          </w:pPr>
                          <w:r>
                            <w:t>www.rijksoverheid.nl/fin</w:t>
                          </w:r>
                        </w:p>
                        <w:p w14:paraId="047E440E" w14:textId="77777777" w:rsidR="004A4D24" w:rsidRDefault="004A4D24">
                          <w:pPr>
                            <w:pStyle w:val="WitregelW2"/>
                          </w:pPr>
                        </w:p>
                        <w:p w14:paraId="7B05710C" w14:textId="77777777" w:rsidR="004A4D24" w:rsidRDefault="005F2630">
                          <w:pPr>
                            <w:pStyle w:val="StandaardReferentiegegevensKop"/>
                          </w:pPr>
                          <w:r>
                            <w:t>Ons kenmerk</w:t>
                          </w:r>
                        </w:p>
                        <w:p w14:paraId="1ACEE0C2" w14:textId="1DA29716" w:rsidR="00AA7F8F" w:rsidRDefault="00D908B2">
                          <w:pPr>
                            <w:pStyle w:val="StandaardReferentiegegevens"/>
                          </w:pPr>
                          <w:r>
                            <w:fldChar w:fldCharType="begin"/>
                          </w:r>
                          <w:r>
                            <w:instrText xml:space="preserve"> DOCPROPERTY  "Kenmerk"  \* MERGEFORMAT </w:instrText>
                          </w:r>
                          <w:r>
                            <w:fldChar w:fldCharType="separate"/>
                          </w:r>
                          <w:r>
                            <w:t>2025-0000107792</w:t>
                          </w:r>
                          <w:r>
                            <w:fldChar w:fldCharType="end"/>
                          </w:r>
                        </w:p>
                        <w:p w14:paraId="0D912EA6" w14:textId="4A7B3645" w:rsidR="00AA7F8F" w:rsidRDefault="000D616F">
                          <w:pPr>
                            <w:pStyle w:val="StandaardReferentiegegevens"/>
                          </w:pPr>
                          <w:r>
                            <w:fldChar w:fldCharType="begin"/>
                          </w:r>
                          <w:r>
                            <w:instrText xml:space="preserve"> DOCPROPERTY  "UwKenmerk"  \* MERGEFORMAT </w:instrText>
                          </w:r>
                          <w:r>
                            <w:fldChar w:fldCharType="end"/>
                          </w:r>
                        </w:p>
                        <w:p w14:paraId="15B74450" w14:textId="77777777" w:rsidR="004A4D24" w:rsidRDefault="004A4D24">
                          <w:pPr>
                            <w:pStyle w:val="WitregelW1"/>
                          </w:pPr>
                        </w:p>
                        <w:p w14:paraId="32C478C5" w14:textId="77777777" w:rsidR="004A4D24" w:rsidRDefault="004A4D24">
                          <w:pPr>
                            <w:pStyle w:val="StandaardReferentiegegevens"/>
                          </w:pPr>
                        </w:p>
                      </w:txbxContent>
                    </wps:txbx>
                    <wps:bodyPr vert="horz" wrap="square" lIns="0" tIns="0" rIns="0" bIns="0" anchor="t" anchorCtr="0"/>
                  </wps:wsp>
                </a:graphicData>
              </a:graphic>
            </wp:anchor>
          </w:drawing>
        </mc:Choice>
        <mc:Fallback>
          <w:pict>
            <v:shape w14:anchorId="2258CD1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E3EEE24" w14:textId="77777777" w:rsidR="004A4D24" w:rsidRDefault="005F2630">
                    <w:pPr>
                      <w:pStyle w:val="StandaardReferentiegegevensKop"/>
                    </w:pPr>
                    <w:r>
                      <w:t>Directie Directe Belastingen &amp; Toeslagen</w:t>
                    </w:r>
                  </w:p>
                  <w:p w14:paraId="1F4286C3" w14:textId="77777777" w:rsidR="004A4D24" w:rsidRDefault="004A4D24">
                    <w:pPr>
                      <w:pStyle w:val="WitregelW1"/>
                    </w:pPr>
                  </w:p>
                  <w:p w14:paraId="5638BCB5" w14:textId="77777777" w:rsidR="004A4D24" w:rsidRDefault="005F2630">
                    <w:pPr>
                      <w:pStyle w:val="StandaardReferentiegegevens"/>
                    </w:pPr>
                    <w:r>
                      <w:t>Korte Voorhout 7</w:t>
                    </w:r>
                  </w:p>
                  <w:p w14:paraId="59AC4BBC" w14:textId="77777777" w:rsidR="004A4D24" w:rsidRDefault="005F2630">
                    <w:pPr>
                      <w:pStyle w:val="StandaardReferentiegegevens"/>
                    </w:pPr>
                    <w:r>
                      <w:t>2511 CW  'S-GRAVENHAGE</w:t>
                    </w:r>
                  </w:p>
                  <w:p w14:paraId="41E25F49" w14:textId="77777777" w:rsidR="004A4D24" w:rsidRDefault="005F2630">
                    <w:pPr>
                      <w:pStyle w:val="StandaardReferentiegegevens"/>
                    </w:pPr>
                    <w:r>
                      <w:t>POSTBUS 20201</w:t>
                    </w:r>
                  </w:p>
                  <w:p w14:paraId="246E5441" w14:textId="77777777" w:rsidR="004A4D24" w:rsidRDefault="005F2630">
                    <w:pPr>
                      <w:pStyle w:val="StandaardReferentiegegevens"/>
                    </w:pPr>
                    <w:r>
                      <w:t>2500 EE  'S-GRAVENHAGE</w:t>
                    </w:r>
                  </w:p>
                  <w:p w14:paraId="37A30832" w14:textId="77777777" w:rsidR="004A4D24" w:rsidRDefault="005F2630">
                    <w:pPr>
                      <w:pStyle w:val="StandaardReferentiegegevens"/>
                    </w:pPr>
                    <w:r>
                      <w:t>www.rijksoverheid.nl/fin</w:t>
                    </w:r>
                  </w:p>
                  <w:p w14:paraId="047E440E" w14:textId="77777777" w:rsidR="004A4D24" w:rsidRDefault="004A4D24">
                    <w:pPr>
                      <w:pStyle w:val="WitregelW2"/>
                    </w:pPr>
                  </w:p>
                  <w:p w14:paraId="7B05710C" w14:textId="77777777" w:rsidR="004A4D24" w:rsidRDefault="005F2630">
                    <w:pPr>
                      <w:pStyle w:val="StandaardReferentiegegevensKop"/>
                    </w:pPr>
                    <w:r>
                      <w:t>Ons kenmerk</w:t>
                    </w:r>
                  </w:p>
                  <w:p w14:paraId="1ACEE0C2" w14:textId="1DA29716" w:rsidR="00AA7F8F" w:rsidRDefault="00D908B2">
                    <w:pPr>
                      <w:pStyle w:val="StandaardReferentiegegevens"/>
                    </w:pPr>
                    <w:r>
                      <w:fldChar w:fldCharType="begin"/>
                    </w:r>
                    <w:r>
                      <w:instrText xml:space="preserve"> DOCPROPERTY  "Kenmerk"  \* MERGEFORMAT </w:instrText>
                    </w:r>
                    <w:r>
                      <w:fldChar w:fldCharType="separate"/>
                    </w:r>
                    <w:r>
                      <w:t>2025-0000107792</w:t>
                    </w:r>
                    <w:r>
                      <w:fldChar w:fldCharType="end"/>
                    </w:r>
                  </w:p>
                  <w:p w14:paraId="0D912EA6" w14:textId="4A7B3645" w:rsidR="00AA7F8F" w:rsidRDefault="000D616F">
                    <w:pPr>
                      <w:pStyle w:val="StandaardReferentiegegevens"/>
                    </w:pPr>
                    <w:r>
                      <w:fldChar w:fldCharType="begin"/>
                    </w:r>
                    <w:r>
                      <w:instrText xml:space="preserve"> DOCPROPERTY  "UwKenmerk"  \* MERGEFORMAT </w:instrText>
                    </w:r>
                    <w:r>
                      <w:fldChar w:fldCharType="end"/>
                    </w:r>
                  </w:p>
                  <w:p w14:paraId="15B74450" w14:textId="77777777" w:rsidR="004A4D24" w:rsidRDefault="004A4D24">
                    <w:pPr>
                      <w:pStyle w:val="WitregelW1"/>
                    </w:pPr>
                  </w:p>
                  <w:p w14:paraId="32C478C5" w14:textId="77777777" w:rsidR="004A4D24" w:rsidRDefault="004A4D24">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C60F42" wp14:editId="3244618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37B0DB5" w14:textId="77777777" w:rsidR="004A4D24" w:rsidRDefault="005F263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DC60F4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37B0DB5" w14:textId="77777777" w:rsidR="004A4D24" w:rsidRDefault="005F263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45DFF9D" wp14:editId="2523EAC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B010EFD" w14:textId="1EF89BB0" w:rsidR="00AA7F8F" w:rsidRDefault="000D616F">
                          <w:pPr>
                            <w:pStyle w:val="Rubricering"/>
                          </w:pPr>
                          <w:r>
                            <w:fldChar w:fldCharType="begin"/>
                          </w:r>
                          <w:r>
                            <w:instrText xml:space="preserve"> DOCPROPERTY  "Rubricering"  \* MERGEFORMAT </w:instrText>
                          </w:r>
                          <w:r>
                            <w:fldChar w:fldCharType="end"/>
                          </w:r>
                        </w:p>
                        <w:p w14:paraId="52A8F180" w14:textId="77777777" w:rsidR="004A4D24" w:rsidRDefault="005F263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45DFF9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B010EFD" w14:textId="1EF89BB0" w:rsidR="00AA7F8F" w:rsidRDefault="000D616F">
                    <w:pPr>
                      <w:pStyle w:val="Rubricering"/>
                    </w:pPr>
                    <w:r>
                      <w:fldChar w:fldCharType="begin"/>
                    </w:r>
                    <w:r>
                      <w:instrText xml:space="preserve"> DOCPROPERTY  "Rubricering"  \* MERGEFORMAT </w:instrText>
                    </w:r>
                    <w:r>
                      <w:fldChar w:fldCharType="end"/>
                    </w:r>
                  </w:p>
                  <w:p w14:paraId="52A8F180" w14:textId="77777777" w:rsidR="004A4D24" w:rsidRDefault="005F263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F2855E" wp14:editId="0BF3666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89B63F7" w14:textId="77777777" w:rsidR="00AA7F8F" w:rsidRDefault="000D616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F2855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89B63F7" w14:textId="77777777" w:rsidR="00AA7F8F" w:rsidRDefault="000D616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3AB5B34" wp14:editId="2FD683B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A4D24" w14:paraId="78AE3CF5" w14:textId="77777777">
                            <w:trPr>
                              <w:trHeight w:val="200"/>
                            </w:trPr>
                            <w:tc>
                              <w:tcPr>
                                <w:tcW w:w="1140" w:type="dxa"/>
                              </w:tcPr>
                              <w:p w14:paraId="58F5046B" w14:textId="77777777" w:rsidR="004A4D24" w:rsidRDefault="004A4D24"/>
                            </w:tc>
                            <w:tc>
                              <w:tcPr>
                                <w:tcW w:w="5400" w:type="dxa"/>
                              </w:tcPr>
                              <w:p w14:paraId="4AB76519" w14:textId="77777777" w:rsidR="004A4D24" w:rsidRDefault="004A4D24"/>
                            </w:tc>
                          </w:tr>
                          <w:tr w:rsidR="004A4D24" w14:paraId="1E49BA01" w14:textId="77777777">
                            <w:trPr>
                              <w:trHeight w:val="240"/>
                            </w:trPr>
                            <w:tc>
                              <w:tcPr>
                                <w:tcW w:w="1140" w:type="dxa"/>
                              </w:tcPr>
                              <w:p w14:paraId="4F656AC7" w14:textId="77777777" w:rsidR="004A4D24" w:rsidRDefault="005F2630">
                                <w:r>
                                  <w:t>Datum</w:t>
                                </w:r>
                              </w:p>
                            </w:tc>
                            <w:tc>
                              <w:tcPr>
                                <w:tcW w:w="5400" w:type="dxa"/>
                              </w:tcPr>
                              <w:p w14:paraId="00BE442A" w14:textId="611C2313" w:rsidR="004A4D24" w:rsidRDefault="002E3033">
                                <w:r>
                                  <w:t>24 april 2025</w:t>
                                </w:r>
                              </w:p>
                            </w:tc>
                          </w:tr>
                          <w:tr w:rsidR="004A4D24" w14:paraId="63D83916" w14:textId="77777777">
                            <w:trPr>
                              <w:trHeight w:val="240"/>
                            </w:trPr>
                            <w:tc>
                              <w:tcPr>
                                <w:tcW w:w="1140" w:type="dxa"/>
                              </w:tcPr>
                              <w:p w14:paraId="0D717B6E" w14:textId="77777777" w:rsidR="004A4D24" w:rsidRDefault="005F2630">
                                <w:r>
                                  <w:t>Betreft</w:t>
                                </w:r>
                              </w:p>
                            </w:tc>
                            <w:tc>
                              <w:tcPr>
                                <w:tcW w:w="5400" w:type="dxa"/>
                              </w:tcPr>
                              <w:p w14:paraId="5598D961" w14:textId="47A43874" w:rsidR="00AA7F8F" w:rsidRDefault="000D616F">
                                <w:fldSimple w:instr=" DOCPROPERTY  &quot;Onderwerp&quot;  \* MERGEFORMAT ">
                                  <w:r w:rsidR="00D908B2">
                                    <w:t>Publicatie besluiten op Woo-verzoeken inzake grondslagleenconstructies met EIA en MIA</w:t>
                                  </w:r>
                                </w:fldSimple>
                              </w:p>
                            </w:tc>
                          </w:tr>
                          <w:tr w:rsidR="004A4D24" w14:paraId="015B63C1" w14:textId="77777777">
                            <w:trPr>
                              <w:trHeight w:val="200"/>
                            </w:trPr>
                            <w:tc>
                              <w:tcPr>
                                <w:tcW w:w="1140" w:type="dxa"/>
                              </w:tcPr>
                              <w:p w14:paraId="7912F73A" w14:textId="77777777" w:rsidR="004A4D24" w:rsidRDefault="004A4D24"/>
                            </w:tc>
                            <w:tc>
                              <w:tcPr>
                                <w:tcW w:w="4738" w:type="dxa"/>
                              </w:tcPr>
                              <w:p w14:paraId="67A35E09" w14:textId="77777777" w:rsidR="004A4D24" w:rsidRDefault="004A4D24"/>
                            </w:tc>
                          </w:tr>
                        </w:tbl>
                        <w:p w14:paraId="2A0E867B" w14:textId="77777777" w:rsidR="005F2630" w:rsidRDefault="005F2630"/>
                      </w:txbxContent>
                    </wps:txbx>
                    <wps:bodyPr vert="horz" wrap="square" lIns="0" tIns="0" rIns="0" bIns="0" anchor="t" anchorCtr="0"/>
                  </wps:wsp>
                </a:graphicData>
              </a:graphic>
            </wp:anchor>
          </w:drawing>
        </mc:Choice>
        <mc:Fallback>
          <w:pict>
            <v:shape w14:anchorId="13AB5B3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A4D24" w14:paraId="78AE3CF5" w14:textId="77777777">
                      <w:trPr>
                        <w:trHeight w:val="200"/>
                      </w:trPr>
                      <w:tc>
                        <w:tcPr>
                          <w:tcW w:w="1140" w:type="dxa"/>
                        </w:tcPr>
                        <w:p w14:paraId="58F5046B" w14:textId="77777777" w:rsidR="004A4D24" w:rsidRDefault="004A4D24"/>
                      </w:tc>
                      <w:tc>
                        <w:tcPr>
                          <w:tcW w:w="5400" w:type="dxa"/>
                        </w:tcPr>
                        <w:p w14:paraId="4AB76519" w14:textId="77777777" w:rsidR="004A4D24" w:rsidRDefault="004A4D24"/>
                      </w:tc>
                    </w:tr>
                    <w:tr w:rsidR="004A4D24" w14:paraId="1E49BA01" w14:textId="77777777">
                      <w:trPr>
                        <w:trHeight w:val="240"/>
                      </w:trPr>
                      <w:tc>
                        <w:tcPr>
                          <w:tcW w:w="1140" w:type="dxa"/>
                        </w:tcPr>
                        <w:p w14:paraId="4F656AC7" w14:textId="77777777" w:rsidR="004A4D24" w:rsidRDefault="005F2630">
                          <w:r>
                            <w:t>Datum</w:t>
                          </w:r>
                        </w:p>
                      </w:tc>
                      <w:tc>
                        <w:tcPr>
                          <w:tcW w:w="5400" w:type="dxa"/>
                        </w:tcPr>
                        <w:p w14:paraId="00BE442A" w14:textId="611C2313" w:rsidR="004A4D24" w:rsidRDefault="002E3033">
                          <w:r>
                            <w:t>24 april 2025</w:t>
                          </w:r>
                        </w:p>
                      </w:tc>
                    </w:tr>
                    <w:tr w:rsidR="004A4D24" w14:paraId="63D83916" w14:textId="77777777">
                      <w:trPr>
                        <w:trHeight w:val="240"/>
                      </w:trPr>
                      <w:tc>
                        <w:tcPr>
                          <w:tcW w:w="1140" w:type="dxa"/>
                        </w:tcPr>
                        <w:p w14:paraId="0D717B6E" w14:textId="77777777" w:rsidR="004A4D24" w:rsidRDefault="005F2630">
                          <w:r>
                            <w:t>Betreft</w:t>
                          </w:r>
                        </w:p>
                      </w:tc>
                      <w:tc>
                        <w:tcPr>
                          <w:tcW w:w="5400" w:type="dxa"/>
                        </w:tcPr>
                        <w:p w14:paraId="5598D961" w14:textId="47A43874" w:rsidR="00AA7F8F" w:rsidRDefault="000D616F">
                          <w:fldSimple w:instr=" DOCPROPERTY  &quot;Onderwerp&quot;  \* MERGEFORMAT ">
                            <w:r w:rsidR="00D908B2">
                              <w:t>Publicatie besluiten op Woo-verzoeken inzake grondslagleenconstructies met EIA en MIA</w:t>
                            </w:r>
                          </w:fldSimple>
                        </w:p>
                      </w:tc>
                    </w:tr>
                    <w:tr w:rsidR="004A4D24" w14:paraId="015B63C1" w14:textId="77777777">
                      <w:trPr>
                        <w:trHeight w:val="200"/>
                      </w:trPr>
                      <w:tc>
                        <w:tcPr>
                          <w:tcW w:w="1140" w:type="dxa"/>
                        </w:tcPr>
                        <w:p w14:paraId="7912F73A" w14:textId="77777777" w:rsidR="004A4D24" w:rsidRDefault="004A4D24"/>
                      </w:tc>
                      <w:tc>
                        <w:tcPr>
                          <w:tcW w:w="4738" w:type="dxa"/>
                        </w:tcPr>
                        <w:p w14:paraId="67A35E09" w14:textId="77777777" w:rsidR="004A4D24" w:rsidRDefault="004A4D24"/>
                      </w:tc>
                    </w:tr>
                  </w:tbl>
                  <w:p w14:paraId="2A0E867B" w14:textId="77777777" w:rsidR="005F2630" w:rsidRDefault="005F263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3875181" wp14:editId="094E95C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0FC6171" w14:textId="36E199BC" w:rsidR="00AA7F8F" w:rsidRDefault="000D616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387518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0FC6171" w14:textId="36E199BC" w:rsidR="00AA7F8F" w:rsidRDefault="000D616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6D50448" wp14:editId="551203D7">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9579EE6" w14:textId="77777777" w:rsidR="005F2630" w:rsidRDefault="005F2630"/>
                      </w:txbxContent>
                    </wps:txbx>
                    <wps:bodyPr vert="horz" wrap="square" lIns="0" tIns="0" rIns="0" bIns="0" anchor="t" anchorCtr="0"/>
                  </wps:wsp>
                </a:graphicData>
              </a:graphic>
            </wp:anchor>
          </w:drawing>
        </mc:Choice>
        <mc:Fallback>
          <w:pict>
            <v:shape w14:anchorId="26D5044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9579EE6" w14:textId="77777777" w:rsidR="005F2630" w:rsidRDefault="005F263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7D61"/>
    <w:multiLevelType w:val="multilevel"/>
    <w:tmpl w:val="F530A87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BB1FC"/>
    <w:multiLevelType w:val="multilevel"/>
    <w:tmpl w:val="FC183B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23C900E"/>
    <w:multiLevelType w:val="multilevel"/>
    <w:tmpl w:val="177C340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A253E5"/>
    <w:multiLevelType w:val="hybridMultilevel"/>
    <w:tmpl w:val="71567938"/>
    <w:lvl w:ilvl="0" w:tplc="DB3050BA">
      <w:start w:val="1"/>
      <w:numFmt w:val="bullet"/>
      <w:lvlText w:val=""/>
      <w:lvlJc w:val="left"/>
      <w:pPr>
        <w:ind w:left="1020" w:hanging="360"/>
      </w:pPr>
      <w:rPr>
        <w:rFonts w:ascii="Symbol" w:hAnsi="Symbol"/>
      </w:rPr>
    </w:lvl>
    <w:lvl w:ilvl="1" w:tplc="63C4C214">
      <w:start w:val="1"/>
      <w:numFmt w:val="bullet"/>
      <w:lvlText w:val=""/>
      <w:lvlJc w:val="left"/>
      <w:pPr>
        <w:ind w:left="1020" w:hanging="360"/>
      </w:pPr>
      <w:rPr>
        <w:rFonts w:ascii="Symbol" w:hAnsi="Symbol"/>
      </w:rPr>
    </w:lvl>
    <w:lvl w:ilvl="2" w:tplc="3132BDFC">
      <w:start w:val="1"/>
      <w:numFmt w:val="bullet"/>
      <w:lvlText w:val=""/>
      <w:lvlJc w:val="left"/>
      <w:pPr>
        <w:ind w:left="1020" w:hanging="360"/>
      </w:pPr>
      <w:rPr>
        <w:rFonts w:ascii="Symbol" w:hAnsi="Symbol"/>
      </w:rPr>
    </w:lvl>
    <w:lvl w:ilvl="3" w:tplc="E834BB1A">
      <w:start w:val="1"/>
      <w:numFmt w:val="bullet"/>
      <w:lvlText w:val=""/>
      <w:lvlJc w:val="left"/>
      <w:pPr>
        <w:ind w:left="1020" w:hanging="360"/>
      </w:pPr>
      <w:rPr>
        <w:rFonts w:ascii="Symbol" w:hAnsi="Symbol"/>
      </w:rPr>
    </w:lvl>
    <w:lvl w:ilvl="4" w:tplc="7E5AB200">
      <w:start w:val="1"/>
      <w:numFmt w:val="bullet"/>
      <w:lvlText w:val=""/>
      <w:lvlJc w:val="left"/>
      <w:pPr>
        <w:ind w:left="1020" w:hanging="360"/>
      </w:pPr>
      <w:rPr>
        <w:rFonts w:ascii="Symbol" w:hAnsi="Symbol"/>
      </w:rPr>
    </w:lvl>
    <w:lvl w:ilvl="5" w:tplc="4B4E5296">
      <w:start w:val="1"/>
      <w:numFmt w:val="bullet"/>
      <w:lvlText w:val=""/>
      <w:lvlJc w:val="left"/>
      <w:pPr>
        <w:ind w:left="1020" w:hanging="360"/>
      </w:pPr>
      <w:rPr>
        <w:rFonts w:ascii="Symbol" w:hAnsi="Symbol"/>
      </w:rPr>
    </w:lvl>
    <w:lvl w:ilvl="6" w:tplc="B350BB6C">
      <w:start w:val="1"/>
      <w:numFmt w:val="bullet"/>
      <w:lvlText w:val=""/>
      <w:lvlJc w:val="left"/>
      <w:pPr>
        <w:ind w:left="1020" w:hanging="360"/>
      </w:pPr>
      <w:rPr>
        <w:rFonts w:ascii="Symbol" w:hAnsi="Symbol"/>
      </w:rPr>
    </w:lvl>
    <w:lvl w:ilvl="7" w:tplc="9F7257D4">
      <w:start w:val="1"/>
      <w:numFmt w:val="bullet"/>
      <w:lvlText w:val=""/>
      <w:lvlJc w:val="left"/>
      <w:pPr>
        <w:ind w:left="1020" w:hanging="360"/>
      </w:pPr>
      <w:rPr>
        <w:rFonts w:ascii="Symbol" w:hAnsi="Symbol"/>
      </w:rPr>
    </w:lvl>
    <w:lvl w:ilvl="8" w:tplc="E26AA816">
      <w:start w:val="1"/>
      <w:numFmt w:val="bullet"/>
      <w:lvlText w:val=""/>
      <w:lvlJc w:val="left"/>
      <w:pPr>
        <w:ind w:left="1020" w:hanging="360"/>
      </w:pPr>
      <w:rPr>
        <w:rFonts w:ascii="Symbol" w:hAnsi="Symbol"/>
      </w:rPr>
    </w:lvl>
  </w:abstractNum>
  <w:abstractNum w:abstractNumId="4" w15:restartNumberingAfterBreak="0">
    <w:nsid w:val="29C81CAB"/>
    <w:multiLevelType w:val="hybridMultilevel"/>
    <w:tmpl w:val="E73C8B72"/>
    <w:lvl w:ilvl="0" w:tplc="22BCD17C">
      <w:start w:val="1"/>
      <w:numFmt w:val="bullet"/>
      <w:lvlText w:val=""/>
      <w:lvlJc w:val="left"/>
      <w:pPr>
        <w:ind w:left="1020" w:hanging="360"/>
      </w:pPr>
      <w:rPr>
        <w:rFonts w:ascii="Symbol" w:hAnsi="Symbol"/>
      </w:rPr>
    </w:lvl>
    <w:lvl w:ilvl="1" w:tplc="3A842A6E">
      <w:start w:val="1"/>
      <w:numFmt w:val="bullet"/>
      <w:lvlText w:val=""/>
      <w:lvlJc w:val="left"/>
      <w:pPr>
        <w:ind w:left="1020" w:hanging="360"/>
      </w:pPr>
      <w:rPr>
        <w:rFonts w:ascii="Symbol" w:hAnsi="Symbol"/>
      </w:rPr>
    </w:lvl>
    <w:lvl w:ilvl="2" w:tplc="20FE0E08">
      <w:start w:val="1"/>
      <w:numFmt w:val="bullet"/>
      <w:lvlText w:val=""/>
      <w:lvlJc w:val="left"/>
      <w:pPr>
        <w:ind w:left="1020" w:hanging="360"/>
      </w:pPr>
      <w:rPr>
        <w:rFonts w:ascii="Symbol" w:hAnsi="Symbol"/>
      </w:rPr>
    </w:lvl>
    <w:lvl w:ilvl="3" w:tplc="A7062238">
      <w:start w:val="1"/>
      <w:numFmt w:val="bullet"/>
      <w:lvlText w:val=""/>
      <w:lvlJc w:val="left"/>
      <w:pPr>
        <w:ind w:left="1020" w:hanging="360"/>
      </w:pPr>
      <w:rPr>
        <w:rFonts w:ascii="Symbol" w:hAnsi="Symbol"/>
      </w:rPr>
    </w:lvl>
    <w:lvl w:ilvl="4" w:tplc="2F72B0FC">
      <w:start w:val="1"/>
      <w:numFmt w:val="bullet"/>
      <w:lvlText w:val=""/>
      <w:lvlJc w:val="left"/>
      <w:pPr>
        <w:ind w:left="1020" w:hanging="360"/>
      </w:pPr>
      <w:rPr>
        <w:rFonts w:ascii="Symbol" w:hAnsi="Symbol"/>
      </w:rPr>
    </w:lvl>
    <w:lvl w:ilvl="5" w:tplc="5FDE21F4">
      <w:start w:val="1"/>
      <w:numFmt w:val="bullet"/>
      <w:lvlText w:val=""/>
      <w:lvlJc w:val="left"/>
      <w:pPr>
        <w:ind w:left="1020" w:hanging="360"/>
      </w:pPr>
      <w:rPr>
        <w:rFonts w:ascii="Symbol" w:hAnsi="Symbol"/>
      </w:rPr>
    </w:lvl>
    <w:lvl w:ilvl="6" w:tplc="D9C63BBE">
      <w:start w:val="1"/>
      <w:numFmt w:val="bullet"/>
      <w:lvlText w:val=""/>
      <w:lvlJc w:val="left"/>
      <w:pPr>
        <w:ind w:left="1020" w:hanging="360"/>
      </w:pPr>
      <w:rPr>
        <w:rFonts w:ascii="Symbol" w:hAnsi="Symbol"/>
      </w:rPr>
    </w:lvl>
    <w:lvl w:ilvl="7" w:tplc="36B8C334">
      <w:start w:val="1"/>
      <w:numFmt w:val="bullet"/>
      <w:lvlText w:val=""/>
      <w:lvlJc w:val="left"/>
      <w:pPr>
        <w:ind w:left="1020" w:hanging="360"/>
      </w:pPr>
      <w:rPr>
        <w:rFonts w:ascii="Symbol" w:hAnsi="Symbol"/>
      </w:rPr>
    </w:lvl>
    <w:lvl w:ilvl="8" w:tplc="530EAB2E">
      <w:start w:val="1"/>
      <w:numFmt w:val="bullet"/>
      <w:lvlText w:val=""/>
      <w:lvlJc w:val="left"/>
      <w:pPr>
        <w:ind w:left="1020" w:hanging="360"/>
      </w:pPr>
      <w:rPr>
        <w:rFonts w:ascii="Symbol" w:hAnsi="Symbol"/>
      </w:rPr>
    </w:lvl>
  </w:abstractNum>
  <w:abstractNum w:abstractNumId="5" w15:restartNumberingAfterBreak="0">
    <w:nsid w:val="41F80C59"/>
    <w:multiLevelType w:val="hybridMultilevel"/>
    <w:tmpl w:val="6C32535A"/>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43FB2A43"/>
    <w:multiLevelType w:val="hybridMultilevel"/>
    <w:tmpl w:val="315CFB36"/>
    <w:lvl w:ilvl="0" w:tplc="EC3A2428">
      <w:start w:val="1"/>
      <w:numFmt w:val="bullet"/>
      <w:lvlText w:val=""/>
      <w:lvlJc w:val="left"/>
      <w:pPr>
        <w:ind w:left="1020" w:hanging="360"/>
      </w:pPr>
      <w:rPr>
        <w:rFonts w:ascii="Symbol" w:hAnsi="Symbol"/>
      </w:rPr>
    </w:lvl>
    <w:lvl w:ilvl="1" w:tplc="8856BAAE">
      <w:start w:val="1"/>
      <w:numFmt w:val="bullet"/>
      <w:lvlText w:val=""/>
      <w:lvlJc w:val="left"/>
      <w:pPr>
        <w:ind w:left="1020" w:hanging="360"/>
      </w:pPr>
      <w:rPr>
        <w:rFonts w:ascii="Symbol" w:hAnsi="Symbol"/>
      </w:rPr>
    </w:lvl>
    <w:lvl w:ilvl="2" w:tplc="193C96C8">
      <w:start w:val="1"/>
      <w:numFmt w:val="bullet"/>
      <w:lvlText w:val=""/>
      <w:lvlJc w:val="left"/>
      <w:pPr>
        <w:ind w:left="1020" w:hanging="360"/>
      </w:pPr>
      <w:rPr>
        <w:rFonts w:ascii="Symbol" w:hAnsi="Symbol"/>
      </w:rPr>
    </w:lvl>
    <w:lvl w:ilvl="3" w:tplc="DC7654B8">
      <w:start w:val="1"/>
      <w:numFmt w:val="bullet"/>
      <w:lvlText w:val=""/>
      <w:lvlJc w:val="left"/>
      <w:pPr>
        <w:ind w:left="1020" w:hanging="360"/>
      </w:pPr>
      <w:rPr>
        <w:rFonts w:ascii="Symbol" w:hAnsi="Symbol"/>
      </w:rPr>
    </w:lvl>
    <w:lvl w:ilvl="4" w:tplc="71205A96">
      <w:start w:val="1"/>
      <w:numFmt w:val="bullet"/>
      <w:lvlText w:val=""/>
      <w:lvlJc w:val="left"/>
      <w:pPr>
        <w:ind w:left="1020" w:hanging="360"/>
      </w:pPr>
      <w:rPr>
        <w:rFonts w:ascii="Symbol" w:hAnsi="Symbol"/>
      </w:rPr>
    </w:lvl>
    <w:lvl w:ilvl="5" w:tplc="C8027AC2">
      <w:start w:val="1"/>
      <w:numFmt w:val="bullet"/>
      <w:lvlText w:val=""/>
      <w:lvlJc w:val="left"/>
      <w:pPr>
        <w:ind w:left="1020" w:hanging="360"/>
      </w:pPr>
      <w:rPr>
        <w:rFonts w:ascii="Symbol" w:hAnsi="Symbol"/>
      </w:rPr>
    </w:lvl>
    <w:lvl w:ilvl="6" w:tplc="E11ED158">
      <w:start w:val="1"/>
      <w:numFmt w:val="bullet"/>
      <w:lvlText w:val=""/>
      <w:lvlJc w:val="left"/>
      <w:pPr>
        <w:ind w:left="1020" w:hanging="360"/>
      </w:pPr>
      <w:rPr>
        <w:rFonts w:ascii="Symbol" w:hAnsi="Symbol"/>
      </w:rPr>
    </w:lvl>
    <w:lvl w:ilvl="7" w:tplc="C2C82988">
      <w:start w:val="1"/>
      <w:numFmt w:val="bullet"/>
      <w:lvlText w:val=""/>
      <w:lvlJc w:val="left"/>
      <w:pPr>
        <w:ind w:left="1020" w:hanging="360"/>
      </w:pPr>
      <w:rPr>
        <w:rFonts w:ascii="Symbol" w:hAnsi="Symbol"/>
      </w:rPr>
    </w:lvl>
    <w:lvl w:ilvl="8" w:tplc="8C8AFD52">
      <w:start w:val="1"/>
      <w:numFmt w:val="bullet"/>
      <w:lvlText w:val=""/>
      <w:lvlJc w:val="left"/>
      <w:pPr>
        <w:ind w:left="1020" w:hanging="360"/>
      </w:pPr>
      <w:rPr>
        <w:rFonts w:ascii="Symbol" w:hAnsi="Symbol"/>
      </w:rPr>
    </w:lvl>
  </w:abstractNum>
  <w:abstractNum w:abstractNumId="7" w15:restartNumberingAfterBreak="0">
    <w:nsid w:val="5423CAFC"/>
    <w:multiLevelType w:val="multilevel"/>
    <w:tmpl w:val="EEC76F5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11AB059"/>
    <w:multiLevelType w:val="multilevel"/>
    <w:tmpl w:val="FE3E519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87DF80"/>
    <w:multiLevelType w:val="multilevel"/>
    <w:tmpl w:val="22CAC15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8033541">
    <w:abstractNumId w:val="2"/>
  </w:num>
  <w:num w:numId="2" w16cid:durableId="1133863586">
    <w:abstractNumId w:val="0"/>
  </w:num>
  <w:num w:numId="3" w16cid:durableId="1291323162">
    <w:abstractNumId w:val="1"/>
  </w:num>
  <w:num w:numId="4" w16cid:durableId="1405033394">
    <w:abstractNumId w:val="7"/>
  </w:num>
  <w:num w:numId="5" w16cid:durableId="1416980122">
    <w:abstractNumId w:val="9"/>
  </w:num>
  <w:num w:numId="6" w16cid:durableId="1036006716">
    <w:abstractNumId w:val="8"/>
  </w:num>
  <w:num w:numId="7" w16cid:durableId="1998459964">
    <w:abstractNumId w:val="5"/>
  </w:num>
  <w:num w:numId="8" w16cid:durableId="2059238001">
    <w:abstractNumId w:val="3"/>
  </w:num>
  <w:num w:numId="9" w16cid:durableId="2003586769">
    <w:abstractNumId w:val="6"/>
  </w:num>
  <w:num w:numId="10" w16cid:durableId="994989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24"/>
    <w:rsid w:val="00003CA3"/>
    <w:rsid w:val="00004734"/>
    <w:rsid w:val="000C6F13"/>
    <w:rsid w:val="000D3980"/>
    <w:rsid w:val="000D616F"/>
    <w:rsid w:val="000E09E8"/>
    <w:rsid w:val="00101D85"/>
    <w:rsid w:val="00105F6D"/>
    <w:rsid w:val="001078EE"/>
    <w:rsid w:val="00137077"/>
    <w:rsid w:val="00146AB2"/>
    <w:rsid w:val="001601B0"/>
    <w:rsid w:val="00161E51"/>
    <w:rsid w:val="001652D5"/>
    <w:rsid w:val="00176321"/>
    <w:rsid w:val="0019401F"/>
    <w:rsid w:val="001D517E"/>
    <w:rsid w:val="001E5FE6"/>
    <w:rsid w:val="00213101"/>
    <w:rsid w:val="0022263E"/>
    <w:rsid w:val="00230D70"/>
    <w:rsid w:val="00296357"/>
    <w:rsid w:val="002C1D24"/>
    <w:rsid w:val="002C6C9E"/>
    <w:rsid w:val="002C7F0B"/>
    <w:rsid w:val="002E3033"/>
    <w:rsid w:val="002E6EB8"/>
    <w:rsid w:val="0032467E"/>
    <w:rsid w:val="00360B35"/>
    <w:rsid w:val="00374CA6"/>
    <w:rsid w:val="003759A0"/>
    <w:rsid w:val="003939E2"/>
    <w:rsid w:val="00395A1F"/>
    <w:rsid w:val="003A1C43"/>
    <w:rsid w:val="003B2690"/>
    <w:rsid w:val="003C52D8"/>
    <w:rsid w:val="003D6435"/>
    <w:rsid w:val="003E4B11"/>
    <w:rsid w:val="00405795"/>
    <w:rsid w:val="004064F0"/>
    <w:rsid w:val="004618EE"/>
    <w:rsid w:val="004926CA"/>
    <w:rsid w:val="004A4D24"/>
    <w:rsid w:val="004C39B9"/>
    <w:rsid w:val="004C4F4D"/>
    <w:rsid w:val="004C72AA"/>
    <w:rsid w:val="004D2ECD"/>
    <w:rsid w:val="004E66B8"/>
    <w:rsid w:val="004F4ED2"/>
    <w:rsid w:val="004F5D4F"/>
    <w:rsid w:val="004F6236"/>
    <w:rsid w:val="00513A46"/>
    <w:rsid w:val="005143CC"/>
    <w:rsid w:val="0053662A"/>
    <w:rsid w:val="0054682C"/>
    <w:rsid w:val="005474EE"/>
    <w:rsid w:val="00553AFA"/>
    <w:rsid w:val="005841E8"/>
    <w:rsid w:val="005A3295"/>
    <w:rsid w:val="005D29D4"/>
    <w:rsid w:val="005D3908"/>
    <w:rsid w:val="005D3AD2"/>
    <w:rsid w:val="005E55F3"/>
    <w:rsid w:val="005E6D6A"/>
    <w:rsid w:val="005E7E53"/>
    <w:rsid w:val="005F254B"/>
    <w:rsid w:val="005F2630"/>
    <w:rsid w:val="00603EE5"/>
    <w:rsid w:val="00605538"/>
    <w:rsid w:val="00612A46"/>
    <w:rsid w:val="00622219"/>
    <w:rsid w:val="00650642"/>
    <w:rsid w:val="00655805"/>
    <w:rsid w:val="006703A8"/>
    <w:rsid w:val="006837CB"/>
    <w:rsid w:val="00693551"/>
    <w:rsid w:val="006B11CA"/>
    <w:rsid w:val="006B2D02"/>
    <w:rsid w:val="006D0EAE"/>
    <w:rsid w:val="006F2BC8"/>
    <w:rsid w:val="00700530"/>
    <w:rsid w:val="0070193C"/>
    <w:rsid w:val="007046F8"/>
    <w:rsid w:val="0070627C"/>
    <w:rsid w:val="00706B9F"/>
    <w:rsid w:val="007335C9"/>
    <w:rsid w:val="00756FE7"/>
    <w:rsid w:val="007B33D9"/>
    <w:rsid w:val="007B7329"/>
    <w:rsid w:val="007C157D"/>
    <w:rsid w:val="007E59CD"/>
    <w:rsid w:val="007F18E6"/>
    <w:rsid w:val="00807BBD"/>
    <w:rsid w:val="00834E93"/>
    <w:rsid w:val="00851E34"/>
    <w:rsid w:val="00861BA3"/>
    <w:rsid w:val="00866604"/>
    <w:rsid w:val="00886622"/>
    <w:rsid w:val="00891DC0"/>
    <w:rsid w:val="008974B3"/>
    <w:rsid w:val="008A75D1"/>
    <w:rsid w:val="008B095C"/>
    <w:rsid w:val="008B0B75"/>
    <w:rsid w:val="008E2DD6"/>
    <w:rsid w:val="008E784C"/>
    <w:rsid w:val="008F78E4"/>
    <w:rsid w:val="00950892"/>
    <w:rsid w:val="00950D7A"/>
    <w:rsid w:val="00963974"/>
    <w:rsid w:val="00966E96"/>
    <w:rsid w:val="00977342"/>
    <w:rsid w:val="00980B67"/>
    <w:rsid w:val="00981D64"/>
    <w:rsid w:val="00982108"/>
    <w:rsid w:val="00997479"/>
    <w:rsid w:val="009A0118"/>
    <w:rsid w:val="009B0CB2"/>
    <w:rsid w:val="009B7320"/>
    <w:rsid w:val="009D0291"/>
    <w:rsid w:val="009E3FCE"/>
    <w:rsid w:val="009E4A54"/>
    <w:rsid w:val="00A23D25"/>
    <w:rsid w:val="00A32D31"/>
    <w:rsid w:val="00A41F87"/>
    <w:rsid w:val="00A434A6"/>
    <w:rsid w:val="00A468FC"/>
    <w:rsid w:val="00A50D77"/>
    <w:rsid w:val="00A82B87"/>
    <w:rsid w:val="00A87E78"/>
    <w:rsid w:val="00A91906"/>
    <w:rsid w:val="00A9738E"/>
    <w:rsid w:val="00AA556C"/>
    <w:rsid w:val="00AA7F8F"/>
    <w:rsid w:val="00AB75F9"/>
    <w:rsid w:val="00AC4FDD"/>
    <w:rsid w:val="00AC6651"/>
    <w:rsid w:val="00B44866"/>
    <w:rsid w:val="00B5119A"/>
    <w:rsid w:val="00B55C5E"/>
    <w:rsid w:val="00B57C32"/>
    <w:rsid w:val="00B636EE"/>
    <w:rsid w:val="00B7063C"/>
    <w:rsid w:val="00B742E0"/>
    <w:rsid w:val="00B76DB3"/>
    <w:rsid w:val="00B91201"/>
    <w:rsid w:val="00BA0387"/>
    <w:rsid w:val="00BB0D91"/>
    <w:rsid w:val="00BB1840"/>
    <w:rsid w:val="00BB6901"/>
    <w:rsid w:val="00BC77D6"/>
    <w:rsid w:val="00BF77F6"/>
    <w:rsid w:val="00C404F0"/>
    <w:rsid w:val="00C521E8"/>
    <w:rsid w:val="00C53B09"/>
    <w:rsid w:val="00C96894"/>
    <w:rsid w:val="00CB0FB5"/>
    <w:rsid w:val="00CC1C66"/>
    <w:rsid w:val="00CC6DAF"/>
    <w:rsid w:val="00CF5A4D"/>
    <w:rsid w:val="00D0703D"/>
    <w:rsid w:val="00D26DFA"/>
    <w:rsid w:val="00D5282A"/>
    <w:rsid w:val="00D61B06"/>
    <w:rsid w:val="00D6734D"/>
    <w:rsid w:val="00D77831"/>
    <w:rsid w:val="00D90007"/>
    <w:rsid w:val="00D908B2"/>
    <w:rsid w:val="00D94A5B"/>
    <w:rsid w:val="00DA6105"/>
    <w:rsid w:val="00DC0124"/>
    <w:rsid w:val="00DE0909"/>
    <w:rsid w:val="00E02F80"/>
    <w:rsid w:val="00E33ADF"/>
    <w:rsid w:val="00E45B9D"/>
    <w:rsid w:val="00E60CD4"/>
    <w:rsid w:val="00E85CD6"/>
    <w:rsid w:val="00E92E8A"/>
    <w:rsid w:val="00EB7936"/>
    <w:rsid w:val="00EE58C7"/>
    <w:rsid w:val="00F435F0"/>
    <w:rsid w:val="00F47CC8"/>
    <w:rsid w:val="00F5631E"/>
    <w:rsid w:val="00F70B6B"/>
    <w:rsid w:val="00F84B47"/>
    <w:rsid w:val="00F968D8"/>
    <w:rsid w:val="00FA4B44"/>
    <w:rsid w:val="00FE1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FC2B5"/>
  <w15:docId w15:val="{9852A030-9A2E-402F-9CF2-B2B0E7AA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D02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0291"/>
    <w:rPr>
      <w:rFonts w:ascii="Verdana" w:hAnsi="Verdana"/>
      <w:color w:val="000000"/>
      <w:sz w:val="18"/>
      <w:szCs w:val="18"/>
    </w:rPr>
  </w:style>
  <w:style w:type="paragraph" w:styleId="Voettekst">
    <w:name w:val="footer"/>
    <w:basedOn w:val="Standaard"/>
    <w:link w:val="VoettekstChar"/>
    <w:uiPriority w:val="99"/>
    <w:unhideWhenUsed/>
    <w:rsid w:val="009D029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D0291"/>
    <w:rPr>
      <w:rFonts w:ascii="Verdana" w:hAnsi="Verdana"/>
      <w:color w:val="000000"/>
      <w:sz w:val="18"/>
      <w:szCs w:val="18"/>
    </w:rPr>
  </w:style>
  <w:style w:type="character" w:styleId="Onopgelostemelding">
    <w:name w:val="Unresolved Mention"/>
    <w:basedOn w:val="Standaardalinea-lettertype"/>
    <w:uiPriority w:val="99"/>
    <w:semiHidden/>
    <w:unhideWhenUsed/>
    <w:rsid w:val="009D0291"/>
    <w:rPr>
      <w:color w:val="605E5C"/>
      <w:shd w:val="clear" w:color="auto" w:fill="E1DFDD"/>
    </w:rPr>
  </w:style>
  <w:style w:type="character" w:styleId="GevolgdeHyperlink">
    <w:name w:val="FollowedHyperlink"/>
    <w:basedOn w:val="Standaardalinea-lettertype"/>
    <w:uiPriority w:val="99"/>
    <w:semiHidden/>
    <w:unhideWhenUsed/>
    <w:rsid w:val="009D0291"/>
    <w:rPr>
      <w:color w:val="96607D" w:themeColor="followedHyperlink"/>
      <w:u w:val="single"/>
    </w:rPr>
  </w:style>
  <w:style w:type="paragraph" w:styleId="Voetnoottekst">
    <w:name w:val="footnote text"/>
    <w:basedOn w:val="Standaard"/>
    <w:link w:val="VoetnoottekstChar"/>
    <w:uiPriority w:val="99"/>
    <w:semiHidden/>
    <w:unhideWhenUsed/>
    <w:rsid w:val="009A0118"/>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A0118"/>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9A0118"/>
    <w:rPr>
      <w:vertAlign w:val="superscript"/>
    </w:rPr>
  </w:style>
  <w:style w:type="character" w:styleId="Verwijzingopmerking">
    <w:name w:val="annotation reference"/>
    <w:basedOn w:val="Standaardalinea-lettertype"/>
    <w:uiPriority w:val="99"/>
    <w:semiHidden/>
    <w:unhideWhenUsed/>
    <w:rsid w:val="000C6F13"/>
    <w:rPr>
      <w:sz w:val="16"/>
      <w:szCs w:val="16"/>
    </w:rPr>
  </w:style>
  <w:style w:type="paragraph" w:styleId="Tekstopmerking">
    <w:name w:val="annotation text"/>
    <w:basedOn w:val="Standaard"/>
    <w:link w:val="TekstopmerkingChar"/>
    <w:uiPriority w:val="99"/>
    <w:unhideWhenUsed/>
    <w:rsid w:val="000C6F13"/>
    <w:pPr>
      <w:spacing w:line="240" w:lineRule="auto"/>
    </w:pPr>
    <w:rPr>
      <w:sz w:val="20"/>
      <w:szCs w:val="20"/>
    </w:rPr>
  </w:style>
  <w:style w:type="character" w:customStyle="1" w:styleId="TekstopmerkingChar">
    <w:name w:val="Tekst opmerking Char"/>
    <w:basedOn w:val="Standaardalinea-lettertype"/>
    <w:link w:val="Tekstopmerking"/>
    <w:uiPriority w:val="99"/>
    <w:rsid w:val="000C6F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C6F13"/>
    <w:rPr>
      <w:b/>
      <w:bCs/>
    </w:rPr>
  </w:style>
  <w:style w:type="character" w:customStyle="1" w:styleId="OnderwerpvanopmerkingChar">
    <w:name w:val="Onderwerp van opmerking Char"/>
    <w:basedOn w:val="TekstopmerkingChar"/>
    <w:link w:val="Onderwerpvanopmerking"/>
    <w:uiPriority w:val="99"/>
    <w:semiHidden/>
    <w:rsid w:val="000C6F13"/>
    <w:rPr>
      <w:rFonts w:ascii="Verdana" w:hAnsi="Verdana"/>
      <w:b/>
      <w:bCs/>
      <w:color w:val="000000"/>
    </w:rPr>
  </w:style>
  <w:style w:type="paragraph" w:styleId="Revisie">
    <w:name w:val="Revision"/>
    <w:hidden/>
    <w:uiPriority w:val="99"/>
    <w:semiHidden/>
    <w:rsid w:val="00D77831"/>
    <w:pPr>
      <w:autoSpaceDN/>
      <w:textAlignment w:val="auto"/>
    </w:pPr>
    <w:rPr>
      <w:rFonts w:ascii="Verdana" w:hAnsi="Verdana"/>
      <w:color w:val="000000"/>
      <w:sz w:val="18"/>
      <w:szCs w:val="18"/>
    </w:rPr>
  </w:style>
  <w:style w:type="paragraph" w:styleId="Lijstalinea">
    <w:name w:val="List Paragraph"/>
    <w:basedOn w:val="Standaard"/>
    <w:uiPriority w:val="34"/>
    <w:semiHidden/>
    <w:rsid w:val="00897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5576">
      <w:bodyDiv w:val="1"/>
      <w:marLeft w:val="0"/>
      <w:marRight w:val="0"/>
      <w:marTop w:val="0"/>
      <w:marBottom w:val="0"/>
      <w:divBdr>
        <w:top w:val="none" w:sz="0" w:space="0" w:color="auto"/>
        <w:left w:val="none" w:sz="0" w:space="0" w:color="auto"/>
        <w:bottom w:val="none" w:sz="0" w:space="0" w:color="auto"/>
        <w:right w:val="none" w:sz="0" w:space="0" w:color="auto"/>
      </w:divBdr>
    </w:div>
    <w:div w:id="607540070">
      <w:bodyDiv w:val="1"/>
      <w:marLeft w:val="0"/>
      <w:marRight w:val="0"/>
      <w:marTop w:val="0"/>
      <w:marBottom w:val="0"/>
      <w:divBdr>
        <w:top w:val="none" w:sz="0" w:space="0" w:color="auto"/>
        <w:left w:val="none" w:sz="0" w:space="0" w:color="auto"/>
        <w:bottom w:val="none" w:sz="0" w:space="0" w:color="auto"/>
        <w:right w:val="none" w:sz="0" w:space="0" w:color="auto"/>
      </w:divBdr>
    </w:div>
    <w:div w:id="656567465">
      <w:bodyDiv w:val="1"/>
      <w:marLeft w:val="0"/>
      <w:marRight w:val="0"/>
      <w:marTop w:val="0"/>
      <w:marBottom w:val="0"/>
      <w:divBdr>
        <w:top w:val="none" w:sz="0" w:space="0" w:color="auto"/>
        <w:left w:val="none" w:sz="0" w:space="0" w:color="auto"/>
        <w:bottom w:val="none" w:sz="0" w:space="0" w:color="auto"/>
        <w:right w:val="none" w:sz="0" w:space="0" w:color="auto"/>
      </w:divBdr>
    </w:div>
    <w:div w:id="663977732">
      <w:bodyDiv w:val="1"/>
      <w:marLeft w:val="0"/>
      <w:marRight w:val="0"/>
      <w:marTop w:val="0"/>
      <w:marBottom w:val="0"/>
      <w:divBdr>
        <w:top w:val="none" w:sz="0" w:space="0" w:color="auto"/>
        <w:left w:val="none" w:sz="0" w:space="0" w:color="auto"/>
        <w:bottom w:val="none" w:sz="0" w:space="0" w:color="auto"/>
        <w:right w:val="none" w:sz="0" w:space="0" w:color="auto"/>
      </w:divBdr>
    </w:div>
    <w:div w:id="801508455">
      <w:bodyDiv w:val="1"/>
      <w:marLeft w:val="0"/>
      <w:marRight w:val="0"/>
      <w:marTop w:val="0"/>
      <w:marBottom w:val="0"/>
      <w:divBdr>
        <w:top w:val="none" w:sz="0" w:space="0" w:color="auto"/>
        <w:left w:val="none" w:sz="0" w:space="0" w:color="auto"/>
        <w:bottom w:val="none" w:sz="0" w:space="0" w:color="auto"/>
        <w:right w:val="none" w:sz="0" w:space="0" w:color="auto"/>
      </w:divBdr>
    </w:div>
    <w:div w:id="1291396053">
      <w:bodyDiv w:val="1"/>
      <w:marLeft w:val="0"/>
      <w:marRight w:val="0"/>
      <w:marTop w:val="0"/>
      <w:marBottom w:val="0"/>
      <w:divBdr>
        <w:top w:val="none" w:sz="0" w:space="0" w:color="auto"/>
        <w:left w:val="none" w:sz="0" w:space="0" w:color="auto"/>
        <w:bottom w:val="none" w:sz="0" w:space="0" w:color="auto"/>
        <w:right w:val="none" w:sz="0" w:space="0" w:color="auto"/>
      </w:divBdr>
    </w:div>
    <w:div w:id="1743795537">
      <w:bodyDiv w:val="1"/>
      <w:marLeft w:val="0"/>
      <w:marRight w:val="0"/>
      <w:marTop w:val="0"/>
      <w:marBottom w:val="0"/>
      <w:divBdr>
        <w:top w:val="none" w:sz="0" w:space="0" w:color="auto"/>
        <w:left w:val="none" w:sz="0" w:space="0" w:color="auto"/>
        <w:bottom w:val="none" w:sz="0" w:space="0" w:color="auto"/>
        <w:right w:val="none" w:sz="0" w:space="0" w:color="auto"/>
      </w:divBdr>
    </w:div>
    <w:div w:id="1767337002">
      <w:bodyDiv w:val="1"/>
      <w:marLeft w:val="0"/>
      <w:marRight w:val="0"/>
      <w:marTop w:val="0"/>
      <w:marBottom w:val="0"/>
      <w:divBdr>
        <w:top w:val="none" w:sz="0" w:space="0" w:color="auto"/>
        <w:left w:val="none" w:sz="0" w:space="0" w:color="auto"/>
        <w:bottom w:val="none" w:sz="0" w:space="0" w:color="auto"/>
        <w:right w:val="none" w:sz="0" w:space="0" w:color="auto"/>
      </w:divBdr>
    </w:div>
    <w:div w:id="1801730307">
      <w:bodyDiv w:val="1"/>
      <w:marLeft w:val="0"/>
      <w:marRight w:val="0"/>
      <w:marTop w:val="0"/>
      <w:marBottom w:val="0"/>
      <w:divBdr>
        <w:top w:val="none" w:sz="0" w:space="0" w:color="auto"/>
        <w:left w:val="none" w:sz="0" w:space="0" w:color="auto"/>
        <w:bottom w:val="none" w:sz="0" w:space="0" w:color="auto"/>
        <w:right w:val="none" w:sz="0" w:space="0" w:color="auto"/>
      </w:divBdr>
    </w:div>
    <w:div w:id="1838228448">
      <w:bodyDiv w:val="1"/>
      <w:marLeft w:val="0"/>
      <w:marRight w:val="0"/>
      <w:marTop w:val="0"/>
      <w:marBottom w:val="0"/>
      <w:divBdr>
        <w:top w:val="none" w:sz="0" w:space="0" w:color="auto"/>
        <w:left w:val="none" w:sz="0" w:space="0" w:color="auto"/>
        <w:bottom w:val="none" w:sz="0" w:space="0" w:color="auto"/>
        <w:right w:val="none" w:sz="0" w:space="0" w:color="auto"/>
      </w:divBdr>
    </w:div>
    <w:div w:id="1918437556">
      <w:bodyDiv w:val="1"/>
      <w:marLeft w:val="0"/>
      <w:marRight w:val="0"/>
      <w:marTop w:val="0"/>
      <w:marBottom w:val="0"/>
      <w:divBdr>
        <w:top w:val="none" w:sz="0" w:space="0" w:color="auto"/>
        <w:left w:val="none" w:sz="0" w:space="0" w:color="auto"/>
        <w:bottom w:val="none" w:sz="0" w:space="0" w:color="auto"/>
        <w:right w:val="none" w:sz="0" w:space="0" w:color="auto"/>
      </w:divBdr>
    </w:div>
    <w:div w:id="2084450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1523</ap:Words>
  <ap:Characters>8378</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Eerste of Tweede Kamer - Publicatie besluit Woo-verzoek inzake grondslagleenconstructies met EIA en MIA</vt:lpstr>
    </vt:vector>
  </ap:TitlesOfParts>
  <ap:LinksUpToDate>false</ap:LinksUpToDate>
  <ap:CharactersWithSpaces>9882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2025-04-24T13:36:00.0000000Z</lastPrinted>
  <dcterms:created xsi:type="dcterms:W3CDTF">2025-04-24T13:35:00.0000000Z</dcterms:created>
  <dcterms:modified xsi:type="dcterms:W3CDTF">2025-04-24T13:36:00.0000000Z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Publicatie besluit Woo-verzoek inzake grondslagleenconstructies met EIA en MIA</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 april 2025</vt:lpwstr>
  </property>
  <property fmtid="{D5CDD505-2E9C-101B-9397-08002B2CF9AE}" pid="13" name="Opgesteld door, Naam">
    <vt:lpwstr/>
  </property>
  <property fmtid="{D5CDD505-2E9C-101B-9397-08002B2CF9AE}" pid="14" name="Opgesteld door, Telefoonnummer">
    <vt:lpwstr>088-4427793</vt:lpwstr>
  </property>
  <property fmtid="{D5CDD505-2E9C-101B-9397-08002B2CF9AE}" pid="15" name="Kenmerk">
    <vt:lpwstr>2025-0000107792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Publicatie besluiten op Woo-verzoeken inzake grondslagleenconstructies met EIA en MIA</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2025-04-02T20:10:18Z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185d2146-6a5a-4f22-94a7-49065290c66b</vt:lpwstr>
  </property>
  <property fmtid="{D5CDD505-2E9C-101B-9397-08002B2CF9AE}" pid="37" name="MSIP_Label_b2aa6e22-2c82-48c6-bf24-1790f4b9c128_ContentBits">
    <vt:lpwstr>0</vt:lpwstr>
  </property>
</Properties>
</file>