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2025Z08448</w:t>
        <w:br/>
      </w:r>
      <w:proofErr w:type="spellEnd"/>
    </w:p>
    <w:p>
      <w:pPr>
        <w:pStyle w:val="Normal"/>
        <w:rPr>
          <w:b w:val="1"/>
          <w:bCs w:val="1"/>
        </w:rPr>
      </w:pPr>
      <w:r w:rsidR="250AE766">
        <w:rPr>
          <w:b w:val="0"/>
          <w:bCs w:val="0"/>
        </w:rPr>
        <w:t>(ingezonden 25 april 2025)</w:t>
        <w:br/>
      </w:r>
    </w:p>
    <w:p>
      <w:r>
        <w:t xml:space="preserve">Vragen van de leden Vedder (CDA), Grinwis (ChristenUnie) en Flach (SGP) aan de staatssecretaris van Landbouw, Visserij, Voedselzekerheid en Natuur over de voortgang van het besluitvormingstraject rondom de natuurcompensatie Voordelta. </w:t>
      </w:r>
      <w:r>
        <w:br/>
      </w:r>
    </w:p>
    <w:p>
      <w:r>
        <w:t xml:space="preserve"> </w:t>
      </w:r>
      <w:r>
        <w:br/>
      </w:r>
    </w:p>
    <w:p>
      <w:pPr>
        <w:pStyle w:val="ListParagraph"/>
        <w:numPr>
          <w:ilvl w:val="0"/>
          <w:numId w:val="100476570"/>
        </w:numPr>
        <w:ind w:left="360"/>
      </w:pPr>
      <w:r>
        <w:t>Aan welke voorwaarden zal het voorstel moeten voldoen voordat u op basis van dat voorstel tot een voorgenomen besluit kunt komen, indien belanghebbenden met betrekking tot de Voordelta erin slagen om samen te komen tot een gedragen voorstel voor alternatieve natuurcompensatie? </w:t>
      </w:r>
      <w:r>
        <w:br/>
      </w:r>
    </w:p>
    <w:p>
      <w:pPr>
        <w:pStyle w:val="ListParagraph"/>
        <w:numPr>
          <w:ilvl w:val="0"/>
          <w:numId w:val="100476570"/>
        </w:numPr>
        <w:ind w:left="360"/>
      </w:pPr>
      <w:r>
        <w:t>Klopt het dat een voorgenomen besluit over de alternatieve natuurcompensatie ook door de Europese Commissie (EC) moet worden goedgekeurd? Welke criteria worden daarbij door de EC gehanteerd? </w:t>
      </w:r>
      <w:r>
        <w:br/>
      </w:r>
    </w:p>
    <w:p>
      <w:pPr>
        <w:pStyle w:val="ListParagraph"/>
        <w:numPr>
          <w:ilvl w:val="0"/>
          <w:numId w:val="100476570"/>
        </w:numPr>
        <w:ind w:left="360"/>
      </w:pPr>
      <w:r>
        <w:t>Klopt het dat het ministerie van Landbouw, Visserij, Voedselzekerheid en Natuur (LVVN) reeds een brief vanuit Brussel heeft ontvangen over de mate van compensatie? Bent u bereid om de inhoud van deze brief per omgaande te delen met de Kamer? Zo nee, waarom niet?  </w:t>
      </w:r>
      <w:r>
        <w:br/>
      </w:r>
    </w:p>
    <w:p>
      <w:pPr>
        <w:pStyle w:val="ListParagraph"/>
        <w:numPr>
          <w:ilvl w:val="0"/>
          <w:numId w:val="100476570"/>
        </w:numPr>
        <w:ind w:left="360"/>
      </w:pPr>
      <w:r>
        <w:t>Hoeveel middelen heeft u gereserveerd voor nadeelcompensatie voor vissers die worden getroffen op het moment dat er een onherroepelijk besluit tot sluiting van bepaalde gebieden ligt? Welk deel van de getroffen vissers kan naar verwachting met deze middelen worden gecompenseerd? </w:t>
      </w:r>
      <w:r>
        <w:br/>
      </w:r>
    </w:p>
    <w:p>
      <w:pPr>
        <w:pStyle w:val="ListParagraph"/>
        <w:numPr>
          <w:ilvl w:val="0"/>
          <w:numId w:val="100476570"/>
        </w:numPr>
        <w:ind w:left="360"/>
      </w:pPr>
      <w:r>
        <w:t>Klopt het dat de ensisvisserij eerder in de passende beoordeling en in het beheerplan Noordzeekustzone van Rijkswaterstaat is bestempeld als niet-significant, omdat de effecten van de ensisvisserij op de ecologie minimaal zijn? Welke mogelijkheden zijn er om op basis van dit feit een uitzondering te maken voor deze vorm van visserij wanneer bepaalde gebieden worden gesloten? [1]</w:t>
      </w:r>
      <w:r>
        <w:br/>
      </w:r>
    </w:p>
    <w:p>
      <w:pPr>
        <w:pStyle w:val="ListParagraph"/>
        <w:numPr>
          <w:ilvl w:val="0"/>
          <w:numId w:val="100476570"/>
        </w:numPr>
        <w:ind w:left="360"/>
      </w:pPr>
      <w:r>
        <w:t>Wat zijn de gevolgen voor de ensisvisserij als hun visgebieden worden gesloten en een uitzondering niet mogelijk is? Kan deze visserijsector dan nog blijven bestaan? </w:t>
      </w:r>
      <w:r>
        <w:br/>
      </w:r>
    </w:p>
    <w:p>
      <w:pPr>
        <w:pStyle w:val="ListParagraph"/>
        <w:numPr>
          <w:ilvl w:val="0"/>
          <w:numId w:val="100476570"/>
        </w:numPr>
        <w:ind w:left="360"/>
      </w:pPr>
      <w:r>
        <w:t>Kunt u een inschatting geven van eventuele gevolgen van compenserende maatregelen buiten de Voordelta voor visserij-activiteiten?</w:t>
      </w:r>
      <w:r>
        <w:br/>
      </w:r>
    </w:p>
    <w:p>
      <w:pPr>
        <w:pStyle w:val="ListParagraph"/>
        <w:numPr>
          <w:ilvl w:val="0"/>
          <w:numId w:val="100476570"/>
        </w:numPr>
        <w:ind w:left="360"/>
      </w:pPr>
      <w:r>
        <w:t>Op welke wijze gaat u ervoor zorgen dat bij het nemen van compenserende maatregelen buiten de Voordelta voor de visserij belangrijke gebieden vermeden worden?</w:t>
      </w:r>
      <w:r>
        <w:br/>
      </w:r>
    </w:p>
    <w:p>
      <w:r>
        <w:t xml:space="preserve"> </w:t>
      </w:r>
      <w:r>
        <w:br/>
      </w:r>
    </w:p>
    <w:p>
      <w:r>
        <w:t xml:space="preserve">[1] Natura 2000 Rijkswaterstaat, 'Documenten Noordzeekustzone' (https://www.rwsnatura2000.nl/gebieden/noordzeekustzone/nzkz_documenten/default.aspx#folder=38902)</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65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6570">
    <w:abstractNumId w:val="1004765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