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1C9F" w:rsidR="003A5667" w:rsidP="00041C9F" w:rsidRDefault="00102274" w14:paraId="24D44F00" w14:textId="77777777">
      <w:pPr>
        <w:spacing w:line="276" w:lineRule="auto"/>
      </w:pPr>
      <w:r w:rsidRPr="00041C9F">
        <w:t>Geachte voorzitter,</w:t>
      </w:r>
    </w:p>
    <w:p w:rsidRPr="00041C9F" w:rsidR="00102274" w:rsidP="00041C9F" w:rsidRDefault="00102274" w14:paraId="7FE76CB1" w14:textId="77777777">
      <w:pPr>
        <w:spacing w:line="276" w:lineRule="auto"/>
      </w:pPr>
      <w:bookmarkStart w:name="_Hlk195604884" w:id="0"/>
    </w:p>
    <w:p w:rsidRPr="00041C9F" w:rsidR="00CF3825" w:rsidP="00041C9F" w:rsidRDefault="00AF27BE" w14:paraId="6C41BD41" w14:textId="77777777">
      <w:pPr>
        <w:spacing w:line="276" w:lineRule="auto"/>
      </w:pPr>
      <w:r>
        <w:t>De vaste commissie voor Financiën in de Eerste Kamer heeft mij op</w:t>
      </w:r>
      <w:r w:rsidRPr="00041C9F" w:rsidR="00CF3825">
        <w:t xml:space="preserve"> 1 april 2025</w:t>
      </w:r>
      <w:r>
        <w:t xml:space="preserve"> schriftelijke vragen van de SGP-fractie gesteld.</w:t>
      </w:r>
      <w:r w:rsidRPr="00041C9F" w:rsidR="008752A6">
        <w:t xml:space="preserve"> </w:t>
      </w:r>
      <w:bookmarkEnd w:id="0"/>
      <w:r w:rsidRPr="00041C9F" w:rsidR="00CF3825">
        <w:t xml:space="preserve">Deze leden lezen in de brief bij de voortgangsrapportage over </w:t>
      </w:r>
      <w:r w:rsidRPr="00041C9F" w:rsidR="00460F1F">
        <w:t>een</w:t>
      </w:r>
      <w:r w:rsidRPr="00041C9F" w:rsidR="00CF3825">
        <w:t xml:space="preserve"> besluit om per 1 april</w:t>
      </w:r>
      <w:r w:rsidR="00A16CB2">
        <w:t xml:space="preserve"> 2025</w:t>
      </w:r>
      <w:r w:rsidRPr="00041C9F" w:rsidR="00CF3825">
        <w:t xml:space="preserve"> te stoppen met zzp’ers. Deze leden hebben begrijpelijk </w:t>
      </w:r>
      <w:bookmarkStart w:name="_Hlk195605944" w:id="1"/>
      <w:r w:rsidRPr="00041C9F" w:rsidR="00CF3825">
        <w:t xml:space="preserve">zorgen over de gevolgen voor de continuïteit van de Uitvoeringsorganisatie Herstel Toeslagen (UHT). </w:t>
      </w:r>
      <w:bookmarkEnd w:id="1"/>
    </w:p>
    <w:p w:rsidRPr="00041C9F" w:rsidR="00CF3825" w:rsidP="00041C9F" w:rsidRDefault="00CF3825" w14:paraId="310669AA" w14:textId="77777777">
      <w:pPr>
        <w:spacing w:line="276" w:lineRule="auto"/>
      </w:pPr>
    </w:p>
    <w:p w:rsidR="008A0654" w:rsidP="00041C9F" w:rsidRDefault="00CF3825" w14:paraId="5E106CC2" w14:textId="77777777">
      <w:pPr>
        <w:spacing w:line="276" w:lineRule="auto"/>
      </w:pPr>
      <w:r w:rsidRPr="00041C9F">
        <w:t>Allereerst wil ik hier benadrukken dat de herstelorganisatie niet</w:t>
      </w:r>
      <w:r w:rsidR="00A16CB2">
        <w:t xml:space="preserve"> heeft</w:t>
      </w:r>
      <w:r w:rsidRPr="00041C9F">
        <w:t xml:space="preserve"> besloten om per 1 april 2025 te stoppen met de inzet van zzp</w:t>
      </w:r>
      <w:r w:rsidR="006B3F4B">
        <w:t>’</w:t>
      </w:r>
      <w:r w:rsidRPr="00041C9F">
        <w:t>ers. Per 1 april 2025 is de toezegging</w:t>
      </w:r>
      <w:r w:rsidRPr="00041C9F" w:rsidR="00460F1F">
        <w:t xml:space="preserve"> van </w:t>
      </w:r>
      <w:r w:rsidRPr="00041C9F" w:rsidR="006B3F4B">
        <w:t>D</w:t>
      </w:r>
      <w:r w:rsidR="006B3F4B">
        <w:t>ienst</w:t>
      </w:r>
      <w:r w:rsidRPr="00041C9F" w:rsidR="006B3F4B">
        <w:t xml:space="preserve"> </w:t>
      </w:r>
      <w:r w:rsidRPr="00041C9F" w:rsidR="00460F1F">
        <w:t>Toeslagen</w:t>
      </w:r>
      <w:r w:rsidRPr="00041C9F">
        <w:t xml:space="preserve"> aan brokers ingetrokken om eventuele boetes en naheffingen </w:t>
      </w:r>
      <w:r w:rsidR="006B3F4B">
        <w:t xml:space="preserve">premies werknemersverzekeringen </w:t>
      </w:r>
      <w:r w:rsidRPr="00041C9F">
        <w:t xml:space="preserve">te </w:t>
      </w:r>
      <w:r w:rsidRPr="00041C9F" w:rsidR="008752A6">
        <w:t>vergoeden</w:t>
      </w:r>
      <w:r w:rsidR="008A0654">
        <w:t xml:space="preserve">, </w:t>
      </w:r>
      <w:r w:rsidRPr="00041C9F" w:rsidR="008A0654">
        <w:t xml:space="preserve">die kunnen volgen uit de handhaving </w:t>
      </w:r>
      <w:r w:rsidR="00EE3E2D">
        <w:t>op</w:t>
      </w:r>
      <w:r w:rsidRPr="00041C9F" w:rsidR="00EE3E2D">
        <w:t xml:space="preserve"> </w:t>
      </w:r>
      <w:r w:rsidRPr="00041C9F" w:rsidR="008A0654">
        <w:t>schijnzelfstandigheid</w:t>
      </w:r>
      <w:r w:rsidRPr="00041C9F">
        <w:t>.</w:t>
      </w:r>
      <w:r w:rsidR="00041C9F">
        <w:t xml:space="preserve"> </w:t>
      </w:r>
      <w:r w:rsidR="008A0654">
        <w:t xml:space="preserve">Verder heeft Dienst Toeslagen </w:t>
      </w:r>
      <w:r w:rsidR="00041C9F">
        <w:t>aangegeven geen nieuwe zzp</w:t>
      </w:r>
      <w:r w:rsidR="006B3F4B">
        <w:t>’</w:t>
      </w:r>
      <w:r w:rsidR="00041C9F">
        <w:t>ers</w:t>
      </w:r>
      <w:r w:rsidR="00A16CB2">
        <w:t xml:space="preserve"> via brokers</w:t>
      </w:r>
      <w:r w:rsidR="00041C9F">
        <w:t xml:space="preserve"> </w:t>
      </w:r>
      <w:r w:rsidR="00343E90">
        <w:t>in te huren,</w:t>
      </w:r>
      <w:r w:rsidR="00041C9F">
        <w:t xml:space="preserve"> waa</w:t>
      </w:r>
      <w:r w:rsidR="00343E90">
        <w:t>r</w:t>
      </w:r>
      <w:r w:rsidR="00041C9F">
        <w:t xml:space="preserve"> sprake is van vermoedelijke schijnzelfstandigheid</w:t>
      </w:r>
      <w:r w:rsidR="002022F8">
        <w:t>.</w:t>
      </w:r>
      <w:r w:rsidR="006833F9">
        <w:t xml:space="preserve"> </w:t>
      </w:r>
    </w:p>
    <w:p w:rsidR="008A0654" w:rsidP="00041C9F" w:rsidRDefault="008A0654" w14:paraId="37292BB0" w14:textId="77777777">
      <w:pPr>
        <w:spacing w:line="276" w:lineRule="auto"/>
      </w:pPr>
    </w:p>
    <w:p w:rsidR="006B1F33" w:rsidP="00041C9F" w:rsidRDefault="00460F1F" w14:paraId="417DD747" w14:textId="77777777">
      <w:pPr>
        <w:spacing w:line="276" w:lineRule="auto"/>
      </w:pPr>
      <w:r w:rsidRPr="00041C9F">
        <w:t xml:space="preserve">Zoals </w:t>
      </w:r>
      <w:r w:rsidR="008A0654">
        <w:t xml:space="preserve">aangegeven in </w:t>
      </w:r>
      <w:r w:rsidRPr="00041C9F">
        <w:t xml:space="preserve">de </w:t>
      </w:r>
      <w:r w:rsidR="00FD22CD">
        <w:t xml:space="preserve">negentiende </w:t>
      </w:r>
      <w:r w:rsidRPr="00041C9F">
        <w:t>voortgangsrapportage</w:t>
      </w:r>
      <w:r w:rsidR="0079537C">
        <w:t xml:space="preserve"> over de periode september t/m december 2024</w:t>
      </w:r>
      <w:r w:rsidR="005D3AF2">
        <w:rPr>
          <w:rStyle w:val="Voetnootmarkering"/>
        </w:rPr>
        <w:footnoteReference w:id="2"/>
      </w:r>
      <w:r w:rsidR="008A0654">
        <w:t>,</w:t>
      </w:r>
      <w:r w:rsidRPr="00041C9F">
        <w:t xml:space="preserve"> werkt de </w:t>
      </w:r>
      <w:r w:rsidR="003E2578">
        <w:t xml:space="preserve">herstelorganisatie </w:t>
      </w:r>
      <w:r w:rsidR="008A0654">
        <w:t xml:space="preserve">op dit moment </w:t>
      </w:r>
      <w:r w:rsidRPr="00041C9F">
        <w:t xml:space="preserve">nog </w:t>
      </w:r>
      <w:r w:rsidR="008A0654">
        <w:t xml:space="preserve">wel </w:t>
      </w:r>
      <w:r w:rsidRPr="00041C9F">
        <w:t xml:space="preserve">met </w:t>
      </w:r>
      <w:r w:rsidR="002022F8">
        <w:t xml:space="preserve">potentieel </w:t>
      </w:r>
      <w:r w:rsidRPr="00041C9F">
        <w:t>schijnzelfstandigen</w:t>
      </w:r>
      <w:r w:rsidR="008A0654">
        <w:t xml:space="preserve">. Het is de inzet en de </w:t>
      </w:r>
      <w:r w:rsidRPr="00041C9F">
        <w:t xml:space="preserve">verwachting dat </w:t>
      </w:r>
      <w:r w:rsidR="008A0654">
        <w:t xml:space="preserve">het aantal potentieel schijnzelfstandigen </w:t>
      </w:r>
      <w:r w:rsidRPr="00041C9F">
        <w:t>eind 2025</w:t>
      </w:r>
      <w:r w:rsidR="008A0654">
        <w:t xml:space="preserve"> tot nul is afgebouwd</w:t>
      </w:r>
      <w:r w:rsidRPr="00041C9F">
        <w:t>. Daarnaast zal de herstelorganisatie</w:t>
      </w:r>
      <w:r w:rsidR="007B638B">
        <w:t xml:space="preserve"> </w:t>
      </w:r>
      <w:r w:rsidRPr="00041C9F" w:rsidR="007B638B">
        <w:t>de komende jaren</w:t>
      </w:r>
      <w:r w:rsidR="008A0654">
        <w:t xml:space="preserve"> blijven werken met</w:t>
      </w:r>
      <w:r w:rsidRPr="00041C9F">
        <w:t xml:space="preserve"> zzp</w:t>
      </w:r>
      <w:r w:rsidR="006B3F4B">
        <w:t>’</w:t>
      </w:r>
      <w:r w:rsidRPr="00041C9F">
        <w:t>ers</w:t>
      </w:r>
      <w:r w:rsidR="00A16CB2">
        <w:t>,</w:t>
      </w:r>
      <w:r w:rsidRPr="00041C9F" w:rsidR="008752A6">
        <w:t xml:space="preserve"> </w:t>
      </w:r>
      <w:r w:rsidR="008A0654">
        <w:t>mits dit binnen</w:t>
      </w:r>
      <w:r w:rsidRPr="00041C9F" w:rsidR="008A0654">
        <w:t xml:space="preserve"> </w:t>
      </w:r>
      <w:r w:rsidR="008A0654">
        <w:t xml:space="preserve">de grenzen van de huidige </w:t>
      </w:r>
      <w:r w:rsidRPr="00041C9F" w:rsidR="008A0654">
        <w:t>wet- en regelgeving</w:t>
      </w:r>
      <w:r w:rsidR="008A0654">
        <w:t xml:space="preserve"> </w:t>
      </w:r>
      <w:r w:rsidR="00EE3E2D">
        <w:t>mogelijk is</w:t>
      </w:r>
      <w:r w:rsidRPr="00041C9F">
        <w:t>.</w:t>
      </w:r>
      <w:r w:rsidR="006B1F33">
        <w:t xml:space="preserve"> </w:t>
      </w:r>
    </w:p>
    <w:p w:rsidR="006B1F33" w:rsidP="00041C9F" w:rsidRDefault="006B1F33" w14:paraId="13B89E8E" w14:textId="77777777">
      <w:pPr>
        <w:spacing w:line="276" w:lineRule="auto"/>
      </w:pPr>
    </w:p>
    <w:p w:rsidRPr="00041C9F" w:rsidR="00CF3825" w:rsidP="00041C9F" w:rsidRDefault="00CF3825" w14:paraId="2CA7664F" w14:textId="77777777">
      <w:pPr>
        <w:spacing w:line="276" w:lineRule="auto"/>
      </w:pPr>
      <w:r w:rsidRPr="00041C9F">
        <w:t xml:space="preserve">Bijgaand </w:t>
      </w:r>
      <w:r w:rsidRPr="00041C9F" w:rsidR="008752A6">
        <w:t xml:space="preserve">treft u de antwoorden op </w:t>
      </w:r>
      <w:r w:rsidRPr="00041C9F">
        <w:t>de gestelde vragen</w:t>
      </w:r>
      <w:r w:rsidR="006B1F33">
        <w:t>. E</w:t>
      </w:r>
      <w:r w:rsidR="00A2505B">
        <w:t>en afschrift van deze brief zal ik aan de Tweede Kamer zenden</w:t>
      </w:r>
      <w:r w:rsidRPr="00041C9F">
        <w:t>.</w:t>
      </w:r>
    </w:p>
    <w:p w:rsidRPr="00041C9F" w:rsidR="00CF3825" w:rsidP="00041C9F" w:rsidRDefault="00CF3825" w14:paraId="2D0CAB6F" w14:textId="77777777">
      <w:pPr>
        <w:spacing w:line="276" w:lineRule="auto"/>
      </w:pPr>
    </w:p>
    <w:p w:rsidRPr="00041C9F" w:rsidR="00460F1F" w:rsidP="00041C9F" w:rsidRDefault="00460F1F" w14:paraId="5A1986C8" w14:textId="77777777">
      <w:pPr>
        <w:spacing w:line="276" w:lineRule="auto"/>
        <w:rPr>
          <w:i/>
          <w:iCs/>
        </w:rPr>
      </w:pPr>
      <w:r w:rsidRPr="00041C9F">
        <w:rPr>
          <w:i/>
          <w:iCs/>
        </w:rPr>
        <w:t>Vragen naar aanleiding van de begeleidende brief bij de voortgangsrapportage</w:t>
      </w:r>
      <w:r w:rsidRPr="00041C9F" w:rsidR="000114E2">
        <w:rPr>
          <w:rStyle w:val="Voetnootmarkering"/>
          <w:i/>
          <w:iCs/>
        </w:rPr>
        <w:footnoteReference w:id="3"/>
      </w:r>
    </w:p>
    <w:p w:rsidRPr="00041C9F" w:rsidR="00460F1F" w:rsidP="00041C9F" w:rsidRDefault="00460F1F" w14:paraId="20548F1C" w14:textId="77777777">
      <w:pPr>
        <w:spacing w:line="276" w:lineRule="auto"/>
      </w:pPr>
    </w:p>
    <w:p w:rsidRPr="00041C9F" w:rsidR="00460F1F" w:rsidP="00041C9F" w:rsidRDefault="00460F1F" w14:paraId="6702E097" w14:textId="77777777">
      <w:pPr>
        <w:spacing w:line="276" w:lineRule="auto"/>
        <w:rPr>
          <w:b/>
          <w:bCs/>
        </w:rPr>
      </w:pPr>
      <w:r w:rsidRPr="00041C9F">
        <w:rPr>
          <w:b/>
          <w:bCs/>
        </w:rPr>
        <w:t>Vraag 1</w:t>
      </w:r>
    </w:p>
    <w:p w:rsidR="000114E2" w:rsidP="00041C9F" w:rsidRDefault="00460F1F" w14:paraId="746EDC44" w14:textId="77777777">
      <w:pPr>
        <w:spacing w:line="276" w:lineRule="auto"/>
      </w:pPr>
      <w:r w:rsidRPr="00041C9F">
        <w:t>Wat betekent de handhaving op schijnzelfstandigheid voor de aantallen medewerkers binnen de UHT vanaf 1 april 2025 en op welke wijze is de regering van plan de wegvallende capaciteit te compenseren?</w:t>
      </w:r>
    </w:p>
    <w:p w:rsidRPr="00041C9F" w:rsidR="007B4F88" w:rsidP="007B4F88" w:rsidRDefault="007B4F88" w14:paraId="5C050D9E" w14:textId="77777777">
      <w:pPr>
        <w:pStyle w:val="Geenafstand"/>
        <w:spacing w:line="276" w:lineRule="auto"/>
        <w:rPr>
          <w:b/>
          <w:bCs/>
        </w:rPr>
      </w:pPr>
      <w:r w:rsidRPr="00041C9F">
        <w:rPr>
          <w:b/>
          <w:bCs/>
        </w:rPr>
        <w:lastRenderedPageBreak/>
        <w:t>Vraag 2</w:t>
      </w:r>
    </w:p>
    <w:p w:rsidR="007B4F88" w:rsidP="007B4F88" w:rsidRDefault="007B4F88" w14:paraId="48E85C69" w14:textId="77777777">
      <w:pPr>
        <w:spacing w:line="276" w:lineRule="auto"/>
      </w:pPr>
      <w:r w:rsidRPr="00041C9F">
        <w:t>Hoe verhoudt dit besluit zich tot de ambitie die nog in het Jaarplan 2025 is benoemd om de organisatie op te schalen om zo de afhandeltermijnen in te korten en een betere dienstverlening aan de gedupeerde ouders mogelijk te maken?</w:t>
      </w:r>
    </w:p>
    <w:p w:rsidRPr="00041C9F" w:rsidR="007B4F88" w:rsidP="00041C9F" w:rsidRDefault="007B4F88" w14:paraId="152E0535" w14:textId="77777777">
      <w:pPr>
        <w:spacing w:line="276" w:lineRule="auto"/>
      </w:pPr>
    </w:p>
    <w:p w:rsidRPr="00041C9F" w:rsidR="00460F1F" w:rsidP="00041C9F" w:rsidRDefault="00460F1F" w14:paraId="218A8CA9" w14:textId="77777777">
      <w:pPr>
        <w:spacing w:line="276" w:lineRule="auto"/>
        <w:rPr>
          <w:b/>
          <w:bCs/>
        </w:rPr>
      </w:pPr>
      <w:r w:rsidRPr="00041C9F">
        <w:rPr>
          <w:b/>
          <w:bCs/>
        </w:rPr>
        <w:t>Antwoor</w:t>
      </w:r>
      <w:r w:rsidR="007B4F88">
        <w:rPr>
          <w:b/>
          <w:bCs/>
        </w:rPr>
        <w:t>den 1 en 2</w:t>
      </w:r>
    </w:p>
    <w:p w:rsidR="00A16CB2" w:rsidP="0069669A" w:rsidRDefault="0069669A" w14:paraId="5B42F108" w14:textId="77777777">
      <w:pPr>
        <w:pStyle w:val="Geenafstand"/>
        <w:spacing w:line="276" w:lineRule="auto"/>
      </w:pPr>
      <w:r>
        <w:t>In onderstaande tabel</w:t>
      </w:r>
      <w:r w:rsidR="00F97383">
        <w:t>len</w:t>
      </w:r>
      <w:r>
        <w:t xml:space="preserve"> treft u de meest recente stand van zaken</w:t>
      </w:r>
      <w:r w:rsidR="002022F8">
        <w:t xml:space="preserve"> aan</w:t>
      </w:r>
      <w:r>
        <w:t xml:space="preserve"> </w:t>
      </w:r>
      <w:r w:rsidR="0079537C">
        <w:t xml:space="preserve">rondom </w:t>
      </w:r>
      <w:r>
        <w:t xml:space="preserve">de aanwezigheid van </w:t>
      </w:r>
      <w:r w:rsidRPr="00C82A3F">
        <w:t xml:space="preserve">potentieel schijnzelfstandigen bij de </w:t>
      </w:r>
      <w:bookmarkStart w:name="_Hlk195186145" w:id="2"/>
      <w:r w:rsidRPr="00C82A3F" w:rsidR="0041327D">
        <w:t>herstelorganisatie</w:t>
      </w:r>
      <w:r w:rsidRPr="00C82A3F" w:rsidR="0079537C">
        <w:t xml:space="preserve"> </w:t>
      </w:r>
      <w:bookmarkEnd w:id="2"/>
      <w:r w:rsidRPr="00C82A3F" w:rsidR="0079537C">
        <w:t>(peildatum: 1 april 2025)</w:t>
      </w:r>
      <w:r w:rsidRPr="00C82A3F">
        <w:t xml:space="preserve">. Het aantal is sinds eind december 2024 met </w:t>
      </w:r>
      <w:r w:rsidRPr="00C82A3F" w:rsidR="00A56CAA">
        <w:t>210</w:t>
      </w:r>
      <w:r w:rsidRPr="00C82A3F">
        <w:t xml:space="preserve"> afgenomen tot 529. Bij de Commissie Werkelijke Schade</w:t>
      </w:r>
      <w:r w:rsidRPr="00C82A3F" w:rsidR="00F97383">
        <w:t xml:space="preserve"> (CWS)</w:t>
      </w:r>
      <w:r w:rsidRPr="00C82A3F">
        <w:t xml:space="preserve"> zijn alle potentieel schijnzelfstandigen gekwalificeerd als </w:t>
      </w:r>
      <w:r w:rsidRPr="00C82A3F" w:rsidR="006B1F33">
        <w:t>“</w:t>
      </w:r>
      <w:r w:rsidRPr="00C82A3F">
        <w:t xml:space="preserve">zuivere </w:t>
      </w:r>
      <w:r w:rsidRPr="00C82A3F" w:rsidR="0079537C">
        <w:t>zzp’ers</w:t>
      </w:r>
      <w:r w:rsidRPr="00C82A3F" w:rsidR="006B1F33">
        <w:t>”</w:t>
      </w:r>
      <w:r w:rsidRPr="00C82A3F">
        <w:t xml:space="preserve"> na </w:t>
      </w:r>
      <w:r w:rsidRPr="00C82A3F" w:rsidR="00CE1484">
        <w:t xml:space="preserve">een </w:t>
      </w:r>
      <w:r w:rsidRPr="00C82A3F" w:rsidR="00FA7C1E">
        <w:t>herbeoordeling</w:t>
      </w:r>
      <w:r w:rsidRPr="00C82A3F" w:rsidR="00CE1484">
        <w:t xml:space="preserve"> van </w:t>
      </w:r>
      <w:r w:rsidRPr="00C82A3F" w:rsidR="007B638B">
        <w:t xml:space="preserve">ingevulde </w:t>
      </w:r>
      <w:r w:rsidRPr="00C82A3F" w:rsidR="00CE1484">
        <w:t>afwegingskaders door</w:t>
      </w:r>
      <w:r w:rsidRPr="00C82A3F">
        <w:t xml:space="preserve"> de </w:t>
      </w:r>
      <w:r w:rsidRPr="00C82A3F" w:rsidR="00965CF4">
        <w:t>afdeling fiscale beheersing</w:t>
      </w:r>
      <w:r w:rsidRPr="00C82A3F">
        <w:t>.</w:t>
      </w:r>
      <w:r>
        <w:t xml:space="preserve"> </w:t>
      </w:r>
    </w:p>
    <w:p w:rsidR="00A16CB2" w:rsidP="0069669A" w:rsidRDefault="00A16CB2" w14:paraId="32259E3E" w14:textId="77777777">
      <w:pPr>
        <w:pStyle w:val="Geenafstand"/>
        <w:spacing w:line="276" w:lineRule="auto"/>
      </w:pPr>
    </w:p>
    <w:p w:rsidR="002022F8" w:rsidP="0069669A" w:rsidRDefault="0069669A" w14:paraId="68347E4C" w14:textId="77777777">
      <w:pPr>
        <w:pStyle w:val="Geenafstand"/>
        <w:spacing w:line="276" w:lineRule="auto"/>
      </w:pPr>
      <w:r>
        <w:t xml:space="preserve">Bij de </w:t>
      </w:r>
      <w:r w:rsidR="0079537C">
        <w:t>UHT</w:t>
      </w:r>
      <w:r>
        <w:t xml:space="preserve"> is de afname </w:t>
      </w:r>
      <w:r w:rsidR="00A56CAA">
        <w:t xml:space="preserve">van </w:t>
      </w:r>
      <w:r>
        <w:t xml:space="preserve">147 </w:t>
      </w:r>
      <w:r w:rsidR="00A56CAA">
        <w:t xml:space="preserve">potentieel schijnzelfstandigen </w:t>
      </w:r>
      <w:r w:rsidR="002022F8">
        <w:t xml:space="preserve">grotendeels </w:t>
      </w:r>
      <w:r>
        <w:t>opgevangen</w:t>
      </w:r>
      <w:r w:rsidR="00A16CB2">
        <w:t>. In totaal zijn 32</w:t>
      </w:r>
      <w:r>
        <w:t xml:space="preserve"> </w:t>
      </w:r>
      <w:r w:rsidR="0079537C">
        <w:t xml:space="preserve">mensen </w:t>
      </w:r>
      <w:r>
        <w:t xml:space="preserve">in vaste dienst </w:t>
      </w:r>
      <w:r w:rsidR="00A16CB2">
        <w:t>getreden</w:t>
      </w:r>
      <w:r>
        <w:t xml:space="preserve"> </w:t>
      </w:r>
      <w:r w:rsidR="0079537C">
        <w:t>bij</w:t>
      </w:r>
      <w:r>
        <w:t xml:space="preserve"> UHT </w:t>
      </w:r>
      <w:r w:rsidR="00A16CB2">
        <w:t>en zijn 63</w:t>
      </w:r>
      <w:r>
        <w:t xml:space="preserve"> </w:t>
      </w:r>
      <w:r w:rsidR="0079537C">
        <w:t xml:space="preserve">een detacheringsovereenkomst </w:t>
      </w:r>
      <w:r w:rsidR="00A16CB2">
        <w:t>aangegaan</w:t>
      </w:r>
      <w:r w:rsidR="0079537C">
        <w:t xml:space="preserve"> bij de broker</w:t>
      </w:r>
      <w:r>
        <w:t xml:space="preserve">. </w:t>
      </w:r>
      <w:r w:rsidR="0041327D">
        <w:t>UHT behoudt daarmee d</w:t>
      </w:r>
      <w:r w:rsidRPr="002022F8" w:rsidR="002022F8">
        <w:t>e kennis en ervaring van de</w:t>
      </w:r>
      <w:r w:rsidR="00A16CB2">
        <w:t>ze</w:t>
      </w:r>
      <w:r w:rsidRPr="002022F8" w:rsidR="002022F8">
        <w:t xml:space="preserve"> ingewerkte medewerkers.</w:t>
      </w:r>
      <w:r w:rsidR="002022F8">
        <w:t xml:space="preserve"> </w:t>
      </w:r>
      <w:r w:rsidR="0079537C">
        <w:t>Helaas kon UHT 52 mensen</w:t>
      </w:r>
      <w:r>
        <w:t xml:space="preserve"> </w:t>
      </w:r>
      <w:r w:rsidR="00343E90">
        <w:t xml:space="preserve">niet </w:t>
      </w:r>
      <w:r w:rsidR="0079537C">
        <w:t>behouden</w:t>
      </w:r>
      <w:r>
        <w:t xml:space="preserve">. </w:t>
      </w:r>
      <w:r w:rsidR="0079537C">
        <w:t xml:space="preserve">Het is </w:t>
      </w:r>
      <w:r w:rsidR="00A23F6B">
        <w:t xml:space="preserve">nogmaals </w:t>
      </w:r>
      <w:r w:rsidR="0079537C">
        <w:t xml:space="preserve">de inzet en de </w:t>
      </w:r>
      <w:r w:rsidRPr="00041C9F" w:rsidR="0079537C">
        <w:t xml:space="preserve">verwachting dat </w:t>
      </w:r>
      <w:r w:rsidR="0079537C">
        <w:t xml:space="preserve">het aantal potentieel schijnzelfstandigen </w:t>
      </w:r>
      <w:r w:rsidRPr="00041C9F" w:rsidR="0079537C">
        <w:t>eind 2025</w:t>
      </w:r>
      <w:r w:rsidR="0079537C">
        <w:t xml:space="preserve"> tot nul is afgebouwd</w:t>
      </w:r>
      <w:r w:rsidRPr="00041C9F" w:rsidR="0079537C">
        <w:t>.</w:t>
      </w:r>
      <w:r w:rsidRPr="002022F8" w:rsidR="002022F8">
        <w:t xml:space="preserve"> </w:t>
      </w:r>
    </w:p>
    <w:p w:rsidR="002022F8" w:rsidP="002022F8" w:rsidRDefault="002022F8" w14:paraId="40DE1847" w14:textId="77777777">
      <w:pPr>
        <w:pStyle w:val="Geenafstand"/>
        <w:spacing w:line="276" w:lineRule="auto"/>
      </w:pPr>
    </w:p>
    <w:p w:rsidRPr="0079537C" w:rsidR="002022F8" w:rsidP="002022F8" w:rsidRDefault="002022F8" w14:paraId="23564080" w14:textId="77777777">
      <w:pPr>
        <w:pStyle w:val="Geenafstand"/>
        <w:spacing w:line="276" w:lineRule="auto"/>
        <w:rPr>
          <w:i/>
          <w:iCs/>
        </w:rPr>
      </w:pPr>
      <w:r>
        <w:rPr>
          <w:i/>
          <w:iCs/>
        </w:rPr>
        <w:t xml:space="preserve">Tabel 1: </w:t>
      </w:r>
      <w:r w:rsidRPr="0079537C">
        <w:rPr>
          <w:i/>
          <w:iCs/>
        </w:rPr>
        <w:t>Aantal potenti</w:t>
      </w:r>
      <w:r w:rsidR="009B6E83">
        <w:rPr>
          <w:i/>
          <w:iCs/>
        </w:rPr>
        <w:t>ee</w:t>
      </w:r>
      <w:r w:rsidRPr="0079537C">
        <w:rPr>
          <w:i/>
          <w:iCs/>
        </w:rPr>
        <w:t>l schijnzelfstandigen per onderdeel</w:t>
      </w:r>
      <w:r>
        <w:rPr>
          <w:i/>
          <w:iCs/>
        </w:rPr>
        <w:t xml:space="preserve"> van </w:t>
      </w:r>
      <w:r w:rsidR="0041327D">
        <w:rPr>
          <w:i/>
          <w:iCs/>
        </w:rPr>
        <w:t xml:space="preserve">de </w:t>
      </w:r>
      <w:r w:rsidRPr="0041327D" w:rsidR="0041327D">
        <w:rPr>
          <w:i/>
          <w:iCs/>
        </w:rPr>
        <w:t>herstelorganisatie</w:t>
      </w:r>
    </w:p>
    <w:tbl>
      <w:tblPr>
        <w:tblStyle w:val="Tabelraster"/>
        <w:tblW w:w="737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786"/>
        <w:gridCol w:w="714"/>
        <w:gridCol w:w="729"/>
        <w:gridCol w:w="779"/>
        <w:gridCol w:w="663"/>
        <w:gridCol w:w="769"/>
        <w:gridCol w:w="936"/>
      </w:tblGrid>
      <w:tr w:rsidRPr="00F8567A" w:rsidR="002022F8" w:rsidTr="007B4F88" w14:paraId="747917BB" w14:textId="77777777">
        <w:tc>
          <w:tcPr>
            <w:tcW w:w="2786" w:type="dxa"/>
            <w:shd w:val="clear" w:color="auto" w:fill="7F7F7F" w:themeFill="text1" w:themeFillTint="80"/>
            <w:vAlign w:val="bottom"/>
          </w:tcPr>
          <w:p w:rsidRPr="00563C8A" w:rsidR="002022F8" w:rsidP="0031737A" w:rsidRDefault="002022F8" w14:paraId="3EF526C6" w14:textId="77777777">
            <w:pPr>
              <w:spacing w:line="276" w:lineRule="auto"/>
              <w:rPr>
                <w:rFonts w:cs="Arial"/>
                <w:b/>
                <w:bCs/>
                <w:color w:val="FFFFFF" w:themeColor="background1"/>
                <w:sz w:val="14"/>
                <w:szCs w:val="14"/>
              </w:rPr>
            </w:pPr>
            <w:bookmarkStart w:name="_Hlk192079069" w:id="3"/>
            <w:r w:rsidRPr="00563C8A">
              <w:rPr>
                <w:rFonts w:cs="Arial"/>
                <w:b/>
                <w:bCs/>
                <w:color w:val="FFFFFF" w:themeColor="background1"/>
                <w:sz w:val="14"/>
                <w:szCs w:val="14"/>
              </w:rPr>
              <w:t>Per eind</w:t>
            </w:r>
          </w:p>
        </w:tc>
        <w:tc>
          <w:tcPr>
            <w:tcW w:w="714" w:type="dxa"/>
            <w:shd w:val="clear" w:color="auto" w:fill="7F7F7F" w:themeFill="text1" w:themeFillTint="80"/>
            <w:tcMar>
              <w:left w:w="57" w:type="dxa"/>
              <w:right w:w="57" w:type="dxa"/>
            </w:tcMar>
            <w:vAlign w:val="bottom"/>
          </w:tcPr>
          <w:p w:rsidRPr="00563C8A" w:rsidR="002022F8" w:rsidP="0031737A" w:rsidRDefault="002022F8" w14:paraId="5DDD3D37" w14:textId="77777777">
            <w:pPr>
              <w:spacing w:line="276" w:lineRule="auto"/>
              <w:rPr>
                <w:rFonts w:cs="Arial"/>
                <w:b/>
                <w:bCs/>
                <w:color w:val="FFFFFF" w:themeColor="background1"/>
                <w:sz w:val="14"/>
                <w:szCs w:val="14"/>
              </w:rPr>
            </w:pPr>
            <w:r w:rsidRPr="00563C8A">
              <w:rPr>
                <w:rFonts w:cs="Arial"/>
                <w:b/>
                <w:bCs/>
                <w:color w:val="FFFFFF" w:themeColor="background1"/>
                <w:sz w:val="14"/>
                <w:szCs w:val="14"/>
              </w:rPr>
              <w:t>Jan-24</w:t>
            </w:r>
          </w:p>
        </w:tc>
        <w:tc>
          <w:tcPr>
            <w:tcW w:w="729" w:type="dxa"/>
            <w:shd w:val="clear" w:color="auto" w:fill="7F7F7F" w:themeFill="text1" w:themeFillTint="80"/>
            <w:tcMar>
              <w:left w:w="57" w:type="dxa"/>
              <w:right w:w="57" w:type="dxa"/>
            </w:tcMar>
            <w:vAlign w:val="bottom"/>
          </w:tcPr>
          <w:p w:rsidRPr="00563C8A" w:rsidR="002022F8" w:rsidP="0031737A" w:rsidRDefault="002022F8" w14:paraId="0B82452B" w14:textId="77777777">
            <w:pPr>
              <w:spacing w:line="276" w:lineRule="auto"/>
              <w:rPr>
                <w:rFonts w:cs="Arial"/>
                <w:b/>
                <w:bCs/>
                <w:color w:val="FFFFFF" w:themeColor="background1"/>
                <w:sz w:val="14"/>
                <w:szCs w:val="14"/>
              </w:rPr>
            </w:pPr>
            <w:r w:rsidRPr="00563C8A">
              <w:rPr>
                <w:rFonts w:cs="Arial"/>
                <w:b/>
                <w:bCs/>
                <w:color w:val="FFFFFF" w:themeColor="background1"/>
                <w:sz w:val="14"/>
                <w:szCs w:val="14"/>
              </w:rPr>
              <w:t>Dec-24</w:t>
            </w:r>
          </w:p>
        </w:tc>
        <w:tc>
          <w:tcPr>
            <w:tcW w:w="779" w:type="dxa"/>
            <w:shd w:val="clear" w:color="auto" w:fill="7F7F7F" w:themeFill="text1" w:themeFillTint="80"/>
            <w:tcMar>
              <w:left w:w="57" w:type="dxa"/>
              <w:right w:w="57" w:type="dxa"/>
            </w:tcMar>
            <w:vAlign w:val="bottom"/>
          </w:tcPr>
          <w:p w:rsidRPr="00563C8A" w:rsidR="002022F8" w:rsidP="0031737A" w:rsidRDefault="002022F8" w14:paraId="1FA44276" w14:textId="77777777">
            <w:pPr>
              <w:spacing w:line="276" w:lineRule="auto"/>
              <w:rPr>
                <w:rFonts w:cs="Arial"/>
                <w:b/>
                <w:bCs/>
                <w:color w:val="FFFFFF" w:themeColor="background1"/>
                <w:sz w:val="14"/>
                <w:szCs w:val="14"/>
              </w:rPr>
            </w:pPr>
            <w:r w:rsidRPr="00563C8A">
              <w:rPr>
                <w:rFonts w:cs="Arial"/>
                <w:b/>
                <w:bCs/>
                <w:color w:val="FFFFFF" w:themeColor="background1"/>
                <w:sz w:val="14"/>
                <w:szCs w:val="14"/>
              </w:rPr>
              <w:t>Jan-25</w:t>
            </w:r>
          </w:p>
        </w:tc>
        <w:tc>
          <w:tcPr>
            <w:tcW w:w="663" w:type="dxa"/>
            <w:shd w:val="clear" w:color="auto" w:fill="7F7F7F" w:themeFill="text1" w:themeFillTint="80"/>
            <w:tcMar>
              <w:left w:w="57" w:type="dxa"/>
              <w:right w:w="57" w:type="dxa"/>
            </w:tcMar>
            <w:vAlign w:val="bottom"/>
          </w:tcPr>
          <w:p w:rsidRPr="00563C8A" w:rsidR="002022F8" w:rsidP="0031737A" w:rsidRDefault="002022F8" w14:paraId="7B967969" w14:textId="77777777">
            <w:pPr>
              <w:spacing w:line="276" w:lineRule="auto"/>
              <w:rPr>
                <w:rFonts w:cs="Arial"/>
                <w:b/>
                <w:bCs/>
                <w:color w:val="FFFFFF" w:themeColor="background1"/>
                <w:sz w:val="14"/>
                <w:szCs w:val="14"/>
              </w:rPr>
            </w:pPr>
            <w:r w:rsidRPr="00563C8A">
              <w:rPr>
                <w:rFonts w:cs="Arial"/>
                <w:b/>
                <w:bCs/>
                <w:color w:val="FFFFFF" w:themeColor="background1"/>
                <w:sz w:val="14"/>
                <w:szCs w:val="14"/>
              </w:rPr>
              <w:t>Feb-25</w:t>
            </w:r>
          </w:p>
        </w:tc>
        <w:tc>
          <w:tcPr>
            <w:tcW w:w="769" w:type="dxa"/>
            <w:shd w:val="clear" w:color="auto" w:fill="7F7F7F" w:themeFill="text1" w:themeFillTint="80"/>
            <w:vAlign w:val="bottom"/>
          </w:tcPr>
          <w:p w:rsidRPr="00563C8A" w:rsidR="002022F8" w:rsidP="0031737A" w:rsidRDefault="002022F8" w14:paraId="56BCBB76" w14:textId="77777777">
            <w:pPr>
              <w:spacing w:line="276" w:lineRule="auto"/>
              <w:rPr>
                <w:rFonts w:cs="Arial"/>
                <w:b/>
                <w:bCs/>
                <w:color w:val="FFFFFF" w:themeColor="background1"/>
                <w:sz w:val="14"/>
                <w:szCs w:val="14"/>
              </w:rPr>
            </w:pPr>
            <w:r w:rsidRPr="00563C8A">
              <w:rPr>
                <w:rFonts w:cs="Arial"/>
                <w:b/>
                <w:bCs/>
                <w:color w:val="FFFFFF" w:themeColor="background1"/>
                <w:sz w:val="14"/>
                <w:szCs w:val="14"/>
              </w:rPr>
              <w:t>Mrt-25</w:t>
            </w:r>
          </w:p>
        </w:tc>
        <w:tc>
          <w:tcPr>
            <w:tcW w:w="936" w:type="dxa"/>
            <w:shd w:val="clear" w:color="auto" w:fill="7F7F7F" w:themeFill="text1" w:themeFillTint="80"/>
            <w:vAlign w:val="bottom"/>
          </w:tcPr>
          <w:p w:rsidRPr="00563C8A" w:rsidR="002022F8" w:rsidP="0031737A" w:rsidRDefault="002022F8" w14:paraId="217083B2" w14:textId="77777777">
            <w:pPr>
              <w:spacing w:line="276" w:lineRule="auto"/>
              <w:rPr>
                <w:rFonts w:cs="Arial"/>
                <w:b/>
                <w:bCs/>
                <w:color w:val="FFFFFF" w:themeColor="background1"/>
                <w:sz w:val="14"/>
                <w:szCs w:val="14"/>
              </w:rPr>
            </w:pPr>
            <w:r w:rsidRPr="00563C8A">
              <w:rPr>
                <w:rFonts w:cs="Arial"/>
                <w:b/>
                <w:bCs/>
                <w:color w:val="FFFFFF" w:themeColor="background1"/>
                <w:sz w:val="14"/>
                <w:szCs w:val="14"/>
              </w:rPr>
              <w:t>Prognose dec- 2025</w:t>
            </w:r>
          </w:p>
        </w:tc>
      </w:tr>
      <w:tr w:rsidRPr="00F8567A" w:rsidR="002022F8" w:rsidTr="007B4F88" w14:paraId="6717CC46" w14:textId="77777777">
        <w:tc>
          <w:tcPr>
            <w:tcW w:w="2786" w:type="dxa"/>
          </w:tcPr>
          <w:p w:rsidRPr="00524161" w:rsidR="002022F8" w:rsidP="0031737A" w:rsidRDefault="002022F8" w14:paraId="6490597E" w14:textId="77777777">
            <w:pPr>
              <w:spacing w:line="276" w:lineRule="auto"/>
              <w:rPr>
                <w:rFonts w:cs="Arial"/>
                <w:color w:val="000000" w:themeColor="text1"/>
                <w:sz w:val="14"/>
                <w:szCs w:val="14"/>
              </w:rPr>
            </w:pPr>
            <w:r w:rsidRPr="00524161">
              <w:rPr>
                <w:rFonts w:cs="Arial"/>
                <w:color w:val="000000" w:themeColor="text1"/>
                <w:sz w:val="14"/>
                <w:szCs w:val="14"/>
              </w:rPr>
              <w:t>UHT</w:t>
            </w:r>
          </w:p>
        </w:tc>
        <w:tc>
          <w:tcPr>
            <w:tcW w:w="714" w:type="dxa"/>
            <w:tcMar>
              <w:left w:w="57" w:type="dxa"/>
              <w:right w:w="57" w:type="dxa"/>
            </w:tcMar>
          </w:tcPr>
          <w:p w:rsidRPr="00524161" w:rsidR="002022F8" w:rsidP="0031737A" w:rsidRDefault="002022F8" w14:paraId="10C61AA8" w14:textId="77777777">
            <w:pPr>
              <w:spacing w:line="276" w:lineRule="auto"/>
              <w:jc w:val="right"/>
              <w:rPr>
                <w:rFonts w:cs="Arial"/>
                <w:color w:val="000000" w:themeColor="text1"/>
                <w:sz w:val="14"/>
                <w:szCs w:val="14"/>
              </w:rPr>
            </w:pPr>
            <w:r w:rsidRPr="00524161">
              <w:rPr>
                <w:rFonts w:cs="Arial"/>
                <w:color w:val="000000" w:themeColor="text1"/>
                <w:sz w:val="14"/>
                <w:szCs w:val="14"/>
              </w:rPr>
              <w:t>769</w:t>
            </w:r>
          </w:p>
        </w:tc>
        <w:tc>
          <w:tcPr>
            <w:tcW w:w="729" w:type="dxa"/>
            <w:tcMar>
              <w:left w:w="57" w:type="dxa"/>
              <w:right w:w="57" w:type="dxa"/>
            </w:tcMar>
          </w:tcPr>
          <w:p w:rsidRPr="00524161" w:rsidR="002022F8" w:rsidP="0031737A" w:rsidRDefault="002022F8" w14:paraId="1AF95761" w14:textId="77777777">
            <w:pPr>
              <w:spacing w:line="276" w:lineRule="auto"/>
              <w:jc w:val="right"/>
              <w:rPr>
                <w:rFonts w:cs="Arial"/>
                <w:color w:val="000000" w:themeColor="text1"/>
                <w:sz w:val="14"/>
                <w:szCs w:val="14"/>
              </w:rPr>
            </w:pPr>
            <w:r w:rsidRPr="00524161">
              <w:rPr>
                <w:rFonts w:cs="Arial"/>
                <w:color w:val="000000" w:themeColor="text1"/>
                <w:sz w:val="14"/>
                <w:szCs w:val="14"/>
              </w:rPr>
              <w:t>650</w:t>
            </w:r>
            <w:r w:rsidRPr="00524161" w:rsidR="00524161">
              <w:rPr>
                <w:rFonts w:cs="Arial"/>
                <w:color w:val="000000" w:themeColor="text1"/>
                <w:sz w:val="14"/>
                <w:szCs w:val="14"/>
              </w:rPr>
              <w:t>*</w:t>
            </w:r>
          </w:p>
        </w:tc>
        <w:tc>
          <w:tcPr>
            <w:tcW w:w="779" w:type="dxa"/>
            <w:tcMar>
              <w:left w:w="57" w:type="dxa"/>
              <w:right w:w="57" w:type="dxa"/>
            </w:tcMar>
          </w:tcPr>
          <w:p w:rsidRPr="00F8567A" w:rsidR="002022F8" w:rsidP="0031737A" w:rsidRDefault="002022F8" w14:paraId="6A99EE7D" w14:textId="77777777">
            <w:pPr>
              <w:spacing w:line="276" w:lineRule="auto"/>
              <w:jc w:val="right"/>
              <w:rPr>
                <w:rFonts w:cs="Arial"/>
                <w:color w:val="000000" w:themeColor="text1"/>
                <w:sz w:val="14"/>
                <w:szCs w:val="14"/>
              </w:rPr>
            </w:pPr>
            <w:r w:rsidRPr="00F8567A">
              <w:rPr>
                <w:rFonts w:cs="Arial"/>
                <w:color w:val="000000" w:themeColor="text1"/>
                <w:sz w:val="14"/>
                <w:szCs w:val="14"/>
              </w:rPr>
              <w:t>53</w:t>
            </w:r>
            <w:r>
              <w:rPr>
                <w:rFonts w:cs="Arial"/>
                <w:color w:val="000000" w:themeColor="text1"/>
                <w:sz w:val="14"/>
                <w:szCs w:val="14"/>
              </w:rPr>
              <w:t>8</w:t>
            </w:r>
            <w:r w:rsidR="00524161">
              <w:rPr>
                <w:rFonts w:cs="Arial"/>
                <w:color w:val="000000" w:themeColor="text1"/>
                <w:sz w:val="14"/>
                <w:szCs w:val="14"/>
              </w:rPr>
              <w:t>*</w:t>
            </w:r>
          </w:p>
        </w:tc>
        <w:tc>
          <w:tcPr>
            <w:tcW w:w="663" w:type="dxa"/>
            <w:tcMar>
              <w:left w:w="57" w:type="dxa"/>
              <w:right w:w="57" w:type="dxa"/>
            </w:tcMar>
          </w:tcPr>
          <w:p w:rsidRPr="00F4469F" w:rsidR="002022F8" w:rsidP="0031737A" w:rsidRDefault="002022F8" w14:paraId="2E5F31D7" w14:textId="77777777">
            <w:pPr>
              <w:spacing w:line="276" w:lineRule="auto"/>
              <w:jc w:val="right"/>
              <w:rPr>
                <w:rFonts w:cs="Arial"/>
                <w:color w:val="000000" w:themeColor="text1"/>
                <w:sz w:val="14"/>
                <w:szCs w:val="14"/>
                <w:vertAlign w:val="superscript"/>
              </w:rPr>
            </w:pPr>
            <w:r>
              <w:rPr>
                <w:rFonts w:cs="Arial"/>
                <w:color w:val="000000" w:themeColor="text1"/>
                <w:sz w:val="14"/>
                <w:szCs w:val="14"/>
              </w:rPr>
              <w:t>531</w:t>
            </w:r>
            <w:r w:rsidR="00524161">
              <w:rPr>
                <w:rFonts w:cs="Arial"/>
                <w:color w:val="000000" w:themeColor="text1"/>
                <w:sz w:val="14"/>
                <w:szCs w:val="14"/>
              </w:rPr>
              <w:t>*</w:t>
            </w:r>
          </w:p>
        </w:tc>
        <w:tc>
          <w:tcPr>
            <w:tcW w:w="769" w:type="dxa"/>
          </w:tcPr>
          <w:p w:rsidR="002022F8" w:rsidP="0031737A" w:rsidRDefault="002022F8" w14:paraId="1507C552" w14:textId="77777777">
            <w:pPr>
              <w:spacing w:line="276" w:lineRule="auto"/>
              <w:jc w:val="right"/>
              <w:rPr>
                <w:rFonts w:cs="Arial"/>
                <w:color w:val="000000" w:themeColor="text1"/>
                <w:sz w:val="14"/>
                <w:szCs w:val="14"/>
              </w:rPr>
            </w:pPr>
            <w:r>
              <w:rPr>
                <w:rFonts w:cs="Arial"/>
                <w:color w:val="000000" w:themeColor="text1"/>
                <w:sz w:val="14"/>
                <w:szCs w:val="14"/>
              </w:rPr>
              <w:t>503</w:t>
            </w:r>
          </w:p>
        </w:tc>
        <w:tc>
          <w:tcPr>
            <w:tcW w:w="936" w:type="dxa"/>
          </w:tcPr>
          <w:p w:rsidR="002022F8" w:rsidP="0031737A" w:rsidRDefault="002022F8" w14:paraId="6629A7D0" w14:textId="77777777">
            <w:pPr>
              <w:spacing w:line="276" w:lineRule="auto"/>
              <w:jc w:val="right"/>
              <w:rPr>
                <w:rFonts w:cs="Arial"/>
                <w:color w:val="000000" w:themeColor="text1"/>
                <w:sz w:val="14"/>
                <w:szCs w:val="14"/>
              </w:rPr>
            </w:pPr>
            <w:r>
              <w:rPr>
                <w:rFonts w:cs="Arial"/>
                <w:color w:val="000000" w:themeColor="text1"/>
                <w:sz w:val="14"/>
                <w:szCs w:val="14"/>
              </w:rPr>
              <w:t>0</w:t>
            </w:r>
          </w:p>
        </w:tc>
      </w:tr>
      <w:tr w:rsidRPr="00F8567A" w:rsidR="002022F8" w:rsidTr="007B4F88" w14:paraId="749769DD" w14:textId="77777777">
        <w:tc>
          <w:tcPr>
            <w:tcW w:w="2786" w:type="dxa"/>
          </w:tcPr>
          <w:p w:rsidRPr="00524161" w:rsidR="002022F8" w:rsidP="0031737A" w:rsidRDefault="002022F8" w14:paraId="170480FC" w14:textId="77777777">
            <w:pPr>
              <w:spacing w:line="276" w:lineRule="auto"/>
              <w:rPr>
                <w:rFonts w:cs="Arial"/>
                <w:color w:val="000000" w:themeColor="text1"/>
                <w:sz w:val="14"/>
                <w:szCs w:val="14"/>
              </w:rPr>
            </w:pPr>
            <w:r w:rsidRPr="00524161">
              <w:rPr>
                <w:rFonts w:cs="Arial"/>
                <w:color w:val="000000" w:themeColor="text1"/>
                <w:sz w:val="14"/>
                <w:szCs w:val="14"/>
              </w:rPr>
              <w:t>CWS</w:t>
            </w:r>
          </w:p>
        </w:tc>
        <w:tc>
          <w:tcPr>
            <w:tcW w:w="714" w:type="dxa"/>
            <w:tcMar>
              <w:left w:w="57" w:type="dxa"/>
              <w:right w:w="57" w:type="dxa"/>
            </w:tcMar>
          </w:tcPr>
          <w:p w:rsidRPr="00524161" w:rsidR="002022F8" w:rsidP="0031737A" w:rsidRDefault="002022F8" w14:paraId="22D4F813" w14:textId="77777777">
            <w:pPr>
              <w:spacing w:line="276" w:lineRule="auto"/>
              <w:jc w:val="right"/>
              <w:rPr>
                <w:rFonts w:cs="Arial"/>
                <w:color w:val="000000" w:themeColor="text1"/>
                <w:sz w:val="14"/>
                <w:szCs w:val="14"/>
              </w:rPr>
            </w:pPr>
            <w:r w:rsidRPr="00524161">
              <w:rPr>
                <w:rFonts w:cs="Arial"/>
                <w:color w:val="000000" w:themeColor="text1"/>
                <w:sz w:val="14"/>
                <w:szCs w:val="14"/>
              </w:rPr>
              <w:t>-</w:t>
            </w:r>
          </w:p>
        </w:tc>
        <w:tc>
          <w:tcPr>
            <w:tcW w:w="729" w:type="dxa"/>
            <w:tcMar>
              <w:left w:w="57" w:type="dxa"/>
              <w:right w:w="57" w:type="dxa"/>
            </w:tcMar>
          </w:tcPr>
          <w:p w:rsidRPr="00524161" w:rsidR="002022F8" w:rsidP="0031737A" w:rsidRDefault="002022F8" w14:paraId="5F3DB10A" w14:textId="77777777">
            <w:pPr>
              <w:spacing w:line="276" w:lineRule="auto"/>
              <w:jc w:val="right"/>
              <w:rPr>
                <w:rFonts w:cs="Arial"/>
                <w:color w:val="000000" w:themeColor="text1"/>
                <w:sz w:val="14"/>
                <w:szCs w:val="14"/>
              </w:rPr>
            </w:pPr>
            <w:r w:rsidRPr="00524161">
              <w:rPr>
                <w:rFonts w:cs="Arial"/>
                <w:color w:val="000000" w:themeColor="text1"/>
                <w:sz w:val="14"/>
                <w:szCs w:val="14"/>
              </w:rPr>
              <w:t>60</w:t>
            </w:r>
            <w:r w:rsidRPr="00524161" w:rsidR="00524161">
              <w:rPr>
                <w:rFonts w:cs="Arial"/>
                <w:color w:val="000000" w:themeColor="text1"/>
                <w:sz w:val="14"/>
                <w:szCs w:val="14"/>
              </w:rPr>
              <w:t>**</w:t>
            </w:r>
          </w:p>
        </w:tc>
        <w:tc>
          <w:tcPr>
            <w:tcW w:w="779" w:type="dxa"/>
            <w:tcMar>
              <w:left w:w="57" w:type="dxa"/>
              <w:right w:w="57" w:type="dxa"/>
            </w:tcMar>
          </w:tcPr>
          <w:p w:rsidRPr="00F8567A" w:rsidR="002022F8" w:rsidP="0031737A" w:rsidRDefault="002022F8" w14:paraId="5CBDB90D" w14:textId="77777777">
            <w:pPr>
              <w:spacing w:line="276" w:lineRule="auto"/>
              <w:jc w:val="right"/>
              <w:rPr>
                <w:rFonts w:cs="Arial"/>
                <w:color w:val="000000" w:themeColor="text1"/>
                <w:sz w:val="14"/>
                <w:szCs w:val="14"/>
              </w:rPr>
            </w:pPr>
            <w:r w:rsidRPr="00F8567A">
              <w:rPr>
                <w:rFonts w:cs="Arial"/>
                <w:color w:val="000000" w:themeColor="text1"/>
                <w:sz w:val="14"/>
                <w:szCs w:val="14"/>
              </w:rPr>
              <w:t>70</w:t>
            </w:r>
            <w:r w:rsidR="00524161">
              <w:rPr>
                <w:rFonts w:cs="Arial"/>
                <w:color w:val="000000" w:themeColor="text1"/>
                <w:sz w:val="14"/>
                <w:szCs w:val="14"/>
              </w:rPr>
              <w:t>**</w:t>
            </w:r>
          </w:p>
        </w:tc>
        <w:tc>
          <w:tcPr>
            <w:tcW w:w="663" w:type="dxa"/>
            <w:tcMar>
              <w:left w:w="57" w:type="dxa"/>
              <w:right w:w="57" w:type="dxa"/>
            </w:tcMar>
          </w:tcPr>
          <w:p w:rsidRPr="00F8567A" w:rsidR="002022F8" w:rsidP="0031737A" w:rsidRDefault="002022F8" w14:paraId="7571218E" w14:textId="77777777">
            <w:pPr>
              <w:spacing w:line="276" w:lineRule="auto"/>
              <w:jc w:val="right"/>
              <w:rPr>
                <w:rFonts w:cs="Arial"/>
                <w:color w:val="000000" w:themeColor="text1"/>
                <w:sz w:val="14"/>
                <w:szCs w:val="14"/>
              </w:rPr>
            </w:pPr>
            <w:r>
              <w:rPr>
                <w:rFonts w:cs="Arial"/>
                <w:color w:val="000000" w:themeColor="text1"/>
                <w:sz w:val="14"/>
                <w:szCs w:val="14"/>
              </w:rPr>
              <w:t>71</w:t>
            </w:r>
            <w:r w:rsidR="00524161">
              <w:rPr>
                <w:rFonts w:cs="Arial"/>
                <w:color w:val="000000" w:themeColor="text1"/>
                <w:sz w:val="14"/>
                <w:szCs w:val="14"/>
              </w:rPr>
              <w:t>**</w:t>
            </w:r>
          </w:p>
        </w:tc>
        <w:tc>
          <w:tcPr>
            <w:tcW w:w="769" w:type="dxa"/>
          </w:tcPr>
          <w:p w:rsidR="002022F8" w:rsidP="0031737A" w:rsidRDefault="002022F8" w14:paraId="10212BC4" w14:textId="77777777">
            <w:pPr>
              <w:spacing w:line="276" w:lineRule="auto"/>
              <w:jc w:val="right"/>
              <w:rPr>
                <w:rFonts w:cs="Arial"/>
                <w:color w:val="000000" w:themeColor="text1"/>
                <w:sz w:val="14"/>
                <w:szCs w:val="14"/>
              </w:rPr>
            </w:pPr>
            <w:r>
              <w:rPr>
                <w:rFonts w:cs="Arial"/>
                <w:color w:val="000000" w:themeColor="text1"/>
                <w:sz w:val="14"/>
                <w:szCs w:val="14"/>
              </w:rPr>
              <w:t>0</w:t>
            </w:r>
          </w:p>
        </w:tc>
        <w:tc>
          <w:tcPr>
            <w:tcW w:w="936" w:type="dxa"/>
          </w:tcPr>
          <w:p w:rsidR="002022F8" w:rsidP="0031737A" w:rsidRDefault="002022F8" w14:paraId="6398B653" w14:textId="77777777">
            <w:pPr>
              <w:spacing w:line="276" w:lineRule="auto"/>
              <w:jc w:val="right"/>
              <w:rPr>
                <w:rFonts w:cs="Arial"/>
                <w:color w:val="000000" w:themeColor="text1"/>
                <w:sz w:val="14"/>
                <w:szCs w:val="14"/>
              </w:rPr>
            </w:pPr>
            <w:r>
              <w:rPr>
                <w:rFonts w:cs="Arial"/>
                <w:color w:val="000000" w:themeColor="text1"/>
                <w:sz w:val="14"/>
                <w:szCs w:val="14"/>
              </w:rPr>
              <w:t>0</w:t>
            </w:r>
          </w:p>
        </w:tc>
      </w:tr>
      <w:tr w:rsidRPr="00F8567A" w:rsidR="002022F8" w:rsidTr="007B4F88" w14:paraId="157DC68C" w14:textId="77777777">
        <w:trPr>
          <w:trHeight w:val="74"/>
        </w:trPr>
        <w:tc>
          <w:tcPr>
            <w:tcW w:w="2786" w:type="dxa"/>
            <w:shd w:val="clear" w:color="auto" w:fill="FFFFFF" w:themeFill="background1"/>
          </w:tcPr>
          <w:p w:rsidRPr="00343E90" w:rsidR="002022F8" w:rsidP="0031737A" w:rsidRDefault="002022F8" w14:paraId="6FC529B6" w14:textId="77777777">
            <w:pPr>
              <w:spacing w:line="276" w:lineRule="auto"/>
              <w:rPr>
                <w:rFonts w:cs="Arial"/>
                <w:color w:val="000000" w:themeColor="text1"/>
                <w:sz w:val="14"/>
                <w:szCs w:val="14"/>
              </w:rPr>
            </w:pPr>
            <w:r w:rsidRPr="00343E90">
              <w:rPr>
                <w:rFonts w:cs="Arial"/>
                <w:color w:val="000000" w:themeColor="text1"/>
                <w:sz w:val="14"/>
                <w:szCs w:val="14"/>
              </w:rPr>
              <w:t>DG Herstel</w:t>
            </w:r>
          </w:p>
        </w:tc>
        <w:tc>
          <w:tcPr>
            <w:tcW w:w="714" w:type="dxa"/>
            <w:shd w:val="clear" w:color="auto" w:fill="FFFFFF" w:themeFill="background1"/>
            <w:tcMar>
              <w:left w:w="57" w:type="dxa"/>
              <w:right w:w="57" w:type="dxa"/>
            </w:tcMar>
          </w:tcPr>
          <w:p w:rsidRPr="00343E90" w:rsidR="002022F8" w:rsidP="0031737A" w:rsidRDefault="002022F8" w14:paraId="79DE10A4" w14:textId="77777777">
            <w:pPr>
              <w:spacing w:line="276" w:lineRule="auto"/>
              <w:jc w:val="right"/>
              <w:rPr>
                <w:rFonts w:cs="Arial"/>
                <w:color w:val="000000" w:themeColor="text1"/>
                <w:sz w:val="14"/>
                <w:szCs w:val="14"/>
              </w:rPr>
            </w:pPr>
            <w:r>
              <w:rPr>
                <w:rFonts w:cs="Arial"/>
                <w:color w:val="000000" w:themeColor="text1"/>
                <w:sz w:val="14"/>
                <w:szCs w:val="14"/>
              </w:rPr>
              <w:t>-</w:t>
            </w:r>
          </w:p>
        </w:tc>
        <w:tc>
          <w:tcPr>
            <w:tcW w:w="729" w:type="dxa"/>
            <w:shd w:val="clear" w:color="auto" w:fill="FFFFFF" w:themeFill="background1"/>
            <w:tcMar>
              <w:left w:w="57" w:type="dxa"/>
              <w:right w:w="57" w:type="dxa"/>
            </w:tcMar>
          </w:tcPr>
          <w:p w:rsidRPr="00343E90" w:rsidR="002022F8" w:rsidP="0031737A" w:rsidRDefault="002022F8" w14:paraId="57316893" w14:textId="77777777">
            <w:pPr>
              <w:spacing w:line="276" w:lineRule="auto"/>
              <w:jc w:val="right"/>
              <w:rPr>
                <w:rFonts w:cs="Arial"/>
                <w:color w:val="000000" w:themeColor="text1"/>
                <w:sz w:val="14"/>
                <w:szCs w:val="14"/>
              </w:rPr>
            </w:pPr>
            <w:r w:rsidRPr="00343E90">
              <w:rPr>
                <w:rFonts w:cs="Arial"/>
                <w:color w:val="000000" w:themeColor="text1"/>
                <w:sz w:val="14"/>
                <w:szCs w:val="14"/>
              </w:rPr>
              <w:t>29</w:t>
            </w:r>
          </w:p>
        </w:tc>
        <w:tc>
          <w:tcPr>
            <w:tcW w:w="779" w:type="dxa"/>
            <w:shd w:val="clear" w:color="auto" w:fill="FFFFFF" w:themeFill="background1"/>
            <w:tcMar>
              <w:left w:w="57" w:type="dxa"/>
              <w:right w:w="57" w:type="dxa"/>
            </w:tcMar>
          </w:tcPr>
          <w:p w:rsidRPr="00343E90" w:rsidR="002022F8" w:rsidP="0031737A" w:rsidRDefault="002022F8" w14:paraId="1D85B921" w14:textId="77777777">
            <w:pPr>
              <w:spacing w:line="276" w:lineRule="auto"/>
              <w:jc w:val="right"/>
              <w:rPr>
                <w:rFonts w:cs="Arial"/>
                <w:color w:val="000000" w:themeColor="text1"/>
                <w:sz w:val="14"/>
                <w:szCs w:val="14"/>
              </w:rPr>
            </w:pPr>
            <w:r w:rsidRPr="00343E90">
              <w:rPr>
                <w:rFonts w:cs="Arial"/>
                <w:color w:val="000000" w:themeColor="text1"/>
                <w:sz w:val="14"/>
                <w:szCs w:val="14"/>
              </w:rPr>
              <w:t>29</w:t>
            </w:r>
          </w:p>
        </w:tc>
        <w:tc>
          <w:tcPr>
            <w:tcW w:w="663" w:type="dxa"/>
            <w:shd w:val="clear" w:color="auto" w:fill="FFFFFF" w:themeFill="background1"/>
            <w:tcMar>
              <w:left w:w="57" w:type="dxa"/>
              <w:right w:w="57" w:type="dxa"/>
            </w:tcMar>
          </w:tcPr>
          <w:p w:rsidRPr="00343E90" w:rsidR="002022F8" w:rsidP="0031737A" w:rsidRDefault="002022F8" w14:paraId="2E1BE5C8" w14:textId="77777777">
            <w:pPr>
              <w:spacing w:line="276" w:lineRule="auto"/>
              <w:jc w:val="right"/>
              <w:rPr>
                <w:rFonts w:cs="Arial"/>
                <w:color w:val="000000" w:themeColor="text1"/>
                <w:sz w:val="14"/>
                <w:szCs w:val="14"/>
              </w:rPr>
            </w:pPr>
            <w:r w:rsidRPr="00343E90">
              <w:rPr>
                <w:rFonts w:cs="Arial"/>
                <w:color w:val="000000" w:themeColor="text1"/>
                <w:sz w:val="14"/>
                <w:szCs w:val="14"/>
              </w:rPr>
              <w:t>29</w:t>
            </w:r>
          </w:p>
        </w:tc>
        <w:tc>
          <w:tcPr>
            <w:tcW w:w="769" w:type="dxa"/>
            <w:shd w:val="clear" w:color="auto" w:fill="FFFFFF" w:themeFill="background1"/>
          </w:tcPr>
          <w:p w:rsidRPr="00343E90" w:rsidR="002022F8" w:rsidP="0031737A" w:rsidRDefault="002022F8" w14:paraId="7F4AE55F" w14:textId="77777777">
            <w:pPr>
              <w:spacing w:line="276" w:lineRule="auto"/>
              <w:jc w:val="right"/>
              <w:rPr>
                <w:rFonts w:cs="Arial"/>
                <w:color w:val="000000" w:themeColor="text1"/>
                <w:sz w:val="14"/>
                <w:szCs w:val="14"/>
              </w:rPr>
            </w:pPr>
            <w:r w:rsidRPr="00343E90">
              <w:rPr>
                <w:rFonts w:cs="Arial"/>
                <w:color w:val="000000" w:themeColor="text1"/>
                <w:sz w:val="14"/>
                <w:szCs w:val="14"/>
              </w:rPr>
              <w:t>26</w:t>
            </w:r>
          </w:p>
        </w:tc>
        <w:tc>
          <w:tcPr>
            <w:tcW w:w="936" w:type="dxa"/>
            <w:shd w:val="clear" w:color="auto" w:fill="FFFFFF" w:themeFill="background1"/>
          </w:tcPr>
          <w:p w:rsidRPr="00343E90" w:rsidR="002022F8" w:rsidP="0031737A" w:rsidRDefault="002022F8" w14:paraId="774E64CB" w14:textId="77777777">
            <w:pPr>
              <w:spacing w:line="276" w:lineRule="auto"/>
              <w:jc w:val="right"/>
              <w:rPr>
                <w:rFonts w:cs="Arial"/>
                <w:color w:val="000000" w:themeColor="text1"/>
                <w:sz w:val="14"/>
                <w:szCs w:val="14"/>
              </w:rPr>
            </w:pPr>
            <w:r w:rsidRPr="00343E90">
              <w:rPr>
                <w:rFonts w:cs="Arial"/>
                <w:color w:val="000000" w:themeColor="text1"/>
                <w:sz w:val="14"/>
                <w:szCs w:val="14"/>
              </w:rPr>
              <w:t>0</w:t>
            </w:r>
          </w:p>
        </w:tc>
      </w:tr>
      <w:tr w:rsidRPr="00F8567A" w:rsidR="002022F8" w:rsidTr="007B4F88" w14:paraId="5F8F2F61" w14:textId="77777777">
        <w:tc>
          <w:tcPr>
            <w:tcW w:w="2786" w:type="dxa"/>
            <w:tcBorders>
              <w:bottom w:val="single" w:color="auto" w:sz="4" w:space="0"/>
            </w:tcBorders>
            <w:shd w:val="clear" w:color="auto" w:fill="FFFFFF" w:themeFill="background1"/>
          </w:tcPr>
          <w:p w:rsidRPr="007B4F88" w:rsidR="002022F8" w:rsidP="0031737A" w:rsidRDefault="002022F8" w14:paraId="153693A5" w14:textId="77777777">
            <w:pPr>
              <w:spacing w:line="276" w:lineRule="auto"/>
              <w:rPr>
                <w:rFonts w:cs="Arial"/>
                <w:b/>
                <w:bCs/>
                <w:color w:val="000000" w:themeColor="text1"/>
                <w:sz w:val="14"/>
                <w:szCs w:val="14"/>
              </w:rPr>
            </w:pPr>
            <w:r w:rsidRPr="007B4F88">
              <w:rPr>
                <w:rFonts w:cs="Arial"/>
                <w:b/>
                <w:bCs/>
                <w:color w:val="000000" w:themeColor="text1"/>
                <w:sz w:val="14"/>
                <w:szCs w:val="14"/>
              </w:rPr>
              <w:t>Totaal herstelorganisatie</w:t>
            </w:r>
          </w:p>
        </w:tc>
        <w:tc>
          <w:tcPr>
            <w:tcW w:w="714" w:type="dxa"/>
            <w:tcBorders>
              <w:bottom w:val="single" w:color="auto" w:sz="4" w:space="0"/>
            </w:tcBorders>
            <w:shd w:val="clear" w:color="auto" w:fill="FFFFFF" w:themeFill="background1"/>
            <w:tcMar>
              <w:left w:w="57" w:type="dxa"/>
              <w:right w:w="57" w:type="dxa"/>
            </w:tcMar>
          </w:tcPr>
          <w:p w:rsidRPr="007B4F88" w:rsidR="002022F8" w:rsidP="0031737A" w:rsidRDefault="002022F8" w14:paraId="69CAEFEA" w14:textId="77777777">
            <w:pPr>
              <w:spacing w:line="276" w:lineRule="auto"/>
              <w:jc w:val="right"/>
              <w:rPr>
                <w:rFonts w:cs="Arial"/>
                <w:b/>
                <w:bCs/>
                <w:color w:val="000000" w:themeColor="text1"/>
                <w:sz w:val="14"/>
                <w:szCs w:val="14"/>
              </w:rPr>
            </w:pPr>
            <w:r w:rsidRPr="007B4F88">
              <w:rPr>
                <w:rFonts w:cs="Arial"/>
                <w:b/>
                <w:bCs/>
                <w:color w:val="000000" w:themeColor="text1"/>
                <w:sz w:val="14"/>
                <w:szCs w:val="14"/>
              </w:rPr>
              <w:t>-</w:t>
            </w:r>
          </w:p>
        </w:tc>
        <w:tc>
          <w:tcPr>
            <w:tcW w:w="729" w:type="dxa"/>
            <w:tcBorders>
              <w:bottom w:val="single" w:color="auto" w:sz="4" w:space="0"/>
            </w:tcBorders>
            <w:shd w:val="clear" w:color="auto" w:fill="FFFFFF" w:themeFill="background1"/>
            <w:tcMar>
              <w:left w:w="57" w:type="dxa"/>
              <w:right w:w="57" w:type="dxa"/>
            </w:tcMar>
          </w:tcPr>
          <w:p w:rsidRPr="007B4F88" w:rsidR="002022F8" w:rsidP="0031737A" w:rsidRDefault="002022F8" w14:paraId="2962CF15" w14:textId="77777777">
            <w:pPr>
              <w:spacing w:line="276" w:lineRule="auto"/>
              <w:jc w:val="right"/>
              <w:rPr>
                <w:rFonts w:cs="Arial"/>
                <w:b/>
                <w:bCs/>
                <w:color w:val="000000" w:themeColor="text1"/>
                <w:sz w:val="14"/>
                <w:szCs w:val="14"/>
              </w:rPr>
            </w:pPr>
            <w:r w:rsidRPr="007B4F88">
              <w:rPr>
                <w:rFonts w:cs="Arial"/>
                <w:b/>
                <w:bCs/>
                <w:color w:val="000000" w:themeColor="text1"/>
                <w:sz w:val="14"/>
                <w:szCs w:val="14"/>
              </w:rPr>
              <w:t>7</w:t>
            </w:r>
            <w:r w:rsidRPr="007B4F88" w:rsidR="00524161">
              <w:rPr>
                <w:rFonts w:cs="Arial"/>
                <w:b/>
                <w:bCs/>
                <w:color w:val="000000" w:themeColor="text1"/>
                <w:sz w:val="14"/>
                <w:szCs w:val="14"/>
              </w:rPr>
              <w:t>39</w:t>
            </w:r>
          </w:p>
        </w:tc>
        <w:tc>
          <w:tcPr>
            <w:tcW w:w="779" w:type="dxa"/>
            <w:tcBorders>
              <w:bottom w:val="single" w:color="auto" w:sz="4" w:space="0"/>
            </w:tcBorders>
            <w:shd w:val="clear" w:color="auto" w:fill="FFFFFF" w:themeFill="background1"/>
            <w:tcMar>
              <w:left w:w="57" w:type="dxa"/>
              <w:right w:w="57" w:type="dxa"/>
            </w:tcMar>
          </w:tcPr>
          <w:p w:rsidRPr="007B4F88" w:rsidR="002022F8" w:rsidP="0031737A" w:rsidRDefault="002022F8" w14:paraId="4EAF21C2" w14:textId="77777777">
            <w:pPr>
              <w:spacing w:line="276" w:lineRule="auto"/>
              <w:jc w:val="right"/>
              <w:rPr>
                <w:rFonts w:cs="Arial"/>
                <w:b/>
                <w:bCs/>
                <w:color w:val="000000" w:themeColor="text1"/>
                <w:sz w:val="14"/>
                <w:szCs w:val="14"/>
              </w:rPr>
            </w:pPr>
            <w:r w:rsidRPr="007B4F88">
              <w:rPr>
                <w:rFonts w:cs="Arial"/>
                <w:b/>
                <w:bCs/>
                <w:color w:val="000000" w:themeColor="text1"/>
                <w:sz w:val="14"/>
                <w:szCs w:val="14"/>
              </w:rPr>
              <w:t>637</w:t>
            </w:r>
          </w:p>
        </w:tc>
        <w:tc>
          <w:tcPr>
            <w:tcW w:w="663" w:type="dxa"/>
            <w:tcBorders>
              <w:bottom w:val="single" w:color="auto" w:sz="4" w:space="0"/>
            </w:tcBorders>
            <w:shd w:val="clear" w:color="auto" w:fill="FFFFFF" w:themeFill="background1"/>
            <w:tcMar>
              <w:left w:w="57" w:type="dxa"/>
              <w:right w:w="57" w:type="dxa"/>
            </w:tcMar>
          </w:tcPr>
          <w:p w:rsidRPr="007B4F88" w:rsidR="002022F8" w:rsidP="0031737A" w:rsidRDefault="002022F8" w14:paraId="2FAEF41B" w14:textId="77777777">
            <w:pPr>
              <w:spacing w:line="276" w:lineRule="auto"/>
              <w:jc w:val="right"/>
              <w:rPr>
                <w:rFonts w:cs="Arial"/>
                <w:b/>
                <w:bCs/>
                <w:color w:val="000000" w:themeColor="text1"/>
                <w:sz w:val="14"/>
                <w:szCs w:val="14"/>
              </w:rPr>
            </w:pPr>
            <w:r w:rsidRPr="007B4F88">
              <w:rPr>
                <w:rFonts w:cs="Arial"/>
                <w:b/>
                <w:bCs/>
                <w:color w:val="000000" w:themeColor="text1"/>
                <w:sz w:val="14"/>
                <w:szCs w:val="14"/>
              </w:rPr>
              <w:t>631</w:t>
            </w:r>
          </w:p>
        </w:tc>
        <w:tc>
          <w:tcPr>
            <w:tcW w:w="769" w:type="dxa"/>
            <w:tcBorders>
              <w:bottom w:val="single" w:color="auto" w:sz="4" w:space="0"/>
            </w:tcBorders>
            <w:shd w:val="clear" w:color="auto" w:fill="FFFFFF" w:themeFill="background1"/>
          </w:tcPr>
          <w:p w:rsidRPr="007B4F88" w:rsidR="002022F8" w:rsidP="0031737A" w:rsidRDefault="002022F8" w14:paraId="65D78779" w14:textId="77777777">
            <w:pPr>
              <w:spacing w:line="276" w:lineRule="auto"/>
              <w:jc w:val="right"/>
              <w:rPr>
                <w:rFonts w:cs="Arial"/>
                <w:b/>
                <w:bCs/>
                <w:color w:val="000000" w:themeColor="text1"/>
                <w:sz w:val="14"/>
                <w:szCs w:val="14"/>
              </w:rPr>
            </w:pPr>
            <w:r w:rsidRPr="007B4F88">
              <w:rPr>
                <w:rFonts w:cs="Arial"/>
                <w:b/>
                <w:bCs/>
                <w:color w:val="000000" w:themeColor="text1"/>
                <w:sz w:val="14"/>
                <w:szCs w:val="14"/>
              </w:rPr>
              <w:t>529</w:t>
            </w:r>
          </w:p>
        </w:tc>
        <w:tc>
          <w:tcPr>
            <w:tcW w:w="936" w:type="dxa"/>
            <w:tcBorders>
              <w:bottom w:val="single" w:color="auto" w:sz="4" w:space="0"/>
            </w:tcBorders>
            <w:shd w:val="clear" w:color="auto" w:fill="FFFFFF" w:themeFill="background1"/>
          </w:tcPr>
          <w:p w:rsidRPr="007B4F88" w:rsidR="00524161" w:rsidP="00524161" w:rsidRDefault="00B534F4" w14:paraId="18751ABB" w14:textId="77777777">
            <w:pPr>
              <w:spacing w:line="276" w:lineRule="auto"/>
              <w:jc w:val="right"/>
              <w:rPr>
                <w:rFonts w:cs="Arial"/>
                <w:b/>
                <w:bCs/>
                <w:color w:val="000000" w:themeColor="text1"/>
                <w:sz w:val="14"/>
                <w:szCs w:val="14"/>
              </w:rPr>
            </w:pPr>
            <w:r>
              <w:rPr>
                <w:rFonts w:cs="Arial"/>
                <w:b/>
                <w:bCs/>
                <w:color w:val="000000" w:themeColor="text1"/>
                <w:sz w:val="14"/>
                <w:szCs w:val="14"/>
              </w:rPr>
              <w:t>0</w:t>
            </w:r>
          </w:p>
        </w:tc>
      </w:tr>
      <w:tr w:rsidRPr="00F8567A" w:rsidR="002022F8" w:rsidTr="007B4F88" w14:paraId="703AB765" w14:textId="77777777">
        <w:tc>
          <w:tcPr>
            <w:tcW w:w="7376" w:type="dxa"/>
            <w:gridSpan w:val="7"/>
            <w:tcBorders>
              <w:top w:val="single" w:color="auto" w:sz="4" w:space="0"/>
            </w:tcBorders>
          </w:tcPr>
          <w:p w:rsidR="002022F8" w:rsidP="0031737A" w:rsidRDefault="002022F8" w14:paraId="131985F7" w14:textId="77777777">
            <w:pPr>
              <w:spacing w:line="276" w:lineRule="auto"/>
              <w:rPr>
                <w:rFonts w:cs="Arial"/>
                <w:color w:val="000000" w:themeColor="text1"/>
                <w:sz w:val="14"/>
                <w:szCs w:val="14"/>
              </w:rPr>
            </w:pPr>
          </w:p>
          <w:p w:rsidRPr="00F97383" w:rsidR="002022F8" w:rsidP="0031737A" w:rsidRDefault="002022F8" w14:paraId="55351385" w14:textId="77777777">
            <w:pPr>
              <w:spacing w:line="276" w:lineRule="auto"/>
              <w:rPr>
                <w:rFonts w:cs="Arial"/>
                <w:color w:val="000000" w:themeColor="text1"/>
                <w:sz w:val="14"/>
                <w:szCs w:val="14"/>
              </w:rPr>
            </w:pPr>
            <w:r>
              <w:rPr>
                <w:i/>
                <w:iCs/>
              </w:rPr>
              <w:t xml:space="preserve">Tabel 2: Aandeel </w:t>
            </w:r>
            <w:r w:rsidRPr="0079537C">
              <w:rPr>
                <w:i/>
                <w:iCs/>
              </w:rPr>
              <w:t>potenti</w:t>
            </w:r>
            <w:r w:rsidR="009B6E83">
              <w:rPr>
                <w:i/>
                <w:iCs/>
              </w:rPr>
              <w:t>ee</w:t>
            </w:r>
            <w:r w:rsidRPr="0079537C">
              <w:rPr>
                <w:i/>
                <w:iCs/>
              </w:rPr>
              <w:t xml:space="preserve">l </w:t>
            </w:r>
            <w:r>
              <w:rPr>
                <w:i/>
                <w:iCs/>
              </w:rPr>
              <w:t>schijnzelfstandigen ten opzichte van totale bezetting UHT</w:t>
            </w:r>
          </w:p>
        </w:tc>
      </w:tr>
      <w:tr w:rsidRPr="00F8567A" w:rsidR="002022F8" w:rsidTr="007B4F88" w14:paraId="3B8F6A58" w14:textId="77777777">
        <w:tc>
          <w:tcPr>
            <w:tcW w:w="2786" w:type="dxa"/>
            <w:shd w:val="clear" w:color="auto" w:fill="7F7F7F" w:themeFill="text1" w:themeFillTint="80"/>
            <w:vAlign w:val="bottom"/>
          </w:tcPr>
          <w:p w:rsidR="002022F8" w:rsidP="0031737A" w:rsidRDefault="002022F8" w14:paraId="179A94FB" w14:textId="77777777">
            <w:pPr>
              <w:spacing w:line="276" w:lineRule="auto"/>
              <w:rPr>
                <w:rFonts w:cs="Arial"/>
                <w:b/>
                <w:bCs/>
                <w:color w:val="000000" w:themeColor="text1"/>
                <w:sz w:val="14"/>
                <w:szCs w:val="14"/>
              </w:rPr>
            </w:pPr>
            <w:r w:rsidRPr="00563C8A">
              <w:rPr>
                <w:rFonts w:cs="Arial"/>
                <w:b/>
                <w:bCs/>
                <w:color w:val="FFFFFF" w:themeColor="background1"/>
                <w:sz w:val="14"/>
                <w:szCs w:val="14"/>
              </w:rPr>
              <w:t>Per eind</w:t>
            </w:r>
          </w:p>
        </w:tc>
        <w:tc>
          <w:tcPr>
            <w:tcW w:w="714" w:type="dxa"/>
            <w:shd w:val="clear" w:color="auto" w:fill="7F7F7F" w:themeFill="text1" w:themeFillTint="80"/>
            <w:tcMar>
              <w:left w:w="57" w:type="dxa"/>
              <w:right w:w="57" w:type="dxa"/>
            </w:tcMar>
            <w:vAlign w:val="bottom"/>
          </w:tcPr>
          <w:p w:rsidRPr="00070656" w:rsidR="002022F8" w:rsidP="0031737A" w:rsidRDefault="002022F8" w14:paraId="20521B41" w14:textId="77777777">
            <w:pPr>
              <w:spacing w:line="276" w:lineRule="auto"/>
              <w:jc w:val="right"/>
              <w:rPr>
                <w:rFonts w:cs="Arial"/>
                <w:color w:val="000000" w:themeColor="text1"/>
                <w:sz w:val="14"/>
                <w:szCs w:val="14"/>
              </w:rPr>
            </w:pPr>
            <w:r w:rsidRPr="00563C8A">
              <w:rPr>
                <w:rFonts w:cs="Arial"/>
                <w:b/>
                <w:bCs/>
                <w:color w:val="FFFFFF" w:themeColor="background1"/>
                <w:sz w:val="14"/>
                <w:szCs w:val="14"/>
              </w:rPr>
              <w:t>Jan-24</w:t>
            </w:r>
          </w:p>
        </w:tc>
        <w:tc>
          <w:tcPr>
            <w:tcW w:w="729" w:type="dxa"/>
            <w:shd w:val="clear" w:color="auto" w:fill="7F7F7F" w:themeFill="text1" w:themeFillTint="80"/>
            <w:tcMar>
              <w:left w:w="57" w:type="dxa"/>
              <w:right w:w="57" w:type="dxa"/>
            </w:tcMar>
            <w:vAlign w:val="bottom"/>
          </w:tcPr>
          <w:p w:rsidR="002022F8" w:rsidP="0031737A" w:rsidRDefault="002022F8" w14:paraId="08EC5DB0" w14:textId="77777777">
            <w:pPr>
              <w:spacing w:line="276" w:lineRule="auto"/>
              <w:jc w:val="right"/>
              <w:rPr>
                <w:rFonts w:cs="Arial"/>
                <w:color w:val="000000" w:themeColor="text1"/>
                <w:sz w:val="14"/>
                <w:szCs w:val="14"/>
              </w:rPr>
            </w:pPr>
            <w:r w:rsidRPr="00563C8A">
              <w:rPr>
                <w:rFonts w:cs="Arial"/>
                <w:b/>
                <w:bCs/>
                <w:color w:val="FFFFFF" w:themeColor="background1"/>
                <w:sz w:val="14"/>
                <w:szCs w:val="14"/>
              </w:rPr>
              <w:t>Dec-24</w:t>
            </w:r>
          </w:p>
        </w:tc>
        <w:tc>
          <w:tcPr>
            <w:tcW w:w="779" w:type="dxa"/>
            <w:shd w:val="clear" w:color="auto" w:fill="7F7F7F" w:themeFill="text1" w:themeFillTint="80"/>
            <w:tcMar>
              <w:left w:w="57" w:type="dxa"/>
              <w:right w:w="57" w:type="dxa"/>
            </w:tcMar>
            <w:vAlign w:val="bottom"/>
          </w:tcPr>
          <w:p w:rsidR="002022F8" w:rsidP="0031737A" w:rsidRDefault="002022F8" w14:paraId="6ED2F0F1" w14:textId="77777777">
            <w:pPr>
              <w:spacing w:line="276" w:lineRule="auto"/>
              <w:jc w:val="right"/>
              <w:rPr>
                <w:rFonts w:cs="Arial"/>
                <w:color w:val="000000" w:themeColor="text1"/>
                <w:sz w:val="14"/>
                <w:szCs w:val="14"/>
              </w:rPr>
            </w:pPr>
            <w:r w:rsidRPr="00563C8A">
              <w:rPr>
                <w:rFonts w:cs="Arial"/>
                <w:b/>
                <w:bCs/>
                <w:color w:val="FFFFFF" w:themeColor="background1"/>
                <w:sz w:val="14"/>
                <w:szCs w:val="14"/>
              </w:rPr>
              <w:t>Jan-25</w:t>
            </w:r>
          </w:p>
        </w:tc>
        <w:tc>
          <w:tcPr>
            <w:tcW w:w="663" w:type="dxa"/>
            <w:shd w:val="clear" w:color="auto" w:fill="7F7F7F" w:themeFill="text1" w:themeFillTint="80"/>
            <w:tcMar>
              <w:left w:w="57" w:type="dxa"/>
              <w:right w:w="57" w:type="dxa"/>
            </w:tcMar>
            <w:vAlign w:val="bottom"/>
          </w:tcPr>
          <w:p w:rsidRPr="00070656" w:rsidR="002022F8" w:rsidP="0031737A" w:rsidRDefault="002022F8" w14:paraId="2D723CBF" w14:textId="77777777">
            <w:pPr>
              <w:spacing w:line="276" w:lineRule="auto"/>
              <w:jc w:val="right"/>
              <w:rPr>
                <w:rFonts w:cs="Arial"/>
                <w:color w:val="000000" w:themeColor="text1"/>
                <w:sz w:val="14"/>
                <w:szCs w:val="14"/>
              </w:rPr>
            </w:pPr>
            <w:r w:rsidRPr="00563C8A">
              <w:rPr>
                <w:rFonts w:cs="Arial"/>
                <w:b/>
                <w:bCs/>
                <w:color w:val="FFFFFF" w:themeColor="background1"/>
                <w:sz w:val="14"/>
                <w:szCs w:val="14"/>
              </w:rPr>
              <w:t>Feb-25</w:t>
            </w:r>
          </w:p>
        </w:tc>
        <w:tc>
          <w:tcPr>
            <w:tcW w:w="769" w:type="dxa"/>
            <w:shd w:val="clear" w:color="auto" w:fill="7F7F7F" w:themeFill="text1" w:themeFillTint="80"/>
            <w:vAlign w:val="bottom"/>
          </w:tcPr>
          <w:p w:rsidRPr="00070656" w:rsidR="002022F8" w:rsidP="0031737A" w:rsidRDefault="002022F8" w14:paraId="12913425" w14:textId="77777777">
            <w:pPr>
              <w:spacing w:line="276" w:lineRule="auto"/>
              <w:jc w:val="right"/>
              <w:rPr>
                <w:rFonts w:cs="Arial"/>
                <w:color w:val="000000" w:themeColor="text1"/>
                <w:sz w:val="14"/>
                <w:szCs w:val="14"/>
              </w:rPr>
            </w:pPr>
            <w:r w:rsidRPr="00563C8A">
              <w:rPr>
                <w:rFonts w:cs="Arial"/>
                <w:b/>
                <w:bCs/>
                <w:color w:val="FFFFFF" w:themeColor="background1"/>
                <w:sz w:val="14"/>
                <w:szCs w:val="14"/>
              </w:rPr>
              <w:t>Mrt-25</w:t>
            </w:r>
          </w:p>
        </w:tc>
        <w:tc>
          <w:tcPr>
            <w:tcW w:w="936" w:type="dxa"/>
            <w:shd w:val="clear" w:color="auto" w:fill="7F7F7F" w:themeFill="text1" w:themeFillTint="80"/>
            <w:vAlign w:val="bottom"/>
          </w:tcPr>
          <w:p w:rsidRPr="00F8567A" w:rsidR="002022F8" w:rsidP="0031737A" w:rsidRDefault="002022F8" w14:paraId="678A313A" w14:textId="77777777">
            <w:pPr>
              <w:spacing w:line="276" w:lineRule="auto"/>
              <w:jc w:val="right"/>
              <w:rPr>
                <w:rFonts w:cs="Arial"/>
                <w:b/>
                <w:bCs/>
                <w:color w:val="000000" w:themeColor="text1"/>
                <w:sz w:val="14"/>
                <w:szCs w:val="14"/>
              </w:rPr>
            </w:pPr>
            <w:r w:rsidRPr="00563C8A">
              <w:rPr>
                <w:rFonts w:cs="Arial"/>
                <w:b/>
                <w:bCs/>
                <w:color w:val="FFFFFF" w:themeColor="background1"/>
                <w:sz w:val="14"/>
                <w:szCs w:val="14"/>
              </w:rPr>
              <w:t>Prognose dec- 2025</w:t>
            </w:r>
          </w:p>
        </w:tc>
      </w:tr>
      <w:tr w:rsidRPr="00F8567A" w:rsidR="00524161" w:rsidTr="007B4F88" w14:paraId="05A3783B" w14:textId="77777777">
        <w:tc>
          <w:tcPr>
            <w:tcW w:w="2786" w:type="dxa"/>
            <w:shd w:val="clear" w:color="auto" w:fill="FFFFFF" w:themeFill="background1"/>
          </w:tcPr>
          <w:p w:rsidRPr="00F97383" w:rsidR="00524161" w:rsidP="00524161" w:rsidRDefault="00524161" w14:paraId="07EF7782" w14:textId="77777777">
            <w:pPr>
              <w:spacing w:line="276" w:lineRule="auto"/>
              <w:rPr>
                <w:rFonts w:cs="Arial"/>
                <w:color w:val="000000" w:themeColor="text1"/>
                <w:sz w:val="14"/>
                <w:szCs w:val="14"/>
              </w:rPr>
            </w:pPr>
            <w:r>
              <w:rPr>
                <w:rFonts w:cs="Arial"/>
                <w:color w:val="000000" w:themeColor="text1"/>
                <w:sz w:val="14"/>
                <w:szCs w:val="14"/>
              </w:rPr>
              <w:t>Totaal p</w:t>
            </w:r>
            <w:r w:rsidRPr="00F97383">
              <w:rPr>
                <w:rFonts w:cs="Arial"/>
                <w:color w:val="000000" w:themeColor="text1"/>
                <w:sz w:val="14"/>
                <w:szCs w:val="14"/>
              </w:rPr>
              <w:t>otentieel schijnzelfstandigen</w:t>
            </w:r>
          </w:p>
        </w:tc>
        <w:tc>
          <w:tcPr>
            <w:tcW w:w="714" w:type="dxa"/>
            <w:shd w:val="clear" w:color="auto" w:fill="FFFFFF" w:themeFill="background1"/>
            <w:tcMar>
              <w:left w:w="57" w:type="dxa"/>
              <w:right w:w="57" w:type="dxa"/>
            </w:tcMar>
          </w:tcPr>
          <w:p w:rsidRPr="00070656" w:rsidR="00524161" w:rsidP="00524161" w:rsidRDefault="00524161" w14:paraId="08C858EC" w14:textId="77777777">
            <w:pPr>
              <w:spacing w:line="276" w:lineRule="auto"/>
              <w:jc w:val="right"/>
              <w:rPr>
                <w:rFonts w:cs="Arial"/>
                <w:color w:val="000000" w:themeColor="text1"/>
                <w:sz w:val="14"/>
                <w:szCs w:val="14"/>
              </w:rPr>
            </w:pPr>
            <w:r w:rsidRPr="00F8567A">
              <w:rPr>
                <w:rFonts w:cs="Arial"/>
                <w:color w:val="000000" w:themeColor="text1"/>
                <w:sz w:val="14"/>
                <w:szCs w:val="14"/>
              </w:rPr>
              <w:t>769</w:t>
            </w:r>
          </w:p>
        </w:tc>
        <w:tc>
          <w:tcPr>
            <w:tcW w:w="729" w:type="dxa"/>
            <w:shd w:val="clear" w:color="auto" w:fill="FFFFFF" w:themeFill="background1"/>
            <w:tcMar>
              <w:left w:w="57" w:type="dxa"/>
              <w:right w:w="57" w:type="dxa"/>
            </w:tcMar>
          </w:tcPr>
          <w:p w:rsidR="00524161" w:rsidP="00524161" w:rsidRDefault="00524161" w14:paraId="09080D09" w14:textId="77777777">
            <w:pPr>
              <w:spacing w:line="276" w:lineRule="auto"/>
              <w:jc w:val="right"/>
              <w:rPr>
                <w:rFonts w:cs="Arial"/>
                <w:color w:val="000000" w:themeColor="text1"/>
                <w:sz w:val="14"/>
                <w:szCs w:val="14"/>
              </w:rPr>
            </w:pPr>
            <w:r w:rsidRPr="00F8567A">
              <w:rPr>
                <w:rFonts w:cs="Arial"/>
                <w:color w:val="000000" w:themeColor="text1"/>
                <w:sz w:val="14"/>
                <w:szCs w:val="14"/>
              </w:rPr>
              <w:t>6</w:t>
            </w:r>
            <w:r>
              <w:rPr>
                <w:rFonts w:cs="Arial"/>
                <w:color w:val="000000" w:themeColor="text1"/>
                <w:sz w:val="14"/>
                <w:szCs w:val="14"/>
              </w:rPr>
              <w:t>50*</w:t>
            </w:r>
          </w:p>
        </w:tc>
        <w:tc>
          <w:tcPr>
            <w:tcW w:w="779" w:type="dxa"/>
            <w:shd w:val="clear" w:color="auto" w:fill="FFFFFF" w:themeFill="background1"/>
            <w:tcMar>
              <w:left w:w="57" w:type="dxa"/>
              <w:right w:w="57" w:type="dxa"/>
            </w:tcMar>
          </w:tcPr>
          <w:p w:rsidR="00524161" w:rsidP="00524161" w:rsidRDefault="00524161" w14:paraId="14E8C7B2" w14:textId="77777777">
            <w:pPr>
              <w:spacing w:line="276" w:lineRule="auto"/>
              <w:jc w:val="right"/>
              <w:rPr>
                <w:rFonts w:cs="Arial"/>
                <w:color w:val="000000" w:themeColor="text1"/>
                <w:sz w:val="14"/>
                <w:szCs w:val="14"/>
              </w:rPr>
            </w:pPr>
            <w:r w:rsidRPr="00F8567A">
              <w:rPr>
                <w:rFonts w:cs="Arial"/>
                <w:color w:val="000000" w:themeColor="text1"/>
                <w:sz w:val="14"/>
                <w:szCs w:val="14"/>
              </w:rPr>
              <w:t>53</w:t>
            </w:r>
            <w:r>
              <w:rPr>
                <w:rFonts w:cs="Arial"/>
                <w:color w:val="000000" w:themeColor="text1"/>
                <w:sz w:val="14"/>
                <w:szCs w:val="14"/>
              </w:rPr>
              <w:t>8*</w:t>
            </w:r>
          </w:p>
        </w:tc>
        <w:tc>
          <w:tcPr>
            <w:tcW w:w="663" w:type="dxa"/>
            <w:shd w:val="clear" w:color="auto" w:fill="FFFFFF" w:themeFill="background1"/>
            <w:tcMar>
              <w:left w:w="57" w:type="dxa"/>
              <w:right w:w="57" w:type="dxa"/>
            </w:tcMar>
          </w:tcPr>
          <w:p w:rsidRPr="00070656" w:rsidR="00524161" w:rsidP="00524161" w:rsidRDefault="00524161" w14:paraId="4141BEB2" w14:textId="77777777">
            <w:pPr>
              <w:spacing w:line="276" w:lineRule="auto"/>
              <w:jc w:val="right"/>
              <w:rPr>
                <w:rFonts w:cs="Arial"/>
                <w:color w:val="000000" w:themeColor="text1"/>
                <w:sz w:val="14"/>
                <w:szCs w:val="14"/>
              </w:rPr>
            </w:pPr>
            <w:r>
              <w:rPr>
                <w:rFonts w:cs="Arial"/>
                <w:color w:val="000000" w:themeColor="text1"/>
                <w:sz w:val="14"/>
                <w:szCs w:val="14"/>
              </w:rPr>
              <w:t>531*</w:t>
            </w:r>
          </w:p>
        </w:tc>
        <w:tc>
          <w:tcPr>
            <w:tcW w:w="769" w:type="dxa"/>
            <w:shd w:val="clear" w:color="auto" w:fill="FFFFFF" w:themeFill="background1"/>
          </w:tcPr>
          <w:p w:rsidRPr="00070656" w:rsidR="00524161" w:rsidP="00524161" w:rsidRDefault="00524161" w14:paraId="123D9400" w14:textId="77777777">
            <w:pPr>
              <w:spacing w:line="276" w:lineRule="auto"/>
              <w:jc w:val="right"/>
              <w:rPr>
                <w:rFonts w:cs="Arial"/>
                <w:color w:val="000000" w:themeColor="text1"/>
                <w:sz w:val="14"/>
                <w:szCs w:val="14"/>
              </w:rPr>
            </w:pPr>
            <w:r>
              <w:rPr>
                <w:rFonts w:cs="Arial"/>
                <w:color w:val="000000" w:themeColor="text1"/>
                <w:sz w:val="14"/>
                <w:szCs w:val="14"/>
              </w:rPr>
              <w:t>503</w:t>
            </w:r>
          </w:p>
        </w:tc>
        <w:tc>
          <w:tcPr>
            <w:tcW w:w="936" w:type="dxa"/>
            <w:shd w:val="clear" w:color="auto" w:fill="FFFFFF" w:themeFill="background1"/>
          </w:tcPr>
          <w:p w:rsidRPr="00F8567A" w:rsidR="00524161" w:rsidP="00524161" w:rsidRDefault="00524161" w14:paraId="5F63759A" w14:textId="77777777">
            <w:pPr>
              <w:spacing w:line="276" w:lineRule="auto"/>
              <w:jc w:val="right"/>
              <w:rPr>
                <w:rFonts w:cs="Arial"/>
                <w:b/>
                <w:bCs/>
                <w:color w:val="000000" w:themeColor="text1"/>
                <w:sz w:val="14"/>
                <w:szCs w:val="14"/>
              </w:rPr>
            </w:pPr>
            <w:r>
              <w:rPr>
                <w:rFonts w:cs="Arial"/>
                <w:b/>
                <w:bCs/>
                <w:color w:val="000000" w:themeColor="text1"/>
                <w:sz w:val="14"/>
                <w:szCs w:val="14"/>
              </w:rPr>
              <w:t>-</w:t>
            </w:r>
          </w:p>
        </w:tc>
      </w:tr>
      <w:tr w:rsidRPr="00F8567A" w:rsidR="002022F8" w:rsidTr="007B4F88" w14:paraId="06E61224" w14:textId="77777777">
        <w:tc>
          <w:tcPr>
            <w:tcW w:w="2786" w:type="dxa"/>
          </w:tcPr>
          <w:p w:rsidRPr="00F8567A" w:rsidR="002022F8" w:rsidP="0031737A" w:rsidRDefault="002022F8" w14:paraId="6B481665" w14:textId="77777777">
            <w:pPr>
              <w:spacing w:line="276" w:lineRule="auto"/>
              <w:rPr>
                <w:rFonts w:cs="Arial"/>
                <w:color w:val="000000" w:themeColor="text1"/>
                <w:sz w:val="14"/>
                <w:szCs w:val="14"/>
              </w:rPr>
            </w:pPr>
            <w:r>
              <w:rPr>
                <w:rFonts w:cs="Arial"/>
                <w:color w:val="000000" w:themeColor="text1"/>
                <w:sz w:val="14"/>
                <w:szCs w:val="14"/>
              </w:rPr>
              <w:t>Totaal bezetting UHT</w:t>
            </w:r>
            <w:r w:rsidR="00524161">
              <w:rPr>
                <w:rFonts w:cs="Arial"/>
                <w:color w:val="000000" w:themeColor="text1"/>
                <w:sz w:val="14"/>
                <w:szCs w:val="14"/>
              </w:rPr>
              <w:t xml:space="preserve"> (in fte)</w:t>
            </w:r>
          </w:p>
        </w:tc>
        <w:tc>
          <w:tcPr>
            <w:tcW w:w="714" w:type="dxa"/>
            <w:tcMar>
              <w:left w:w="57" w:type="dxa"/>
              <w:right w:w="57" w:type="dxa"/>
            </w:tcMar>
          </w:tcPr>
          <w:p w:rsidRPr="00F8567A" w:rsidR="002022F8" w:rsidP="0031737A" w:rsidRDefault="002022F8" w14:paraId="47900BEA" w14:textId="77777777">
            <w:pPr>
              <w:spacing w:line="276" w:lineRule="auto"/>
              <w:jc w:val="right"/>
              <w:rPr>
                <w:rFonts w:cs="Arial"/>
                <w:b/>
                <w:bCs/>
                <w:color w:val="000000" w:themeColor="text1"/>
                <w:sz w:val="14"/>
                <w:szCs w:val="14"/>
              </w:rPr>
            </w:pPr>
            <w:r w:rsidRPr="00070656">
              <w:rPr>
                <w:rFonts w:cs="Arial"/>
                <w:color w:val="000000" w:themeColor="text1"/>
                <w:sz w:val="14"/>
                <w:szCs w:val="14"/>
              </w:rPr>
              <w:t>2.176</w:t>
            </w:r>
          </w:p>
        </w:tc>
        <w:tc>
          <w:tcPr>
            <w:tcW w:w="729" w:type="dxa"/>
            <w:tcMar>
              <w:left w:w="57" w:type="dxa"/>
              <w:right w:w="57" w:type="dxa"/>
            </w:tcMar>
          </w:tcPr>
          <w:p w:rsidRPr="00F8567A" w:rsidR="002022F8" w:rsidP="0031737A" w:rsidRDefault="002022F8" w14:paraId="7C25E725" w14:textId="77777777">
            <w:pPr>
              <w:spacing w:line="276" w:lineRule="auto"/>
              <w:jc w:val="right"/>
              <w:rPr>
                <w:rFonts w:cs="Arial"/>
                <w:color w:val="000000" w:themeColor="text1"/>
                <w:sz w:val="14"/>
                <w:szCs w:val="14"/>
              </w:rPr>
            </w:pPr>
            <w:r>
              <w:rPr>
                <w:rFonts w:cs="Arial"/>
                <w:color w:val="000000" w:themeColor="text1"/>
                <w:sz w:val="14"/>
                <w:szCs w:val="14"/>
              </w:rPr>
              <w:t>2.420</w:t>
            </w:r>
          </w:p>
        </w:tc>
        <w:tc>
          <w:tcPr>
            <w:tcW w:w="779" w:type="dxa"/>
            <w:tcMar>
              <w:left w:w="57" w:type="dxa"/>
              <w:right w:w="57" w:type="dxa"/>
            </w:tcMar>
          </w:tcPr>
          <w:p w:rsidRPr="00F8567A" w:rsidR="002022F8" w:rsidP="0031737A" w:rsidRDefault="002022F8" w14:paraId="55218029" w14:textId="77777777">
            <w:pPr>
              <w:spacing w:line="276" w:lineRule="auto"/>
              <w:jc w:val="right"/>
              <w:rPr>
                <w:rFonts w:cs="Arial"/>
                <w:color w:val="000000" w:themeColor="text1"/>
                <w:sz w:val="14"/>
                <w:szCs w:val="14"/>
              </w:rPr>
            </w:pPr>
            <w:r>
              <w:rPr>
                <w:rFonts w:cs="Arial"/>
                <w:color w:val="000000" w:themeColor="text1"/>
                <w:sz w:val="14"/>
                <w:szCs w:val="14"/>
              </w:rPr>
              <w:t>2.373</w:t>
            </w:r>
          </w:p>
        </w:tc>
        <w:tc>
          <w:tcPr>
            <w:tcW w:w="663" w:type="dxa"/>
            <w:tcMar>
              <w:left w:w="57" w:type="dxa"/>
              <w:right w:w="57" w:type="dxa"/>
            </w:tcMar>
          </w:tcPr>
          <w:p w:rsidRPr="00070656" w:rsidR="002022F8" w:rsidP="0031737A" w:rsidRDefault="002022F8" w14:paraId="013E7958" w14:textId="77777777">
            <w:pPr>
              <w:spacing w:line="276" w:lineRule="auto"/>
              <w:jc w:val="right"/>
              <w:rPr>
                <w:rFonts w:cs="Arial"/>
                <w:color w:val="000000" w:themeColor="text1"/>
                <w:sz w:val="14"/>
                <w:szCs w:val="14"/>
              </w:rPr>
            </w:pPr>
            <w:r w:rsidRPr="00070656">
              <w:rPr>
                <w:rFonts w:cs="Arial"/>
                <w:color w:val="000000" w:themeColor="text1"/>
                <w:sz w:val="14"/>
                <w:szCs w:val="14"/>
              </w:rPr>
              <w:t>2</w:t>
            </w:r>
            <w:r>
              <w:rPr>
                <w:rFonts w:cs="Arial"/>
                <w:color w:val="000000" w:themeColor="text1"/>
                <w:sz w:val="14"/>
                <w:szCs w:val="14"/>
              </w:rPr>
              <w:t>.</w:t>
            </w:r>
            <w:r w:rsidRPr="00070656">
              <w:rPr>
                <w:rFonts w:cs="Arial"/>
                <w:color w:val="000000" w:themeColor="text1"/>
                <w:sz w:val="14"/>
                <w:szCs w:val="14"/>
              </w:rPr>
              <w:t>404</w:t>
            </w:r>
          </w:p>
        </w:tc>
        <w:tc>
          <w:tcPr>
            <w:tcW w:w="769" w:type="dxa"/>
          </w:tcPr>
          <w:p w:rsidRPr="00070656" w:rsidR="002022F8" w:rsidP="0031737A" w:rsidRDefault="002022F8" w14:paraId="54C1CD47" w14:textId="77777777">
            <w:pPr>
              <w:spacing w:line="276" w:lineRule="auto"/>
              <w:jc w:val="right"/>
              <w:rPr>
                <w:rFonts w:cs="Arial"/>
                <w:color w:val="000000" w:themeColor="text1"/>
                <w:sz w:val="14"/>
                <w:szCs w:val="14"/>
              </w:rPr>
            </w:pPr>
            <w:r w:rsidRPr="00070656">
              <w:rPr>
                <w:rFonts w:cs="Arial"/>
                <w:color w:val="000000" w:themeColor="text1"/>
                <w:sz w:val="14"/>
                <w:szCs w:val="14"/>
              </w:rPr>
              <w:t>2</w:t>
            </w:r>
            <w:r>
              <w:rPr>
                <w:rFonts w:cs="Arial"/>
                <w:color w:val="000000" w:themeColor="text1"/>
                <w:sz w:val="14"/>
                <w:szCs w:val="14"/>
              </w:rPr>
              <w:t>.</w:t>
            </w:r>
            <w:r w:rsidRPr="00070656">
              <w:rPr>
                <w:rFonts w:cs="Arial"/>
                <w:color w:val="000000" w:themeColor="text1"/>
                <w:sz w:val="14"/>
                <w:szCs w:val="14"/>
              </w:rPr>
              <w:t>407</w:t>
            </w:r>
          </w:p>
        </w:tc>
        <w:tc>
          <w:tcPr>
            <w:tcW w:w="936" w:type="dxa"/>
          </w:tcPr>
          <w:p w:rsidRPr="00F8567A" w:rsidR="002022F8" w:rsidP="0031737A" w:rsidRDefault="002022F8" w14:paraId="29ED125C" w14:textId="77777777">
            <w:pPr>
              <w:spacing w:line="276" w:lineRule="auto"/>
              <w:jc w:val="right"/>
              <w:rPr>
                <w:rFonts w:cs="Arial"/>
                <w:b/>
                <w:bCs/>
                <w:color w:val="000000" w:themeColor="text1"/>
                <w:sz w:val="14"/>
                <w:szCs w:val="14"/>
              </w:rPr>
            </w:pPr>
            <w:r>
              <w:rPr>
                <w:rFonts w:cs="Arial"/>
                <w:b/>
                <w:bCs/>
                <w:color w:val="000000" w:themeColor="text1"/>
                <w:sz w:val="14"/>
                <w:szCs w:val="14"/>
              </w:rPr>
              <w:t>-</w:t>
            </w:r>
          </w:p>
        </w:tc>
      </w:tr>
      <w:tr w:rsidRPr="00F8567A" w:rsidR="002022F8" w:rsidTr="007B4F88" w14:paraId="60EBD0BF" w14:textId="77777777">
        <w:tc>
          <w:tcPr>
            <w:tcW w:w="2786" w:type="dxa"/>
            <w:tcBorders>
              <w:bottom w:val="single" w:color="auto" w:sz="4" w:space="0"/>
            </w:tcBorders>
          </w:tcPr>
          <w:p w:rsidRPr="00070656" w:rsidR="002022F8" w:rsidP="0031737A" w:rsidRDefault="002022F8" w14:paraId="4352A3D4" w14:textId="77777777">
            <w:pPr>
              <w:spacing w:line="276" w:lineRule="auto"/>
              <w:rPr>
                <w:rFonts w:cs="Arial"/>
                <w:color w:val="000000" w:themeColor="text1"/>
                <w:sz w:val="14"/>
                <w:szCs w:val="14"/>
              </w:rPr>
            </w:pPr>
            <w:r>
              <w:rPr>
                <w:rFonts w:cs="Arial"/>
                <w:color w:val="000000" w:themeColor="text1"/>
                <w:sz w:val="14"/>
                <w:szCs w:val="14"/>
              </w:rPr>
              <w:t>% schijnzelfstandigen</w:t>
            </w:r>
          </w:p>
        </w:tc>
        <w:tc>
          <w:tcPr>
            <w:tcW w:w="714" w:type="dxa"/>
            <w:tcBorders>
              <w:bottom w:val="single" w:color="auto" w:sz="4" w:space="0"/>
            </w:tcBorders>
            <w:tcMar>
              <w:left w:w="57" w:type="dxa"/>
              <w:right w:w="57" w:type="dxa"/>
            </w:tcMar>
          </w:tcPr>
          <w:p w:rsidRPr="007110BF" w:rsidR="002022F8" w:rsidP="0031737A" w:rsidRDefault="002022F8" w14:paraId="5463D10F" w14:textId="77777777">
            <w:pPr>
              <w:spacing w:line="276" w:lineRule="auto"/>
              <w:jc w:val="right"/>
              <w:rPr>
                <w:rFonts w:cs="Arial"/>
                <w:color w:val="000000" w:themeColor="text1"/>
                <w:sz w:val="14"/>
                <w:szCs w:val="14"/>
              </w:rPr>
            </w:pPr>
            <w:r w:rsidRPr="007110BF">
              <w:rPr>
                <w:rFonts w:cs="Arial"/>
                <w:color w:val="000000" w:themeColor="text1"/>
                <w:sz w:val="14"/>
                <w:szCs w:val="14"/>
              </w:rPr>
              <w:t>35,3%</w:t>
            </w:r>
          </w:p>
        </w:tc>
        <w:tc>
          <w:tcPr>
            <w:tcW w:w="729" w:type="dxa"/>
            <w:tcBorders>
              <w:bottom w:val="single" w:color="auto" w:sz="4" w:space="0"/>
            </w:tcBorders>
            <w:tcMar>
              <w:left w:w="57" w:type="dxa"/>
              <w:right w:w="57" w:type="dxa"/>
            </w:tcMar>
          </w:tcPr>
          <w:p w:rsidRPr="007110BF" w:rsidR="002022F8" w:rsidP="0031737A" w:rsidRDefault="002022F8" w14:paraId="14580C83" w14:textId="77777777">
            <w:pPr>
              <w:spacing w:line="276" w:lineRule="auto"/>
              <w:jc w:val="right"/>
              <w:rPr>
                <w:rFonts w:cs="Arial"/>
                <w:color w:val="000000" w:themeColor="text1"/>
                <w:sz w:val="14"/>
                <w:szCs w:val="14"/>
              </w:rPr>
            </w:pPr>
            <w:r w:rsidRPr="007110BF">
              <w:rPr>
                <w:rFonts w:cs="Arial"/>
                <w:color w:val="000000" w:themeColor="text1"/>
                <w:sz w:val="14"/>
                <w:szCs w:val="14"/>
              </w:rPr>
              <w:t>2</w:t>
            </w:r>
            <w:r w:rsidR="00524161">
              <w:rPr>
                <w:rFonts w:cs="Arial"/>
                <w:color w:val="000000" w:themeColor="text1"/>
                <w:sz w:val="14"/>
                <w:szCs w:val="14"/>
              </w:rPr>
              <w:t>6,9</w:t>
            </w:r>
            <w:r w:rsidRPr="007110BF">
              <w:rPr>
                <w:rFonts w:cs="Arial"/>
                <w:color w:val="000000" w:themeColor="text1"/>
                <w:sz w:val="14"/>
                <w:szCs w:val="14"/>
              </w:rPr>
              <w:t>%</w:t>
            </w:r>
          </w:p>
        </w:tc>
        <w:tc>
          <w:tcPr>
            <w:tcW w:w="779" w:type="dxa"/>
            <w:tcBorders>
              <w:bottom w:val="single" w:color="auto" w:sz="4" w:space="0"/>
            </w:tcBorders>
            <w:tcMar>
              <w:left w:w="57" w:type="dxa"/>
              <w:right w:w="57" w:type="dxa"/>
            </w:tcMar>
          </w:tcPr>
          <w:p w:rsidRPr="007110BF" w:rsidR="002022F8" w:rsidP="0031737A" w:rsidRDefault="002022F8" w14:paraId="10E4ABD3" w14:textId="77777777">
            <w:pPr>
              <w:spacing w:line="276" w:lineRule="auto"/>
              <w:jc w:val="right"/>
              <w:rPr>
                <w:rFonts w:cs="Arial"/>
                <w:color w:val="000000" w:themeColor="text1"/>
                <w:sz w:val="14"/>
                <w:szCs w:val="14"/>
              </w:rPr>
            </w:pPr>
            <w:r w:rsidRPr="007110BF">
              <w:rPr>
                <w:rFonts w:cs="Arial"/>
                <w:color w:val="000000" w:themeColor="text1"/>
                <w:sz w:val="14"/>
                <w:szCs w:val="14"/>
              </w:rPr>
              <w:t>22,7%</w:t>
            </w:r>
          </w:p>
        </w:tc>
        <w:tc>
          <w:tcPr>
            <w:tcW w:w="663" w:type="dxa"/>
            <w:tcBorders>
              <w:bottom w:val="single" w:color="auto" w:sz="4" w:space="0"/>
            </w:tcBorders>
            <w:tcMar>
              <w:left w:w="57" w:type="dxa"/>
              <w:right w:w="57" w:type="dxa"/>
            </w:tcMar>
          </w:tcPr>
          <w:p w:rsidRPr="007110BF" w:rsidR="002022F8" w:rsidP="0031737A" w:rsidRDefault="002022F8" w14:paraId="2FA073E7" w14:textId="77777777">
            <w:pPr>
              <w:spacing w:line="276" w:lineRule="auto"/>
              <w:jc w:val="right"/>
              <w:rPr>
                <w:rFonts w:cs="Arial"/>
                <w:color w:val="000000" w:themeColor="text1"/>
                <w:sz w:val="14"/>
                <w:szCs w:val="14"/>
              </w:rPr>
            </w:pPr>
            <w:r w:rsidRPr="007110BF">
              <w:rPr>
                <w:rFonts w:cs="Arial"/>
                <w:color w:val="000000" w:themeColor="text1"/>
                <w:sz w:val="14"/>
                <w:szCs w:val="14"/>
              </w:rPr>
              <w:t>22,1%</w:t>
            </w:r>
          </w:p>
        </w:tc>
        <w:tc>
          <w:tcPr>
            <w:tcW w:w="769" w:type="dxa"/>
            <w:tcBorders>
              <w:bottom w:val="single" w:color="auto" w:sz="4" w:space="0"/>
            </w:tcBorders>
          </w:tcPr>
          <w:p w:rsidRPr="007110BF" w:rsidR="002022F8" w:rsidP="0031737A" w:rsidRDefault="002022F8" w14:paraId="398B2BE0" w14:textId="77777777">
            <w:pPr>
              <w:spacing w:line="276" w:lineRule="auto"/>
              <w:jc w:val="right"/>
              <w:rPr>
                <w:rFonts w:cs="Arial"/>
                <w:color w:val="000000" w:themeColor="text1"/>
                <w:sz w:val="14"/>
                <w:szCs w:val="14"/>
              </w:rPr>
            </w:pPr>
            <w:r w:rsidRPr="007110BF">
              <w:rPr>
                <w:rFonts w:cs="Arial"/>
                <w:color w:val="000000" w:themeColor="text1"/>
                <w:sz w:val="14"/>
                <w:szCs w:val="14"/>
              </w:rPr>
              <w:t>20,9%</w:t>
            </w:r>
          </w:p>
        </w:tc>
        <w:tc>
          <w:tcPr>
            <w:tcW w:w="936" w:type="dxa"/>
          </w:tcPr>
          <w:p w:rsidRPr="001C446C" w:rsidR="002022F8" w:rsidP="0031737A" w:rsidRDefault="002022F8" w14:paraId="2B1F0ABD" w14:textId="77777777">
            <w:pPr>
              <w:spacing w:line="276" w:lineRule="auto"/>
              <w:jc w:val="right"/>
              <w:rPr>
                <w:rFonts w:cs="Arial"/>
                <w:b/>
                <w:bCs/>
                <w:color w:val="000000" w:themeColor="text1"/>
                <w:sz w:val="14"/>
                <w:szCs w:val="14"/>
              </w:rPr>
            </w:pPr>
            <w:r>
              <w:rPr>
                <w:rFonts w:cs="Arial"/>
                <w:b/>
                <w:bCs/>
                <w:color w:val="000000" w:themeColor="text1"/>
                <w:sz w:val="14"/>
                <w:szCs w:val="14"/>
              </w:rPr>
              <w:t>-</w:t>
            </w:r>
          </w:p>
        </w:tc>
      </w:tr>
      <w:tr w:rsidRPr="00F8567A" w:rsidR="002022F8" w:rsidTr="007B4F88" w14:paraId="0A8DAA30" w14:textId="77777777">
        <w:tc>
          <w:tcPr>
            <w:tcW w:w="7376" w:type="dxa"/>
            <w:gridSpan w:val="7"/>
            <w:tcBorders>
              <w:top w:val="single" w:color="auto" w:sz="4" w:space="0"/>
            </w:tcBorders>
          </w:tcPr>
          <w:p w:rsidR="002022F8" w:rsidP="0031737A" w:rsidRDefault="002022F8" w14:paraId="51B4124B" w14:textId="77777777">
            <w:pPr>
              <w:spacing w:line="276" w:lineRule="auto"/>
              <w:rPr>
                <w:rFonts w:cs="Arial"/>
                <w:b/>
                <w:bCs/>
                <w:color w:val="000000" w:themeColor="text1"/>
                <w:sz w:val="14"/>
                <w:szCs w:val="14"/>
              </w:rPr>
            </w:pPr>
          </w:p>
          <w:p w:rsidRPr="001C446C" w:rsidR="002022F8" w:rsidP="0031737A" w:rsidRDefault="002022F8" w14:paraId="042E9819" w14:textId="77777777">
            <w:pPr>
              <w:spacing w:line="276" w:lineRule="auto"/>
              <w:rPr>
                <w:rFonts w:cs="Arial"/>
                <w:b/>
                <w:bCs/>
                <w:color w:val="000000" w:themeColor="text1"/>
                <w:sz w:val="14"/>
                <w:szCs w:val="14"/>
              </w:rPr>
            </w:pPr>
            <w:r>
              <w:rPr>
                <w:i/>
                <w:iCs/>
              </w:rPr>
              <w:t>Tabel 3: Uitstroom potentieel schijnzelfstandigen bij UHT per maand</w:t>
            </w:r>
          </w:p>
        </w:tc>
      </w:tr>
      <w:tr w:rsidRPr="00F8567A" w:rsidR="002022F8" w:rsidTr="007B4F88" w14:paraId="42909397" w14:textId="77777777">
        <w:tc>
          <w:tcPr>
            <w:tcW w:w="2786" w:type="dxa"/>
            <w:shd w:val="clear" w:color="auto" w:fill="7F7F7F" w:themeFill="text1" w:themeFillTint="80"/>
            <w:vAlign w:val="bottom"/>
          </w:tcPr>
          <w:p w:rsidRPr="00F8567A" w:rsidR="002022F8" w:rsidP="0031737A" w:rsidRDefault="002022F8" w14:paraId="77C6A244" w14:textId="77777777">
            <w:pPr>
              <w:spacing w:line="276" w:lineRule="auto"/>
              <w:rPr>
                <w:rFonts w:cs="Arial"/>
                <w:b/>
                <w:bCs/>
                <w:color w:val="000000" w:themeColor="text1"/>
                <w:sz w:val="14"/>
                <w:szCs w:val="14"/>
              </w:rPr>
            </w:pPr>
            <w:r w:rsidRPr="00563C8A">
              <w:rPr>
                <w:rFonts w:cs="Arial"/>
                <w:b/>
                <w:bCs/>
                <w:color w:val="FFFFFF" w:themeColor="background1"/>
                <w:sz w:val="14"/>
                <w:szCs w:val="14"/>
              </w:rPr>
              <w:t>Per eind</w:t>
            </w:r>
          </w:p>
        </w:tc>
        <w:tc>
          <w:tcPr>
            <w:tcW w:w="714" w:type="dxa"/>
            <w:shd w:val="clear" w:color="auto" w:fill="7F7F7F" w:themeFill="text1" w:themeFillTint="80"/>
            <w:tcMar>
              <w:left w:w="57" w:type="dxa"/>
              <w:right w:w="57" w:type="dxa"/>
            </w:tcMar>
            <w:vAlign w:val="bottom"/>
          </w:tcPr>
          <w:p w:rsidR="002022F8" w:rsidP="0031737A" w:rsidRDefault="002022F8" w14:paraId="1A4BF8B3" w14:textId="77777777">
            <w:pPr>
              <w:spacing w:line="276" w:lineRule="auto"/>
              <w:jc w:val="right"/>
              <w:rPr>
                <w:rFonts w:cs="Arial"/>
                <w:color w:val="000000" w:themeColor="text1"/>
                <w:sz w:val="14"/>
                <w:szCs w:val="14"/>
              </w:rPr>
            </w:pPr>
            <w:r w:rsidRPr="00563C8A">
              <w:rPr>
                <w:rFonts w:cs="Arial"/>
                <w:b/>
                <w:bCs/>
                <w:color w:val="FFFFFF" w:themeColor="background1"/>
                <w:sz w:val="14"/>
                <w:szCs w:val="14"/>
              </w:rPr>
              <w:t>Jan-24</w:t>
            </w:r>
          </w:p>
        </w:tc>
        <w:tc>
          <w:tcPr>
            <w:tcW w:w="729" w:type="dxa"/>
            <w:shd w:val="clear" w:color="auto" w:fill="7F7F7F" w:themeFill="text1" w:themeFillTint="80"/>
            <w:tcMar>
              <w:left w:w="57" w:type="dxa"/>
              <w:right w:w="57" w:type="dxa"/>
            </w:tcMar>
            <w:vAlign w:val="bottom"/>
          </w:tcPr>
          <w:p w:rsidR="002022F8" w:rsidP="0031737A" w:rsidRDefault="002022F8" w14:paraId="6F90B760" w14:textId="77777777">
            <w:pPr>
              <w:spacing w:line="276" w:lineRule="auto"/>
              <w:jc w:val="right"/>
              <w:rPr>
                <w:rFonts w:cs="Arial"/>
                <w:color w:val="000000" w:themeColor="text1"/>
                <w:sz w:val="14"/>
                <w:szCs w:val="14"/>
              </w:rPr>
            </w:pPr>
            <w:r w:rsidRPr="00563C8A">
              <w:rPr>
                <w:rFonts w:cs="Arial"/>
                <w:b/>
                <w:bCs/>
                <w:color w:val="FFFFFF" w:themeColor="background1"/>
                <w:sz w:val="14"/>
                <w:szCs w:val="14"/>
              </w:rPr>
              <w:t>Dec-24</w:t>
            </w:r>
          </w:p>
        </w:tc>
        <w:tc>
          <w:tcPr>
            <w:tcW w:w="779" w:type="dxa"/>
            <w:shd w:val="clear" w:color="auto" w:fill="7F7F7F" w:themeFill="text1" w:themeFillTint="80"/>
            <w:tcMar>
              <w:left w:w="57" w:type="dxa"/>
              <w:right w:w="57" w:type="dxa"/>
            </w:tcMar>
            <w:vAlign w:val="bottom"/>
          </w:tcPr>
          <w:p w:rsidRPr="00F8567A" w:rsidR="002022F8" w:rsidP="0031737A" w:rsidRDefault="002022F8" w14:paraId="1DD7E19A" w14:textId="77777777">
            <w:pPr>
              <w:spacing w:line="276" w:lineRule="auto"/>
              <w:jc w:val="right"/>
              <w:rPr>
                <w:rFonts w:cs="Arial"/>
                <w:b/>
                <w:bCs/>
                <w:color w:val="000000" w:themeColor="text1"/>
                <w:sz w:val="14"/>
                <w:szCs w:val="14"/>
              </w:rPr>
            </w:pPr>
            <w:r w:rsidRPr="00563C8A">
              <w:rPr>
                <w:rFonts w:cs="Arial"/>
                <w:b/>
                <w:bCs/>
                <w:color w:val="FFFFFF" w:themeColor="background1"/>
                <w:sz w:val="14"/>
                <w:szCs w:val="14"/>
              </w:rPr>
              <w:t>Jan-25</w:t>
            </w:r>
          </w:p>
        </w:tc>
        <w:tc>
          <w:tcPr>
            <w:tcW w:w="663" w:type="dxa"/>
            <w:shd w:val="clear" w:color="auto" w:fill="7F7F7F" w:themeFill="text1" w:themeFillTint="80"/>
            <w:tcMar>
              <w:left w:w="57" w:type="dxa"/>
              <w:right w:w="57" w:type="dxa"/>
            </w:tcMar>
            <w:vAlign w:val="bottom"/>
          </w:tcPr>
          <w:p w:rsidRPr="004B790B" w:rsidR="002022F8" w:rsidP="0031737A" w:rsidRDefault="002022F8" w14:paraId="7DF69101" w14:textId="77777777">
            <w:pPr>
              <w:spacing w:line="276" w:lineRule="auto"/>
              <w:jc w:val="right"/>
              <w:rPr>
                <w:rFonts w:cs="Arial"/>
                <w:b/>
                <w:bCs/>
                <w:color w:val="000000" w:themeColor="text1"/>
                <w:sz w:val="14"/>
                <w:szCs w:val="14"/>
              </w:rPr>
            </w:pPr>
            <w:r w:rsidRPr="00563C8A">
              <w:rPr>
                <w:rFonts w:cs="Arial"/>
                <w:b/>
                <w:bCs/>
                <w:color w:val="FFFFFF" w:themeColor="background1"/>
                <w:sz w:val="14"/>
                <w:szCs w:val="14"/>
              </w:rPr>
              <w:t>Feb-25</w:t>
            </w:r>
          </w:p>
        </w:tc>
        <w:tc>
          <w:tcPr>
            <w:tcW w:w="769" w:type="dxa"/>
            <w:shd w:val="clear" w:color="auto" w:fill="7F7F7F" w:themeFill="text1" w:themeFillTint="80"/>
            <w:vAlign w:val="bottom"/>
          </w:tcPr>
          <w:p w:rsidR="002022F8" w:rsidP="0031737A" w:rsidRDefault="002022F8" w14:paraId="7725DF2D" w14:textId="77777777">
            <w:pPr>
              <w:spacing w:line="276" w:lineRule="auto"/>
              <w:jc w:val="right"/>
              <w:rPr>
                <w:rFonts w:cs="Arial"/>
                <w:b/>
                <w:bCs/>
                <w:color w:val="000000" w:themeColor="text1"/>
                <w:sz w:val="14"/>
                <w:szCs w:val="14"/>
              </w:rPr>
            </w:pPr>
            <w:r w:rsidRPr="00563C8A">
              <w:rPr>
                <w:rFonts w:cs="Arial"/>
                <w:b/>
                <w:bCs/>
                <w:color w:val="FFFFFF" w:themeColor="background1"/>
                <w:sz w:val="14"/>
                <w:szCs w:val="14"/>
              </w:rPr>
              <w:t>Mrt-25</w:t>
            </w:r>
          </w:p>
        </w:tc>
        <w:tc>
          <w:tcPr>
            <w:tcW w:w="936" w:type="dxa"/>
            <w:shd w:val="clear" w:color="auto" w:fill="7F7F7F" w:themeFill="text1" w:themeFillTint="80"/>
            <w:vAlign w:val="bottom"/>
          </w:tcPr>
          <w:p w:rsidR="002022F8" w:rsidP="0031737A" w:rsidRDefault="002022F8" w14:paraId="02EFBF75" w14:textId="77777777">
            <w:pPr>
              <w:spacing w:line="276" w:lineRule="auto"/>
              <w:jc w:val="right"/>
              <w:rPr>
                <w:rFonts w:cs="Arial"/>
                <w:b/>
                <w:bCs/>
                <w:color w:val="000000" w:themeColor="text1"/>
                <w:sz w:val="14"/>
                <w:szCs w:val="14"/>
              </w:rPr>
            </w:pPr>
            <w:r w:rsidRPr="00563C8A">
              <w:rPr>
                <w:rFonts w:cs="Arial"/>
                <w:b/>
                <w:bCs/>
                <w:color w:val="FFFFFF" w:themeColor="background1"/>
                <w:sz w:val="14"/>
                <w:szCs w:val="14"/>
              </w:rPr>
              <w:t>Prognose dec- 2025</w:t>
            </w:r>
          </w:p>
        </w:tc>
      </w:tr>
      <w:tr w:rsidRPr="00F8567A" w:rsidR="00524161" w:rsidTr="007B4F88" w14:paraId="24BDE694" w14:textId="77777777">
        <w:tc>
          <w:tcPr>
            <w:tcW w:w="2786" w:type="dxa"/>
            <w:shd w:val="clear" w:color="auto" w:fill="FFFFFF" w:themeFill="background1"/>
          </w:tcPr>
          <w:p w:rsidRPr="00F97383" w:rsidR="00524161" w:rsidP="00524161" w:rsidRDefault="00524161" w14:paraId="3F7AE884" w14:textId="77777777">
            <w:pPr>
              <w:spacing w:line="276" w:lineRule="auto"/>
              <w:rPr>
                <w:rFonts w:cs="Arial"/>
                <w:color w:val="000000" w:themeColor="text1"/>
                <w:sz w:val="14"/>
                <w:szCs w:val="14"/>
              </w:rPr>
            </w:pPr>
            <w:r>
              <w:rPr>
                <w:rFonts w:cs="Arial"/>
                <w:color w:val="000000" w:themeColor="text1"/>
                <w:sz w:val="14"/>
                <w:szCs w:val="14"/>
              </w:rPr>
              <w:t xml:space="preserve">Totaal potentieel schijnzelfstandigen </w:t>
            </w:r>
          </w:p>
        </w:tc>
        <w:tc>
          <w:tcPr>
            <w:tcW w:w="714" w:type="dxa"/>
            <w:shd w:val="clear" w:color="auto" w:fill="FFFFFF" w:themeFill="background1"/>
            <w:tcMar>
              <w:left w:w="57" w:type="dxa"/>
              <w:right w:w="57" w:type="dxa"/>
            </w:tcMar>
          </w:tcPr>
          <w:p w:rsidR="00524161" w:rsidP="00524161" w:rsidRDefault="00524161" w14:paraId="6936E691" w14:textId="77777777">
            <w:pPr>
              <w:spacing w:line="276" w:lineRule="auto"/>
              <w:jc w:val="right"/>
              <w:rPr>
                <w:rFonts w:cs="Arial"/>
                <w:color w:val="000000" w:themeColor="text1"/>
                <w:sz w:val="14"/>
                <w:szCs w:val="14"/>
              </w:rPr>
            </w:pPr>
            <w:r w:rsidRPr="00F8567A">
              <w:rPr>
                <w:rFonts w:cs="Arial"/>
                <w:color w:val="000000" w:themeColor="text1"/>
                <w:sz w:val="14"/>
                <w:szCs w:val="14"/>
              </w:rPr>
              <w:t>769</w:t>
            </w:r>
          </w:p>
        </w:tc>
        <w:tc>
          <w:tcPr>
            <w:tcW w:w="729" w:type="dxa"/>
            <w:shd w:val="clear" w:color="auto" w:fill="FFFFFF" w:themeFill="background1"/>
            <w:tcMar>
              <w:left w:w="57" w:type="dxa"/>
              <w:right w:w="57" w:type="dxa"/>
            </w:tcMar>
          </w:tcPr>
          <w:p w:rsidR="00524161" w:rsidP="00524161" w:rsidRDefault="00524161" w14:paraId="7A3847FA" w14:textId="77777777">
            <w:pPr>
              <w:spacing w:line="276" w:lineRule="auto"/>
              <w:jc w:val="right"/>
              <w:rPr>
                <w:rFonts w:cs="Arial"/>
                <w:color w:val="000000" w:themeColor="text1"/>
                <w:sz w:val="14"/>
                <w:szCs w:val="14"/>
              </w:rPr>
            </w:pPr>
            <w:r w:rsidRPr="00F8567A">
              <w:rPr>
                <w:rFonts w:cs="Arial"/>
                <w:color w:val="000000" w:themeColor="text1"/>
                <w:sz w:val="14"/>
                <w:szCs w:val="14"/>
              </w:rPr>
              <w:t>6</w:t>
            </w:r>
            <w:r>
              <w:rPr>
                <w:rFonts w:cs="Arial"/>
                <w:color w:val="000000" w:themeColor="text1"/>
                <w:sz w:val="14"/>
                <w:szCs w:val="14"/>
              </w:rPr>
              <w:t>50*</w:t>
            </w:r>
          </w:p>
        </w:tc>
        <w:tc>
          <w:tcPr>
            <w:tcW w:w="779" w:type="dxa"/>
            <w:shd w:val="clear" w:color="auto" w:fill="FFFFFF" w:themeFill="background1"/>
            <w:tcMar>
              <w:left w:w="57" w:type="dxa"/>
              <w:right w:w="57" w:type="dxa"/>
            </w:tcMar>
          </w:tcPr>
          <w:p w:rsidRPr="00F8567A" w:rsidR="00524161" w:rsidP="00524161" w:rsidRDefault="00524161" w14:paraId="5C2E32F6" w14:textId="77777777">
            <w:pPr>
              <w:spacing w:line="276" w:lineRule="auto"/>
              <w:jc w:val="right"/>
              <w:rPr>
                <w:rFonts w:cs="Arial"/>
                <w:b/>
                <w:bCs/>
                <w:color w:val="000000" w:themeColor="text1"/>
                <w:sz w:val="14"/>
                <w:szCs w:val="14"/>
              </w:rPr>
            </w:pPr>
            <w:r w:rsidRPr="00F8567A">
              <w:rPr>
                <w:rFonts w:cs="Arial"/>
                <w:color w:val="000000" w:themeColor="text1"/>
                <w:sz w:val="14"/>
                <w:szCs w:val="14"/>
              </w:rPr>
              <w:t>53</w:t>
            </w:r>
            <w:r>
              <w:rPr>
                <w:rFonts w:cs="Arial"/>
                <w:color w:val="000000" w:themeColor="text1"/>
                <w:sz w:val="14"/>
                <w:szCs w:val="14"/>
              </w:rPr>
              <w:t>8*</w:t>
            </w:r>
          </w:p>
        </w:tc>
        <w:tc>
          <w:tcPr>
            <w:tcW w:w="663" w:type="dxa"/>
            <w:shd w:val="clear" w:color="auto" w:fill="FFFFFF" w:themeFill="background1"/>
            <w:tcMar>
              <w:left w:w="57" w:type="dxa"/>
              <w:right w:w="57" w:type="dxa"/>
            </w:tcMar>
          </w:tcPr>
          <w:p w:rsidRPr="004B790B" w:rsidR="00524161" w:rsidP="00524161" w:rsidRDefault="00524161" w14:paraId="7365EBFE" w14:textId="77777777">
            <w:pPr>
              <w:spacing w:line="276" w:lineRule="auto"/>
              <w:jc w:val="right"/>
              <w:rPr>
                <w:rFonts w:cs="Arial"/>
                <w:b/>
                <w:bCs/>
                <w:color w:val="000000" w:themeColor="text1"/>
                <w:sz w:val="14"/>
                <w:szCs w:val="14"/>
              </w:rPr>
            </w:pPr>
            <w:r>
              <w:rPr>
                <w:rFonts w:cs="Arial"/>
                <w:color w:val="000000" w:themeColor="text1"/>
                <w:sz w:val="14"/>
                <w:szCs w:val="14"/>
              </w:rPr>
              <w:t>531*</w:t>
            </w:r>
          </w:p>
        </w:tc>
        <w:tc>
          <w:tcPr>
            <w:tcW w:w="769" w:type="dxa"/>
            <w:shd w:val="clear" w:color="auto" w:fill="FFFFFF" w:themeFill="background1"/>
          </w:tcPr>
          <w:p w:rsidR="00524161" w:rsidP="00524161" w:rsidRDefault="00524161" w14:paraId="281B6D4E" w14:textId="77777777">
            <w:pPr>
              <w:spacing w:line="276" w:lineRule="auto"/>
              <w:jc w:val="right"/>
              <w:rPr>
                <w:rFonts w:cs="Arial"/>
                <w:b/>
                <w:bCs/>
                <w:color w:val="000000" w:themeColor="text1"/>
                <w:sz w:val="14"/>
                <w:szCs w:val="14"/>
              </w:rPr>
            </w:pPr>
            <w:r>
              <w:rPr>
                <w:rFonts w:cs="Arial"/>
                <w:color w:val="000000" w:themeColor="text1"/>
                <w:sz w:val="14"/>
                <w:szCs w:val="14"/>
              </w:rPr>
              <w:t>503</w:t>
            </w:r>
          </w:p>
        </w:tc>
        <w:tc>
          <w:tcPr>
            <w:tcW w:w="936" w:type="dxa"/>
            <w:shd w:val="clear" w:color="auto" w:fill="FFFFFF" w:themeFill="background1"/>
          </w:tcPr>
          <w:p w:rsidR="00524161" w:rsidP="00524161" w:rsidRDefault="00524161" w14:paraId="3F3D10E5" w14:textId="77777777">
            <w:pPr>
              <w:spacing w:line="276" w:lineRule="auto"/>
              <w:jc w:val="right"/>
              <w:rPr>
                <w:rFonts w:cs="Arial"/>
                <w:b/>
                <w:bCs/>
                <w:color w:val="000000" w:themeColor="text1"/>
                <w:sz w:val="14"/>
                <w:szCs w:val="14"/>
              </w:rPr>
            </w:pPr>
            <w:r>
              <w:rPr>
                <w:rFonts w:cs="Arial"/>
                <w:color w:val="000000" w:themeColor="text1"/>
                <w:sz w:val="14"/>
                <w:szCs w:val="14"/>
              </w:rPr>
              <w:t>0</w:t>
            </w:r>
          </w:p>
        </w:tc>
      </w:tr>
      <w:tr w:rsidRPr="00F8567A" w:rsidR="002022F8" w:rsidTr="007B4F88" w14:paraId="180B55A7" w14:textId="77777777">
        <w:tc>
          <w:tcPr>
            <w:tcW w:w="2786" w:type="dxa"/>
            <w:shd w:val="clear" w:color="auto" w:fill="FFFFFF" w:themeFill="background1"/>
          </w:tcPr>
          <w:p w:rsidRPr="00F97383" w:rsidR="002022F8" w:rsidP="0031737A" w:rsidRDefault="002022F8" w14:paraId="244376E3" w14:textId="77777777">
            <w:pPr>
              <w:spacing w:line="276" w:lineRule="auto"/>
              <w:rPr>
                <w:rFonts w:cs="Arial"/>
                <w:color w:val="000000" w:themeColor="text1"/>
                <w:sz w:val="14"/>
                <w:szCs w:val="14"/>
              </w:rPr>
            </w:pPr>
            <w:r w:rsidRPr="00F97383">
              <w:rPr>
                <w:rFonts w:cs="Arial"/>
                <w:color w:val="000000" w:themeColor="text1"/>
                <w:sz w:val="14"/>
                <w:szCs w:val="14"/>
              </w:rPr>
              <w:t>Uitstroom t.o.v. vorige maand</w:t>
            </w:r>
          </w:p>
        </w:tc>
        <w:tc>
          <w:tcPr>
            <w:tcW w:w="714" w:type="dxa"/>
            <w:shd w:val="clear" w:color="auto" w:fill="FFFFFF" w:themeFill="background1"/>
            <w:tcMar>
              <w:left w:w="57" w:type="dxa"/>
              <w:right w:w="57" w:type="dxa"/>
            </w:tcMar>
          </w:tcPr>
          <w:p w:rsidRPr="00506D72" w:rsidR="002022F8" w:rsidP="0031737A" w:rsidRDefault="002022F8" w14:paraId="4B34A201" w14:textId="77777777">
            <w:pPr>
              <w:spacing w:line="276" w:lineRule="auto"/>
              <w:jc w:val="right"/>
              <w:rPr>
                <w:rFonts w:cs="Arial"/>
                <w:color w:val="000000" w:themeColor="text1"/>
                <w:sz w:val="14"/>
                <w:szCs w:val="14"/>
              </w:rPr>
            </w:pPr>
            <w:r>
              <w:rPr>
                <w:rFonts w:cs="Arial"/>
                <w:color w:val="000000" w:themeColor="text1"/>
                <w:sz w:val="14"/>
                <w:szCs w:val="14"/>
              </w:rPr>
              <w:t>-</w:t>
            </w:r>
          </w:p>
        </w:tc>
        <w:tc>
          <w:tcPr>
            <w:tcW w:w="729" w:type="dxa"/>
            <w:shd w:val="clear" w:color="auto" w:fill="FFFFFF" w:themeFill="background1"/>
            <w:tcMar>
              <w:left w:w="57" w:type="dxa"/>
              <w:right w:w="57" w:type="dxa"/>
            </w:tcMar>
          </w:tcPr>
          <w:p w:rsidRPr="00506D72" w:rsidR="002022F8" w:rsidP="0031737A" w:rsidRDefault="002022F8" w14:paraId="3D37DB67" w14:textId="77777777">
            <w:pPr>
              <w:spacing w:line="276" w:lineRule="auto"/>
              <w:jc w:val="right"/>
              <w:rPr>
                <w:rFonts w:cs="Arial"/>
                <w:color w:val="000000" w:themeColor="text1"/>
                <w:sz w:val="14"/>
                <w:szCs w:val="14"/>
              </w:rPr>
            </w:pPr>
            <w:r>
              <w:rPr>
                <w:rFonts w:cs="Arial"/>
                <w:color w:val="000000" w:themeColor="text1"/>
                <w:sz w:val="14"/>
                <w:szCs w:val="14"/>
              </w:rPr>
              <w:t>-</w:t>
            </w:r>
          </w:p>
        </w:tc>
        <w:tc>
          <w:tcPr>
            <w:tcW w:w="779" w:type="dxa"/>
            <w:shd w:val="clear" w:color="auto" w:fill="FFFFFF" w:themeFill="background1"/>
            <w:tcMar>
              <w:left w:w="57" w:type="dxa"/>
              <w:right w:w="57" w:type="dxa"/>
            </w:tcMar>
          </w:tcPr>
          <w:p w:rsidRPr="00F8567A" w:rsidR="002022F8" w:rsidP="0031737A" w:rsidRDefault="002022F8" w14:paraId="22E8CC7F" w14:textId="77777777">
            <w:pPr>
              <w:spacing w:line="276" w:lineRule="auto"/>
              <w:jc w:val="right"/>
              <w:rPr>
                <w:rFonts w:cs="Arial"/>
                <w:b/>
                <w:bCs/>
                <w:color w:val="000000" w:themeColor="text1"/>
                <w:sz w:val="14"/>
                <w:szCs w:val="14"/>
              </w:rPr>
            </w:pPr>
            <w:r w:rsidRPr="00F8567A">
              <w:rPr>
                <w:rFonts w:cs="Arial"/>
                <w:b/>
                <w:bCs/>
                <w:color w:val="000000" w:themeColor="text1"/>
                <w:sz w:val="14"/>
                <w:szCs w:val="14"/>
              </w:rPr>
              <w:t>112</w:t>
            </w:r>
          </w:p>
        </w:tc>
        <w:tc>
          <w:tcPr>
            <w:tcW w:w="663" w:type="dxa"/>
            <w:shd w:val="clear" w:color="auto" w:fill="FFFFFF" w:themeFill="background1"/>
            <w:tcMar>
              <w:left w:w="57" w:type="dxa"/>
              <w:right w:w="57" w:type="dxa"/>
            </w:tcMar>
          </w:tcPr>
          <w:p w:rsidRPr="004B790B" w:rsidR="002022F8" w:rsidP="0031737A" w:rsidRDefault="002022F8" w14:paraId="57F9E1F4" w14:textId="77777777">
            <w:pPr>
              <w:spacing w:line="276" w:lineRule="auto"/>
              <w:jc w:val="right"/>
              <w:rPr>
                <w:rFonts w:cs="Arial"/>
                <w:b/>
                <w:bCs/>
                <w:color w:val="000000" w:themeColor="text1"/>
                <w:sz w:val="14"/>
                <w:szCs w:val="14"/>
              </w:rPr>
            </w:pPr>
            <w:r w:rsidRPr="004B790B">
              <w:rPr>
                <w:rFonts w:cs="Arial"/>
                <w:b/>
                <w:bCs/>
                <w:color w:val="000000" w:themeColor="text1"/>
                <w:sz w:val="14"/>
                <w:szCs w:val="14"/>
              </w:rPr>
              <w:t>7</w:t>
            </w:r>
          </w:p>
        </w:tc>
        <w:tc>
          <w:tcPr>
            <w:tcW w:w="769" w:type="dxa"/>
            <w:shd w:val="clear" w:color="auto" w:fill="FFFFFF" w:themeFill="background1"/>
          </w:tcPr>
          <w:p w:rsidRPr="001C446C" w:rsidR="002022F8" w:rsidP="0031737A" w:rsidRDefault="002022F8" w14:paraId="285E21DD" w14:textId="77777777">
            <w:pPr>
              <w:spacing w:line="276" w:lineRule="auto"/>
              <w:jc w:val="right"/>
              <w:rPr>
                <w:rFonts w:cs="Arial"/>
                <w:b/>
                <w:bCs/>
                <w:color w:val="000000" w:themeColor="text1"/>
                <w:sz w:val="14"/>
                <w:szCs w:val="14"/>
              </w:rPr>
            </w:pPr>
            <w:r>
              <w:rPr>
                <w:rFonts w:cs="Arial"/>
                <w:b/>
                <w:bCs/>
                <w:color w:val="000000" w:themeColor="text1"/>
                <w:sz w:val="14"/>
                <w:szCs w:val="14"/>
              </w:rPr>
              <w:t>28</w:t>
            </w:r>
          </w:p>
        </w:tc>
        <w:tc>
          <w:tcPr>
            <w:tcW w:w="936" w:type="dxa"/>
            <w:shd w:val="clear" w:color="auto" w:fill="FFFFFF" w:themeFill="background1"/>
          </w:tcPr>
          <w:p w:rsidRPr="001C446C" w:rsidR="002022F8" w:rsidP="0031737A" w:rsidRDefault="002022F8" w14:paraId="3E45D50E" w14:textId="77777777">
            <w:pPr>
              <w:spacing w:line="276" w:lineRule="auto"/>
              <w:jc w:val="right"/>
              <w:rPr>
                <w:rFonts w:cs="Arial"/>
                <w:b/>
                <w:bCs/>
                <w:color w:val="000000" w:themeColor="text1"/>
                <w:sz w:val="14"/>
                <w:szCs w:val="14"/>
              </w:rPr>
            </w:pPr>
            <w:r>
              <w:rPr>
                <w:rFonts w:cs="Arial"/>
                <w:b/>
                <w:bCs/>
                <w:color w:val="000000" w:themeColor="text1"/>
                <w:sz w:val="14"/>
                <w:szCs w:val="14"/>
              </w:rPr>
              <w:t>-</w:t>
            </w:r>
          </w:p>
        </w:tc>
      </w:tr>
      <w:tr w:rsidRPr="00F97383" w:rsidR="002022F8" w:rsidTr="007B4F88" w14:paraId="2CB829D4" w14:textId="77777777">
        <w:tc>
          <w:tcPr>
            <w:tcW w:w="2786" w:type="dxa"/>
            <w:shd w:val="clear" w:color="auto" w:fill="FFFFFF" w:themeFill="background1"/>
          </w:tcPr>
          <w:p w:rsidRPr="00F97383" w:rsidR="002022F8" w:rsidP="0031737A" w:rsidRDefault="002022F8" w14:paraId="05E199CD" w14:textId="77777777">
            <w:pPr>
              <w:spacing w:line="276" w:lineRule="auto"/>
              <w:rPr>
                <w:rFonts w:cs="Arial"/>
                <w:i/>
                <w:iCs/>
                <w:color w:val="000000" w:themeColor="text1"/>
                <w:sz w:val="14"/>
                <w:szCs w:val="14"/>
              </w:rPr>
            </w:pPr>
            <w:r w:rsidRPr="00F97383">
              <w:rPr>
                <w:rFonts w:cs="Arial"/>
                <w:i/>
                <w:iCs/>
                <w:color w:val="000000" w:themeColor="text1"/>
                <w:sz w:val="14"/>
                <w:szCs w:val="14"/>
              </w:rPr>
              <w:t xml:space="preserve">  </w:t>
            </w:r>
            <w:r>
              <w:rPr>
                <w:rFonts w:cs="Arial"/>
                <w:i/>
                <w:iCs/>
                <w:color w:val="000000" w:themeColor="text1"/>
                <w:sz w:val="14"/>
                <w:szCs w:val="14"/>
              </w:rPr>
              <w:t>I</w:t>
            </w:r>
            <w:r w:rsidRPr="00F97383">
              <w:rPr>
                <w:rFonts w:cs="Arial"/>
                <w:i/>
                <w:iCs/>
                <w:color w:val="000000" w:themeColor="text1"/>
                <w:sz w:val="14"/>
                <w:szCs w:val="14"/>
              </w:rPr>
              <w:t xml:space="preserve">n vaste dienst </w:t>
            </w:r>
            <w:r>
              <w:rPr>
                <w:rFonts w:cs="Arial"/>
                <w:i/>
                <w:iCs/>
                <w:color w:val="000000" w:themeColor="text1"/>
                <w:sz w:val="14"/>
                <w:szCs w:val="14"/>
              </w:rPr>
              <w:t xml:space="preserve">bij </w:t>
            </w:r>
            <w:r w:rsidRPr="00F97383">
              <w:rPr>
                <w:rFonts w:cs="Arial"/>
                <w:i/>
                <w:iCs/>
                <w:color w:val="000000" w:themeColor="text1"/>
                <w:sz w:val="14"/>
                <w:szCs w:val="14"/>
              </w:rPr>
              <w:t>UHT</w:t>
            </w:r>
          </w:p>
        </w:tc>
        <w:tc>
          <w:tcPr>
            <w:tcW w:w="714" w:type="dxa"/>
            <w:shd w:val="clear" w:color="auto" w:fill="FFFFFF" w:themeFill="background1"/>
            <w:tcMar>
              <w:left w:w="57" w:type="dxa"/>
              <w:right w:w="57" w:type="dxa"/>
            </w:tcMar>
          </w:tcPr>
          <w:p w:rsidRPr="00F97383" w:rsidR="002022F8" w:rsidP="0031737A" w:rsidRDefault="002022F8" w14:paraId="3AD5EE71"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c>
          <w:tcPr>
            <w:tcW w:w="729" w:type="dxa"/>
            <w:shd w:val="clear" w:color="auto" w:fill="FFFFFF" w:themeFill="background1"/>
            <w:tcMar>
              <w:left w:w="57" w:type="dxa"/>
              <w:right w:w="57" w:type="dxa"/>
            </w:tcMar>
          </w:tcPr>
          <w:p w:rsidRPr="00F97383" w:rsidR="002022F8" w:rsidP="0031737A" w:rsidRDefault="002022F8" w14:paraId="3C293BE5"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c>
          <w:tcPr>
            <w:tcW w:w="779" w:type="dxa"/>
            <w:shd w:val="clear" w:color="auto" w:fill="FFFFFF" w:themeFill="background1"/>
            <w:tcMar>
              <w:left w:w="57" w:type="dxa"/>
              <w:right w:w="57" w:type="dxa"/>
            </w:tcMar>
          </w:tcPr>
          <w:p w:rsidRPr="00F97383" w:rsidR="002022F8" w:rsidP="0031737A" w:rsidRDefault="002022F8" w14:paraId="14EB87AD"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28</w:t>
            </w:r>
          </w:p>
        </w:tc>
        <w:tc>
          <w:tcPr>
            <w:tcW w:w="663" w:type="dxa"/>
            <w:shd w:val="clear" w:color="auto" w:fill="FFFFFF" w:themeFill="background1"/>
            <w:tcMar>
              <w:left w:w="57" w:type="dxa"/>
              <w:right w:w="57" w:type="dxa"/>
            </w:tcMar>
          </w:tcPr>
          <w:p w:rsidRPr="00F97383" w:rsidR="002022F8" w:rsidP="0031737A" w:rsidRDefault="002022F8" w14:paraId="2AC0B644"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3</w:t>
            </w:r>
          </w:p>
        </w:tc>
        <w:tc>
          <w:tcPr>
            <w:tcW w:w="769" w:type="dxa"/>
            <w:shd w:val="clear" w:color="auto" w:fill="FFFFFF" w:themeFill="background1"/>
          </w:tcPr>
          <w:p w:rsidRPr="00F97383" w:rsidR="002022F8" w:rsidP="0031737A" w:rsidRDefault="002022F8" w14:paraId="3E1D0DF1"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1</w:t>
            </w:r>
          </w:p>
        </w:tc>
        <w:tc>
          <w:tcPr>
            <w:tcW w:w="936" w:type="dxa"/>
            <w:shd w:val="clear" w:color="auto" w:fill="FFFFFF" w:themeFill="background1"/>
          </w:tcPr>
          <w:p w:rsidRPr="00F97383" w:rsidR="002022F8" w:rsidP="0031737A" w:rsidRDefault="002022F8" w14:paraId="7BACBC13"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r>
      <w:tr w:rsidRPr="00F97383" w:rsidR="002022F8" w:rsidTr="007B4F88" w14:paraId="2D8D8942" w14:textId="77777777">
        <w:tc>
          <w:tcPr>
            <w:tcW w:w="2786" w:type="dxa"/>
          </w:tcPr>
          <w:p w:rsidRPr="00F97383" w:rsidR="002022F8" w:rsidP="0031737A" w:rsidRDefault="002022F8" w14:paraId="3029667C" w14:textId="77777777">
            <w:pPr>
              <w:spacing w:line="276" w:lineRule="auto"/>
              <w:rPr>
                <w:rFonts w:cs="Arial"/>
                <w:i/>
                <w:iCs/>
                <w:color w:val="000000" w:themeColor="text1"/>
                <w:sz w:val="14"/>
                <w:szCs w:val="14"/>
              </w:rPr>
            </w:pPr>
            <w:r w:rsidRPr="00F97383">
              <w:rPr>
                <w:rFonts w:cs="Arial"/>
                <w:i/>
                <w:iCs/>
                <w:color w:val="000000" w:themeColor="text1"/>
                <w:sz w:val="14"/>
                <w:szCs w:val="14"/>
              </w:rPr>
              <w:t xml:space="preserve">  </w:t>
            </w:r>
            <w:r>
              <w:rPr>
                <w:rFonts w:cs="Arial"/>
                <w:i/>
                <w:iCs/>
                <w:color w:val="000000" w:themeColor="text1"/>
                <w:sz w:val="14"/>
                <w:szCs w:val="14"/>
              </w:rPr>
              <w:t>Via</w:t>
            </w:r>
            <w:r w:rsidRPr="00F97383">
              <w:rPr>
                <w:rFonts w:cs="Arial"/>
                <w:i/>
                <w:iCs/>
                <w:color w:val="000000" w:themeColor="text1"/>
                <w:sz w:val="14"/>
                <w:szCs w:val="14"/>
              </w:rPr>
              <w:t xml:space="preserve"> det</w:t>
            </w:r>
            <w:r>
              <w:rPr>
                <w:rFonts w:cs="Arial"/>
                <w:i/>
                <w:iCs/>
                <w:color w:val="000000" w:themeColor="text1"/>
                <w:sz w:val="14"/>
                <w:szCs w:val="14"/>
              </w:rPr>
              <w:t>achering</w:t>
            </w:r>
            <w:r w:rsidRPr="00F97383">
              <w:rPr>
                <w:rFonts w:cs="Arial"/>
                <w:i/>
                <w:iCs/>
                <w:color w:val="000000" w:themeColor="text1"/>
                <w:sz w:val="14"/>
                <w:szCs w:val="14"/>
              </w:rPr>
              <w:t xml:space="preserve"> bij UHT</w:t>
            </w:r>
          </w:p>
        </w:tc>
        <w:tc>
          <w:tcPr>
            <w:tcW w:w="714" w:type="dxa"/>
            <w:tcMar>
              <w:left w:w="57" w:type="dxa"/>
              <w:right w:w="57" w:type="dxa"/>
            </w:tcMar>
          </w:tcPr>
          <w:p w:rsidRPr="00F97383" w:rsidR="002022F8" w:rsidP="0031737A" w:rsidRDefault="002022F8" w14:paraId="3F4D6CED"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c>
          <w:tcPr>
            <w:tcW w:w="729" w:type="dxa"/>
            <w:tcMar>
              <w:left w:w="57" w:type="dxa"/>
              <w:right w:w="57" w:type="dxa"/>
            </w:tcMar>
          </w:tcPr>
          <w:p w:rsidRPr="00F97383" w:rsidR="002022F8" w:rsidP="0031737A" w:rsidRDefault="002022F8" w14:paraId="18589DB0"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c>
          <w:tcPr>
            <w:tcW w:w="779" w:type="dxa"/>
            <w:tcMar>
              <w:left w:w="57" w:type="dxa"/>
              <w:right w:w="57" w:type="dxa"/>
            </w:tcMar>
          </w:tcPr>
          <w:p w:rsidRPr="00F97383" w:rsidR="002022F8" w:rsidP="0031737A" w:rsidRDefault="002022F8" w14:paraId="1AA61765"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45</w:t>
            </w:r>
          </w:p>
        </w:tc>
        <w:tc>
          <w:tcPr>
            <w:tcW w:w="663" w:type="dxa"/>
            <w:tcMar>
              <w:left w:w="57" w:type="dxa"/>
              <w:right w:w="57" w:type="dxa"/>
            </w:tcMar>
          </w:tcPr>
          <w:p w:rsidRPr="00F97383" w:rsidR="002022F8" w:rsidP="0031737A" w:rsidRDefault="002022F8" w14:paraId="70DC48D8"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1</w:t>
            </w:r>
          </w:p>
        </w:tc>
        <w:tc>
          <w:tcPr>
            <w:tcW w:w="769" w:type="dxa"/>
          </w:tcPr>
          <w:p w:rsidRPr="00F97383" w:rsidR="002022F8" w:rsidP="0031737A" w:rsidRDefault="002022F8" w14:paraId="4DE3676D"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17</w:t>
            </w:r>
          </w:p>
        </w:tc>
        <w:tc>
          <w:tcPr>
            <w:tcW w:w="936" w:type="dxa"/>
          </w:tcPr>
          <w:p w:rsidRPr="00F97383" w:rsidR="002022F8" w:rsidP="0031737A" w:rsidRDefault="002022F8" w14:paraId="28039C3D"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r>
      <w:tr w:rsidRPr="00F97383" w:rsidR="002022F8" w:rsidTr="007B4F88" w14:paraId="1EFE68DA" w14:textId="77777777">
        <w:tc>
          <w:tcPr>
            <w:tcW w:w="2786" w:type="dxa"/>
            <w:tcBorders>
              <w:bottom w:val="single" w:color="auto" w:sz="4" w:space="0"/>
            </w:tcBorders>
          </w:tcPr>
          <w:p w:rsidRPr="00F97383" w:rsidR="002022F8" w:rsidP="0031737A" w:rsidRDefault="002022F8" w14:paraId="29D76C30" w14:textId="77777777">
            <w:pPr>
              <w:spacing w:line="276" w:lineRule="auto"/>
              <w:rPr>
                <w:rFonts w:cs="Arial"/>
                <w:i/>
                <w:iCs/>
                <w:color w:val="000000" w:themeColor="text1"/>
                <w:sz w:val="14"/>
                <w:szCs w:val="14"/>
              </w:rPr>
            </w:pPr>
            <w:r w:rsidRPr="00F97383">
              <w:rPr>
                <w:rFonts w:cs="Arial"/>
                <w:i/>
                <w:iCs/>
                <w:color w:val="000000" w:themeColor="text1"/>
                <w:sz w:val="14"/>
                <w:szCs w:val="14"/>
              </w:rPr>
              <w:t xml:space="preserve">  </w:t>
            </w:r>
            <w:r>
              <w:rPr>
                <w:rFonts w:cs="Arial"/>
                <w:i/>
                <w:iCs/>
                <w:color w:val="000000" w:themeColor="text1"/>
                <w:sz w:val="14"/>
                <w:szCs w:val="14"/>
              </w:rPr>
              <w:t>Weg bij UHT</w:t>
            </w:r>
          </w:p>
        </w:tc>
        <w:tc>
          <w:tcPr>
            <w:tcW w:w="714" w:type="dxa"/>
            <w:tcBorders>
              <w:bottom w:val="single" w:color="auto" w:sz="4" w:space="0"/>
            </w:tcBorders>
            <w:tcMar>
              <w:left w:w="57" w:type="dxa"/>
              <w:right w:w="57" w:type="dxa"/>
            </w:tcMar>
          </w:tcPr>
          <w:p w:rsidRPr="00F97383" w:rsidR="002022F8" w:rsidP="0031737A" w:rsidRDefault="002022F8" w14:paraId="485E44A7"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c>
          <w:tcPr>
            <w:tcW w:w="729" w:type="dxa"/>
            <w:tcBorders>
              <w:bottom w:val="single" w:color="auto" w:sz="4" w:space="0"/>
            </w:tcBorders>
            <w:tcMar>
              <w:left w:w="57" w:type="dxa"/>
              <w:right w:w="57" w:type="dxa"/>
            </w:tcMar>
          </w:tcPr>
          <w:p w:rsidRPr="00F97383" w:rsidR="002022F8" w:rsidP="0031737A" w:rsidRDefault="002022F8" w14:paraId="637CA4FD"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c>
          <w:tcPr>
            <w:tcW w:w="779" w:type="dxa"/>
            <w:tcBorders>
              <w:bottom w:val="single" w:color="auto" w:sz="4" w:space="0"/>
            </w:tcBorders>
            <w:tcMar>
              <w:left w:w="57" w:type="dxa"/>
              <w:right w:w="57" w:type="dxa"/>
            </w:tcMar>
          </w:tcPr>
          <w:p w:rsidRPr="00F97383" w:rsidR="002022F8" w:rsidP="0031737A" w:rsidRDefault="002022F8" w14:paraId="3FD27472"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39</w:t>
            </w:r>
          </w:p>
        </w:tc>
        <w:tc>
          <w:tcPr>
            <w:tcW w:w="663" w:type="dxa"/>
            <w:tcBorders>
              <w:bottom w:val="single" w:color="auto" w:sz="4" w:space="0"/>
            </w:tcBorders>
            <w:tcMar>
              <w:left w:w="57" w:type="dxa"/>
              <w:right w:w="57" w:type="dxa"/>
            </w:tcMar>
          </w:tcPr>
          <w:p w:rsidRPr="00F97383" w:rsidR="002022F8" w:rsidP="0031737A" w:rsidRDefault="002022F8" w14:paraId="07CA20E5"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3</w:t>
            </w:r>
          </w:p>
        </w:tc>
        <w:tc>
          <w:tcPr>
            <w:tcW w:w="769" w:type="dxa"/>
            <w:tcBorders>
              <w:bottom w:val="single" w:color="auto" w:sz="4" w:space="0"/>
            </w:tcBorders>
          </w:tcPr>
          <w:p w:rsidRPr="00F97383" w:rsidR="002022F8" w:rsidP="0031737A" w:rsidRDefault="002022F8" w14:paraId="705C9EBF"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10</w:t>
            </w:r>
          </w:p>
        </w:tc>
        <w:tc>
          <w:tcPr>
            <w:tcW w:w="936" w:type="dxa"/>
          </w:tcPr>
          <w:p w:rsidRPr="00F97383" w:rsidR="002022F8" w:rsidP="0031737A" w:rsidRDefault="002022F8" w14:paraId="2C42F003" w14:textId="77777777">
            <w:pPr>
              <w:spacing w:line="276" w:lineRule="auto"/>
              <w:jc w:val="right"/>
              <w:rPr>
                <w:rFonts w:cs="Arial"/>
                <w:i/>
                <w:iCs/>
                <w:color w:val="000000" w:themeColor="text1"/>
                <w:sz w:val="14"/>
                <w:szCs w:val="14"/>
              </w:rPr>
            </w:pPr>
            <w:r w:rsidRPr="00F97383">
              <w:rPr>
                <w:rFonts w:cs="Arial"/>
                <w:i/>
                <w:iCs/>
                <w:color w:val="000000" w:themeColor="text1"/>
                <w:sz w:val="14"/>
                <w:szCs w:val="14"/>
              </w:rPr>
              <w:t>-</w:t>
            </w:r>
          </w:p>
        </w:tc>
      </w:tr>
      <w:tr w:rsidRPr="00F97383" w:rsidR="00524161" w:rsidTr="007B4F88" w14:paraId="6F05A5E8" w14:textId="77777777">
        <w:tc>
          <w:tcPr>
            <w:tcW w:w="7376" w:type="dxa"/>
            <w:gridSpan w:val="7"/>
            <w:tcBorders>
              <w:top w:val="single" w:color="auto" w:sz="4" w:space="0"/>
            </w:tcBorders>
          </w:tcPr>
          <w:p w:rsidRPr="00C82A3F" w:rsidR="00524161" w:rsidP="00524161" w:rsidRDefault="00524161" w14:paraId="21092ACB" w14:textId="77777777">
            <w:pPr>
              <w:spacing w:line="276" w:lineRule="auto"/>
              <w:rPr>
                <w:rFonts w:cs="Arial"/>
                <w:color w:val="000000" w:themeColor="text1"/>
                <w:sz w:val="14"/>
                <w:szCs w:val="14"/>
              </w:rPr>
            </w:pPr>
            <w:r w:rsidRPr="00524161">
              <w:rPr>
                <w:rFonts w:cs="Arial"/>
                <w:color w:val="000000" w:themeColor="text1"/>
                <w:sz w:val="14"/>
                <w:szCs w:val="14"/>
              </w:rPr>
              <w:t>* Vier zzp</w:t>
            </w:r>
            <w:r w:rsidR="00AA4649">
              <w:rPr>
                <w:rFonts w:cs="Arial"/>
                <w:color w:val="000000" w:themeColor="text1"/>
                <w:sz w:val="14"/>
                <w:szCs w:val="14"/>
              </w:rPr>
              <w:t>’</w:t>
            </w:r>
            <w:r w:rsidRPr="00524161">
              <w:rPr>
                <w:rFonts w:cs="Arial"/>
                <w:color w:val="000000" w:themeColor="text1"/>
                <w:sz w:val="14"/>
                <w:szCs w:val="14"/>
              </w:rPr>
              <w:t xml:space="preserve">ers zijn met terugwerkende kracht als potentieel schijnzelfstandigen gekwalificeerd t.o.v. eerdere </w:t>
            </w:r>
            <w:r w:rsidRPr="00C82A3F">
              <w:rPr>
                <w:rFonts w:cs="Arial"/>
                <w:color w:val="000000" w:themeColor="text1"/>
                <w:sz w:val="14"/>
                <w:szCs w:val="14"/>
              </w:rPr>
              <w:t xml:space="preserve">rapportages. </w:t>
            </w:r>
          </w:p>
          <w:p w:rsidRPr="00F97383" w:rsidR="00524161" w:rsidP="00524161" w:rsidRDefault="00524161" w14:paraId="77BB7F0A" w14:textId="77777777">
            <w:pPr>
              <w:spacing w:line="276" w:lineRule="auto"/>
              <w:rPr>
                <w:rFonts w:cs="Arial"/>
                <w:i/>
                <w:iCs/>
                <w:color w:val="000000" w:themeColor="text1"/>
                <w:sz w:val="14"/>
                <w:szCs w:val="14"/>
              </w:rPr>
            </w:pPr>
            <w:r w:rsidRPr="00C82A3F">
              <w:rPr>
                <w:rFonts w:cs="Arial"/>
                <w:color w:val="000000" w:themeColor="text1"/>
                <w:sz w:val="14"/>
                <w:szCs w:val="14"/>
              </w:rPr>
              <w:t>** Met terugwerkende kracht waren dit geen potentieel schijnzelfstandigen.</w:t>
            </w:r>
          </w:p>
        </w:tc>
      </w:tr>
      <w:bookmarkEnd w:id="3"/>
    </w:tbl>
    <w:p w:rsidRPr="00F97383" w:rsidR="002022F8" w:rsidP="002022F8" w:rsidRDefault="002022F8" w14:paraId="46BA981D" w14:textId="77777777">
      <w:pPr>
        <w:spacing w:line="276" w:lineRule="auto"/>
        <w:rPr>
          <w:i/>
          <w:iCs/>
        </w:rPr>
      </w:pPr>
    </w:p>
    <w:p w:rsidR="00606C23" w:rsidP="0069669A" w:rsidRDefault="00606C23" w14:paraId="7F6A5A7C" w14:textId="77777777">
      <w:pPr>
        <w:pStyle w:val="Geenafstand"/>
        <w:spacing w:line="276" w:lineRule="auto"/>
      </w:pPr>
    </w:p>
    <w:p w:rsidR="00606C23" w:rsidP="0069669A" w:rsidRDefault="00606C23" w14:paraId="2E1E51F7" w14:textId="77777777">
      <w:pPr>
        <w:pStyle w:val="Geenafstand"/>
        <w:spacing w:line="276" w:lineRule="auto"/>
      </w:pPr>
    </w:p>
    <w:p w:rsidR="00606C23" w:rsidP="0069669A" w:rsidRDefault="00606C23" w14:paraId="5C3B4194" w14:textId="77777777">
      <w:pPr>
        <w:pStyle w:val="Geenafstand"/>
        <w:spacing w:line="276" w:lineRule="auto"/>
      </w:pPr>
    </w:p>
    <w:p w:rsidR="00606C23" w:rsidP="0069669A" w:rsidRDefault="00606C23" w14:paraId="684FA43A" w14:textId="77777777">
      <w:pPr>
        <w:pStyle w:val="Geenafstand"/>
        <w:spacing w:line="276" w:lineRule="auto"/>
      </w:pPr>
    </w:p>
    <w:p w:rsidR="002022F8" w:rsidP="0069669A" w:rsidRDefault="002022F8" w14:paraId="525C40A0" w14:textId="77777777">
      <w:pPr>
        <w:pStyle w:val="Geenafstand"/>
        <w:spacing w:line="276" w:lineRule="auto"/>
      </w:pPr>
      <w:r>
        <w:lastRenderedPageBreak/>
        <w:t xml:space="preserve">De </w:t>
      </w:r>
      <w:r w:rsidR="00A16CB2">
        <w:t>versnelde afbouw van schijnzelfstandigheid</w:t>
      </w:r>
      <w:r>
        <w:t xml:space="preserve"> </w:t>
      </w:r>
      <w:r w:rsidR="00AA0ABE">
        <w:t>bemoeilijk</w:t>
      </w:r>
      <w:r w:rsidR="00A16CB2">
        <w:t>t</w:t>
      </w:r>
      <w:r>
        <w:t xml:space="preserve"> de </w:t>
      </w:r>
      <w:r w:rsidRPr="002022F8">
        <w:t xml:space="preserve">beoogde opschaling </w:t>
      </w:r>
      <w:r w:rsidR="00AA0ABE">
        <w:t xml:space="preserve">van de hersteloperatie met name </w:t>
      </w:r>
      <w:r w:rsidR="00524161">
        <w:t>voor</w:t>
      </w:r>
      <w:r w:rsidRPr="002022F8">
        <w:t xml:space="preserve"> de juridische </w:t>
      </w:r>
      <w:r w:rsidR="00524161">
        <w:t>functies</w:t>
      </w:r>
      <w:r w:rsidRPr="002022F8">
        <w:t>. De kra</w:t>
      </w:r>
      <w:r w:rsidR="00524161">
        <w:t xml:space="preserve">pte op </w:t>
      </w:r>
      <w:proofErr w:type="gramStart"/>
      <w:r w:rsidR="00524161">
        <w:t xml:space="preserve">de </w:t>
      </w:r>
      <w:r w:rsidRPr="002022F8">
        <w:t xml:space="preserve"> arbeidsmarkt</w:t>
      </w:r>
      <w:proofErr w:type="gramEnd"/>
      <w:r w:rsidRPr="002022F8">
        <w:t xml:space="preserve"> </w:t>
      </w:r>
      <w:r w:rsidR="00AA0ABE">
        <w:t>speelt</w:t>
      </w:r>
      <w:r w:rsidRPr="002022F8">
        <w:t xml:space="preserve"> hier</w:t>
      </w:r>
      <w:r w:rsidR="00524161">
        <w:t>in</w:t>
      </w:r>
      <w:r w:rsidRPr="002022F8">
        <w:t xml:space="preserve"> een belangrijke </w:t>
      </w:r>
      <w:r w:rsidR="00AA0ABE">
        <w:t>rol</w:t>
      </w:r>
      <w:r w:rsidRPr="002022F8">
        <w:t xml:space="preserve">. </w:t>
      </w:r>
      <w:r w:rsidR="0041327D">
        <w:t>De herstelorganisatie o</w:t>
      </w:r>
      <w:r w:rsidRPr="0041327D" w:rsidR="0041327D">
        <w:t>nderneemt actie om</w:t>
      </w:r>
      <w:r w:rsidR="007B4F88">
        <w:t xml:space="preserve"> de wegvallende capaciteit te compenseren</w:t>
      </w:r>
      <w:r w:rsidRPr="0041327D" w:rsidR="0041327D">
        <w:t xml:space="preserve">, onder andere door arbeidsmarktcommunicatie te verbeteren en het wervingsproces efficiënter te maken. </w:t>
      </w:r>
      <w:r>
        <w:t>Naast</w:t>
      </w:r>
      <w:r w:rsidR="00FA7C1E">
        <w:t xml:space="preserve"> extra aandacht voor</w:t>
      </w:r>
      <w:r>
        <w:t xml:space="preserve"> externe werving zet de </w:t>
      </w:r>
      <w:r w:rsidR="0041327D">
        <w:t xml:space="preserve">herstelorganisatie </w:t>
      </w:r>
      <w:r>
        <w:t>ook in op</w:t>
      </w:r>
      <w:r w:rsidR="0041327D">
        <w:t xml:space="preserve"> het</w:t>
      </w:r>
      <w:r>
        <w:t xml:space="preserve"> </w:t>
      </w:r>
      <w:r w:rsidRPr="002022F8">
        <w:t>boeien en binden van de medewerkers</w:t>
      </w:r>
      <w:r>
        <w:t>.</w:t>
      </w:r>
    </w:p>
    <w:p w:rsidR="002022F8" w:rsidP="00041C9F" w:rsidRDefault="002022F8" w14:paraId="3828281F" w14:textId="77777777">
      <w:pPr>
        <w:spacing w:line="276" w:lineRule="auto"/>
        <w:rPr>
          <w:b/>
          <w:bCs/>
        </w:rPr>
      </w:pPr>
    </w:p>
    <w:p w:rsidRPr="00041C9F" w:rsidR="00460F1F" w:rsidP="00041C9F" w:rsidRDefault="00460F1F" w14:paraId="7797F99C" w14:textId="77777777">
      <w:pPr>
        <w:spacing w:line="276" w:lineRule="auto"/>
        <w:rPr>
          <w:b/>
          <w:bCs/>
        </w:rPr>
      </w:pPr>
      <w:r w:rsidRPr="00041C9F">
        <w:rPr>
          <w:b/>
          <w:bCs/>
        </w:rPr>
        <w:t>Vraag 3</w:t>
      </w:r>
    </w:p>
    <w:p w:rsidR="00460F1F" w:rsidP="00041C9F" w:rsidRDefault="00460F1F" w14:paraId="1C4FD966" w14:textId="77777777">
      <w:pPr>
        <w:spacing w:line="276" w:lineRule="auto"/>
      </w:pPr>
      <w:r w:rsidRPr="00041C9F">
        <w:t>Welke consequenties heeft dit besluit voor de organisatie enerzijds, en voor de gedupeerde ouders anderzijds, inclusief de tijdlijn om aan alle gedupeerden recht te doen?</w:t>
      </w:r>
    </w:p>
    <w:p w:rsidRPr="00041C9F" w:rsidR="0079537C" w:rsidP="00041C9F" w:rsidRDefault="0079537C" w14:paraId="3E53DE1E" w14:textId="77777777">
      <w:pPr>
        <w:spacing w:line="276" w:lineRule="auto"/>
      </w:pPr>
    </w:p>
    <w:p w:rsidRPr="00041C9F" w:rsidR="00460F1F" w:rsidP="00041C9F" w:rsidRDefault="00460F1F" w14:paraId="327D0A5A" w14:textId="77777777">
      <w:pPr>
        <w:spacing w:line="276" w:lineRule="auto"/>
        <w:rPr>
          <w:b/>
          <w:bCs/>
        </w:rPr>
      </w:pPr>
      <w:r w:rsidRPr="00041C9F">
        <w:rPr>
          <w:b/>
          <w:bCs/>
        </w:rPr>
        <w:t>Antwoord 3</w:t>
      </w:r>
    </w:p>
    <w:p w:rsidR="002E7D08" w:rsidP="00741969" w:rsidRDefault="00741969" w14:paraId="0202F64A" w14:textId="77777777">
      <w:pPr>
        <w:spacing w:line="276" w:lineRule="auto"/>
      </w:pPr>
      <w:bookmarkStart w:name="_Hlk195614095" w:id="4"/>
      <w:r w:rsidRPr="00741969">
        <w:t xml:space="preserve">Vooralsnog heeft de meerderheid van de potentieel schijnzelfstandigen gekozen voor een vast contract bij UHT of voor de hersteloperatie blijven werken via een detacheringsovereenkomst. De komende periode worden de personele ontwikkelingen en de voortgang hieromtrent gemonitord. Mocht er sprake zijn van een vertraging van de hersteloperatie, dan zal ik uw Kamer daarover informeren met de reguliere voortgangsrapportages. </w:t>
      </w:r>
      <w:bookmarkEnd w:id="4"/>
    </w:p>
    <w:p w:rsidRPr="00041C9F" w:rsidR="0079537C" w:rsidP="00041C9F" w:rsidRDefault="0079537C" w14:paraId="46AF3552" w14:textId="77777777">
      <w:pPr>
        <w:spacing w:line="276" w:lineRule="auto"/>
      </w:pPr>
    </w:p>
    <w:p w:rsidRPr="00041C9F" w:rsidR="00460F1F" w:rsidP="002022F8" w:rsidRDefault="00460F1F" w14:paraId="4A9D6CB9" w14:textId="77777777">
      <w:pPr>
        <w:spacing w:line="240" w:lineRule="auto"/>
        <w:rPr>
          <w:i/>
          <w:iCs/>
        </w:rPr>
      </w:pPr>
      <w:r w:rsidRPr="00041C9F">
        <w:rPr>
          <w:i/>
          <w:iCs/>
        </w:rPr>
        <w:t>Vragen naar aanleiding van beantwoording d.d. 17 maart 2025 van vragen van de Kamerleden Aartsen en Van Eijk</w:t>
      </w:r>
      <w:r w:rsidRPr="00041C9F" w:rsidR="000114E2">
        <w:rPr>
          <w:rStyle w:val="Voetnootmarkering"/>
          <w:i/>
          <w:iCs/>
        </w:rPr>
        <w:footnoteReference w:id="4"/>
      </w:r>
    </w:p>
    <w:p w:rsidRPr="00041C9F" w:rsidR="008752A6" w:rsidP="00041C9F" w:rsidRDefault="008752A6" w14:paraId="1460CF33" w14:textId="77777777">
      <w:pPr>
        <w:spacing w:line="276" w:lineRule="auto"/>
      </w:pPr>
    </w:p>
    <w:p w:rsidRPr="00041C9F" w:rsidR="008752A6" w:rsidP="00041C9F" w:rsidRDefault="008752A6" w14:paraId="60F990C5" w14:textId="77777777">
      <w:pPr>
        <w:spacing w:line="276" w:lineRule="auto"/>
        <w:rPr>
          <w:b/>
          <w:bCs/>
        </w:rPr>
      </w:pPr>
      <w:r w:rsidRPr="00041C9F">
        <w:rPr>
          <w:b/>
          <w:bCs/>
        </w:rPr>
        <w:t>Vraag 4</w:t>
      </w:r>
    </w:p>
    <w:p w:rsidRPr="00041C9F" w:rsidR="008752A6" w:rsidP="00041C9F" w:rsidRDefault="008752A6" w14:paraId="6133CD13" w14:textId="77777777">
      <w:pPr>
        <w:spacing w:line="276" w:lineRule="auto"/>
      </w:pPr>
      <w:r w:rsidRPr="00041C9F">
        <w:t>Kan de regering bevestigen dat iedere zzp’er een gemotiveerd besluit ontvangt op grond waarvan deze zzp’er al dan niet is aangemerkt als schijnzelfstandige, met welk besluit het mogelijk is om juridische stappen te ondernemen?</w:t>
      </w:r>
    </w:p>
    <w:p w:rsidR="008A0654" w:rsidP="00041C9F" w:rsidRDefault="008A0654" w14:paraId="1B4F473E" w14:textId="77777777">
      <w:pPr>
        <w:spacing w:line="276" w:lineRule="auto"/>
        <w:rPr>
          <w:b/>
          <w:bCs/>
        </w:rPr>
      </w:pPr>
    </w:p>
    <w:p w:rsidR="008752A6" w:rsidP="00041C9F" w:rsidRDefault="008752A6" w14:paraId="4B6CDA3B" w14:textId="77777777">
      <w:pPr>
        <w:spacing w:line="276" w:lineRule="auto"/>
        <w:rPr>
          <w:b/>
          <w:bCs/>
        </w:rPr>
      </w:pPr>
      <w:r w:rsidRPr="004013D0">
        <w:rPr>
          <w:b/>
          <w:bCs/>
        </w:rPr>
        <w:t>Antwoord 4</w:t>
      </w:r>
    </w:p>
    <w:p w:rsidR="007B638B" w:rsidP="001C5C2B" w:rsidRDefault="00563F60" w14:paraId="29FCF8EE" w14:textId="77777777">
      <w:pPr>
        <w:spacing w:line="276" w:lineRule="auto"/>
      </w:pPr>
      <w:r>
        <w:t xml:space="preserve">De herstelorganisatie </w:t>
      </w:r>
      <w:r w:rsidR="00DE6B60">
        <w:t xml:space="preserve">sluit </w:t>
      </w:r>
      <w:r w:rsidR="0092469F">
        <w:t>voor inhuuropdracht</w:t>
      </w:r>
      <w:r w:rsidR="004013D0">
        <w:t>en</w:t>
      </w:r>
      <w:r w:rsidR="0092469F">
        <w:t xml:space="preserve"> </w:t>
      </w:r>
      <w:r w:rsidR="00DE6B60">
        <w:t xml:space="preserve">nadere </w:t>
      </w:r>
      <w:r w:rsidRPr="00563F60" w:rsidR="00A56CAA">
        <w:t>overeenkomst</w:t>
      </w:r>
      <w:r w:rsidR="00DE6B60">
        <w:t>en</w:t>
      </w:r>
      <w:r w:rsidR="0092469F">
        <w:t xml:space="preserve"> met broker</w:t>
      </w:r>
      <w:r w:rsidR="004013D0">
        <w:t>s</w:t>
      </w:r>
      <w:r>
        <w:t xml:space="preserve">. </w:t>
      </w:r>
      <w:r w:rsidR="004013D0">
        <w:t xml:space="preserve">Deze overeenkomsten vallen binnen bestaande raamovereenkomsten met brokers. </w:t>
      </w:r>
      <w:r w:rsidR="0092469F">
        <w:t>D</w:t>
      </w:r>
      <w:r w:rsidR="004013D0">
        <w:t>eze zijn</w:t>
      </w:r>
      <w:r w:rsidR="0092469F">
        <w:t xml:space="preserve"> niet te kwalificeren als </w:t>
      </w:r>
      <w:r w:rsidR="00DE6B60">
        <w:t xml:space="preserve">een besluit </w:t>
      </w:r>
      <w:r w:rsidR="001C5C2B">
        <w:t xml:space="preserve">op grond waarvan </w:t>
      </w:r>
      <w:r w:rsidR="00DE6B60">
        <w:t>een zzp</w:t>
      </w:r>
      <w:r w:rsidR="004013D0">
        <w:t>’</w:t>
      </w:r>
      <w:r w:rsidR="00DE6B60">
        <w:t xml:space="preserve">er juridische stappen kan ondernemen. </w:t>
      </w:r>
    </w:p>
    <w:p w:rsidRPr="00741969" w:rsidR="009B655E" w:rsidP="00041C9F" w:rsidRDefault="009B655E" w14:paraId="68E680B9" w14:textId="77777777">
      <w:pPr>
        <w:spacing w:line="276" w:lineRule="auto"/>
        <w:rPr>
          <w:i/>
          <w:iCs/>
        </w:rPr>
      </w:pPr>
    </w:p>
    <w:p w:rsidRPr="00041C9F" w:rsidR="008752A6" w:rsidP="00041C9F" w:rsidRDefault="008752A6" w14:paraId="6DE5373C" w14:textId="77777777">
      <w:pPr>
        <w:spacing w:line="276" w:lineRule="auto"/>
        <w:rPr>
          <w:b/>
          <w:bCs/>
        </w:rPr>
      </w:pPr>
      <w:r w:rsidRPr="00041C9F">
        <w:rPr>
          <w:b/>
          <w:bCs/>
        </w:rPr>
        <w:t>Vraag 5</w:t>
      </w:r>
    </w:p>
    <w:p w:rsidR="008A0654" w:rsidP="00041C9F" w:rsidRDefault="008752A6" w14:paraId="0D84E692" w14:textId="77777777">
      <w:pPr>
        <w:spacing w:line="276" w:lineRule="auto"/>
      </w:pPr>
      <w:r w:rsidRPr="00041C9F">
        <w:t>Indien geen individuele beoordeling heeft plaatsgevonden en er dus geen individueel besluit is genomen, hoe kunnen zzp’ers tegen een besluit opkomen? Welke rechtsmiddelen zijn er?</w:t>
      </w:r>
    </w:p>
    <w:p w:rsidR="008752A6" w:rsidP="00041C9F" w:rsidRDefault="00194E82" w14:paraId="3E8E2690" w14:textId="77777777">
      <w:pPr>
        <w:spacing w:line="276" w:lineRule="auto"/>
        <w:rPr>
          <w:b/>
          <w:bCs/>
        </w:rPr>
      </w:pPr>
      <w:r w:rsidRPr="00041C9F">
        <w:br/>
      </w:r>
      <w:r w:rsidRPr="00041C9F" w:rsidR="008752A6">
        <w:rPr>
          <w:b/>
          <w:bCs/>
        </w:rPr>
        <w:t>Antwoord 5</w:t>
      </w:r>
    </w:p>
    <w:p w:rsidR="00606C23" w:rsidP="0083792D" w:rsidRDefault="0083792D" w14:paraId="6E6A2CA4" w14:textId="77777777">
      <w:pPr>
        <w:spacing w:line="276" w:lineRule="auto"/>
      </w:pPr>
      <w:r>
        <w:t>Zoals hierboven vermeld</w:t>
      </w:r>
      <w:r w:rsidR="008A0654">
        <w:t>,</w:t>
      </w:r>
      <w:r>
        <w:t xml:space="preserve"> </w:t>
      </w:r>
      <w:r w:rsidR="008A0654">
        <w:t xml:space="preserve">heeft de </w:t>
      </w:r>
      <w:r w:rsidR="0041327D">
        <w:t xml:space="preserve">herstelorganisatie </w:t>
      </w:r>
      <w:r w:rsidR="008A0654">
        <w:t xml:space="preserve">niet besloten om per 1 april 2025 te stoppen met het inhuren van zzp’ers. Wel kan het </w:t>
      </w:r>
      <w:r>
        <w:t>zijn dat</w:t>
      </w:r>
      <w:r w:rsidR="008A0654">
        <w:t xml:space="preserve"> brokers ervoor kiezen om</w:t>
      </w:r>
      <w:r>
        <w:t xml:space="preserve"> zzp’ers die kwalificeren als potentieel schijnzelfstandigen </w:t>
      </w:r>
      <w:r w:rsidR="008A0654">
        <w:t>terug te trekken.</w:t>
      </w:r>
      <w:r w:rsidR="00CE1484">
        <w:t xml:space="preserve"> </w:t>
      </w:r>
      <w:r w:rsidR="00C00EE9">
        <w:t>Een zzp</w:t>
      </w:r>
      <w:r w:rsidR="004013D0">
        <w:t>’</w:t>
      </w:r>
      <w:r w:rsidR="00C00EE9">
        <w:t xml:space="preserve">er </w:t>
      </w:r>
      <w:r w:rsidR="0092469F">
        <w:t>kan</w:t>
      </w:r>
      <w:r w:rsidR="004013D0">
        <w:t xml:space="preserve"> </w:t>
      </w:r>
      <w:r w:rsidR="0092469F">
        <w:t xml:space="preserve">de keuze </w:t>
      </w:r>
      <w:r w:rsidR="00C00EE9">
        <w:t xml:space="preserve">van de broker </w:t>
      </w:r>
      <w:r w:rsidR="0092469F">
        <w:t xml:space="preserve">ter beoordeling voorleggen </w:t>
      </w:r>
      <w:r w:rsidR="00C00EE9">
        <w:t>aan een civiele rechter</w:t>
      </w:r>
      <w:r w:rsidR="004013D0">
        <w:t>, als deze een overeenkomst heeft met de betreffende broker.</w:t>
      </w:r>
      <w:r w:rsidR="00C00EE9">
        <w:t xml:space="preserve"> </w:t>
      </w:r>
    </w:p>
    <w:p w:rsidR="00606C23" w:rsidP="0083792D" w:rsidRDefault="00606C23" w14:paraId="7A3F709B" w14:textId="77777777">
      <w:pPr>
        <w:spacing w:line="276" w:lineRule="auto"/>
      </w:pPr>
    </w:p>
    <w:p w:rsidR="00606C23" w:rsidP="0083792D" w:rsidRDefault="00606C23" w14:paraId="6ECFF333" w14:textId="77777777">
      <w:pPr>
        <w:spacing w:line="276" w:lineRule="auto"/>
      </w:pPr>
    </w:p>
    <w:p w:rsidR="00A56CAA" w:rsidP="0083792D" w:rsidRDefault="00FA7C1E" w14:paraId="3AB1E656" w14:textId="77777777">
      <w:pPr>
        <w:spacing w:line="276" w:lineRule="auto"/>
      </w:pPr>
      <w:r>
        <w:lastRenderedPageBreak/>
        <w:t xml:space="preserve">Als een potentieel schijnzelfstandige bij de </w:t>
      </w:r>
      <w:r w:rsidR="0041327D">
        <w:t xml:space="preserve">herstelorganisatie </w:t>
      </w:r>
      <w:r>
        <w:t xml:space="preserve">wil blijven, dan kan deze dat in vaste dienst of via detachering bij de broker. UHT gaat met elke potentieel schijnzelfstandige in gesprek over de mogelijkheden om in vaste dienst te treden. </w:t>
      </w:r>
    </w:p>
    <w:p w:rsidR="00741969" w:rsidP="0083792D" w:rsidRDefault="00741969" w14:paraId="55DE3FFE" w14:textId="77777777">
      <w:pPr>
        <w:spacing w:line="276" w:lineRule="auto"/>
      </w:pPr>
    </w:p>
    <w:p w:rsidR="00A56CAA" w:rsidP="00A56CAA" w:rsidRDefault="00A56CAA" w14:paraId="4A49C971" w14:textId="77777777">
      <w:pPr>
        <w:spacing w:line="276" w:lineRule="auto"/>
      </w:pPr>
      <w:r w:rsidRPr="00537D15">
        <w:t>De kwalificatie ‘potentieel schijnzelfstandige’ is overigens geen formeel besluit, maar betreft een oordeel naar aanleiding van een intern</w:t>
      </w:r>
      <w:r w:rsidR="006F19F2">
        <w:t>e</w:t>
      </w:r>
      <w:r w:rsidRPr="00537D15">
        <w:t xml:space="preserve"> fiscal</w:t>
      </w:r>
      <w:r w:rsidR="006F19F2">
        <w:t>e</w:t>
      </w:r>
      <w:r w:rsidRPr="00537D15">
        <w:t xml:space="preserve"> risicoanalyse – op basis van een afwegingskader </w:t>
      </w:r>
      <w:r w:rsidR="004013D0">
        <w:t>–</w:t>
      </w:r>
      <w:r w:rsidRPr="00537D15">
        <w:t xml:space="preserve"> voor de loonheffingen.</w:t>
      </w:r>
      <w:r>
        <w:t xml:space="preserve"> </w:t>
      </w:r>
    </w:p>
    <w:p w:rsidR="003E2578" w:rsidP="0012576D" w:rsidRDefault="003E2578" w14:paraId="0BC1C98C" w14:textId="77777777">
      <w:pPr>
        <w:spacing w:line="276" w:lineRule="auto"/>
        <w:rPr>
          <w:i/>
          <w:iCs/>
        </w:rPr>
      </w:pPr>
    </w:p>
    <w:p w:rsidRPr="00041C9F" w:rsidR="005F7EC2" w:rsidP="00041C9F" w:rsidRDefault="008854EA" w14:paraId="245DBD01" w14:textId="77777777">
      <w:pPr>
        <w:spacing w:line="276" w:lineRule="auto"/>
        <w:rPr>
          <w:i/>
          <w:iCs/>
        </w:rPr>
      </w:pPr>
      <w:r w:rsidRPr="00041C9F">
        <w:rPr>
          <w:i/>
          <w:iCs/>
        </w:rPr>
        <w:t>Vragen naar aanleiding van het handhavingsplan arbeidsrelaties</w:t>
      </w:r>
      <w:r w:rsidRPr="00041C9F">
        <w:rPr>
          <w:rStyle w:val="Voetnootmarkering"/>
          <w:i/>
          <w:iCs/>
        </w:rPr>
        <w:footnoteReference w:id="5"/>
      </w:r>
    </w:p>
    <w:p w:rsidRPr="00041C9F" w:rsidR="005F7EC2" w:rsidP="00041C9F" w:rsidRDefault="005F7EC2" w14:paraId="3B288B3B" w14:textId="77777777">
      <w:pPr>
        <w:spacing w:line="276" w:lineRule="auto"/>
      </w:pPr>
    </w:p>
    <w:p w:rsidRPr="00041C9F" w:rsidR="008854EA" w:rsidP="00041C9F" w:rsidRDefault="008854EA" w14:paraId="1D72354C" w14:textId="77777777">
      <w:pPr>
        <w:spacing w:line="276" w:lineRule="auto"/>
        <w:rPr>
          <w:b/>
          <w:bCs/>
        </w:rPr>
      </w:pPr>
      <w:r w:rsidRPr="00041C9F">
        <w:rPr>
          <w:b/>
          <w:bCs/>
        </w:rPr>
        <w:t>Vraag 6</w:t>
      </w:r>
    </w:p>
    <w:p w:rsidR="008854EA" w:rsidP="00041C9F" w:rsidRDefault="008854EA" w14:paraId="41735670" w14:textId="77777777">
      <w:pPr>
        <w:spacing w:line="276" w:lineRule="auto"/>
      </w:pPr>
      <w:r w:rsidRPr="00041C9F">
        <w:t xml:space="preserve">Hoe verhoudt het per 1 april 2025 ontbinden van de samenwerkingsovereenkomsten met zzp’ers zich tot het verzoek van de Tweede Kamer om risicogericht te handhaven? Op basis van welke criteria is besloten dat de UHT een hoog risico voor schijnzelfstandigheid vormt? Komt dit initiatief vanuit de Belastingdienst of vanuit de UHT? En hoe verhoudt zich dit besluit tot de motie van de leden </w:t>
      </w:r>
      <w:proofErr w:type="spellStart"/>
      <w:r w:rsidRPr="00041C9F">
        <w:t>Flach</w:t>
      </w:r>
      <w:proofErr w:type="spellEnd"/>
      <w:r w:rsidRPr="00041C9F">
        <w:t xml:space="preserve"> en Aartsen waarin is verzocht om coulance in de handhaving en het niet direct overgaan op beboeting van onbewust onbekwame zelfstandigen?</w:t>
      </w:r>
      <w:r w:rsidRPr="00041C9F">
        <w:rPr>
          <w:rStyle w:val="Voetnootmarkering"/>
        </w:rPr>
        <w:footnoteReference w:id="6"/>
      </w:r>
    </w:p>
    <w:p w:rsidRPr="00041C9F" w:rsidR="008A0654" w:rsidP="00041C9F" w:rsidRDefault="008A0654" w14:paraId="00C7D883" w14:textId="77777777">
      <w:pPr>
        <w:spacing w:line="276" w:lineRule="auto"/>
      </w:pPr>
    </w:p>
    <w:p w:rsidRPr="00041C9F" w:rsidR="008854EA" w:rsidP="00041C9F" w:rsidRDefault="008854EA" w14:paraId="0DC9DA8E" w14:textId="77777777">
      <w:pPr>
        <w:spacing w:line="276" w:lineRule="auto"/>
        <w:rPr>
          <w:b/>
          <w:bCs/>
        </w:rPr>
      </w:pPr>
      <w:r w:rsidRPr="00041C9F">
        <w:rPr>
          <w:b/>
          <w:bCs/>
        </w:rPr>
        <w:t>Antwoord 6</w:t>
      </w:r>
    </w:p>
    <w:p w:rsidR="003E373F" w:rsidP="008A0654" w:rsidRDefault="003E373F" w14:paraId="13D23F93" w14:textId="77777777">
      <w:pPr>
        <w:spacing w:line="276" w:lineRule="auto"/>
      </w:pPr>
      <w:r>
        <w:t>Zoals hierboven vermeld, heeft de herstelorganisatie niet besloten om per 1 april 2025 te stoppen met het inhuren van zzp’ers.</w:t>
      </w:r>
    </w:p>
    <w:p w:rsidR="003E373F" w:rsidP="008A0654" w:rsidRDefault="003E373F" w14:paraId="03DD9C0C" w14:textId="77777777">
      <w:pPr>
        <w:spacing w:line="276" w:lineRule="auto"/>
      </w:pPr>
    </w:p>
    <w:p w:rsidR="008A0654" w:rsidP="008A0654" w:rsidRDefault="008A0654" w14:paraId="67B82594" w14:textId="77777777">
      <w:pPr>
        <w:spacing w:line="276" w:lineRule="auto"/>
      </w:pPr>
      <w:r w:rsidRPr="006833F9">
        <w:t>De herstelorganisatie (waar UHT een belangrijk onderdeel van is) maakt voor de herstelwerkzaamheden gebruik van tijdelijk</w:t>
      </w:r>
      <w:r w:rsidR="00CF60D7">
        <w:t>e capaciteit</w:t>
      </w:r>
      <w:r w:rsidR="00965CF4">
        <w:t>,</w:t>
      </w:r>
      <w:r w:rsidR="00CF60D7">
        <w:t xml:space="preserve"> onder andere door </w:t>
      </w:r>
      <w:r>
        <w:t>zzp’</w:t>
      </w:r>
      <w:r w:rsidRPr="006833F9">
        <w:t>er</w:t>
      </w:r>
      <w:r w:rsidR="00CF60D7">
        <w:t>s in te huren</w:t>
      </w:r>
      <w:r w:rsidRPr="006833F9">
        <w:t>. Bij inhuur</w:t>
      </w:r>
      <w:r>
        <w:t>-</w:t>
      </w:r>
      <w:r w:rsidRPr="006833F9">
        <w:t xml:space="preserve"> en verlenging</w:t>
      </w:r>
      <w:r>
        <w:t>saanvragen</w:t>
      </w:r>
      <w:r w:rsidRPr="006833F9">
        <w:t xml:space="preserve"> </w:t>
      </w:r>
      <w:r>
        <w:t xml:space="preserve">maakt de </w:t>
      </w:r>
      <w:r w:rsidR="0041327D">
        <w:t xml:space="preserve">herstelorganisatie </w:t>
      </w:r>
      <w:r>
        <w:t xml:space="preserve">gebruik van </w:t>
      </w:r>
      <w:r w:rsidR="00741969">
        <w:t xml:space="preserve">een </w:t>
      </w:r>
      <w:r>
        <w:t>afwegingskader</w:t>
      </w:r>
      <w:r w:rsidR="00741969">
        <w:rPr>
          <w:rStyle w:val="Voetnootmarkering"/>
        </w:rPr>
        <w:footnoteReference w:id="7"/>
      </w:r>
      <w:r w:rsidR="00A56CAA">
        <w:t xml:space="preserve"> om te bepalen of een opdracht door een z</w:t>
      </w:r>
      <w:r w:rsidR="006F19F2">
        <w:t>z</w:t>
      </w:r>
      <w:r w:rsidR="00A56CAA">
        <w:t>p’er kan worden uitgevoerd</w:t>
      </w:r>
      <w:r>
        <w:t>.</w:t>
      </w:r>
      <w:r w:rsidR="00D551A0">
        <w:t xml:space="preserve"> </w:t>
      </w:r>
      <w:r>
        <w:t xml:space="preserve">De </w:t>
      </w:r>
      <w:r w:rsidR="0041327D">
        <w:t xml:space="preserve">herstelorganisatie </w:t>
      </w:r>
      <w:r>
        <w:t xml:space="preserve">legt ingevulde afwegingskaders ter beoordeling voor aan een </w:t>
      </w:r>
      <w:r w:rsidR="00D551A0">
        <w:t>afdeling</w:t>
      </w:r>
      <w:r w:rsidR="00C93DF9">
        <w:t xml:space="preserve"> buiten de </w:t>
      </w:r>
      <w:r w:rsidR="0041327D">
        <w:t xml:space="preserve">herstelorganisatie </w:t>
      </w:r>
      <w:r w:rsidR="00D551A0">
        <w:t>die</w:t>
      </w:r>
      <w:r>
        <w:t xml:space="preserve"> verantwoordelijk is voor de fiscale bedrijfsvoering. Als</w:t>
      </w:r>
      <w:r w:rsidRPr="006833F9">
        <w:t xml:space="preserve"> uit </w:t>
      </w:r>
      <w:r>
        <w:t>de externe beoordeling</w:t>
      </w:r>
      <w:r w:rsidRPr="006833F9">
        <w:t xml:space="preserve"> blijkt dat het risico op schijnzelfstandigheid bestaat, </w:t>
      </w:r>
      <w:r>
        <w:t xml:space="preserve">dan </w:t>
      </w:r>
      <w:r w:rsidR="00AA0ABE">
        <w:t>zal</w:t>
      </w:r>
      <w:r>
        <w:t xml:space="preserve"> de</w:t>
      </w:r>
      <w:r w:rsidRPr="006833F9">
        <w:t xml:space="preserve"> herstelorganisatie op de betreffende inhuuraanvraag geen </w:t>
      </w:r>
      <w:r w:rsidR="00AA0ABE">
        <w:t>zzp’er</w:t>
      </w:r>
      <w:r w:rsidRPr="006833F9">
        <w:t xml:space="preserve"> in</w:t>
      </w:r>
      <w:r>
        <w:t>huren</w:t>
      </w:r>
      <w:r w:rsidRPr="006833F9">
        <w:t>.</w:t>
      </w:r>
      <w:r>
        <w:t xml:space="preserve"> </w:t>
      </w:r>
    </w:p>
    <w:p w:rsidR="008A0654" w:rsidP="008A0654" w:rsidRDefault="008A0654" w14:paraId="1E867D37" w14:textId="77777777">
      <w:pPr>
        <w:spacing w:line="276" w:lineRule="auto"/>
      </w:pPr>
    </w:p>
    <w:p w:rsidR="002022F8" w:rsidP="00041C9F" w:rsidRDefault="008A0654" w14:paraId="287E6C11" w14:textId="77777777">
      <w:pPr>
        <w:spacing w:line="276" w:lineRule="auto"/>
      </w:pPr>
      <w:r w:rsidRPr="00D235F5">
        <w:t>Per 1 januari 2025 kan de Belastingdienst weer volledig handhaven op de kwalificatie van de arbeidsrelatie</w:t>
      </w:r>
      <w:r>
        <w:t>.</w:t>
      </w:r>
      <w:r w:rsidRPr="00D235F5">
        <w:t xml:space="preserve"> </w:t>
      </w:r>
      <w:r>
        <w:t>In 2025 begint de Belastingdienst het risicogerichte toezicht in beginsel met een bedrijfsbezoek. Afhankelijk van de uitkomst van een bedrijfsbezoek kan de Belastingdienst een boekenonderzoek instellen.</w:t>
      </w:r>
      <w:r w:rsidRPr="002022F8" w:rsidR="002022F8">
        <w:t xml:space="preserve"> In enkele gevallen kan schijnzelfstandigheid direct via een boekenonderzoek aan de orde komen, bijvoorbeeld bij concrete risicosignalen die duiden op evidente schijnzelfstandigheid of als </w:t>
      </w:r>
      <w:r w:rsidR="002022F8">
        <w:t xml:space="preserve">de inspecteur </w:t>
      </w:r>
      <w:r w:rsidR="00AA0ABE">
        <w:t xml:space="preserve">schijnzelfstandigheid constateert </w:t>
      </w:r>
      <w:r w:rsidRPr="002022F8" w:rsidR="002022F8">
        <w:t>bij</w:t>
      </w:r>
      <w:r w:rsidR="00AA0ABE">
        <w:t xml:space="preserve"> een</w:t>
      </w:r>
      <w:r w:rsidRPr="002022F8" w:rsidR="002022F8">
        <w:t xml:space="preserve"> controle op een ander belastingmiddel, bijvoorbeeld BTW.</w:t>
      </w:r>
    </w:p>
    <w:p w:rsidR="002022F8" w:rsidP="00041C9F" w:rsidRDefault="002022F8" w14:paraId="15048DCA" w14:textId="77777777">
      <w:pPr>
        <w:spacing w:line="276" w:lineRule="auto"/>
      </w:pPr>
    </w:p>
    <w:p w:rsidR="00606C23" w:rsidP="00041C9F" w:rsidRDefault="00606C23" w14:paraId="6AC0280A" w14:textId="77777777">
      <w:pPr>
        <w:spacing w:line="276" w:lineRule="auto"/>
      </w:pPr>
    </w:p>
    <w:p w:rsidR="00606C23" w:rsidP="00041C9F" w:rsidRDefault="00606C23" w14:paraId="68CD0789" w14:textId="77777777">
      <w:pPr>
        <w:spacing w:line="276" w:lineRule="auto"/>
      </w:pPr>
    </w:p>
    <w:p w:rsidR="006833F9" w:rsidP="00041C9F" w:rsidRDefault="008A0654" w14:paraId="1CA6EEEF" w14:textId="77777777">
      <w:pPr>
        <w:spacing w:line="276" w:lineRule="auto"/>
      </w:pPr>
      <w:r>
        <w:lastRenderedPageBreak/>
        <w:t xml:space="preserve">Bij constatering van schijnzelfstandigheid kan de </w:t>
      </w:r>
      <w:r w:rsidRPr="00D235F5">
        <w:t>Belastingdienst weer met terugwerkende kracht correctieverplichtingen en naheffingen loonheffingen</w:t>
      </w:r>
      <w:r>
        <w:t xml:space="preserve"> opleggen.</w:t>
      </w:r>
      <w:r w:rsidRPr="00D235F5">
        <w:t xml:space="preserve"> Dit kan in beginsel slechts met terugwerkende kracht tot 1 januari 2025</w:t>
      </w:r>
      <w:r>
        <w:t xml:space="preserve"> tenzij sprake is van </w:t>
      </w:r>
      <w:proofErr w:type="spellStart"/>
      <w:r>
        <w:t>kwaadwillendheid</w:t>
      </w:r>
      <w:proofErr w:type="spellEnd"/>
      <w:r>
        <w:t xml:space="preserve"> of nadat een aanwijzing van de Belastingdienst niet is opgevolgd</w:t>
      </w:r>
      <w:r w:rsidRPr="00D235F5">
        <w:t xml:space="preserve">. </w:t>
      </w:r>
      <w:r w:rsidR="00C93DF9">
        <w:t>De Belastingdienst legt geen boetes op o</w:t>
      </w:r>
      <w:r>
        <w:t>ver het jaar 2025 conform de</w:t>
      </w:r>
      <w:r w:rsidR="00FD22CD">
        <w:t xml:space="preserve"> </w:t>
      </w:r>
      <w:r>
        <w:t xml:space="preserve">motie </w:t>
      </w:r>
      <w:r w:rsidRPr="00041C9F">
        <w:t xml:space="preserve">van de leden </w:t>
      </w:r>
      <w:proofErr w:type="spellStart"/>
      <w:r w:rsidRPr="00041C9F">
        <w:t>Flach</w:t>
      </w:r>
      <w:proofErr w:type="spellEnd"/>
      <w:r w:rsidRPr="00041C9F">
        <w:t xml:space="preserve"> en Aartsen</w:t>
      </w:r>
      <w:r w:rsidR="005D3AF2">
        <w:t xml:space="preserve"> van 25 september 2024</w:t>
      </w:r>
      <w:r>
        <w:t>.</w:t>
      </w:r>
      <w:r w:rsidR="00FD22CD">
        <w:t xml:space="preserve"> </w:t>
      </w:r>
    </w:p>
    <w:p w:rsidRPr="00041C9F" w:rsidR="006833F9" w:rsidP="00041C9F" w:rsidRDefault="006833F9" w14:paraId="4B290A56" w14:textId="77777777">
      <w:pPr>
        <w:spacing w:line="276" w:lineRule="auto"/>
      </w:pPr>
    </w:p>
    <w:p w:rsidRPr="00041C9F" w:rsidR="008854EA" w:rsidP="00041C9F" w:rsidRDefault="008854EA" w14:paraId="007E51F9" w14:textId="77777777">
      <w:pPr>
        <w:spacing w:line="276" w:lineRule="auto"/>
        <w:rPr>
          <w:b/>
          <w:bCs/>
        </w:rPr>
      </w:pPr>
      <w:r w:rsidRPr="00041C9F">
        <w:rPr>
          <w:b/>
          <w:bCs/>
        </w:rPr>
        <w:t>Vraag 7</w:t>
      </w:r>
    </w:p>
    <w:p w:rsidR="008854EA" w:rsidP="00041C9F" w:rsidRDefault="008854EA" w14:paraId="091B70F0" w14:textId="77777777">
      <w:pPr>
        <w:spacing w:line="276" w:lineRule="auto"/>
      </w:pPr>
      <w:r w:rsidRPr="00041C9F">
        <w:t>Klopt het dat de wettelijke ruimte er is om langer de tijd te nemen om te stoppen met schijnzelfstandigheid? Waarom is er toch voor gekozen om per 1 april 2025 te stoppen en welke overwegingen zijn er om niet een andere deadline te stellen, waardoor de organisatie meer tijd en rust heeft om zich aan te passen</w:t>
      </w:r>
      <w:r w:rsidR="00C93DF9">
        <w:t>?</w:t>
      </w:r>
    </w:p>
    <w:p w:rsidRPr="00041C9F" w:rsidR="00C93DF9" w:rsidP="00041C9F" w:rsidRDefault="00C93DF9" w14:paraId="7CC8527E" w14:textId="77777777">
      <w:pPr>
        <w:spacing w:line="276" w:lineRule="auto"/>
      </w:pPr>
    </w:p>
    <w:p w:rsidRPr="00041C9F" w:rsidR="008854EA" w:rsidP="00041C9F" w:rsidRDefault="008854EA" w14:paraId="2C11B707" w14:textId="77777777">
      <w:pPr>
        <w:spacing w:line="276" w:lineRule="auto"/>
        <w:rPr>
          <w:b/>
          <w:bCs/>
        </w:rPr>
      </w:pPr>
      <w:r w:rsidRPr="00041C9F">
        <w:rPr>
          <w:b/>
          <w:bCs/>
        </w:rPr>
        <w:t>Antwoord 7</w:t>
      </w:r>
    </w:p>
    <w:p w:rsidR="008A0654" w:rsidP="008A0654" w:rsidRDefault="008A0654" w14:paraId="3EA76488" w14:textId="77777777">
      <w:pPr>
        <w:spacing w:line="276" w:lineRule="auto"/>
      </w:pPr>
      <w:r>
        <w:t xml:space="preserve">Er is geen wettelijke ruimte om langer de tijd te nemen </w:t>
      </w:r>
      <w:r w:rsidR="002022F8">
        <w:t xml:space="preserve">om te </w:t>
      </w:r>
      <w:r w:rsidR="00C93DF9">
        <w:t>stoppen met</w:t>
      </w:r>
      <w:r>
        <w:t xml:space="preserve"> schijnzelfstandigheid. Per 1 januari 2025 is het handhavingsmoratorium </w:t>
      </w:r>
      <w:r w:rsidR="00AA0ABE">
        <w:t>opgeheven</w:t>
      </w:r>
      <w:r w:rsidR="00A56CAA">
        <w:t xml:space="preserve"> en kan de Belastingdienst weer volledig handhaven op schijnzelfstandigheid. De wet </w:t>
      </w:r>
      <w:r w:rsidR="001B1EFD">
        <w:t xml:space="preserve">op de loonbelasting </w:t>
      </w:r>
      <w:r w:rsidR="00A56CAA">
        <w:t>waar de Belastingdienst op handhaaft, is niet</w:t>
      </w:r>
      <w:r w:rsidR="001B1EFD">
        <w:t xml:space="preserve"> gewijzigd</w:t>
      </w:r>
      <w:r w:rsidR="00A56CAA">
        <w:t>.</w:t>
      </w:r>
      <w:r w:rsidR="001B1EFD">
        <w:t xml:space="preserve"> Ook de wettelijke bepaling rondom de arbeidsovereenkomst – waar de wet op de loonbelasting bij aansluit - is niet gewijzigd.</w:t>
      </w:r>
      <w:r w:rsidR="00A56CAA">
        <w:t xml:space="preserve"> </w:t>
      </w:r>
      <w:r w:rsidRPr="00234A5A" w:rsidR="00234A5A">
        <w:t>Onder het handhavingsmoratorium moesten partijen zich ook aan de wet- en regelgeving houden.</w:t>
      </w:r>
      <w:r w:rsidR="00A56CAA">
        <w:t xml:space="preserve"> De middelen van de Belastingdienst om hierop te handhaven waren voor 1 januari 2025 alleen beperkter. </w:t>
      </w:r>
    </w:p>
    <w:p w:rsidR="008A0654" w:rsidP="008A0654" w:rsidRDefault="008A0654" w14:paraId="36C878D8" w14:textId="77777777">
      <w:pPr>
        <w:spacing w:line="276" w:lineRule="auto"/>
      </w:pPr>
    </w:p>
    <w:p w:rsidRPr="00041C9F" w:rsidR="008A0654" w:rsidP="008A0654" w:rsidRDefault="003E2578" w14:paraId="43D0BC3A" w14:textId="77777777">
      <w:pPr>
        <w:spacing w:line="276" w:lineRule="auto"/>
      </w:pPr>
      <w:r>
        <w:t xml:space="preserve">De herstelorganisatie heeft </w:t>
      </w:r>
      <w:r w:rsidRPr="00041C9F" w:rsidR="008A0654">
        <w:t>besloten om vanaf 1 april</w:t>
      </w:r>
      <w:r w:rsidR="008A0654">
        <w:t xml:space="preserve"> 2025 </w:t>
      </w:r>
      <w:r w:rsidRPr="006833F9" w:rsidR="008A0654">
        <w:t xml:space="preserve">de toezegging van </w:t>
      </w:r>
      <w:r w:rsidR="00C93DF9">
        <w:t>Dienst</w:t>
      </w:r>
      <w:r w:rsidRPr="006833F9" w:rsidR="008A0654">
        <w:t xml:space="preserve"> Toeslagen aan brokers in</w:t>
      </w:r>
      <w:r w:rsidR="008A0654">
        <w:t xml:space="preserve"> te trekken </w:t>
      </w:r>
      <w:r w:rsidRPr="006833F9" w:rsidR="008A0654">
        <w:t xml:space="preserve">om eventuele boetes en naheffingen </w:t>
      </w:r>
      <w:r w:rsidR="008A0654">
        <w:t>premies werknemersheffingen</w:t>
      </w:r>
      <w:r w:rsidRPr="006833F9" w:rsidR="008A0654">
        <w:t xml:space="preserve"> die kunnen volgen uit de handhaving </w:t>
      </w:r>
      <w:r w:rsidR="00B534F4">
        <w:t xml:space="preserve">op de kwalificatie van de arbeidsrelatie </w:t>
      </w:r>
      <w:r w:rsidRPr="006833F9" w:rsidR="008A0654">
        <w:t>te vergoeden</w:t>
      </w:r>
      <w:r w:rsidR="00C93DF9">
        <w:t xml:space="preserve">. </w:t>
      </w:r>
      <w:r w:rsidRPr="00041C9F" w:rsidR="008A0654">
        <w:t xml:space="preserve">Bij dit besluit hebben de volgende overwegingen een rol gespeeld:  </w:t>
      </w:r>
    </w:p>
    <w:p w:rsidRPr="00041C9F" w:rsidR="008A0654" w:rsidP="008A0654" w:rsidRDefault="008A0654" w14:paraId="39D1DB08" w14:textId="77777777">
      <w:pPr>
        <w:pStyle w:val="Lijstalinea"/>
        <w:numPr>
          <w:ilvl w:val="0"/>
          <w:numId w:val="39"/>
        </w:numPr>
        <w:spacing w:line="276" w:lineRule="auto"/>
        <w:rPr>
          <w:rFonts w:ascii="Verdana" w:hAnsi="Verdana"/>
          <w:sz w:val="18"/>
          <w:szCs w:val="18"/>
        </w:rPr>
      </w:pPr>
      <w:r w:rsidRPr="00041C9F">
        <w:rPr>
          <w:rFonts w:ascii="Verdana" w:hAnsi="Verdana"/>
          <w:sz w:val="18"/>
          <w:szCs w:val="18"/>
        </w:rPr>
        <w:t xml:space="preserve">De herstelorganisatie heeft in 2024 een afbouwplan opgesteld met als doel de omvang van potentieel schijnzelfstandigen waar mogelijk terug te brengen naar nul en daarmee te voldoen aan de geldende wet- en regelgeving. Hierbij is onder andere aan de betreffende potentieel schijnzelfstandigen gevraagd om bij het Rijk of bij de brokers in dienst te gaan. </w:t>
      </w:r>
    </w:p>
    <w:p w:rsidR="008A0654" w:rsidP="008A0654" w:rsidRDefault="008A0654" w14:paraId="42CC9334" w14:textId="77777777">
      <w:pPr>
        <w:pStyle w:val="Lijstalinea"/>
        <w:numPr>
          <w:ilvl w:val="0"/>
          <w:numId w:val="39"/>
        </w:numPr>
        <w:spacing w:line="276" w:lineRule="auto"/>
        <w:rPr>
          <w:rFonts w:ascii="Verdana" w:hAnsi="Verdana"/>
          <w:sz w:val="18"/>
          <w:szCs w:val="18"/>
        </w:rPr>
      </w:pPr>
      <w:r w:rsidRPr="00041C9F">
        <w:rPr>
          <w:rFonts w:ascii="Verdana" w:hAnsi="Verdana"/>
          <w:sz w:val="18"/>
          <w:szCs w:val="18"/>
        </w:rPr>
        <w:t xml:space="preserve">Omdat de hersteloperatie al onder druk stond, was de inschatting in 2024 dat het volledig afbouwen van de inhuur van potentieel schijnzelfstandigen </w:t>
      </w:r>
      <w:r w:rsidR="002022F8">
        <w:rPr>
          <w:rFonts w:ascii="Verdana" w:hAnsi="Verdana"/>
          <w:sz w:val="18"/>
          <w:szCs w:val="18"/>
        </w:rPr>
        <w:t xml:space="preserve">per 1 januari 2025 </w:t>
      </w:r>
      <w:r w:rsidRPr="00041C9F">
        <w:rPr>
          <w:rFonts w:ascii="Verdana" w:hAnsi="Verdana"/>
          <w:sz w:val="18"/>
          <w:szCs w:val="18"/>
        </w:rPr>
        <w:t>niet haalbaar zou zijn zonder</w:t>
      </w:r>
      <w:r w:rsidR="002022F8">
        <w:rPr>
          <w:rFonts w:ascii="Verdana" w:hAnsi="Verdana"/>
          <w:sz w:val="18"/>
          <w:szCs w:val="18"/>
        </w:rPr>
        <w:t xml:space="preserve"> daarbij</w:t>
      </w:r>
      <w:r w:rsidRPr="00041C9F">
        <w:rPr>
          <w:rFonts w:ascii="Verdana" w:hAnsi="Verdana"/>
          <w:sz w:val="18"/>
          <w:szCs w:val="18"/>
        </w:rPr>
        <w:t xml:space="preserve"> de hersteloperatie te hinderen. Om de continuïteit te waarborgen naar de gedupeerde ouders heeft Dienst Toeslagen in twee opvolgende brieven naar brokers uiteindelijk het aanbod gedaan om de kosten van naheffingsaanslagen premies werknemersverzekeringen en boetes van brokers over te nemen, voor zover deze het gevolg zijn van de inzet van </w:t>
      </w:r>
      <w:r w:rsidR="00AA0ABE">
        <w:rPr>
          <w:rFonts w:ascii="Verdana" w:hAnsi="Verdana"/>
          <w:sz w:val="18"/>
          <w:szCs w:val="18"/>
        </w:rPr>
        <w:t>zzp’ers</w:t>
      </w:r>
      <w:r w:rsidRPr="00041C9F">
        <w:rPr>
          <w:rFonts w:ascii="Verdana" w:hAnsi="Verdana"/>
          <w:sz w:val="18"/>
          <w:szCs w:val="18"/>
        </w:rPr>
        <w:t xml:space="preserve"> bij de herstelorganisatie die achteraf als schijnzelfstandige zijn aangemerkt. </w:t>
      </w:r>
    </w:p>
    <w:p w:rsidR="00606C23" w:rsidP="00606C23" w:rsidRDefault="00606C23" w14:paraId="3D380ECD" w14:textId="77777777">
      <w:pPr>
        <w:spacing w:line="276" w:lineRule="auto"/>
      </w:pPr>
    </w:p>
    <w:p w:rsidR="00606C23" w:rsidP="00606C23" w:rsidRDefault="00606C23" w14:paraId="2A9CB14E" w14:textId="77777777">
      <w:pPr>
        <w:spacing w:line="276" w:lineRule="auto"/>
      </w:pPr>
    </w:p>
    <w:p w:rsidR="00606C23" w:rsidP="00606C23" w:rsidRDefault="00606C23" w14:paraId="584AC737" w14:textId="77777777">
      <w:pPr>
        <w:spacing w:line="276" w:lineRule="auto"/>
      </w:pPr>
    </w:p>
    <w:p w:rsidRPr="00606C23" w:rsidR="00606C23" w:rsidP="00606C23" w:rsidRDefault="00606C23" w14:paraId="47C96691" w14:textId="77777777">
      <w:pPr>
        <w:spacing w:line="276" w:lineRule="auto"/>
      </w:pPr>
    </w:p>
    <w:p w:rsidR="008A0654" w:rsidP="008A0654" w:rsidRDefault="008A0654" w14:paraId="14709D7F" w14:textId="77777777">
      <w:pPr>
        <w:pStyle w:val="Lijstalinea"/>
        <w:numPr>
          <w:ilvl w:val="0"/>
          <w:numId w:val="39"/>
        </w:numPr>
        <w:spacing w:line="276" w:lineRule="auto"/>
        <w:rPr>
          <w:rFonts w:ascii="Verdana" w:hAnsi="Verdana"/>
          <w:sz w:val="18"/>
          <w:szCs w:val="18"/>
        </w:rPr>
      </w:pPr>
      <w:r w:rsidRPr="00041C9F">
        <w:rPr>
          <w:rFonts w:ascii="Verdana" w:hAnsi="Verdana"/>
          <w:sz w:val="18"/>
          <w:szCs w:val="18"/>
        </w:rPr>
        <w:lastRenderedPageBreak/>
        <w:t xml:space="preserve">Hierna heeft contact tussen het ministerie van Financiën als belastingplichtige en de belastinginspecteur geleid tot het voortschrijdende inzicht over hoe met genoemd dilemma om te gaan. Doorslaggevend werd dat de toezeggingen van Dienst Toeslagen aan de brokers kunnen leiden tot een fiscale non-compliance en dat dat niet strookt met de voorbeeldfunctie van het ministerie van Financiën. Als gevolg hiervan is op 10 februari 2025 een nieuwe brief naar brokers gestuurd dat per 1 april de toezegging tot compensatie is </w:t>
      </w:r>
      <w:r w:rsidR="008D214D">
        <w:rPr>
          <w:rFonts w:ascii="Verdana" w:hAnsi="Verdana"/>
          <w:sz w:val="18"/>
          <w:szCs w:val="18"/>
        </w:rPr>
        <w:t>ingetrokken</w:t>
      </w:r>
      <w:r w:rsidRPr="00041C9F">
        <w:rPr>
          <w:rFonts w:ascii="Verdana" w:hAnsi="Verdana"/>
          <w:sz w:val="18"/>
          <w:szCs w:val="18"/>
        </w:rPr>
        <w:t xml:space="preserve">. Dit leidt er in de praktijk toe dat er sprake is van een versneld </w:t>
      </w:r>
      <w:proofErr w:type="spellStart"/>
      <w:r w:rsidRPr="00041C9F">
        <w:rPr>
          <w:rFonts w:ascii="Verdana" w:hAnsi="Verdana"/>
          <w:sz w:val="18"/>
          <w:szCs w:val="18"/>
        </w:rPr>
        <w:t>afbouwpad</w:t>
      </w:r>
      <w:proofErr w:type="spellEnd"/>
      <w:r w:rsidRPr="00041C9F">
        <w:rPr>
          <w:rFonts w:ascii="Verdana" w:hAnsi="Verdana"/>
          <w:sz w:val="18"/>
          <w:szCs w:val="18"/>
        </w:rPr>
        <w:t xml:space="preserve"> van potentieel schijnzelfstandigen binnen de gehele </w:t>
      </w:r>
      <w:r w:rsidRPr="003E2578" w:rsidR="003E2578">
        <w:rPr>
          <w:rFonts w:ascii="Verdana" w:hAnsi="Verdana"/>
          <w:sz w:val="18"/>
          <w:szCs w:val="18"/>
        </w:rPr>
        <w:t>herstelorganisatie</w:t>
      </w:r>
      <w:r w:rsidRPr="00041C9F">
        <w:rPr>
          <w:rFonts w:ascii="Verdana" w:hAnsi="Verdana"/>
          <w:sz w:val="18"/>
          <w:szCs w:val="18"/>
        </w:rPr>
        <w:t>.</w:t>
      </w:r>
    </w:p>
    <w:p w:rsidR="00C82A3F" w:rsidP="00041C9F" w:rsidRDefault="00C82A3F" w14:paraId="3F56DC4A" w14:textId="77777777">
      <w:pPr>
        <w:spacing w:line="276" w:lineRule="auto"/>
      </w:pPr>
    </w:p>
    <w:p w:rsidR="00F50AC1" w:rsidP="00041C9F" w:rsidRDefault="00F50AC1" w14:paraId="024DE3D8" w14:textId="77777777">
      <w:pPr>
        <w:spacing w:line="276" w:lineRule="auto"/>
      </w:pPr>
      <w:r w:rsidRPr="00041C9F">
        <w:t>Hoogachtend,</w:t>
      </w:r>
    </w:p>
    <w:p w:rsidRPr="00041C9F" w:rsidR="00606C23" w:rsidP="00041C9F" w:rsidRDefault="00606C23" w14:paraId="012A8A99" w14:textId="77777777">
      <w:pPr>
        <w:spacing w:line="276" w:lineRule="auto"/>
      </w:pPr>
    </w:p>
    <w:p w:rsidRPr="00041C9F" w:rsidR="00F50AC1" w:rsidP="00041C9F" w:rsidRDefault="00F50AC1" w14:paraId="5813BABE" w14:textId="77777777">
      <w:pPr>
        <w:spacing w:line="276" w:lineRule="auto"/>
      </w:pPr>
      <w:proofErr w:type="gramStart"/>
      <w:r w:rsidRPr="00041C9F">
        <w:t>de</w:t>
      </w:r>
      <w:proofErr w:type="gramEnd"/>
      <w:r w:rsidRPr="00041C9F">
        <w:t xml:space="preserve"> staatssecretaris van Financiën – Herstel en Toeslagen</w:t>
      </w:r>
    </w:p>
    <w:p w:rsidRPr="00041C9F" w:rsidR="00F50AC1" w:rsidP="00041C9F" w:rsidRDefault="00F50AC1" w14:paraId="07EFED7A" w14:textId="77777777">
      <w:pPr>
        <w:spacing w:line="276" w:lineRule="auto"/>
      </w:pPr>
    </w:p>
    <w:p w:rsidRPr="00041C9F" w:rsidR="00F50AC1" w:rsidP="00041C9F" w:rsidRDefault="00F50AC1" w14:paraId="1A761B9E" w14:textId="77777777">
      <w:pPr>
        <w:spacing w:line="276" w:lineRule="auto"/>
      </w:pPr>
    </w:p>
    <w:p w:rsidRPr="00041C9F" w:rsidR="00F50AC1" w:rsidP="00041C9F" w:rsidRDefault="00F50AC1" w14:paraId="400E3C03" w14:textId="77777777">
      <w:pPr>
        <w:spacing w:line="276" w:lineRule="auto"/>
      </w:pPr>
    </w:p>
    <w:p w:rsidRPr="00041C9F" w:rsidR="00F50AC1" w:rsidP="00041C9F" w:rsidRDefault="00F50AC1" w14:paraId="7D212118" w14:textId="77777777">
      <w:pPr>
        <w:spacing w:line="276" w:lineRule="auto"/>
      </w:pPr>
    </w:p>
    <w:p w:rsidRPr="00041C9F" w:rsidR="00F50AC1" w:rsidP="00041C9F" w:rsidRDefault="00F50AC1" w14:paraId="7AFF8608" w14:textId="77777777">
      <w:pPr>
        <w:spacing w:line="276" w:lineRule="auto"/>
      </w:pPr>
    </w:p>
    <w:p w:rsidRPr="00041C9F" w:rsidR="000B782B" w:rsidP="00041C9F" w:rsidRDefault="00F50AC1" w14:paraId="37C5EBE6" w14:textId="77777777">
      <w:pPr>
        <w:spacing w:line="276" w:lineRule="auto"/>
        <w:rPr>
          <w:lang w:val="de-DE"/>
        </w:rPr>
      </w:pPr>
      <w:proofErr w:type="spellStart"/>
      <w:r w:rsidRPr="00041C9F">
        <w:rPr>
          <w:lang w:val="de-DE"/>
        </w:rPr>
        <w:t>S.Th.P.H</w:t>
      </w:r>
      <w:proofErr w:type="spellEnd"/>
      <w:r w:rsidRPr="00041C9F">
        <w:rPr>
          <w:lang w:val="de-DE"/>
        </w:rPr>
        <w:t>. Palmen-Schlangen</w:t>
      </w:r>
    </w:p>
    <w:p w:rsidRPr="00041C9F" w:rsidR="0047237D" w:rsidP="00041C9F" w:rsidRDefault="0047237D" w14:paraId="3EF7AE4C" w14:textId="77777777">
      <w:pPr>
        <w:spacing w:line="276" w:lineRule="auto"/>
        <w:rPr>
          <w:lang w:val="de-DE"/>
        </w:rPr>
      </w:pPr>
    </w:p>
    <w:sectPr w:rsidRPr="00041C9F" w:rsidR="0047237D">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59C9" w14:textId="77777777" w:rsidR="00626A0B" w:rsidRDefault="00626A0B">
      <w:pPr>
        <w:spacing w:line="240" w:lineRule="auto"/>
      </w:pPr>
      <w:r>
        <w:separator/>
      </w:r>
    </w:p>
  </w:endnote>
  <w:endnote w:type="continuationSeparator" w:id="0">
    <w:p w14:paraId="21DEB314" w14:textId="77777777" w:rsidR="00626A0B" w:rsidRDefault="00626A0B">
      <w:pPr>
        <w:spacing w:line="240" w:lineRule="auto"/>
      </w:pPr>
      <w:r>
        <w:continuationSeparator/>
      </w:r>
    </w:p>
  </w:endnote>
  <w:endnote w:type="continuationNotice" w:id="1">
    <w:p w14:paraId="53DA393A" w14:textId="77777777" w:rsidR="00626A0B" w:rsidRDefault="00626A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2A50" w14:textId="77777777" w:rsidR="008C2D8D" w:rsidRDefault="008C2D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10D4" w14:textId="77777777" w:rsidR="008C2D8D" w:rsidRDefault="008C2D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53CC" w14:textId="77777777" w:rsidR="008C2D8D" w:rsidRDefault="008C2D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E6D9" w14:textId="77777777" w:rsidR="00626A0B" w:rsidRDefault="00626A0B">
      <w:pPr>
        <w:spacing w:line="240" w:lineRule="auto"/>
      </w:pPr>
      <w:r>
        <w:separator/>
      </w:r>
    </w:p>
  </w:footnote>
  <w:footnote w:type="continuationSeparator" w:id="0">
    <w:p w14:paraId="6ED810AE" w14:textId="77777777" w:rsidR="00626A0B" w:rsidRDefault="00626A0B">
      <w:pPr>
        <w:spacing w:line="240" w:lineRule="auto"/>
      </w:pPr>
      <w:r>
        <w:continuationSeparator/>
      </w:r>
    </w:p>
  </w:footnote>
  <w:footnote w:type="continuationNotice" w:id="1">
    <w:p w14:paraId="3C569C24" w14:textId="77777777" w:rsidR="00626A0B" w:rsidRDefault="00626A0B">
      <w:pPr>
        <w:spacing w:line="240" w:lineRule="auto"/>
      </w:pPr>
    </w:p>
  </w:footnote>
  <w:footnote w:id="2">
    <w:p w14:paraId="130A2A2B" w14:textId="77777777" w:rsidR="005D3AF2" w:rsidRPr="00741969" w:rsidRDefault="005D3AF2">
      <w:pPr>
        <w:pStyle w:val="Voetnoottekst"/>
        <w:rPr>
          <w:sz w:val="13"/>
          <w:szCs w:val="13"/>
        </w:rPr>
      </w:pPr>
      <w:r w:rsidRPr="00741969">
        <w:rPr>
          <w:rStyle w:val="Voetnootmarkering"/>
          <w:sz w:val="13"/>
          <w:szCs w:val="13"/>
        </w:rPr>
        <w:footnoteRef/>
      </w:r>
      <w:r w:rsidRPr="00741969">
        <w:rPr>
          <w:sz w:val="13"/>
          <w:szCs w:val="13"/>
        </w:rPr>
        <w:t xml:space="preserve"> </w:t>
      </w:r>
      <w:hyperlink r:id="rId1" w:history="1">
        <w:r w:rsidRPr="00741969">
          <w:rPr>
            <w:rStyle w:val="Hyperlink"/>
            <w:sz w:val="13"/>
            <w:szCs w:val="13"/>
          </w:rPr>
          <w:t>https://open.overheid.nl/documenten/1d814efc-1074-4820-90e0-60bee39c4163/file</w:t>
        </w:r>
      </w:hyperlink>
      <w:r w:rsidRPr="00741969">
        <w:rPr>
          <w:sz w:val="13"/>
          <w:szCs w:val="13"/>
        </w:rPr>
        <w:t xml:space="preserve"> </w:t>
      </w:r>
    </w:p>
  </w:footnote>
  <w:footnote w:id="3">
    <w:p w14:paraId="0800648E" w14:textId="77777777" w:rsidR="000114E2" w:rsidRPr="00741969" w:rsidRDefault="000114E2">
      <w:pPr>
        <w:pStyle w:val="Voetnoottekst"/>
        <w:rPr>
          <w:sz w:val="13"/>
          <w:szCs w:val="13"/>
        </w:rPr>
      </w:pPr>
      <w:r w:rsidRPr="00741969">
        <w:rPr>
          <w:rStyle w:val="Voetnootmarkering"/>
          <w:sz w:val="13"/>
          <w:szCs w:val="13"/>
        </w:rPr>
        <w:footnoteRef/>
      </w:r>
      <w:r w:rsidRPr="00741969">
        <w:rPr>
          <w:sz w:val="13"/>
          <w:szCs w:val="13"/>
        </w:rPr>
        <w:t xml:space="preserve"> Kamerstukken I 2024/25, 36.151, AD.</w:t>
      </w:r>
    </w:p>
  </w:footnote>
  <w:footnote w:id="4">
    <w:p w14:paraId="121E4027" w14:textId="77777777" w:rsidR="000114E2" w:rsidRPr="00741969" w:rsidRDefault="000114E2">
      <w:pPr>
        <w:pStyle w:val="Voetnoottekst"/>
        <w:rPr>
          <w:sz w:val="13"/>
          <w:szCs w:val="13"/>
        </w:rPr>
      </w:pPr>
      <w:r w:rsidRPr="00741969">
        <w:rPr>
          <w:rStyle w:val="Voetnootmarkering"/>
          <w:sz w:val="13"/>
          <w:szCs w:val="13"/>
        </w:rPr>
        <w:footnoteRef/>
      </w:r>
      <w:r w:rsidRPr="00741969">
        <w:rPr>
          <w:sz w:val="13"/>
          <w:szCs w:val="13"/>
        </w:rPr>
        <w:t xml:space="preserve"> Aanhangsel van de Handelingen II, 2024/25, nr. 1654.</w:t>
      </w:r>
    </w:p>
  </w:footnote>
  <w:footnote w:id="5">
    <w:p w14:paraId="2D8FE439" w14:textId="77777777" w:rsidR="008854EA" w:rsidRPr="00741969" w:rsidRDefault="008854EA">
      <w:pPr>
        <w:pStyle w:val="Voetnoottekst"/>
        <w:rPr>
          <w:sz w:val="13"/>
          <w:szCs w:val="13"/>
        </w:rPr>
      </w:pPr>
      <w:r w:rsidRPr="00741969">
        <w:rPr>
          <w:rStyle w:val="Voetnootmarkering"/>
          <w:sz w:val="13"/>
          <w:szCs w:val="13"/>
        </w:rPr>
        <w:footnoteRef/>
      </w:r>
      <w:r w:rsidRPr="00741969">
        <w:rPr>
          <w:sz w:val="13"/>
          <w:szCs w:val="13"/>
        </w:rPr>
        <w:t xml:space="preserve"> </w:t>
      </w:r>
      <w:hyperlink r:id="rId2" w:history="1">
        <w:r w:rsidRPr="00741969">
          <w:rPr>
            <w:rStyle w:val="Hyperlink"/>
            <w:sz w:val="13"/>
            <w:szCs w:val="13"/>
          </w:rPr>
          <w:t>https://download.belastingdienst.nl/belastingdienst/docs/handhavingsplan-arbeidsrelaties-lh0021z52fd.pdf</w:t>
        </w:r>
      </w:hyperlink>
      <w:r w:rsidRPr="00741969">
        <w:rPr>
          <w:sz w:val="13"/>
          <w:szCs w:val="13"/>
        </w:rPr>
        <w:t xml:space="preserve"> </w:t>
      </w:r>
    </w:p>
  </w:footnote>
  <w:footnote w:id="6">
    <w:p w14:paraId="04332033" w14:textId="77777777" w:rsidR="008854EA" w:rsidRPr="00741969" w:rsidRDefault="008854EA">
      <w:pPr>
        <w:pStyle w:val="Voetnoottekst"/>
        <w:rPr>
          <w:i/>
          <w:iCs/>
          <w:sz w:val="13"/>
          <w:szCs w:val="13"/>
        </w:rPr>
      </w:pPr>
      <w:r w:rsidRPr="00741969">
        <w:rPr>
          <w:rStyle w:val="Voetnootmarkering"/>
          <w:i/>
          <w:iCs/>
          <w:sz w:val="13"/>
          <w:szCs w:val="13"/>
        </w:rPr>
        <w:footnoteRef/>
      </w:r>
      <w:r w:rsidRPr="00741969">
        <w:rPr>
          <w:i/>
          <w:iCs/>
          <w:sz w:val="13"/>
          <w:szCs w:val="13"/>
        </w:rPr>
        <w:t xml:space="preserve"> Kamerstukken II 2024-2025, 31.311, nr.266.</w:t>
      </w:r>
    </w:p>
  </w:footnote>
  <w:footnote w:id="7">
    <w:p w14:paraId="3866EE90" w14:textId="77777777" w:rsidR="00741969" w:rsidRPr="00741969" w:rsidRDefault="00741969">
      <w:pPr>
        <w:pStyle w:val="Voetnoottekst"/>
        <w:rPr>
          <w:sz w:val="13"/>
          <w:szCs w:val="13"/>
        </w:rPr>
      </w:pPr>
      <w:r w:rsidRPr="00741969">
        <w:rPr>
          <w:rStyle w:val="Voetnootmarkering"/>
          <w:sz w:val="13"/>
          <w:szCs w:val="13"/>
        </w:rPr>
        <w:footnoteRef/>
      </w:r>
      <w:r w:rsidRPr="00741969">
        <w:rPr>
          <w:sz w:val="13"/>
          <w:szCs w:val="13"/>
        </w:rPr>
        <w:t xml:space="preserve"> </w:t>
      </w:r>
      <w:hyperlink r:id="rId3" w:history="1">
        <w:r w:rsidRPr="00E06105">
          <w:rPr>
            <w:rStyle w:val="Hyperlink"/>
            <w:sz w:val="13"/>
            <w:szCs w:val="13"/>
          </w:rPr>
          <w:t>https://www.rijksoverheid.nl/onderwerpen/rijksoverheid/documenten/publicaties/2024/10/25/documenten-bij-besluit-op-woo-verzoek-over-rapport-ministerie-van-financien-en-nationale-schuld-ix</w:t>
        </w:r>
      </w:hyperlink>
      <w:r>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045A" w14:textId="77777777" w:rsidR="008C2D8D" w:rsidRDefault="008C2D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42F8" w14:textId="77777777" w:rsidR="000C0203" w:rsidRDefault="000C0203">
    <w:pPr>
      <w:pStyle w:val="MarginlessContainer"/>
    </w:pPr>
    <w:r>
      <w:rPr>
        <w:noProof/>
      </w:rPr>
      <mc:AlternateContent>
        <mc:Choice Requires="wps">
          <w:drawing>
            <wp:anchor distT="0" distB="0" distL="0" distR="0" simplePos="0" relativeHeight="251652096" behindDoc="0" locked="1" layoutInCell="1" allowOverlap="1" wp14:anchorId="7E51AFC2" wp14:editId="1ED08E9A">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DCE46F" w14:textId="77777777" w:rsidR="006B1F33" w:rsidRDefault="006B1F33" w:rsidP="006B1F33">
                          <w:pPr>
                            <w:pStyle w:val="Referentiegegevensbold"/>
                          </w:pPr>
                          <w:r>
                            <w:t>SG-Cluster</w:t>
                          </w:r>
                        </w:p>
                        <w:p w14:paraId="37346212" w14:textId="77777777" w:rsidR="006B1F33" w:rsidRDefault="006B1F33" w:rsidP="006B1F33">
                          <w:pPr>
                            <w:pStyle w:val="Referentiegegevens"/>
                          </w:pPr>
                          <w:r>
                            <w:t>Concerndirectie Mens en Organisatie</w:t>
                          </w:r>
                        </w:p>
                        <w:p w14:paraId="6FA32E2B" w14:textId="77777777" w:rsidR="000C0203" w:rsidRDefault="000C0203">
                          <w:pPr>
                            <w:pStyle w:val="WitregelW2"/>
                          </w:pPr>
                        </w:p>
                        <w:p w14:paraId="622F1B75" w14:textId="77777777" w:rsidR="00D551A0" w:rsidRDefault="000C0203" w:rsidP="00D551A0">
                          <w:pPr>
                            <w:pStyle w:val="StandaardReferentiegegevensKop"/>
                          </w:pPr>
                          <w:r>
                            <w:t>Ons kenmerk</w:t>
                          </w:r>
                        </w:p>
                        <w:p w14:paraId="443D50D0" w14:textId="77777777" w:rsidR="000C0203" w:rsidRDefault="00D551A0" w:rsidP="00D551A0">
                          <w:pPr>
                            <w:pStyle w:val="StandaardReferentiegegevens"/>
                          </w:pPr>
                          <w:r>
                            <w:t>2025-0000010098</w:t>
                          </w:r>
                        </w:p>
                      </w:txbxContent>
                    </wps:txbx>
                    <wps:bodyPr vert="horz" wrap="square" lIns="0" tIns="0" rIns="0" bIns="0" anchor="t" anchorCtr="0"/>
                  </wps:wsp>
                </a:graphicData>
              </a:graphic>
            </wp:anchor>
          </w:drawing>
        </mc:Choice>
        <mc:Fallback>
          <w:pict>
            <v:shapetype w14:anchorId="7E51AFC2"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ADCE46F" w14:textId="77777777" w:rsidR="006B1F33" w:rsidRDefault="006B1F33" w:rsidP="006B1F33">
                    <w:pPr>
                      <w:pStyle w:val="Referentiegegevensbold"/>
                    </w:pPr>
                    <w:r>
                      <w:t>SG-Cluster</w:t>
                    </w:r>
                  </w:p>
                  <w:p w14:paraId="37346212" w14:textId="77777777" w:rsidR="006B1F33" w:rsidRDefault="006B1F33" w:rsidP="006B1F33">
                    <w:pPr>
                      <w:pStyle w:val="Referentiegegevens"/>
                    </w:pPr>
                    <w:r>
                      <w:t>Concerndirectie Mens en Organisatie</w:t>
                    </w:r>
                  </w:p>
                  <w:p w14:paraId="6FA32E2B" w14:textId="77777777" w:rsidR="000C0203" w:rsidRDefault="000C0203">
                    <w:pPr>
                      <w:pStyle w:val="WitregelW2"/>
                    </w:pPr>
                  </w:p>
                  <w:p w14:paraId="622F1B75" w14:textId="77777777" w:rsidR="00D551A0" w:rsidRDefault="000C0203" w:rsidP="00D551A0">
                    <w:pPr>
                      <w:pStyle w:val="StandaardReferentiegegevensKop"/>
                    </w:pPr>
                    <w:r>
                      <w:t>Ons kenmerk</w:t>
                    </w:r>
                  </w:p>
                  <w:p w14:paraId="443D50D0" w14:textId="77777777" w:rsidR="000C0203" w:rsidRDefault="00D551A0" w:rsidP="00D551A0">
                    <w:pPr>
                      <w:pStyle w:val="StandaardReferentiegegevens"/>
                    </w:pPr>
                    <w:r>
                      <w:t>2025-0000010098</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FB7DCA" wp14:editId="68159209">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7BFD0D" w14:textId="77777777" w:rsidR="00384FA6" w:rsidRDefault="005003C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FB7DCA"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B7BFD0D" w14:textId="77777777" w:rsidR="00384FA6" w:rsidRDefault="005003C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E905371" wp14:editId="21DDC64F">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C083663" w14:textId="1491D249" w:rsidR="00384FA6" w:rsidRDefault="005003C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E905371"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C083663" w14:textId="1491D249" w:rsidR="00384FA6" w:rsidRDefault="005003C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2757" w14:textId="77777777" w:rsidR="000C0203" w:rsidRDefault="000C0203">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40D7746" wp14:editId="23A5A993">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1F3EAFD" w14:textId="77777777" w:rsidR="000C0203" w:rsidRDefault="000C0203">
                          <w:pPr>
                            <w:pStyle w:val="MarginlessContainer"/>
                          </w:pPr>
                          <w:r>
                            <w:rPr>
                              <w:noProof/>
                            </w:rPr>
                            <w:drawing>
                              <wp:inline distT="0" distB="0" distL="0" distR="0" wp14:anchorId="2C573991" wp14:editId="29483BE1">
                                <wp:extent cx="2339975" cy="1582834"/>
                                <wp:effectExtent l="0" t="0" r="0" b="0"/>
                                <wp:docPr id="14"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0D7746"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1F3EAFD" w14:textId="77777777" w:rsidR="000C0203" w:rsidRDefault="000C0203">
                    <w:pPr>
                      <w:pStyle w:val="MarginlessContainer"/>
                    </w:pPr>
                    <w:r>
                      <w:rPr>
                        <w:noProof/>
                      </w:rPr>
                      <w:drawing>
                        <wp:inline distT="0" distB="0" distL="0" distR="0" wp14:anchorId="2C573991" wp14:editId="29483BE1">
                          <wp:extent cx="2339975" cy="1582834"/>
                          <wp:effectExtent l="0" t="0" r="0" b="0"/>
                          <wp:docPr id="14"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5672A85" wp14:editId="01D6FA0D">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8D6BCA6" w14:textId="77777777" w:rsidR="000C0203" w:rsidRDefault="000C0203"/>
                      </w:txbxContent>
                    </wps:txbx>
                    <wps:bodyPr vert="horz" wrap="square" lIns="0" tIns="0" rIns="0" bIns="0" anchor="t" anchorCtr="0"/>
                  </wps:wsp>
                </a:graphicData>
              </a:graphic>
            </wp:anchor>
          </w:drawing>
        </mc:Choice>
        <mc:Fallback>
          <w:pict>
            <v:shape w14:anchorId="25672A85"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8D6BCA6" w14:textId="77777777" w:rsidR="000C0203" w:rsidRDefault="000C020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436E02" wp14:editId="48E01FCA">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5C19ACD" w14:textId="77777777" w:rsidR="00AA0ABE" w:rsidRDefault="00AA0ABE" w:rsidP="00AA0ABE">
                          <w:pPr>
                            <w:pStyle w:val="Referentiegegevensbold"/>
                          </w:pPr>
                          <w:r>
                            <w:t>SG-Cluster</w:t>
                          </w:r>
                        </w:p>
                        <w:p w14:paraId="2F5C8F07" w14:textId="77777777" w:rsidR="00AA0ABE" w:rsidRDefault="00AA0ABE" w:rsidP="00AA0ABE">
                          <w:pPr>
                            <w:pStyle w:val="Referentiegegevens"/>
                          </w:pPr>
                          <w:r>
                            <w:t>Concerndirectie Mens en Organisatie</w:t>
                          </w:r>
                        </w:p>
                        <w:p w14:paraId="0CE7D03F" w14:textId="77777777" w:rsidR="00AA0ABE" w:rsidRDefault="00AA0ABE" w:rsidP="00AA0ABE">
                          <w:pPr>
                            <w:pStyle w:val="WitregelW1"/>
                          </w:pPr>
                        </w:p>
                        <w:p w14:paraId="342CA60D" w14:textId="77777777" w:rsidR="00AA0ABE" w:rsidRDefault="00AA0ABE" w:rsidP="00AA0ABE">
                          <w:pPr>
                            <w:pStyle w:val="Referentiegegevens"/>
                          </w:pPr>
                          <w:r>
                            <w:t>Korte Voorhout 7</w:t>
                          </w:r>
                        </w:p>
                        <w:p w14:paraId="2FEB1E29" w14:textId="77777777" w:rsidR="00AA0ABE" w:rsidRDefault="00AA0ABE" w:rsidP="00AA0ABE">
                          <w:pPr>
                            <w:pStyle w:val="Referentiegegevens"/>
                          </w:pPr>
                          <w:r>
                            <w:t>2511 CW  's-Gravenhage</w:t>
                          </w:r>
                        </w:p>
                        <w:p w14:paraId="69F0D1C6" w14:textId="77777777" w:rsidR="00AA0ABE" w:rsidRDefault="00AA0ABE" w:rsidP="00AA0ABE">
                          <w:pPr>
                            <w:pStyle w:val="Referentiegegevens"/>
                          </w:pPr>
                          <w:r>
                            <w:t>POSTBUS 20018</w:t>
                          </w:r>
                        </w:p>
                        <w:p w14:paraId="56AC92B0" w14:textId="77777777" w:rsidR="00AA0ABE" w:rsidRDefault="00AA0ABE" w:rsidP="00AA0ABE">
                          <w:pPr>
                            <w:pStyle w:val="Referentiegegevens"/>
                          </w:pPr>
                          <w:r>
                            <w:t>2500 EA  's-Gravenhage</w:t>
                          </w:r>
                        </w:p>
                        <w:p w14:paraId="35844A25" w14:textId="77777777" w:rsidR="00AA0ABE" w:rsidRDefault="00AA0ABE">
                          <w:pPr>
                            <w:pStyle w:val="StandaardReferentiegegevensKop"/>
                          </w:pPr>
                        </w:p>
                        <w:p w14:paraId="2F1D4FF9" w14:textId="77777777" w:rsidR="000C0203" w:rsidRDefault="000C0203">
                          <w:pPr>
                            <w:pStyle w:val="StandaardReferentiegegevensKop"/>
                          </w:pPr>
                          <w:r>
                            <w:t>Ons kenmerk</w:t>
                          </w:r>
                        </w:p>
                        <w:p w14:paraId="1291D7D4" w14:textId="77777777" w:rsidR="000C0203" w:rsidRDefault="00D551A0">
                          <w:pPr>
                            <w:pStyle w:val="StandaardReferentiegegevens"/>
                          </w:pPr>
                          <w:r>
                            <w:t>2025-0000</w:t>
                          </w:r>
                          <w:r w:rsidR="00C65C52" w:rsidRPr="00C65C52">
                            <w:t>111455</w:t>
                          </w:r>
                        </w:p>
                        <w:p w14:paraId="0011A7BA" w14:textId="77777777" w:rsidR="000C0203" w:rsidRDefault="000C0203">
                          <w:pPr>
                            <w:pStyle w:val="WitregelW1"/>
                          </w:pPr>
                        </w:p>
                        <w:p w14:paraId="405C3787" w14:textId="77777777" w:rsidR="000C0203" w:rsidRDefault="000C0203">
                          <w:pPr>
                            <w:pStyle w:val="StandaardReferentiegegevensKop"/>
                          </w:pPr>
                          <w:r>
                            <w:t>Uw brief (kenmerk)</w:t>
                          </w:r>
                        </w:p>
                        <w:p w14:paraId="2CCB0F49" w14:textId="726BF6D5" w:rsidR="00384FA6" w:rsidRDefault="005003C8">
                          <w:pPr>
                            <w:pStyle w:val="StandaardReferentiegegevens"/>
                          </w:pPr>
                          <w:r>
                            <w:fldChar w:fldCharType="begin"/>
                          </w:r>
                          <w:r>
                            <w:instrText xml:space="preserve"> DOCPROPERTY  "UwKenmerk"  \* MERGEFORMAT </w:instrText>
                          </w:r>
                          <w:r>
                            <w:fldChar w:fldCharType="separate"/>
                          </w:r>
                          <w:r>
                            <w:t>173520.05U</w:t>
                          </w:r>
                          <w:r>
                            <w:fldChar w:fldCharType="end"/>
                          </w:r>
                        </w:p>
                      </w:txbxContent>
                    </wps:txbx>
                    <wps:bodyPr vert="horz" wrap="square" lIns="0" tIns="0" rIns="0" bIns="0" anchor="t" anchorCtr="0"/>
                  </wps:wsp>
                </a:graphicData>
              </a:graphic>
            </wp:anchor>
          </w:drawing>
        </mc:Choice>
        <mc:Fallback>
          <w:pict>
            <v:shape w14:anchorId="2F436E02"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5C19ACD" w14:textId="77777777" w:rsidR="00AA0ABE" w:rsidRDefault="00AA0ABE" w:rsidP="00AA0ABE">
                    <w:pPr>
                      <w:pStyle w:val="Referentiegegevensbold"/>
                    </w:pPr>
                    <w:r>
                      <w:t>SG-Cluster</w:t>
                    </w:r>
                  </w:p>
                  <w:p w14:paraId="2F5C8F07" w14:textId="77777777" w:rsidR="00AA0ABE" w:rsidRDefault="00AA0ABE" w:rsidP="00AA0ABE">
                    <w:pPr>
                      <w:pStyle w:val="Referentiegegevens"/>
                    </w:pPr>
                    <w:r>
                      <w:t>Concerndirectie Mens en Organisatie</w:t>
                    </w:r>
                  </w:p>
                  <w:p w14:paraId="0CE7D03F" w14:textId="77777777" w:rsidR="00AA0ABE" w:rsidRDefault="00AA0ABE" w:rsidP="00AA0ABE">
                    <w:pPr>
                      <w:pStyle w:val="WitregelW1"/>
                    </w:pPr>
                  </w:p>
                  <w:p w14:paraId="342CA60D" w14:textId="77777777" w:rsidR="00AA0ABE" w:rsidRDefault="00AA0ABE" w:rsidP="00AA0ABE">
                    <w:pPr>
                      <w:pStyle w:val="Referentiegegevens"/>
                    </w:pPr>
                    <w:r>
                      <w:t>Korte Voorhout 7</w:t>
                    </w:r>
                  </w:p>
                  <w:p w14:paraId="2FEB1E29" w14:textId="77777777" w:rsidR="00AA0ABE" w:rsidRDefault="00AA0ABE" w:rsidP="00AA0ABE">
                    <w:pPr>
                      <w:pStyle w:val="Referentiegegevens"/>
                    </w:pPr>
                    <w:r>
                      <w:t>2511 CW  's-Gravenhage</w:t>
                    </w:r>
                  </w:p>
                  <w:p w14:paraId="69F0D1C6" w14:textId="77777777" w:rsidR="00AA0ABE" w:rsidRDefault="00AA0ABE" w:rsidP="00AA0ABE">
                    <w:pPr>
                      <w:pStyle w:val="Referentiegegevens"/>
                    </w:pPr>
                    <w:r>
                      <w:t>POSTBUS 20018</w:t>
                    </w:r>
                  </w:p>
                  <w:p w14:paraId="56AC92B0" w14:textId="77777777" w:rsidR="00AA0ABE" w:rsidRDefault="00AA0ABE" w:rsidP="00AA0ABE">
                    <w:pPr>
                      <w:pStyle w:val="Referentiegegevens"/>
                    </w:pPr>
                    <w:r>
                      <w:t>2500 EA  's-Gravenhage</w:t>
                    </w:r>
                  </w:p>
                  <w:p w14:paraId="35844A25" w14:textId="77777777" w:rsidR="00AA0ABE" w:rsidRDefault="00AA0ABE">
                    <w:pPr>
                      <w:pStyle w:val="StandaardReferentiegegevensKop"/>
                    </w:pPr>
                  </w:p>
                  <w:p w14:paraId="2F1D4FF9" w14:textId="77777777" w:rsidR="000C0203" w:rsidRDefault="000C0203">
                    <w:pPr>
                      <w:pStyle w:val="StandaardReferentiegegevensKop"/>
                    </w:pPr>
                    <w:r>
                      <w:t>Ons kenmerk</w:t>
                    </w:r>
                  </w:p>
                  <w:p w14:paraId="1291D7D4" w14:textId="77777777" w:rsidR="000C0203" w:rsidRDefault="00D551A0">
                    <w:pPr>
                      <w:pStyle w:val="StandaardReferentiegegevens"/>
                    </w:pPr>
                    <w:r>
                      <w:t>2025-0000</w:t>
                    </w:r>
                    <w:r w:rsidR="00C65C52" w:rsidRPr="00C65C52">
                      <w:t>111455</w:t>
                    </w:r>
                  </w:p>
                  <w:p w14:paraId="0011A7BA" w14:textId="77777777" w:rsidR="000C0203" w:rsidRDefault="000C0203">
                    <w:pPr>
                      <w:pStyle w:val="WitregelW1"/>
                    </w:pPr>
                  </w:p>
                  <w:p w14:paraId="405C3787" w14:textId="77777777" w:rsidR="000C0203" w:rsidRDefault="000C0203">
                    <w:pPr>
                      <w:pStyle w:val="StandaardReferentiegegevensKop"/>
                    </w:pPr>
                    <w:r>
                      <w:t>Uw brief (kenmerk)</w:t>
                    </w:r>
                  </w:p>
                  <w:p w14:paraId="2CCB0F49" w14:textId="726BF6D5" w:rsidR="00384FA6" w:rsidRDefault="005003C8">
                    <w:pPr>
                      <w:pStyle w:val="StandaardReferentiegegevens"/>
                    </w:pPr>
                    <w:r>
                      <w:fldChar w:fldCharType="begin"/>
                    </w:r>
                    <w:r>
                      <w:instrText xml:space="preserve"> DOCPROPERTY  "UwKenmerk"  \* MERGEFORMAT </w:instrText>
                    </w:r>
                    <w:r>
                      <w:fldChar w:fldCharType="separate"/>
                    </w:r>
                    <w:r>
                      <w:t>173520.05U</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3069CA" wp14:editId="3157495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F73B8A8" w14:textId="77777777" w:rsidR="000C0203" w:rsidRDefault="000C020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93069CA"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F73B8A8" w14:textId="77777777" w:rsidR="000C0203" w:rsidRDefault="000C0203">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A48795" wp14:editId="4EF2533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5FA7E29" w14:textId="369F7A28" w:rsidR="00384FA6" w:rsidRDefault="005003C8">
                          <w:pPr>
                            <w:pStyle w:val="Rubricering"/>
                          </w:pPr>
                          <w:r>
                            <w:fldChar w:fldCharType="begin"/>
                          </w:r>
                          <w:r>
                            <w:instrText xml:space="preserve"> DOCPROPERTY  "Rubricering"  \* MERGEFORMAT </w:instrText>
                          </w:r>
                          <w:r>
                            <w:fldChar w:fldCharType="end"/>
                          </w:r>
                        </w:p>
                        <w:p w14:paraId="60C58D48" w14:textId="77777777" w:rsidR="005003C8" w:rsidRDefault="00C77BA8">
                          <w:r>
                            <w:fldChar w:fldCharType="begin"/>
                          </w:r>
                          <w:r w:rsidR="005003C8">
                            <w:instrText xml:space="preserve"> DOCPROPERTY  "Aan"  \* MERGEFORMAT </w:instrText>
                          </w:r>
                          <w:r>
                            <w:fldChar w:fldCharType="separate"/>
                          </w:r>
                          <w:r w:rsidR="005003C8">
                            <w:t>De voorzitter van de Eerste Kamer der Staten-Generaal</w:t>
                          </w:r>
                        </w:p>
                        <w:p w14:paraId="7D18C9D4" w14:textId="77777777" w:rsidR="005003C8" w:rsidRDefault="005003C8">
                          <w:r>
                            <w:t>Postbus 20017</w:t>
                          </w:r>
                        </w:p>
                        <w:p w14:paraId="1D182528" w14:textId="77777777" w:rsidR="005003C8" w:rsidRDefault="005003C8">
                          <w:r>
                            <w:t>2500 EA Den Haag</w:t>
                          </w:r>
                        </w:p>
                        <w:p w14:paraId="6CF6332E" w14:textId="77777777" w:rsidR="00C77BA8" w:rsidRDefault="00C77BA8" w:rsidP="00C77BA8">
                          <w:r>
                            <w:fldChar w:fldCharType="end"/>
                          </w:r>
                        </w:p>
                        <w:p w14:paraId="3C164D0B" w14:textId="77777777" w:rsidR="000C0203" w:rsidRDefault="000C0203" w:rsidP="00C77BA8"/>
                      </w:txbxContent>
                    </wps:txbx>
                    <wps:bodyPr vert="horz" wrap="square" lIns="0" tIns="0" rIns="0" bIns="0" anchor="t" anchorCtr="0"/>
                  </wps:wsp>
                </a:graphicData>
              </a:graphic>
            </wp:anchor>
          </w:drawing>
        </mc:Choice>
        <mc:Fallback>
          <w:pict>
            <v:shape w14:anchorId="7CA48795"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25FA7E29" w14:textId="369F7A28" w:rsidR="00384FA6" w:rsidRDefault="005003C8">
                    <w:pPr>
                      <w:pStyle w:val="Rubricering"/>
                    </w:pPr>
                    <w:r>
                      <w:fldChar w:fldCharType="begin"/>
                    </w:r>
                    <w:r>
                      <w:instrText xml:space="preserve"> DOCPROPERTY  "Rubricering"  \* MERGEFORMAT </w:instrText>
                    </w:r>
                    <w:r>
                      <w:fldChar w:fldCharType="end"/>
                    </w:r>
                  </w:p>
                  <w:p w14:paraId="60C58D48" w14:textId="77777777" w:rsidR="005003C8" w:rsidRDefault="00C77BA8">
                    <w:r>
                      <w:fldChar w:fldCharType="begin"/>
                    </w:r>
                    <w:r w:rsidR="005003C8">
                      <w:instrText xml:space="preserve"> DOCPROPERTY  "Aan"  \* MERGEFORMAT </w:instrText>
                    </w:r>
                    <w:r>
                      <w:fldChar w:fldCharType="separate"/>
                    </w:r>
                    <w:r w:rsidR="005003C8">
                      <w:t>De voorzitter van de Eerste Kamer der Staten-Generaal</w:t>
                    </w:r>
                  </w:p>
                  <w:p w14:paraId="7D18C9D4" w14:textId="77777777" w:rsidR="005003C8" w:rsidRDefault="005003C8">
                    <w:r>
                      <w:t>Postbus 20017</w:t>
                    </w:r>
                  </w:p>
                  <w:p w14:paraId="1D182528" w14:textId="77777777" w:rsidR="005003C8" w:rsidRDefault="005003C8">
                    <w:r>
                      <w:t>2500 EA Den Haag</w:t>
                    </w:r>
                  </w:p>
                  <w:p w14:paraId="6CF6332E" w14:textId="77777777" w:rsidR="00C77BA8" w:rsidRDefault="00C77BA8" w:rsidP="00C77BA8">
                    <w:r>
                      <w:fldChar w:fldCharType="end"/>
                    </w:r>
                  </w:p>
                  <w:p w14:paraId="3C164D0B" w14:textId="77777777" w:rsidR="000C0203" w:rsidRDefault="000C0203" w:rsidP="00C77BA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6E6694" wp14:editId="43620532">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D617E85" w14:textId="77777777" w:rsidR="00384FA6" w:rsidRDefault="005003C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16E6694"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D617E85" w14:textId="77777777" w:rsidR="00384FA6" w:rsidRDefault="005003C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6E294E" wp14:editId="77335C84">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C0203" w14:paraId="7D44B570" w14:textId="77777777">
                            <w:trPr>
                              <w:trHeight w:val="200"/>
                            </w:trPr>
                            <w:tc>
                              <w:tcPr>
                                <w:tcW w:w="1140" w:type="dxa"/>
                              </w:tcPr>
                              <w:p w14:paraId="6EBF42E9" w14:textId="77777777" w:rsidR="000C0203" w:rsidRDefault="000C0203"/>
                            </w:tc>
                            <w:tc>
                              <w:tcPr>
                                <w:tcW w:w="5400" w:type="dxa"/>
                              </w:tcPr>
                              <w:p w14:paraId="3A76DE8E" w14:textId="77777777" w:rsidR="000C0203" w:rsidRDefault="000C0203"/>
                            </w:tc>
                          </w:tr>
                          <w:tr w:rsidR="000C0203" w14:paraId="67A3D7CE" w14:textId="77777777">
                            <w:trPr>
                              <w:trHeight w:val="240"/>
                            </w:trPr>
                            <w:tc>
                              <w:tcPr>
                                <w:tcW w:w="1140" w:type="dxa"/>
                              </w:tcPr>
                              <w:p w14:paraId="4FF1914F" w14:textId="77777777" w:rsidR="000C0203" w:rsidRDefault="000C0203">
                                <w:r>
                                  <w:t>Datum</w:t>
                                </w:r>
                              </w:p>
                            </w:tc>
                            <w:tc>
                              <w:tcPr>
                                <w:tcW w:w="5400" w:type="dxa"/>
                              </w:tcPr>
                              <w:p w14:paraId="016054DA" w14:textId="35580B23" w:rsidR="000C0203" w:rsidRDefault="008C2D8D" w:rsidP="007D5C05">
                                <w:r>
                                  <w:t>25 april 2025</w:t>
                                </w:r>
                              </w:p>
                            </w:tc>
                          </w:tr>
                          <w:tr w:rsidR="000C0203" w14:paraId="6CB967C5" w14:textId="77777777">
                            <w:trPr>
                              <w:trHeight w:val="240"/>
                            </w:trPr>
                            <w:tc>
                              <w:tcPr>
                                <w:tcW w:w="1140" w:type="dxa"/>
                              </w:tcPr>
                              <w:p w14:paraId="139AE4EA" w14:textId="77777777" w:rsidR="000C0203" w:rsidRDefault="000C0203">
                                <w:r>
                                  <w:t>Betreft</w:t>
                                </w:r>
                              </w:p>
                            </w:tc>
                            <w:tc>
                              <w:tcPr>
                                <w:tcW w:w="5400" w:type="dxa"/>
                              </w:tcPr>
                              <w:p w14:paraId="384C933D" w14:textId="77777777" w:rsidR="000C0203" w:rsidRDefault="00045A18" w:rsidP="00692B6A">
                                <w:r>
                                  <w:t>Beantwoording v</w:t>
                                </w:r>
                                <w:r w:rsidR="00343E90" w:rsidRPr="00343E90">
                                  <w:t xml:space="preserve">ragen n.a.v. voortgangsrapportage hersteloperatie toeslagen september - december 2024 </w:t>
                                </w:r>
                                <w:r w:rsidR="00202042">
                                  <w:t xml:space="preserve"> </w:t>
                                </w:r>
                              </w:p>
                            </w:tc>
                          </w:tr>
                          <w:tr w:rsidR="000C0203" w14:paraId="05BEABFA" w14:textId="77777777">
                            <w:trPr>
                              <w:trHeight w:val="200"/>
                            </w:trPr>
                            <w:tc>
                              <w:tcPr>
                                <w:tcW w:w="1140" w:type="dxa"/>
                              </w:tcPr>
                              <w:p w14:paraId="1FCEDDE4" w14:textId="77777777" w:rsidR="000C0203" w:rsidRDefault="000C0203"/>
                            </w:tc>
                            <w:tc>
                              <w:tcPr>
                                <w:tcW w:w="4738" w:type="dxa"/>
                              </w:tcPr>
                              <w:p w14:paraId="5E2327E7" w14:textId="77777777" w:rsidR="000C0203" w:rsidRDefault="000C0203"/>
                            </w:tc>
                          </w:tr>
                        </w:tbl>
                        <w:p w14:paraId="7ED84E3D" w14:textId="77777777" w:rsidR="000C0203" w:rsidRDefault="000C0203"/>
                      </w:txbxContent>
                    </wps:txbx>
                    <wps:bodyPr vert="horz" wrap="square" lIns="0" tIns="0" rIns="0" bIns="0" anchor="t" anchorCtr="0"/>
                  </wps:wsp>
                </a:graphicData>
              </a:graphic>
            </wp:anchor>
          </w:drawing>
        </mc:Choice>
        <mc:Fallback>
          <w:pict>
            <v:shape w14:anchorId="226E294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C0203" w14:paraId="7D44B570" w14:textId="77777777">
                      <w:trPr>
                        <w:trHeight w:val="200"/>
                      </w:trPr>
                      <w:tc>
                        <w:tcPr>
                          <w:tcW w:w="1140" w:type="dxa"/>
                        </w:tcPr>
                        <w:p w14:paraId="6EBF42E9" w14:textId="77777777" w:rsidR="000C0203" w:rsidRDefault="000C0203"/>
                      </w:tc>
                      <w:tc>
                        <w:tcPr>
                          <w:tcW w:w="5400" w:type="dxa"/>
                        </w:tcPr>
                        <w:p w14:paraId="3A76DE8E" w14:textId="77777777" w:rsidR="000C0203" w:rsidRDefault="000C0203"/>
                      </w:tc>
                    </w:tr>
                    <w:tr w:rsidR="000C0203" w14:paraId="67A3D7CE" w14:textId="77777777">
                      <w:trPr>
                        <w:trHeight w:val="240"/>
                      </w:trPr>
                      <w:tc>
                        <w:tcPr>
                          <w:tcW w:w="1140" w:type="dxa"/>
                        </w:tcPr>
                        <w:p w14:paraId="4FF1914F" w14:textId="77777777" w:rsidR="000C0203" w:rsidRDefault="000C0203">
                          <w:r>
                            <w:t>Datum</w:t>
                          </w:r>
                        </w:p>
                      </w:tc>
                      <w:tc>
                        <w:tcPr>
                          <w:tcW w:w="5400" w:type="dxa"/>
                        </w:tcPr>
                        <w:p w14:paraId="016054DA" w14:textId="35580B23" w:rsidR="000C0203" w:rsidRDefault="008C2D8D" w:rsidP="007D5C05">
                          <w:r>
                            <w:t>25 april 2025</w:t>
                          </w:r>
                        </w:p>
                      </w:tc>
                    </w:tr>
                    <w:tr w:rsidR="000C0203" w14:paraId="6CB967C5" w14:textId="77777777">
                      <w:trPr>
                        <w:trHeight w:val="240"/>
                      </w:trPr>
                      <w:tc>
                        <w:tcPr>
                          <w:tcW w:w="1140" w:type="dxa"/>
                        </w:tcPr>
                        <w:p w14:paraId="139AE4EA" w14:textId="77777777" w:rsidR="000C0203" w:rsidRDefault="000C0203">
                          <w:r>
                            <w:t>Betreft</w:t>
                          </w:r>
                        </w:p>
                      </w:tc>
                      <w:tc>
                        <w:tcPr>
                          <w:tcW w:w="5400" w:type="dxa"/>
                        </w:tcPr>
                        <w:p w14:paraId="384C933D" w14:textId="77777777" w:rsidR="000C0203" w:rsidRDefault="00045A18" w:rsidP="00692B6A">
                          <w:r>
                            <w:t>Beantwoording v</w:t>
                          </w:r>
                          <w:r w:rsidR="00343E90" w:rsidRPr="00343E90">
                            <w:t xml:space="preserve">ragen n.a.v. voortgangsrapportage hersteloperatie toeslagen september - december 2024 </w:t>
                          </w:r>
                          <w:r w:rsidR="00202042">
                            <w:t xml:space="preserve"> </w:t>
                          </w:r>
                        </w:p>
                      </w:tc>
                    </w:tr>
                    <w:tr w:rsidR="000C0203" w14:paraId="05BEABFA" w14:textId="77777777">
                      <w:trPr>
                        <w:trHeight w:val="200"/>
                      </w:trPr>
                      <w:tc>
                        <w:tcPr>
                          <w:tcW w:w="1140" w:type="dxa"/>
                        </w:tcPr>
                        <w:p w14:paraId="1FCEDDE4" w14:textId="77777777" w:rsidR="000C0203" w:rsidRDefault="000C0203"/>
                      </w:tc>
                      <w:tc>
                        <w:tcPr>
                          <w:tcW w:w="4738" w:type="dxa"/>
                        </w:tcPr>
                        <w:p w14:paraId="5E2327E7" w14:textId="77777777" w:rsidR="000C0203" w:rsidRDefault="000C0203"/>
                      </w:tc>
                    </w:tr>
                  </w:tbl>
                  <w:p w14:paraId="7ED84E3D" w14:textId="77777777" w:rsidR="000C0203" w:rsidRDefault="000C020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71233A" wp14:editId="7761118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59E8255" w14:textId="00C2D049" w:rsidR="00384FA6" w:rsidRDefault="005003C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71233A"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59E8255" w14:textId="00C2D049" w:rsidR="00384FA6" w:rsidRDefault="005003C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E96CDC" wp14:editId="53021C72">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95D4019" w14:textId="77777777" w:rsidR="000C0203" w:rsidRDefault="000C0203"/>
                      </w:txbxContent>
                    </wps:txbx>
                    <wps:bodyPr vert="horz" wrap="square" lIns="0" tIns="0" rIns="0" bIns="0" anchor="t" anchorCtr="0"/>
                  </wps:wsp>
                </a:graphicData>
              </a:graphic>
            </wp:anchor>
          </w:drawing>
        </mc:Choice>
        <mc:Fallback>
          <w:pict>
            <v:shape w14:anchorId="61E96CDC"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95D4019" w14:textId="77777777" w:rsidR="000C0203" w:rsidRDefault="000C0203"/>
                </w:txbxContent>
              </v:textbox>
              <w10:wrap anchorx="page" anchory="page"/>
              <w10:anchorlock/>
            </v:shape>
          </w:pict>
        </mc:Fallback>
      </mc:AlternateContent>
    </w:r>
    <w:proofErr w:type="gramStart"/>
    <w:r w:rsidR="0017323D">
      <w:t>d</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F416E5"/>
    <w:multiLevelType w:val="multilevel"/>
    <w:tmpl w:val="508124D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0D79CE"/>
    <w:multiLevelType w:val="multilevel"/>
    <w:tmpl w:val="3E5E762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B685C9"/>
    <w:multiLevelType w:val="multilevel"/>
    <w:tmpl w:val="8BC9FDF4"/>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A6BE0A5"/>
    <w:multiLevelType w:val="multilevel"/>
    <w:tmpl w:val="8A10AF7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473436"/>
    <w:multiLevelType w:val="hybridMultilevel"/>
    <w:tmpl w:val="6F5EEB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1C0616C"/>
    <w:multiLevelType w:val="hybridMultilevel"/>
    <w:tmpl w:val="7BAA899E"/>
    <w:lvl w:ilvl="0" w:tplc="0D8E3DC2">
      <w:start w:val="1"/>
      <w:numFmt w:val="decimal"/>
      <w:lvlText w:val="%1."/>
      <w:lvlJc w:val="left"/>
      <w:pPr>
        <w:tabs>
          <w:tab w:val="num" w:pos="720"/>
        </w:tabs>
        <w:ind w:left="720" w:hanging="360"/>
      </w:pPr>
    </w:lvl>
    <w:lvl w:ilvl="1" w:tplc="BACA4C04" w:tentative="1">
      <w:start w:val="1"/>
      <w:numFmt w:val="decimal"/>
      <w:lvlText w:val="%2."/>
      <w:lvlJc w:val="left"/>
      <w:pPr>
        <w:tabs>
          <w:tab w:val="num" w:pos="1440"/>
        </w:tabs>
        <w:ind w:left="1440" w:hanging="360"/>
      </w:pPr>
    </w:lvl>
    <w:lvl w:ilvl="2" w:tplc="B0E8289E" w:tentative="1">
      <w:start w:val="1"/>
      <w:numFmt w:val="decimal"/>
      <w:lvlText w:val="%3."/>
      <w:lvlJc w:val="left"/>
      <w:pPr>
        <w:tabs>
          <w:tab w:val="num" w:pos="2160"/>
        </w:tabs>
        <w:ind w:left="2160" w:hanging="360"/>
      </w:pPr>
    </w:lvl>
    <w:lvl w:ilvl="3" w:tplc="82B277DA" w:tentative="1">
      <w:start w:val="1"/>
      <w:numFmt w:val="decimal"/>
      <w:lvlText w:val="%4."/>
      <w:lvlJc w:val="left"/>
      <w:pPr>
        <w:tabs>
          <w:tab w:val="num" w:pos="2880"/>
        </w:tabs>
        <w:ind w:left="2880" w:hanging="360"/>
      </w:pPr>
    </w:lvl>
    <w:lvl w:ilvl="4" w:tplc="4914D54C" w:tentative="1">
      <w:start w:val="1"/>
      <w:numFmt w:val="decimal"/>
      <w:lvlText w:val="%5."/>
      <w:lvlJc w:val="left"/>
      <w:pPr>
        <w:tabs>
          <w:tab w:val="num" w:pos="3600"/>
        </w:tabs>
        <w:ind w:left="3600" w:hanging="360"/>
      </w:pPr>
    </w:lvl>
    <w:lvl w:ilvl="5" w:tplc="3C108F2E" w:tentative="1">
      <w:start w:val="1"/>
      <w:numFmt w:val="decimal"/>
      <w:lvlText w:val="%6."/>
      <w:lvlJc w:val="left"/>
      <w:pPr>
        <w:tabs>
          <w:tab w:val="num" w:pos="4320"/>
        </w:tabs>
        <w:ind w:left="4320" w:hanging="360"/>
      </w:pPr>
    </w:lvl>
    <w:lvl w:ilvl="6" w:tplc="498C05DE" w:tentative="1">
      <w:start w:val="1"/>
      <w:numFmt w:val="decimal"/>
      <w:lvlText w:val="%7."/>
      <w:lvlJc w:val="left"/>
      <w:pPr>
        <w:tabs>
          <w:tab w:val="num" w:pos="5040"/>
        </w:tabs>
        <w:ind w:left="5040" w:hanging="360"/>
      </w:pPr>
    </w:lvl>
    <w:lvl w:ilvl="7" w:tplc="7A2A43A4" w:tentative="1">
      <w:start w:val="1"/>
      <w:numFmt w:val="decimal"/>
      <w:lvlText w:val="%8."/>
      <w:lvlJc w:val="left"/>
      <w:pPr>
        <w:tabs>
          <w:tab w:val="num" w:pos="5760"/>
        </w:tabs>
        <w:ind w:left="5760" w:hanging="360"/>
      </w:pPr>
    </w:lvl>
    <w:lvl w:ilvl="8" w:tplc="431C0FB6" w:tentative="1">
      <w:start w:val="1"/>
      <w:numFmt w:val="decimal"/>
      <w:lvlText w:val="%9."/>
      <w:lvlJc w:val="left"/>
      <w:pPr>
        <w:tabs>
          <w:tab w:val="num" w:pos="6480"/>
        </w:tabs>
        <w:ind w:left="6480" w:hanging="360"/>
      </w:pPr>
    </w:lvl>
  </w:abstractNum>
  <w:abstractNum w:abstractNumId="6" w15:restartNumberingAfterBreak="0">
    <w:nsid w:val="025E0F92"/>
    <w:multiLevelType w:val="hybridMultilevel"/>
    <w:tmpl w:val="EB8258DE"/>
    <w:lvl w:ilvl="0" w:tplc="C136EF8C">
      <w:start w:val="1"/>
      <w:numFmt w:val="bullet"/>
      <w:lvlText w:val="›"/>
      <w:lvlJc w:val="left"/>
      <w:pPr>
        <w:tabs>
          <w:tab w:val="num" w:pos="720"/>
        </w:tabs>
        <w:ind w:left="720" w:hanging="360"/>
      </w:pPr>
      <w:rPr>
        <w:rFonts w:ascii="Verdana" w:hAnsi="Verdana" w:hint="default"/>
      </w:rPr>
    </w:lvl>
    <w:lvl w:ilvl="1" w:tplc="86AAB802" w:tentative="1">
      <w:start w:val="1"/>
      <w:numFmt w:val="bullet"/>
      <w:lvlText w:val="›"/>
      <w:lvlJc w:val="left"/>
      <w:pPr>
        <w:tabs>
          <w:tab w:val="num" w:pos="1440"/>
        </w:tabs>
        <w:ind w:left="1440" w:hanging="360"/>
      </w:pPr>
      <w:rPr>
        <w:rFonts w:ascii="Verdana" w:hAnsi="Verdana" w:hint="default"/>
      </w:rPr>
    </w:lvl>
    <w:lvl w:ilvl="2" w:tplc="DBFA849E" w:tentative="1">
      <w:start w:val="1"/>
      <w:numFmt w:val="bullet"/>
      <w:lvlText w:val="›"/>
      <w:lvlJc w:val="left"/>
      <w:pPr>
        <w:tabs>
          <w:tab w:val="num" w:pos="2160"/>
        </w:tabs>
        <w:ind w:left="2160" w:hanging="360"/>
      </w:pPr>
      <w:rPr>
        <w:rFonts w:ascii="Verdana" w:hAnsi="Verdana" w:hint="default"/>
      </w:rPr>
    </w:lvl>
    <w:lvl w:ilvl="3" w:tplc="0B34180E" w:tentative="1">
      <w:start w:val="1"/>
      <w:numFmt w:val="bullet"/>
      <w:lvlText w:val="›"/>
      <w:lvlJc w:val="left"/>
      <w:pPr>
        <w:tabs>
          <w:tab w:val="num" w:pos="2880"/>
        </w:tabs>
        <w:ind w:left="2880" w:hanging="360"/>
      </w:pPr>
      <w:rPr>
        <w:rFonts w:ascii="Verdana" w:hAnsi="Verdana" w:hint="default"/>
      </w:rPr>
    </w:lvl>
    <w:lvl w:ilvl="4" w:tplc="15583564" w:tentative="1">
      <w:start w:val="1"/>
      <w:numFmt w:val="bullet"/>
      <w:lvlText w:val="›"/>
      <w:lvlJc w:val="left"/>
      <w:pPr>
        <w:tabs>
          <w:tab w:val="num" w:pos="3600"/>
        </w:tabs>
        <w:ind w:left="3600" w:hanging="360"/>
      </w:pPr>
      <w:rPr>
        <w:rFonts w:ascii="Verdana" w:hAnsi="Verdana" w:hint="default"/>
      </w:rPr>
    </w:lvl>
    <w:lvl w:ilvl="5" w:tplc="9EF24640" w:tentative="1">
      <w:start w:val="1"/>
      <w:numFmt w:val="bullet"/>
      <w:lvlText w:val="›"/>
      <w:lvlJc w:val="left"/>
      <w:pPr>
        <w:tabs>
          <w:tab w:val="num" w:pos="4320"/>
        </w:tabs>
        <w:ind w:left="4320" w:hanging="360"/>
      </w:pPr>
      <w:rPr>
        <w:rFonts w:ascii="Verdana" w:hAnsi="Verdana" w:hint="default"/>
      </w:rPr>
    </w:lvl>
    <w:lvl w:ilvl="6" w:tplc="765ACD14" w:tentative="1">
      <w:start w:val="1"/>
      <w:numFmt w:val="bullet"/>
      <w:lvlText w:val="›"/>
      <w:lvlJc w:val="left"/>
      <w:pPr>
        <w:tabs>
          <w:tab w:val="num" w:pos="5040"/>
        </w:tabs>
        <w:ind w:left="5040" w:hanging="360"/>
      </w:pPr>
      <w:rPr>
        <w:rFonts w:ascii="Verdana" w:hAnsi="Verdana" w:hint="default"/>
      </w:rPr>
    </w:lvl>
    <w:lvl w:ilvl="7" w:tplc="24844F70" w:tentative="1">
      <w:start w:val="1"/>
      <w:numFmt w:val="bullet"/>
      <w:lvlText w:val="›"/>
      <w:lvlJc w:val="left"/>
      <w:pPr>
        <w:tabs>
          <w:tab w:val="num" w:pos="5760"/>
        </w:tabs>
        <w:ind w:left="5760" w:hanging="360"/>
      </w:pPr>
      <w:rPr>
        <w:rFonts w:ascii="Verdana" w:hAnsi="Verdana" w:hint="default"/>
      </w:rPr>
    </w:lvl>
    <w:lvl w:ilvl="8" w:tplc="EBB06B30"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05B64898"/>
    <w:multiLevelType w:val="hybridMultilevel"/>
    <w:tmpl w:val="867A9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6CF5F8D"/>
    <w:multiLevelType w:val="hybridMultilevel"/>
    <w:tmpl w:val="91C6BF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0994216C"/>
    <w:multiLevelType w:val="hybridMultilevel"/>
    <w:tmpl w:val="B68CA0E4"/>
    <w:lvl w:ilvl="0" w:tplc="D572FEE0">
      <w:start w:val="1"/>
      <w:numFmt w:val="decimal"/>
      <w:lvlText w:val="%1."/>
      <w:lvlJc w:val="left"/>
      <w:pPr>
        <w:tabs>
          <w:tab w:val="num" w:pos="720"/>
        </w:tabs>
        <w:ind w:left="720" w:hanging="360"/>
      </w:pPr>
    </w:lvl>
    <w:lvl w:ilvl="1" w:tplc="A282F9FE" w:tentative="1">
      <w:start w:val="1"/>
      <w:numFmt w:val="decimal"/>
      <w:lvlText w:val="%2."/>
      <w:lvlJc w:val="left"/>
      <w:pPr>
        <w:tabs>
          <w:tab w:val="num" w:pos="1440"/>
        </w:tabs>
        <w:ind w:left="1440" w:hanging="360"/>
      </w:pPr>
    </w:lvl>
    <w:lvl w:ilvl="2" w:tplc="4476E9EC" w:tentative="1">
      <w:start w:val="1"/>
      <w:numFmt w:val="decimal"/>
      <w:lvlText w:val="%3."/>
      <w:lvlJc w:val="left"/>
      <w:pPr>
        <w:tabs>
          <w:tab w:val="num" w:pos="2160"/>
        </w:tabs>
        <w:ind w:left="2160" w:hanging="360"/>
      </w:pPr>
    </w:lvl>
    <w:lvl w:ilvl="3" w:tplc="B5A4DA98" w:tentative="1">
      <w:start w:val="1"/>
      <w:numFmt w:val="decimal"/>
      <w:lvlText w:val="%4."/>
      <w:lvlJc w:val="left"/>
      <w:pPr>
        <w:tabs>
          <w:tab w:val="num" w:pos="2880"/>
        </w:tabs>
        <w:ind w:left="2880" w:hanging="360"/>
      </w:pPr>
    </w:lvl>
    <w:lvl w:ilvl="4" w:tplc="AF16644E" w:tentative="1">
      <w:start w:val="1"/>
      <w:numFmt w:val="decimal"/>
      <w:lvlText w:val="%5."/>
      <w:lvlJc w:val="left"/>
      <w:pPr>
        <w:tabs>
          <w:tab w:val="num" w:pos="3600"/>
        </w:tabs>
        <w:ind w:left="3600" w:hanging="360"/>
      </w:pPr>
    </w:lvl>
    <w:lvl w:ilvl="5" w:tplc="8962F524" w:tentative="1">
      <w:start w:val="1"/>
      <w:numFmt w:val="decimal"/>
      <w:lvlText w:val="%6."/>
      <w:lvlJc w:val="left"/>
      <w:pPr>
        <w:tabs>
          <w:tab w:val="num" w:pos="4320"/>
        </w:tabs>
        <w:ind w:left="4320" w:hanging="360"/>
      </w:pPr>
    </w:lvl>
    <w:lvl w:ilvl="6" w:tplc="06183248" w:tentative="1">
      <w:start w:val="1"/>
      <w:numFmt w:val="decimal"/>
      <w:lvlText w:val="%7."/>
      <w:lvlJc w:val="left"/>
      <w:pPr>
        <w:tabs>
          <w:tab w:val="num" w:pos="5040"/>
        </w:tabs>
        <w:ind w:left="5040" w:hanging="360"/>
      </w:pPr>
    </w:lvl>
    <w:lvl w:ilvl="7" w:tplc="4E100A92" w:tentative="1">
      <w:start w:val="1"/>
      <w:numFmt w:val="decimal"/>
      <w:lvlText w:val="%8."/>
      <w:lvlJc w:val="left"/>
      <w:pPr>
        <w:tabs>
          <w:tab w:val="num" w:pos="5760"/>
        </w:tabs>
        <w:ind w:left="5760" w:hanging="360"/>
      </w:pPr>
    </w:lvl>
    <w:lvl w:ilvl="8" w:tplc="08A86E42" w:tentative="1">
      <w:start w:val="1"/>
      <w:numFmt w:val="decimal"/>
      <w:lvlText w:val="%9."/>
      <w:lvlJc w:val="left"/>
      <w:pPr>
        <w:tabs>
          <w:tab w:val="num" w:pos="6480"/>
        </w:tabs>
        <w:ind w:left="6480" w:hanging="360"/>
      </w:pPr>
    </w:lvl>
  </w:abstractNum>
  <w:abstractNum w:abstractNumId="10" w15:restartNumberingAfterBreak="0">
    <w:nsid w:val="0F7E7A6B"/>
    <w:multiLevelType w:val="hybridMultilevel"/>
    <w:tmpl w:val="4AB68F84"/>
    <w:lvl w:ilvl="0" w:tplc="344E0A9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752FD5"/>
    <w:multiLevelType w:val="hybridMultilevel"/>
    <w:tmpl w:val="8F704842"/>
    <w:lvl w:ilvl="0" w:tplc="5EB4A454">
      <w:start w:val="1"/>
      <w:numFmt w:val="bullet"/>
      <w:lvlText w:val="›"/>
      <w:lvlJc w:val="left"/>
      <w:pPr>
        <w:tabs>
          <w:tab w:val="num" w:pos="360"/>
        </w:tabs>
        <w:ind w:left="360" w:hanging="360"/>
      </w:pPr>
      <w:rPr>
        <w:rFonts w:ascii="Verdana" w:hAnsi="Verdana" w:hint="default"/>
      </w:rPr>
    </w:lvl>
    <w:lvl w:ilvl="1" w:tplc="C3C4DE80" w:tentative="1">
      <w:start w:val="1"/>
      <w:numFmt w:val="bullet"/>
      <w:lvlText w:val="›"/>
      <w:lvlJc w:val="left"/>
      <w:pPr>
        <w:tabs>
          <w:tab w:val="num" w:pos="1080"/>
        </w:tabs>
        <w:ind w:left="1080" w:hanging="360"/>
      </w:pPr>
      <w:rPr>
        <w:rFonts w:ascii="Verdana" w:hAnsi="Verdana" w:hint="default"/>
      </w:rPr>
    </w:lvl>
    <w:lvl w:ilvl="2" w:tplc="8C0C1458" w:tentative="1">
      <w:start w:val="1"/>
      <w:numFmt w:val="bullet"/>
      <w:lvlText w:val="›"/>
      <w:lvlJc w:val="left"/>
      <w:pPr>
        <w:tabs>
          <w:tab w:val="num" w:pos="1800"/>
        </w:tabs>
        <w:ind w:left="1800" w:hanging="360"/>
      </w:pPr>
      <w:rPr>
        <w:rFonts w:ascii="Verdana" w:hAnsi="Verdana" w:hint="default"/>
      </w:rPr>
    </w:lvl>
    <w:lvl w:ilvl="3" w:tplc="C792C2C2" w:tentative="1">
      <w:start w:val="1"/>
      <w:numFmt w:val="bullet"/>
      <w:lvlText w:val="›"/>
      <w:lvlJc w:val="left"/>
      <w:pPr>
        <w:tabs>
          <w:tab w:val="num" w:pos="2520"/>
        </w:tabs>
        <w:ind w:left="2520" w:hanging="360"/>
      </w:pPr>
      <w:rPr>
        <w:rFonts w:ascii="Verdana" w:hAnsi="Verdana" w:hint="default"/>
      </w:rPr>
    </w:lvl>
    <w:lvl w:ilvl="4" w:tplc="1F1A7D08" w:tentative="1">
      <w:start w:val="1"/>
      <w:numFmt w:val="bullet"/>
      <w:lvlText w:val="›"/>
      <w:lvlJc w:val="left"/>
      <w:pPr>
        <w:tabs>
          <w:tab w:val="num" w:pos="3240"/>
        </w:tabs>
        <w:ind w:left="3240" w:hanging="360"/>
      </w:pPr>
      <w:rPr>
        <w:rFonts w:ascii="Verdana" w:hAnsi="Verdana" w:hint="default"/>
      </w:rPr>
    </w:lvl>
    <w:lvl w:ilvl="5" w:tplc="126ABBF0" w:tentative="1">
      <w:start w:val="1"/>
      <w:numFmt w:val="bullet"/>
      <w:lvlText w:val="›"/>
      <w:lvlJc w:val="left"/>
      <w:pPr>
        <w:tabs>
          <w:tab w:val="num" w:pos="3960"/>
        </w:tabs>
        <w:ind w:left="3960" w:hanging="360"/>
      </w:pPr>
      <w:rPr>
        <w:rFonts w:ascii="Verdana" w:hAnsi="Verdana" w:hint="default"/>
      </w:rPr>
    </w:lvl>
    <w:lvl w:ilvl="6" w:tplc="942A9142" w:tentative="1">
      <w:start w:val="1"/>
      <w:numFmt w:val="bullet"/>
      <w:lvlText w:val="›"/>
      <w:lvlJc w:val="left"/>
      <w:pPr>
        <w:tabs>
          <w:tab w:val="num" w:pos="4680"/>
        </w:tabs>
        <w:ind w:left="4680" w:hanging="360"/>
      </w:pPr>
      <w:rPr>
        <w:rFonts w:ascii="Verdana" w:hAnsi="Verdana" w:hint="default"/>
      </w:rPr>
    </w:lvl>
    <w:lvl w:ilvl="7" w:tplc="F5BEFE42" w:tentative="1">
      <w:start w:val="1"/>
      <w:numFmt w:val="bullet"/>
      <w:lvlText w:val="›"/>
      <w:lvlJc w:val="left"/>
      <w:pPr>
        <w:tabs>
          <w:tab w:val="num" w:pos="5400"/>
        </w:tabs>
        <w:ind w:left="5400" w:hanging="360"/>
      </w:pPr>
      <w:rPr>
        <w:rFonts w:ascii="Verdana" w:hAnsi="Verdana" w:hint="default"/>
      </w:rPr>
    </w:lvl>
    <w:lvl w:ilvl="8" w:tplc="DB98F820" w:tentative="1">
      <w:start w:val="1"/>
      <w:numFmt w:val="bullet"/>
      <w:lvlText w:val="›"/>
      <w:lvlJc w:val="left"/>
      <w:pPr>
        <w:tabs>
          <w:tab w:val="num" w:pos="6120"/>
        </w:tabs>
        <w:ind w:left="6120" w:hanging="360"/>
      </w:pPr>
      <w:rPr>
        <w:rFonts w:ascii="Verdana" w:hAnsi="Verdana" w:hint="default"/>
      </w:rPr>
    </w:lvl>
  </w:abstractNum>
  <w:abstractNum w:abstractNumId="12" w15:restartNumberingAfterBreak="0">
    <w:nsid w:val="1E956020"/>
    <w:multiLevelType w:val="hybridMultilevel"/>
    <w:tmpl w:val="200E1C6C"/>
    <w:lvl w:ilvl="0" w:tplc="A4E6AC8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2F0339"/>
    <w:multiLevelType w:val="hybridMultilevel"/>
    <w:tmpl w:val="ABC89636"/>
    <w:lvl w:ilvl="0" w:tplc="ABD229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FC1187"/>
    <w:multiLevelType w:val="hybridMultilevel"/>
    <w:tmpl w:val="59DA59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2CAB61A5"/>
    <w:multiLevelType w:val="hybridMultilevel"/>
    <w:tmpl w:val="70CE0908"/>
    <w:lvl w:ilvl="0" w:tplc="E716BDEC">
      <w:start w:val="1"/>
      <w:numFmt w:val="decimal"/>
      <w:lvlText w:val="%1."/>
      <w:lvlJc w:val="left"/>
      <w:pPr>
        <w:ind w:left="1711"/>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A0821B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C0C4D8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AE8043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9E47C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A4866F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11C2968">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C0C7C2C">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46CC62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CAC72FB"/>
    <w:multiLevelType w:val="hybridMultilevel"/>
    <w:tmpl w:val="D00030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0335ABE"/>
    <w:multiLevelType w:val="hybridMultilevel"/>
    <w:tmpl w:val="549674E0"/>
    <w:lvl w:ilvl="0" w:tplc="994C61A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AB498F"/>
    <w:multiLevelType w:val="hybridMultilevel"/>
    <w:tmpl w:val="80D61A76"/>
    <w:lvl w:ilvl="0" w:tplc="66E849E2">
      <w:start w:val="1"/>
      <w:numFmt w:val="bullet"/>
      <w:lvlText w:val="›"/>
      <w:lvlJc w:val="left"/>
      <w:pPr>
        <w:tabs>
          <w:tab w:val="num" w:pos="720"/>
        </w:tabs>
        <w:ind w:left="720" w:hanging="360"/>
      </w:pPr>
      <w:rPr>
        <w:rFonts w:ascii="Verdana" w:hAnsi="Verdana" w:hint="default"/>
      </w:rPr>
    </w:lvl>
    <w:lvl w:ilvl="1" w:tplc="D180B94A" w:tentative="1">
      <w:start w:val="1"/>
      <w:numFmt w:val="bullet"/>
      <w:lvlText w:val="›"/>
      <w:lvlJc w:val="left"/>
      <w:pPr>
        <w:tabs>
          <w:tab w:val="num" w:pos="1440"/>
        </w:tabs>
        <w:ind w:left="1440" w:hanging="360"/>
      </w:pPr>
      <w:rPr>
        <w:rFonts w:ascii="Verdana" w:hAnsi="Verdana" w:hint="default"/>
      </w:rPr>
    </w:lvl>
    <w:lvl w:ilvl="2" w:tplc="D8E6ABBC" w:tentative="1">
      <w:start w:val="1"/>
      <w:numFmt w:val="bullet"/>
      <w:lvlText w:val="›"/>
      <w:lvlJc w:val="left"/>
      <w:pPr>
        <w:tabs>
          <w:tab w:val="num" w:pos="2160"/>
        </w:tabs>
        <w:ind w:left="2160" w:hanging="360"/>
      </w:pPr>
      <w:rPr>
        <w:rFonts w:ascii="Verdana" w:hAnsi="Verdana" w:hint="default"/>
      </w:rPr>
    </w:lvl>
    <w:lvl w:ilvl="3" w:tplc="CFEE8B9C" w:tentative="1">
      <w:start w:val="1"/>
      <w:numFmt w:val="bullet"/>
      <w:lvlText w:val="›"/>
      <w:lvlJc w:val="left"/>
      <w:pPr>
        <w:tabs>
          <w:tab w:val="num" w:pos="2880"/>
        </w:tabs>
        <w:ind w:left="2880" w:hanging="360"/>
      </w:pPr>
      <w:rPr>
        <w:rFonts w:ascii="Verdana" w:hAnsi="Verdana" w:hint="default"/>
      </w:rPr>
    </w:lvl>
    <w:lvl w:ilvl="4" w:tplc="5F385280" w:tentative="1">
      <w:start w:val="1"/>
      <w:numFmt w:val="bullet"/>
      <w:lvlText w:val="›"/>
      <w:lvlJc w:val="left"/>
      <w:pPr>
        <w:tabs>
          <w:tab w:val="num" w:pos="3600"/>
        </w:tabs>
        <w:ind w:left="3600" w:hanging="360"/>
      </w:pPr>
      <w:rPr>
        <w:rFonts w:ascii="Verdana" w:hAnsi="Verdana" w:hint="default"/>
      </w:rPr>
    </w:lvl>
    <w:lvl w:ilvl="5" w:tplc="6ED68F0E" w:tentative="1">
      <w:start w:val="1"/>
      <w:numFmt w:val="bullet"/>
      <w:lvlText w:val="›"/>
      <w:lvlJc w:val="left"/>
      <w:pPr>
        <w:tabs>
          <w:tab w:val="num" w:pos="4320"/>
        </w:tabs>
        <w:ind w:left="4320" w:hanging="360"/>
      </w:pPr>
      <w:rPr>
        <w:rFonts w:ascii="Verdana" w:hAnsi="Verdana" w:hint="default"/>
      </w:rPr>
    </w:lvl>
    <w:lvl w:ilvl="6" w:tplc="876A805E" w:tentative="1">
      <w:start w:val="1"/>
      <w:numFmt w:val="bullet"/>
      <w:lvlText w:val="›"/>
      <w:lvlJc w:val="left"/>
      <w:pPr>
        <w:tabs>
          <w:tab w:val="num" w:pos="5040"/>
        </w:tabs>
        <w:ind w:left="5040" w:hanging="360"/>
      </w:pPr>
      <w:rPr>
        <w:rFonts w:ascii="Verdana" w:hAnsi="Verdana" w:hint="default"/>
      </w:rPr>
    </w:lvl>
    <w:lvl w:ilvl="7" w:tplc="3DEAB81A" w:tentative="1">
      <w:start w:val="1"/>
      <w:numFmt w:val="bullet"/>
      <w:lvlText w:val="›"/>
      <w:lvlJc w:val="left"/>
      <w:pPr>
        <w:tabs>
          <w:tab w:val="num" w:pos="5760"/>
        </w:tabs>
        <w:ind w:left="5760" w:hanging="360"/>
      </w:pPr>
      <w:rPr>
        <w:rFonts w:ascii="Verdana" w:hAnsi="Verdana" w:hint="default"/>
      </w:rPr>
    </w:lvl>
    <w:lvl w:ilvl="8" w:tplc="527A8636" w:tentative="1">
      <w:start w:val="1"/>
      <w:numFmt w:val="bullet"/>
      <w:lvlText w:val="›"/>
      <w:lvlJc w:val="left"/>
      <w:pPr>
        <w:tabs>
          <w:tab w:val="num" w:pos="6480"/>
        </w:tabs>
        <w:ind w:left="6480" w:hanging="360"/>
      </w:pPr>
      <w:rPr>
        <w:rFonts w:ascii="Verdana" w:hAnsi="Verdana" w:hint="default"/>
      </w:rPr>
    </w:lvl>
  </w:abstractNum>
  <w:abstractNum w:abstractNumId="19" w15:restartNumberingAfterBreak="0">
    <w:nsid w:val="39A5208C"/>
    <w:multiLevelType w:val="hybridMultilevel"/>
    <w:tmpl w:val="A91E9630"/>
    <w:lvl w:ilvl="0" w:tplc="F256670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A0403"/>
    <w:multiLevelType w:val="hybridMultilevel"/>
    <w:tmpl w:val="63AC2A70"/>
    <w:lvl w:ilvl="0" w:tplc="7C6829C2">
      <w:start w:val="7"/>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D867F7D"/>
    <w:multiLevelType w:val="hybridMultilevel"/>
    <w:tmpl w:val="4BB6F7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F4737A0"/>
    <w:multiLevelType w:val="hybridMultilevel"/>
    <w:tmpl w:val="212AD0FC"/>
    <w:lvl w:ilvl="0" w:tplc="51F45A2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55A560B"/>
    <w:multiLevelType w:val="hybridMultilevel"/>
    <w:tmpl w:val="73085A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554CC3"/>
    <w:multiLevelType w:val="hybridMultilevel"/>
    <w:tmpl w:val="E58E2C4C"/>
    <w:lvl w:ilvl="0" w:tplc="41B085E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9C5F21"/>
    <w:multiLevelType w:val="hybridMultilevel"/>
    <w:tmpl w:val="604810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3C02CAE"/>
    <w:multiLevelType w:val="hybridMultilevel"/>
    <w:tmpl w:val="71E4DB4A"/>
    <w:lvl w:ilvl="0" w:tplc="90582AD4">
      <w:start w:val="1"/>
      <w:numFmt w:val="decimal"/>
      <w:lvlText w:val="%1)"/>
      <w:lvlJc w:val="left"/>
      <w:pPr>
        <w:ind w:left="360" w:hanging="360"/>
      </w:pPr>
      <w:rPr>
        <w:rFonts w:ascii="Verdana" w:hAnsi="Verdana" w:hint="default"/>
        <w:color w:val="00000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4713AC1"/>
    <w:multiLevelType w:val="hybridMultilevel"/>
    <w:tmpl w:val="596617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D8E5CA3"/>
    <w:multiLevelType w:val="hybridMultilevel"/>
    <w:tmpl w:val="54ACE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7C1427"/>
    <w:multiLevelType w:val="hybridMultilevel"/>
    <w:tmpl w:val="B27A97C8"/>
    <w:lvl w:ilvl="0" w:tplc="9894F89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1D53AF"/>
    <w:multiLevelType w:val="hybridMultilevel"/>
    <w:tmpl w:val="6EE4B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2E20E09"/>
    <w:multiLevelType w:val="hybridMultilevel"/>
    <w:tmpl w:val="23DC35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4B105C"/>
    <w:multiLevelType w:val="hybridMultilevel"/>
    <w:tmpl w:val="75000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6E4AE6"/>
    <w:multiLevelType w:val="hybridMultilevel"/>
    <w:tmpl w:val="54AE25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70E1BA6"/>
    <w:multiLevelType w:val="hybridMultilevel"/>
    <w:tmpl w:val="F3DE1E08"/>
    <w:lvl w:ilvl="0" w:tplc="83A8459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9301CC"/>
    <w:multiLevelType w:val="hybridMultilevel"/>
    <w:tmpl w:val="27CE9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F94CD6"/>
    <w:multiLevelType w:val="hybridMultilevel"/>
    <w:tmpl w:val="D318B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4360741">
    <w:abstractNumId w:val="3"/>
  </w:num>
  <w:num w:numId="2" w16cid:durableId="640814259">
    <w:abstractNumId w:val="2"/>
  </w:num>
  <w:num w:numId="3" w16cid:durableId="465850858">
    <w:abstractNumId w:val="0"/>
  </w:num>
  <w:num w:numId="4" w16cid:durableId="1159688228">
    <w:abstractNumId w:val="1"/>
  </w:num>
  <w:num w:numId="5" w16cid:durableId="17198810">
    <w:abstractNumId w:val="30"/>
  </w:num>
  <w:num w:numId="6" w16cid:durableId="2133670518">
    <w:abstractNumId w:val="23"/>
  </w:num>
  <w:num w:numId="7" w16cid:durableId="1342583825">
    <w:abstractNumId w:val="18"/>
  </w:num>
  <w:num w:numId="8" w16cid:durableId="801534580">
    <w:abstractNumId w:val="6"/>
  </w:num>
  <w:num w:numId="9" w16cid:durableId="1052196518">
    <w:abstractNumId w:val="11"/>
  </w:num>
  <w:num w:numId="10" w16cid:durableId="942230913">
    <w:abstractNumId w:val="5"/>
  </w:num>
  <w:num w:numId="11" w16cid:durableId="1423406486">
    <w:abstractNumId w:val="9"/>
  </w:num>
  <w:num w:numId="12" w16cid:durableId="613027406">
    <w:abstractNumId w:val="15"/>
  </w:num>
  <w:num w:numId="13" w16cid:durableId="1022978316">
    <w:abstractNumId w:val="28"/>
  </w:num>
  <w:num w:numId="14" w16cid:durableId="1667319886">
    <w:abstractNumId w:val="13"/>
  </w:num>
  <w:num w:numId="15" w16cid:durableId="1722903039">
    <w:abstractNumId w:val="33"/>
  </w:num>
  <w:num w:numId="16" w16cid:durableId="785471275">
    <w:abstractNumId w:val="16"/>
  </w:num>
  <w:num w:numId="17" w16cid:durableId="871187972">
    <w:abstractNumId w:val="24"/>
  </w:num>
  <w:num w:numId="18" w16cid:durableId="1845363545">
    <w:abstractNumId w:val="27"/>
  </w:num>
  <w:num w:numId="19" w16cid:durableId="1487747078">
    <w:abstractNumId w:val="19"/>
  </w:num>
  <w:num w:numId="20" w16cid:durableId="1763140050">
    <w:abstractNumId w:val="4"/>
  </w:num>
  <w:num w:numId="21" w16cid:durableId="1330719361">
    <w:abstractNumId w:val="35"/>
  </w:num>
  <w:num w:numId="22" w16cid:durableId="1890073921">
    <w:abstractNumId w:val="10"/>
  </w:num>
  <w:num w:numId="23" w16cid:durableId="1202985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1157865">
    <w:abstractNumId w:val="14"/>
  </w:num>
  <w:num w:numId="25" w16cid:durableId="23751810">
    <w:abstractNumId w:val="21"/>
  </w:num>
  <w:num w:numId="26" w16cid:durableId="1257596041">
    <w:abstractNumId w:val="25"/>
  </w:num>
  <w:num w:numId="27" w16cid:durableId="756829413">
    <w:abstractNumId w:val="20"/>
  </w:num>
  <w:num w:numId="28" w16cid:durableId="1581403859">
    <w:abstractNumId w:val="36"/>
  </w:num>
  <w:num w:numId="29" w16cid:durableId="1674916696">
    <w:abstractNumId w:val="34"/>
  </w:num>
  <w:num w:numId="30" w16cid:durableId="140776865">
    <w:abstractNumId w:val="17"/>
  </w:num>
  <w:num w:numId="31" w16cid:durableId="334965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1001866">
    <w:abstractNumId w:val="29"/>
  </w:num>
  <w:num w:numId="33" w16cid:durableId="667558682">
    <w:abstractNumId w:val="8"/>
  </w:num>
  <w:num w:numId="34" w16cid:durableId="806241447">
    <w:abstractNumId w:val="22"/>
  </w:num>
  <w:num w:numId="35" w16cid:durableId="42991825">
    <w:abstractNumId w:val="32"/>
  </w:num>
  <w:num w:numId="36" w16cid:durableId="276063599">
    <w:abstractNumId w:val="31"/>
  </w:num>
  <w:num w:numId="37" w16cid:durableId="2074815892">
    <w:abstractNumId w:val="12"/>
  </w:num>
  <w:num w:numId="38" w16cid:durableId="737898045">
    <w:abstractNumId w:val="26"/>
  </w:num>
  <w:num w:numId="39" w16cid:durableId="1489783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74"/>
    <w:rsid w:val="00001BBC"/>
    <w:rsid w:val="00003B28"/>
    <w:rsid w:val="00004993"/>
    <w:rsid w:val="00005B45"/>
    <w:rsid w:val="000114E2"/>
    <w:rsid w:val="00014133"/>
    <w:rsid w:val="00017516"/>
    <w:rsid w:val="00024365"/>
    <w:rsid w:val="00031DF4"/>
    <w:rsid w:val="00034720"/>
    <w:rsid w:val="00034C42"/>
    <w:rsid w:val="00036544"/>
    <w:rsid w:val="00041C9F"/>
    <w:rsid w:val="0004569F"/>
    <w:rsid w:val="00045A18"/>
    <w:rsid w:val="00053E4D"/>
    <w:rsid w:val="00055382"/>
    <w:rsid w:val="00060B3B"/>
    <w:rsid w:val="0006157F"/>
    <w:rsid w:val="00073403"/>
    <w:rsid w:val="00073B0F"/>
    <w:rsid w:val="00081458"/>
    <w:rsid w:val="0008237D"/>
    <w:rsid w:val="00083579"/>
    <w:rsid w:val="00085C06"/>
    <w:rsid w:val="00085C7A"/>
    <w:rsid w:val="00095642"/>
    <w:rsid w:val="00095C00"/>
    <w:rsid w:val="00097A7F"/>
    <w:rsid w:val="000A0D9B"/>
    <w:rsid w:val="000A2C39"/>
    <w:rsid w:val="000A321E"/>
    <w:rsid w:val="000A3EAA"/>
    <w:rsid w:val="000A53D4"/>
    <w:rsid w:val="000A6983"/>
    <w:rsid w:val="000A7A19"/>
    <w:rsid w:val="000A7CC9"/>
    <w:rsid w:val="000B37B1"/>
    <w:rsid w:val="000B782B"/>
    <w:rsid w:val="000B7FBB"/>
    <w:rsid w:val="000C0203"/>
    <w:rsid w:val="000C22F8"/>
    <w:rsid w:val="000C761F"/>
    <w:rsid w:val="000C7B89"/>
    <w:rsid w:val="000D2A3D"/>
    <w:rsid w:val="000E1A84"/>
    <w:rsid w:val="000E3F52"/>
    <w:rsid w:val="000E64F1"/>
    <w:rsid w:val="000F3166"/>
    <w:rsid w:val="000F422D"/>
    <w:rsid w:val="000F732E"/>
    <w:rsid w:val="000F7F55"/>
    <w:rsid w:val="00100034"/>
    <w:rsid w:val="0010142D"/>
    <w:rsid w:val="00102274"/>
    <w:rsid w:val="00107CE3"/>
    <w:rsid w:val="001159F8"/>
    <w:rsid w:val="00116485"/>
    <w:rsid w:val="00121332"/>
    <w:rsid w:val="00122B71"/>
    <w:rsid w:val="0012576D"/>
    <w:rsid w:val="00126566"/>
    <w:rsid w:val="001272E8"/>
    <w:rsid w:val="001309EC"/>
    <w:rsid w:val="00132CA8"/>
    <w:rsid w:val="00132D6D"/>
    <w:rsid w:val="0013656E"/>
    <w:rsid w:val="00141DBE"/>
    <w:rsid w:val="00145CEE"/>
    <w:rsid w:val="00147D17"/>
    <w:rsid w:val="00150285"/>
    <w:rsid w:val="00150A4B"/>
    <w:rsid w:val="001541AC"/>
    <w:rsid w:val="00157668"/>
    <w:rsid w:val="00161E84"/>
    <w:rsid w:val="00162619"/>
    <w:rsid w:val="00164249"/>
    <w:rsid w:val="00166A7E"/>
    <w:rsid w:val="0017323D"/>
    <w:rsid w:val="00174BC3"/>
    <w:rsid w:val="001803D8"/>
    <w:rsid w:val="00180A77"/>
    <w:rsid w:val="001821D3"/>
    <w:rsid w:val="00183D8B"/>
    <w:rsid w:val="00185A72"/>
    <w:rsid w:val="00187DBA"/>
    <w:rsid w:val="00194E82"/>
    <w:rsid w:val="001A11BB"/>
    <w:rsid w:val="001A1CF3"/>
    <w:rsid w:val="001A1E51"/>
    <w:rsid w:val="001A6266"/>
    <w:rsid w:val="001A7061"/>
    <w:rsid w:val="001B104E"/>
    <w:rsid w:val="001B1EFD"/>
    <w:rsid w:val="001B6151"/>
    <w:rsid w:val="001B697E"/>
    <w:rsid w:val="001B6A60"/>
    <w:rsid w:val="001B7B8C"/>
    <w:rsid w:val="001C0613"/>
    <w:rsid w:val="001C5C2B"/>
    <w:rsid w:val="001D1886"/>
    <w:rsid w:val="001D205E"/>
    <w:rsid w:val="001D370D"/>
    <w:rsid w:val="001E534A"/>
    <w:rsid w:val="001E694C"/>
    <w:rsid w:val="001F196B"/>
    <w:rsid w:val="001F1F5C"/>
    <w:rsid w:val="00200A48"/>
    <w:rsid w:val="00202042"/>
    <w:rsid w:val="002022F8"/>
    <w:rsid w:val="00211423"/>
    <w:rsid w:val="00211C2B"/>
    <w:rsid w:val="00213F4C"/>
    <w:rsid w:val="00225CF9"/>
    <w:rsid w:val="00227180"/>
    <w:rsid w:val="00234A5A"/>
    <w:rsid w:val="0023559F"/>
    <w:rsid w:val="00235C74"/>
    <w:rsid w:val="0024075A"/>
    <w:rsid w:val="00240FDB"/>
    <w:rsid w:val="00244A34"/>
    <w:rsid w:val="0024644D"/>
    <w:rsid w:val="00246674"/>
    <w:rsid w:val="00247108"/>
    <w:rsid w:val="00250E35"/>
    <w:rsid w:val="00255DDB"/>
    <w:rsid w:val="00257FD6"/>
    <w:rsid w:val="002658CC"/>
    <w:rsid w:val="00267AF2"/>
    <w:rsid w:val="00271F62"/>
    <w:rsid w:val="00273C0A"/>
    <w:rsid w:val="00275408"/>
    <w:rsid w:val="00275D47"/>
    <w:rsid w:val="0027721A"/>
    <w:rsid w:val="00277305"/>
    <w:rsid w:val="0027774C"/>
    <w:rsid w:val="00285BC9"/>
    <w:rsid w:val="00286FDE"/>
    <w:rsid w:val="002878A5"/>
    <w:rsid w:val="002914EC"/>
    <w:rsid w:val="0029515B"/>
    <w:rsid w:val="002A01BD"/>
    <w:rsid w:val="002B2072"/>
    <w:rsid w:val="002B273B"/>
    <w:rsid w:val="002B4084"/>
    <w:rsid w:val="002B4D5C"/>
    <w:rsid w:val="002B4EE5"/>
    <w:rsid w:val="002C171A"/>
    <w:rsid w:val="002C596C"/>
    <w:rsid w:val="002D3D2D"/>
    <w:rsid w:val="002D40F7"/>
    <w:rsid w:val="002D522E"/>
    <w:rsid w:val="002D597B"/>
    <w:rsid w:val="002E68C7"/>
    <w:rsid w:val="002E7D08"/>
    <w:rsid w:val="002F0107"/>
    <w:rsid w:val="002F2796"/>
    <w:rsid w:val="002F6F15"/>
    <w:rsid w:val="00300DCE"/>
    <w:rsid w:val="00302AF7"/>
    <w:rsid w:val="00305BAF"/>
    <w:rsid w:val="0030743E"/>
    <w:rsid w:val="00310CEB"/>
    <w:rsid w:val="00313C7E"/>
    <w:rsid w:val="00322003"/>
    <w:rsid w:val="00325886"/>
    <w:rsid w:val="0032595C"/>
    <w:rsid w:val="003317B7"/>
    <w:rsid w:val="00333BAC"/>
    <w:rsid w:val="00340D98"/>
    <w:rsid w:val="00343E90"/>
    <w:rsid w:val="003455DE"/>
    <w:rsid w:val="003458E6"/>
    <w:rsid w:val="0034731D"/>
    <w:rsid w:val="0034776B"/>
    <w:rsid w:val="00350CF5"/>
    <w:rsid w:val="00351AED"/>
    <w:rsid w:val="00351EEC"/>
    <w:rsid w:val="00352FA3"/>
    <w:rsid w:val="00353145"/>
    <w:rsid w:val="0035441D"/>
    <w:rsid w:val="00354798"/>
    <w:rsid w:val="00355998"/>
    <w:rsid w:val="00355C0D"/>
    <w:rsid w:val="00360597"/>
    <w:rsid w:val="003654C7"/>
    <w:rsid w:val="00374DAD"/>
    <w:rsid w:val="003764FE"/>
    <w:rsid w:val="00380F94"/>
    <w:rsid w:val="003838A8"/>
    <w:rsid w:val="0038483C"/>
    <w:rsid w:val="00384FA6"/>
    <w:rsid w:val="003851C8"/>
    <w:rsid w:val="0038584F"/>
    <w:rsid w:val="0039015E"/>
    <w:rsid w:val="003944D9"/>
    <w:rsid w:val="003A5667"/>
    <w:rsid w:val="003B13E9"/>
    <w:rsid w:val="003B4053"/>
    <w:rsid w:val="003B6A39"/>
    <w:rsid w:val="003C3492"/>
    <w:rsid w:val="003C5B37"/>
    <w:rsid w:val="003C5B90"/>
    <w:rsid w:val="003D2F0F"/>
    <w:rsid w:val="003E0E5C"/>
    <w:rsid w:val="003E149B"/>
    <w:rsid w:val="003E1F46"/>
    <w:rsid w:val="003E2578"/>
    <w:rsid w:val="003E2D73"/>
    <w:rsid w:val="003E373F"/>
    <w:rsid w:val="003E7088"/>
    <w:rsid w:val="003F5482"/>
    <w:rsid w:val="004013D0"/>
    <w:rsid w:val="004033F5"/>
    <w:rsid w:val="00404341"/>
    <w:rsid w:val="00406A05"/>
    <w:rsid w:val="0041327D"/>
    <w:rsid w:val="00416BB4"/>
    <w:rsid w:val="0041794E"/>
    <w:rsid w:val="004202A3"/>
    <w:rsid w:val="0042189D"/>
    <w:rsid w:val="00423402"/>
    <w:rsid w:val="00424706"/>
    <w:rsid w:val="00430CB0"/>
    <w:rsid w:val="00431029"/>
    <w:rsid w:val="004334C7"/>
    <w:rsid w:val="00434F72"/>
    <w:rsid w:val="00441F02"/>
    <w:rsid w:val="00445AAF"/>
    <w:rsid w:val="00447BCE"/>
    <w:rsid w:val="00450CF4"/>
    <w:rsid w:val="004560B1"/>
    <w:rsid w:val="00460F1F"/>
    <w:rsid w:val="00461564"/>
    <w:rsid w:val="00463F07"/>
    <w:rsid w:val="0047237D"/>
    <w:rsid w:val="00473E54"/>
    <w:rsid w:val="00474C70"/>
    <w:rsid w:val="00477E06"/>
    <w:rsid w:val="00481647"/>
    <w:rsid w:val="00482920"/>
    <w:rsid w:val="00486C6A"/>
    <w:rsid w:val="004875C7"/>
    <w:rsid w:val="00491002"/>
    <w:rsid w:val="00492B77"/>
    <w:rsid w:val="004A1523"/>
    <w:rsid w:val="004A43EE"/>
    <w:rsid w:val="004A6F23"/>
    <w:rsid w:val="004B0C98"/>
    <w:rsid w:val="004B432C"/>
    <w:rsid w:val="004C2F10"/>
    <w:rsid w:val="004C455F"/>
    <w:rsid w:val="004D0670"/>
    <w:rsid w:val="004D14E6"/>
    <w:rsid w:val="004D25C1"/>
    <w:rsid w:val="004D2BCD"/>
    <w:rsid w:val="004D469C"/>
    <w:rsid w:val="004D773B"/>
    <w:rsid w:val="004E097E"/>
    <w:rsid w:val="004E38E4"/>
    <w:rsid w:val="004E396E"/>
    <w:rsid w:val="004F2022"/>
    <w:rsid w:val="004F3CF0"/>
    <w:rsid w:val="004F4E8A"/>
    <w:rsid w:val="005003C8"/>
    <w:rsid w:val="0050042C"/>
    <w:rsid w:val="005029DE"/>
    <w:rsid w:val="0050429A"/>
    <w:rsid w:val="00511C59"/>
    <w:rsid w:val="0051296C"/>
    <w:rsid w:val="0051645C"/>
    <w:rsid w:val="00524161"/>
    <w:rsid w:val="00536065"/>
    <w:rsid w:val="00537D15"/>
    <w:rsid w:val="00540F40"/>
    <w:rsid w:val="005417AD"/>
    <w:rsid w:val="005517B1"/>
    <w:rsid w:val="005549A2"/>
    <w:rsid w:val="00556B15"/>
    <w:rsid w:val="00563C8A"/>
    <w:rsid w:val="00563F60"/>
    <w:rsid w:val="00570CF1"/>
    <w:rsid w:val="00573D79"/>
    <w:rsid w:val="005834A9"/>
    <w:rsid w:val="005836BE"/>
    <w:rsid w:val="0059281D"/>
    <w:rsid w:val="005A6713"/>
    <w:rsid w:val="005A6D3F"/>
    <w:rsid w:val="005A724D"/>
    <w:rsid w:val="005A7A88"/>
    <w:rsid w:val="005B2094"/>
    <w:rsid w:val="005B6820"/>
    <w:rsid w:val="005B7565"/>
    <w:rsid w:val="005C0A29"/>
    <w:rsid w:val="005D0A8A"/>
    <w:rsid w:val="005D1FCE"/>
    <w:rsid w:val="005D3AF2"/>
    <w:rsid w:val="005D7709"/>
    <w:rsid w:val="005E031F"/>
    <w:rsid w:val="005E0CA2"/>
    <w:rsid w:val="005E696A"/>
    <w:rsid w:val="005E6EE8"/>
    <w:rsid w:val="005F1AC2"/>
    <w:rsid w:val="005F3309"/>
    <w:rsid w:val="005F7EC2"/>
    <w:rsid w:val="006069D3"/>
    <w:rsid w:val="00606C23"/>
    <w:rsid w:val="006108CA"/>
    <w:rsid w:val="006146B6"/>
    <w:rsid w:val="0062032B"/>
    <w:rsid w:val="00625922"/>
    <w:rsid w:val="00626A0B"/>
    <w:rsid w:val="00631E91"/>
    <w:rsid w:val="00632C9B"/>
    <w:rsid w:val="00636E0A"/>
    <w:rsid w:val="00637F08"/>
    <w:rsid w:val="006405FF"/>
    <w:rsid w:val="006476C3"/>
    <w:rsid w:val="00653148"/>
    <w:rsid w:val="00655910"/>
    <w:rsid w:val="006612F0"/>
    <w:rsid w:val="00665249"/>
    <w:rsid w:val="0067098C"/>
    <w:rsid w:val="00670CE6"/>
    <w:rsid w:val="0067218B"/>
    <w:rsid w:val="00673E6F"/>
    <w:rsid w:val="006779E4"/>
    <w:rsid w:val="006833F9"/>
    <w:rsid w:val="00685A23"/>
    <w:rsid w:val="006903BB"/>
    <w:rsid w:val="00690E81"/>
    <w:rsid w:val="00691455"/>
    <w:rsid w:val="00692B6A"/>
    <w:rsid w:val="00695D33"/>
    <w:rsid w:val="0069669A"/>
    <w:rsid w:val="006A28FA"/>
    <w:rsid w:val="006B0788"/>
    <w:rsid w:val="006B1F33"/>
    <w:rsid w:val="006B21CE"/>
    <w:rsid w:val="006B3F4B"/>
    <w:rsid w:val="006C6387"/>
    <w:rsid w:val="006C6A35"/>
    <w:rsid w:val="006D0EF8"/>
    <w:rsid w:val="006D1667"/>
    <w:rsid w:val="006D360F"/>
    <w:rsid w:val="006D6B4D"/>
    <w:rsid w:val="006E0D6C"/>
    <w:rsid w:val="006E105D"/>
    <w:rsid w:val="006E3C1C"/>
    <w:rsid w:val="006E5330"/>
    <w:rsid w:val="006F042F"/>
    <w:rsid w:val="006F11DE"/>
    <w:rsid w:val="006F19F2"/>
    <w:rsid w:val="006F3051"/>
    <w:rsid w:val="007025C5"/>
    <w:rsid w:val="0070354A"/>
    <w:rsid w:val="00707330"/>
    <w:rsid w:val="00710176"/>
    <w:rsid w:val="00711FF7"/>
    <w:rsid w:val="00716DFC"/>
    <w:rsid w:val="0072604C"/>
    <w:rsid w:val="00731A68"/>
    <w:rsid w:val="00734783"/>
    <w:rsid w:val="00737115"/>
    <w:rsid w:val="00741969"/>
    <w:rsid w:val="00744AD9"/>
    <w:rsid w:val="00746F74"/>
    <w:rsid w:val="007550C5"/>
    <w:rsid w:val="00764317"/>
    <w:rsid w:val="00766AB4"/>
    <w:rsid w:val="00773EAA"/>
    <w:rsid w:val="00775DC5"/>
    <w:rsid w:val="00776F94"/>
    <w:rsid w:val="007770BC"/>
    <w:rsid w:val="00781919"/>
    <w:rsid w:val="007856BB"/>
    <w:rsid w:val="007906B6"/>
    <w:rsid w:val="0079537C"/>
    <w:rsid w:val="00796641"/>
    <w:rsid w:val="007967AA"/>
    <w:rsid w:val="007A0F4A"/>
    <w:rsid w:val="007A40EE"/>
    <w:rsid w:val="007A7337"/>
    <w:rsid w:val="007B4F88"/>
    <w:rsid w:val="007B638B"/>
    <w:rsid w:val="007C22F7"/>
    <w:rsid w:val="007C3CF3"/>
    <w:rsid w:val="007C4D15"/>
    <w:rsid w:val="007C4D30"/>
    <w:rsid w:val="007C6FC6"/>
    <w:rsid w:val="007D06BD"/>
    <w:rsid w:val="007D4B4B"/>
    <w:rsid w:val="007D5C05"/>
    <w:rsid w:val="007D60EA"/>
    <w:rsid w:val="007E0016"/>
    <w:rsid w:val="007E7CAE"/>
    <w:rsid w:val="007F0A2F"/>
    <w:rsid w:val="007F2BFC"/>
    <w:rsid w:val="00803971"/>
    <w:rsid w:val="008114F1"/>
    <w:rsid w:val="00811BB6"/>
    <w:rsid w:val="00812DC2"/>
    <w:rsid w:val="00815CB1"/>
    <w:rsid w:val="00817F4F"/>
    <w:rsid w:val="008259CF"/>
    <w:rsid w:val="008261B7"/>
    <w:rsid w:val="00832F4E"/>
    <w:rsid w:val="00833638"/>
    <w:rsid w:val="00834A92"/>
    <w:rsid w:val="00835893"/>
    <w:rsid w:val="0083792D"/>
    <w:rsid w:val="00841251"/>
    <w:rsid w:val="008443B5"/>
    <w:rsid w:val="008453D6"/>
    <w:rsid w:val="00851D30"/>
    <w:rsid w:val="00857D79"/>
    <w:rsid w:val="00863CB6"/>
    <w:rsid w:val="00863CE8"/>
    <w:rsid w:val="00865C14"/>
    <w:rsid w:val="00867539"/>
    <w:rsid w:val="0087265A"/>
    <w:rsid w:val="0087479A"/>
    <w:rsid w:val="0087485E"/>
    <w:rsid w:val="008752A6"/>
    <w:rsid w:val="008752F1"/>
    <w:rsid w:val="00881123"/>
    <w:rsid w:val="008854EA"/>
    <w:rsid w:val="00887BA5"/>
    <w:rsid w:val="00893682"/>
    <w:rsid w:val="008937F5"/>
    <w:rsid w:val="00894693"/>
    <w:rsid w:val="00895AF8"/>
    <w:rsid w:val="00896EDB"/>
    <w:rsid w:val="008A037B"/>
    <w:rsid w:val="008A0654"/>
    <w:rsid w:val="008A3AB6"/>
    <w:rsid w:val="008A4B12"/>
    <w:rsid w:val="008A6DEF"/>
    <w:rsid w:val="008C2D8D"/>
    <w:rsid w:val="008C45D8"/>
    <w:rsid w:val="008C5E95"/>
    <w:rsid w:val="008D214D"/>
    <w:rsid w:val="008D620F"/>
    <w:rsid w:val="008D6972"/>
    <w:rsid w:val="008D6CD5"/>
    <w:rsid w:val="008E2E52"/>
    <w:rsid w:val="008E4152"/>
    <w:rsid w:val="008E7E8A"/>
    <w:rsid w:val="008F05C4"/>
    <w:rsid w:val="008F4880"/>
    <w:rsid w:val="008F6501"/>
    <w:rsid w:val="00902CC0"/>
    <w:rsid w:val="009037D5"/>
    <w:rsid w:val="00904A14"/>
    <w:rsid w:val="009130F5"/>
    <w:rsid w:val="00920C7D"/>
    <w:rsid w:val="00920ED9"/>
    <w:rsid w:val="00920F88"/>
    <w:rsid w:val="00924262"/>
    <w:rsid w:val="0092469F"/>
    <w:rsid w:val="00925728"/>
    <w:rsid w:val="0092619E"/>
    <w:rsid w:val="0092669A"/>
    <w:rsid w:val="009268BF"/>
    <w:rsid w:val="00935966"/>
    <w:rsid w:val="00937476"/>
    <w:rsid w:val="00940055"/>
    <w:rsid w:val="00940E81"/>
    <w:rsid w:val="009440B9"/>
    <w:rsid w:val="00946F3F"/>
    <w:rsid w:val="0094727F"/>
    <w:rsid w:val="0095350D"/>
    <w:rsid w:val="00954DAF"/>
    <w:rsid w:val="009562D1"/>
    <w:rsid w:val="009629FC"/>
    <w:rsid w:val="00965CF4"/>
    <w:rsid w:val="009679EE"/>
    <w:rsid w:val="00972FF6"/>
    <w:rsid w:val="00976C42"/>
    <w:rsid w:val="0098564A"/>
    <w:rsid w:val="00985B7F"/>
    <w:rsid w:val="00994C35"/>
    <w:rsid w:val="00997922"/>
    <w:rsid w:val="009A1283"/>
    <w:rsid w:val="009A1303"/>
    <w:rsid w:val="009A4B95"/>
    <w:rsid w:val="009B1AD9"/>
    <w:rsid w:val="009B200C"/>
    <w:rsid w:val="009B49D0"/>
    <w:rsid w:val="009B655E"/>
    <w:rsid w:val="009B6E83"/>
    <w:rsid w:val="009C1E8C"/>
    <w:rsid w:val="009C41EA"/>
    <w:rsid w:val="009C4AA6"/>
    <w:rsid w:val="009C70E3"/>
    <w:rsid w:val="009C787C"/>
    <w:rsid w:val="009D225A"/>
    <w:rsid w:val="009E04C1"/>
    <w:rsid w:val="009E094A"/>
    <w:rsid w:val="009E1847"/>
    <w:rsid w:val="009E3E90"/>
    <w:rsid w:val="009E4212"/>
    <w:rsid w:val="009E454A"/>
    <w:rsid w:val="009E4C98"/>
    <w:rsid w:val="009F01DC"/>
    <w:rsid w:val="009F12E6"/>
    <w:rsid w:val="009F548D"/>
    <w:rsid w:val="009F5617"/>
    <w:rsid w:val="00A012C8"/>
    <w:rsid w:val="00A01AE0"/>
    <w:rsid w:val="00A04DE8"/>
    <w:rsid w:val="00A04DF2"/>
    <w:rsid w:val="00A115C5"/>
    <w:rsid w:val="00A16CB2"/>
    <w:rsid w:val="00A20CCD"/>
    <w:rsid w:val="00A23F6B"/>
    <w:rsid w:val="00A243F8"/>
    <w:rsid w:val="00A2505B"/>
    <w:rsid w:val="00A25B2D"/>
    <w:rsid w:val="00A30B00"/>
    <w:rsid w:val="00A32564"/>
    <w:rsid w:val="00A33A3C"/>
    <w:rsid w:val="00A34222"/>
    <w:rsid w:val="00A34AD2"/>
    <w:rsid w:val="00A436F7"/>
    <w:rsid w:val="00A52306"/>
    <w:rsid w:val="00A54400"/>
    <w:rsid w:val="00A54BB2"/>
    <w:rsid w:val="00A56CAA"/>
    <w:rsid w:val="00A57B5D"/>
    <w:rsid w:val="00A65E22"/>
    <w:rsid w:val="00A708DC"/>
    <w:rsid w:val="00A710A9"/>
    <w:rsid w:val="00A77CE2"/>
    <w:rsid w:val="00A8552C"/>
    <w:rsid w:val="00A86C9F"/>
    <w:rsid w:val="00A97ECB"/>
    <w:rsid w:val="00AA0ABE"/>
    <w:rsid w:val="00AA2805"/>
    <w:rsid w:val="00AA4649"/>
    <w:rsid w:val="00AA5DEC"/>
    <w:rsid w:val="00AA6BC2"/>
    <w:rsid w:val="00AA7608"/>
    <w:rsid w:val="00AB3124"/>
    <w:rsid w:val="00AC487B"/>
    <w:rsid w:val="00AF00B4"/>
    <w:rsid w:val="00AF27BE"/>
    <w:rsid w:val="00AF7638"/>
    <w:rsid w:val="00AF774A"/>
    <w:rsid w:val="00B04071"/>
    <w:rsid w:val="00B04566"/>
    <w:rsid w:val="00B07E66"/>
    <w:rsid w:val="00B11182"/>
    <w:rsid w:val="00B117A5"/>
    <w:rsid w:val="00B11998"/>
    <w:rsid w:val="00B12ADA"/>
    <w:rsid w:val="00B15144"/>
    <w:rsid w:val="00B224A9"/>
    <w:rsid w:val="00B27E2B"/>
    <w:rsid w:val="00B30E70"/>
    <w:rsid w:val="00B374EA"/>
    <w:rsid w:val="00B37A53"/>
    <w:rsid w:val="00B42AD5"/>
    <w:rsid w:val="00B42FBF"/>
    <w:rsid w:val="00B45F60"/>
    <w:rsid w:val="00B4727F"/>
    <w:rsid w:val="00B500E5"/>
    <w:rsid w:val="00B534F4"/>
    <w:rsid w:val="00B54624"/>
    <w:rsid w:val="00B555E0"/>
    <w:rsid w:val="00B57DDE"/>
    <w:rsid w:val="00B61B94"/>
    <w:rsid w:val="00B6297E"/>
    <w:rsid w:val="00B63122"/>
    <w:rsid w:val="00B65C75"/>
    <w:rsid w:val="00B72A3A"/>
    <w:rsid w:val="00B80054"/>
    <w:rsid w:val="00B83BA0"/>
    <w:rsid w:val="00B8423B"/>
    <w:rsid w:val="00B846B7"/>
    <w:rsid w:val="00B858A6"/>
    <w:rsid w:val="00B87EF3"/>
    <w:rsid w:val="00BA4D1B"/>
    <w:rsid w:val="00BA6C6D"/>
    <w:rsid w:val="00BB2C13"/>
    <w:rsid w:val="00BB2D3C"/>
    <w:rsid w:val="00BB5BD9"/>
    <w:rsid w:val="00BC37FB"/>
    <w:rsid w:val="00BD33F5"/>
    <w:rsid w:val="00BE6D83"/>
    <w:rsid w:val="00BF081E"/>
    <w:rsid w:val="00BF138A"/>
    <w:rsid w:val="00BF4532"/>
    <w:rsid w:val="00BF76A3"/>
    <w:rsid w:val="00C00EE9"/>
    <w:rsid w:val="00C015F8"/>
    <w:rsid w:val="00C07E7C"/>
    <w:rsid w:val="00C30EFE"/>
    <w:rsid w:val="00C414F5"/>
    <w:rsid w:val="00C43418"/>
    <w:rsid w:val="00C46675"/>
    <w:rsid w:val="00C476AA"/>
    <w:rsid w:val="00C51028"/>
    <w:rsid w:val="00C51A8F"/>
    <w:rsid w:val="00C52388"/>
    <w:rsid w:val="00C533DF"/>
    <w:rsid w:val="00C535D9"/>
    <w:rsid w:val="00C54445"/>
    <w:rsid w:val="00C61C9F"/>
    <w:rsid w:val="00C656DF"/>
    <w:rsid w:val="00C65C52"/>
    <w:rsid w:val="00C67623"/>
    <w:rsid w:val="00C747DB"/>
    <w:rsid w:val="00C775C0"/>
    <w:rsid w:val="00C77BA8"/>
    <w:rsid w:val="00C816D0"/>
    <w:rsid w:val="00C82529"/>
    <w:rsid w:val="00C82A3F"/>
    <w:rsid w:val="00C83595"/>
    <w:rsid w:val="00C85767"/>
    <w:rsid w:val="00C8695A"/>
    <w:rsid w:val="00C93493"/>
    <w:rsid w:val="00C93DF9"/>
    <w:rsid w:val="00C97572"/>
    <w:rsid w:val="00CA1485"/>
    <w:rsid w:val="00CA4D7B"/>
    <w:rsid w:val="00CB3EC4"/>
    <w:rsid w:val="00CB6A50"/>
    <w:rsid w:val="00CC29AD"/>
    <w:rsid w:val="00CC501D"/>
    <w:rsid w:val="00CC5755"/>
    <w:rsid w:val="00CD1638"/>
    <w:rsid w:val="00CD175A"/>
    <w:rsid w:val="00CD2E2E"/>
    <w:rsid w:val="00CD3780"/>
    <w:rsid w:val="00CE1484"/>
    <w:rsid w:val="00CF0B0B"/>
    <w:rsid w:val="00CF25E4"/>
    <w:rsid w:val="00CF2A63"/>
    <w:rsid w:val="00CF3825"/>
    <w:rsid w:val="00CF5B94"/>
    <w:rsid w:val="00CF5BEC"/>
    <w:rsid w:val="00CF60D7"/>
    <w:rsid w:val="00D01358"/>
    <w:rsid w:val="00D01693"/>
    <w:rsid w:val="00D02EE3"/>
    <w:rsid w:val="00D0367F"/>
    <w:rsid w:val="00D05E37"/>
    <w:rsid w:val="00D06D2D"/>
    <w:rsid w:val="00D07FE1"/>
    <w:rsid w:val="00D1131B"/>
    <w:rsid w:val="00D11A26"/>
    <w:rsid w:val="00D11D35"/>
    <w:rsid w:val="00D12C8E"/>
    <w:rsid w:val="00D1382C"/>
    <w:rsid w:val="00D148FD"/>
    <w:rsid w:val="00D14B6C"/>
    <w:rsid w:val="00D34AFA"/>
    <w:rsid w:val="00D4655D"/>
    <w:rsid w:val="00D54DF9"/>
    <w:rsid w:val="00D551A0"/>
    <w:rsid w:val="00D60F48"/>
    <w:rsid w:val="00D669D7"/>
    <w:rsid w:val="00D66CA0"/>
    <w:rsid w:val="00D67388"/>
    <w:rsid w:val="00D70B47"/>
    <w:rsid w:val="00D77A3A"/>
    <w:rsid w:val="00D833CF"/>
    <w:rsid w:val="00D83D26"/>
    <w:rsid w:val="00D8784D"/>
    <w:rsid w:val="00D87C96"/>
    <w:rsid w:val="00D92305"/>
    <w:rsid w:val="00D94296"/>
    <w:rsid w:val="00D94E8D"/>
    <w:rsid w:val="00D956C9"/>
    <w:rsid w:val="00D95929"/>
    <w:rsid w:val="00DA1341"/>
    <w:rsid w:val="00DA2BA2"/>
    <w:rsid w:val="00DA46C5"/>
    <w:rsid w:val="00DA5019"/>
    <w:rsid w:val="00DA7889"/>
    <w:rsid w:val="00DB1275"/>
    <w:rsid w:val="00DB627B"/>
    <w:rsid w:val="00DC0581"/>
    <w:rsid w:val="00DC59CE"/>
    <w:rsid w:val="00DC6D0F"/>
    <w:rsid w:val="00DD17CB"/>
    <w:rsid w:val="00DD3662"/>
    <w:rsid w:val="00DD437A"/>
    <w:rsid w:val="00DD603F"/>
    <w:rsid w:val="00DD7752"/>
    <w:rsid w:val="00DE1289"/>
    <w:rsid w:val="00DE3C2E"/>
    <w:rsid w:val="00DE4C19"/>
    <w:rsid w:val="00DE6B60"/>
    <w:rsid w:val="00DF45E1"/>
    <w:rsid w:val="00DF5AA5"/>
    <w:rsid w:val="00E021D7"/>
    <w:rsid w:val="00E042D3"/>
    <w:rsid w:val="00E064CB"/>
    <w:rsid w:val="00E1192A"/>
    <w:rsid w:val="00E20124"/>
    <w:rsid w:val="00E20CCE"/>
    <w:rsid w:val="00E212A0"/>
    <w:rsid w:val="00E232FE"/>
    <w:rsid w:val="00E2781D"/>
    <w:rsid w:val="00E30EB2"/>
    <w:rsid w:val="00E31432"/>
    <w:rsid w:val="00E32C26"/>
    <w:rsid w:val="00E32F1B"/>
    <w:rsid w:val="00E44785"/>
    <w:rsid w:val="00E51969"/>
    <w:rsid w:val="00E53DBE"/>
    <w:rsid w:val="00E56F4C"/>
    <w:rsid w:val="00E60B64"/>
    <w:rsid w:val="00E6780A"/>
    <w:rsid w:val="00E67A38"/>
    <w:rsid w:val="00E736AF"/>
    <w:rsid w:val="00E73BA2"/>
    <w:rsid w:val="00E7616E"/>
    <w:rsid w:val="00E82D60"/>
    <w:rsid w:val="00E922EE"/>
    <w:rsid w:val="00E9741B"/>
    <w:rsid w:val="00E9749F"/>
    <w:rsid w:val="00EA0847"/>
    <w:rsid w:val="00EA08A8"/>
    <w:rsid w:val="00EA420B"/>
    <w:rsid w:val="00EA5932"/>
    <w:rsid w:val="00EB07D3"/>
    <w:rsid w:val="00EB3231"/>
    <w:rsid w:val="00EB36A4"/>
    <w:rsid w:val="00EC3BF4"/>
    <w:rsid w:val="00EC55A9"/>
    <w:rsid w:val="00EC5878"/>
    <w:rsid w:val="00EC6676"/>
    <w:rsid w:val="00EC6A74"/>
    <w:rsid w:val="00EC7FAB"/>
    <w:rsid w:val="00ED4D8C"/>
    <w:rsid w:val="00ED52A1"/>
    <w:rsid w:val="00ED6A20"/>
    <w:rsid w:val="00EE15BA"/>
    <w:rsid w:val="00EE3E2D"/>
    <w:rsid w:val="00EE4B6D"/>
    <w:rsid w:val="00EF5DE3"/>
    <w:rsid w:val="00F01D44"/>
    <w:rsid w:val="00F02D2C"/>
    <w:rsid w:val="00F11DEC"/>
    <w:rsid w:val="00F12E4B"/>
    <w:rsid w:val="00F15366"/>
    <w:rsid w:val="00F16015"/>
    <w:rsid w:val="00F254A0"/>
    <w:rsid w:val="00F348F7"/>
    <w:rsid w:val="00F40276"/>
    <w:rsid w:val="00F41A4E"/>
    <w:rsid w:val="00F502A1"/>
    <w:rsid w:val="00F50AC1"/>
    <w:rsid w:val="00F52D0C"/>
    <w:rsid w:val="00F54EFF"/>
    <w:rsid w:val="00F55C9A"/>
    <w:rsid w:val="00F57DE2"/>
    <w:rsid w:val="00F636F9"/>
    <w:rsid w:val="00F741A5"/>
    <w:rsid w:val="00F759B1"/>
    <w:rsid w:val="00F80D57"/>
    <w:rsid w:val="00F8156B"/>
    <w:rsid w:val="00F8262D"/>
    <w:rsid w:val="00F83BCA"/>
    <w:rsid w:val="00F83DB3"/>
    <w:rsid w:val="00F83FBB"/>
    <w:rsid w:val="00F849C5"/>
    <w:rsid w:val="00F87080"/>
    <w:rsid w:val="00F87229"/>
    <w:rsid w:val="00F87B23"/>
    <w:rsid w:val="00F90AB6"/>
    <w:rsid w:val="00F91C67"/>
    <w:rsid w:val="00F9266E"/>
    <w:rsid w:val="00F97383"/>
    <w:rsid w:val="00FA3FD2"/>
    <w:rsid w:val="00FA55A3"/>
    <w:rsid w:val="00FA55F6"/>
    <w:rsid w:val="00FA7C1E"/>
    <w:rsid w:val="00FB238A"/>
    <w:rsid w:val="00FB3347"/>
    <w:rsid w:val="00FB4917"/>
    <w:rsid w:val="00FC2751"/>
    <w:rsid w:val="00FC4CCB"/>
    <w:rsid w:val="00FC522B"/>
    <w:rsid w:val="00FC7579"/>
    <w:rsid w:val="00FC75F5"/>
    <w:rsid w:val="00FD1303"/>
    <w:rsid w:val="00FD1EF5"/>
    <w:rsid w:val="00FD1F34"/>
    <w:rsid w:val="00FD22CD"/>
    <w:rsid w:val="00FD6FB2"/>
    <w:rsid w:val="00FE0866"/>
    <w:rsid w:val="00FE5773"/>
    <w:rsid w:val="00FE65C1"/>
    <w:rsid w:val="00FF5165"/>
    <w:rsid w:val="00FF7350"/>
    <w:rsid w:val="00FF74B2"/>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0C647"/>
  <w15:docId w15:val="{5AB8E7BF-0124-482A-9266-50702CA0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022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2274"/>
    <w:rPr>
      <w:rFonts w:ascii="Verdana" w:hAnsi="Verdana"/>
      <w:color w:val="000000"/>
      <w:sz w:val="18"/>
      <w:szCs w:val="18"/>
    </w:rPr>
  </w:style>
  <w:style w:type="paragraph" w:styleId="Voettekst">
    <w:name w:val="footer"/>
    <w:basedOn w:val="Standaard"/>
    <w:link w:val="VoettekstChar"/>
    <w:uiPriority w:val="99"/>
    <w:unhideWhenUsed/>
    <w:rsid w:val="001022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2274"/>
    <w:rPr>
      <w:rFonts w:ascii="Verdana" w:hAnsi="Verdana"/>
      <w:color w:val="000000"/>
      <w:sz w:val="18"/>
      <w:szCs w:val="18"/>
    </w:rPr>
  </w:style>
  <w:style w:type="paragraph" w:styleId="Geenafstand">
    <w:name w:val="No Spacing"/>
    <w:uiPriority w:val="1"/>
    <w:qFormat/>
    <w:rsid w:val="00102274"/>
    <w:pPr>
      <w:autoSpaceDN/>
      <w:textAlignment w:val="auto"/>
    </w:pPr>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semiHidden/>
    <w:unhideWhenUsed/>
    <w:rsid w:val="00102274"/>
    <w:rPr>
      <w:sz w:val="16"/>
      <w:szCs w:val="16"/>
    </w:rPr>
  </w:style>
  <w:style w:type="paragraph" w:styleId="Tekstopmerking">
    <w:name w:val="annotation text"/>
    <w:basedOn w:val="Standaard"/>
    <w:link w:val="TekstopmerkingChar"/>
    <w:uiPriority w:val="99"/>
    <w:unhideWhenUsed/>
    <w:rsid w:val="0010227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102274"/>
    <w:rPr>
      <w:rFonts w:asciiTheme="minorHAnsi" w:eastAsiaTheme="minorHAnsi" w:hAnsiTheme="minorHAnsi" w:cstheme="minorBidi"/>
      <w:lang w:eastAsia="en-US"/>
    </w:rPr>
  </w:style>
  <w:style w:type="paragraph" w:styleId="Ballontekst">
    <w:name w:val="Balloon Text"/>
    <w:basedOn w:val="Standaard"/>
    <w:link w:val="BallontekstChar"/>
    <w:uiPriority w:val="99"/>
    <w:semiHidden/>
    <w:unhideWhenUsed/>
    <w:rsid w:val="0010227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02274"/>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10227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02274"/>
    <w:rPr>
      <w:rFonts w:ascii="Verdana" w:hAnsi="Verdana"/>
      <w:color w:val="000000"/>
    </w:rPr>
  </w:style>
  <w:style w:type="character" w:styleId="Voetnootmarkering">
    <w:name w:val="footnote reference"/>
    <w:basedOn w:val="Standaardalinea-lettertype"/>
    <w:uiPriority w:val="99"/>
    <w:semiHidden/>
    <w:unhideWhenUsed/>
    <w:rsid w:val="00102274"/>
    <w:rPr>
      <w:vertAlign w:val="superscript"/>
    </w:rPr>
  </w:style>
  <w:style w:type="table" w:styleId="Tabelraster">
    <w:name w:val="Table Grid"/>
    <w:basedOn w:val="Standaardtabel"/>
    <w:uiPriority w:val="39"/>
    <w:rsid w:val="0010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02274"/>
    <w:pPr>
      <w:autoSpaceDN/>
      <w:textAlignment w:val="auto"/>
    </w:pPr>
    <w:rPr>
      <w:rFonts w:ascii="Verdana" w:hAnsi="Verdana"/>
      <w:color w:val="000000"/>
      <w:sz w:val="18"/>
      <w:szCs w:val="18"/>
    </w:rPr>
  </w:style>
  <w:style w:type="paragraph" w:customStyle="1" w:styleId="Default">
    <w:name w:val="Default"/>
    <w:rsid w:val="00102274"/>
    <w:pPr>
      <w:autoSpaceDE w:val="0"/>
      <w:adjustRightInd w:val="0"/>
      <w:textAlignment w:val="auto"/>
    </w:pPr>
    <w:rPr>
      <w:rFonts w:ascii="Verdana" w:hAnsi="Verdana" w:cs="Verdana"/>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10227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102274"/>
    <w:rPr>
      <w:rFonts w:ascii="Verdana" w:eastAsiaTheme="minorHAnsi" w:hAnsi="Verdana" w:cstheme="minorBidi"/>
      <w:b/>
      <w:bCs/>
      <w:color w:val="000000"/>
      <w:lang w:eastAsia="en-US"/>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B13E9"/>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styleId="Hyperlink">
    <w:name w:val="Hyperlink"/>
    <w:basedOn w:val="Standaardalinea-lettertype"/>
    <w:uiPriority w:val="99"/>
    <w:unhideWhenUsed/>
    <w:rsid w:val="003E149B"/>
    <w:rPr>
      <w:color w:val="0563C1" w:themeColor="hyperlink"/>
      <w:u w:val="single"/>
    </w:rPr>
  </w:style>
  <w:style w:type="paragraph" w:customStyle="1" w:styleId="footnotedescription">
    <w:name w:val="footnote description"/>
    <w:next w:val="Standaard"/>
    <w:link w:val="footnotedescriptionChar"/>
    <w:hidden/>
    <w:rsid w:val="00C51A8F"/>
    <w:pPr>
      <w:autoSpaceDN/>
      <w:spacing w:line="276" w:lineRule="auto"/>
      <w:ind w:left="1159"/>
      <w:textAlignment w:val="auto"/>
    </w:pPr>
    <w:rPr>
      <w:rFonts w:ascii="Verdana" w:eastAsia="Verdana" w:hAnsi="Verdana" w:cs="Verdana"/>
      <w:color w:val="000000"/>
      <w:sz w:val="16"/>
      <w:szCs w:val="22"/>
    </w:rPr>
  </w:style>
  <w:style w:type="character" w:customStyle="1" w:styleId="footnotedescriptionChar">
    <w:name w:val="footnote description Char"/>
    <w:link w:val="footnotedescription"/>
    <w:rsid w:val="00C51A8F"/>
    <w:rPr>
      <w:rFonts w:ascii="Verdana" w:eastAsia="Verdana" w:hAnsi="Verdana" w:cs="Verdana"/>
      <w:color w:val="000000"/>
      <w:sz w:val="16"/>
      <w:szCs w:val="22"/>
    </w:rPr>
  </w:style>
  <w:style w:type="character" w:customStyle="1" w:styleId="footnotemark">
    <w:name w:val="footnote mark"/>
    <w:hidden/>
    <w:rsid w:val="00C51A8F"/>
    <w:rPr>
      <w:rFonts w:ascii="Verdana" w:eastAsia="Verdana" w:hAnsi="Verdana" w:cs="Verdana"/>
      <w:color w:val="000000"/>
      <w:sz w:val="20"/>
      <w:vertAlign w:val="superscript"/>
    </w:rPr>
  </w:style>
  <w:style w:type="character" w:styleId="Onopgelostemelding">
    <w:name w:val="Unresolved Mention"/>
    <w:basedOn w:val="Standaardalinea-lettertype"/>
    <w:uiPriority w:val="99"/>
    <w:semiHidden/>
    <w:unhideWhenUsed/>
    <w:rsid w:val="008854EA"/>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A0654"/>
    <w:rPr>
      <w:rFonts w:eastAsia="Times New Roman" w:cs="Times New Roman"/>
      <w:sz w:val="24"/>
      <w:szCs w:val="24"/>
    </w:rPr>
  </w:style>
  <w:style w:type="paragraph" w:customStyle="1" w:styleId="Referentiegegevens">
    <w:name w:val="Referentiegegevens"/>
    <w:basedOn w:val="Standaard"/>
    <w:next w:val="Standaard"/>
    <w:rsid w:val="00AA0ABE"/>
    <w:pPr>
      <w:spacing w:line="180" w:lineRule="exact"/>
    </w:pPr>
    <w:rPr>
      <w:sz w:val="13"/>
      <w:szCs w:val="13"/>
    </w:rPr>
  </w:style>
  <w:style w:type="paragraph" w:customStyle="1" w:styleId="Referentiegegevensbold">
    <w:name w:val="Referentiegegevens bold"/>
    <w:basedOn w:val="Standaard"/>
    <w:next w:val="Standaard"/>
    <w:rsid w:val="00AA0ABE"/>
    <w:pPr>
      <w:spacing w:line="180" w:lineRule="exact"/>
    </w:pPr>
    <w:rPr>
      <w:b/>
      <w:sz w:val="13"/>
      <w:szCs w:val="13"/>
    </w:rPr>
  </w:style>
  <w:style w:type="character" w:styleId="GevolgdeHyperlink">
    <w:name w:val="FollowedHyperlink"/>
    <w:basedOn w:val="Standaardalinea-lettertype"/>
    <w:uiPriority w:val="99"/>
    <w:semiHidden/>
    <w:unhideWhenUsed/>
    <w:rsid w:val="00EE3E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4482">
      <w:bodyDiv w:val="1"/>
      <w:marLeft w:val="0"/>
      <w:marRight w:val="0"/>
      <w:marTop w:val="0"/>
      <w:marBottom w:val="0"/>
      <w:divBdr>
        <w:top w:val="none" w:sz="0" w:space="0" w:color="auto"/>
        <w:left w:val="none" w:sz="0" w:space="0" w:color="auto"/>
        <w:bottom w:val="none" w:sz="0" w:space="0" w:color="auto"/>
        <w:right w:val="none" w:sz="0" w:space="0" w:color="auto"/>
      </w:divBdr>
      <w:divsChild>
        <w:div w:id="1574967895">
          <w:marLeft w:val="1166"/>
          <w:marRight w:val="0"/>
          <w:marTop w:val="240"/>
          <w:marBottom w:val="0"/>
          <w:divBdr>
            <w:top w:val="none" w:sz="0" w:space="0" w:color="auto"/>
            <w:left w:val="none" w:sz="0" w:space="0" w:color="auto"/>
            <w:bottom w:val="none" w:sz="0" w:space="0" w:color="auto"/>
            <w:right w:val="none" w:sz="0" w:space="0" w:color="auto"/>
          </w:divBdr>
        </w:div>
        <w:div w:id="1075709198">
          <w:marLeft w:val="1166"/>
          <w:marRight w:val="0"/>
          <w:marTop w:val="240"/>
          <w:marBottom w:val="0"/>
          <w:divBdr>
            <w:top w:val="none" w:sz="0" w:space="0" w:color="auto"/>
            <w:left w:val="none" w:sz="0" w:space="0" w:color="auto"/>
            <w:bottom w:val="none" w:sz="0" w:space="0" w:color="auto"/>
            <w:right w:val="none" w:sz="0" w:space="0" w:color="auto"/>
          </w:divBdr>
        </w:div>
        <w:div w:id="1830293675">
          <w:marLeft w:val="1166"/>
          <w:marRight w:val="0"/>
          <w:marTop w:val="240"/>
          <w:marBottom w:val="0"/>
          <w:divBdr>
            <w:top w:val="none" w:sz="0" w:space="0" w:color="auto"/>
            <w:left w:val="none" w:sz="0" w:space="0" w:color="auto"/>
            <w:bottom w:val="none" w:sz="0" w:space="0" w:color="auto"/>
            <w:right w:val="none" w:sz="0" w:space="0" w:color="auto"/>
          </w:divBdr>
        </w:div>
      </w:divsChild>
    </w:div>
    <w:div w:id="67118281">
      <w:bodyDiv w:val="1"/>
      <w:marLeft w:val="0"/>
      <w:marRight w:val="0"/>
      <w:marTop w:val="0"/>
      <w:marBottom w:val="0"/>
      <w:divBdr>
        <w:top w:val="none" w:sz="0" w:space="0" w:color="auto"/>
        <w:left w:val="none" w:sz="0" w:space="0" w:color="auto"/>
        <w:bottom w:val="none" w:sz="0" w:space="0" w:color="auto"/>
        <w:right w:val="none" w:sz="0" w:space="0" w:color="auto"/>
      </w:divBdr>
      <w:divsChild>
        <w:div w:id="1267468892">
          <w:marLeft w:val="504"/>
          <w:marRight w:val="0"/>
          <w:marTop w:val="240"/>
          <w:marBottom w:val="0"/>
          <w:divBdr>
            <w:top w:val="none" w:sz="0" w:space="0" w:color="auto"/>
            <w:left w:val="none" w:sz="0" w:space="0" w:color="auto"/>
            <w:bottom w:val="none" w:sz="0" w:space="0" w:color="auto"/>
            <w:right w:val="none" w:sz="0" w:space="0" w:color="auto"/>
          </w:divBdr>
        </w:div>
        <w:div w:id="2010323560">
          <w:marLeft w:val="504"/>
          <w:marRight w:val="0"/>
          <w:marTop w:val="240"/>
          <w:marBottom w:val="0"/>
          <w:divBdr>
            <w:top w:val="none" w:sz="0" w:space="0" w:color="auto"/>
            <w:left w:val="none" w:sz="0" w:space="0" w:color="auto"/>
            <w:bottom w:val="none" w:sz="0" w:space="0" w:color="auto"/>
            <w:right w:val="none" w:sz="0" w:space="0" w:color="auto"/>
          </w:divBdr>
        </w:div>
        <w:div w:id="88162954">
          <w:marLeft w:val="504"/>
          <w:marRight w:val="0"/>
          <w:marTop w:val="240"/>
          <w:marBottom w:val="0"/>
          <w:divBdr>
            <w:top w:val="none" w:sz="0" w:space="0" w:color="auto"/>
            <w:left w:val="none" w:sz="0" w:space="0" w:color="auto"/>
            <w:bottom w:val="none" w:sz="0" w:space="0" w:color="auto"/>
            <w:right w:val="none" w:sz="0" w:space="0" w:color="auto"/>
          </w:divBdr>
        </w:div>
        <w:div w:id="1098796516">
          <w:marLeft w:val="504"/>
          <w:marRight w:val="0"/>
          <w:marTop w:val="240"/>
          <w:marBottom w:val="0"/>
          <w:divBdr>
            <w:top w:val="none" w:sz="0" w:space="0" w:color="auto"/>
            <w:left w:val="none" w:sz="0" w:space="0" w:color="auto"/>
            <w:bottom w:val="none" w:sz="0" w:space="0" w:color="auto"/>
            <w:right w:val="none" w:sz="0" w:space="0" w:color="auto"/>
          </w:divBdr>
        </w:div>
        <w:div w:id="368917572">
          <w:marLeft w:val="504"/>
          <w:marRight w:val="0"/>
          <w:marTop w:val="240"/>
          <w:marBottom w:val="0"/>
          <w:divBdr>
            <w:top w:val="none" w:sz="0" w:space="0" w:color="auto"/>
            <w:left w:val="none" w:sz="0" w:space="0" w:color="auto"/>
            <w:bottom w:val="none" w:sz="0" w:space="0" w:color="auto"/>
            <w:right w:val="none" w:sz="0" w:space="0" w:color="auto"/>
          </w:divBdr>
        </w:div>
        <w:div w:id="116416760">
          <w:marLeft w:val="504"/>
          <w:marRight w:val="0"/>
          <w:marTop w:val="240"/>
          <w:marBottom w:val="0"/>
          <w:divBdr>
            <w:top w:val="none" w:sz="0" w:space="0" w:color="auto"/>
            <w:left w:val="none" w:sz="0" w:space="0" w:color="auto"/>
            <w:bottom w:val="none" w:sz="0" w:space="0" w:color="auto"/>
            <w:right w:val="none" w:sz="0" w:space="0" w:color="auto"/>
          </w:divBdr>
        </w:div>
        <w:div w:id="2129084670">
          <w:marLeft w:val="504"/>
          <w:marRight w:val="0"/>
          <w:marTop w:val="240"/>
          <w:marBottom w:val="0"/>
          <w:divBdr>
            <w:top w:val="none" w:sz="0" w:space="0" w:color="auto"/>
            <w:left w:val="none" w:sz="0" w:space="0" w:color="auto"/>
            <w:bottom w:val="none" w:sz="0" w:space="0" w:color="auto"/>
            <w:right w:val="none" w:sz="0" w:space="0" w:color="auto"/>
          </w:divBdr>
        </w:div>
        <w:div w:id="1051345932">
          <w:marLeft w:val="504"/>
          <w:marRight w:val="0"/>
          <w:marTop w:val="240"/>
          <w:marBottom w:val="0"/>
          <w:divBdr>
            <w:top w:val="none" w:sz="0" w:space="0" w:color="auto"/>
            <w:left w:val="none" w:sz="0" w:space="0" w:color="auto"/>
            <w:bottom w:val="none" w:sz="0" w:space="0" w:color="auto"/>
            <w:right w:val="none" w:sz="0" w:space="0" w:color="auto"/>
          </w:divBdr>
        </w:div>
        <w:div w:id="1788575557">
          <w:marLeft w:val="504"/>
          <w:marRight w:val="0"/>
          <w:marTop w:val="240"/>
          <w:marBottom w:val="0"/>
          <w:divBdr>
            <w:top w:val="none" w:sz="0" w:space="0" w:color="auto"/>
            <w:left w:val="none" w:sz="0" w:space="0" w:color="auto"/>
            <w:bottom w:val="none" w:sz="0" w:space="0" w:color="auto"/>
            <w:right w:val="none" w:sz="0" w:space="0" w:color="auto"/>
          </w:divBdr>
        </w:div>
        <w:div w:id="1695110897">
          <w:marLeft w:val="504"/>
          <w:marRight w:val="0"/>
          <w:marTop w:val="240"/>
          <w:marBottom w:val="0"/>
          <w:divBdr>
            <w:top w:val="none" w:sz="0" w:space="0" w:color="auto"/>
            <w:left w:val="none" w:sz="0" w:space="0" w:color="auto"/>
            <w:bottom w:val="none" w:sz="0" w:space="0" w:color="auto"/>
            <w:right w:val="none" w:sz="0" w:space="0" w:color="auto"/>
          </w:divBdr>
        </w:div>
      </w:divsChild>
    </w:div>
    <w:div w:id="212036114">
      <w:bodyDiv w:val="1"/>
      <w:marLeft w:val="0"/>
      <w:marRight w:val="0"/>
      <w:marTop w:val="0"/>
      <w:marBottom w:val="0"/>
      <w:divBdr>
        <w:top w:val="none" w:sz="0" w:space="0" w:color="auto"/>
        <w:left w:val="none" w:sz="0" w:space="0" w:color="auto"/>
        <w:bottom w:val="none" w:sz="0" w:space="0" w:color="auto"/>
        <w:right w:val="none" w:sz="0" w:space="0" w:color="auto"/>
      </w:divBdr>
      <w:divsChild>
        <w:div w:id="2030175018">
          <w:marLeft w:val="504"/>
          <w:marRight w:val="0"/>
          <w:marTop w:val="240"/>
          <w:marBottom w:val="0"/>
          <w:divBdr>
            <w:top w:val="none" w:sz="0" w:space="0" w:color="auto"/>
            <w:left w:val="none" w:sz="0" w:space="0" w:color="auto"/>
            <w:bottom w:val="none" w:sz="0" w:space="0" w:color="auto"/>
            <w:right w:val="none" w:sz="0" w:space="0" w:color="auto"/>
          </w:divBdr>
        </w:div>
        <w:div w:id="246691216">
          <w:marLeft w:val="504"/>
          <w:marRight w:val="0"/>
          <w:marTop w:val="240"/>
          <w:marBottom w:val="0"/>
          <w:divBdr>
            <w:top w:val="none" w:sz="0" w:space="0" w:color="auto"/>
            <w:left w:val="none" w:sz="0" w:space="0" w:color="auto"/>
            <w:bottom w:val="none" w:sz="0" w:space="0" w:color="auto"/>
            <w:right w:val="none" w:sz="0" w:space="0" w:color="auto"/>
          </w:divBdr>
        </w:div>
        <w:div w:id="1147822954">
          <w:marLeft w:val="504"/>
          <w:marRight w:val="0"/>
          <w:marTop w:val="240"/>
          <w:marBottom w:val="0"/>
          <w:divBdr>
            <w:top w:val="none" w:sz="0" w:space="0" w:color="auto"/>
            <w:left w:val="none" w:sz="0" w:space="0" w:color="auto"/>
            <w:bottom w:val="none" w:sz="0" w:space="0" w:color="auto"/>
            <w:right w:val="none" w:sz="0" w:space="0" w:color="auto"/>
          </w:divBdr>
        </w:div>
      </w:divsChild>
    </w:div>
    <w:div w:id="217057345">
      <w:bodyDiv w:val="1"/>
      <w:marLeft w:val="0"/>
      <w:marRight w:val="0"/>
      <w:marTop w:val="0"/>
      <w:marBottom w:val="0"/>
      <w:divBdr>
        <w:top w:val="none" w:sz="0" w:space="0" w:color="auto"/>
        <w:left w:val="none" w:sz="0" w:space="0" w:color="auto"/>
        <w:bottom w:val="none" w:sz="0" w:space="0" w:color="auto"/>
        <w:right w:val="none" w:sz="0" w:space="0" w:color="auto"/>
      </w:divBdr>
    </w:div>
    <w:div w:id="239601433">
      <w:bodyDiv w:val="1"/>
      <w:marLeft w:val="0"/>
      <w:marRight w:val="0"/>
      <w:marTop w:val="0"/>
      <w:marBottom w:val="0"/>
      <w:divBdr>
        <w:top w:val="none" w:sz="0" w:space="0" w:color="auto"/>
        <w:left w:val="none" w:sz="0" w:space="0" w:color="auto"/>
        <w:bottom w:val="none" w:sz="0" w:space="0" w:color="auto"/>
        <w:right w:val="none" w:sz="0" w:space="0" w:color="auto"/>
      </w:divBdr>
    </w:div>
    <w:div w:id="353188426">
      <w:bodyDiv w:val="1"/>
      <w:marLeft w:val="0"/>
      <w:marRight w:val="0"/>
      <w:marTop w:val="0"/>
      <w:marBottom w:val="0"/>
      <w:divBdr>
        <w:top w:val="none" w:sz="0" w:space="0" w:color="auto"/>
        <w:left w:val="none" w:sz="0" w:space="0" w:color="auto"/>
        <w:bottom w:val="none" w:sz="0" w:space="0" w:color="auto"/>
        <w:right w:val="none" w:sz="0" w:space="0" w:color="auto"/>
      </w:divBdr>
    </w:div>
    <w:div w:id="389429961">
      <w:bodyDiv w:val="1"/>
      <w:marLeft w:val="0"/>
      <w:marRight w:val="0"/>
      <w:marTop w:val="0"/>
      <w:marBottom w:val="0"/>
      <w:divBdr>
        <w:top w:val="none" w:sz="0" w:space="0" w:color="auto"/>
        <w:left w:val="none" w:sz="0" w:space="0" w:color="auto"/>
        <w:bottom w:val="none" w:sz="0" w:space="0" w:color="auto"/>
        <w:right w:val="none" w:sz="0" w:space="0" w:color="auto"/>
      </w:divBdr>
    </w:div>
    <w:div w:id="420755661">
      <w:bodyDiv w:val="1"/>
      <w:marLeft w:val="0"/>
      <w:marRight w:val="0"/>
      <w:marTop w:val="0"/>
      <w:marBottom w:val="0"/>
      <w:divBdr>
        <w:top w:val="none" w:sz="0" w:space="0" w:color="auto"/>
        <w:left w:val="none" w:sz="0" w:space="0" w:color="auto"/>
        <w:bottom w:val="none" w:sz="0" w:space="0" w:color="auto"/>
        <w:right w:val="none" w:sz="0" w:space="0" w:color="auto"/>
      </w:divBdr>
    </w:div>
    <w:div w:id="489949721">
      <w:bodyDiv w:val="1"/>
      <w:marLeft w:val="0"/>
      <w:marRight w:val="0"/>
      <w:marTop w:val="0"/>
      <w:marBottom w:val="0"/>
      <w:divBdr>
        <w:top w:val="none" w:sz="0" w:space="0" w:color="auto"/>
        <w:left w:val="none" w:sz="0" w:space="0" w:color="auto"/>
        <w:bottom w:val="none" w:sz="0" w:space="0" w:color="auto"/>
        <w:right w:val="none" w:sz="0" w:space="0" w:color="auto"/>
      </w:divBdr>
      <w:divsChild>
        <w:div w:id="552736696">
          <w:marLeft w:val="504"/>
          <w:marRight w:val="0"/>
          <w:marTop w:val="240"/>
          <w:marBottom w:val="0"/>
          <w:divBdr>
            <w:top w:val="none" w:sz="0" w:space="0" w:color="auto"/>
            <w:left w:val="none" w:sz="0" w:space="0" w:color="auto"/>
            <w:bottom w:val="none" w:sz="0" w:space="0" w:color="auto"/>
            <w:right w:val="none" w:sz="0" w:space="0" w:color="auto"/>
          </w:divBdr>
        </w:div>
        <w:div w:id="468667365">
          <w:marLeft w:val="504"/>
          <w:marRight w:val="0"/>
          <w:marTop w:val="240"/>
          <w:marBottom w:val="0"/>
          <w:divBdr>
            <w:top w:val="none" w:sz="0" w:space="0" w:color="auto"/>
            <w:left w:val="none" w:sz="0" w:space="0" w:color="auto"/>
            <w:bottom w:val="none" w:sz="0" w:space="0" w:color="auto"/>
            <w:right w:val="none" w:sz="0" w:space="0" w:color="auto"/>
          </w:divBdr>
        </w:div>
      </w:divsChild>
    </w:div>
    <w:div w:id="586381936">
      <w:bodyDiv w:val="1"/>
      <w:marLeft w:val="0"/>
      <w:marRight w:val="0"/>
      <w:marTop w:val="0"/>
      <w:marBottom w:val="0"/>
      <w:divBdr>
        <w:top w:val="none" w:sz="0" w:space="0" w:color="auto"/>
        <w:left w:val="none" w:sz="0" w:space="0" w:color="auto"/>
        <w:bottom w:val="none" w:sz="0" w:space="0" w:color="auto"/>
        <w:right w:val="none" w:sz="0" w:space="0" w:color="auto"/>
      </w:divBdr>
    </w:div>
    <w:div w:id="803082387">
      <w:bodyDiv w:val="1"/>
      <w:marLeft w:val="0"/>
      <w:marRight w:val="0"/>
      <w:marTop w:val="0"/>
      <w:marBottom w:val="0"/>
      <w:divBdr>
        <w:top w:val="none" w:sz="0" w:space="0" w:color="auto"/>
        <w:left w:val="none" w:sz="0" w:space="0" w:color="auto"/>
        <w:bottom w:val="none" w:sz="0" w:space="0" w:color="auto"/>
        <w:right w:val="none" w:sz="0" w:space="0" w:color="auto"/>
      </w:divBdr>
    </w:div>
    <w:div w:id="877663850">
      <w:bodyDiv w:val="1"/>
      <w:marLeft w:val="0"/>
      <w:marRight w:val="0"/>
      <w:marTop w:val="0"/>
      <w:marBottom w:val="0"/>
      <w:divBdr>
        <w:top w:val="none" w:sz="0" w:space="0" w:color="auto"/>
        <w:left w:val="none" w:sz="0" w:space="0" w:color="auto"/>
        <w:bottom w:val="none" w:sz="0" w:space="0" w:color="auto"/>
        <w:right w:val="none" w:sz="0" w:space="0" w:color="auto"/>
      </w:divBdr>
    </w:div>
    <w:div w:id="958071958">
      <w:bodyDiv w:val="1"/>
      <w:marLeft w:val="0"/>
      <w:marRight w:val="0"/>
      <w:marTop w:val="0"/>
      <w:marBottom w:val="0"/>
      <w:divBdr>
        <w:top w:val="none" w:sz="0" w:space="0" w:color="auto"/>
        <w:left w:val="none" w:sz="0" w:space="0" w:color="auto"/>
        <w:bottom w:val="none" w:sz="0" w:space="0" w:color="auto"/>
        <w:right w:val="none" w:sz="0" w:space="0" w:color="auto"/>
      </w:divBdr>
    </w:div>
    <w:div w:id="1038315805">
      <w:bodyDiv w:val="1"/>
      <w:marLeft w:val="0"/>
      <w:marRight w:val="0"/>
      <w:marTop w:val="0"/>
      <w:marBottom w:val="0"/>
      <w:divBdr>
        <w:top w:val="none" w:sz="0" w:space="0" w:color="auto"/>
        <w:left w:val="none" w:sz="0" w:space="0" w:color="auto"/>
        <w:bottom w:val="none" w:sz="0" w:space="0" w:color="auto"/>
        <w:right w:val="none" w:sz="0" w:space="0" w:color="auto"/>
      </w:divBdr>
    </w:div>
    <w:div w:id="1038318171">
      <w:bodyDiv w:val="1"/>
      <w:marLeft w:val="0"/>
      <w:marRight w:val="0"/>
      <w:marTop w:val="0"/>
      <w:marBottom w:val="0"/>
      <w:divBdr>
        <w:top w:val="none" w:sz="0" w:space="0" w:color="auto"/>
        <w:left w:val="none" w:sz="0" w:space="0" w:color="auto"/>
        <w:bottom w:val="none" w:sz="0" w:space="0" w:color="auto"/>
        <w:right w:val="none" w:sz="0" w:space="0" w:color="auto"/>
      </w:divBdr>
    </w:div>
    <w:div w:id="1228809923">
      <w:bodyDiv w:val="1"/>
      <w:marLeft w:val="0"/>
      <w:marRight w:val="0"/>
      <w:marTop w:val="0"/>
      <w:marBottom w:val="0"/>
      <w:divBdr>
        <w:top w:val="none" w:sz="0" w:space="0" w:color="auto"/>
        <w:left w:val="none" w:sz="0" w:space="0" w:color="auto"/>
        <w:bottom w:val="none" w:sz="0" w:space="0" w:color="auto"/>
        <w:right w:val="none" w:sz="0" w:space="0" w:color="auto"/>
      </w:divBdr>
    </w:div>
    <w:div w:id="1265528747">
      <w:bodyDiv w:val="1"/>
      <w:marLeft w:val="0"/>
      <w:marRight w:val="0"/>
      <w:marTop w:val="0"/>
      <w:marBottom w:val="0"/>
      <w:divBdr>
        <w:top w:val="none" w:sz="0" w:space="0" w:color="auto"/>
        <w:left w:val="none" w:sz="0" w:space="0" w:color="auto"/>
        <w:bottom w:val="none" w:sz="0" w:space="0" w:color="auto"/>
        <w:right w:val="none" w:sz="0" w:space="0" w:color="auto"/>
      </w:divBdr>
      <w:divsChild>
        <w:div w:id="2073455460">
          <w:marLeft w:val="1166"/>
          <w:marRight w:val="0"/>
          <w:marTop w:val="240"/>
          <w:marBottom w:val="0"/>
          <w:divBdr>
            <w:top w:val="none" w:sz="0" w:space="0" w:color="auto"/>
            <w:left w:val="none" w:sz="0" w:space="0" w:color="auto"/>
            <w:bottom w:val="none" w:sz="0" w:space="0" w:color="auto"/>
            <w:right w:val="none" w:sz="0" w:space="0" w:color="auto"/>
          </w:divBdr>
        </w:div>
        <w:div w:id="126121574">
          <w:marLeft w:val="1166"/>
          <w:marRight w:val="0"/>
          <w:marTop w:val="240"/>
          <w:marBottom w:val="0"/>
          <w:divBdr>
            <w:top w:val="none" w:sz="0" w:space="0" w:color="auto"/>
            <w:left w:val="none" w:sz="0" w:space="0" w:color="auto"/>
            <w:bottom w:val="none" w:sz="0" w:space="0" w:color="auto"/>
            <w:right w:val="none" w:sz="0" w:space="0" w:color="auto"/>
          </w:divBdr>
        </w:div>
        <w:div w:id="834422824">
          <w:marLeft w:val="1166"/>
          <w:marRight w:val="0"/>
          <w:marTop w:val="240"/>
          <w:marBottom w:val="0"/>
          <w:divBdr>
            <w:top w:val="none" w:sz="0" w:space="0" w:color="auto"/>
            <w:left w:val="none" w:sz="0" w:space="0" w:color="auto"/>
            <w:bottom w:val="none" w:sz="0" w:space="0" w:color="auto"/>
            <w:right w:val="none" w:sz="0" w:space="0" w:color="auto"/>
          </w:divBdr>
        </w:div>
      </w:divsChild>
    </w:div>
    <w:div w:id="1347824232">
      <w:bodyDiv w:val="1"/>
      <w:marLeft w:val="0"/>
      <w:marRight w:val="0"/>
      <w:marTop w:val="0"/>
      <w:marBottom w:val="0"/>
      <w:divBdr>
        <w:top w:val="none" w:sz="0" w:space="0" w:color="auto"/>
        <w:left w:val="none" w:sz="0" w:space="0" w:color="auto"/>
        <w:bottom w:val="none" w:sz="0" w:space="0" w:color="auto"/>
        <w:right w:val="none" w:sz="0" w:space="0" w:color="auto"/>
      </w:divBdr>
    </w:div>
    <w:div w:id="1432168289">
      <w:bodyDiv w:val="1"/>
      <w:marLeft w:val="0"/>
      <w:marRight w:val="0"/>
      <w:marTop w:val="0"/>
      <w:marBottom w:val="0"/>
      <w:divBdr>
        <w:top w:val="none" w:sz="0" w:space="0" w:color="auto"/>
        <w:left w:val="none" w:sz="0" w:space="0" w:color="auto"/>
        <w:bottom w:val="none" w:sz="0" w:space="0" w:color="auto"/>
        <w:right w:val="none" w:sz="0" w:space="0" w:color="auto"/>
      </w:divBdr>
    </w:div>
    <w:div w:id="1559777078">
      <w:bodyDiv w:val="1"/>
      <w:marLeft w:val="0"/>
      <w:marRight w:val="0"/>
      <w:marTop w:val="0"/>
      <w:marBottom w:val="0"/>
      <w:divBdr>
        <w:top w:val="none" w:sz="0" w:space="0" w:color="auto"/>
        <w:left w:val="none" w:sz="0" w:space="0" w:color="auto"/>
        <w:bottom w:val="none" w:sz="0" w:space="0" w:color="auto"/>
        <w:right w:val="none" w:sz="0" w:space="0" w:color="auto"/>
      </w:divBdr>
    </w:div>
    <w:div w:id="1568147151">
      <w:bodyDiv w:val="1"/>
      <w:marLeft w:val="0"/>
      <w:marRight w:val="0"/>
      <w:marTop w:val="0"/>
      <w:marBottom w:val="0"/>
      <w:divBdr>
        <w:top w:val="none" w:sz="0" w:space="0" w:color="auto"/>
        <w:left w:val="none" w:sz="0" w:space="0" w:color="auto"/>
        <w:bottom w:val="none" w:sz="0" w:space="0" w:color="auto"/>
        <w:right w:val="none" w:sz="0" w:space="0" w:color="auto"/>
      </w:divBdr>
    </w:div>
    <w:div w:id="1588922494">
      <w:bodyDiv w:val="1"/>
      <w:marLeft w:val="0"/>
      <w:marRight w:val="0"/>
      <w:marTop w:val="0"/>
      <w:marBottom w:val="0"/>
      <w:divBdr>
        <w:top w:val="none" w:sz="0" w:space="0" w:color="auto"/>
        <w:left w:val="none" w:sz="0" w:space="0" w:color="auto"/>
        <w:bottom w:val="none" w:sz="0" w:space="0" w:color="auto"/>
        <w:right w:val="none" w:sz="0" w:space="0" w:color="auto"/>
      </w:divBdr>
    </w:div>
    <w:div w:id="184982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rijksoverheid/documenten/publicaties/2024/10/25/documenten-bij-besluit-op-woo-verzoek-over-rapport-ministerie-van-financien-en-nationale-schuld-ix" TargetMode="External"/><Relationship Id="rId2" Type="http://schemas.openxmlformats.org/officeDocument/2006/relationships/hyperlink" Target="https://download.belastingdienst.nl/belastingdienst/docs/handhavingsplan-arbeidsrelaties-lh0021z52fd.pdf" TargetMode="External"/><Relationship Id="rId1" Type="http://schemas.openxmlformats.org/officeDocument/2006/relationships/hyperlink" Target="https://open.overheid.nl/documenten/1d814efc-1074-4820-90e0-60bee39c4163/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CKEL\AppData\Local\Microsoft\Windows\INetCache\IE\5JVU50MZ\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1930</ap:Words>
  <ap:Characters>10620</ap:Characters>
  <ap:DocSecurity>0</ap:DocSecurity>
  <ap:Lines>88</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2025-04-25T11:30:00.0000000Z</lastPrinted>
  <dcterms:created xsi:type="dcterms:W3CDTF">2025-04-25T11:30:00.0000000Z</dcterms:created>
  <dcterms:modified xsi:type="dcterms:W3CDTF">2025-04-25T11:31:00.0000000Z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vragen n.a.v. voortgangsrapportage hersteloperatie toeslagen september - december 2024</vt:lpwstr>
  </property>
  <property fmtid="{D5CDD505-2E9C-101B-9397-08002B2CF9AE}" pid="4" name="Datum">
    <vt:lpwstr>17 april 2025</vt:lpwstr>
  </property>
  <property fmtid="{D5CDD505-2E9C-101B-9397-08002B2CF9AE}" pid="5" name="Aan">
    <vt:lpwstr>De voorzitter van de Eerste Kamer der Staten-Generaal_x000d_
Postbus 20017_x000d_
2500 EA Den Haag_x000d_
</vt:lpwstr>
  </property>
  <property fmtid="{D5CDD505-2E9C-101B-9397-08002B2CF9AE}" pid="6" name="Kenmerk">
    <vt:lpwstr>2025-0000111455</vt:lpwstr>
  </property>
  <property fmtid="{D5CDD505-2E9C-101B-9397-08002B2CF9AE}" pid="7" name="UwKenmerk">
    <vt:lpwstr>173520.05U</vt:lpwstr>
  </property>
  <property fmtid="{D5CDD505-2E9C-101B-9397-08002B2CF9AE}" pid="8" name="Rubricering">
    <vt:lpwstr/>
  </property>
  <property fmtid="{D5CDD505-2E9C-101B-9397-08002B2CF9AE}" pid="9" name="MSIP_Label_b0d5c4f4-7a29-4385-b7a5-afbe2154ae6f_Enabled">
    <vt:lpwstr>true</vt:lpwstr>
  </property>
  <property fmtid="{D5CDD505-2E9C-101B-9397-08002B2CF9AE}" pid="10" name="MSIP_Label_b0d5c4f4-7a29-4385-b7a5-afbe2154ae6f_SetDate">
    <vt:lpwstr>2021-09-03T09:28:11Z</vt:lpwstr>
  </property>
  <property fmtid="{D5CDD505-2E9C-101B-9397-08002B2CF9AE}" pid="11" name="MSIP_Label_b0d5c4f4-7a29-4385-b7a5-afbe2154ae6f_Method">
    <vt:lpwstr>Standard</vt:lpwstr>
  </property>
  <property fmtid="{D5CDD505-2E9C-101B-9397-08002B2CF9AE}" pid="12" name="MSIP_Label_b0d5c4f4-7a29-4385-b7a5-afbe2154ae6f_Name">
    <vt:lpwstr>Confidential</vt:lpwstr>
  </property>
  <property fmtid="{D5CDD505-2E9C-101B-9397-08002B2CF9AE}" pid="13" name="MSIP_Label_b0d5c4f4-7a29-4385-b7a5-afbe2154ae6f_SiteId">
    <vt:lpwstr>2dfb2f0b-4d21-4268-9559-72926144c918</vt:lpwstr>
  </property>
  <property fmtid="{D5CDD505-2E9C-101B-9397-08002B2CF9AE}" pid="14" name="MSIP_Label_b0d5c4f4-7a29-4385-b7a5-afbe2154ae6f_ActionId">
    <vt:lpwstr>16c8a063-7139-4c03-af67-64b794178b13</vt:lpwstr>
  </property>
  <property fmtid="{D5CDD505-2E9C-101B-9397-08002B2CF9AE}" pid="15" name="MSIP_Label_b0d5c4f4-7a29-4385-b7a5-afbe2154ae6f_ContentBits">
    <vt:lpwstr>0</vt:lpwstr>
  </property>
  <property fmtid="{D5CDD505-2E9C-101B-9397-08002B2CF9AE}" pid="16" name="bcgClassification">
    <vt:lpwstr>bcgConfidential</vt:lpwstr>
  </property>
  <property fmtid="{D5CDD505-2E9C-101B-9397-08002B2CF9AE}" pid="17" name="MSIP_Label_112e3eac-4767-4d29-949e-d809b1160d11_Enabled">
    <vt:lpwstr>true</vt:lpwstr>
  </property>
  <property fmtid="{D5CDD505-2E9C-101B-9397-08002B2CF9AE}" pid="18" name="MSIP_Label_112e3eac-4767-4d29-949e-d809b1160d11_SetDate">
    <vt:lpwstr>2025-04-24T09:30:55Z</vt:lpwstr>
  </property>
  <property fmtid="{D5CDD505-2E9C-101B-9397-08002B2CF9AE}" pid="19" name="MSIP_Label_112e3eac-4767-4d29-949e-d809b1160d11_Method">
    <vt:lpwstr>Standard</vt:lpwstr>
  </property>
  <property fmtid="{D5CDD505-2E9C-101B-9397-08002B2CF9AE}" pid="20" name="MSIP_Label_112e3eac-4767-4d29-949e-d809b1160d11_Name">
    <vt:lpwstr>Rijksoverheid (SGC)</vt:lpwstr>
  </property>
  <property fmtid="{D5CDD505-2E9C-101B-9397-08002B2CF9AE}" pid="21" name="MSIP_Label_112e3eac-4767-4d29-949e-d809b1160d11_SiteId">
    <vt:lpwstr>84712536-f524-40a0-913b-5d25ba502732</vt:lpwstr>
  </property>
  <property fmtid="{D5CDD505-2E9C-101B-9397-08002B2CF9AE}" pid="22" name="MSIP_Label_112e3eac-4767-4d29-949e-d809b1160d11_ActionId">
    <vt:lpwstr>2ee7f967-92f1-4b4d-8667-923b833a9b76</vt:lpwstr>
  </property>
  <property fmtid="{D5CDD505-2E9C-101B-9397-08002B2CF9AE}" pid="23" name="MSIP_Label_112e3eac-4767-4d29-949e-d809b1160d11_ContentBits">
    <vt:lpwstr>0</vt:lpwstr>
  </property>
</Properties>
</file>