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95" w:rsidP="00B22320" w:rsidRDefault="00771375" w14:paraId="7A4F2333" w14:textId="3F019F3A">
      <w:bookmarkStart w:name="_GoBack" w:id="0"/>
      <w:bookmarkEnd w:id="0"/>
      <w:r>
        <w:t xml:space="preserve">Geachte voorzitter, </w:t>
      </w:r>
    </w:p>
    <w:p w:rsidR="00771375" w:rsidP="00B22320" w:rsidRDefault="00771375" w14:paraId="6EF6A703" w14:textId="77777777"/>
    <w:p w:rsidR="00BB3DA3" w:rsidP="00B22320" w:rsidRDefault="000E7F65" w14:paraId="30B514BD" w14:textId="66674C0C">
      <w:r>
        <w:t xml:space="preserve">Het </w:t>
      </w:r>
      <w:r w:rsidR="00B22320">
        <w:t>kabinet</w:t>
      </w:r>
      <w:r>
        <w:t xml:space="preserve"> hecht waarde aan het verbeteren van de leefomgevingskwaliteit </w:t>
      </w:r>
      <w:r w:rsidR="00E91777">
        <w:t xml:space="preserve">rondom de </w:t>
      </w:r>
      <w:r w:rsidR="00F57089">
        <w:t>luchthavens</w:t>
      </w:r>
      <w:r>
        <w:t xml:space="preserve">. </w:t>
      </w:r>
      <w:r w:rsidR="00455D4F">
        <w:t>Daarom</w:t>
      </w:r>
      <w:r w:rsidR="00E27ECD">
        <w:t xml:space="preserve"> zijn in de afgelopen jaren meerdere onderzoeken uitgevoerd om de bijdrage van luchtvaart aan de luchtkwaliteit in de </w:t>
      </w:r>
      <w:r w:rsidR="00BB3DA3">
        <w:t xml:space="preserve">omgeving van luchthavens in kaart te brengen. Zo is </w:t>
      </w:r>
      <w:r w:rsidR="00B22320">
        <w:t>de</w:t>
      </w:r>
      <w:r w:rsidR="00BB3DA3">
        <w:t xml:space="preserve"> Kamer</w:t>
      </w:r>
      <w:r w:rsidR="00D127DA">
        <w:t xml:space="preserve"> </w:t>
      </w:r>
      <w:r w:rsidR="00BB3DA3">
        <w:t xml:space="preserve">in </w:t>
      </w:r>
      <w:r w:rsidR="00720504">
        <w:t>juni 2022 geïnformeerd over een onderzoek naar</w:t>
      </w:r>
      <w:r w:rsidR="00E27ECD">
        <w:t xml:space="preserve"> </w:t>
      </w:r>
      <w:r w:rsidR="00720504">
        <w:t>de effecten van ultrafijnstof op de leefomgeving van Schiphol</w:t>
      </w:r>
      <w:r w:rsidR="00720504">
        <w:rPr>
          <w:rStyle w:val="FootnoteReference"/>
        </w:rPr>
        <w:footnoteReference w:id="2"/>
      </w:r>
      <w:r w:rsidR="00D127DA">
        <w:t>. I</w:t>
      </w:r>
      <w:r w:rsidR="00BB3DA3">
        <w:t>n</w:t>
      </w:r>
      <w:r w:rsidR="00361CE2">
        <w:t xml:space="preserve"> december 2023</w:t>
      </w:r>
      <w:r w:rsidR="00361CE2">
        <w:rPr>
          <w:rStyle w:val="FootnoteReference"/>
        </w:rPr>
        <w:footnoteReference w:id="3"/>
      </w:r>
      <w:r w:rsidR="0097664A">
        <w:t xml:space="preserve"> en september 2024</w:t>
      </w:r>
      <w:r w:rsidR="0097664A">
        <w:rPr>
          <w:rStyle w:val="FootnoteReference"/>
        </w:rPr>
        <w:footnoteReference w:id="4"/>
      </w:r>
      <w:r w:rsidR="00D127DA">
        <w:t xml:space="preserve"> </w:t>
      </w:r>
      <w:r w:rsidR="00B22320">
        <w:t xml:space="preserve">is de Kamer </w:t>
      </w:r>
      <w:r w:rsidR="00D127DA">
        <w:t>geïnformeerd</w:t>
      </w:r>
      <w:r w:rsidR="00361CE2">
        <w:t xml:space="preserve"> over de resultaten van vier </w:t>
      </w:r>
      <w:r w:rsidR="00BB3DA3">
        <w:t xml:space="preserve">aanvullende onderzoeken </w:t>
      </w:r>
      <w:r w:rsidR="00E91777">
        <w:t>naar</w:t>
      </w:r>
      <w:r w:rsidR="00BB3DA3">
        <w:t xml:space="preserve"> luchtkwaliteit. Naar aanleiding van de resultaten van deze onderzoeken zijn vervolgstappen </w:t>
      </w:r>
      <w:r w:rsidR="00E91777">
        <w:t>ondernomen</w:t>
      </w:r>
      <w:r w:rsidR="005E7FF7">
        <w:t xml:space="preserve">. In deze brief </w:t>
      </w:r>
      <w:r w:rsidR="00B22320">
        <w:t>wordt de Kamer</w:t>
      </w:r>
      <w:r w:rsidR="005E7FF7">
        <w:t xml:space="preserve"> </w:t>
      </w:r>
      <w:r w:rsidR="00B22320">
        <w:t xml:space="preserve">geïnformeerd </w:t>
      </w:r>
      <w:r w:rsidR="005E7FF7">
        <w:t>over de resultaten van dit proces.</w:t>
      </w:r>
    </w:p>
    <w:p w:rsidR="005E7FF7" w:rsidP="00B22320" w:rsidRDefault="005E7FF7" w14:paraId="761E2A4F" w14:textId="77777777"/>
    <w:p w:rsidRPr="005E7FF7" w:rsidR="005E7FF7" w:rsidP="00B22320" w:rsidRDefault="005E7FF7" w14:paraId="62D41282" w14:textId="49DE2154">
      <w:pPr>
        <w:rPr>
          <w:b/>
          <w:bCs/>
        </w:rPr>
      </w:pPr>
      <w:r w:rsidRPr="005E7FF7">
        <w:rPr>
          <w:b/>
          <w:bCs/>
        </w:rPr>
        <w:t>Beleidskeuzes luchtkwaliteit</w:t>
      </w:r>
    </w:p>
    <w:p w:rsidR="005E7FF7" w:rsidP="00B22320" w:rsidRDefault="00D127DA" w14:paraId="56473308" w14:textId="4A508245">
      <w:r>
        <w:t xml:space="preserve">In december 2023 </w:t>
      </w:r>
      <w:r w:rsidR="00B22320">
        <w:t>zijn</w:t>
      </w:r>
      <w:r>
        <w:t xml:space="preserve"> de o</w:t>
      </w:r>
      <w:r w:rsidR="005E7FF7">
        <w:t>nderzoeken naar de bijdrage van luchtvaart aan de lokale luchtkwaliteit en Zeer Zorgwekkende Stoffen</w:t>
      </w:r>
      <w:r w:rsidR="006E5FDC">
        <w:t xml:space="preserve"> (ZZS)</w:t>
      </w:r>
      <w:r w:rsidR="005E7FF7">
        <w:t xml:space="preserve"> met </w:t>
      </w:r>
      <w:r w:rsidR="00B22320">
        <w:t>de</w:t>
      </w:r>
      <w:r w:rsidR="005E7FF7">
        <w:t xml:space="preserve"> Kamer gedeeld</w:t>
      </w:r>
      <w:r>
        <w:t xml:space="preserve">. Op basis hiervan </w:t>
      </w:r>
      <w:r w:rsidR="005E7FF7">
        <w:t>zijn beleidskeuzes gemaakt voor de regionale luchthavens van nationale betekenis.</w:t>
      </w:r>
      <w:r w:rsidR="00F57089">
        <w:t xml:space="preserve"> </w:t>
      </w:r>
      <w:r>
        <w:t>Dit betreft d</w:t>
      </w:r>
      <w:r w:rsidR="00F57089">
        <w:t>e luchthavens Groningen Airport Eelde (GAE), Maastricht Aachen Airport (MAA) en Rotterdam The Hague Airport (RTHA)</w:t>
      </w:r>
      <w:r>
        <w:t xml:space="preserve">. Deze luchthavens </w:t>
      </w:r>
      <w:r w:rsidR="00F57089">
        <w:t>krijgen een luchthavenbesluit ter vervanging van hun</w:t>
      </w:r>
      <w:r>
        <w:t xml:space="preserve"> huidige</w:t>
      </w:r>
      <w:r w:rsidR="00F57089">
        <w:t xml:space="preserve"> </w:t>
      </w:r>
      <w:r>
        <w:t>O</w:t>
      </w:r>
      <w:r w:rsidR="00F57089">
        <w:t xml:space="preserve">mzettingsregeling. In deze </w:t>
      </w:r>
      <w:r w:rsidR="002374E7">
        <w:t>luchthavenbesluiten word</w:t>
      </w:r>
      <w:r>
        <w:t>t</w:t>
      </w:r>
      <w:r w:rsidR="002374E7">
        <w:t xml:space="preserve"> een aantal maatregelen opgenomen om de luchtkwaliteit op en rondom de luchthaven te verbeteren. </w:t>
      </w:r>
    </w:p>
    <w:p w:rsidR="005E7FF7" w:rsidP="00B22320" w:rsidRDefault="005E7FF7" w14:paraId="3CCC8316" w14:textId="77777777"/>
    <w:p w:rsidR="002374E7" w:rsidP="00B22320" w:rsidRDefault="002374E7" w14:paraId="75241BAA" w14:textId="51C1E075">
      <w:r>
        <w:t xml:space="preserve">Uit de onderzoeken blijkt dat de hulpstraalmotor (Auxiliary Power Unit; APU) en het taxiën een </w:t>
      </w:r>
      <w:r w:rsidR="003433ED">
        <w:t xml:space="preserve">belangrijk </w:t>
      </w:r>
      <w:r>
        <w:t xml:space="preserve">aandeel hebben </w:t>
      </w:r>
      <w:r w:rsidR="00051E14">
        <w:t>i</w:t>
      </w:r>
      <w:r w:rsidR="00E91777">
        <w:t>n</w:t>
      </w:r>
      <w:r w:rsidR="00F57089">
        <w:t xml:space="preserve"> </w:t>
      </w:r>
      <w:r>
        <w:t xml:space="preserve">de concentratie van </w:t>
      </w:r>
      <w:r w:rsidR="00051E14">
        <w:t xml:space="preserve">bepaalde </w:t>
      </w:r>
      <w:r>
        <w:t>luchtverontreinigende stoffen op de luchthaven. Daarom worden er</w:t>
      </w:r>
      <w:r w:rsidR="00F57089">
        <w:t>, net als op Schiphol,</w:t>
      </w:r>
      <w:r>
        <w:t xml:space="preserve"> regels opge</w:t>
      </w:r>
      <w:r w:rsidR="00051E14">
        <w:t>nomen</w:t>
      </w:r>
      <w:r>
        <w:t xml:space="preserve"> om het gebruik van de APU te beperken. </w:t>
      </w:r>
      <w:r w:rsidR="009A59A1">
        <w:t>Hiervoor</w:t>
      </w:r>
      <w:r>
        <w:t xml:space="preserve"> zullen de luchthavens (schone) alternati</w:t>
      </w:r>
      <w:r w:rsidR="009A59A1">
        <w:t>eve voorzieningen beschikbaar moeten stellen voor elektriciteit en geconditioneerde lucht. Gezagvoerders moeten</w:t>
      </w:r>
      <w:r w:rsidR="00E91777">
        <w:t>,</w:t>
      </w:r>
      <w:r w:rsidR="009A59A1">
        <w:t xml:space="preserve"> wanneer deze voorzieningen beschikbaar zijn</w:t>
      </w:r>
      <w:r w:rsidR="00051E14">
        <w:t>,</w:t>
      </w:r>
      <w:r w:rsidR="009A59A1">
        <w:t xml:space="preserve"> hier </w:t>
      </w:r>
      <w:r w:rsidR="00532530">
        <w:t xml:space="preserve">indien </w:t>
      </w:r>
      <w:r w:rsidR="009A59A1">
        <w:t xml:space="preserve">mogelijk gebruik van maken. Daarnaast wordt het taxiën met minder motoren bevorderd. In het </w:t>
      </w:r>
      <w:r w:rsidR="009A59A1">
        <w:lastRenderedPageBreak/>
        <w:t>Ontwerp Luchthavenbesluit</w:t>
      </w:r>
      <w:r>
        <w:rPr>
          <w:rStyle w:val="FootnoteReference"/>
        </w:rPr>
        <w:footnoteReference w:id="5"/>
      </w:r>
      <w:r>
        <w:t xml:space="preserve"> van Luchthaven Eelde </w:t>
      </w:r>
      <w:r w:rsidR="009A59A1">
        <w:t>zijn deze maatregelen inmiddels opgenomen en wordt de werking hiervan nader toegelicht.</w:t>
      </w:r>
    </w:p>
    <w:p w:rsidR="00EA7866" w:rsidP="00B22320" w:rsidRDefault="00EA7866" w14:paraId="7FA559A1" w14:textId="77777777"/>
    <w:p w:rsidR="005E7FF7" w:rsidP="00B22320" w:rsidRDefault="001F1C0B" w14:paraId="5C210ADC" w14:textId="6AEE10B8">
      <w:r>
        <w:t xml:space="preserve">Uit de onderzoeken die in december 2023 met de Kamer zijn gedeeld </w:t>
      </w:r>
      <w:r w:rsidR="0086085E">
        <w:t>volgde</w:t>
      </w:r>
      <w:r>
        <w:t xml:space="preserve"> dat de bijdrage van de luchtvaart aan de lokale luchtkwaliteit beperkt </w:t>
      </w:r>
      <w:r w:rsidR="0086085E">
        <w:t>leek te zijn</w:t>
      </w:r>
      <w:r w:rsidR="008A63F1">
        <w:t xml:space="preserve"> </w:t>
      </w:r>
      <w:r>
        <w:t xml:space="preserve">ten opzichte van de concentraties van andere bronnen. </w:t>
      </w:r>
      <w:r w:rsidR="0086085E">
        <w:t>In de luchthavenbesluiten voor de regionale luchthavens van nationale betekenis is er daarom niet gekozen voor het vastleggen van (absolute) grenswaarden voor emissies.</w:t>
      </w:r>
    </w:p>
    <w:p w:rsidR="005E7FF7" w:rsidP="00B22320" w:rsidRDefault="005E7FF7" w14:paraId="530164F5" w14:textId="77777777">
      <w:pPr>
        <w:rPr>
          <w:b/>
          <w:bCs/>
        </w:rPr>
      </w:pPr>
    </w:p>
    <w:p w:rsidR="00E92D68" w:rsidP="00B22320" w:rsidRDefault="00E92D68" w14:paraId="3E99FDA3" w14:textId="446893EF">
      <w:pPr>
        <w:rPr>
          <w:b/>
          <w:bCs/>
        </w:rPr>
      </w:pPr>
      <w:r w:rsidRPr="005E7FF7">
        <w:rPr>
          <w:b/>
          <w:bCs/>
        </w:rPr>
        <w:t>Expertgroep</w:t>
      </w:r>
      <w:r w:rsidR="001F5E80">
        <w:rPr>
          <w:b/>
          <w:bCs/>
        </w:rPr>
        <w:t xml:space="preserve"> effecten van de luchtvaart op de lokale </w:t>
      </w:r>
      <w:r w:rsidR="00EA7866">
        <w:rPr>
          <w:b/>
          <w:bCs/>
        </w:rPr>
        <w:t>luchtkwaliteit</w:t>
      </w:r>
    </w:p>
    <w:p w:rsidRPr="00F57089" w:rsidR="000401C0" w:rsidP="00B22320" w:rsidRDefault="000401C0" w14:paraId="2FD0BC53" w14:textId="77777777">
      <w:pPr>
        <w:autoSpaceDN/>
        <w:textAlignment w:val="center"/>
        <w:rPr>
          <w:i/>
          <w:color w:val="auto"/>
        </w:rPr>
      </w:pPr>
      <w:r w:rsidRPr="00F57089">
        <w:rPr>
          <w:i/>
          <w:color w:val="auto"/>
        </w:rPr>
        <w:t>Aanleiding voor de expertgroep</w:t>
      </w:r>
    </w:p>
    <w:p w:rsidRPr="008B6664" w:rsidR="000401C0" w:rsidP="00B22320" w:rsidRDefault="000F6297" w14:paraId="75D58A73" w14:textId="5F15BC79">
      <w:pPr>
        <w:autoSpaceDN/>
        <w:textAlignment w:val="center"/>
        <w:rPr>
          <w:rFonts w:eastAsia="Times New Roman" w:cs="Calibri"/>
          <w:color w:val="auto"/>
        </w:rPr>
      </w:pPr>
      <w:r w:rsidRPr="00F57089">
        <w:rPr>
          <w:color w:val="auto"/>
        </w:rPr>
        <w:t>I</w:t>
      </w:r>
      <w:r w:rsidRPr="00F57089" w:rsidR="000401C0">
        <w:rPr>
          <w:color w:val="auto"/>
        </w:rPr>
        <w:t xml:space="preserve">n de afgelopen jaren </w:t>
      </w:r>
      <w:r w:rsidRPr="00F57089">
        <w:rPr>
          <w:color w:val="auto"/>
        </w:rPr>
        <w:t xml:space="preserve">is er </w:t>
      </w:r>
      <w:r w:rsidRPr="00F57089" w:rsidR="000401C0">
        <w:rPr>
          <w:color w:val="auto"/>
        </w:rPr>
        <w:t xml:space="preserve">steeds meer aandacht voor de </w:t>
      </w:r>
      <w:r w:rsidR="008B6664">
        <w:rPr>
          <w:color w:val="auto"/>
        </w:rPr>
        <w:t>bijdrage</w:t>
      </w:r>
      <w:r w:rsidRPr="00F57089" w:rsidR="000401C0">
        <w:rPr>
          <w:color w:val="auto"/>
        </w:rPr>
        <w:t xml:space="preserve"> van luchtvaart </w:t>
      </w:r>
      <w:r w:rsidR="005F7B20">
        <w:rPr>
          <w:color w:val="auto"/>
        </w:rPr>
        <w:t>aan</w:t>
      </w:r>
      <w:r w:rsidRPr="00F57089" w:rsidR="000401C0">
        <w:rPr>
          <w:color w:val="auto"/>
        </w:rPr>
        <w:t xml:space="preserve"> de luchtkwaliteit. </w:t>
      </w:r>
      <w:r w:rsidRPr="00F57089">
        <w:rPr>
          <w:color w:val="auto"/>
        </w:rPr>
        <w:t>Dit is ook de aanleiding geweest voor een aantal onderzoeken d</w:t>
      </w:r>
      <w:r w:rsidR="00330EB8">
        <w:rPr>
          <w:color w:val="auto"/>
        </w:rPr>
        <w:t>at</w:t>
      </w:r>
      <w:r w:rsidRPr="00F57089">
        <w:rPr>
          <w:color w:val="auto"/>
        </w:rPr>
        <w:t xml:space="preserve"> in opdracht van het ministerie </w:t>
      </w:r>
      <w:r w:rsidR="00330EB8">
        <w:rPr>
          <w:color w:val="auto"/>
        </w:rPr>
        <w:t>is</w:t>
      </w:r>
      <w:r w:rsidRPr="00F57089">
        <w:rPr>
          <w:color w:val="auto"/>
        </w:rPr>
        <w:t xml:space="preserve"> uitgevoerd</w:t>
      </w:r>
      <w:r w:rsidRPr="00F57089" w:rsidR="000401C0">
        <w:rPr>
          <w:color w:val="auto"/>
        </w:rPr>
        <w:t xml:space="preserve">. Uit de onderzoeken </w:t>
      </w:r>
      <w:r w:rsidR="005F7B20">
        <w:rPr>
          <w:color w:val="auto"/>
        </w:rPr>
        <w:t xml:space="preserve">volgde </w:t>
      </w:r>
      <w:r w:rsidRPr="00F57089" w:rsidR="000401C0">
        <w:rPr>
          <w:color w:val="auto"/>
        </w:rPr>
        <w:t xml:space="preserve">dat </w:t>
      </w:r>
      <w:r w:rsidR="008B6664">
        <w:rPr>
          <w:color w:val="auto"/>
        </w:rPr>
        <w:t>de bijdrage</w:t>
      </w:r>
      <w:r w:rsidRPr="00F57089" w:rsidR="000401C0">
        <w:rPr>
          <w:color w:val="auto"/>
        </w:rPr>
        <w:t xml:space="preserve"> van luchtvaart op de lokale luchtkwaliteit voor een aantal stoffen beperkt</w:t>
      </w:r>
      <w:r w:rsidRPr="00F57089">
        <w:rPr>
          <w:color w:val="auto"/>
        </w:rPr>
        <w:t xml:space="preserve"> </w:t>
      </w:r>
      <w:r w:rsidR="005F7B20">
        <w:rPr>
          <w:color w:val="auto"/>
        </w:rPr>
        <w:t>l</w:t>
      </w:r>
      <w:r w:rsidR="00B22320">
        <w:rPr>
          <w:color w:val="auto"/>
        </w:rPr>
        <w:t>ij</w:t>
      </w:r>
      <w:r w:rsidR="005F7B20">
        <w:rPr>
          <w:color w:val="auto"/>
        </w:rPr>
        <w:t>k</w:t>
      </w:r>
      <w:r w:rsidR="00B22320">
        <w:rPr>
          <w:color w:val="auto"/>
        </w:rPr>
        <w:t>t</w:t>
      </w:r>
      <w:r w:rsidR="005F7B20">
        <w:rPr>
          <w:color w:val="auto"/>
        </w:rPr>
        <w:t xml:space="preserve"> </w:t>
      </w:r>
      <w:r w:rsidRPr="00F57089">
        <w:rPr>
          <w:color w:val="auto"/>
        </w:rPr>
        <w:t>te zijn</w:t>
      </w:r>
      <w:r w:rsidRPr="008B6664" w:rsidR="000401C0">
        <w:rPr>
          <w:color w:val="auto"/>
        </w:rPr>
        <w:t xml:space="preserve">. </w:t>
      </w:r>
      <w:r w:rsidRPr="008B6664" w:rsidR="0033423E">
        <w:rPr>
          <w:rFonts w:eastAsia="Times New Roman" w:cs="Calibri"/>
          <w:color w:val="auto"/>
        </w:rPr>
        <w:t xml:space="preserve">Tegelijkertijd </w:t>
      </w:r>
      <w:r w:rsidR="005F7B20">
        <w:rPr>
          <w:rFonts w:eastAsia="Times New Roman" w:cs="Calibri"/>
          <w:color w:val="auto"/>
        </w:rPr>
        <w:t xml:space="preserve">blijven er maatschappelijke zorgen </w:t>
      </w:r>
      <w:r w:rsidRPr="008B6664" w:rsidR="0033423E">
        <w:rPr>
          <w:rFonts w:eastAsia="Times New Roman" w:cs="Calibri"/>
          <w:color w:val="auto"/>
        </w:rPr>
        <w:t>over de luchtkwaliteit.</w:t>
      </w:r>
    </w:p>
    <w:p w:rsidRPr="00F57089" w:rsidR="000401C0" w:rsidP="00B22320" w:rsidRDefault="000401C0" w14:paraId="1C2D56DD" w14:textId="77777777">
      <w:pPr>
        <w:autoSpaceDN/>
        <w:textAlignment w:val="center"/>
        <w:rPr>
          <w:color w:val="auto"/>
        </w:rPr>
      </w:pPr>
    </w:p>
    <w:p w:rsidRPr="00F57089" w:rsidR="000F6297" w:rsidP="00B22320" w:rsidRDefault="000401C0" w14:paraId="6346398F" w14:textId="7711D048">
      <w:pPr>
        <w:autoSpaceDN/>
        <w:textAlignment w:val="center"/>
        <w:rPr>
          <w:color w:val="auto"/>
        </w:rPr>
      </w:pPr>
      <w:r w:rsidRPr="00F57089">
        <w:rPr>
          <w:color w:val="auto"/>
        </w:rPr>
        <w:t xml:space="preserve">Naar aanleiding hiervan heeft het ministerie een onafhankelijke expertgroep gevraagd om </w:t>
      </w:r>
      <w:r w:rsidR="005F7B20">
        <w:rPr>
          <w:color w:val="auto"/>
        </w:rPr>
        <w:t xml:space="preserve">de </w:t>
      </w:r>
      <w:r w:rsidRPr="00F57089">
        <w:rPr>
          <w:color w:val="auto"/>
        </w:rPr>
        <w:t xml:space="preserve">vier onderzoeken </w:t>
      </w:r>
      <w:r w:rsidRPr="0097664A" w:rsidR="00617917">
        <w:rPr>
          <w:color w:val="auto"/>
        </w:rPr>
        <w:t xml:space="preserve">te beoordelen </w:t>
      </w:r>
      <w:r w:rsidRPr="00F57089">
        <w:rPr>
          <w:color w:val="auto"/>
        </w:rPr>
        <w:t xml:space="preserve">die in december 2023 naar de Kamer zijn verstuurd. </w:t>
      </w:r>
      <w:r w:rsidR="005F7B20">
        <w:rPr>
          <w:color w:val="auto"/>
        </w:rPr>
        <w:t xml:space="preserve">De expertgroep bestaat uit vier leden. Om te borgen </w:t>
      </w:r>
      <w:r w:rsidRPr="00F57089">
        <w:rPr>
          <w:color w:val="auto"/>
        </w:rPr>
        <w:t xml:space="preserve">dat omwonenden zich vertegenwoordigd voelen door de expertgroep konden omwonenden uit de Commissies Regionaal Overleg (CRO’s) en de Maatschappelijke Raad Schiphol (MRS) beide één expert voordragen. Het ministerie heeft </w:t>
      </w:r>
      <w:r w:rsidRPr="00F57089" w:rsidR="000F6297">
        <w:rPr>
          <w:color w:val="auto"/>
        </w:rPr>
        <w:t xml:space="preserve">daarnaast </w:t>
      </w:r>
      <w:r w:rsidRPr="00F57089">
        <w:rPr>
          <w:color w:val="auto"/>
        </w:rPr>
        <w:t>twee experts namens het RIVM en de TU Delft/Cambridge</w:t>
      </w:r>
      <w:r w:rsidR="006E5FDC">
        <w:rPr>
          <w:color w:val="auto"/>
        </w:rPr>
        <w:t xml:space="preserve"> University</w:t>
      </w:r>
      <w:r w:rsidRPr="00F57089">
        <w:rPr>
          <w:color w:val="auto"/>
        </w:rPr>
        <w:t xml:space="preserve"> gevraagd deel te nemen. </w:t>
      </w:r>
    </w:p>
    <w:p w:rsidRPr="00F57089" w:rsidR="000F6297" w:rsidP="00B22320" w:rsidRDefault="000F6297" w14:paraId="6396670C" w14:textId="77777777">
      <w:pPr>
        <w:autoSpaceDN/>
        <w:textAlignment w:val="center"/>
        <w:rPr>
          <w:color w:val="auto"/>
        </w:rPr>
      </w:pPr>
    </w:p>
    <w:p w:rsidRPr="00F57089" w:rsidR="000401C0" w:rsidP="00B22320" w:rsidRDefault="000F6297" w14:paraId="126A2425" w14:textId="3E1B4476">
      <w:pPr>
        <w:autoSpaceDN/>
        <w:textAlignment w:val="center"/>
        <w:rPr>
          <w:color w:val="auto"/>
        </w:rPr>
      </w:pPr>
      <w:r w:rsidRPr="00F57089">
        <w:rPr>
          <w:color w:val="auto"/>
        </w:rPr>
        <w:t>De expertgroep is gevraagd de rapporten individueel te beoordelen</w:t>
      </w:r>
      <w:r w:rsidR="00330EB8">
        <w:rPr>
          <w:color w:val="auto"/>
        </w:rPr>
        <w:t xml:space="preserve"> en</w:t>
      </w:r>
      <w:r w:rsidRPr="00F57089">
        <w:rPr>
          <w:color w:val="auto"/>
        </w:rPr>
        <w:t xml:space="preserve"> ook te kijken naar de samenhang van de resultaten. Daarmee zijn de aannames, berekeningen en resultaten van deze onderzoeken onafhankelijk beoordeeld. Daarnaast is de expertgroep gevraagd </w:t>
      </w:r>
      <w:r w:rsidR="00330EB8">
        <w:rPr>
          <w:color w:val="auto"/>
        </w:rPr>
        <w:t xml:space="preserve">te beoordelen </w:t>
      </w:r>
      <w:r w:rsidRPr="00F57089">
        <w:rPr>
          <w:color w:val="auto"/>
        </w:rPr>
        <w:t xml:space="preserve">of de onderzoeken ook inzicht bieden in de effecten van </w:t>
      </w:r>
      <w:r w:rsidR="005F7B20">
        <w:rPr>
          <w:color w:val="auto"/>
        </w:rPr>
        <w:t>luchtvaart</w:t>
      </w:r>
      <w:r w:rsidRPr="00F57089">
        <w:rPr>
          <w:color w:val="auto"/>
        </w:rPr>
        <w:t xml:space="preserve">emissies op de gezondheid. </w:t>
      </w:r>
      <w:r w:rsidRPr="00F57089" w:rsidR="000401C0">
        <w:rPr>
          <w:color w:val="auto"/>
        </w:rPr>
        <w:t xml:space="preserve">Het </w:t>
      </w:r>
      <w:r w:rsidRPr="00F57089">
        <w:rPr>
          <w:color w:val="auto"/>
        </w:rPr>
        <w:t>oordeel</w:t>
      </w:r>
      <w:r w:rsidRPr="00F57089" w:rsidR="000401C0">
        <w:rPr>
          <w:color w:val="auto"/>
        </w:rPr>
        <w:t xml:space="preserve"> van de expertgroep </w:t>
      </w:r>
      <w:r w:rsidRPr="00F57089">
        <w:rPr>
          <w:color w:val="auto"/>
        </w:rPr>
        <w:t>is te vinden</w:t>
      </w:r>
      <w:r w:rsidRPr="00F57089" w:rsidR="000401C0">
        <w:rPr>
          <w:color w:val="auto"/>
        </w:rPr>
        <w:t xml:space="preserve"> in </w:t>
      </w:r>
      <w:r w:rsidR="002D0EF7">
        <w:rPr>
          <w:color w:val="auto"/>
        </w:rPr>
        <w:t>de bijlage bij deze brief</w:t>
      </w:r>
      <w:r w:rsidRPr="00F57089" w:rsidR="000401C0">
        <w:rPr>
          <w:color w:val="auto"/>
        </w:rPr>
        <w:t>.</w:t>
      </w:r>
    </w:p>
    <w:p w:rsidRPr="00F57089" w:rsidR="000401C0" w:rsidP="00B22320" w:rsidRDefault="000401C0" w14:paraId="0CF95A57" w14:textId="77777777">
      <w:pPr>
        <w:autoSpaceDN/>
        <w:textAlignment w:val="center"/>
        <w:rPr>
          <w:color w:val="auto"/>
        </w:rPr>
      </w:pPr>
    </w:p>
    <w:p w:rsidRPr="00F57089" w:rsidR="000401C0" w:rsidP="00B22320" w:rsidRDefault="000401C0" w14:paraId="550B663D" w14:textId="77777777">
      <w:pPr>
        <w:autoSpaceDN/>
        <w:textAlignment w:val="center"/>
        <w:rPr>
          <w:i/>
          <w:color w:val="auto"/>
        </w:rPr>
      </w:pPr>
      <w:r w:rsidRPr="00F57089">
        <w:rPr>
          <w:i/>
          <w:color w:val="auto"/>
        </w:rPr>
        <w:t>Expertoordeel en aanbevelingen van de expertgroep</w:t>
      </w:r>
    </w:p>
    <w:p w:rsidR="00BD42FC" w:rsidP="00B22320" w:rsidRDefault="00A02A44" w14:paraId="7B521AD4" w14:textId="703DD99E">
      <w:pPr>
        <w:autoSpaceDN/>
        <w:textAlignment w:val="center"/>
        <w:rPr>
          <w:color w:val="auto"/>
        </w:rPr>
      </w:pPr>
      <w:r w:rsidRPr="00F57089">
        <w:rPr>
          <w:color w:val="auto"/>
        </w:rPr>
        <w:t xml:space="preserve">De expertgroep concludeert dat de individuele onderzoeken </w:t>
      </w:r>
      <w:r w:rsidR="00F57089">
        <w:rPr>
          <w:color w:val="auto"/>
        </w:rPr>
        <w:t xml:space="preserve">binnen hun scope </w:t>
      </w:r>
      <w:r w:rsidRPr="00F57089">
        <w:rPr>
          <w:color w:val="auto"/>
        </w:rPr>
        <w:t>goed zijn uitgevoerd, maar geeft</w:t>
      </w:r>
      <w:r w:rsidRPr="00F57089" w:rsidR="00E6120C">
        <w:rPr>
          <w:color w:val="auto"/>
        </w:rPr>
        <w:t xml:space="preserve"> </w:t>
      </w:r>
      <w:r w:rsidR="00330EB8">
        <w:rPr>
          <w:color w:val="auto"/>
        </w:rPr>
        <w:t xml:space="preserve">ook </w:t>
      </w:r>
      <w:r w:rsidRPr="00F57089" w:rsidR="00E6120C">
        <w:rPr>
          <w:color w:val="auto"/>
        </w:rPr>
        <w:t>een kritisch algemeen oordeel over de</w:t>
      </w:r>
      <w:r w:rsidRPr="00F57089">
        <w:rPr>
          <w:color w:val="auto"/>
        </w:rPr>
        <w:t xml:space="preserve"> samenhang</w:t>
      </w:r>
      <w:r w:rsidR="006E5FDC">
        <w:rPr>
          <w:color w:val="auto"/>
        </w:rPr>
        <w:t xml:space="preserve"> en uitgangspunten</w:t>
      </w:r>
      <w:r w:rsidRPr="00F57089">
        <w:rPr>
          <w:color w:val="auto"/>
        </w:rPr>
        <w:t xml:space="preserve"> van de</w:t>
      </w:r>
      <w:r w:rsidRPr="00F57089" w:rsidR="00E6120C">
        <w:rPr>
          <w:color w:val="auto"/>
        </w:rPr>
        <w:t xml:space="preserve"> onderzoeken. Dit oordeel ziet toe op drie punten. </w:t>
      </w:r>
    </w:p>
    <w:p w:rsidR="00100D27" w:rsidP="00B22320" w:rsidRDefault="00100D27" w14:paraId="3690EEA3" w14:textId="77777777">
      <w:pPr>
        <w:autoSpaceDN/>
        <w:textAlignment w:val="center"/>
        <w:rPr>
          <w:color w:val="auto"/>
        </w:rPr>
      </w:pPr>
    </w:p>
    <w:p w:rsidRPr="0097664A" w:rsidR="00BD42FC" w:rsidP="00B22320" w:rsidRDefault="00617917" w14:paraId="26B54FEC" w14:textId="163C9130">
      <w:pPr>
        <w:pStyle w:val="ListParagraph"/>
        <w:numPr>
          <w:ilvl w:val="0"/>
          <w:numId w:val="35"/>
        </w:numPr>
        <w:autoSpaceDN/>
        <w:textAlignment w:val="center"/>
        <w:rPr>
          <w:color w:val="auto"/>
        </w:rPr>
      </w:pPr>
      <w:r w:rsidRPr="00F57089">
        <w:t>De</w:t>
      </w:r>
      <w:r w:rsidRPr="005F7B20" w:rsidR="00BD42FC">
        <w:rPr>
          <w:color w:val="auto"/>
        </w:rPr>
        <w:t xml:space="preserve"> expertgroep</w:t>
      </w:r>
      <w:r w:rsidRPr="00F57089">
        <w:t xml:space="preserve"> geeft</w:t>
      </w:r>
      <w:r w:rsidRPr="005F7B20" w:rsidR="00BD42FC">
        <w:rPr>
          <w:color w:val="auto"/>
        </w:rPr>
        <w:t xml:space="preserve"> aan een overkoepelende onderzoeksvraag en een uitgebreide literatuurstudie te missen.</w:t>
      </w:r>
      <w:r w:rsidR="00F05878">
        <w:rPr>
          <w:color w:val="auto"/>
        </w:rPr>
        <w:t xml:space="preserve"> </w:t>
      </w:r>
      <w:r w:rsidRPr="0097664A" w:rsidR="00952028">
        <w:rPr>
          <w:color w:val="auto"/>
        </w:rPr>
        <w:t xml:space="preserve">Hierbij heeft de expertgroep geconstateerd dat mede daardoor er een te beperkte onderbouwing is van de aannames en gebruikte methoden in de onderzoeken. </w:t>
      </w:r>
    </w:p>
    <w:p w:rsidRPr="00F57089" w:rsidR="00BD42FC" w:rsidP="00B22320" w:rsidRDefault="00BD42FC" w14:paraId="5453BD03" w14:textId="77777777">
      <w:pPr>
        <w:autoSpaceDN/>
        <w:textAlignment w:val="center"/>
        <w:rPr>
          <w:color w:val="auto"/>
        </w:rPr>
      </w:pPr>
    </w:p>
    <w:p w:rsidRPr="0097664A" w:rsidR="00E6120C" w:rsidP="00B22320" w:rsidRDefault="00100D27" w14:paraId="6B0A7C87" w14:textId="1CB85752">
      <w:pPr>
        <w:pStyle w:val="ListParagraph"/>
        <w:numPr>
          <w:ilvl w:val="0"/>
          <w:numId w:val="35"/>
        </w:numPr>
        <w:autoSpaceDN/>
        <w:textAlignment w:val="center"/>
        <w:rPr>
          <w:color w:val="auto"/>
        </w:rPr>
      </w:pPr>
      <w:r w:rsidRPr="002E6863">
        <w:rPr>
          <w:color w:val="auto"/>
        </w:rPr>
        <w:t>D</w:t>
      </w:r>
      <w:r w:rsidRPr="002E6863" w:rsidR="00B6224E">
        <w:rPr>
          <w:color w:val="auto"/>
        </w:rPr>
        <w:t xml:space="preserve">e expertgroep </w:t>
      </w:r>
      <w:r w:rsidRPr="002E6863">
        <w:rPr>
          <w:color w:val="auto"/>
        </w:rPr>
        <w:t xml:space="preserve">geeft </w:t>
      </w:r>
      <w:r w:rsidRPr="002E6863" w:rsidR="00B6224E">
        <w:rPr>
          <w:color w:val="auto"/>
        </w:rPr>
        <w:t xml:space="preserve">aan dat onvoldoende onderbouwd is welke stoffen en bronnen </w:t>
      </w:r>
      <w:r w:rsidRPr="002E6863" w:rsidR="007D4A77">
        <w:rPr>
          <w:color w:val="auto"/>
        </w:rPr>
        <w:t xml:space="preserve">wel en niet </w:t>
      </w:r>
      <w:r w:rsidRPr="002E6863" w:rsidR="00B6224E">
        <w:rPr>
          <w:color w:val="auto"/>
        </w:rPr>
        <w:t xml:space="preserve">zijn onderzocht. </w:t>
      </w:r>
      <w:r w:rsidRPr="002E6863" w:rsidR="002E6863">
        <w:rPr>
          <w:color w:val="auto"/>
        </w:rPr>
        <w:t>Daarnaast geeft de expertgroep aan dat de gemaakte keuzes een te beperkt beeld geven van de totale bijdrage van luchtvaart aan de lokale luchtkwaliteit.</w:t>
      </w:r>
      <w:r w:rsidR="002E6863">
        <w:rPr>
          <w:color w:val="auto"/>
        </w:rPr>
        <w:t xml:space="preserve"> Zij</w:t>
      </w:r>
      <w:r w:rsidRPr="0097664A" w:rsidR="00B6224E">
        <w:rPr>
          <w:color w:val="auto"/>
        </w:rPr>
        <w:t xml:space="preserve"> benoemt </w:t>
      </w:r>
      <w:r w:rsidR="002E6863">
        <w:rPr>
          <w:color w:val="auto"/>
        </w:rPr>
        <w:t xml:space="preserve">daarbij </w:t>
      </w:r>
      <w:r w:rsidRPr="0097664A" w:rsidR="00B6224E">
        <w:rPr>
          <w:color w:val="auto"/>
        </w:rPr>
        <w:t>een aantal stoffen d</w:t>
      </w:r>
      <w:r w:rsidR="00330EB8">
        <w:rPr>
          <w:color w:val="auto"/>
        </w:rPr>
        <w:t xml:space="preserve">at </w:t>
      </w:r>
      <w:r w:rsidRPr="0097664A" w:rsidR="00B6224E">
        <w:rPr>
          <w:color w:val="auto"/>
        </w:rPr>
        <w:t xml:space="preserve">in de onderzoeken niet meegenomen </w:t>
      </w:r>
      <w:r w:rsidR="00330EB8">
        <w:rPr>
          <w:color w:val="auto"/>
        </w:rPr>
        <w:t>is</w:t>
      </w:r>
      <w:r w:rsidR="00B22320">
        <w:rPr>
          <w:color w:val="auto"/>
        </w:rPr>
        <w:t>,</w:t>
      </w:r>
      <w:r w:rsidRPr="0097664A" w:rsidR="00B6224E">
        <w:rPr>
          <w:color w:val="auto"/>
        </w:rPr>
        <w:t xml:space="preserve"> maar wel een bewezen invloed hebben op de gezondheid</w:t>
      </w:r>
      <w:r w:rsidR="002E6863">
        <w:rPr>
          <w:color w:val="auto"/>
        </w:rPr>
        <w:t>.</w:t>
      </w:r>
      <w:r w:rsidRPr="0097664A" w:rsidR="007D4A77">
        <w:rPr>
          <w:color w:val="auto"/>
        </w:rPr>
        <w:t xml:space="preserve"> </w:t>
      </w:r>
      <w:r w:rsidRPr="0097664A" w:rsidR="00952028">
        <w:rPr>
          <w:color w:val="auto"/>
        </w:rPr>
        <w:t>D</w:t>
      </w:r>
      <w:r w:rsidRPr="0097664A" w:rsidR="00B6224E">
        <w:rPr>
          <w:color w:val="auto"/>
        </w:rPr>
        <w:t>aarnaast wijst de expertgroep erop dat in de verschillende onderzoeken alleen is gekeken naar het civiel vliegverkeer en bijvoorbeeld niet naar militair vliegverkeer, wegverkeer en andere bronnen op de luchthaven.</w:t>
      </w:r>
    </w:p>
    <w:p w:rsidRPr="00F57089" w:rsidR="00E6120C" w:rsidP="00B22320" w:rsidRDefault="00E6120C" w14:paraId="2EBB2FC7" w14:textId="77777777">
      <w:pPr>
        <w:autoSpaceDN/>
        <w:textAlignment w:val="center"/>
        <w:rPr>
          <w:color w:val="auto"/>
        </w:rPr>
      </w:pPr>
    </w:p>
    <w:p w:rsidRPr="00100D27" w:rsidR="00B6224E" w:rsidP="00B22320" w:rsidRDefault="00A02A44" w14:paraId="2B91F572" w14:textId="60D0A055">
      <w:pPr>
        <w:pStyle w:val="ListParagraph"/>
        <w:numPr>
          <w:ilvl w:val="0"/>
          <w:numId w:val="35"/>
        </w:numPr>
        <w:autoSpaceDN/>
        <w:textAlignment w:val="center"/>
        <w:rPr>
          <w:color w:val="auto"/>
        </w:rPr>
      </w:pPr>
      <w:r w:rsidRPr="00100D27">
        <w:rPr>
          <w:color w:val="auto"/>
        </w:rPr>
        <w:t xml:space="preserve">De expertgroep geeft aan dat op basis van de onderzoeken geen conclusie getrokken kan worden over de effecten op gezondheid. </w:t>
      </w:r>
    </w:p>
    <w:p w:rsidRPr="00F57089" w:rsidR="00A02A44" w:rsidP="00B22320" w:rsidRDefault="00A02A44" w14:paraId="338214C9" w14:textId="77777777">
      <w:pPr>
        <w:autoSpaceDN/>
        <w:textAlignment w:val="center"/>
        <w:rPr>
          <w:color w:val="auto"/>
        </w:rPr>
      </w:pPr>
    </w:p>
    <w:p w:rsidRPr="00F57089" w:rsidR="00A02A44" w:rsidP="002E6863" w:rsidRDefault="00A02A44" w14:paraId="416B4AFD" w14:textId="720BC640">
      <w:pPr>
        <w:autoSpaceDN/>
        <w:textAlignment w:val="center"/>
        <w:rPr>
          <w:color w:val="auto"/>
        </w:rPr>
      </w:pPr>
      <w:r w:rsidRPr="00F57089">
        <w:rPr>
          <w:color w:val="auto"/>
        </w:rPr>
        <w:t xml:space="preserve">Samenvattend concludeert de expertgroep dat de </w:t>
      </w:r>
      <w:r w:rsidR="00034DA1">
        <w:rPr>
          <w:color w:val="auto"/>
        </w:rPr>
        <w:t>resultaten</w:t>
      </w:r>
      <w:r w:rsidR="002E6863">
        <w:rPr>
          <w:color w:val="auto"/>
        </w:rPr>
        <w:t xml:space="preserve"> uit de </w:t>
      </w:r>
      <w:r w:rsidRPr="00F57089">
        <w:rPr>
          <w:color w:val="auto"/>
        </w:rPr>
        <w:t xml:space="preserve">individuele onderzoeken </w:t>
      </w:r>
      <w:r w:rsidR="002E6863">
        <w:rPr>
          <w:color w:val="auto"/>
        </w:rPr>
        <w:t>op basis van de gekozen methodes en aannames</w:t>
      </w:r>
      <w:r w:rsidR="00034DA1">
        <w:rPr>
          <w:color w:val="auto"/>
        </w:rPr>
        <w:t xml:space="preserve"> verwacht kunnen worden</w:t>
      </w:r>
      <w:r w:rsidR="002E6863">
        <w:rPr>
          <w:color w:val="auto"/>
        </w:rPr>
        <w:t xml:space="preserve">. Echter, </w:t>
      </w:r>
      <w:r w:rsidR="00034DA1">
        <w:rPr>
          <w:color w:val="auto"/>
        </w:rPr>
        <w:t xml:space="preserve">in de onderzoeken ontbreekt </w:t>
      </w:r>
      <w:r w:rsidR="002E6863">
        <w:rPr>
          <w:color w:val="auto"/>
        </w:rPr>
        <w:t>een systematische</w:t>
      </w:r>
      <w:r w:rsidRPr="00F57089">
        <w:rPr>
          <w:color w:val="auto"/>
        </w:rPr>
        <w:t xml:space="preserve"> </w:t>
      </w:r>
      <w:r w:rsidR="002E6863">
        <w:rPr>
          <w:color w:val="auto"/>
        </w:rPr>
        <w:t>analyse en</w:t>
      </w:r>
      <w:r w:rsidR="00034DA1">
        <w:rPr>
          <w:color w:val="auto"/>
        </w:rPr>
        <w:t xml:space="preserve"> ook een</w:t>
      </w:r>
      <w:r w:rsidRPr="00F57089">
        <w:rPr>
          <w:color w:val="auto"/>
        </w:rPr>
        <w:t xml:space="preserve"> overkoepelende onderzoeksvraag ontbreekt. Daarom is het niet mogelijk om uit de onderzoeken een gezamenlijke conclusie te trekken</w:t>
      </w:r>
      <w:r w:rsidR="002E6863">
        <w:rPr>
          <w:color w:val="auto"/>
        </w:rPr>
        <w:t xml:space="preserve"> over de bijdrage van luchtvaart aan de lokale luchtkwaliteit en daarmee de gezondheid</w:t>
      </w:r>
      <w:r w:rsidRPr="00F57089">
        <w:rPr>
          <w:color w:val="auto"/>
        </w:rPr>
        <w:t>.</w:t>
      </w:r>
    </w:p>
    <w:p w:rsidRPr="00F57089" w:rsidR="00A02A44" w:rsidP="00B22320" w:rsidRDefault="00A02A44" w14:paraId="0D6267BC" w14:textId="77777777">
      <w:pPr>
        <w:autoSpaceDN/>
        <w:textAlignment w:val="center"/>
        <w:rPr>
          <w:i/>
          <w:color w:val="auto"/>
        </w:rPr>
      </w:pPr>
    </w:p>
    <w:p w:rsidR="00A363A6" w:rsidP="00B22320" w:rsidRDefault="000401C0" w14:paraId="3CB228BA" w14:textId="1714C8C1">
      <w:pPr>
        <w:autoSpaceDN/>
        <w:textAlignment w:val="center"/>
        <w:rPr>
          <w:color w:val="auto"/>
        </w:rPr>
      </w:pPr>
      <w:r w:rsidRPr="00F57089">
        <w:rPr>
          <w:i/>
          <w:color w:val="auto"/>
        </w:rPr>
        <w:t>Reactie van het ministerie</w:t>
      </w:r>
    </w:p>
    <w:p w:rsidR="00A363A6" w:rsidP="00B22320" w:rsidRDefault="00A363A6" w14:paraId="72221DB3" w14:textId="77777777">
      <w:pPr>
        <w:autoSpaceDN/>
        <w:textAlignment w:val="center"/>
        <w:rPr>
          <w:color w:val="auto"/>
        </w:rPr>
      </w:pPr>
    </w:p>
    <w:p w:rsidRPr="0097664A" w:rsidR="00632CE8" w:rsidP="00B22320" w:rsidRDefault="00632CE8" w14:paraId="037A129A" w14:textId="6C59468C">
      <w:pPr>
        <w:pStyle w:val="ListParagraph"/>
        <w:numPr>
          <w:ilvl w:val="0"/>
          <w:numId w:val="40"/>
        </w:numPr>
        <w:autoSpaceDN/>
        <w:textAlignment w:val="center"/>
        <w:rPr>
          <w:color w:val="auto"/>
          <w:u w:val="single"/>
        </w:rPr>
      </w:pPr>
      <w:r w:rsidRPr="0097664A">
        <w:rPr>
          <w:color w:val="auto"/>
          <w:u w:val="single"/>
        </w:rPr>
        <w:t>Overkoepelende onderzoeksvraag</w:t>
      </w:r>
    </w:p>
    <w:p w:rsidRPr="004370AC" w:rsidR="002E6863" w:rsidP="002E6863" w:rsidRDefault="00F05878" w14:paraId="637D15BE" w14:textId="4DADB261">
      <w:pPr>
        <w:pStyle w:val="ListParagraph"/>
        <w:autoSpaceDN/>
        <w:ind w:left="360"/>
        <w:textAlignment w:val="center"/>
        <w:rPr>
          <w:color w:val="auto"/>
        </w:rPr>
      </w:pPr>
      <w:r w:rsidRPr="00F05878">
        <w:rPr>
          <w:color w:val="auto"/>
        </w:rPr>
        <w:t xml:space="preserve">Het ministerie herkent zich in de conclusie dat een overkoepelende onderzoeksvraag ontbreekt. </w:t>
      </w:r>
      <w:r w:rsidR="006C2949">
        <w:rPr>
          <w:color w:val="auto"/>
        </w:rPr>
        <w:t xml:space="preserve">Dit was dan ook de voornaamste aanleiding om een expertgroep te vragen een oordeel te geven over de samenhang van de onderzoeken. </w:t>
      </w:r>
      <w:r w:rsidRPr="00F05878">
        <w:rPr>
          <w:color w:val="auto"/>
        </w:rPr>
        <w:t xml:space="preserve">Dit is deels te verklaren door het feit dat de onderzoeken vanuit een verschillend startpunt zijn uitgevoerd en in sommige gevallen een voortzetting zijn van eerdere onderzoeken. </w:t>
      </w:r>
      <w:r w:rsidR="006E5FDC">
        <w:rPr>
          <w:color w:val="auto"/>
        </w:rPr>
        <w:t>De onderzoekers geven aan dat er ten tijde van de onderzoeken weinig wetenschappelijke literatuur beschikbaar was</w:t>
      </w:r>
      <w:r w:rsidRPr="007527DA">
        <w:rPr>
          <w:color w:val="auto"/>
        </w:rPr>
        <w:t>.</w:t>
      </w:r>
      <w:r>
        <w:rPr>
          <w:color w:val="auto"/>
        </w:rPr>
        <w:t xml:space="preserve"> </w:t>
      </w:r>
      <w:r w:rsidRPr="00F05878">
        <w:rPr>
          <w:color w:val="auto"/>
        </w:rPr>
        <w:t xml:space="preserve">Dit doet echter niet af aan het oordeel van de expertgroep dat het hierdoor moeilijk is om een bredere conclusie over de </w:t>
      </w:r>
      <w:r w:rsidR="006E5FDC">
        <w:rPr>
          <w:color w:val="auto"/>
        </w:rPr>
        <w:t>bijdrage</w:t>
      </w:r>
      <w:r w:rsidRPr="00F05878">
        <w:rPr>
          <w:color w:val="auto"/>
        </w:rPr>
        <w:t xml:space="preserve"> van luchtvaartemissies te trekken op basis van de aangeboden onderzoeken.</w:t>
      </w:r>
    </w:p>
    <w:p w:rsidR="00F05878" w:rsidP="00B22320" w:rsidRDefault="00F05878" w14:paraId="05EACE72" w14:textId="77777777">
      <w:pPr>
        <w:pStyle w:val="ListParagraph"/>
        <w:autoSpaceDN/>
        <w:ind w:left="360"/>
        <w:textAlignment w:val="center"/>
        <w:rPr>
          <w:color w:val="auto"/>
        </w:rPr>
      </w:pPr>
    </w:p>
    <w:p w:rsidR="00632CE8" w:rsidP="00B22320" w:rsidRDefault="00632CE8" w14:paraId="5F1F6142" w14:textId="5DAADE17">
      <w:pPr>
        <w:pStyle w:val="ListParagraph"/>
        <w:numPr>
          <w:ilvl w:val="0"/>
          <w:numId w:val="40"/>
        </w:numPr>
        <w:autoSpaceDN/>
        <w:textAlignment w:val="center"/>
        <w:rPr>
          <w:color w:val="auto"/>
        </w:rPr>
      </w:pPr>
      <w:r>
        <w:rPr>
          <w:color w:val="auto"/>
          <w:u w:val="single"/>
        </w:rPr>
        <w:t>Onderzoekscope</w:t>
      </w:r>
    </w:p>
    <w:p w:rsidR="007527DA" w:rsidP="00B22320" w:rsidRDefault="007527DA" w14:paraId="1F314384" w14:textId="729106ED">
      <w:pPr>
        <w:pStyle w:val="ListParagraph"/>
        <w:autoSpaceDN/>
        <w:ind w:left="360"/>
        <w:textAlignment w:val="center"/>
        <w:rPr>
          <w:color w:val="auto"/>
        </w:rPr>
      </w:pPr>
      <w:r>
        <w:rPr>
          <w:color w:val="auto"/>
        </w:rPr>
        <w:t xml:space="preserve">De onderzoeken hebben zich met name gefocust op emissies die vrijkomen bij de verbranding van kerosine. Dit komt onder andere doordat deze uitstoot direct gekoppeld kan worden aan de luchtvaart. Doordat de eerste onderzoeken deze afbakening gebruikten is </w:t>
      </w:r>
      <w:r w:rsidR="00632CE8">
        <w:rPr>
          <w:color w:val="auto"/>
        </w:rPr>
        <w:t xml:space="preserve">daar </w:t>
      </w:r>
      <w:r>
        <w:rPr>
          <w:color w:val="auto"/>
        </w:rPr>
        <w:t>bij de daaropvolgende onderzoeken op voortgebouwd.</w:t>
      </w:r>
    </w:p>
    <w:p w:rsidRPr="007527DA" w:rsidR="007527DA" w:rsidP="00B22320" w:rsidRDefault="007527DA" w14:paraId="3F85EFCB" w14:textId="77777777">
      <w:pPr>
        <w:autoSpaceDN/>
        <w:textAlignment w:val="center"/>
        <w:rPr>
          <w:color w:val="auto"/>
        </w:rPr>
      </w:pPr>
    </w:p>
    <w:p w:rsidR="00D431FE" w:rsidP="00B22320" w:rsidRDefault="00C568AD" w14:paraId="581EC48D" w14:textId="48200AB1">
      <w:pPr>
        <w:autoSpaceDN/>
        <w:ind w:left="360"/>
        <w:textAlignment w:val="center"/>
        <w:rPr>
          <w:color w:val="auto"/>
        </w:rPr>
      </w:pPr>
      <w:r w:rsidRPr="007D4A77">
        <w:rPr>
          <w:color w:val="auto"/>
        </w:rPr>
        <w:t xml:space="preserve">De onderbouwing voor de onderzochte stoffen volgt onder andere uit de internationale </w:t>
      </w:r>
      <w:r w:rsidRPr="007527DA">
        <w:rPr>
          <w:i/>
          <w:iCs/>
          <w:color w:val="auto"/>
        </w:rPr>
        <w:t>ICAO emissions databank</w:t>
      </w:r>
      <w:r w:rsidRPr="007D4A77">
        <w:rPr>
          <w:color w:val="auto"/>
        </w:rPr>
        <w:t xml:space="preserve">. Hierin zijn de emissies opgenomen van een aantal luchtverontreinigende stoffen die bij het certificeren van vliegtuigmotoren gemeten zijn. </w:t>
      </w:r>
      <w:r w:rsidRPr="007D4A77" w:rsidR="006E5FDC">
        <w:rPr>
          <w:color w:val="auto"/>
        </w:rPr>
        <w:t xml:space="preserve">Het gaat hier dan bijvoorbeeld om de uitstoot van zwavel- en stikstofoxiden. </w:t>
      </w:r>
      <w:r w:rsidRPr="007D4A77">
        <w:rPr>
          <w:color w:val="auto"/>
        </w:rPr>
        <w:t xml:space="preserve">Deze emissiedatabase is ook gekoppeld </w:t>
      </w:r>
      <w:r w:rsidRPr="007D4A77" w:rsidR="00D431FE">
        <w:rPr>
          <w:color w:val="auto"/>
        </w:rPr>
        <w:t>aan de internationale emissie-model</w:t>
      </w:r>
      <w:r w:rsidRPr="006E5FDC" w:rsidR="00D431FE">
        <w:rPr>
          <w:color w:val="auto"/>
        </w:rPr>
        <w:t>len waarop de uniforme rekenmethode gebaseerd is</w:t>
      </w:r>
      <w:r w:rsidRPr="006E5FDC" w:rsidR="006E5FDC">
        <w:rPr>
          <w:color w:val="auto"/>
        </w:rPr>
        <w:t xml:space="preserve"> die in opdracht van het ministerie ontwikkeld is</w:t>
      </w:r>
      <w:r w:rsidRPr="007D4A77" w:rsidR="00D431FE">
        <w:rPr>
          <w:color w:val="auto"/>
        </w:rPr>
        <w:t xml:space="preserve">. </w:t>
      </w:r>
    </w:p>
    <w:p w:rsidRPr="007D4A77" w:rsidR="007D4A77" w:rsidP="00B22320" w:rsidRDefault="007D4A77" w14:paraId="55AFC222" w14:textId="77777777">
      <w:pPr>
        <w:autoSpaceDN/>
        <w:textAlignment w:val="center"/>
        <w:rPr>
          <w:color w:val="auto"/>
        </w:rPr>
      </w:pPr>
    </w:p>
    <w:p w:rsidRPr="007D4A77" w:rsidR="00A02A44" w:rsidP="00B22320" w:rsidRDefault="00D431FE" w14:paraId="48B92053" w14:textId="6E70F076">
      <w:pPr>
        <w:autoSpaceDN/>
        <w:ind w:left="360"/>
        <w:textAlignment w:val="center"/>
        <w:rPr>
          <w:color w:val="auto"/>
        </w:rPr>
      </w:pPr>
      <w:r w:rsidRPr="007D4A77">
        <w:rPr>
          <w:color w:val="auto"/>
        </w:rPr>
        <w:t xml:space="preserve">Voor de onderzoeken naar ZZS is aangesloten bij een analyse door TNO naar de vrijkomende ZZS bij vliegtuigmotoren. Verder is er bewust niet gekeken naar de emissies boven 3.000 voet (ca. </w:t>
      </w:r>
      <w:r w:rsidR="008B6664">
        <w:rPr>
          <w:color w:val="auto"/>
        </w:rPr>
        <w:t>914</w:t>
      </w:r>
      <w:r w:rsidR="00632CE8">
        <w:rPr>
          <w:color w:val="auto"/>
        </w:rPr>
        <w:t xml:space="preserve"> </w:t>
      </w:r>
      <w:r w:rsidRPr="007D4A77">
        <w:rPr>
          <w:color w:val="auto"/>
        </w:rPr>
        <w:t>m). Gemiddeld bevindt zich op 3.000 voet hoogte de zogenoemde ‘menglaag’. Emissies boven deze hoogte zullen niet neerdalen tot de lagere luchtlagen en hebben daarmee nauwelijks invloed op de lokale luchtkwaliteit</w:t>
      </w:r>
      <w:r w:rsidR="004631AC">
        <w:rPr>
          <w:color w:val="auto"/>
        </w:rPr>
        <w:t>.</w:t>
      </w:r>
    </w:p>
    <w:p w:rsidRPr="007D4A77" w:rsidR="00D431FE" w:rsidP="00B22320" w:rsidRDefault="00D431FE" w14:paraId="44AD4D8E" w14:textId="77777777">
      <w:pPr>
        <w:autoSpaceDN/>
        <w:ind w:left="360"/>
        <w:textAlignment w:val="center"/>
        <w:rPr>
          <w:color w:val="000000" w:themeColor="text1"/>
        </w:rPr>
      </w:pPr>
    </w:p>
    <w:p w:rsidR="00D431FE" w:rsidP="00B22320" w:rsidRDefault="00D431FE" w14:paraId="2891535F" w14:textId="7B8FE932">
      <w:pPr>
        <w:autoSpaceDN/>
        <w:ind w:left="360"/>
        <w:textAlignment w:val="center"/>
        <w:rPr>
          <w:color w:val="000000" w:themeColor="text1"/>
        </w:rPr>
      </w:pPr>
      <w:r w:rsidRPr="007D4A77">
        <w:rPr>
          <w:color w:val="000000" w:themeColor="text1"/>
        </w:rPr>
        <w:t>Ten</w:t>
      </w:r>
      <w:r w:rsidR="00B22320">
        <w:rPr>
          <w:color w:val="000000" w:themeColor="text1"/>
        </w:rPr>
        <w:t xml:space="preserve"> </w:t>
      </w:r>
      <w:r w:rsidRPr="007D4A77">
        <w:rPr>
          <w:color w:val="000000" w:themeColor="text1"/>
        </w:rPr>
        <w:t xml:space="preserve">slotte geeft de expertgroep nog expliciet aan dat de effecten van </w:t>
      </w:r>
      <w:r w:rsidR="00EE56D0">
        <w:rPr>
          <w:color w:val="000000" w:themeColor="text1"/>
        </w:rPr>
        <w:t>u</w:t>
      </w:r>
      <w:r w:rsidR="00595BFC">
        <w:rPr>
          <w:color w:val="000000" w:themeColor="text1"/>
        </w:rPr>
        <w:t>ltrafijnstof (</w:t>
      </w:r>
      <w:r w:rsidRPr="007D4A77">
        <w:rPr>
          <w:color w:val="000000" w:themeColor="text1"/>
        </w:rPr>
        <w:t>UFP</w:t>
      </w:r>
      <w:r w:rsidR="00595BFC">
        <w:rPr>
          <w:color w:val="000000" w:themeColor="text1"/>
        </w:rPr>
        <w:t>)</w:t>
      </w:r>
      <w:r w:rsidRPr="007D4A77">
        <w:rPr>
          <w:color w:val="000000" w:themeColor="text1"/>
        </w:rPr>
        <w:t xml:space="preserve"> niet zijn meegenomen in de onderzoeken. Op het moment dat de expertgroep om haar oordeel gevraagd is</w:t>
      </w:r>
      <w:r w:rsidR="00B22320">
        <w:rPr>
          <w:color w:val="000000" w:themeColor="text1"/>
        </w:rPr>
        <w:t>,</w:t>
      </w:r>
      <w:r w:rsidRPr="007D4A77">
        <w:rPr>
          <w:color w:val="000000" w:themeColor="text1"/>
        </w:rPr>
        <w:t xml:space="preserve"> liep er nog onderzoek naar de effecten van UFP op de regionale luchthavens. Hierdoor heeft de expertgroep dit onderzoek niet kunnen beoordelen. De resultaten van dit onderzoek worden </w:t>
      </w:r>
      <w:r w:rsidR="00632CE8">
        <w:rPr>
          <w:color w:val="000000" w:themeColor="text1"/>
        </w:rPr>
        <w:t>later met de Kamer gedeeld</w:t>
      </w:r>
      <w:r w:rsidRPr="007D4A77">
        <w:rPr>
          <w:color w:val="000000" w:themeColor="text1"/>
        </w:rPr>
        <w:t xml:space="preserve">. </w:t>
      </w:r>
    </w:p>
    <w:p w:rsidR="007527DA" w:rsidP="00B22320" w:rsidRDefault="007527DA" w14:paraId="1724C051" w14:textId="77777777">
      <w:pPr>
        <w:autoSpaceDN/>
        <w:textAlignment w:val="center"/>
        <w:rPr>
          <w:color w:val="000000" w:themeColor="text1"/>
        </w:rPr>
      </w:pPr>
    </w:p>
    <w:p w:rsidR="00183BF4" w:rsidP="00B22320" w:rsidRDefault="00183BF4" w14:paraId="49410982" w14:textId="717BFCF9">
      <w:pPr>
        <w:pStyle w:val="ListParagraph"/>
        <w:numPr>
          <w:ilvl w:val="0"/>
          <w:numId w:val="40"/>
        </w:numPr>
        <w:autoSpaceDN/>
        <w:textAlignment w:val="center"/>
        <w:rPr>
          <w:color w:val="auto"/>
        </w:rPr>
      </w:pPr>
      <w:r>
        <w:rPr>
          <w:color w:val="auto"/>
          <w:u w:val="single"/>
        </w:rPr>
        <w:t>Gezondheid</w:t>
      </w:r>
    </w:p>
    <w:p w:rsidRPr="007527DA" w:rsidR="007527DA" w:rsidP="00B22320" w:rsidRDefault="00183BF4" w14:paraId="2F6EBAC8" w14:textId="04714C21">
      <w:pPr>
        <w:pStyle w:val="ListParagraph"/>
        <w:autoSpaceDN/>
        <w:ind w:left="360"/>
        <w:textAlignment w:val="center"/>
        <w:rPr>
          <w:color w:val="auto"/>
        </w:rPr>
      </w:pPr>
      <w:r>
        <w:rPr>
          <w:color w:val="auto"/>
        </w:rPr>
        <w:t>Op basis van de conclusies van de onderlinge onderzoeken dat de bijdrage van luchtvaart aan de lokale luchtkwaliteit beperkt was</w:t>
      </w:r>
      <w:r w:rsidR="00330EB8">
        <w:rPr>
          <w:color w:val="auto"/>
        </w:rPr>
        <w:t>,</w:t>
      </w:r>
      <w:r w:rsidR="000B2E8F">
        <w:rPr>
          <w:color w:val="auto"/>
        </w:rPr>
        <w:t xml:space="preserve"> werd aangenomen dat een connectie gemaakt kon worden </w:t>
      </w:r>
      <w:r w:rsidR="004631AC">
        <w:rPr>
          <w:color w:val="auto"/>
        </w:rPr>
        <w:t>met</w:t>
      </w:r>
      <w:r w:rsidR="000B2E8F">
        <w:rPr>
          <w:color w:val="auto"/>
        </w:rPr>
        <w:t xml:space="preserve"> de gezondheidseffecten </w:t>
      </w:r>
      <w:r>
        <w:rPr>
          <w:color w:val="auto"/>
        </w:rPr>
        <w:t>ervan</w:t>
      </w:r>
      <w:r w:rsidR="000B2E8F">
        <w:rPr>
          <w:color w:val="auto"/>
        </w:rPr>
        <w:t xml:space="preserve">. </w:t>
      </w:r>
      <w:r w:rsidR="004631AC">
        <w:rPr>
          <w:color w:val="auto"/>
        </w:rPr>
        <w:t>Op basis van de bevindingen van de expertgroep kan deze connectie nog niet gemaakt worden. Hiervoor is eerst een vervolgstap nodig</w:t>
      </w:r>
      <w:r w:rsidR="000B2E8F">
        <w:rPr>
          <w:color w:val="auto"/>
        </w:rPr>
        <w:t xml:space="preserve"> om vervolgens over te kunnen gaan naar het trekken van conclusies over de gezondheidseffecten.</w:t>
      </w:r>
    </w:p>
    <w:p w:rsidR="00C568AD" w:rsidP="00B22320" w:rsidRDefault="00C568AD" w14:paraId="0362F6C1" w14:textId="77777777">
      <w:pPr>
        <w:autoSpaceDN/>
        <w:textAlignment w:val="center"/>
        <w:rPr>
          <w:rFonts w:ascii="Calibri" w:hAnsi="Calibri" w:eastAsia="Times New Roman" w:cs="Calibri"/>
          <w:i/>
          <w:iCs/>
          <w:color w:val="auto"/>
          <w:sz w:val="22"/>
          <w:szCs w:val="22"/>
        </w:rPr>
      </w:pPr>
    </w:p>
    <w:p w:rsidR="00EA7866" w:rsidP="00B22320" w:rsidRDefault="00EA7866" w14:paraId="4D47F1B4" w14:textId="746D34E6">
      <w:pPr>
        <w:rPr>
          <w:i/>
          <w:iCs/>
        </w:rPr>
      </w:pPr>
      <w:r>
        <w:rPr>
          <w:i/>
          <w:iCs/>
        </w:rPr>
        <w:t>Maatregelen ZZS</w:t>
      </w:r>
    </w:p>
    <w:p w:rsidRPr="00EA7866" w:rsidR="00EA7866" w:rsidP="00B22320" w:rsidRDefault="00EA7866" w14:paraId="59683380" w14:textId="5F6E42B5">
      <w:r>
        <w:t>Zoals hierboven beschreven zijn in het ontwerp-Luchthavenbesluit Eelde maatregelen opgenomen om de uitstoot van ZZS op en rondom het platform te verminderen, met name ter bescherming van de gezondheid van platformmedewerkers. Ondanks de kritische bevindingen van de expertgroep over de verschillende onderzoeken naar luchtkwaliteit blijft staan dat deze maatregelen een effectief en goed uitvoerbaar middel zijn om de uitstoot van ZZS te reduceren.</w:t>
      </w:r>
    </w:p>
    <w:p w:rsidR="00EA7866" w:rsidP="00B22320" w:rsidRDefault="00EA7866" w14:paraId="7D9E6E34" w14:textId="77777777">
      <w:pPr>
        <w:rPr>
          <w:i/>
          <w:iCs/>
        </w:rPr>
      </w:pPr>
    </w:p>
    <w:p w:rsidR="00D431FE" w:rsidP="00B22320" w:rsidRDefault="00D431FE" w14:paraId="48A81E73" w14:textId="5C106FD0">
      <w:pPr>
        <w:rPr>
          <w:i/>
          <w:iCs/>
        </w:rPr>
      </w:pPr>
      <w:r w:rsidRPr="00D431FE">
        <w:rPr>
          <w:i/>
          <w:iCs/>
        </w:rPr>
        <w:t>Vervolg</w:t>
      </w:r>
      <w:r>
        <w:rPr>
          <w:i/>
          <w:iCs/>
        </w:rPr>
        <w:t>proces</w:t>
      </w:r>
    </w:p>
    <w:p w:rsidR="001E5C35" w:rsidP="00B22320" w:rsidRDefault="00D431FE" w14:paraId="48D91DF0" w14:textId="29CEF720">
      <w:r>
        <w:t>De expertgroep geeft een helder</w:t>
      </w:r>
      <w:r w:rsidR="0081605B">
        <w:t xml:space="preserve">, </w:t>
      </w:r>
      <w:r>
        <w:t xml:space="preserve">kritisch oordeel over de </w:t>
      </w:r>
      <w:r w:rsidR="00ED6EE1">
        <w:t xml:space="preserve">samenhang van de </w:t>
      </w:r>
      <w:r>
        <w:t xml:space="preserve">onderzoeken naar de </w:t>
      </w:r>
      <w:r w:rsidR="00100D27">
        <w:t>bijdrage</w:t>
      </w:r>
      <w:r>
        <w:t xml:space="preserve"> van luchtvaart op de lokale luchtkwaliteit</w:t>
      </w:r>
      <w:r w:rsidR="004370AC">
        <w:t>.</w:t>
      </w:r>
      <w:r w:rsidR="00681436">
        <w:t xml:space="preserve"> </w:t>
      </w:r>
      <w:r w:rsidR="004370AC">
        <w:t>Zij</w:t>
      </w:r>
      <w:r w:rsidR="00681436">
        <w:t xml:space="preserve"> is </w:t>
      </w:r>
      <w:r w:rsidRPr="00A005AD" w:rsidR="00681436">
        <w:rPr>
          <w:color w:val="auto"/>
        </w:rPr>
        <w:t xml:space="preserve">van mening dat een algemene conclusie dat </w:t>
      </w:r>
      <w:r w:rsidRPr="004370AC" w:rsidR="00681436">
        <w:rPr>
          <w:color w:val="auto"/>
        </w:rPr>
        <w:t>de luchtvaart beperkt bijdraagt aan luchtverontreiniging rondom luchthavens</w:t>
      </w:r>
      <w:r w:rsidR="00681436">
        <w:rPr>
          <w:color w:val="auto"/>
        </w:rPr>
        <w:t xml:space="preserve"> </w:t>
      </w:r>
      <w:r w:rsidRPr="00A005AD" w:rsidR="00681436">
        <w:rPr>
          <w:color w:val="auto"/>
        </w:rPr>
        <w:t>op grond van deze onderzoeken niet getrokken kan worden</w:t>
      </w:r>
      <w:r w:rsidR="00681436">
        <w:rPr>
          <w:color w:val="auto"/>
        </w:rPr>
        <w:t>.</w:t>
      </w:r>
      <w:r>
        <w:t xml:space="preserve"> </w:t>
      </w:r>
      <w:r w:rsidR="00681436">
        <w:t xml:space="preserve">Alhoewel dit niet betekent dat het tegendeel het geval is, </w:t>
      </w:r>
      <w:r w:rsidR="0081605B">
        <w:t xml:space="preserve">herkent </w:t>
      </w:r>
      <w:r w:rsidR="00681436">
        <w:t xml:space="preserve">het ministerie </w:t>
      </w:r>
      <w:r w:rsidR="0081605B">
        <w:t xml:space="preserve">zich in de kern van de bevindingen en vindt het van belang om </w:t>
      </w:r>
      <w:r w:rsidR="001E5C35">
        <w:t xml:space="preserve">een vervolg te geven aan de onderzoeken. </w:t>
      </w:r>
    </w:p>
    <w:p w:rsidR="004370AC" w:rsidP="00B22320" w:rsidRDefault="004370AC" w14:paraId="0E083700" w14:textId="77777777"/>
    <w:p w:rsidRPr="002D0EF7" w:rsidR="004E7B51" w:rsidP="00B22320" w:rsidRDefault="00100D27" w14:paraId="1994527B" w14:textId="371E2E9F">
      <w:pPr>
        <w:rPr>
          <w:rFonts w:ascii="Calibri" w:hAnsi="Calibri" w:eastAsia="Times New Roman" w:cs="Calibri"/>
          <w:color w:val="000000" w:themeColor="text1"/>
          <w:sz w:val="22"/>
          <w:szCs w:val="22"/>
        </w:rPr>
      </w:pPr>
      <w:r>
        <w:t xml:space="preserve">Als eerste stap wordt daarom een onderzoek uitgezet om </w:t>
      </w:r>
      <w:r w:rsidR="001E5C35">
        <w:t>de onderbouwing en samenhang van de</w:t>
      </w:r>
      <w:r w:rsidR="00183BF4">
        <w:t xml:space="preserve"> eerdere</w:t>
      </w:r>
      <w:r w:rsidR="001E5C35">
        <w:t xml:space="preserve"> onderzoeken te ver</w:t>
      </w:r>
      <w:r>
        <w:t>ifiëren</w:t>
      </w:r>
      <w:r w:rsidR="001E5C35">
        <w:t xml:space="preserve">. Het gaat dan bijvoorbeeld om </w:t>
      </w:r>
      <w:r w:rsidR="004631AC">
        <w:t>het</w:t>
      </w:r>
      <w:r w:rsidR="001E5C35">
        <w:t xml:space="preserve"> beoordelen of de geselecteerde stoffen en bronnen </w:t>
      </w:r>
      <w:r w:rsidR="003B5F3F">
        <w:t>wel of niet een significante bijdrage leveren aan</w:t>
      </w:r>
      <w:r w:rsidR="003E4564">
        <w:t xml:space="preserve"> </w:t>
      </w:r>
      <w:r w:rsidR="001E5C35">
        <w:t>de lokale luchtkwaliteit. Dit is ook mogelijk omdat er inmiddels meer wetenschappelijke literatuur is op dit gebied. Als uit dit onderzoek blijkt dat relevante stoffen of bronnen in de voorgaande onderzoeken ontbreken</w:t>
      </w:r>
      <w:r>
        <w:t>,</w:t>
      </w:r>
      <w:r w:rsidR="001E5C35">
        <w:t xml:space="preserve"> zal bezien worden </w:t>
      </w:r>
      <w:r w:rsidR="00A24FA0">
        <w:t xml:space="preserve">of en zo ja </w:t>
      </w:r>
      <w:r w:rsidR="001E5C35">
        <w:t xml:space="preserve">welke vervolgstappen nodig zijn om de gezamenlijke conclusies over </w:t>
      </w:r>
      <w:r>
        <w:t xml:space="preserve">de bijdrage van luchtvaart aan de </w:t>
      </w:r>
      <w:r w:rsidR="001E5C35">
        <w:t xml:space="preserve">luchtkwaliteit </w:t>
      </w:r>
      <w:r w:rsidR="003E4564">
        <w:t xml:space="preserve">beter in beeld </w:t>
      </w:r>
      <w:r w:rsidR="001E5C35">
        <w:t xml:space="preserve">te </w:t>
      </w:r>
      <w:r w:rsidR="003E4564">
        <w:t>krijgen.</w:t>
      </w:r>
    </w:p>
    <w:p w:rsidR="004E76CA" w:rsidP="00B22320" w:rsidRDefault="00504405" w14:paraId="71039B85" w14:textId="77777777">
      <w:pPr>
        <w:pStyle w:val="Slotzin"/>
        <w:spacing w:line="240" w:lineRule="atLeast"/>
      </w:pPr>
      <w:r>
        <w:t>Hoogachtend,</w:t>
      </w:r>
    </w:p>
    <w:p w:rsidR="004E76CA" w:rsidP="00B22320" w:rsidRDefault="00504405" w14:paraId="327222FF" w14:textId="77777777">
      <w:pPr>
        <w:pStyle w:val="OndertekeningArea1"/>
        <w:spacing w:line="240" w:lineRule="atLeast"/>
      </w:pPr>
      <w:r>
        <w:t>DE MINISTER VAN INFRASTRUCTUUR EN WATERSTAAT,</w:t>
      </w:r>
    </w:p>
    <w:p w:rsidR="004E76CA" w:rsidP="00B22320" w:rsidRDefault="004E76CA" w14:paraId="5FB556D8" w14:textId="77777777"/>
    <w:p w:rsidR="004E76CA" w:rsidP="00B22320" w:rsidRDefault="004E76CA" w14:paraId="4AD17DE0" w14:textId="77777777"/>
    <w:p w:rsidR="004E76CA" w:rsidP="00B22320" w:rsidRDefault="004E76CA" w14:paraId="61D6D94F" w14:textId="77777777"/>
    <w:p w:rsidR="004E76CA" w:rsidP="00B22320" w:rsidRDefault="004E76CA" w14:paraId="0A5B8ADD" w14:textId="77777777"/>
    <w:p w:rsidR="004E76CA" w:rsidP="00B22320" w:rsidRDefault="00504405" w14:paraId="74EAE79F" w14:textId="77777777">
      <w:r>
        <w:t>Barry Madlener</w:t>
      </w:r>
    </w:p>
    <w:sectPr w:rsidR="004E76C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B5218" w14:textId="77777777" w:rsidR="00090C98" w:rsidRDefault="00090C98">
      <w:pPr>
        <w:spacing w:line="240" w:lineRule="auto"/>
      </w:pPr>
      <w:r>
        <w:separator/>
      </w:r>
    </w:p>
  </w:endnote>
  <w:endnote w:type="continuationSeparator" w:id="0">
    <w:p w14:paraId="33EE3217" w14:textId="77777777" w:rsidR="00090C98" w:rsidRDefault="00090C98">
      <w:pPr>
        <w:spacing w:line="240" w:lineRule="auto"/>
      </w:pPr>
      <w:r>
        <w:continuationSeparator/>
      </w:r>
    </w:p>
  </w:endnote>
  <w:endnote w:type="continuationNotice" w:id="1">
    <w:p w14:paraId="49A4946E" w14:textId="77777777" w:rsidR="00090C98" w:rsidRDefault="00090C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BADA" w14:textId="77777777" w:rsidR="004370AC" w:rsidRDefault="00437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F3B9" w14:textId="77777777" w:rsidR="004370AC" w:rsidRDefault="00437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CEFF" w14:textId="77777777" w:rsidR="004370AC" w:rsidRDefault="00437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51BB" w14:textId="77777777" w:rsidR="00090C98" w:rsidRDefault="00090C98">
      <w:pPr>
        <w:spacing w:line="240" w:lineRule="auto"/>
      </w:pPr>
      <w:r>
        <w:separator/>
      </w:r>
    </w:p>
  </w:footnote>
  <w:footnote w:type="continuationSeparator" w:id="0">
    <w:p w14:paraId="5D68091A" w14:textId="77777777" w:rsidR="00090C98" w:rsidRDefault="00090C98">
      <w:pPr>
        <w:spacing w:line="240" w:lineRule="auto"/>
      </w:pPr>
      <w:r>
        <w:continuationSeparator/>
      </w:r>
    </w:p>
  </w:footnote>
  <w:footnote w:type="continuationNotice" w:id="1">
    <w:p w14:paraId="4CE8E781" w14:textId="77777777" w:rsidR="00090C98" w:rsidRDefault="00090C98">
      <w:pPr>
        <w:spacing w:line="240" w:lineRule="auto"/>
      </w:pPr>
    </w:p>
  </w:footnote>
  <w:footnote w:id="2">
    <w:p w14:paraId="179300C1" w14:textId="359CAFEB" w:rsidR="00720504" w:rsidRPr="00361CE2" w:rsidRDefault="00720504" w:rsidP="00720504">
      <w:pPr>
        <w:pStyle w:val="FootnoteText"/>
        <w:rPr>
          <w:sz w:val="14"/>
          <w:szCs w:val="14"/>
        </w:rPr>
      </w:pPr>
      <w:r w:rsidRPr="00361CE2">
        <w:rPr>
          <w:rStyle w:val="FootnoteReference"/>
          <w:sz w:val="14"/>
          <w:szCs w:val="14"/>
        </w:rPr>
        <w:footnoteRef/>
      </w:r>
      <w:r w:rsidRPr="00361CE2">
        <w:rPr>
          <w:sz w:val="14"/>
          <w:szCs w:val="14"/>
        </w:rPr>
        <w:t xml:space="preserve"> </w:t>
      </w:r>
      <w:hyperlink r:id="rId1" w:history="1">
        <w:r w:rsidR="00BB3DA3" w:rsidRPr="00BB3DA3">
          <w:rPr>
            <w:sz w:val="14"/>
            <w:szCs w:val="14"/>
          </w:rPr>
          <w:t>Kamerstukken</w:t>
        </w:r>
      </w:hyperlink>
      <w:r w:rsidR="00BB3DA3" w:rsidRPr="00BB3DA3">
        <w:rPr>
          <w:sz w:val="14"/>
          <w:szCs w:val="14"/>
        </w:rPr>
        <w:t xml:space="preserve"> II, 2021-2022, 30 175, nr. 414</w:t>
      </w:r>
    </w:p>
  </w:footnote>
  <w:footnote w:id="3">
    <w:p w14:paraId="4DECEDEA" w14:textId="77855EA2" w:rsidR="00361CE2" w:rsidRPr="00361CE2" w:rsidRDefault="00361CE2">
      <w:pPr>
        <w:pStyle w:val="FootnoteText"/>
        <w:rPr>
          <w:sz w:val="14"/>
          <w:szCs w:val="14"/>
        </w:rPr>
      </w:pPr>
      <w:r w:rsidRPr="00361CE2">
        <w:rPr>
          <w:rStyle w:val="FootnoteReference"/>
          <w:sz w:val="14"/>
          <w:szCs w:val="14"/>
        </w:rPr>
        <w:footnoteRef/>
      </w:r>
      <w:r w:rsidRPr="00361CE2">
        <w:rPr>
          <w:sz w:val="14"/>
          <w:szCs w:val="14"/>
        </w:rPr>
        <w:t xml:space="preserve"> Kamerstukken II</w:t>
      </w:r>
      <w:r w:rsidR="00BB3DA3">
        <w:rPr>
          <w:sz w:val="14"/>
          <w:szCs w:val="14"/>
        </w:rPr>
        <w:t>,</w:t>
      </w:r>
      <w:r w:rsidRPr="00361CE2">
        <w:rPr>
          <w:sz w:val="14"/>
          <w:szCs w:val="14"/>
        </w:rPr>
        <w:t xml:space="preserve"> 2023-2024, 31 936, nr. 1137</w:t>
      </w:r>
    </w:p>
  </w:footnote>
  <w:footnote w:id="4">
    <w:p w14:paraId="2B0E675A" w14:textId="729370B3" w:rsidR="0097664A" w:rsidRPr="0097664A" w:rsidRDefault="0097664A">
      <w:pPr>
        <w:pStyle w:val="FootnoteText"/>
        <w:rPr>
          <w:sz w:val="18"/>
          <w:szCs w:val="18"/>
        </w:rPr>
      </w:pPr>
      <w:r w:rsidRPr="0097664A">
        <w:rPr>
          <w:rStyle w:val="FootnoteReference"/>
          <w:sz w:val="14"/>
          <w:szCs w:val="14"/>
        </w:rPr>
        <w:footnoteRef/>
      </w:r>
      <w:r w:rsidRPr="0097664A">
        <w:rPr>
          <w:sz w:val="14"/>
          <w:szCs w:val="14"/>
        </w:rPr>
        <w:t xml:space="preserve"> Kamerstukken II, 2024-2025, 31 936, nr. 1174</w:t>
      </w:r>
    </w:p>
  </w:footnote>
  <w:footnote w:id="5">
    <w:p w14:paraId="74BA537D" w14:textId="14C27DC9" w:rsidR="002374E7" w:rsidRDefault="002374E7" w:rsidP="002374E7">
      <w:pPr>
        <w:pStyle w:val="FootnoteText"/>
      </w:pPr>
      <w:r w:rsidRPr="009A59A1">
        <w:rPr>
          <w:rStyle w:val="FootnoteReference"/>
          <w:color w:val="auto"/>
          <w:sz w:val="14"/>
          <w:szCs w:val="14"/>
        </w:rPr>
        <w:footnoteRef/>
      </w:r>
      <w:r w:rsidRPr="009A59A1">
        <w:rPr>
          <w:color w:val="auto"/>
          <w:sz w:val="14"/>
          <w:szCs w:val="14"/>
        </w:rPr>
        <w:t xml:space="preserve"> </w:t>
      </w:r>
      <w:r w:rsidR="009A59A1" w:rsidRPr="009A59A1">
        <w:rPr>
          <w:color w:val="auto"/>
          <w:sz w:val="14"/>
          <w:szCs w:val="14"/>
        </w:rPr>
        <w:t>Kamerstukken II, 2024-2025, 31 936, nr. 1203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3C41" w14:textId="77777777" w:rsidR="004370AC" w:rsidRDefault="00437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2AD3" w14:textId="77777777" w:rsidR="004E76CA" w:rsidRDefault="00504405">
    <w:r>
      <w:rPr>
        <w:noProof/>
        <w:lang w:val="en-GB" w:eastAsia="en-GB"/>
      </w:rPr>
      <mc:AlternateContent>
        <mc:Choice Requires="wps">
          <w:drawing>
            <wp:anchor distT="0" distB="0" distL="0" distR="0" simplePos="0" relativeHeight="251651584" behindDoc="0" locked="1" layoutInCell="1" allowOverlap="1" wp14:anchorId="158FFE07" wp14:editId="5011144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61D1B5E" w14:textId="77777777" w:rsidR="004E76CA" w:rsidRDefault="00504405">
                          <w:pPr>
                            <w:pStyle w:val="AfzendgegevensKop0"/>
                          </w:pPr>
                          <w:r>
                            <w:t>Ministerie van Infrastructuur en Waterstaat</w:t>
                          </w:r>
                        </w:p>
                        <w:p w14:paraId="6010C095" w14:textId="77777777" w:rsidR="004631AC" w:rsidRDefault="004631AC" w:rsidP="004631AC"/>
                        <w:p w14:paraId="30BA0720" w14:textId="77777777" w:rsidR="004631AC" w:rsidRDefault="004631AC" w:rsidP="004631AC">
                          <w:pPr>
                            <w:pStyle w:val="Referentiegegevensbold"/>
                          </w:pPr>
                          <w:r>
                            <w:t>Onze referentie</w:t>
                          </w:r>
                        </w:p>
                        <w:p w14:paraId="6BB01F4E" w14:textId="0B1FA87C" w:rsidR="004631AC" w:rsidRDefault="004631AC" w:rsidP="004631AC">
                          <w:pPr>
                            <w:pStyle w:val="Referentiegegevens"/>
                          </w:pPr>
                          <w:r>
                            <w:fldChar w:fldCharType="begin"/>
                          </w:r>
                          <w:r>
                            <w:instrText xml:space="preserve"> DOCPROPERTY  "Kenmerk"  \* MERGEFORMAT </w:instrText>
                          </w:r>
                          <w:r>
                            <w:fldChar w:fldCharType="end"/>
                          </w:r>
                          <w:r>
                            <w:t>IENW/BSK-2025/92825</w:t>
                          </w:r>
                        </w:p>
                        <w:p w14:paraId="5EADD484" w14:textId="77777777" w:rsidR="004631AC" w:rsidRPr="0097664A" w:rsidRDefault="004631AC" w:rsidP="004631AC">
                          <w:pPr>
                            <w:pStyle w:val="Referentiegegevensbold"/>
                            <w:rPr>
                              <w:b w:val="0"/>
                              <w:bCs/>
                            </w:rPr>
                          </w:pPr>
                        </w:p>
                        <w:p w14:paraId="4DBEBC6C" w14:textId="77777777" w:rsidR="004631AC" w:rsidRPr="004631AC" w:rsidRDefault="004631AC" w:rsidP="004631AC">
                          <w:pPr>
                            <w:pStyle w:val="Afzendgegevens"/>
                            <w:rPr>
                              <w:b/>
                              <w:bCs/>
                            </w:rPr>
                          </w:pPr>
                          <w:r w:rsidRPr="004631AC">
                            <w:rPr>
                              <w:b/>
                              <w:bCs/>
                            </w:rPr>
                            <w:t>Bijlage(n)</w:t>
                          </w:r>
                        </w:p>
                        <w:p w14:paraId="294F475D" w14:textId="71FFBDD1" w:rsidR="004631AC" w:rsidRPr="006E5FDC" w:rsidRDefault="005043C9" w:rsidP="004631AC">
                          <w:pPr>
                            <w:pStyle w:val="Afzendgegevens"/>
                            <w:rPr>
                              <w:lang w:val="de-DE"/>
                            </w:rPr>
                          </w:pPr>
                          <w:r>
                            <w:rPr>
                              <w:lang w:val="de-DE"/>
                            </w:rPr>
                            <w:t>2</w:t>
                          </w:r>
                        </w:p>
                        <w:p w14:paraId="3B546BD8" w14:textId="77777777" w:rsidR="004631AC" w:rsidRPr="004631AC" w:rsidRDefault="004631AC" w:rsidP="004631AC"/>
                      </w:txbxContent>
                    </wps:txbx>
                    <wps:bodyPr vert="horz" wrap="square" lIns="0" tIns="0" rIns="0" bIns="0" anchor="t" anchorCtr="0"/>
                  </wps:wsp>
                </a:graphicData>
              </a:graphic>
            </wp:anchor>
          </w:drawing>
        </mc:Choice>
        <mc:Fallback>
          <w:pict>
            <v:shapetype w14:anchorId="158FFE0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61D1B5E" w14:textId="77777777" w:rsidR="004E76CA" w:rsidRDefault="00504405">
                    <w:pPr>
                      <w:pStyle w:val="AfzendgegevensKop0"/>
                    </w:pPr>
                    <w:r>
                      <w:t>Ministerie van Infrastructuur en Waterstaat</w:t>
                    </w:r>
                  </w:p>
                  <w:p w14:paraId="6010C095" w14:textId="77777777" w:rsidR="004631AC" w:rsidRDefault="004631AC" w:rsidP="004631AC"/>
                  <w:p w14:paraId="30BA0720" w14:textId="77777777" w:rsidR="004631AC" w:rsidRDefault="004631AC" w:rsidP="004631AC">
                    <w:pPr>
                      <w:pStyle w:val="Referentiegegevensbold"/>
                    </w:pPr>
                    <w:r>
                      <w:t>Onze referentie</w:t>
                    </w:r>
                  </w:p>
                  <w:p w14:paraId="6BB01F4E" w14:textId="0B1FA87C" w:rsidR="004631AC" w:rsidRDefault="004631AC" w:rsidP="004631AC">
                    <w:pPr>
                      <w:pStyle w:val="Referentiegegevens"/>
                    </w:pPr>
                    <w:r>
                      <w:fldChar w:fldCharType="begin"/>
                    </w:r>
                    <w:r>
                      <w:instrText xml:space="preserve"> DOCPROPERTY  "Kenmerk"  \* MERGEFORMAT </w:instrText>
                    </w:r>
                    <w:r>
                      <w:fldChar w:fldCharType="end"/>
                    </w:r>
                    <w:r>
                      <w:t>IENW/BSK-2025/92825</w:t>
                    </w:r>
                  </w:p>
                  <w:p w14:paraId="5EADD484" w14:textId="77777777" w:rsidR="004631AC" w:rsidRPr="0097664A" w:rsidRDefault="004631AC" w:rsidP="004631AC">
                    <w:pPr>
                      <w:pStyle w:val="Referentiegegevensbold"/>
                      <w:rPr>
                        <w:b w:val="0"/>
                        <w:bCs/>
                      </w:rPr>
                    </w:pPr>
                  </w:p>
                  <w:p w14:paraId="4DBEBC6C" w14:textId="77777777" w:rsidR="004631AC" w:rsidRPr="004631AC" w:rsidRDefault="004631AC" w:rsidP="004631AC">
                    <w:pPr>
                      <w:pStyle w:val="Afzendgegevens"/>
                      <w:rPr>
                        <w:b/>
                        <w:bCs/>
                      </w:rPr>
                    </w:pPr>
                    <w:r w:rsidRPr="004631AC">
                      <w:rPr>
                        <w:b/>
                        <w:bCs/>
                      </w:rPr>
                      <w:t>Bijlage(n)</w:t>
                    </w:r>
                  </w:p>
                  <w:p w14:paraId="294F475D" w14:textId="71FFBDD1" w:rsidR="004631AC" w:rsidRPr="006E5FDC" w:rsidRDefault="005043C9" w:rsidP="004631AC">
                    <w:pPr>
                      <w:pStyle w:val="Afzendgegevens"/>
                      <w:rPr>
                        <w:lang w:val="de-DE"/>
                      </w:rPr>
                    </w:pPr>
                    <w:r>
                      <w:rPr>
                        <w:lang w:val="de-DE"/>
                      </w:rPr>
                      <w:t>2</w:t>
                    </w:r>
                  </w:p>
                  <w:p w14:paraId="3B546BD8" w14:textId="77777777" w:rsidR="004631AC" w:rsidRPr="004631AC" w:rsidRDefault="004631AC" w:rsidP="004631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A42E6EB" wp14:editId="33A18F0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538EB7" w14:textId="454E12D5" w:rsidR="004E76CA" w:rsidRDefault="00504405">
                          <w:pPr>
                            <w:pStyle w:val="Referentiegegevens"/>
                          </w:pPr>
                          <w:r>
                            <w:t xml:space="preserve">Pagina </w:t>
                          </w:r>
                          <w:r>
                            <w:fldChar w:fldCharType="begin"/>
                          </w:r>
                          <w:r>
                            <w:instrText>PAGE</w:instrText>
                          </w:r>
                          <w:r>
                            <w:fldChar w:fldCharType="separate"/>
                          </w:r>
                          <w:r w:rsidR="00736E95">
                            <w:rPr>
                              <w:noProof/>
                            </w:rPr>
                            <w:t>2</w:t>
                          </w:r>
                          <w:r>
                            <w:fldChar w:fldCharType="end"/>
                          </w:r>
                          <w:r>
                            <w:t xml:space="preserve"> van </w:t>
                          </w:r>
                          <w:r>
                            <w:fldChar w:fldCharType="begin"/>
                          </w:r>
                          <w:r>
                            <w:instrText>NUMPAGES</w:instrText>
                          </w:r>
                          <w:r>
                            <w:fldChar w:fldCharType="separate"/>
                          </w:r>
                          <w:r w:rsidR="00736E95">
                            <w:rPr>
                              <w:noProof/>
                            </w:rPr>
                            <w:t>1</w:t>
                          </w:r>
                          <w:r>
                            <w:fldChar w:fldCharType="end"/>
                          </w:r>
                        </w:p>
                      </w:txbxContent>
                    </wps:txbx>
                    <wps:bodyPr vert="horz" wrap="square" lIns="0" tIns="0" rIns="0" bIns="0" anchor="t" anchorCtr="0"/>
                  </wps:wsp>
                </a:graphicData>
              </a:graphic>
            </wp:anchor>
          </w:drawing>
        </mc:Choice>
        <mc:Fallback>
          <w:pict>
            <v:shape w14:anchorId="3A42E6E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E538EB7" w14:textId="454E12D5" w:rsidR="004E76CA" w:rsidRDefault="00504405">
                    <w:pPr>
                      <w:pStyle w:val="Referentiegegevens"/>
                    </w:pPr>
                    <w:r>
                      <w:t xml:space="preserve">Pagina </w:t>
                    </w:r>
                    <w:r>
                      <w:fldChar w:fldCharType="begin"/>
                    </w:r>
                    <w:r>
                      <w:instrText>PAGE</w:instrText>
                    </w:r>
                    <w:r>
                      <w:fldChar w:fldCharType="separate"/>
                    </w:r>
                    <w:r w:rsidR="00736E95">
                      <w:rPr>
                        <w:noProof/>
                      </w:rPr>
                      <w:t>2</w:t>
                    </w:r>
                    <w:r>
                      <w:fldChar w:fldCharType="end"/>
                    </w:r>
                    <w:r>
                      <w:t xml:space="preserve"> van </w:t>
                    </w:r>
                    <w:r>
                      <w:fldChar w:fldCharType="begin"/>
                    </w:r>
                    <w:r>
                      <w:instrText>NUMPAGES</w:instrText>
                    </w:r>
                    <w:r>
                      <w:fldChar w:fldCharType="separate"/>
                    </w:r>
                    <w:r w:rsidR="00736E9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7F8C839" wp14:editId="7E2613E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74F47C7" w14:textId="77777777" w:rsidR="004B3939" w:rsidRDefault="004B3939"/>
                      </w:txbxContent>
                    </wps:txbx>
                    <wps:bodyPr vert="horz" wrap="square" lIns="0" tIns="0" rIns="0" bIns="0" anchor="t" anchorCtr="0"/>
                  </wps:wsp>
                </a:graphicData>
              </a:graphic>
            </wp:anchor>
          </w:drawing>
        </mc:Choice>
        <mc:Fallback>
          <w:pict>
            <v:shape w14:anchorId="57F8C83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74F47C7" w14:textId="77777777" w:rsidR="004B3939" w:rsidRDefault="004B393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5D5DBDC" wp14:editId="48604C1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ADE5AE1" w14:textId="77777777" w:rsidR="004B3939" w:rsidRDefault="004B3939"/>
                      </w:txbxContent>
                    </wps:txbx>
                    <wps:bodyPr vert="horz" wrap="square" lIns="0" tIns="0" rIns="0" bIns="0" anchor="t" anchorCtr="0"/>
                  </wps:wsp>
                </a:graphicData>
              </a:graphic>
            </wp:anchor>
          </w:drawing>
        </mc:Choice>
        <mc:Fallback>
          <w:pict>
            <v:shape w14:anchorId="15D5DBD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ADE5AE1" w14:textId="77777777" w:rsidR="004B3939" w:rsidRDefault="004B393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01A3" w14:textId="77777777" w:rsidR="004E76CA" w:rsidRDefault="0050440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1538E35" wp14:editId="6D83532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6C2CFE" w14:textId="77777777" w:rsidR="004B3939" w:rsidRDefault="004B3939"/>
                      </w:txbxContent>
                    </wps:txbx>
                    <wps:bodyPr vert="horz" wrap="square" lIns="0" tIns="0" rIns="0" bIns="0" anchor="t" anchorCtr="0"/>
                  </wps:wsp>
                </a:graphicData>
              </a:graphic>
            </wp:anchor>
          </w:drawing>
        </mc:Choice>
        <mc:Fallback>
          <w:pict>
            <v:shapetype w14:anchorId="31538E3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C6C2CFE" w14:textId="77777777" w:rsidR="004B3939" w:rsidRDefault="004B393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219FF72" wp14:editId="1A69910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4E0C71" w14:textId="32D7A1A6" w:rsidR="004E76CA" w:rsidRDefault="00504405">
                          <w:pPr>
                            <w:pStyle w:val="Referentiegegevens"/>
                          </w:pPr>
                          <w:r>
                            <w:t xml:space="preserve">Pagina </w:t>
                          </w:r>
                          <w:r>
                            <w:fldChar w:fldCharType="begin"/>
                          </w:r>
                          <w:r>
                            <w:instrText>PAGE</w:instrText>
                          </w:r>
                          <w:r>
                            <w:fldChar w:fldCharType="separate"/>
                          </w:r>
                          <w:r w:rsidR="00852FB5">
                            <w:rPr>
                              <w:noProof/>
                            </w:rPr>
                            <w:t>1</w:t>
                          </w:r>
                          <w:r>
                            <w:fldChar w:fldCharType="end"/>
                          </w:r>
                          <w:r>
                            <w:t xml:space="preserve"> van </w:t>
                          </w:r>
                          <w:r>
                            <w:fldChar w:fldCharType="begin"/>
                          </w:r>
                          <w:r>
                            <w:instrText>NUMPAGES</w:instrText>
                          </w:r>
                          <w:r>
                            <w:fldChar w:fldCharType="separate"/>
                          </w:r>
                          <w:r w:rsidR="00852FB5">
                            <w:rPr>
                              <w:noProof/>
                            </w:rPr>
                            <w:t>1</w:t>
                          </w:r>
                          <w:r>
                            <w:fldChar w:fldCharType="end"/>
                          </w:r>
                        </w:p>
                      </w:txbxContent>
                    </wps:txbx>
                    <wps:bodyPr vert="horz" wrap="square" lIns="0" tIns="0" rIns="0" bIns="0" anchor="t" anchorCtr="0"/>
                  </wps:wsp>
                </a:graphicData>
              </a:graphic>
            </wp:anchor>
          </w:drawing>
        </mc:Choice>
        <mc:Fallback>
          <w:pict>
            <v:shape w14:anchorId="6219FF7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34E0C71" w14:textId="32D7A1A6" w:rsidR="004E76CA" w:rsidRDefault="00504405">
                    <w:pPr>
                      <w:pStyle w:val="Referentiegegevens"/>
                    </w:pPr>
                    <w:r>
                      <w:t xml:space="preserve">Pagina </w:t>
                    </w:r>
                    <w:r>
                      <w:fldChar w:fldCharType="begin"/>
                    </w:r>
                    <w:r>
                      <w:instrText>PAGE</w:instrText>
                    </w:r>
                    <w:r>
                      <w:fldChar w:fldCharType="separate"/>
                    </w:r>
                    <w:r w:rsidR="00852FB5">
                      <w:rPr>
                        <w:noProof/>
                      </w:rPr>
                      <w:t>1</w:t>
                    </w:r>
                    <w:r>
                      <w:fldChar w:fldCharType="end"/>
                    </w:r>
                    <w:r>
                      <w:t xml:space="preserve"> van </w:t>
                    </w:r>
                    <w:r>
                      <w:fldChar w:fldCharType="begin"/>
                    </w:r>
                    <w:r>
                      <w:instrText>NUMPAGES</w:instrText>
                    </w:r>
                    <w:r>
                      <w:fldChar w:fldCharType="separate"/>
                    </w:r>
                    <w:r w:rsidR="00852FB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EEE9B5A" wp14:editId="02CAC0A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861D1E" w14:textId="77777777" w:rsidR="004E76CA" w:rsidRDefault="00504405">
                          <w:pPr>
                            <w:pStyle w:val="AfzendgegevensKop0"/>
                          </w:pPr>
                          <w:r>
                            <w:t>Ministerie van Infrastructuur en Waterstaat</w:t>
                          </w:r>
                        </w:p>
                        <w:p w14:paraId="1D180D20" w14:textId="77777777" w:rsidR="004E76CA" w:rsidRDefault="004E76CA">
                          <w:pPr>
                            <w:pStyle w:val="WitregelW1"/>
                          </w:pPr>
                        </w:p>
                        <w:p w14:paraId="3EBC369A" w14:textId="77777777" w:rsidR="004E76CA" w:rsidRDefault="00504405">
                          <w:pPr>
                            <w:pStyle w:val="Afzendgegevens"/>
                          </w:pPr>
                          <w:r>
                            <w:t>Rijnstraat 8</w:t>
                          </w:r>
                        </w:p>
                        <w:p w14:paraId="558791B4" w14:textId="77777777" w:rsidR="004E76CA" w:rsidRPr="00736E95" w:rsidRDefault="00504405">
                          <w:pPr>
                            <w:pStyle w:val="Afzendgegevens"/>
                            <w:rPr>
                              <w:lang w:val="de-DE"/>
                            </w:rPr>
                          </w:pPr>
                          <w:r w:rsidRPr="00736E95">
                            <w:rPr>
                              <w:lang w:val="de-DE"/>
                            </w:rPr>
                            <w:t>2515 XP  Den Haag</w:t>
                          </w:r>
                        </w:p>
                        <w:p w14:paraId="4CED8579" w14:textId="77777777" w:rsidR="004E76CA" w:rsidRPr="00736E95" w:rsidRDefault="00504405">
                          <w:pPr>
                            <w:pStyle w:val="Afzendgegevens"/>
                            <w:rPr>
                              <w:lang w:val="de-DE"/>
                            </w:rPr>
                          </w:pPr>
                          <w:r w:rsidRPr="00736E95">
                            <w:rPr>
                              <w:lang w:val="de-DE"/>
                            </w:rPr>
                            <w:t>Postbus 20901</w:t>
                          </w:r>
                        </w:p>
                        <w:p w14:paraId="4F26600D" w14:textId="77777777" w:rsidR="004E76CA" w:rsidRPr="00736E95" w:rsidRDefault="00504405">
                          <w:pPr>
                            <w:pStyle w:val="Afzendgegevens"/>
                            <w:rPr>
                              <w:lang w:val="de-DE"/>
                            </w:rPr>
                          </w:pPr>
                          <w:r w:rsidRPr="00736E95">
                            <w:rPr>
                              <w:lang w:val="de-DE"/>
                            </w:rPr>
                            <w:t>2500 EX Den Haag</w:t>
                          </w:r>
                        </w:p>
                        <w:p w14:paraId="0E3FBE8C" w14:textId="77777777" w:rsidR="004E76CA" w:rsidRPr="00736E95" w:rsidRDefault="004E76CA">
                          <w:pPr>
                            <w:pStyle w:val="WitregelW1"/>
                            <w:rPr>
                              <w:lang w:val="de-DE"/>
                            </w:rPr>
                          </w:pPr>
                        </w:p>
                        <w:p w14:paraId="3E7DC2F2" w14:textId="77777777" w:rsidR="004E76CA" w:rsidRPr="00736E95" w:rsidRDefault="00504405">
                          <w:pPr>
                            <w:pStyle w:val="Afzendgegevens"/>
                            <w:rPr>
                              <w:lang w:val="de-DE"/>
                            </w:rPr>
                          </w:pPr>
                          <w:r w:rsidRPr="00736E95">
                            <w:rPr>
                              <w:lang w:val="de-DE"/>
                            </w:rPr>
                            <w:t>T   070-456 0000</w:t>
                          </w:r>
                        </w:p>
                        <w:p w14:paraId="79AC9FB1" w14:textId="77777777" w:rsidR="004E76CA" w:rsidRDefault="00504405">
                          <w:pPr>
                            <w:pStyle w:val="Afzendgegevens"/>
                          </w:pPr>
                          <w:r>
                            <w:t>F   070-456 1111</w:t>
                          </w:r>
                        </w:p>
                        <w:p w14:paraId="67E61C99" w14:textId="77777777" w:rsidR="0097664A" w:rsidRDefault="0097664A" w:rsidP="0097664A"/>
                        <w:p w14:paraId="16B8B466" w14:textId="77777777" w:rsidR="0097664A" w:rsidRDefault="0097664A" w:rsidP="0097664A">
                          <w:pPr>
                            <w:pStyle w:val="Referentiegegevensbold"/>
                          </w:pPr>
                          <w:r>
                            <w:t>Onze referentie</w:t>
                          </w:r>
                        </w:p>
                        <w:p w14:paraId="46ED79A2" w14:textId="0EF100C2" w:rsidR="0097664A" w:rsidRDefault="0097664A" w:rsidP="0097664A">
                          <w:pPr>
                            <w:pStyle w:val="Referentiegegevens"/>
                          </w:pPr>
                          <w:r>
                            <w:fldChar w:fldCharType="begin"/>
                          </w:r>
                          <w:r>
                            <w:instrText xml:space="preserve"> DOCPROPERTY  "Kenmerk"  \* MERGEFORMAT </w:instrText>
                          </w:r>
                          <w:r>
                            <w:fldChar w:fldCharType="end"/>
                          </w:r>
                          <w:r>
                            <w:t>IENW/BSK-2025/92825</w:t>
                          </w:r>
                        </w:p>
                        <w:p w14:paraId="2B29B4E2" w14:textId="77777777" w:rsidR="0097664A" w:rsidRPr="0097664A" w:rsidRDefault="0097664A" w:rsidP="0097664A">
                          <w:pPr>
                            <w:pStyle w:val="Referentiegegevensbold"/>
                            <w:rPr>
                              <w:b w:val="0"/>
                              <w:bCs/>
                            </w:rPr>
                          </w:pPr>
                        </w:p>
                        <w:p w14:paraId="0270DC27" w14:textId="034D2190" w:rsidR="0097664A" w:rsidRPr="006E5FDC" w:rsidRDefault="0097664A" w:rsidP="006E5FDC">
                          <w:pPr>
                            <w:pStyle w:val="Afzendgegevens"/>
                            <w:rPr>
                              <w:b/>
                              <w:bCs/>
                              <w:lang w:val="de-DE"/>
                            </w:rPr>
                          </w:pPr>
                          <w:r w:rsidRPr="006E5FDC">
                            <w:rPr>
                              <w:b/>
                              <w:bCs/>
                              <w:lang w:val="de-DE"/>
                            </w:rPr>
                            <w:t>Bijlage(n)</w:t>
                          </w:r>
                        </w:p>
                        <w:p w14:paraId="446C11DD" w14:textId="4F2BF240" w:rsidR="0097664A" w:rsidRPr="005043C9" w:rsidRDefault="005043C9" w:rsidP="005043C9">
                          <w:pPr>
                            <w:pStyle w:val="Afzendgegevens"/>
                            <w:rPr>
                              <w:lang w:val="de-DE"/>
                            </w:rPr>
                          </w:pPr>
                          <w:r>
                            <w:rPr>
                              <w:lang w:val="de-DE"/>
                            </w:rPr>
                            <w:t>2</w:t>
                          </w:r>
                        </w:p>
                      </w:txbxContent>
                    </wps:txbx>
                    <wps:bodyPr vert="horz" wrap="square" lIns="0" tIns="0" rIns="0" bIns="0" anchor="t" anchorCtr="0"/>
                  </wps:wsp>
                </a:graphicData>
              </a:graphic>
            </wp:anchor>
          </w:drawing>
        </mc:Choice>
        <mc:Fallback>
          <w:pict>
            <v:shape w14:anchorId="5EEE9B5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D861D1E" w14:textId="77777777" w:rsidR="004E76CA" w:rsidRDefault="00504405">
                    <w:pPr>
                      <w:pStyle w:val="AfzendgegevensKop0"/>
                    </w:pPr>
                    <w:r>
                      <w:t>Ministerie van Infrastructuur en Waterstaat</w:t>
                    </w:r>
                  </w:p>
                  <w:p w14:paraId="1D180D20" w14:textId="77777777" w:rsidR="004E76CA" w:rsidRDefault="004E76CA">
                    <w:pPr>
                      <w:pStyle w:val="WitregelW1"/>
                    </w:pPr>
                  </w:p>
                  <w:p w14:paraId="3EBC369A" w14:textId="77777777" w:rsidR="004E76CA" w:rsidRDefault="00504405">
                    <w:pPr>
                      <w:pStyle w:val="Afzendgegevens"/>
                    </w:pPr>
                    <w:r>
                      <w:t>Rijnstraat 8</w:t>
                    </w:r>
                  </w:p>
                  <w:p w14:paraId="558791B4" w14:textId="77777777" w:rsidR="004E76CA" w:rsidRPr="00736E95" w:rsidRDefault="00504405">
                    <w:pPr>
                      <w:pStyle w:val="Afzendgegevens"/>
                      <w:rPr>
                        <w:lang w:val="de-DE"/>
                      </w:rPr>
                    </w:pPr>
                    <w:r w:rsidRPr="00736E95">
                      <w:rPr>
                        <w:lang w:val="de-DE"/>
                      </w:rPr>
                      <w:t>2515 XP  Den Haag</w:t>
                    </w:r>
                  </w:p>
                  <w:p w14:paraId="4CED8579" w14:textId="77777777" w:rsidR="004E76CA" w:rsidRPr="00736E95" w:rsidRDefault="00504405">
                    <w:pPr>
                      <w:pStyle w:val="Afzendgegevens"/>
                      <w:rPr>
                        <w:lang w:val="de-DE"/>
                      </w:rPr>
                    </w:pPr>
                    <w:r w:rsidRPr="00736E95">
                      <w:rPr>
                        <w:lang w:val="de-DE"/>
                      </w:rPr>
                      <w:t>Postbus 20901</w:t>
                    </w:r>
                  </w:p>
                  <w:p w14:paraId="4F26600D" w14:textId="77777777" w:rsidR="004E76CA" w:rsidRPr="00736E95" w:rsidRDefault="00504405">
                    <w:pPr>
                      <w:pStyle w:val="Afzendgegevens"/>
                      <w:rPr>
                        <w:lang w:val="de-DE"/>
                      </w:rPr>
                    </w:pPr>
                    <w:r w:rsidRPr="00736E95">
                      <w:rPr>
                        <w:lang w:val="de-DE"/>
                      </w:rPr>
                      <w:t>2500 EX Den Haag</w:t>
                    </w:r>
                  </w:p>
                  <w:p w14:paraId="0E3FBE8C" w14:textId="77777777" w:rsidR="004E76CA" w:rsidRPr="00736E95" w:rsidRDefault="004E76CA">
                    <w:pPr>
                      <w:pStyle w:val="WitregelW1"/>
                      <w:rPr>
                        <w:lang w:val="de-DE"/>
                      </w:rPr>
                    </w:pPr>
                  </w:p>
                  <w:p w14:paraId="3E7DC2F2" w14:textId="77777777" w:rsidR="004E76CA" w:rsidRPr="00736E95" w:rsidRDefault="00504405">
                    <w:pPr>
                      <w:pStyle w:val="Afzendgegevens"/>
                      <w:rPr>
                        <w:lang w:val="de-DE"/>
                      </w:rPr>
                    </w:pPr>
                    <w:r w:rsidRPr="00736E95">
                      <w:rPr>
                        <w:lang w:val="de-DE"/>
                      </w:rPr>
                      <w:t>T   070-456 0000</w:t>
                    </w:r>
                  </w:p>
                  <w:p w14:paraId="79AC9FB1" w14:textId="77777777" w:rsidR="004E76CA" w:rsidRDefault="00504405">
                    <w:pPr>
                      <w:pStyle w:val="Afzendgegevens"/>
                    </w:pPr>
                    <w:r>
                      <w:t>F   070-456 1111</w:t>
                    </w:r>
                  </w:p>
                  <w:p w14:paraId="67E61C99" w14:textId="77777777" w:rsidR="0097664A" w:rsidRDefault="0097664A" w:rsidP="0097664A"/>
                  <w:p w14:paraId="16B8B466" w14:textId="77777777" w:rsidR="0097664A" w:rsidRDefault="0097664A" w:rsidP="0097664A">
                    <w:pPr>
                      <w:pStyle w:val="Referentiegegevensbold"/>
                    </w:pPr>
                    <w:r>
                      <w:t>Onze referentie</w:t>
                    </w:r>
                  </w:p>
                  <w:p w14:paraId="46ED79A2" w14:textId="0EF100C2" w:rsidR="0097664A" w:rsidRDefault="0097664A" w:rsidP="0097664A">
                    <w:pPr>
                      <w:pStyle w:val="Referentiegegevens"/>
                    </w:pPr>
                    <w:r>
                      <w:fldChar w:fldCharType="begin"/>
                    </w:r>
                    <w:r>
                      <w:instrText xml:space="preserve"> DOCPROPERTY  "Kenmerk"  \* MERGEFORMAT </w:instrText>
                    </w:r>
                    <w:r>
                      <w:fldChar w:fldCharType="end"/>
                    </w:r>
                    <w:r>
                      <w:t>IENW/BSK-2025/92825</w:t>
                    </w:r>
                  </w:p>
                  <w:p w14:paraId="2B29B4E2" w14:textId="77777777" w:rsidR="0097664A" w:rsidRPr="0097664A" w:rsidRDefault="0097664A" w:rsidP="0097664A">
                    <w:pPr>
                      <w:pStyle w:val="Referentiegegevensbold"/>
                      <w:rPr>
                        <w:b w:val="0"/>
                        <w:bCs/>
                      </w:rPr>
                    </w:pPr>
                  </w:p>
                  <w:p w14:paraId="0270DC27" w14:textId="034D2190" w:rsidR="0097664A" w:rsidRPr="006E5FDC" w:rsidRDefault="0097664A" w:rsidP="006E5FDC">
                    <w:pPr>
                      <w:pStyle w:val="Afzendgegevens"/>
                      <w:rPr>
                        <w:b/>
                        <w:bCs/>
                        <w:lang w:val="de-DE"/>
                      </w:rPr>
                    </w:pPr>
                    <w:r w:rsidRPr="006E5FDC">
                      <w:rPr>
                        <w:b/>
                        <w:bCs/>
                        <w:lang w:val="de-DE"/>
                      </w:rPr>
                      <w:t>Bijlage(n)</w:t>
                    </w:r>
                  </w:p>
                  <w:p w14:paraId="446C11DD" w14:textId="4F2BF240" w:rsidR="0097664A" w:rsidRPr="005043C9" w:rsidRDefault="005043C9" w:rsidP="005043C9">
                    <w:pPr>
                      <w:pStyle w:val="Afzendgegevens"/>
                      <w:rPr>
                        <w:lang w:val="de-DE"/>
                      </w:rPr>
                    </w:pPr>
                    <w:r>
                      <w:rPr>
                        <w:lang w:val="de-DE"/>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74DDBA0" wp14:editId="40EF66D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18808D1" w14:textId="77777777" w:rsidR="004E76CA" w:rsidRDefault="00504405">
                          <w:pPr>
                            <w:spacing w:line="240" w:lineRule="auto"/>
                          </w:pPr>
                          <w:r>
                            <w:rPr>
                              <w:noProof/>
                              <w:lang w:val="en-GB" w:eastAsia="en-GB"/>
                            </w:rPr>
                            <w:drawing>
                              <wp:inline distT="0" distB="0" distL="0" distR="0" wp14:anchorId="7D196FC4" wp14:editId="53E1BC3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4DDBA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18808D1" w14:textId="77777777" w:rsidR="004E76CA" w:rsidRDefault="00504405">
                    <w:pPr>
                      <w:spacing w:line="240" w:lineRule="auto"/>
                    </w:pPr>
                    <w:r>
                      <w:rPr>
                        <w:noProof/>
                        <w:lang w:val="en-GB" w:eastAsia="en-GB"/>
                      </w:rPr>
                      <w:drawing>
                        <wp:inline distT="0" distB="0" distL="0" distR="0" wp14:anchorId="7D196FC4" wp14:editId="53E1BC3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B49FFAE" wp14:editId="20E2966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86E754" w14:textId="77777777" w:rsidR="004E76CA" w:rsidRDefault="00504405">
                          <w:pPr>
                            <w:spacing w:line="240" w:lineRule="auto"/>
                          </w:pPr>
                          <w:r>
                            <w:rPr>
                              <w:noProof/>
                              <w:lang w:val="en-GB" w:eastAsia="en-GB"/>
                            </w:rPr>
                            <w:drawing>
                              <wp:inline distT="0" distB="0" distL="0" distR="0" wp14:anchorId="15FEA0AA" wp14:editId="646657F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49FFA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686E754" w14:textId="77777777" w:rsidR="004E76CA" w:rsidRDefault="00504405">
                    <w:pPr>
                      <w:spacing w:line="240" w:lineRule="auto"/>
                    </w:pPr>
                    <w:r>
                      <w:rPr>
                        <w:noProof/>
                        <w:lang w:val="en-GB" w:eastAsia="en-GB"/>
                      </w:rPr>
                      <w:drawing>
                        <wp:inline distT="0" distB="0" distL="0" distR="0" wp14:anchorId="15FEA0AA" wp14:editId="646657F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FB16967" wp14:editId="442568C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69F48F" w14:textId="77777777" w:rsidR="004E76CA" w:rsidRDefault="0050440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FB1696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69F48F" w14:textId="77777777" w:rsidR="004E76CA" w:rsidRDefault="0050440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A31D516" wp14:editId="14C8A6A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A384DA7" w14:textId="77777777" w:rsidR="004E76CA" w:rsidRDefault="0050440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A31D51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A384DA7" w14:textId="77777777" w:rsidR="004E76CA" w:rsidRDefault="0050440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0AF1416" wp14:editId="07A276A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E76CA" w14:paraId="3BFEA3E0" w14:textId="77777777">
                            <w:trPr>
                              <w:trHeight w:val="200"/>
                            </w:trPr>
                            <w:tc>
                              <w:tcPr>
                                <w:tcW w:w="1140" w:type="dxa"/>
                              </w:tcPr>
                              <w:p w14:paraId="2B7BE399" w14:textId="77777777" w:rsidR="004E76CA" w:rsidRDefault="004E76CA"/>
                            </w:tc>
                            <w:tc>
                              <w:tcPr>
                                <w:tcW w:w="5400" w:type="dxa"/>
                              </w:tcPr>
                              <w:p w14:paraId="4AD72DA3" w14:textId="77777777" w:rsidR="004E76CA" w:rsidRDefault="004E76CA"/>
                            </w:tc>
                          </w:tr>
                          <w:tr w:rsidR="004E76CA" w14:paraId="2AEF4637" w14:textId="77777777">
                            <w:trPr>
                              <w:trHeight w:val="240"/>
                            </w:trPr>
                            <w:tc>
                              <w:tcPr>
                                <w:tcW w:w="1140" w:type="dxa"/>
                              </w:tcPr>
                              <w:p w14:paraId="32E1A42A" w14:textId="77777777" w:rsidR="004E76CA" w:rsidRDefault="00504405">
                                <w:r>
                                  <w:t>Datum</w:t>
                                </w:r>
                              </w:p>
                            </w:tc>
                            <w:tc>
                              <w:tcPr>
                                <w:tcW w:w="5400" w:type="dxa"/>
                              </w:tcPr>
                              <w:p w14:paraId="1563A64B" w14:textId="1B865077" w:rsidR="004E76CA" w:rsidRDefault="005043C9">
                                <w:r>
                                  <w:t>25 april 2025</w:t>
                                </w:r>
                              </w:p>
                            </w:tc>
                          </w:tr>
                          <w:tr w:rsidR="004E76CA" w14:paraId="3E24517E" w14:textId="77777777">
                            <w:trPr>
                              <w:trHeight w:val="240"/>
                            </w:trPr>
                            <w:tc>
                              <w:tcPr>
                                <w:tcW w:w="1140" w:type="dxa"/>
                              </w:tcPr>
                              <w:p w14:paraId="386583F2" w14:textId="77777777" w:rsidR="004E76CA" w:rsidRDefault="00504405">
                                <w:r>
                                  <w:t>Betreft</w:t>
                                </w:r>
                              </w:p>
                            </w:tc>
                            <w:tc>
                              <w:tcPr>
                                <w:tcW w:w="5400" w:type="dxa"/>
                              </w:tcPr>
                              <w:p w14:paraId="2983BE32" w14:textId="77777777" w:rsidR="004E76CA" w:rsidRDefault="00504405">
                                <w:r>
                                  <w:t>Vervolg op de onderzoeken naar het effect van luchtvaart op de lokale luchtkwaliteit</w:t>
                                </w:r>
                              </w:p>
                            </w:tc>
                          </w:tr>
                          <w:tr w:rsidR="004E76CA" w14:paraId="565E87C2" w14:textId="77777777">
                            <w:trPr>
                              <w:trHeight w:val="200"/>
                            </w:trPr>
                            <w:tc>
                              <w:tcPr>
                                <w:tcW w:w="1140" w:type="dxa"/>
                              </w:tcPr>
                              <w:p w14:paraId="125713A3" w14:textId="77777777" w:rsidR="004E76CA" w:rsidRDefault="004E76CA"/>
                            </w:tc>
                            <w:tc>
                              <w:tcPr>
                                <w:tcW w:w="5400" w:type="dxa"/>
                              </w:tcPr>
                              <w:p w14:paraId="319904EB" w14:textId="77777777" w:rsidR="004E76CA" w:rsidRDefault="004E76CA"/>
                            </w:tc>
                          </w:tr>
                        </w:tbl>
                        <w:p w14:paraId="038AF5E5" w14:textId="77777777" w:rsidR="004B3939" w:rsidRDefault="004B3939"/>
                      </w:txbxContent>
                    </wps:txbx>
                    <wps:bodyPr vert="horz" wrap="square" lIns="0" tIns="0" rIns="0" bIns="0" anchor="t" anchorCtr="0"/>
                  </wps:wsp>
                </a:graphicData>
              </a:graphic>
            </wp:anchor>
          </w:drawing>
        </mc:Choice>
        <mc:Fallback>
          <w:pict>
            <v:shape w14:anchorId="70AF141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E76CA" w14:paraId="3BFEA3E0" w14:textId="77777777">
                      <w:trPr>
                        <w:trHeight w:val="200"/>
                      </w:trPr>
                      <w:tc>
                        <w:tcPr>
                          <w:tcW w:w="1140" w:type="dxa"/>
                        </w:tcPr>
                        <w:p w14:paraId="2B7BE399" w14:textId="77777777" w:rsidR="004E76CA" w:rsidRDefault="004E76CA"/>
                      </w:tc>
                      <w:tc>
                        <w:tcPr>
                          <w:tcW w:w="5400" w:type="dxa"/>
                        </w:tcPr>
                        <w:p w14:paraId="4AD72DA3" w14:textId="77777777" w:rsidR="004E76CA" w:rsidRDefault="004E76CA"/>
                      </w:tc>
                    </w:tr>
                    <w:tr w:rsidR="004E76CA" w14:paraId="2AEF4637" w14:textId="77777777">
                      <w:trPr>
                        <w:trHeight w:val="240"/>
                      </w:trPr>
                      <w:tc>
                        <w:tcPr>
                          <w:tcW w:w="1140" w:type="dxa"/>
                        </w:tcPr>
                        <w:p w14:paraId="32E1A42A" w14:textId="77777777" w:rsidR="004E76CA" w:rsidRDefault="00504405">
                          <w:r>
                            <w:t>Datum</w:t>
                          </w:r>
                        </w:p>
                      </w:tc>
                      <w:tc>
                        <w:tcPr>
                          <w:tcW w:w="5400" w:type="dxa"/>
                        </w:tcPr>
                        <w:p w14:paraId="1563A64B" w14:textId="1B865077" w:rsidR="004E76CA" w:rsidRDefault="005043C9">
                          <w:r>
                            <w:t>25 april 2025</w:t>
                          </w:r>
                        </w:p>
                      </w:tc>
                    </w:tr>
                    <w:tr w:rsidR="004E76CA" w14:paraId="3E24517E" w14:textId="77777777">
                      <w:trPr>
                        <w:trHeight w:val="240"/>
                      </w:trPr>
                      <w:tc>
                        <w:tcPr>
                          <w:tcW w:w="1140" w:type="dxa"/>
                        </w:tcPr>
                        <w:p w14:paraId="386583F2" w14:textId="77777777" w:rsidR="004E76CA" w:rsidRDefault="00504405">
                          <w:r>
                            <w:t>Betreft</w:t>
                          </w:r>
                        </w:p>
                      </w:tc>
                      <w:tc>
                        <w:tcPr>
                          <w:tcW w:w="5400" w:type="dxa"/>
                        </w:tcPr>
                        <w:p w14:paraId="2983BE32" w14:textId="77777777" w:rsidR="004E76CA" w:rsidRDefault="00504405">
                          <w:r>
                            <w:t>Vervolg op de onderzoeken naar het effect van luchtvaart op de lokale luchtkwaliteit</w:t>
                          </w:r>
                        </w:p>
                      </w:tc>
                    </w:tr>
                    <w:tr w:rsidR="004E76CA" w14:paraId="565E87C2" w14:textId="77777777">
                      <w:trPr>
                        <w:trHeight w:val="200"/>
                      </w:trPr>
                      <w:tc>
                        <w:tcPr>
                          <w:tcW w:w="1140" w:type="dxa"/>
                        </w:tcPr>
                        <w:p w14:paraId="125713A3" w14:textId="77777777" w:rsidR="004E76CA" w:rsidRDefault="004E76CA"/>
                      </w:tc>
                      <w:tc>
                        <w:tcPr>
                          <w:tcW w:w="5400" w:type="dxa"/>
                        </w:tcPr>
                        <w:p w14:paraId="319904EB" w14:textId="77777777" w:rsidR="004E76CA" w:rsidRDefault="004E76CA"/>
                      </w:tc>
                    </w:tr>
                  </w:tbl>
                  <w:p w14:paraId="038AF5E5" w14:textId="77777777" w:rsidR="004B3939" w:rsidRDefault="004B393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EAE6C15" wp14:editId="0475612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BCAC8D" w14:textId="77777777" w:rsidR="004B3939" w:rsidRDefault="004B3939"/>
                      </w:txbxContent>
                    </wps:txbx>
                    <wps:bodyPr vert="horz" wrap="square" lIns="0" tIns="0" rIns="0" bIns="0" anchor="t" anchorCtr="0"/>
                  </wps:wsp>
                </a:graphicData>
              </a:graphic>
            </wp:anchor>
          </w:drawing>
        </mc:Choice>
        <mc:Fallback>
          <w:pict>
            <v:shape w14:anchorId="7EAE6C1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1BCAC8D" w14:textId="77777777" w:rsidR="004B3939" w:rsidRDefault="004B393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47C6D0"/>
    <w:multiLevelType w:val="multilevel"/>
    <w:tmpl w:val="01545FB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996202"/>
    <w:multiLevelType w:val="multilevel"/>
    <w:tmpl w:val="1B9AED2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8D885B"/>
    <w:multiLevelType w:val="multilevel"/>
    <w:tmpl w:val="DDB24BA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F5BACC"/>
    <w:multiLevelType w:val="multilevel"/>
    <w:tmpl w:val="60C9225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4AE5B2E"/>
    <w:multiLevelType w:val="multilevel"/>
    <w:tmpl w:val="C32A555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8D58FAC"/>
    <w:multiLevelType w:val="multilevel"/>
    <w:tmpl w:val="F4937CA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0FE847B"/>
    <w:multiLevelType w:val="multilevel"/>
    <w:tmpl w:val="2E53D14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BEFFEC"/>
    <w:multiLevelType w:val="multilevel"/>
    <w:tmpl w:val="6968B71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381390"/>
    <w:multiLevelType w:val="multilevel"/>
    <w:tmpl w:val="FC9DE5F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80B406B"/>
    <w:multiLevelType w:val="multilevel"/>
    <w:tmpl w:val="410FBC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F4CEAB73"/>
    <w:multiLevelType w:val="multilevel"/>
    <w:tmpl w:val="9D18B75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2D5AA6"/>
    <w:multiLevelType w:val="hybridMultilevel"/>
    <w:tmpl w:val="5120ACC4"/>
    <w:lvl w:ilvl="0" w:tplc="4E28C22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725E39"/>
    <w:multiLevelType w:val="hybridMultilevel"/>
    <w:tmpl w:val="D778AA2E"/>
    <w:lvl w:ilvl="0" w:tplc="340C3DFA">
      <w:start w:val="1"/>
      <w:numFmt w:val="decimal"/>
      <w:lvlText w:val="%1."/>
      <w:lvlJc w:val="left"/>
      <w:pPr>
        <w:ind w:left="1020" w:hanging="360"/>
      </w:pPr>
    </w:lvl>
    <w:lvl w:ilvl="1" w:tplc="F6F0E32A">
      <w:start w:val="1"/>
      <w:numFmt w:val="decimal"/>
      <w:lvlText w:val="%2."/>
      <w:lvlJc w:val="left"/>
      <w:pPr>
        <w:ind w:left="1020" w:hanging="360"/>
      </w:pPr>
    </w:lvl>
    <w:lvl w:ilvl="2" w:tplc="718EB254">
      <w:start w:val="1"/>
      <w:numFmt w:val="decimal"/>
      <w:lvlText w:val="%3."/>
      <w:lvlJc w:val="left"/>
      <w:pPr>
        <w:ind w:left="1020" w:hanging="360"/>
      </w:pPr>
    </w:lvl>
    <w:lvl w:ilvl="3" w:tplc="B8484660">
      <w:start w:val="1"/>
      <w:numFmt w:val="decimal"/>
      <w:lvlText w:val="%4."/>
      <w:lvlJc w:val="left"/>
      <w:pPr>
        <w:ind w:left="1020" w:hanging="360"/>
      </w:pPr>
    </w:lvl>
    <w:lvl w:ilvl="4" w:tplc="420C5326">
      <w:start w:val="1"/>
      <w:numFmt w:val="decimal"/>
      <w:lvlText w:val="%5."/>
      <w:lvlJc w:val="left"/>
      <w:pPr>
        <w:ind w:left="1020" w:hanging="360"/>
      </w:pPr>
    </w:lvl>
    <w:lvl w:ilvl="5" w:tplc="4B4AE12A">
      <w:start w:val="1"/>
      <w:numFmt w:val="decimal"/>
      <w:lvlText w:val="%6."/>
      <w:lvlJc w:val="left"/>
      <w:pPr>
        <w:ind w:left="1020" w:hanging="360"/>
      </w:pPr>
    </w:lvl>
    <w:lvl w:ilvl="6" w:tplc="B964DFBA">
      <w:start w:val="1"/>
      <w:numFmt w:val="decimal"/>
      <w:lvlText w:val="%7."/>
      <w:lvlJc w:val="left"/>
      <w:pPr>
        <w:ind w:left="1020" w:hanging="360"/>
      </w:pPr>
    </w:lvl>
    <w:lvl w:ilvl="7" w:tplc="A3523304">
      <w:start w:val="1"/>
      <w:numFmt w:val="decimal"/>
      <w:lvlText w:val="%8."/>
      <w:lvlJc w:val="left"/>
      <w:pPr>
        <w:ind w:left="1020" w:hanging="360"/>
      </w:pPr>
    </w:lvl>
    <w:lvl w:ilvl="8" w:tplc="6674FDD0">
      <w:start w:val="1"/>
      <w:numFmt w:val="decimal"/>
      <w:lvlText w:val="%9."/>
      <w:lvlJc w:val="left"/>
      <w:pPr>
        <w:ind w:left="1020" w:hanging="360"/>
      </w:pPr>
    </w:lvl>
  </w:abstractNum>
  <w:abstractNum w:abstractNumId="13" w15:restartNumberingAfterBreak="0">
    <w:nsid w:val="21E6030F"/>
    <w:multiLevelType w:val="multilevel"/>
    <w:tmpl w:val="8784F92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1422"/>
    <w:multiLevelType w:val="hybridMultilevel"/>
    <w:tmpl w:val="64A22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30B354"/>
    <w:multiLevelType w:val="multilevel"/>
    <w:tmpl w:val="10A89EF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6B762C"/>
    <w:multiLevelType w:val="multilevel"/>
    <w:tmpl w:val="AB3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4D737E"/>
    <w:multiLevelType w:val="hybridMultilevel"/>
    <w:tmpl w:val="C6D43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F0B65D0"/>
    <w:multiLevelType w:val="hybridMultilevel"/>
    <w:tmpl w:val="5BC2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19B494"/>
    <w:multiLevelType w:val="multilevel"/>
    <w:tmpl w:val="E5F055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37130747"/>
    <w:multiLevelType w:val="hybridMultilevel"/>
    <w:tmpl w:val="393864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043838"/>
    <w:multiLevelType w:val="hybridMultilevel"/>
    <w:tmpl w:val="EB1C3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887DD8"/>
    <w:multiLevelType w:val="hybridMultilevel"/>
    <w:tmpl w:val="310619AA"/>
    <w:lvl w:ilvl="0" w:tplc="F0629F62">
      <w:start w:val="1"/>
      <w:numFmt w:val="decimal"/>
      <w:lvlText w:val="%1."/>
      <w:lvlJc w:val="left"/>
      <w:pPr>
        <w:ind w:left="1020" w:hanging="360"/>
      </w:pPr>
    </w:lvl>
    <w:lvl w:ilvl="1" w:tplc="EB7E0844">
      <w:start w:val="1"/>
      <w:numFmt w:val="decimal"/>
      <w:lvlText w:val="%2."/>
      <w:lvlJc w:val="left"/>
      <w:pPr>
        <w:ind w:left="1020" w:hanging="360"/>
      </w:pPr>
    </w:lvl>
    <w:lvl w:ilvl="2" w:tplc="6674C780">
      <w:start w:val="1"/>
      <w:numFmt w:val="decimal"/>
      <w:lvlText w:val="%3."/>
      <w:lvlJc w:val="left"/>
      <w:pPr>
        <w:ind w:left="1020" w:hanging="360"/>
      </w:pPr>
    </w:lvl>
    <w:lvl w:ilvl="3" w:tplc="118ECEEA">
      <w:start w:val="1"/>
      <w:numFmt w:val="decimal"/>
      <w:lvlText w:val="%4."/>
      <w:lvlJc w:val="left"/>
      <w:pPr>
        <w:ind w:left="1020" w:hanging="360"/>
      </w:pPr>
    </w:lvl>
    <w:lvl w:ilvl="4" w:tplc="6B40E8EE">
      <w:start w:val="1"/>
      <w:numFmt w:val="decimal"/>
      <w:lvlText w:val="%5."/>
      <w:lvlJc w:val="left"/>
      <w:pPr>
        <w:ind w:left="1020" w:hanging="360"/>
      </w:pPr>
    </w:lvl>
    <w:lvl w:ilvl="5" w:tplc="8FBCA5E2">
      <w:start w:val="1"/>
      <w:numFmt w:val="decimal"/>
      <w:lvlText w:val="%6."/>
      <w:lvlJc w:val="left"/>
      <w:pPr>
        <w:ind w:left="1020" w:hanging="360"/>
      </w:pPr>
    </w:lvl>
    <w:lvl w:ilvl="6" w:tplc="7CC0789A">
      <w:start w:val="1"/>
      <w:numFmt w:val="decimal"/>
      <w:lvlText w:val="%7."/>
      <w:lvlJc w:val="left"/>
      <w:pPr>
        <w:ind w:left="1020" w:hanging="360"/>
      </w:pPr>
    </w:lvl>
    <w:lvl w:ilvl="7" w:tplc="43903CA2">
      <w:start w:val="1"/>
      <w:numFmt w:val="decimal"/>
      <w:lvlText w:val="%8."/>
      <w:lvlJc w:val="left"/>
      <w:pPr>
        <w:ind w:left="1020" w:hanging="360"/>
      </w:pPr>
    </w:lvl>
    <w:lvl w:ilvl="8" w:tplc="5C48BD98">
      <w:start w:val="1"/>
      <w:numFmt w:val="decimal"/>
      <w:lvlText w:val="%9."/>
      <w:lvlJc w:val="left"/>
      <w:pPr>
        <w:ind w:left="1020" w:hanging="360"/>
      </w:pPr>
    </w:lvl>
  </w:abstractNum>
  <w:abstractNum w:abstractNumId="23" w15:restartNumberingAfterBreak="0">
    <w:nsid w:val="3E9ED44F"/>
    <w:multiLevelType w:val="multilevel"/>
    <w:tmpl w:val="21EA93F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EA23C6"/>
    <w:multiLevelType w:val="hybridMultilevel"/>
    <w:tmpl w:val="67F46646"/>
    <w:lvl w:ilvl="0" w:tplc="9D32051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005640"/>
    <w:multiLevelType w:val="hybridMultilevel"/>
    <w:tmpl w:val="C3DA1A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34C782E"/>
    <w:multiLevelType w:val="hybridMultilevel"/>
    <w:tmpl w:val="0D167722"/>
    <w:lvl w:ilvl="0" w:tplc="64D6D99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FA05350"/>
    <w:multiLevelType w:val="multilevel"/>
    <w:tmpl w:val="86039F4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AB0DA0"/>
    <w:multiLevelType w:val="hybridMultilevel"/>
    <w:tmpl w:val="A3E62036"/>
    <w:lvl w:ilvl="0" w:tplc="7F6E4064">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C3DBC2"/>
    <w:multiLevelType w:val="multilevel"/>
    <w:tmpl w:val="B3E3B66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21C8E"/>
    <w:multiLevelType w:val="multilevel"/>
    <w:tmpl w:val="98F92C4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688E40"/>
    <w:multiLevelType w:val="multilevel"/>
    <w:tmpl w:val="7341D8B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F08D7F"/>
    <w:multiLevelType w:val="multilevel"/>
    <w:tmpl w:val="BA3C40A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786DB8"/>
    <w:multiLevelType w:val="hybridMultilevel"/>
    <w:tmpl w:val="EBEA0E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9C1E108"/>
    <w:multiLevelType w:val="multilevel"/>
    <w:tmpl w:val="3591EDA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9A2D6E"/>
    <w:multiLevelType w:val="hybridMultilevel"/>
    <w:tmpl w:val="046E3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B55E37"/>
    <w:multiLevelType w:val="hybridMultilevel"/>
    <w:tmpl w:val="8006D4C6"/>
    <w:lvl w:ilvl="0" w:tplc="2BD60CDA">
      <w:start w:val="1"/>
      <w:numFmt w:val="decimal"/>
      <w:lvlText w:val="%1."/>
      <w:lvlJc w:val="left"/>
      <w:pPr>
        <w:ind w:left="1440" w:hanging="360"/>
      </w:pPr>
    </w:lvl>
    <w:lvl w:ilvl="1" w:tplc="4FAE513E">
      <w:start w:val="1"/>
      <w:numFmt w:val="decimal"/>
      <w:lvlText w:val="%2."/>
      <w:lvlJc w:val="left"/>
      <w:pPr>
        <w:ind w:left="1440" w:hanging="360"/>
      </w:pPr>
    </w:lvl>
    <w:lvl w:ilvl="2" w:tplc="0F069DF6">
      <w:start w:val="1"/>
      <w:numFmt w:val="decimal"/>
      <w:lvlText w:val="%3."/>
      <w:lvlJc w:val="left"/>
      <w:pPr>
        <w:ind w:left="1440" w:hanging="360"/>
      </w:pPr>
    </w:lvl>
    <w:lvl w:ilvl="3" w:tplc="88107104">
      <w:start w:val="1"/>
      <w:numFmt w:val="decimal"/>
      <w:lvlText w:val="%4."/>
      <w:lvlJc w:val="left"/>
      <w:pPr>
        <w:ind w:left="1440" w:hanging="360"/>
      </w:pPr>
    </w:lvl>
    <w:lvl w:ilvl="4" w:tplc="3C8667AA">
      <w:start w:val="1"/>
      <w:numFmt w:val="decimal"/>
      <w:lvlText w:val="%5."/>
      <w:lvlJc w:val="left"/>
      <w:pPr>
        <w:ind w:left="1440" w:hanging="360"/>
      </w:pPr>
    </w:lvl>
    <w:lvl w:ilvl="5" w:tplc="61322522">
      <w:start w:val="1"/>
      <w:numFmt w:val="decimal"/>
      <w:lvlText w:val="%6."/>
      <w:lvlJc w:val="left"/>
      <w:pPr>
        <w:ind w:left="1440" w:hanging="360"/>
      </w:pPr>
    </w:lvl>
    <w:lvl w:ilvl="6" w:tplc="D73E273A">
      <w:start w:val="1"/>
      <w:numFmt w:val="decimal"/>
      <w:lvlText w:val="%7."/>
      <w:lvlJc w:val="left"/>
      <w:pPr>
        <w:ind w:left="1440" w:hanging="360"/>
      </w:pPr>
    </w:lvl>
    <w:lvl w:ilvl="7" w:tplc="3DA44EB6">
      <w:start w:val="1"/>
      <w:numFmt w:val="decimal"/>
      <w:lvlText w:val="%8."/>
      <w:lvlJc w:val="left"/>
      <w:pPr>
        <w:ind w:left="1440" w:hanging="360"/>
      </w:pPr>
    </w:lvl>
    <w:lvl w:ilvl="8" w:tplc="009A6E12">
      <w:start w:val="1"/>
      <w:numFmt w:val="decimal"/>
      <w:lvlText w:val="%9."/>
      <w:lvlJc w:val="left"/>
      <w:pPr>
        <w:ind w:left="1440" w:hanging="360"/>
      </w:pPr>
    </w:lvl>
  </w:abstractNum>
  <w:abstractNum w:abstractNumId="37" w15:restartNumberingAfterBreak="0">
    <w:nsid w:val="739BC22B"/>
    <w:multiLevelType w:val="multilevel"/>
    <w:tmpl w:val="1FA5029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C97083"/>
    <w:multiLevelType w:val="multilevel"/>
    <w:tmpl w:val="E468062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FB2212"/>
    <w:multiLevelType w:val="hybridMultilevel"/>
    <w:tmpl w:val="C44C19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7"/>
  </w:num>
  <w:num w:numId="3">
    <w:abstractNumId w:val="31"/>
  </w:num>
  <w:num w:numId="4">
    <w:abstractNumId w:val="5"/>
  </w:num>
  <w:num w:numId="5">
    <w:abstractNumId w:val="9"/>
  </w:num>
  <w:num w:numId="6">
    <w:abstractNumId w:val="6"/>
  </w:num>
  <w:num w:numId="7">
    <w:abstractNumId w:val="7"/>
  </w:num>
  <w:num w:numId="8">
    <w:abstractNumId w:val="27"/>
  </w:num>
  <w:num w:numId="9">
    <w:abstractNumId w:val="3"/>
  </w:num>
  <w:num w:numId="10">
    <w:abstractNumId w:val="0"/>
  </w:num>
  <w:num w:numId="11">
    <w:abstractNumId w:val="38"/>
  </w:num>
  <w:num w:numId="12">
    <w:abstractNumId w:val="19"/>
  </w:num>
  <w:num w:numId="13">
    <w:abstractNumId w:val="15"/>
  </w:num>
  <w:num w:numId="14">
    <w:abstractNumId w:val="10"/>
  </w:num>
  <w:num w:numId="15">
    <w:abstractNumId w:val="23"/>
  </w:num>
  <w:num w:numId="16">
    <w:abstractNumId w:val="34"/>
  </w:num>
  <w:num w:numId="17">
    <w:abstractNumId w:val="29"/>
  </w:num>
  <w:num w:numId="18">
    <w:abstractNumId w:val="32"/>
  </w:num>
  <w:num w:numId="19">
    <w:abstractNumId w:val="4"/>
  </w:num>
  <w:num w:numId="20">
    <w:abstractNumId w:val="1"/>
  </w:num>
  <w:num w:numId="21">
    <w:abstractNumId w:val="30"/>
  </w:num>
  <w:num w:numId="22">
    <w:abstractNumId w:val="8"/>
  </w:num>
  <w:num w:numId="23">
    <w:abstractNumId w:val="13"/>
  </w:num>
  <w:num w:numId="24">
    <w:abstractNumId w:val="16"/>
  </w:num>
  <w:num w:numId="25">
    <w:abstractNumId w:val="11"/>
  </w:num>
  <w:num w:numId="26">
    <w:abstractNumId w:val="39"/>
  </w:num>
  <w:num w:numId="27">
    <w:abstractNumId w:val="18"/>
  </w:num>
  <w:num w:numId="28">
    <w:abstractNumId w:val="24"/>
  </w:num>
  <w:num w:numId="29">
    <w:abstractNumId w:val="36"/>
  </w:num>
  <w:num w:numId="30">
    <w:abstractNumId w:val="26"/>
  </w:num>
  <w:num w:numId="31">
    <w:abstractNumId w:val="12"/>
  </w:num>
  <w:num w:numId="32">
    <w:abstractNumId w:val="28"/>
  </w:num>
  <w:num w:numId="33">
    <w:abstractNumId w:val="35"/>
  </w:num>
  <w:num w:numId="34">
    <w:abstractNumId w:val="22"/>
  </w:num>
  <w:num w:numId="35">
    <w:abstractNumId w:val="33"/>
  </w:num>
  <w:num w:numId="36">
    <w:abstractNumId w:val="20"/>
  </w:num>
  <w:num w:numId="37">
    <w:abstractNumId w:val="17"/>
  </w:num>
  <w:num w:numId="38">
    <w:abstractNumId w:val="14"/>
  </w:num>
  <w:num w:numId="39">
    <w:abstractNumId w:val="2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95"/>
    <w:rsid w:val="0000279E"/>
    <w:rsid w:val="00003F50"/>
    <w:rsid w:val="00006F32"/>
    <w:rsid w:val="00034DA1"/>
    <w:rsid w:val="000401C0"/>
    <w:rsid w:val="00051E14"/>
    <w:rsid w:val="00055C21"/>
    <w:rsid w:val="00067A7D"/>
    <w:rsid w:val="00067AEE"/>
    <w:rsid w:val="00090C98"/>
    <w:rsid w:val="000A50C2"/>
    <w:rsid w:val="000B2E8F"/>
    <w:rsid w:val="000C5DCE"/>
    <w:rsid w:val="000D108C"/>
    <w:rsid w:val="000E65DC"/>
    <w:rsid w:val="000E6BF7"/>
    <w:rsid w:val="000E7695"/>
    <w:rsid w:val="000E7F65"/>
    <w:rsid w:val="000F6297"/>
    <w:rsid w:val="00100D27"/>
    <w:rsid w:val="00103C9B"/>
    <w:rsid w:val="00112A0C"/>
    <w:rsid w:val="00126A41"/>
    <w:rsid w:val="00150A3E"/>
    <w:rsid w:val="0017204E"/>
    <w:rsid w:val="001731DB"/>
    <w:rsid w:val="00175D61"/>
    <w:rsid w:val="00183BF4"/>
    <w:rsid w:val="00195F81"/>
    <w:rsid w:val="001A0DF4"/>
    <w:rsid w:val="001A43BD"/>
    <w:rsid w:val="001B0B1E"/>
    <w:rsid w:val="001B411E"/>
    <w:rsid w:val="001E5C35"/>
    <w:rsid w:val="001F1C0B"/>
    <w:rsid w:val="001F5E80"/>
    <w:rsid w:val="0020570E"/>
    <w:rsid w:val="00213A54"/>
    <w:rsid w:val="0022206E"/>
    <w:rsid w:val="00232CD4"/>
    <w:rsid w:val="002374E7"/>
    <w:rsid w:val="002430C3"/>
    <w:rsid w:val="00244081"/>
    <w:rsid w:val="0025155F"/>
    <w:rsid w:val="00275A92"/>
    <w:rsid w:val="002872B5"/>
    <w:rsid w:val="002A4315"/>
    <w:rsid w:val="002A76D6"/>
    <w:rsid w:val="002C21A9"/>
    <w:rsid w:val="002C2803"/>
    <w:rsid w:val="002D0EF7"/>
    <w:rsid w:val="002D7236"/>
    <w:rsid w:val="002E4416"/>
    <w:rsid w:val="002E6863"/>
    <w:rsid w:val="002F3001"/>
    <w:rsid w:val="003069B0"/>
    <w:rsid w:val="00312853"/>
    <w:rsid w:val="0031712A"/>
    <w:rsid w:val="00317CD0"/>
    <w:rsid w:val="00320428"/>
    <w:rsid w:val="00326323"/>
    <w:rsid w:val="00330EB8"/>
    <w:rsid w:val="003324C8"/>
    <w:rsid w:val="0033423E"/>
    <w:rsid w:val="0033498C"/>
    <w:rsid w:val="003402D1"/>
    <w:rsid w:val="003433ED"/>
    <w:rsid w:val="00361CE2"/>
    <w:rsid w:val="003634F4"/>
    <w:rsid w:val="003638FB"/>
    <w:rsid w:val="003670DD"/>
    <w:rsid w:val="00377420"/>
    <w:rsid w:val="00382365"/>
    <w:rsid w:val="003854C0"/>
    <w:rsid w:val="003B14B6"/>
    <w:rsid w:val="003B318A"/>
    <w:rsid w:val="003B5F3F"/>
    <w:rsid w:val="003C067D"/>
    <w:rsid w:val="003E2882"/>
    <w:rsid w:val="003E4564"/>
    <w:rsid w:val="003F54B5"/>
    <w:rsid w:val="004140A2"/>
    <w:rsid w:val="0041567C"/>
    <w:rsid w:val="004301FC"/>
    <w:rsid w:val="004370AC"/>
    <w:rsid w:val="0045114D"/>
    <w:rsid w:val="00455D4F"/>
    <w:rsid w:val="00455DC1"/>
    <w:rsid w:val="004631AC"/>
    <w:rsid w:val="004B3939"/>
    <w:rsid w:val="004B5117"/>
    <w:rsid w:val="004D1C6C"/>
    <w:rsid w:val="004D451C"/>
    <w:rsid w:val="004E76CA"/>
    <w:rsid w:val="004E7B51"/>
    <w:rsid w:val="005043C9"/>
    <w:rsid w:val="00504405"/>
    <w:rsid w:val="00514B71"/>
    <w:rsid w:val="005246F6"/>
    <w:rsid w:val="00532530"/>
    <w:rsid w:val="00535C1A"/>
    <w:rsid w:val="00552CAB"/>
    <w:rsid w:val="005672F6"/>
    <w:rsid w:val="005705D1"/>
    <w:rsid w:val="005741C9"/>
    <w:rsid w:val="0059301A"/>
    <w:rsid w:val="00595BFC"/>
    <w:rsid w:val="005A3D00"/>
    <w:rsid w:val="005A3DCC"/>
    <w:rsid w:val="005A56D3"/>
    <w:rsid w:val="005B3707"/>
    <w:rsid w:val="005B5A23"/>
    <w:rsid w:val="005C1C9F"/>
    <w:rsid w:val="005C3144"/>
    <w:rsid w:val="005E7FF7"/>
    <w:rsid w:val="005F2E53"/>
    <w:rsid w:val="005F7B20"/>
    <w:rsid w:val="00605D12"/>
    <w:rsid w:val="00606F05"/>
    <w:rsid w:val="00610033"/>
    <w:rsid w:val="00613854"/>
    <w:rsid w:val="00613C79"/>
    <w:rsid w:val="00616259"/>
    <w:rsid w:val="00616389"/>
    <w:rsid w:val="00617917"/>
    <w:rsid w:val="00632CE8"/>
    <w:rsid w:val="00654681"/>
    <w:rsid w:val="00654915"/>
    <w:rsid w:val="00681436"/>
    <w:rsid w:val="006846FC"/>
    <w:rsid w:val="00695914"/>
    <w:rsid w:val="006B6312"/>
    <w:rsid w:val="006B7ADE"/>
    <w:rsid w:val="006C2949"/>
    <w:rsid w:val="006E21B7"/>
    <w:rsid w:val="006E5FDC"/>
    <w:rsid w:val="00716F8B"/>
    <w:rsid w:val="00720504"/>
    <w:rsid w:val="00733EB8"/>
    <w:rsid w:val="00736E95"/>
    <w:rsid w:val="007527DA"/>
    <w:rsid w:val="00752AAE"/>
    <w:rsid w:val="00771375"/>
    <w:rsid w:val="00783436"/>
    <w:rsid w:val="0079745A"/>
    <w:rsid w:val="007A41AA"/>
    <w:rsid w:val="007C16A3"/>
    <w:rsid w:val="007D4A77"/>
    <w:rsid w:val="007E3F36"/>
    <w:rsid w:val="007E4F63"/>
    <w:rsid w:val="007E6F7C"/>
    <w:rsid w:val="007F62D6"/>
    <w:rsid w:val="00802AC4"/>
    <w:rsid w:val="0081605B"/>
    <w:rsid w:val="00824467"/>
    <w:rsid w:val="0083326A"/>
    <w:rsid w:val="008338DC"/>
    <w:rsid w:val="00852FB5"/>
    <w:rsid w:val="0086085E"/>
    <w:rsid w:val="00867E46"/>
    <w:rsid w:val="00884399"/>
    <w:rsid w:val="008875F4"/>
    <w:rsid w:val="0089680A"/>
    <w:rsid w:val="008A3014"/>
    <w:rsid w:val="008A63F1"/>
    <w:rsid w:val="008A726B"/>
    <w:rsid w:val="008B6664"/>
    <w:rsid w:val="008C1A67"/>
    <w:rsid w:val="008F13D0"/>
    <w:rsid w:val="00906BFC"/>
    <w:rsid w:val="0094527A"/>
    <w:rsid w:val="00952028"/>
    <w:rsid w:val="0096532D"/>
    <w:rsid w:val="0096695B"/>
    <w:rsid w:val="0097664A"/>
    <w:rsid w:val="00993DA1"/>
    <w:rsid w:val="009A59A1"/>
    <w:rsid w:val="009C3CB4"/>
    <w:rsid w:val="009C4D78"/>
    <w:rsid w:val="009C67D4"/>
    <w:rsid w:val="00A02A44"/>
    <w:rsid w:val="00A11ECF"/>
    <w:rsid w:val="00A15A2F"/>
    <w:rsid w:val="00A1606A"/>
    <w:rsid w:val="00A24FA0"/>
    <w:rsid w:val="00A363A6"/>
    <w:rsid w:val="00A57D4D"/>
    <w:rsid w:val="00A7184E"/>
    <w:rsid w:val="00A80394"/>
    <w:rsid w:val="00A804E6"/>
    <w:rsid w:val="00AA60DF"/>
    <w:rsid w:val="00AB56B8"/>
    <w:rsid w:val="00AC0A1D"/>
    <w:rsid w:val="00AC0AE2"/>
    <w:rsid w:val="00AC4CCE"/>
    <w:rsid w:val="00AE2BA3"/>
    <w:rsid w:val="00B06CC5"/>
    <w:rsid w:val="00B155D7"/>
    <w:rsid w:val="00B22320"/>
    <w:rsid w:val="00B23462"/>
    <w:rsid w:val="00B6224E"/>
    <w:rsid w:val="00B67933"/>
    <w:rsid w:val="00B84EB7"/>
    <w:rsid w:val="00B863F1"/>
    <w:rsid w:val="00B90FBC"/>
    <w:rsid w:val="00BA4DA1"/>
    <w:rsid w:val="00BB3DA3"/>
    <w:rsid w:val="00BD42FC"/>
    <w:rsid w:val="00BE19ED"/>
    <w:rsid w:val="00BE61A3"/>
    <w:rsid w:val="00C145CA"/>
    <w:rsid w:val="00C46B31"/>
    <w:rsid w:val="00C568AD"/>
    <w:rsid w:val="00C64FD7"/>
    <w:rsid w:val="00C71D61"/>
    <w:rsid w:val="00C71FEE"/>
    <w:rsid w:val="00C85362"/>
    <w:rsid w:val="00CC016A"/>
    <w:rsid w:val="00CC76AB"/>
    <w:rsid w:val="00CD77E5"/>
    <w:rsid w:val="00CE0BFC"/>
    <w:rsid w:val="00D127DA"/>
    <w:rsid w:val="00D23A1B"/>
    <w:rsid w:val="00D2727D"/>
    <w:rsid w:val="00D27CBB"/>
    <w:rsid w:val="00D36D72"/>
    <w:rsid w:val="00D431FE"/>
    <w:rsid w:val="00D47E86"/>
    <w:rsid w:val="00D65AA6"/>
    <w:rsid w:val="00D80026"/>
    <w:rsid w:val="00D90A9F"/>
    <w:rsid w:val="00DA273A"/>
    <w:rsid w:val="00DB14D4"/>
    <w:rsid w:val="00DB63FC"/>
    <w:rsid w:val="00DB6BEB"/>
    <w:rsid w:val="00DD06C9"/>
    <w:rsid w:val="00DD5A50"/>
    <w:rsid w:val="00DE2887"/>
    <w:rsid w:val="00DE6626"/>
    <w:rsid w:val="00E01BDD"/>
    <w:rsid w:val="00E07391"/>
    <w:rsid w:val="00E15622"/>
    <w:rsid w:val="00E16DAF"/>
    <w:rsid w:val="00E27ECD"/>
    <w:rsid w:val="00E4268B"/>
    <w:rsid w:val="00E518A3"/>
    <w:rsid w:val="00E6120C"/>
    <w:rsid w:val="00E77113"/>
    <w:rsid w:val="00E81A6B"/>
    <w:rsid w:val="00E91777"/>
    <w:rsid w:val="00E92D68"/>
    <w:rsid w:val="00EA7866"/>
    <w:rsid w:val="00ED17A7"/>
    <w:rsid w:val="00ED6EE1"/>
    <w:rsid w:val="00EE56D0"/>
    <w:rsid w:val="00EF1202"/>
    <w:rsid w:val="00EF650D"/>
    <w:rsid w:val="00F05878"/>
    <w:rsid w:val="00F5544A"/>
    <w:rsid w:val="00F57089"/>
    <w:rsid w:val="00F5739D"/>
    <w:rsid w:val="00F6196D"/>
    <w:rsid w:val="00F6632E"/>
    <w:rsid w:val="00FB00D2"/>
    <w:rsid w:val="00FB651B"/>
    <w:rsid w:val="00FC263D"/>
    <w:rsid w:val="00FD0A7E"/>
    <w:rsid w:val="00FD1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736E95"/>
    <w:pPr>
      <w:spacing w:line="240" w:lineRule="auto"/>
    </w:pPr>
    <w:rPr>
      <w:sz w:val="20"/>
      <w:szCs w:val="20"/>
    </w:rPr>
  </w:style>
  <w:style w:type="character" w:customStyle="1" w:styleId="FootnoteTextChar">
    <w:name w:val="Footnote Text Char"/>
    <w:basedOn w:val="DefaultParagraphFont"/>
    <w:link w:val="FootnoteText"/>
    <w:uiPriority w:val="99"/>
    <w:semiHidden/>
    <w:rsid w:val="00736E95"/>
    <w:rPr>
      <w:rFonts w:ascii="Verdana" w:hAnsi="Verdana"/>
      <w:color w:val="000000"/>
    </w:rPr>
  </w:style>
  <w:style w:type="character" w:styleId="FootnoteReference">
    <w:name w:val="footnote reference"/>
    <w:basedOn w:val="DefaultParagraphFont"/>
    <w:uiPriority w:val="99"/>
    <w:semiHidden/>
    <w:unhideWhenUsed/>
    <w:rsid w:val="00736E95"/>
    <w:rPr>
      <w:vertAlign w:val="superscript"/>
    </w:rPr>
  </w:style>
  <w:style w:type="paragraph" w:styleId="ListParagraph">
    <w:name w:val="List Paragraph"/>
    <w:basedOn w:val="Normal"/>
    <w:uiPriority w:val="34"/>
    <w:qFormat/>
    <w:rsid w:val="00736E95"/>
    <w:pPr>
      <w:ind w:left="720"/>
      <w:contextualSpacing/>
    </w:pPr>
  </w:style>
  <w:style w:type="character" w:styleId="CommentReference">
    <w:name w:val="annotation reference"/>
    <w:basedOn w:val="DefaultParagraphFont"/>
    <w:uiPriority w:val="99"/>
    <w:semiHidden/>
    <w:unhideWhenUsed/>
    <w:rsid w:val="00736E95"/>
    <w:rPr>
      <w:sz w:val="16"/>
      <w:szCs w:val="16"/>
    </w:rPr>
  </w:style>
  <w:style w:type="paragraph" w:styleId="CommentText">
    <w:name w:val="annotation text"/>
    <w:basedOn w:val="Normal"/>
    <w:link w:val="CommentTextChar"/>
    <w:uiPriority w:val="99"/>
    <w:unhideWhenUsed/>
    <w:rsid w:val="00736E95"/>
    <w:pPr>
      <w:spacing w:line="240" w:lineRule="auto"/>
    </w:pPr>
    <w:rPr>
      <w:sz w:val="20"/>
      <w:szCs w:val="20"/>
    </w:rPr>
  </w:style>
  <w:style w:type="character" w:customStyle="1" w:styleId="CommentTextChar">
    <w:name w:val="Comment Text Char"/>
    <w:basedOn w:val="DefaultParagraphFont"/>
    <w:link w:val="CommentText"/>
    <w:uiPriority w:val="99"/>
    <w:rsid w:val="00736E95"/>
    <w:rPr>
      <w:rFonts w:ascii="Verdana" w:hAnsi="Verdana"/>
      <w:color w:val="000000"/>
    </w:rPr>
  </w:style>
  <w:style w:type="character" w:styleId="FollowedHyperlink">
    <w:name w:val="FollowedHyperlink"/>
    <w:basedOn w:val="DefaultParagraphFont"/>
    <w:uiPriority w:val="99"/>
    <w:semiHidden/>
    <w:unhideWhenUsed/>
    <w:rsid w:val="0059301A"/>
    <w:rPr>
      <w:color w:val="954F72" w:themeColor="followedHyperlink"/>
      <w:u w:val="single"/>
    </w:rPr>
  </w:style>
  <w:style w:type="paragraph" w:styleId="Header">
    <w:name w:val="header"/>
    <w:basedOn w:val="Normal"/>
    <w:link w:val="HeaderChar"/>
    <w:uiPriority w:val="99"/>
    <w:unhideWhenUsed/>
    <w:rsid w:val="00A804E6"/>
    <w:pPr>
      <w:tabs>
        <w:tab w:val="center" w:pos="4536"/>
        <w:tab w:val="right" w:pos="9072"/>
      </w:tabs>
      <w:spacing w:line="240" w:lineRule="auto"/>
    </w:pPr>
  </w:style>
  <w:style w:type="character" w:customStyle="1" w:styleId="HeaderChar">
    <w:name w:val="Header Char"/>
    <w:basedOn w:val="DefaultParagraphFont"/>
    <w:link w:val="Header"/>
    <w:uiPriority w:val="99"/>
    <w:rsid w:val="00A804E6"/>
    <w:rPr>
      <w:rFonts w:ascii="Verdana" w:hAnsi="Verdana"/>
      <w:color w:val="000000"/>
      <w:sz w:val="18"/>
      <w:szCs w:val="18"/>
    </w:rPr>
  </w:style>
  <w:style w:type="paragraph" w:styleId="Footer">
    <w:name w:val="footer"/>
    <w:basedOn w:val="Normal"/>
    <w:link w:val="FooterChar"/>
    <w:uiPriority w:val="99"/>
    <w:unhideWhenUsed/>
    <w:rsid w:val="00A804E6"/>
    <w:pPr>
      <w:tabs>
        <w:tab w:val="center" w:pos="4536"/>
        <w:tab w:val="right" w:pos="9072"/>
      </w:tabs>
      <w:spacing w:line="240" w:lineRule="auto"/>
    </w:pPr>
  </w:style>
  <w:style w:type="character" w:customStyle="1" w:styleId="FooterChar">
    <w:name w:val="Footer Char"/>
    <w:basedOn w:val="DefaultParagraphFont"/>
    <w:link w:val="Footer"/>
    <w:uiPriority w:val="99"/>
    <w:rsid w:val="00A804E6"/>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D65AA6"/>
    <w:rPr>
      <w:b/>
      <w:bCs/>
    </w:rPr>
  </w:style>
  <w:style w:type="character" w:customStyle="1" w:styleId="CommentSubjectChar">
    <w:name w:val="Comment Subject Char"/>
    <w:basedOn w:val="CommentTextChar"/>
    <w:link w:val="CommentSubject"/>
    <w:uiPriority w:val="99"/>
    <w:semiHidden/>
    <w:rsid w:val="00D65AA6"/>
    <w:rPr>
      <w:rFonts w:ascii="Verdana" w:hAnsi="Verdana"/>
      <w:b/>
      <w:bCs/>
      <w:color w:val="000000"/>
    </w:rPr>
  </w:style>
  <w:style w:type="paragraph" w:customStyle="1" w:styleId="Default">
    <w:name w:val="Default"/>
    <w:rsid w:val="004D451C"/>
    <w:pPr>
      <w:autoSpaceDE w:val="0"/>
      <w:adjustRightInd w:val="0"/>
      <w:textAlignment w:val="auto"/>
    </w:pPr>
    <w:rPr>
      <w:rFonts w:ascii="Verdana" w:hAnsi="Verdana" w:cs="Verdana"/>
      <w:color w:val="000000"/>
      <w:sz w:val="24"/>
      <w:szCs w:val="24"/>
    </w:rPr>
  </w:style>
  <w:style w:type="paragraph" w:styleId="Revision">
    <w:name w:val="Revision"/>
    <w:hidden/>
    <w:uiPriority w:val="99"/>
    <w:semiHidden/>
    <w:rsid w:val="00A7184E"/>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8875F4"/>
    <w:rPr>
      <w:rFonts w:ascii="Times New Roman" w:hAnsi="Times New Roman" w:cs="Times New Roman"/>
      <w:sz w:val="24"/>
      <w:szCs w:val="24"/>
    </w:rPr>
  </w:style>
  <w:style w:type="paragraph" w:customStyle="1" w:styleId="Referentiegegevensbold">
    <w:name w:val="Referentiegegevens bold"/>
    <w:basedOn w:val="Normal"/>
    <w:next w:val="Normal"/>
    <w:rsid w:val="0097664A"/>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3236">
      <w:bodyDiv w:val="1"/>
      <w:marLeft w:val="0"/>
      <w:marRight w:val="0"/>
      <w:marTop w:val="0"/>
      <w:marBottom w:val="0"/>
      <w:divBdr>
        <w:top w:val="none" w:sz="0" w:space="0" w:color="auto"/>
        <w:left w:val="none" w:sz="0" w:space="0" w:color="auto"/>
        <w:bottom w:val="none" w:sz="0" w:space="0" w:color="auto"/>
        <w:right w:val="none" w:sz="0" w:space="0" w:color="auto"/>
      </w:divBdr>
    </w:div>
    <w:div w:id="130483605">
      <w:bodyDiv w:val="1"/>
      <w:marLeft w:val="0"/>
      <w:marRight w:val="0"/>
      <w:marTop w:val="0"/>
      <w:marBottom w:val="0"/>
      <w:divBdr>
        <w:top w:val="none" w:sz="0" w:space="0" w:color="auto"/>
        <w:left w:val="none" w:sz="0" w:space="0" w:color="auto"/>
        <w:bottom w:val="none" w:sz="0" w:space="0" w:color="auto"/>
        <w:right w:val="none" w:sz="0" w:space="0" w:color="auto"/>
      </w:divBdr>
    </w:div>
    <w:div w:id="228686337">
      <w:bodyDiv w:val="1"/>
      <w:marLeft w:val="0"/>
      <w:marRight w:val="0"/>
      <w:marTop w:val="0"/>
      <w:marBottom w:val="0"/>
      <w:divBdr>
        <w:top w:val="none" w:sz="0" w:space="0" w:color="auto"/>
        <w:left w:val="none" w:sz="0" w:space="0" w:color="auto"/>
        <w:bottom w:val="none" w:sz="0" w:space="0" w:color="auto"/>
        <w:right w:val="none" w:sz="0" w:space="0" w:color="auto"/>
      </w:divBdr>
    </w:div>
    <w:div w:id="439108947">
      <w:bodyDiv w:val="1"/>
      <w:marLeft w:val="0"/>
      <w:marRight w:val="0"/>
      <w:marTop w:val="0"/>
      <w:marBottom w:val="0"/>
      <w:divBdr>
        <w:top w:val="none" w:sz="0" w:space="0" w:color="auto"/>
        <w:left w:val="none" w:sz="0" w:space="0" w:color="auto"/>
        <w:bottom w:val="none" w:sz="0" w:space="0" w:color="auto"/>
        <w:right w:val="none" w:sz="0" w:space="0" w:color="auto"/>
      </w:divBdr>
    </w:div>
    <w:div w:id="594554730">
      <w:bodyDiv w:val="1"/>
      <w:marLeft w:val="0"/>
      <w:marRight w:val="0"/>
      <w:marTop w:val="0"/>
      <w:marBottom w:val="0"/>
      <w:divBdr>
        <w:top w:val="none" w:sz="0" w:space="0" w:color="auto"/>
        <w:left w:val="none" w:sz="0" w:space="0" w:color="auto"/>
        <w:bottom w:val="none" w:sz="0" w:space="0" w:color="auto"/>
        <w:right w:val="none" w:sz="0" w:space="0" w:color="auto"/>
      </w:divBdr>
    </w:div>
    <w:div w:id="856695909">
      <w:bodyDiv w:val="1"/>
      <w:marLeft w:val="0"/>
      <w:marRight w:val="0"/>
      <w:marTop w:val="0"/>
      <w:marBottom w:val="0"/>
      <w:divBdr>
        <w:top w:val="none" w:sz="0" w:space="0" w:color="auto"/>
        <w:left w:val="none" w:sz="0" w:space="0" w:color="auto"/>
        <w:bottom w:val="none" w:sz="0" w:space="0" w:color="auto"/>
        <w:right w:val="none" w:sz="0" w:space="0" w:color="auto"/>
      </w:divBdr>
    </w:div>
    <w:div w:id="910894689">
      <w:bodyDiv w:val="1"/>
      <w:marLeft w:val="0"/>
      <w:marRight w:val="0"/>
      <w:marTop w:val="0"/>
      <w:marBottom w:val="0"/>
      <w:divBdr>
        <w:top w:val="none" w:sz="0" w:space="0" w:color="auto"/>
        <w:left w:val="none" w:sz="0" w:space="0" w:color="auto"/>
        <w:bottom w:val="none" w:sz="0" w:space="0" w:color="auto"/>
        <w:right w:val="none" w:sz="0" w:space="0" w:color="auto"/>
      </w:divBdr>
    </w:div>
    <w:div w:id="990906755">
      <w:bodyDiv w:val="1"/>
      <w:marLeft w:val="0"/>
      <w:marRight w:val="0"/>
      <w:marTop w:val="0"/>
      <w:marBottom w:val="0"/>
      <w:divBdr>
        <w:top w:val="none" w:sz="0" w:space="0" w:color="auto"/>
        <w:left w:val="none" w:sz="0" w:space="0" w:color="auto"/>
        <w:bottom w:val="none" w:sz="0" w:space="0" w:color="auto"/>
        <w:right w:val="none" w:sz="0" w:space="0" w:color="auto"/>
      </w:divBdr>
    </w:div>
    <w:div w:id="1126656981">
      <w:bodyDiv w:val="1"/>
      <w:marLeft w:val="0"/>
      <w:marRight w:val="0"/>
      <w:marTop w:val="0"/>
      <w:marBottom w:val="0"/>
      <w:divBdr>
        <w:top w:val="none" w:sz="0" w:space="0" w:color="auto"/>
        <w:left w:val="none" w:sz="0" w:space="0" w:color="auto"/>
        <w:bottom w:val="none" w:sz="0" w:space="0" w:color="auto"/>
        <w:right w:val="none" w:sz="0" w:space="0" w:color="auto"/>
      </w:divBdr>
    </w:div>
    <w:div w:id="1264025006">
      <w:bodyDiv w:val="1"/>
      <w:marLeft w:val="0"/>
      <w:marRight w:val="0"/>
      <w:marTop w:val="0"/>
      <w:marBottom w:val="0"/>
      <w:divBdr>
        <w:top w:val="none" w:sz="0" w:space="0" w:color="auto"/>
        <w:left w:val="none" w:sz="0" w:space="0" w:color="auto"/>
        <w:bottom w:val="none" w:sz="0" w:space="0" w:color="auto"/>
        <w:right w:val="none" w:sz="0" w:space="0" w:color="auto"/>
      </w:divBdr>
    </w:div>
    <w:div w:id="1568492132">
      <w:bodyDiv w:val="1"/>
      <w:marLeft w:val="0"/>
      <w:marRight w:val="0"/>
      <w:marTop w:val="0"/>
      <w:marBottom w:val="0"/>
      <w:divBdr>
        <w:top w:val="none" w:sz="0" w:space="0" w:color="auto"/>
        <w:left w:val="none" w:sz="0" w:space="0" w:color="auto"/>
        <w:bottom w:val="none" w:sz="0" w:space="0" w:color="auto"/>
        <w:right w:val="none" w:sz="0" w:space="0" w:color="auto"/>
      </w:divBdr>
    </w:div>
    <w:div w:id="1582058247">
      <w:bodyDiv w:val="1"/>
      <w:marLeft w:val="0"/>
      <w:marRight w:val="0"/>
      <w:marTop w:val="0"/>
      <w:marBottom w:val="0"/>
      <w:divBdr>
        <w:top w:val="none" w:sz="0" w:space="0" w:color="auto"/>
        <w:left w:val="none" w:sz="0" w:space="0" w:color="auto"/>
        <w:bottom w:val="none" w:sz="0" w:space="0" w:color="auto"/>
        <w:right w:val="none" w:sz="0" w:space="0" w:color="auto"/>
      </w:divBdr>
    </w:div>
    <w:div w:id="1891841004">
      <w:bodyDiv w:val="1"/>
      <w:marLeft w:val="0"/>
      <w:marRight w:val="0"/>
      <w:marTop w:val="0"/>
      <w:marBottom w:val="0"/>
      <w:divBdr>
        <w:top w:val="none" w:sz="0" w:space="0" w:color="auto"/>
        <w:left w:val="none" w:sz="0" w:space="0" w:color="auto"/>
        <w:bottom w:val="none" w:sz="0" w:space="0" w:color="auto"/>
        <w:right w:val="none" w:sz="0" w:space="0" w:color="auto"/>
      </w:divBdr>
    </w:div>
    <w:div w:id="212356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2/06/20/eindrapportage-onderzoekprogramma-rivm-naar-blootstelling-en-gezondheidseffecten-ultrafijn-stof-luchtvaart-omgeving-schipho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1541</ap:Words>
  <ap:Characters>8787</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Brief aan Parlement - Vervolg op de onderzoeken naar het effect van luchtvaart op de lokale luchtkwaliteit</vt:lpstr>
    </vt:vector>
  </ap:TitlesOfParts>
  <ap:LinksUpToDate>false</ap:LinksUpToDate>
  <ap:CharactersWithSpaces>10308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2025-04-25T14:08:00.0000000Z</dcterms:created>
  <dcterms:modified xsi:type="dcterms:W3CDTF">2025-04-25T14:08:00.0000000Z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Vervolg op de onderzoeken naar het effect van luchtvaart op de lokale luchtkwaliteit</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J.T.I. van der Laan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