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F19" w:rsidP="00A85E5F" w:rsidRDefault="005216FA" w14:paraId="7187551A" w14:textId="77777777">
      <w:pPr>
        <w:pStyle w:val="StandaardAanhef"/>
        <w:spacing w:line="259" w:lineRule="auto"/>
      </w:pPr>
      <w:r>
        <w:t>Geachte voorzitter,</w:t>
      </w:r>
    </w:p>
    <w:p w:rsidRPr="003F26D3" w:rsidR="003F26D3" w:rsidP="00A85E5F" w:rsidRDefault="003F26D3" w14:paraId="6FD8B796"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Bijgaand stuur ik uw Kamer een rapport van </w:t>
      </w:r>
      <w:r w:rsidR="002831C6">
        <w:rPr>
          <w:rFonts w:eastAsia="Calibri" w:cs="Times New Roman"/>
          <w:color w:val="auto"/>
          <w:kern w:val="2"/>
          <w:szCs w:val="22"/>
          <w:lang w:eastAsia="en-US"/>
          <w14:ligatures w14:val="standardContextual"/>
        </w:rPr>
        <w:t xml:space="preserve">SEO </w:t>
      </w:r>
      <w:r w:rsidRPr="003F26D3">
        <w:rPr>
          <w:rFonts w:eastAsia="Calibri" w:cs="Times New Roman"/>
          <w:color w:val="auto"/>
          <w:kern w:val="2"/>
          <w:szCs w:val="22"/>
          <w:lang w:eastAsia="en-US"/>
          <w14:ligatures w14:val="standardContextual"/>
        </w:rPr>
        <w:t>Economisch Onderzoek (SEO) waarin zij een evaluatie maakt van de crisismaatregelen die zijn genomen door de internationale financiële instellingen (</w:t>
      </w:r>
      <w:proofErr w:type="spellStart"/>
      <w:r w:rsidRPr="003F26D3">
        <w:rPr>
          <w:rFonts w:eastAsia="Calibri" w:cs="Times New Roman"/>
          <w:color w:val="auto"/>
          <w:kern w:val="2"/>
          <w:szCs w:val="22"/>
          <w:lang w:eastAsia="en-US"/>
          <w14:ligatures w14:val="standardContextual"/>
        </w:rPr>
        <w:t>IFIs</w:t>
      </w:r>
      <w:proofErr w:type="spellEnd"/>
      <w:r w:rsidRPr="003F26D3">
        <w:rPr>
          <w:rFonts w:eastAsia="Calibri" w:cs="Times New Roman"/>
          <w:color w:val="auto"/>
          <w:kern w:val="2"/>
          <w:szCs w:val="22"/>
          <w:lang w:eastAsia="en-US"/>
          <w14:ligatures w14:val="standardContextual"/>
        </w:rPr>
        <w:t xml:space="preserve">) en Europese instellingen in reactie op de COVID-19 pandemie. Het rapport is opgesteld in opdracht van het ministerie van Financiën en vormt de invulling van een strategische evaluatie van het beleid op begrotingsartikel 4 van de begroting van Financiën. </w:t>
      </w:r>
    </w:p>
    <w:p w:rsidRPr="003F26D3" w:rsidR="003F26D3" w:rsidP="00A85E5F" w:rsidRDefault="003F26D3" w14:paraId="6807DA1E"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Onderstaand vindt u een toelichting bij de strategische evaluatie, gevolgd door</w:t>
      </w:r>
      <w:r w:rsidR="00EA051F">
        <w:rPr>
          <w:rFonts w:eastAsia="Calibri" w:cs="Times New Roman"/>
          <w:color w:val="auto"/>
          <w:kern w:val="2"/>
          <w:szCs w:val="22"/>
          <w:lang w:eastAsia="en-US"/>
          <w14:ligatures w14:val="standardContextual"/>
        </w:rPr>
        <w:t xml:space="preserve"> </w:t>
      </w:r>
      <w:r w:rsidRPr="003F26D3">
        <w:rPr>
          <w:rFonts w:eastAsia="Calibri" w:cs="Times New Roman"/>
          <w:color w:val="auto"/>
          <w:kern w:val="2"/>
          <w:szCs w:val="22"/>
          <w:lang w:eastAsia="en-US"/>
          <w14:ligatures w14:val="standardContextual"/>
        </w:rPr>
        <w:t xml:space="preserve">een samenvatting van het rapport en een kabinetsappreciatie.  </w:t>
      </w:r>
    </w:p>
    <w:p w:rsidRPr="003F26D3" w:rsidR="003F26D3" w:rsidP="00A85E5F" w:rsidRDefault="003F26D3" w14:paraId="1047AF02" w14:textId="77777777">
      <w:pPr>
        <w:autoSpaceDN/>
        <w:spacing w:after="160" w:line="259" w:lineRule="auto"/>
        <w:textAlignment w:val="auto"/>
        <w:rPr>
          <w:rFonts w:eastAsia="Calibri" w:cs="Times New Roman"/>
          <w:b/>
          <w:bCs/>
          <w:color w:val="auto"/>
          <w:kern w:val="2"/>
          <w:szCs w:val="22"/>
          <w:lang w:eastAsia="en-US"/>
          <w14:ligatures w14:val="standardContextual"/>
        </w:rPr>
      </w:pPr>
      <w:r w:rsidRPr="003F26D3">
        <w:rPr>
          <w:rFonts w:eastAsia="Calibri" w:cs="Times New Roman"/>
          <w:b/>
          <w:bCs/>
          <w:color w:val="auto"/>
          <w:kern w:val="2"/>
          <w:szCs w:val="22"/>
          <w:lang w:eastAsia="en-US"/>
          <w14:ligatures w14:val="standardContextual"/>
        </w:rPr>
        <w:t>Toelichting strategische evaluatie</w:t>
      </w:r>
    </w:p>
    <w:p w:rsidRPr="003F26D3" w:rsidR="003F26D3" w:rsidP="00A85E5F" w:rsidRDefault="003F26D3" w14:paraId="291187BD"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De Strategische Evaluatie Agenda (SEA) is een </w:t>
      </w:r>
      <w:proofErr w:type="spellStart"/>
      <w:r w:rsidRPr="003F26D3">
        <w:rPr>
          <w:rFonts w:eastAsia="Calibri" w:cs="Times New Roman"/>
          <w:color w:val="auto"/>
          <w:kern w:val="2"/>
          <w:szCs w:val="22"/>
          <w:lang w:eastAsia="en-US"/>
          <w14:ligatures w14:val="standardContextual"/>
        </w:rPr>
        <w:t>rijksbreed</w:t>
      </w:r>
      <w:proofErr w:type="spellEnd"/>
      <w:r w:rsidRPr="003F26D3">
        <w:rPr>
          <w:rFonts w:eastAsia="Calibri" w:cs="Times New Roman"/>
          <w:color w:val="auto"/>
          <w:kern w:val="2"/>
          <w:szCs w:val="22"/>
          <w:lang w:eastAsia="en-US"/>
          <w14:ligatures w14:val="standardContextual"/>
        </w:rPr>
        <w:t xml:space="preserve"> instrument dat beoogt betere en meer bruikbare inzichten te verkrijgen in de doeltreffendheid en doelmatigheid van beleid. Op 11 september 2020 is in een brief aan uw Kamer een strategische evaluatie van het beleid op begrotingsartikel 4 van de begroting van Financiën aangekondigd.</w:t>
      </w:r>
      <w:r w:rsidRPr="003F26D3">
        <w:rPr>
          <w:rFonts w:eastAsia="Calibri" w:cs="Times New Roman"/>
          <w:color w:val="auto"/>
          <w:kern w:val="2"/>
          <w:szCs w:val="22"/>
          <w:vertAlign w:val="superscript"/>
          <w:lang w:eastAsia="en-US"/>
          <w14:ligatures w14:val="standardContextual"/>
        </w:rPr>
        <w:footnoteReference w:id="1"/>
      </w:r>
      <w:r w:rsidRPr="003F26D3">
        <w:rPr>
          <w:rFonts w:eastAsia="Calibri" w:cs="Times New Roman"/>
          <w:color w:val="auto"/>
          <w:kern w:val="2"/>
          <w:szCs w:val="22"/>
          <w:lang w:eastAsia="en-US"/>
          <w14:ligatures w14:val="standardContextual"/>
        </w:rPr>
        <w:t xml:space="preserve"> Dat artikel verantwoordt het Europees en internationaal financieel en economisch beleid. Het betreft beleid voor</w:t>
      </w:r>
      <w:r w:rsidR="00A85E5F">
        <w:rPr>
          <w:rFonts w:eastAsia="Calibri" w:cs="Times New Roman"/>
          <w:color w:val="auto"/>
          <w:kern w:val="2"/>
          <w:szCs w:val="22"/>
          <w:lang w:eastAsia="en-US"/>
          <w14:ligatures w14:val="standardContextual"/>
        </w:rPr>
        <w:t>,</w:t>
      </w:r>
      <w:r w:rsidRPr="003F26D3">
        <w:rPr>
          <w:rFonts w:eastAsia="Calibri" w:cs="Times New Roman"/>
          <w:color w:val="auto"/>
          <w:kern w:val="2"/>
          <w:szCs w:val="22"/>
          <w:lang w:eastAsia="en-US"/>
          <w14:ligatures w14:val="standardContextual"/>
        </w:rPr>
        <w:t xml:space="preserve"> en deelname aan verschillende </w:t>
      </w:r>
      <w:proofErr w:type="spellStart"/>
      <w:r w:rsidRPr="003F26D3">
        <w:rPr>
          <w:rFonts w:eastAsia="Calibri" w:cs="Times New Roman"/>
          <w:color w:val="auto"/>
          <w:kern w:val="2"/>
          <w:szCs w:val="22"/>
          <w:lang w:eastAsia="en-US"/>
          <w14:ligatures w14:val="standardContextual"/>
        </w:rPr>
        <w:t>IFIs</w:t>
      </w:r>
      <w:proofErr w:type="spellEnd"/>
      <w:r w:rsidRPr="003F26D3">
        <w:rPr>
          <w:rFonts w:eastAsia="Calibri" w:cs="Times New Roman"/>
          <w:color w:val="auto"/>
          <w:kern w:val="2"/>
          <w:szCs w:val="22"/>
          <w:lang w:eastAsia="en-US"/>
          <w14:ligatures w14:val="standardContextual"/>
        </w:rPr>
        <w:t xml:space="preserve"> en enkele Europese instellingen en programma's. </w:t>
      </w:r>
    </w:p>
    <w:p w:rsidRPr="003F26D3" w:rsidR="003F26D3" w:rsidP="00A85E5F" w:rsidRDefault="003F26D3" w14:paraId="2091375A"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In het plan van aanpak voor deze evaluatie, dat op 21 december 2021 met uw Kamer is gedeeld, is aangegeven dat de evaluatie zich zou richten op de </w:t>
      </w:r>
      <w:bookmarkStart w:name="_Hlk193978265" w:id="0"/>
      <w:r w:rsidRPr="003F26D3">
        <w:rPr>
          <w:rFonts w:eastAsia="Calibri" w:cs="Times New Roman"/>
          <w:color w:val="auto"/>
          <w:kern w:val="2"/>
          <w:szCs w:val="22"/>
          <w:lang w:eastAsia="en-US"/>
          <w14:ligatures w14:val="standardContextual"/>
        </w:rPr>
        <w:t xml:space="preserve">crisismaatregelen die zijn genomen door de </w:t>
      </w:r>
      <w:proofErr w:type="spellStart"/>
      <w:r w:rsidRPr="003F26D3">
        <w:rPr>
          <w:rFonts w:eastAsia="Calibri" w:cs="Times New Roman"/>
          <w:color w:val="auto"/>
          <w:kern w:val="2"/>
          <w:szCs w:val="22"/>
          <w:lang w:eastAsia="en-US"/>
          <w14:ligatures w14:val="standardContextual"/>
        </w:rPr>
        <w:t>IFIs</w:t>
      </w:r>
      <w:proofErr w:type="spellEnd"/>
      <w:r w:rsidRPr="003F26D3">
        <w:rPr>
          <w:rFonts w:eastAsia="Calibri" w:cs="Times New Roman"/>
          <w:color w:val="auto"/>
          <w:kern w:val="2"/>
          <w:szCs w:val="22"/>
          <w:lang w:eastAsia="en-US"/>
          <w14:ligatures w14:val="standardContextual"/>
        </w:rPr>
        <w:t xml:space="preserve"> en enkele Europese instellingen in reactie op de COVID-19 pandemie</w:t>
      </w:r>
      <w:bookmarkEnd w:id="0"/>
      <w:r w:rsidRPr="003F26D3">
        <w:rPr>
          <w:rFonts w:eastAsia="Calibri" w:cs="Times New Roman"/>
          <w:color w:val="auto"/>
          <w:kern w:val="2"/>
          <w:szCs w:val="22"/>
          <w:lang w:eastAsia="en-US"/>
          <w14:ligatures w14:val="standardContextual"/>
        </w:rPr>
        <w:t>.</w:t>
      </w:r>
      <w:r w:rsidRPr="003F26D3">
        <w:rPr>
          <w:rFonts w:eastAsia="Calibri" w:cs="Times New Roman"/>
          <w:color w:val="auto"/>
          <w:kern w:val="2"/>
          <w:szCs w:val="22"/>
          <w:vertAlign w:val="superscript"/>
          <w:lang w:eastAsia="en-US"/>
          <w14:ligatures w14:val="standardContextual"/>
        </w:rPr>
        <w:footnoteReference w:id="2"/>
      </w:r>
      <w:r w:rsidRPr="003F26D3">
        <w:rPr>
          <w:rFonts w:eastAsia="Calibri" w:cs="Times New Roman"/>
          <w:color w:val="auto"/>
          <w:kern w:val="2"/>
          <w:szCs w:val="22"/>
          <w:lang w:eastAsia="en-US"/>
          <w14:ligatures w14:val="standardContextual"/>
        </w:rPr>
        <w:t xml:space="preserve"> Specifiek betreft het dertien instrumenten van</w:t>
      </w:r>
      <w:r w:rsidR="00B67B83">
        <w:rPr>
          <w:rFonts w:eastAsia="Calibri" w:cs="Times New Roman"/>
          <w:color w:val="auto"/>
          <w:kern w:val="2"/>
          <w:szCs w:val="22"/>
          <w:lang w:eastAsia="en-US"/>
          <w14:ligatures w14:val="standardContextual"/>
        </w:rPr>
        <w:t>:</w:t>
      </w:r>
      <w:r w:rsidRPr="003F26D3">
        <w:rPr>
          <w:rFonts w:eastAsia="Calibri" w:cs="Times New Roman"/>
          <w:color w:val="auto"/>
          <w:kern w:val="2"/>
          <w:szCs w:val="22"/>
          <w:lang w:eastAsia="en-US"/>
          <w14:ligatures w14:val="standardContextual"/>
        </w:rPr>
        <w:t xml:space="preserve"> de EU, de Europese Investeringsbank (EIB), het Internationaal Monetair Fonds (IMF), de Wereldbankgroep (WBG), de Europese Bank voor Wederopbouw en Ontwikkeling (European Bank </w:t>
      </w:r>
      <w:proofErr w:type="spellStart"/>
      <w:r w:rsidRPr="003F26D3">
        <w:rPr>
          <w:rFonts w:eastAsia="Calibri" w:cs="Times New Roman"/>
          <w:color w:val="auto"/>
          <w:kern w:val="2"/>
          <w:szCs w:val="22"/>
          <w:lang w:eastAsia="en-US"/>
          <w14:ligatures w14:val="standardContextual"/>
        </w:rPr>
        <w:t>for</w:t>
      </w:r>
      <w:proofErr w:type="spellEnd"/>
      <w:r w:rsidRPr="003F26D3">
        <w:rPr>
          <w:rFonts w:eastAsia="Calibri" w:cs="Times New Roman"/>
          <w:color w:val="auto"/>
          <w:kern w:val="2"/>
          <w:szCs w:val="22"/>
          <w:lang w:eastAsia="en-US"/>
          <w14:ligatures w14:val="standardContextual"/>
        </w:rPr>
        <w:t xml:space="preserve"> </w:t>
      </w:r>
      <w:proofErr w:type="spellStart"/>
      <w:r w:rsidRPr="003F26D3">
        <w:rPr>
          <w:rFonts w:eastAsia="Calibri" w:cs="Times New Roman"/>
          <w:color w:val="auto"/>
          <w:kern w:val="2"/>
          <w:szCs w:val="22"/>
          <w:lang w:eastAsia="en-US"/>
          <w14:ligatures w14:val="standardContextual"/>
        </w:rPr>
        <w:t>Reconstruction</w:t>
      </w:r>
      <w:proofErr w:type="spellEnd"/>
      <w:r w:rsidRPr="003F26D3">
        <w:rPr>
          <w:rFonts w:eastAsia="Calibri" w:cs="Times New Roman"/>
          <w:color w:val="auto"/>
          <w:kern w:val="2"/>
          <w:szCs w:val="22"/>
          <w:lang w:eastAsia="en-US"/>
          <w14:ligatures w14:val="standardContextual"/>
        </w:rPr>
        <w:t xml:space="preserve"> </w:t>
      </w:r>
      <w:proofErr w:type="spellStart"/>
      <w:r w:rsidRPr="003F26D3">
        <w:rPr>
          <w:rFonts w:eastAsia="Calibri" w:cs="Times New Roman"/>
          <w:color w:val="auto"/>
          <w:kern w:val="2"/>
          <w:szCs w:val="22"/>
          <w:lang w:eastAsia="en-US"/>
          <w14:ligatures w14:val="standardContextual"/>
        </w:rPr>
        <w:t>and</w:t>
      </w:r>
      <w:proofErr w:type="spellEnd"/>
      <w:r w:rsidRPr="003F26D3">
        <w:rPr>
          <w:rFonts w:eastAsia="Calibri" w:cs="Times New Roman"/>
          <w:color w:val="auto"/>
          <w:kern w:val="2"/>
          <w:szCs w:val="22"/>
          <w:lang w:eastAsia="en-US"/>
          <w14:ligatures w14:val="standardContextual"/>
        </w:rPr>
        <w:t xml:space="preserve"> Development EBRD) en de Aziatische Infrastructuurinvesteringsbank (AIIB). </w:t>
      </w:r>
    </w:p>
    <w:p w:rsidRPr="003F26D3" w:rsidR="003F26D3" w:rsidP="00A85E5F" w:rsidRDefault="003F26D3" w14:paraId="7E053B6D" w14:textId="77777777">
      <w:pPr>
        <w:widowControl w:val="0"/>
        <w:autoSpaceDE w:val="0"/>
        <w:spacing w:line="259" w:lineRule="auto"/>
        <w:textAlignment w:val="auto"/>
        <w:rPr>
          <w:rFonts w:eastAsia="Verdana" w:cs="Verdana"/>
          <w:color w:val="auto"/>
          <w:lang w:eastAsia="en-US"/>
        </w:rPr>
      </w:pPr>
      <w:r w:rsidRPr="003F26D3">
        <w:rPr>
          <w:rFonts w:eastAsia="Verdana" w:cs="Verdana"/>
          <w:color w:val="auto"/>
          <w:lang w:eastAsia="en-US"/>
        </w:rPr>
        <w:t xml:space="preserve">Het doel van de evaluatie is om inzicht te krijgen in de doeltreffendheid van de </w:t>
      </w:r>
      <w:r w:rsidRPr="003F26D3">
        <w:rPr>
          <w:rFonts w:eastAsia="Verdana" w:cs="Verdana"/>
          <w:color w:val="auto"/>
          <w:lang w:eastAsia="en-US"/>
        </w:rPr>
        <w:lastRenderedPageBreak/>
        <w:t xml:space="preserve">maatregelen bij het borgen van publieke belangen. Daarnaast is het doel om uit de ervaringen lessen trekken voor mogelijke toekomstige crises. </w:t>
      </w:r>
    </w:p>
    <w:p w:rsidRPr="003F26D3" w:rsidR="003F26D3" w:rsidP="00A85E5F" w:rsidRDefault="003F26D3" w14:paraId="29C5CC98" w14:textId="77777777">
      <w:pPr>
        <w:widowControl w:val="0"/>
        <w:autoSpaceDE w:val="0"/>
        <w:spacing w:line="259" w:lineRule="auto"/>
        <w:textAlignment w:val="auto"/>
        <w:rPr>
          <w:rFonts w:eastAsia="Verdana" w:cs="Verdana"/>
          <w:color w:val="auto"/>
          <w:lang w:eastAsia="en-US"/>
        </w:rPr>
      </w:pPr>
    </w:p>
    <w:p w:rsidRPr="003F26D3" w:rsidR="003F26D3" w:rsidP="00A85E5F" w:rsidRDefault="003F26D3" w14:paraId="2446B0C6" w14:textId="77777777">
      <w:pPr>
        <w:widowControl w:val="0"/>
        <w:autoSpaceDE w:val="0"/>
        <w:spacing w:line="259" w:lineRule="auto"/>
        <w:textAlignment w:val="auto"/>
        <w:rPr>
          <w:rFonts w:eastAsia="Verdana" w:cs="Verdana"/>
          <w:color w:val="auto"/>
          <w:lang w:eastAsia="en-US"/>
        </w:rPr>
      </w:pPr>
      <w:r w:rsidRPr="003F26D3">
        <w:rPr>
          <w:rFonts w:eastAsia="Verdana" w:cs="Verdana"/>
          <w:color w:val="auto"/>
          <w:lang w:eastAsia="en-US"/>
        </w:rPr>
        <w:t>Zoals aangegeven in het plan van aanpak, richt de evaluatie zich op het in kaart brengen van de aannemelijke doeltreffendheid van deze maatregelen aan de hand van een contributie-analyse. De doeltreffendheid wordt derhalve beoordeeld door te kijken of de gewenste uitkomst met het ingezette beleid kan worden behaald. Voorts wordt beoordeeld of de uitvoering is zoals afgesproken</w:t>
      </w:r>
      <w:r w:rsidR="00A85E5F">
        <w:rPr>
          <w:rFonts w:eastAsia="Verdana" w:cs="Verdana"/>
          <w:color w:val="auto"/>
          <w:lang w:eastAsia="en-US"/>
        </w:rPr>
        <w:t>,</w:t>
      </w:r>
      <w:r w:rsidRPr="003F26D3">
        <w:rPr>
          <w:rFonts w:eastAsia="Verdana" w:cs="Verdana"/>
          <w:color w:val="auto"/>
          <w:lang w:eastAsia="en-US"/>
        </w:rPr>
        <w:t xml:space="preserve"> en de uitkomst is zoals beoogd. Deze methodologie wordt toegepast wanneer de causale relaties tussen het toegepaste beleid en het uiteindelijke resultaat complex zijn en een direct oorzakelijk verband moeilijk onomstotelijk kan worden vastgesteld</w:t>
      </w:r>
      <w:r w:rsidR="00B67B83">
        <w:rPr>
          <w:rFonts w:eastAsia="Verdana" w:cs="Verdana"/>
          <w:color w:val="auto"/>
          <w:lang w:eastAsia="en-US"/>
        </w:rPr>
        <w:t xml:space="preserve">; en </w:t>
      </w:r>
      <w:r w:rsidR="00391B97">
        <w:rPr>
          <w:rFonts w:eastAsia="Verdana" w:cs="Verdana"/>
          <w:color w:val="auto"/>
          <w:lang w:eastAsia="en-US"/>
        </w:rPr>
        <w:t>is</w:t>
      </w:r>
      <w:r w:rsidR="00B67B83">
        <w:rPr>
          <w:rFonts w:eastAsia="Verdana" w:cs="Verdana"/>
          <w:color w:val="auto"/>
          <w:lang w:eastAsia="en-US"/>
        </w:rPr>
        <w:t xml:space="preserve"> daarmee het meest passend voor dit onderzoek</w:t>
      </w:r>
      <w:r w:rsidRPr="003F26D3">
        <w:rPr>
          <w:rFonts w:eastAsia="Verdana" w:cs="Verdana"/>
          <w:color w:val="auto"/>
          <w:lang w:eastAsia="en-US"/>
        </w:rPr>
        <w:t xml:space="preserve">. Met deze methode is het </w:t>
      </w:r>
      <w:r w:rsidR="00B67B83">
        <w:rPr>
          <w:rFonts w:eastAsia="Verdana" w:cs="Verdana"/>
          <w:color w:val="auto"/>
          <w:lang w:eastAsia="en-US"/>
        </w:rPr>
        <w:t xml:space="preserve">echter </w:t>
      </w:r>
      <w:r w:rsidRPr="003F26D3">
        <w:rPr>
          <w:rFonts w:eastAsia="Verdana" w:cs="Verdana"/>
          <w:color w:val="auto"/>
          <w:lang w:eastAsia="en-US"/>
        </w:rPr>
        <w:t xml:space="preserve">niet mogelijk om na te gaan of de maatregelen ook doelmatig zijn geweest. Daarvoor zou onderzoek nodig zijn of de juiste hoeveelheid </w:t>
      </w:r>
      <w:r w:rsidR="00B67B83">
        <w:rPr>
          <w:rFonts w:eastAsia="Verdana" w:cs="Verdana"/>
          <w:color w:val="auto"/>
          <w:lang w:eastAsia="en-US"/>
        </w:rPr>
        <w:t>middelen</w:t>
      </w:r>
      <w:r w:rsidRPr="003F26D3" w:rsidR="00B67B83">
        <w:rPr>
          <w:rFonts w:eastAsia="Verdana" w:cs="Verdana"/>
          <w:color w:val="auto"/>
          <w:lang w:eastAsia="en-US"/>
        </w:rPr>
        <w:t xml:space="preserve"> </w:t>
      </w:r>
      <w:r w:rsidRPr="003F26D3">
        <w:rPr>
          <w:rFonts w:eastAsia="Verdana" w:cs="Verdana"/>
          <w:color w:val="auto"/>
          <w:lang w:eastAsia="en-US"/>
        </w:rPr>
        <w:t xml:space="preserve">is ingezet om de gewenste uitkomst te bereiken en of er geen goedkopere manieren waren om hetzelfde </w:t>
      </w:r>
      <w:r w:rsidR="00B67B83">
        <w:rPr>
          <w:rFonts w:eastAsia="Verdana" w:cs="Verdana"/>
          <w:color w:val="auto"/>
          <w:lang w:eastAsia="en-US"/>
        </w:rPr>
        <w:t xml:space="preserve">doel </w:t>
      </w:r>
      <w:r w:rsidRPr="003F26D3">
        <w:rPr>
          <w:rFonts w:eastAsia="Verdana" w:cs="Verdana"/>
          <w:color w:val="auto"/>
          <w:lang w:eastAsia="en-US"/>
        </w:rPr>
        <w:t xml:space="preserve">te bereiken. Door de genoemde hoeveelheid, variëteit en overlap aan maatregelen, en de context waarin deze zijn genomen, is </w:t>
      </w:r>
      <w:r w:rsidR="00EA051F">
        <w:rPr>
          <w:rFonts w:eastAsia="Verdana" w:cs="Verdana"/>
          <w:color w:val="auto"/>
          <w:lang w:eastAsia="en-US"/>
        </w:rPr>
        <w:t xml:space="preserve">ervoor </w:t>
      </w:r>
      <w:r w:rsidR="000E568D">
        <w:rPr>
          <w:rFonts w:eastAsia="Verdana" w:cs="Verdana"/>
          <w:color w:val="auto"/>
          <w:lang w:eastAsia="en-US"/>
        </w:rPr>
        <w:t>gekozen om</w:t>
      </w:r>
      <w:r w:rsidR="00B67B83">
        <w:rPr>
          <w:rFonts w:eastAsia="Verdana" w:cs="Verdana"/>
          <w:color w:val="auto"/>
          <w:lang w:eastAsia="en-US"/>
        </w:rPr>
        <w:t xml:space="preserve"> de evaluatie </w:t>
      </w:r>
      <w:r w:rsidR="000E568D">
        <w:rPr>
          <w:rFonts w:eastAsia="Verdana" w:cs="Verdana"/>
          <w:color w:val="auto"/>
          <w:lang w:eastAsia="en-US"/>
        </w:rPr>
        <w:t>te richten</w:t>
      </w:r>
      <w:r w:rsidR="00B67B83">
        <w:rPr>
          <w:rFonts w:eastAsia="Verdana" w:cs="Verdana"/>
          <w:color w:val="auto"/>
          <w:lang w:eastAsia="en-US"/>
        </w:rPr>
        <w:t xml:space="preserve"> op doeltreffendheid</w:t>
      </w:r>
      <w:r w:rsidRPr="003F26D3">
        <w:rPr>
          <w:rFonts w:eastAsia="Verdana" w:cs="Verdana"/>
          <w:color w:val="auto"/>
          <w:lang w:eastAsia="en-US"/>
        </w:rPr>
        <w:t>.</w:t>
      </w:r>
    </w:p>
    <w:p w:rsidRPr="003F26D3" w:rsidR="003F26D3" w:rsidP="00A85E5F" w:rsidRDefault="003F26D3" w14:paraId="46F84F55" w14:textId="77777777">
      <w:pPr>
        <w:widowControl w:val="0"/>
        <w:autoSpaceDE w:val="0"/>
        <w:spacing w:line="259" w:lineRule="auto"/>
        <w:textAlignment w:val="auto"/>
        <w:rPr>
          <w:rFonts w:eastAsia="Verdana" w:cs="Verdana"/>
          <w:color w:val="auto"/>
          <w:lang w:eastAsia="en-US"/>
        </w:rPr>
      </w:pPr>
    </w:p>
    <w:p w:rsidRPr="003F26D3" w:rsidR="003F26D3" w:rsidP="00A85E5F" w:rsidRDefault="003F26D3" w14:paraId="3F083A95"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De strategische evaluatie betreft een synthese-onderzoek waarbij gebruik wordt gemaakt van analyses die door de </w:t>
      </w:r>
      <w:proofErr w:type="spellStart"/>
      <w:r w:rsidRPr="003F26D3">
        <w:rPr>
          <w:rFonts w:eastAsia="Calibri" w:cs="Times New Roman"/>
          <w:color w:val="auto"/>
          <w:kern w:val="2"/>
          <w:szCs w:val="22"/>
          <w:lang w:eastAsia="en-US"/>
          <w14:ligatures w14:val="standardContextual"/>
        </w:rPr>
        <w:t>IFIs</w:t>
      </w:r>
      <w:proofErr w:type="spellEnd"/>
      <w:r w:rsidRPr="003F26D3">
        <w:rPr>
          <w:rFonts w:eastAsia="Calibri" w:cs="Times New Roman"/>
          <w:color w:val="auto"/>
          <w:kern w:val="2"/>
          <w:szCs w:val="22"/>
          <w:lang w:eastAsia="en-US"/>
          <w14:ligatures w14:val="standardContextual"/>
        </w:rPr>
        <w:t xml:space="preserve">, Europese instellingen en andere relevante partijen </w:t>
      </w:r>
      <w:r w:rsidR="002831C6">
        <w:rPr>
          <w:rFonts w:eastAsia="Calibri" w:cs="Times New Roman"/>
          <w:color w:val="auto"/>
          <w:kern w:val="2"/>
          <w:szCs w:val="22"/>
          <w:lang w:eastAsia="en-US"/>
          <w14:ligatures w14:val="standardContextual"/>
        </w:rPr>
        <w:t>zijn</w:t>
      </w:r>
      <w:r w:rsidRPr="003F26D3">
        <w:rPr>
          <w:rFonts w:eastAsia="Calibri" w:cs="Times New Roman"/>
          <w:color w:val="auto"/>
          <w:kern w:val="2"/>
          <w:szCs w:val="22"/>
          <w:lang w:eastAsia="en-US"/>
          <w14:ligatures w14:val="standardContextual"/>
        </w:rPr>
        <w:t xml:space="preserve"> gemaakt over de betreffende crisismaatregelen. Deze strategische evaluatie was daarmee afhankelijk van de evaluaties van de genoemde partijen na het aflopen van de maatregelen. In het plan van aanpak werd aangekondigd dat de evaluatie gefaseerd zou worden uitgevoerd en afgerond in 2025. Het Europese herstelinstrument </w:t>
      </w:r>
      <w:proofErr w:type="spellStart"/>
      <w:r w:rsidRPr="003F26D3">
        <w:rPr>
          <w:rFonts w:eastAsia="Calibri" w:cs="Times New Roman"/>
          <w:color w:val="auto"/>
          <w:kern w:val="2"/>
          <w:szCs w:val="22"/>
          <w:lang w:eastAsia="en-US"/>
          <w14:ligatures w14:val="standardContextual"/>
        </w:rPr>
        <w:t>NextGenerationEU</w:t>
      </w:r>
      <w:proofErr w:type="spellEnd"/>
      <w:r w:rsidRPr="003F26D3">
        <w:rPr>
          <w:rFonts w:eastAsia="Calibri" w:cs="Times New Roman"/>
          <w:color w:val="auto"/>
          <w:kern w:val="2"/>
          <w:szCs w:val="22"/>
          <w:lang w:eastAsia="en-US"/>
          <w14:ligatures w14:val="standardContextual"/>
        </w:rPr>
        <w:t>, en de Herstel en Veerkrachtfaciliteit (HVF) als onderdeel daarvan, valt buiten de reikwijdte van de evaluatie vanwege de langere looptijd van dat instrument (</w:t>
      </w:r>
      <w:r w:rsidR="00BE7F44">
        <w:rPr>
          <w:rFonts w:eastAsia="Calibri" w:cs="Times New Roman"/>
          <w:color w:val="auto"/>
          <w:kern w:val="2"/>
          <w:szCs w:val="22"/>
          <w:lang w:eastAsia="en-US"/>
          <w14:ligatures w14:val="standardContextual"/>
        </w:rPr>
        <w:t xml:space="preserve">de </w:t>
      </w:r>
      <w:r w:rsidR="009E38B0">
        <w:rPr>
          <w:rFonts w:eastAsia="Calibri" w:cs="Times New Roman"/>
          <w:color w:val="auto"/>
          <w:kern w:val="2"/>
          <w:szCs w:val="22"/>
          <w:lang w:eastAsia="en-US"/>
          <w14:ligatures w14:val="standardContextual"/>
        </w:rPr>
        <w:t xml:space="preserve">uitkering van middelen loopt nog </w:t>
      </w:r>
      <w:r w:rsidRPr="003F26D3">
        <w:rPr>
          <w:rFonts w:eastAsia="Calibri" w:cs="Times New Roman"/>
          <w:color w:val="auto"/>
          <w:kern w:val="2"/>
          <w:szCs w:val="22"/>
          <w:lang w:eastAsia="en-US"/>
          <w14:ligatures w14:val="standardContextual"/>
        </w:rPr>
        <w:t>tot eind 2026). Op grond van de HVF-verordening zal er uiterlijk 31 december 2028 een onafhankelijk ex-post</w:t>
      </w:r>
      <w:r w:rsidR="00BE7F44">
        <w:rPr>
          <w:rFonts w:eastAsia="Calibri" w:cs="Times New Roman"/>
          <w:color w:val="auto"/>
          <w:kern w:val="2"/>
          <w:szCs w:val="22"/>
          <w:lang w:eastAsia="en-US"/>
          <w14:ligatures w14:val="standardContextual"/>
        </w:rPr>
        <w:t xml:space="preserve"> </w:t>
      </w:r>
      <w:r w:rsidRPr="003F26D3">
        <w:rPr>
          <w:rFonts w:eastAsia="Calibri" w:cs="Times New Roman"/>
          <w:color w:val="auto"/>
          <w:kern w:val="2"/>
          <w:szCs w:val="22"/>
          <w:lang w:eastAsia="en-US"/>
          <w14:ligatures w14:val="standardContextual"/>
        </w:rPr>
        <w:t>evaluatieverslag worden opgesteld over de HVF.</w:t>
      </w:r>
    </w:p>
    <w:p w:rsidRPr="003F26D3" w:rsidR="00522B67" w:rsidP="00A85E5F" w:rsidRDefault="000E568D" w14:paraId="39BC43A4"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Per groep van instellingen is </w:t>
      </w:r>
      <w:r w:rsidR="00EA051F">
        <w:rPr>
          <w:rFonts w:eastAsia="Calibri" w:cs="Times New Roman"/>
          <w:color w:val="auto"/>
          <w:kern w:val="2"/>
          <w:szCs w:val="22"/>
          <w:lang w:eastAsia="en-US"/>
          <w14:ligatures w14:val="standardContextual"/>
        </w:rPr>
        <w:t xml:space="preserve">door SEO </w:t>
      </w:r>
      <w:r w:rsidRPr="003F26D3">
        <w:rPr>
          <w:rFonts w:eastAsia="Calibri" w:cs="Times New Roman"/>
          <w:color w:val="auto"/>
          <w:kern w:val="2"/>
          <w:szCs w:val="22"/>
          <w:lang w:eastAsia="en-US"/>
          <w14:ligatures w14:val="standardContextual"/>
        </w:rPr>
        <w:t xml:space="preserve">een beleidstheorie opgesteld. </w:t>
      </w:r>
      <w:r w:rsidR="00EA051F">
        <w:rPr>
          <w:rFonts w:eastAsia="Calibri" w:cs="Times New Roman"/>
          <w:color w:val="auto"/>
          <w:kern w:val="2"/>
          <w:szCs w:val="22"/>
          <w:lang w:eastAsia="en-US"/>
          <w14:ligatures w14:val="standardContextual"/>
        </w:rPr>
        <w:t xml:space="preserve">De </w:t>
      </w:r>
      <w:r w:rsidR="00B430E0">
        <w:rPr>
          <w:rFonts w:eastAsia="Calibri" w:cs="Times New Roman"/>
          <w:color w:val="auto"/>
          <w:kern w:val="2"/>
          <w:szCs w:val="22"/>
          <w:lang w:eastAsia="en-US"/>
          <w14:ligatures w14:val="standardContextual"/>
        </w:rPr>
        <w:t xml:space="preserve">mogelijke impactpaden </w:t>
      </w:r>
      <w:r w:rsidR="00EA051F">
        <w:rPr>
          <w:rFonts w:eastAsia="Calibri" w:cs="Times New Roman"/>
          <w:color w:val="auto"/>
          <w:kern w:val="2"/>
          <w:szCs w:val="22"/>
          <w:lang w:eastAsia="en-US"/>
          <w14:ligatures w14:val="standardContextual"/>
        </w:rPr>
        <w:t xml:space="preserve">die SEO </w:t>
      </w:r>
      <w:r w:rsidR="00B430E0">
        <w:rPr>
          <w:rFonts w:eastAsia="Calibri" w:cs="Times New Roman"/>
          <w:color w:val="auto"/>
          <w:kern w:val="2"/>
          <w:szCs w:val="22"/>
          <w:lang w:eastAsia="en-US"/>
          <w14:ligatures w14:val="standardContextual"/>
        </w:rPr>
        <w:t>daarbij</w:t>
      </w:r>
      <w:r w:rsidR="00EA051F">
        <w:rPr>
          <w:rFonts w:eastAsia="Calibri" w:cs="Times New Roman"/>
          <w:color w:val="auto"/>
          <w:kern w:val="2"/>
          <w:szCs w:val="22"/>
          <w:lang w:eastAsia="en-US"/>
          <w14:ligatures w14:val="standardContextual"/>
        </w:rPr>
        <w:t xml:space="preserve"> </w:t>
      </w:r>
      <w:r w:rsidR="00B430E0">
        <w:rPr>
          <w:rFonts w:eastAsia="Calibri" w:cs="Times New Roman"/>
          <w:color w:val="auto"/>
          <w:kern w:val="2"/>
          <w:szCs w:val="22"/>
          <w:lang w:eastAsia="en-US"/>
          <w14:ligatures w14:val="standardContextual"/>
        </w:rPr>
        <w:t>onderscheidt zijn</w:t>
      </w:r>
      <w:r w:rsidR="00BE7F44">
        <w:rPr>
          <w:rFonts w:eastAsia="Calibri" w:cs="Times New Roman"/>
          <w:color w:val="auto"/>
          <w:kern w:val="2"/>
          <w:szCs w:val="22"/>
          <w:lang w:eastAsia="en-US"/>
          <w14:ligatures w14:val="standardContextual"/>
        </w:rPr>
        <w:t>:</w:t>
      </w:r>
      <w:r w:rsidR="00B430E0">
        <w:rPr>
          <w:rFonts w:eastAsia="Calibri" w:cs="Times New Roman"/>
          <w:color w:val="auto"/>
          <w:kern w:val="2"/>
          <w:szCs w:val="22"/>
          <w:lang w:eastAsia="en-US"/>
          <w14:ligatures w14:val="standardContextual"/>
        </w:rPr>
        <w:t xml:space="preserve"> </w:t>
      </w:r>
      <w:r w:rsidRPr="003F26D3" w:rsidR="00B430E0">
        <w:rPr>
          <w:rFonts w:eastAsia="Calibri" w:cs="Times New Roman"/>
          <w:color w:val="auto"/>
          <w:kern w:val="2"/>
          <w:szCs w:val="22"/>
          <w:lang w:eastAsia="en-US"/>
          <w14:ligatures w14:val="standardContextual"/>
        </w:rPr>
        <w:t>sociale zekerheid</w:t>
      </w:r>
      <w:r w:rsidR="00B430E0">
        <w:rPr>
          <w:rFonts w:eastAsia="Calibri" w:cs="Times New Roman"/>
          <w:color w:val="auto"/>
          <w:kern w:val="2"/>
          <w:szCs w:val="22"/>
          <w:lang w:eastAsia="en-US"/>
          <w14:ligatures w14:val="standardContextual"/>
        </w:rPr>
        <w:t>;</w:t>
      </w:r>
      <w:r w:rsidRPr="003F26D3" w:rsidR="00B430E0">
        <w:rPr>
          <w:rFonts w:eastAsia="Calibri" w:cs="Times New Roman"/>
          <w:color w:val="auto"/>
          <w:kern w:val="2"/>
          <w:szCs w:val="22"/>
          <w:lang w:eastAsia="en-US"/>
          <w14:ligatures w14:val="standardContextual"/>
        </w:rPr>
        <w:t xml:space="preserve"> de gezondheidszorg</w:t>
      </w:r>
      <w:r w:rsidR="00B430E0">
        <w:rPr>
          <w:rFonts w:eastAsia="Calibri" w:cs="Times New Roman"/>
          <w:color w:val="auto"/>
          <w:kern w:val="2"/>
          <w:szCs w:val="22"/>
          <w:lang w:eastAsia="en-US"/>
          <w14:ligatures w14:val="standardContextual"/>
        </w:rPr>
        <w:t xml:space="preserve">; de economie </w:t>
      </w:r>
      <w:r w:rsidRPr="003F26D3" w:rsidR="00B430E0">
        <w:rPr>
          <w:rFonts w:eastAsia="Calibri" w:cs="Times New Roman"/>
          <w:color w:val="auto"/>
          <w:kern w:val="2"/>
          <w:szCs w:val="22"/>
          <w:lang w:eastAsia="en-US"/>
          <w14:ligatures w14:val="standardContextual"/>
        </w:rPr>
        <w:t>als geheel</w:t>
      </w:r>
      <w:r w:rsidR="00B430E0">
        <w:rPr>
          <w:rFonts w:eastAsia="Calibri" w:cs="Times New Roman"/>
          <w:color w:val="auto"/>
          <w:kern w:val="2"/>
          <w:szCs w:val="22"/>
          <w:lang w:eastAsia="en-US"/>
          <w14:ligatures w14:val="standardContextual"/>
        </w:rPr>
        <w:t xml:space="preserve">; en de financiële stabiliteit. </w:t>
      </w:r>
      <w:r w:rsidRPr="003F26D3">
        <w:rPr>
          <w:rFonts w:eastAsia="Calibri" w:cs="Times New Roman"/>
          <w:color w:val="auto"/>
          <w:kern w:val="2"/>
          <w:szCs w:val="22"/>
          <w:lang w:eastAsia="en-US"/>
          <w14:ligatures w14:val="standardContextual"/>
        </w:rPr>
        <w:t xml:space="preserve">De hypothesen uit de beleidstheorie zijn voorzien van criteria om de doeltreffendheid vast te stellen. De toetsing </w:t>
      </w:r>
      <w:r w:rsidR="00BE7F44">
        <w:rPr>
          <w:rFonts w:eastAsia="Calibri" w:cs="Times New Roman"/>
          <w:color w:val="auto"/>
          <w:kern w:val="2"/>
          <w:szCs w:val="22"/>
          <w:lang w:eastAsia="en-US"/>
          <w14:ligatures w14:val="standardContextual"/>
        </w:rPr>
        <w:t xml:space="preserve">van die criteria </w:t>
      </w:r>
      <w:r w:rsidRPr="003F26D3">
        <w:rPr>
          <w:rFonts w:eastAsia="Calibri" w:cs="Times New Roman"/>
          <w:color w:val="auto"/>
          <w:kern w:val="2"/>
          <w:szCs w:val="22"/>
          <w:lang w:eastAsia="en-US"/>
          <w14:ligatures w14:val="standardContextual"/>
        </w:rPr>
        <w:t>is uitgevoerd met eerder (evaluatie)onderzoek, aangevuld met economische theorie, empirische literatuur</w:t>
      </w:r>
      <w:r w:rsidR="002831C6">
        <w:rPr>
          <w:rFonts w:eastAsia="Calibri" w:cs="Times New Roman"/>
          <w:color w:val="auto"/>
          <w:kern w:val="2"/>
          <w:szCs w:val="22"/>
          <w:lang w:eastAsia="en-US"/>
          <w14:ligatures w14:val="standardContextual"/>
        </w:rPr>
        <w:t>, interviews</w:t>
      </w:r>
      <w:r w:rsidRPr="003F26D3">
        <w:rPr>
          <w:rFonts w:eastAsia="Calibri" w:cs="Times New Roman"/>
          <w:color w:val="auto"/>
          <w:kern w:val="2"/>
          <w:szCs w:val="22"/>
          <w:lang w:eastAsia="en-US"/>
          <w14:ligatures w14:val="standardContextual"/>
        </w:rPr>
        <w:t xml:space="preserve"> en data waar van toegevoegde waarde</w:t>
      </w:r>
      <w:r w:rsidR="00522B67">
        <w:rPr>
          <w:rFonts w:eastAsia="Calibri" w:cs="Times New Roman"/>
          <w:color w:val="auto"/>
          <w:kern w:val="2"/>
          <w:szCs w:val="22"/>
          <w:lang w:eastAsia="en-US"/>
          <w14:ligatures w14:val="standardContextual"/>
        </w:rPr>
        <w:t>. Het onderzoek van SEO is begeleid door een ambtelijke interdepartementale stuurgroep waaraan de ministeries van Economische Zaken, Buitenlandse Zaken en Financiën deelnamen.</w:t>
      </w:r>
    </w:p>
    <w:p w:rsidRPr="003F26D3" w:rsidR="003F26D3" w:rsidP="00A85E5F" w:rsidRDefault="003F26D3" w14:paraId="067BB86F" w14:textId="77777777">
      <w:pPr>
        <w:autoSpaceDN/>
        <w:spacing w:after="160" w:line="259" w:lineRule="auto"/>
        <w:textAlignment w:val="auto"/>
        <w:rPr>
          <w:rFonts w:eastAsia="Calibri" w:cs="Times New Roman"/>
          <w:b/>
          <w:bCs/>
          <w:color w:val="auto"/>
          <w:kern w:val="2"/>
          <w:szCs w:val="22"/>
          <w:lang w:eastAsia="en-US"/>
          <w14:ligatures w14:val="standardContextual"/>
        </w:rPr>
      </w:pPr>
      <w:r w:rsidRPr="003F26D3">
        <w:rPr>
          <w:rFonts w:eastAsia="Calibri" w:cs="Times New Roman"/>
          <w:b/>
          <w:bCs/>
          <w:color w:val="auto"/>
          <w:kern w:val="2"/>
          <w:szCs w:val="22"/>
          <w:lang w:eastAsia="en-US"/>
          <w14:ligatures w14:val="standardContextual"/>
        </w:rPr>
        <w:t>Samenvatting</w:t>
      </w:r>
      <w:r w:rsidR="009E38B0">
        <w:rPr>
          <w:rFonts w:eastAsia="Calibri" w:cs="Times New Roman"/>
          <w:b/>
          <w:bCs/>
          <w:color w:val="auto"/>
          <w:kern w:val="2"/>
          <w:szCs w:val="22"/>
          <w:lang w:eastAsia="en-US"/>
          <w14:ligatures w14:val="standardContextual"/>
        </w:rPr>
        <w:t xml:space="preserve"> conclusies</w:t>
      </w:r>
      <w:r w:rsidRPr="003F26D3">
        <w:rPr>
          <w:rFonts w:eastAsia="Calibri" w:cs="Times New Roman"/>
          <w:b/>
          <w:bCs/>
          <w:color w:val="auto"/>
          <w:kern w:val="2"/>
          <w:szCs w:val="22"/>
          <w:lang w:eastAsia="en-US"/>
          <w14:ligatures w14:val="standardContextual"/>
        </w:rPr>
        <w:t xml:space="preserve"> SEO-rapport</w:t>
      </w:r>
    </w:p>
    <w:p w:rsidRPr="003F26D3" w:rsidR="003F26D3" w:rsidP="00A85E5F" w:rsidRDefault="003F26D3" w14:paraId="535F233C" w14:textId="77777777">
      <w:pPr>
        <w:autoSpaceDN/>
        <w:spacing w:after="160" w:line="259" w:lineRule="auto"/>
        <w:textAlignment w:val="auto"/>
        <w:rPr>
          <w:rFonts w:eastAsia="Calibri" w:cs="Times New Roman"/>
          <w:i/>
          <w:iCs/>
          <w:color w:val="auto"/>
          <w:kern w:val="2"/>
          <w:szCs w:val="22"/>
          <w:lang w:eastAsia="en-US"/>
          <w14:ligatures w14:val="standardContextual"/>
        </w:rPr>
      </w:pPr>
      <w:r w:rsidRPr="003F26D3">
        <w:rPr>
          <w:rFonts w:eastAsia="Calibri" w:cs="Times New Roman"/>
          <w:i/>
          <w:iCs/>
          <w:color w:val="auto"/>
          <w:kern w:val="2"/>
          <w:szCs w:val="22"/>
          <w:lang w:eastAsia="en-US"/>
          <w14:ligatures w14:val="standardContextual"/>
        </w:rPr>
        <w:t>Doeltreffendheid</w:t>
      </w:r>
    </w:p>
    <w:p w:rsidR="001D0560" w:rsidP="00A85E5F" w:rsidRDefault="003F26D3" w14:paraId="03D79562"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Het onderzoek concludeert dat internationale instellingen doeltreffend de gevolgen van de COVID-crisis hebben bestreden. Veelal kwamen ze snel in actie en zorgden ze met financiering en kennisdeling ervoor dat de sociale zekerheid, de gezondheidszorg en economie als geheel werden ondersteund. </w:t>
      </w:r>
      <w:r w:rsidRPr="003F26D3" w:rsidR="000E568D">
        <w:rPr>
          <w:rFonts w:eastAsia="Calibri" w:cs="Times New Roman"/>
          <w:color w:val="auto"/>
          <w:kern w:val="2"/>
          <w:szCs w:val="22"/>
          <w:lang w:eastAsia="en-US"/>
          <w14:ligatures w14:val="standardContextual"/>
        </w:rPr>
        <w:t xml:space="preserve">De bijdrage van de onderzochte instrumenten aan de financiële stabiliteit was positief, maar </w:t>
      </w:r>
      <w:r w:rsidRPr="003F26D3" w:rsidR="000E568D">
        <w:rPr>
          <w:rFonts w:eastAsia="Calibri" w:cs="Times New Roman"/>
          <w:color w:val="auto"/>
          <w:kern w:val="2"/>
          <w:szCs w:val="22"/>
          <w:lang w:eastAsia="en-US"/>
          <w14:ligatures w14:val="standardContextual"/>
        </w:rPr>
        <w:lastRenderedPageBreak/>
        <w:t xml:space="preserve">beperkt. </w:t>
      </w:r>
      <w:r w:rsidRPr="003F26D3">
        <w:rPr>
          <w:rFonts w:eastAsia="Calibri" w:cs="Times New Roman"/>
          <w:color w:val="auto"/>
          <w:kern w:val="2"/>
          <w:szCs w:val="22"/>
          <w:lang w:eastAsia="en-US"/>
          <w14:ligatures w14:val="standardContextual"/>
        </w:rPr>
        <w:t xml:space="preserve">SEO plaatst </w:t>
      </w:r>
      <w:r w:rsidR="000E568D">
        <w:rPr>
          <w:rFonts w:eastAsia="Calibri" w:cs="Times New Roman"/>
          <w:color w:val="auto"/>
          <w:kern w:val="2"/>
          <w:szCs w:val="22"/>
          <w:lang w:eastAsia="en-US"/>
          <w14:ligatures w14:val="standardContextual"/>
        </w:rPr>
        <w:t xml:space="preserve">daarbij </w:t>
      </w:r>
      <w:r w:rsidRPr="003F26D3">
        <w:rPr>
          <w:rFonts w:eastAsia="Calibri" w:cs="Times New Roman"/>
          <w:color w:val="auto"/>
          <w:kern w:val="2"/>
          <w:szCs w:val="22"/>
          <w:lang w:eastAsia="en-US"/>
          <w14:ligatures w14:val="standardContextual"/>
        </w:rPr>
        <w:t>kanttekeningen bij de toegang tot steun v</w:t>
      </w:r>
      <w:r w:rsidR="009E38B0">
        <w:rPr>
          <w:rFonts w:eastAsia="Calibri" w:cs="Times New Roman"/>
          <w:color w:val="auto"/>
          <w:kern w:val="2"/>
          <w:szCs w:val="22"/>
          <w:lang w:eastAsia="en-US"/>
          <w14:ligatures w14:val="standardContextual"/>
        </w:rPr>
        <w:t>o</w:t>
      </w:r>
      <w:r w:rsidRPr="003F26D3">
        <w:rPr>
          <w:rFonts w:eastAsia="Calibri" w:cs="Times New Roman"/>
          <w:color w:val="auto"/>
          <w:kern w:val="2"/>
          <w:szCs w:val="22"/>
          <w:lang w:eastAsia="en-US"/>
          <w14:ligatures w14:val="standardContextual"/>
        </w:rPr>
        <w:t>or bepaalde landen en bedrijven, en de soms lange doorlooptijd van maatregelen.</w:t>
      </w:r>
      <w:r w:rsidR="001D0560">
        <w:rPr>
          <w:rFonts w:eastAsia="Calibri" w:cs="Times New Roman"/>
          <w:color w:val="auto"/>
          <w:kern w:val="2"/>
          <w:szCs w:val="22"/>
          <w:lang w:eastAsia="en-US"/>
          <w14:ligatures w14:val="standardContextual"/>
        </w:rPr>
        <w:t xml:space="preserve"> </w:t>
      </w:r>
    </w:p>
    <w:p w:rsidRPr="003F26D3" w:rsidR="003F26D3" w:rsidP="00A85E5F" w:rsidRDefault="003F26D3" w14:paraId="008A8940"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In de EU droeg het instrument SURE (</w:t>
      </w:r>
      <w:r w:rsidRPr="001D0560">
        <w:rPr>
          <w:rFonts w:eastAsia="Calibri" w:cs="Times New Roman"/>
          <w:i/>
          <w:iCs/>
          <w:color w:val="auto"/>
          <w:kern w:val="2"/>
          <w:szCs w:val="22"/>
          <w:lang w:eastAsia="en-US"/>
          <w14:ligatures w14:val="standardContextual"/>
        </w:rPr>
        <w:t xml:space="preserve">Support </w:t>
      </w:r>
      <w:proofErr w:type="spellStart"/>
      <w:r w:rsidRPr="001D0560">
        <w:rPr>
          <w:rFonts w:eastAsia="Calibri" w:cs="Times New Roman"/>
          <w:i/>
          <w:iCs/>
          <w:color w:val="auto"/>
          <w:kern w:val="2"/>
          <w:szCs w:val="22"/>
          <w:lang w:eastAsia="en-US"/>
          <w14:ligatures w14:val="standardContextual"/>
        </w:rPr>
        <w:t>to</w:t>
      </w:r>
      <w:proofErr w:type="spellEnd"/>
      <w:r w:rsidRPr="001D0560">
        <w:rPr>
          <w:rFonts w:eastAsia="Calibri" w:cs="Times New Roman"/>
          <w:i/>
          <w:iCs/>
          <w:color w:val="auto"/>
          <w:kern w:val="2"/>
          <w:szCs w:val="22"/>
          <w:lang w:eastAsia="en-US"/>
          <w14:ligatures w14:val="standardContextual"/>
        </w:rPr>
        <w:t xml:space="preserve"> </w:t>
      </w:r>
      <w:proofErr w:type="spellStart"/>
      <w:r w:rsidRPr="001D0560">
        <w:rPr>
          <w:rFonts w:eastAsia="Calibri" w:cs="Times New Roman"/>
          <w:i/>
          <w:iCs/>
          <w:color w:val="auto"/>
          <w:kern w:val="2"/>
          <w:szCs w:val="22"/>
          <w:lang w:eastAsia="en-US"/>
          <w14:ligatures w14:val="standardContextual"/>
        </w:rPr>
        <w:t>mitigate</w:t>
      </w:r>
      <w:proofErr w:type="spellEnd"/>
      <w:r w:rsidRPr="001D0560">
        <w:rPr>
          <w:rFonts w:eastAsia="Calibri" w:cs="Times New Roman"/>
          <w:i/>
          <w:iCs/>
          <w:color w:val="auto"/>
          <w:kern w:val="2"/>
          <w:szCs w:val="22"/>
          <w:lang w:eastAsia="en-US"/>
          <w14:ligatures w14:val="standardContextual"/>
        </w:rPr>
        <w:t xml:space="preserve"> </w:t>
      </w:r>
      <w:proofErr w:type="spellStart"/>
      <w:r w:rsidRPr="001D0560">
        <w:rPr>
          <w:rFonts w:eastAsia="Calibri" w:cs="Times New Roman"/>
          <w:i/>
          <w:iCs/>
          <w:color w:val="auto"/>
          <w:kern w:val="2"/>
          <w:szCs w:val="22"/>
          <w:lang w:eastAsia="en-US"/>
          <w14:ligatures w14:val="standardContextual"/>
        </w:rPr>
        <w:t>Unemployment</w:t>
      </w:r>
      <w:proofErr w:type="spellEnd"/>
      <w:r w:rsidRPr="001D0560">
        <w:rPr>
          <w:rFonts w:eastAsia="Calibri" w:cs="Times New Roman"/>
          <w:i/>
          <w:iCs/>
          <w:color w:val="auto"/>
          <w:kern w:val="2"/>
          <w:szCs w:val="22"/>
          <w:lang w:eastAsia="en-US"/>
          <w14:ligatures w14:val="standardContextual"/>
        </w:rPr>
        <w:t xml:space="preserve"> </w:t>
      </w:r>
      <w:proofErr w:type="spellStart"/>
      <w:r w:rsidRPr="001D0560">
        <w:rPr>
          <w:rFonts w:eastAsia="Calibri" w:cs="Times New Roman"/>
          <w:i/>
          <w:iCs/>
          <w:color w:val="auto"/>
          <w:kern w:val="2"/>
          <w:szCs w:val="22"/>
          <w:lang w:eastAsia="en-US"/>
          <w14:ligatures w14:val="standardContextual"/>
        </w:rPr>
        <w:t>Risks</w:t>
      </w:r>
      <w:proofErr w:type="spellEnd"/>
      <w:r w:rsidRPr="001D0560">
        <w:rPr>
          <w:rFonts w:eastAsia="Calibri" w:cs="Times New Roman"/>
          <w:i/>
          <w:iCs/>
          <w:color w:val="auto"/>
          <w:kern w:val="2"/>
          <w:szCs w:val="22"/>
          <w:lang w:eastAsia="en-US"/>
          <w14:ligatures w14:val="standardContextual"/>
        </w:rPr>
        <w:t xml:space="preserve"> in </w:t>
      </w:r>
      <w:proofErr w:type="spellStart"/>
      <w:r w:rsidRPr="001D0560">
        <w:rPr>
          <w:rFonts w:eastAsia="Calibri" w:cs="Times New Roman"/>
          <w:i/>
          <w:iCs/>
          <w:color w:val="auto"/>
          <w:kern w:val="2"/>
          <w:szCs w:val="22"/>
          <w:lang w:eastAsia="en-US"/>
          <w14:ligatures w14:val="standardContextual"/>
        </w:rPr>
        <w:t>an</w:t>
      </w:r>
      <w:proofErr w:type="spellEnd"/>
      <w:r w:rsidRPr="001D0560">
        <w:rPr>
          <w:rFonts w:eastAsia="Calibri" w:cs="Times New Roman"/>
          <w:i/>
          <w:iCs/>
          <w:color w:val="auto"/>
          <w:kern w:val="2"/>
          <w:szCs w:val="22"/>
          <w:lang w:eastAsia="en-US"/>
          <w14:ligatures w14:val="standardContextual"/>
        </w:rPr>
        <w:t xml:space="preserve"> </w:t>
      </w:r>
      <w:proofErr w:type="spellStart"/>
      <w:r w:rsidRPr="001D0560">
        <w:rPr>
          <w:rFonts w:eastAsia="Calibri" w:cs="Times New Roman"/>
          <w:i/>
          <w:iCs/>
          <w:color w:val="auto"/>
          <w:kern w:val="2"/>
          <w:szCs w:val="22"/>
          <w:lang w:eastAsia="en-US"/>
          <w14:ligatures w14:val="standardContextual"/>
        </w:rPr>
        <w:t>Emergency</w:t>
      </w:r>
      <w:proofErr w:type="spellEnd"/>
      <w:r w:rsidRPr="003F26D3">
        <w:rPr>
          <w:rFonts w:eastAsia="Calibri" w:cs="Times New Roman"/>
          <w:color w:val="auto"/>
          <w:kern w:val="2"/>
          <w:szCs w:val="22"/>
          <w:lang w:eastAsia="en-US"/>
          <w14:ligatures w14:val="standardContextual"/>
        </w:rPr>
        <w:t xml:space="preserve">), dat voorzag in leningen voor arbeidsmarktregelingen, bij aan het behoud van banen. Het IMF heeft via het ondersteunen van de externe financieringsbehoefte eraan bijgedragen dat overheden in staat waren om arbeidsmarktmaatregelen te financieren. De WBG heeft in lage inkomenslanden bijgedragen aan het behoud van banen. Daarnaast is in 24 landen met hulp van de WBG een sociaal zekerheidsprogramma opgesteld. De EBRD heeft bijgedragen door het financieren van bedrijven en daarmee het behoud van banen. De AIIB heeft sociale zekerheidsprogramma’s gefinancierd, zoals noodsubsidies aan huishoudens en het mkb. </w:t>
      </w:r>
    </w:p>
    <w:p w:rsidRPr="003F26D3" w:rsidR="003F26D3" w:rsidP="00A85E5F" w:rsidRDefault="003F26D3" w14:paraId="5DC01C03"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Voor de ondersteuning van gezondheidszorg was vooral de WBG belangrijk. Zij was goed voorbereid op een mondiale gezondheidscrisis, dankzij de opbouw van kennis over mogelijke scenario's en de beschikbare middelen voor het actief ondersteunen van landen. De AIIB heeft bijgedragen door een aanzienlijk bedrag uit te trekken voor vaccinatieprogramma’s. Het IMF heeft indirect bijgedragen aan de financiering van de gezondheidszorg, door bij het bepalen van de financieringsbehoefte aandacht te hebben voor de gezondheidszorguitgaven van overheden. De EBRD en de geëvalueerde EU-instrumenten hebben geen noemenswaardige rol gespeeld op het terrein van gezondheidszorg.</w:t>
      </w:r>
    </w:p>
    <w:p w:rsidRPr="003F26D3" w:rsidR="003F26D3" w:rsidP="00A85E5F" w:rsidRDefault="003F26D3" w14:paraId="2DFF8F09"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De </w:t>
      </w:r>
      <w:proofErr w:type="spellStart"/>
      <w:r w:rsidRPr="003F26D3">
        <w:rPr>
          <w:rFonts w:eastAsia="Calibri" w:cs="Times New Roman"/>
          <w:color w:val="auto"/>
          <w:kern w:val="2"/>
          <w:szCs w:val="22"/>
          <w:lang w:eastAsia="en-US"/>
          <w14:ligatures w14:val="standardContextual"/>
        </w:rPr>
        <w:t>IFIs</w:t>
      </w:r>
      <w:proofErr w:type="spellEnd"/>
      <w:r w:rsidRPr="003F26D3">
        <w:rPr>
          <w:rFonts w:eastAsia="Calibri" w:cs="Times New Roman"/>
          <w:color w:val="auto"/>
          <w:kern w:val="2"/>
          <w:szCs w:val="22"/>
          <w:lang w:eastAsia="en-US"/>
          <w14:ligatures w14:val="standardContextual"/>
        </w:rPr>
        <w:t xml:space="preserve"> en Europese instellingen hebben duidelijk bijgedragen aan het ondersteunen van de reële economie, al bleek het lastig om nieuwe partijen te bereiken. In Europa hebben de EIB en de EBRD bijgedragen aan de financiering van bedrijven, al was deze bijdrage beperkt in de hoge inkomenslanden die zelf al uitgebreide steunprogramma hadden opgezet. Het IMF heeft de reële economie vooral ondersteund doordat het vaak samen met de WBG de druk op de overheidsfinanciën wegnam, zodat nationale overheden hun uitgaven konden blijven financieren. De WBG heeft daarnaast via verschillende instrumenten bijgedragen aan onder andere de financiering van bedrijven in lage inkomenslanden. De AIIB heeft een nuttige bijdrage geleverd door overheden bij te staan met financiering van landen die zwaar getroffen waren door de pandemie.</w:t>
      </w:r>
    </w:p>
    <w:p w:rsidRPr="003F26D3" w:rsidR="003F26D3" w:rsidP="00A85E5F" w:rsidRDefault="003F26D3" w14:paraId="401F1972"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SEO merkt tenslotte op dat de instellingen met kennisdeling hebben bijgedragen aan de doeltreffendheid van het covidbeleid in landen die zelf minder kennis in huis hadden.</w:t>
      </w:r>
    </w:p>
    <w:p w:rsidRPr="003F26D3" w:rsidR="003F26D3" w:rsidP="00A85E5F" w:rsidRDefault="003F26D3" w14:paraId="042007B4" w14:textId="77777777">
      <w:pPr>
        <w:autoSpaceDN/>
        <w:spacing w:after="160" w:line="259" w:lineRule="auto"/>
        <w:textAlignment w:val="auto"/>
        <w:rPr>
          <w:rFonts w:eastAsia="Calibri" w:cs="Times New Roman"/>
          <w:i/>
          <w:iCs/>
          <w:color w:val="auto"/>
          <w:kern w:val="2"/>
          <w:szCs w:val="22"/>
          <w:lang w:eastAsia="en-US"/>
          <w14:ligatures w14:val="standardContextual"/>
        </w:rPr>
      </w:pPr>
      <w:proofErr w:type="spellStart"/>
      <w:r w:rsidRPr="003F26D3">
        <w:rPr>
          <w:rFonts w:eastAsia="Calibri" w:cs="Times New Roman"/>
          <w:i/>
          <w:iCs/>
          <w:color w:val="auto"/>
          <w:kern w:val="2"/>
          <w:szCs w:val="22"/>
          <w:lang w:eastAsia="en-US"/>
          <w14:ligatures w14:val="standardContextual"/>
        </w:rPr>
        <w:t>Additonaliteit</w:t>
      </w:r>
      <w:proofErr w:type="spellEnd"/>
    </w:p>
    <w:p w:rsidRPr="003F26D3" w:rsidR="003F26D3" w:rsidP="00A85E5F" w:rsidRDefault="003F26D3" w14:paraId="5BD43D56"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SEO heeft ook beoordeeld of de instrumenten additioneel waren, dat wil zeggen van toegevoegde waarde waren ten opzichte van andere middelen die beschikbaar waren. SEO concludeert dat dit ten dele het geval was. De inzet van SURE was additioneel in het bieden van gunstigere financieringsvoorwaarden, maar niet additioneel in het verschaffen van financiering. De lidstaten hadden deze namelijk ook zelf kunnen ophalen. EIB financiering was vooral additioneel in landen met weinig nationale coronasteun. Wat betreft het IMF was de inzet van noodfinanciering zeker in het begin van de covid</w:t>
      </w:r>
      <w:r w:rsidR="00AE499B">
        <w:rPr>
          <w:rFonts w:eastAsia="Calibri" w:cs="Times New Roman"/>
          <w:color w:val="auto"/>
          <w:kern w:val="2"/>
          <w:szCs w:val="22"/>
          <w:lang w:eastAsia="en-US"/>
          <w14:ligatures w14:val="standardContextual"/>
        </w:rPr>
        <w:t>-</w:t>
      </w:r>
      <w:r w:rsidRPr="003F26D3">
        <w:rPr>
          <w:rFonts w:eastAsia="Calibri" w:cs="Times New Roman"/>
          <w:color w:val="auto"/>
          <w:kern w:val="2"/>
          <w:szCs w:val="22"/>
          <w:lang w:eastAsia="en-US"/>
          <w14:ligatures w14:val="standardContextual"/>
        </w:rPr>
        <w:t xml:space="preserve">crisis duidelijk additioneel. Later, toen de eerste nood geadresseerd was, was de </w:t>
      </w:r>
      <w:proofErr w:type="spellStart"/>
      <w:r w:rsidRPr="003F26D3">
        <w:rPr>
          <w:rFonts w:eastAsia="Calibri" w:cs="Times New Roman"/>
          <w:color w:val="auto"/>
          <w:kern w:val="2"/>
          <w:szCs w:val="22"/>
          <w:lang w:eastAsia="en-US"/>
          <w14:ligatures w14:val="standardContextual"/>
        </w:rPr>
        <w:t>additionaliteit</w:t>
      </w:r>
      <w:proofErr w:type="spellEnd"/>
      <w:r w:rsidR="002831C6">
        <w:rPr>
          <w:rFonts w:eastAsia="Calibri" w:cs="Times New Roman"/>
          <w:color w:val="auto"/>
          <w:kern w:val="2"/>
          <w:szCs w:val="22"/>
          <w:lang w:eastAsia="en-US"/>
          <w14:ligatures w14:val="standardContextual"/>
        </w:rPr>
        <w:t xml:space="preserve"> lager</w:t>
      </w:r>
      <w:r w:rsidRPr="003F26D3">
        <w:rPr>
          <w:rFonts w:eastAsia="Calibri" w:cs="Times New Roman"/>
          <w:color w:val="auto"/>
          <w:kern w:val="2"/>
          <w:szCs w:val="22"/>
          <w:lang w:eastAsia="en-US"/>
          <w14:ligatures w14:val="standardContextual"/>
        </w:rPr>
        <w:t xml:space="preserve">. De WBG was vooral additioneel door kwetsbare landen en kwetsbare klanten te steunen die </w:t>
      </w:r>
      <w:r w:rsidRPr="003F26D3">
        <w:rPr>
          <w:rFonts w:eastAsia="Calibri" w:cs="Times New Roman"/>
          <w:color w:val="auto"/>
          <w:kern w:val="2"/>
          <w:szCs w:val="22"/>
          <w:lang w:eastAsia="en-US"/>
          <w14:ligatures w14:val="standardContextual"/>
        </w:rPr>
        <w:lastRenderedPageBreak/>
        <w:t xml:space="preserve">elders geen toegang tot financiering hadden. </w:t>
      </w:r>
      <w:r w:rsidR="00C7780D">
        <w:rPr>
          <w:rFonts w:eastAsia="Calibri" w:cs="Times New Roman"/>
          <w:color w:val="auto"/>
          <w:kern w:val="2"/>
          <w:szCs w:val="22"/>
          <w:lang w:eastAsia="en-US"/>
          <w14:ligatures w14:val="standardContextual"/>
        </w:rPr>
        <w:t xml:space="preserve">De </w:t>
      </w:r>
      <w:r w:rsidRPr="003F26D3">
        <w:rPr>
          <w:rFonts w:eastAsia="Calibri" w:cs="Times New Roman"/>
          <w:color w:val="auto"/>
          <w:kern w:val="2"/>
          <w:szCs w:val="22"/>
          <w:lang w:eastAsia="en-US"/>
          <w14:ligatures w14:val="standardContextual"/>
        </w:rPr>
        <w:t xml:space="preserve">EBRD was additioneel door snel noodliquiditeit te verstrekken aan bedrijven in transitielanden. De </w:t>
      </w:r>
      <w:proofErr w:type="spellStart"/>
      <w:r w:rsidRPr="003F26D3">
        <w:rPr>
          <w:rFonts w:eastAsia="Calibri" w:cs="Times New Roman"/>
          <w:color w:val="auto"/>
          <w:kern w:val="2"/>
          <w:szCs w:val="22"/>
          <w:lang w:eastAsia="en-US"/>
          <w14:ligatures w14:val="standardContextual"/>
        </w:rPr>
        <w:t>additionaliteit</w:t>
      </w:r>
      <w:proofErr w:type="spellEnd"/>
      <w:r w:rsidRPr="003F26D3">
        <w:rPr>
          <w:rFonts w:eastAsia="Calibri" w:cs="Times New Roman"/>
          <w:color w:val="auto"/>
          <w:kern w:val="2"/>
          <w:szCs w:val="22"/>
          <w:lang w:eastAsia="en-US"/>
          <w14:ligatures w14:val="standardContextual"/>
        </w:rPr>
        <w:t xml:space="preserve"> van </w:t>
      </w:r>
      <w:r w:rsidR="00C7780D">
        <w:rPr>
          <w:rFonts w:eastAsia="Calibri" w:cs="Times New Roman"/>
          <w:color w:val="auto"/>
          <w:kern w:val="2"/>
          <w:szCs w:val="22"/>
          <w:lang w:eastAsia="en-US"/>
          <w14:ligatures w14:val="standardContextual"/>
        </w:rPr>
        <w:t xml:space="preserve">de </w:t>
      </w:r>
      <w:r w:rsidRPr="003F26D3">
        <w:rPr>
          <w:rFonts w:eastAsia="Calibri" w:cs="Times New Roman"/>
          <w:color w:val="auto"/>
          <w:kern w:val="2"/>
          <w:szCs w:val="22"/>
          <w:lang w:eastAsia="en-US"/>
          <w14:ligatures w14:val="standardContextual"/>
        </w:rPr>
        <w:t>AIIB was minder duidelijk.</w:t>
      </w:r>
    </w:p>
    <w:p w:rsidRPr="003F26D3" w:rsidR="003F26D3" w:rsidP="00A85E5F" w:rsidRDefault="003F26D3" w14:paraId="7841E7E0" w14:textId="77777777">
      <w:pPr>
        <w:autoSpaceDN/>
        <w:spacing w:after="160" w:line="259" w:lineRule="auto"/>
        <w:textAlignment w:val="auto"/>
        <w:rPr>
          <w:rFonts w:eastAsia="Calibri" w:cs="Times New Roman"/>
          <w:i/>
          <w:iCs/>
          <w:color w:val="auto"/>
          <w:kern w:val="2"/>
          <w:szCs w:val="22"/>
          <w:lang w:eastAsia="en-US"/>
          <w14:ligatures w14:val="standardContextual"/>
        </w:rPr>
      </w:pPr>
      <w:r w:rsidRPr="003F26D3">
        <w:rPr>
          <w:rFonts w:eastAsia="Calibri" w:cs="Times New Roman"/>
          <w:i/>
          <w:iCs/>
          <w:color w:val="auto"/>
          <w:kern w:val="2"/>
          <w:szCs w:val="22"/>
          <w:lang w:eastAsia="en-US"/>
          <w14:ligatures w14:val="standardContextual"/>
        </w:rPr>
        <w:t>Algemene lessen</w:t>
      </w:r>
    </w:p>
    <w:p w:rsidRPr="003F26D3" w:rsidR="003F26D3" w:rsidP="00A85E5F" w:rsidRDefault="003F26D3" w14:paraId="13698233"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Om algemene lessen te trekken over de inzet van crisisinstrumenten heeft SEO gekeken naar de elementen die van belang zijn voor een effectief instrumentarium. Dit zijn volgens SEO </w:t>
      </w:r>
      <w:r w:rsidR="00C7780D">
        <w:rPr>
          <w:rFonts w:eastAsia="Calibri" w:cs="Times New Roman"/>
          <w:color w:val="auto"/>
          <w:kern w:val="2"/>
          <w:szCs w:val="22"/>
          <w:lang w:eastAsia="en-US"/>
          <w14:ligatures w14:val="standardContextual"/>
        </w:rPr>
        <w:t xml:space="preserve">de </w:t>
      </w:r>
      <w:r w:rsidRPr="003F26D3">
        <w:rPr>
          <w:rFonts w:eastAsia="Calibri" w:cs="Times New Roman"/>
          <w:color w:val="auto"/>
          <w:kern w:val="2"/>
          <w:szCs w:val="22"/>
          <w:lang w:eastAsia="en-US"/>
          <w14:ligatures w14:val="standardContextual"/>
        </w:rPr>
        <w:t>omvang, snelheid, gerichtheid en tijdelijkheid van de maatregelen. SEO komt tot de volgende lessen</w:t>
      </w:r>
      <w:r w:rsidRPr="003F26D3">
        <w:rPr>
          <w:rFonts w:eastAsia="Calibri" w:cs="Times New Roman"/>
          <w:color w:val="auto"/>
          <w:kern w:val="2"/>
          <w:szCs w:val="22"/>
          <w:vertAlign w:val="superscript"/>
          <w:lang w:eastAsia="en-US"/>
          <w14:ligatures w14:val="standardContextual"/>
        </w:rPr>
        <w:footnoteReference w:id="3"/>
      </w:r>
      <w:r w:rsidRPr="003F26D3">
        <w:rPr>
          <w:rFonts w:eastAsia="Calibri" w:cs="Times New Roman"/>
          <w:color w:val="auto"/>
          <w:kern w:val="2"/>
          <w:szCs w:val="22"/>
          <w:lang w:eastAsia="en-US"/>
          <w14:ligatures w14:val="standardContextual"/>
        </w:rPr>
        <w:t>:</w:t>
      </w:r>
    </w:p>
    <w:p w:rsidRPr="003F26D3" w:rsidR="003F26D3" w:rsidP="00A85E5F" w:rsidRDefault="003F26D3" w14:paraId="51B4A1E3" w14:textId="77777777">
      <w:pPr>
        <w:numPr>
          <w:ilvl w:val="0"/>
          <w:numId w:val="7"/>
        </w:numPr>
        <w:autoSpaceDN/>
        <w:spacing w:after="160" w:line="259" w:lineRule="auto"/>
        <w:ind w:left="360"/>
        <w:contextualSpacing/>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Bij een crisis past een getrapte inzet van middelen van breed naar gericht, vanwege de grote mate van onzekerheid in de beginfase. De omvang van de steun kan daarbij aanvankelijk worden beperkt om risico’s te vermijden. </w:t>
      </w:r>
    </w:p>
    <w:p w:rsidRPr="003F26D3" w:rsidR="003F26D3" w:rsidP="00A85E5F" w:rsidRDefault="003F26D3" w14:paraId="19B3669F" w14:textId="77777777">
      <w:pPr>
        <w:numPr>
          <w:ilvl w:val="0"/>
          <w:numId w:val="7"/>
        </w:numPr>
        <w:autoSpaceDN/>
        <w:spacing w:after="160" w:line="259" w:lineRule="auto"/>
        <w:ind w:left="360"/>
        <w:contextualSpacing/>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Bestaande instrumenten en relaties dragen bij aan een snelle inzet van middelen.</w:t>
      </w:r>
    </w:p>
    <w:p w:rsidRPr="003F26D3" w:rsidR="003F26D3" w:rsidP="00A85E5F" w:rsidRDefault="003F26D3" w14:paraId="12749D7C" w14:textId="77777777">
      <w:pPr>
        <w:numPr>
          <w:ilvl w:val="0"/>
          <w:numId w:val="7"/>
        </w:numPr>
        <w:autoSpaceDN/>
        <w:spacing w:after="160" w:line="259" w:lineRule="auto"/>
        <w:ind w:left="360"/>
        <w:contextualSpacing/>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De covidcrisis heeft duidelijk gemaakt dat vanuit </w:t>
      </w:r>
      <w:proofErr w:type="spellStart"/>
      <w:r w:rsidRPr="003F26D3">
        <w:rPr>
          <w:rFonts w:eastAsia="Calibri" w:cs="Times New Roman"/>
          <w:color w:val="auto"/>
          <w:kern w:val="2"/>
          <w:szCs w:val="22"/>
          <w:lang w:eastAsia="en-US"/>
          <w14:ligatures w14:val="standardContextual"/>
        </w:rPr>
        <w:t>IFIs</w:t>
      </w:r>
      <w:proofErr w:type="spellEnd"/>
      <w:r w:rsidRPr="003F26D3">
        <w:rPr>
          <w:rFonts w:eastAsia="Calibri" w:cs="Times New Roman"/>
          <w:color w:val="auto"/>
          <w:kern w:val="2"/>
          <w:szCs w:val="22"/>
          <w:lang w:eastAsia="en-US"/>
          <w14:ligatures w14:val="standardContextual"/>
        </w:rPr>
        <w:t xml:space="preserve"> en EU-instellingen al een ruim crisisinstrumentarium beschikbaar is en dat dit flexibel kan worden aangepast.  </w:t>
      </w:r>
    </w:p>
    <w:p w:rsidRPr="003F26D3" w:rsidR="003F26D3" w:rsidP="00A85E5F" w:rsidRDefault="003F26D3" w14:paraId="1ECA489C" w14:textId="77777777">
      <w:pPr>
        <w:numPr>
          <w:ilvl w:val="0"/>
          <w:numId w:val="7"/>
        </w:numPr>
        <w:autoSpaceDN/>
        <w:spacing w:after="160" w:line="259" w:lineRule="auto"/>
        <w:ind w:left="360"/>
        <w:contextualSpacing/>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Om steun breed in te zetten dienen soms obstakels te worden beperkt die het gebruik van steun beperken, zoals stigma. </w:t>
      </w:r>
    </w:p>
    <w:p w:rsidRPr="003F26D3" w:rsidR="003F26D3" w:rsidP="00A85E5F" w:rsidRDefault="003F26D3" w14:paraId="515042BE" w14:textId="77777777">
      <w:pPr>
        <w:numPr>
          <w:ilvl w:val="0"/>
          <w:numId w:val="7"/>
        </w:numPr>
        <w:autoSpaceDN/>
        <w:spacing w:after="160" w:line="259" w:lineRule="auto"/>
        <w:ind w:left="360"/>
        <w:contextualSpacing/>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Het is verstandig te anticiperen op nieuwe steuninstrumenten die worden opgericht bij crises, door na te gaan wat redelijke eisen zijn om aan zulke steun te verbinden. </w:t>
      </w:r>
    </w:p>
    <w:p w:rsidRPr="003F26D3" w:rsidR="003F26D3" w:rsidP="00A85E5F" w:rsidRDefault="003F26D3" w14:paraId="0F1D4419" w14:textId="77777777">
      <w:pPr>
        <w:numPr>
          <w:ilvl w:val="0"/>
          <w:numId w:val="7"/>
        </w:numPr>
        <w:autoSpaceDN/>
        <w:spacing w:after="160" w:line="259" w:lineRule="auto"/>
        <w:ind w:left="360"/>
        <w:contextualSpacing/>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Coördinatie tussen </w:t>
      </w:r>
      <w:proofErr w:type="spellStart"/>
      <w:r w:rsidRPr="003F26D3">
        <w:rPr>
          <w:rFonts w:eastAsia="Calibri" w:cs="Times New Roman"/>
          <w:i/>
          <w:iCs/>
          <w:color w:val="auto"/>
          <w:kern w:val="2"/>
          <w:szCs w:val="22"/>
          <w:lang w:eastAsia="en-US"/>
          <w14:ligatures w14:val="standardContextual"/>
        </w:rPr>
        <w:t>Multilateral</w:t>
      </w:r>
      <w:proofErr w:type="spellEnd"/>
      <w:r w:rsidRPr="003F26D3">
        <w:rPr>
          <w:rFonts w:eastAsia="Calibri" w:cs="Times New Roman"/>
          <w:i/>
          <w:iCs/>
          <w:color w:val="auto"/>
          <w:kern w:val="2"/>
          <w:szCs w:val="22"/>
          <w:lang w:eastAsia="en-US"/>
          <w14:ligatures w14:val="standardContextual"/>
        </w:rPr>
        <w:t xml:space="preserve"> Development Banks</w:t>
      </w:r>
      <w:r w:rsidRPr="003F26D3">
        <w:rPr>
          <w:rFonts w:eastAsia="Calibri" w:cs="Times New Roman"/>
          <w:color w:val="auto"/>
          <w:kern w:val="2"/>
          <w:szCs w:val="22"/>
          <w:lang w:eastAsia="en-US"/>
          <w14:ligatures w14:val="standardContextual"/>
        </w:rPr>
        <w:t xml:space="preserve"> (</w:t>
      </w:r>
      <w:proofErr w:type="spellStart"/>
      <w:r w:rsidRPr="003F26D3">
        <w:rPr>
          <w:rFonts w:eastAsia="Calibri" w:cs="Times New Roman"/>
          <w:color w:val="auto"/>
          <w:kern w:val="2"/>
          <w:szCs w:val="22"/>
          <w:lang w:eastAsia="en-US"/>
          <w14:ligatures w14:val="standardContextual"/>
        </w:rPr>
        <w:t>MDBs</w:t>
      </w:r>
      <w:proofErr w:type="spellEnd"/>
      <w:r w:rsidRPr="003F26D3">
        <w:rPr>
          <w:rFonts w:eastAsia="Calibri" w:cs="Times New Roman"/>
          <w:color w:val="auto"/>
          <w:kern w:val="2"/>
          <w:szCs w:val="22"/>
          <w:lang w:eastAsia="en-US"/>
          <w14:ligatures w14:val="standardContextual"/>
        </w:rPr>
        <w:t xml:space="preserve">) en het IMF is belangrijk voor het bevorderen van een effectief crisis instrumentarium. </w:t>
      </w:r>
      <w:proofErr w:type="spellStart"/>
      <w:r w:rsidRPr="003F26D3">
        <w:rPr>
          <w:rFonts w:eastAsia="Calibri" w:cs="Times New Roman"/>
          <w:color w:val="auto"/>
          <w:kern w:val="2"/>
          <w:szCs w:val="22"/>
          <w:lang w:eastAsia="en-US"/>
          <w14:ligatures w14:val="standardContextual"/>
        </w:rPr>
        <w:t>MDB’s</w:t>
      </w:r>
      <w:proofErr w:type="spellEnd"/>
      <w:r w:rsidRPr="003F26D3">
        <w:rPr>
          <w:rFonts w:eastAsia="Calibri" w:cs="Times New Roman"/>
          <w:color w:val="auto"/>
          <w:kern w:val="2"/>
          <w:szCs w:val="22"/>
          <w:lang w:eastAsia="en-US"/>
          <w14:ligatures w14:val="standardContextual"/>
        </w:rPr>
        <w:t xml:space="preserve"> hebben vaak een comparatief voordeel in sectoren of landenkennis die meer of minder relevant zijn tijdens een crisis. </w:t>
      </w:r>
    </w:p>
    <w:p w:rsidRPr="003F26D3" w:rsidR="003F26D3" w:rsidP="00A85E5F" w:rsidRDefault="003F26D3" w14:paraId="70CA3B16" w14:textId="77777777">
      <w:pPr>
        <w:numPr>
          <w:ilvl w:val="0"/>
          <w:numId w:val="7"/>
        </w:numPr>
        <w:autoSpaceDN/>
        <w:spacing w:after="160" w:line="259" w:lineRule="auto"/>
        <w:ind w:left="360"/>
        <w:contextualSpacing/>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Het ontwerp van instrumenten kan eraan bijdragen dat ze tijdelijk steun verlenen. Een expliciete beslissing om te stoppen met steun kan lastiger blijken in de praktijk.</w:t>
      </w:r>
    </w:p>
    <w:p w:rsidRPr="003F26D3" w:rsidR="003F26D3" w:rsidP="00A85E5F" w:rsidRDefault="003F26D3" w14:paraId="1949AA30" w14:textId="77777777">
      <w:pPr>
        <w:numPr>
          <w:ilvl w:val="0"/>
          <w:numId w:val="7"/>
        </w:numPr>
        <w:autoSpaceDN/>
        <w:spacing w:after="160" w:line="259" w:lineRule="auto"/>
        <w:ind w:left="360"/>
        <w:contextualSpacing/>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De aard van een crisis bepaalt mede of het stellen van eisen aan financiële steun voor landen nuttig is. Bij endogene crises, veroorzaakt door slecht beleid vanuit de overheid, is het waardevol om eisen te stellen en zo hervormingen in gang te zetten. Bij exogene crises, zoals natuurrampen, is de </w:t>
      </w:r>
      <w:proofErr w:type="spellStart"/>
      <w:r w:rsidRPr="003F26D3">
        <w:rPr>
          <w:rFonts w:eastAsia="Calibri" w:cs="Times New Roman"/>
          <w:color w:val="auto"/>
          <w:kern w:val="2"/>
          <w:szCs w:val="22"/>
          <w:lang w:eastAsia="en-US"/>
          <w14:ligatures w14:val="standardContextual"/>
        </w:rPr>
        <w:t>conditionaliteit</w:t>
      </w:r>
      <w:proofErr w:type="spellEnd"/>
      <w:r w:rsidRPr="003F26D3">
        <w:rPr>
          <w:rFonts w:eastAsia="Calibri" w:cs="Times New Roman"/>
          <w:color w:val="auto"/>
          <w:kern w:val="2"/>
          <w:szCs w:val="22"/>
          <w:lang w:eastAsia="en-US"/>
          <w14:ligatures w14:val="standardContextual"/>
        </w:rPr>
        <w:t xml:space="preserve"> minder belangrijk. </w:t>
      </w:r>
    </w:p>
    <w:p w:rsidRPr="003F26D3" w:rsidR="003F26D3" w:rsidP="00A85E5F" w:rsidRDefault="003F26D3" w14:paraId="3A12BC32" w14:textId="77777777">
      <w:pPr>
        <w:numPr>
          <w:ilvl w:val="0"/>
          <w:numId w:val="7"/>
        </w:numPr>
        <w:autoSpaceDN/>
        <w:spacing w:after="160" w:line="259" w:lineRule="auto"/>
        <w:ind w:left="360"/>
        <w:contextualSpacing/>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Hoewel de oorzaak van de volgende crisis moeilijk te voorspellen is, is het nuttig een kennispositie te ontwikkelen die is gebaseerd op mogelijke gevolgen. </w:t>
      </w:r>
    </w:p>
    <w:p w:rsidR="003F26D3" w:rsidP="00A85E5F" w:rsidRDefault="003F26D3" w14:paraId="7BCA8BF3" w14:textId="77777777">
      <w:pPr>
        <w:autoSpaceDN/>
        <w:spacing w:after="160" w:line="259" w:lineRule="auto"/>
        <w:textAlignment w:val="auto"/>
        <w:rPr>
          <w:rFonts w:eastAsia="Calibri" w:cs="Times New Roman"/>
          <w:b/>
          <w:bCs/>
          <w:color w:val="auto"/>
          <w:kern w:val="2"/>
          <w:szCs w:val="22"/>
          <w:lang w:eastAsia="en-US"/>
          <w14:ligatures w14:val="standardContextual"/>
        </w:rPr>
      </w:pPr>
    </w:p>
    <w:p w:rsidRPr="003F26D3" w:rsidR="003F26D3" w:rsidP="00A85E5F" w:rsidRDefault="003F26D3" w14:paraId="2467D58D" w14:textId="77777777">
      <w:pPr>
        <w:autoSpaceDN/>
        <w:spacing w:after="160" w:line="259" w:lineRule="auto"/>
        <w:textAlignment w:val="auto"/>
        <w:rPr>
          <w:rFonts w:eastAsia="Calibri" w:cs="Times New Roman"/>
          <w:b/>
          <w:bCs/>
          <w:color w:val="auto"/>
          <w:kern w:val="2"/>
          <w:szCs w:val="22"/>
          <w:lang w:eastAsia="en-US"/>
          <w14:ligatures w14:val="standardContextual"/>
        </w:rPr>
      </w:pPr>
      <w:r w:rsidRPr="003F26D3">
        <w:rPr>
          <w:rFonts w:eastAsia="Calibri" w:cs="Times New Roman"/>
          <w:b/>
          <w:bCs/>
          <w:color w:val="auto"/>
          <w:kern w:val="2"/>
          <w:szCs w:val="22"/>
          <w:lang w:eastAsia="en-US"/>
          <w14:ligatures w14:val="standardContextual"/>
        </w:rPr>
        <w:t>Kabinetsappreciatie</w:t>
      </w:r>
    </w:p>
    <w:p w:rsidRPr="003F26D3" w:rsidR="003F26D3" w:rsidP="00A85E5F" w:rsidRDefault="003F26D3" w14:paraId="3E7847D5"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Het kabinet acht het positief dat uit de evaluatie de conclusie volgt dat </w:t>
      </w:r>
      <w:r w:rsidR="00AE499B">
        <w:rPr>
          <w:rFonts w:eastAsia="Calibri" w:cs="Times New Roman"/>
          <w:color w:val="auto"/>
          <w:kern w:val="2"/>
          <w:szCs w:val="22"/>
          <w:lang w:eastAsia="en-US"/>
          <w14:ligatures w14:val="standardContextual"/>
        </w:rPr>
        <w:t>de</w:t>
      </w:r>
      <w:r w:rsidRPr="003F26D3" w:rsidR="00AE499B">
        <w:rPr>
          <w:rFonts w:eastAsia="Calibri" w:cs="Times New Roman"/>
          <w:color w:val="auto"/>
          <w:kern w:val="2"/>
          <w:szCs w:val="22"/>
          <w:lang w:eastAsia="en-US"/>
          <w14:ligatures w14:val="standardContextual"/>
        </w:rPr>
        <w:t xml:space="preserve"> </w:t>
      </w:r>
      <w:r w:rsidRPr="003F26D3">
        <w:rPr>
          <w:rFonts w:eastAsia="Calibri" w:cs="Times New Roman"/>
          <w:color w:val="auto"/>
          <w:kern w:val="2"/>
          <w:szCs w:val="22"/>
          <w:lang w:eastAsia="en-US"/>
          <w14:ligatures w14:val="standardContextual"/>
        </w:rPr>
        <w:t xml:space="preserve">inzet van middelen vanuit de internationale en Europese instellingen over het algemeen </w:t>
      </w:r>
      <w:r w:rsidR="00AE499B">
        <w:rPr>
          <w:rFonts w:eastAsia="Calibri" w:cs="Times New Roman"/>
          <w:color w:val="auto"/>
          <w:kern w:val="2"/>
          <w:szCs w:val="22"/>
          <w:lang w:eastAsia="en-US"/>
          <w14:ligatures w14:val="standardContextual"/>
        </w:rPr>
        <w:t>doeltreffend was</w:t>
      </w:r>
      <w:r w:rsidRPr="003F26D3">
        <w:rPr>
          <w:rFonts w:eastAsia="Calibri" w:cs="Times New Roman"/>
          <w:color w:val="auto"/>
          <w:kern w:val="2"/>
          <w:szCs w:val="22"/>
          <w:lang w:eastAsia="en-US"/>
          <w14:ligatures w14:val="standardContextual"/>
        </w:rPr>
        <w:t xml:space="preserve">. Ook is </w:t>
      </w:r>
      <w:r w:rsidR="00AE499B">
        <w:rPr>
          <w:rFonts w:eastAsia="Calibri" w:cs="Times New Roman"/>
          <w:color w:val="auto"/>
          <w:kern w:val="2"/>
          <w:szCs w:val="22"/>
          <w:lang w:eastAsia="en-US"/>
          <w14:ligatures w14:val="standardContextual"/>
        </w:rPr>
        <w:t xml:space="preserve">het </w:t>
      </w:r>
      <w:r w:rsidRPr="003F26D3">
        <w:rPr>
          <w:rFonts w:eastAsia="Calibri" w:cs="Times New Roman"/>
          <w:color w:val="auto"/>
          <w:kern w:val="2"/>
          <w:szCs w:val="22"/>
          <w:lang w:eastAsia="en-US"/>
          <w14:ligatures w14:val="standardContextual"/>
        </w:rPr>
        <w:t xml:space="preserve">positief dat volgens de evaluatie er vanuit IFI en EU-instellingen een ruim crisisinstrumentarium beschikbaar was en dit flexibel kon worden </w:t>
      </w:r>
      <w:r w:rsidR="00AE499B">
        <w:rPr>
          <w:rFonts w:eastAsia="Calibri" w:cs="Times New Roman"/>
          <w:color w:val="auto"/>
          <w:kern w:val="2"/>
          <w:szCs w:val="22"/>
          <w:lang w:eastAsia="en-US"/>
          <w14:ligatures w14:val="standardContextual"/>
        </w:rPr>
        <w:t>toe</w:t>
      </w:r>
      <w:r w:rsidRPr="003F26D3">
        <w:rPr>
          <w:rFonts w:eastAsia="Calibri" w:cs="Times New Roman"/>
          <w:color w:val="auto"/>
          <w:kern w:val="2"/>
          <w:szCs w:val="22"/>
          <w:lang w:eastAsia="en-US"/>
          <w14:ligatures w14:val="standardContextual"/>
        </w:rPr>
        <w:t xml:space="preserve">gepast (les 3). Dit schept vertrouwen in het vermogen van de instellingen om met toekomstige crises om te gaan. Dat </w:t>
      </w:r>
      <w:r w:rsidR="002831C6">
        <w:rPr>
          <w:rFonts w:eastAsia="Calibri" w:cs="Times New Roman"/>
          <w:color w:val="auto"/>
          <w:kern w:val="2"/>
          <w:szCs w:val="22"/>
          <w:lang w:eastAsia="en-US"/>
          <w14:ligatures w14:val="standardContextual"/>
        </w:rPr>
        <w:t xml:space="preserve">met name nieuwe </w:t>
      </w:r>
      <w:r w:rsidRPr="003F26D3">
        <w:rPr>
          <w:rFonts w:eastAsia="Calibri" w:cs="Times New Roman"/>
          <w:color w:val="auto"/>
          <w:kern w:val="2"/>
          <w:szCs w:val="22"/>
          <w:lang w:eastAsia="en-US"/>
          <w14:ligatures w14:val="standardContextual"/>
        </w:rPr>
        <w:t>instrumenten</w:t>
      </w:r>
      <w:r w:rsidR="00AE499B">
        <w:rPr>
          <w:rFonts w:eastAsia="Calibri" w:cs="Times New Roman"/>
          <w:color w:val="auto"/>
          <w:kern w:val="2"/>
          <w:szCs w:val="22"/>
          <w:lang w:eastAsia="en-US"/>
          <w14:ligatures w14:val="standardContextual"/>
        </w:rPr>
        <w:t xml:space="preserve"> </w:t>
      </w:r>
      <w:r w:rsidRPr="003F26D3">
        <w:rPr>
          <w:rFonts w:eastAsia="Calibri" w:cs="Times New Roman"/>
          <w:color w:val="auto"/>
          <w:kern w:val="2"/>
          <w:szCs w:val="22"/>
          <w:lang w:eastAsia="en-US"/>
          <w14:ligatures w14:val="standardContextual"/>
        </w:rPr>
        <w:t xml:space="preserve">niet snel ingezet konden worden is </w:t>
      </w:r>
      <w:r w:rsidR="009F6970">
        <w:rPr>
          <w:rFonts w:eastAsia="Calibri" w:cs="Times New Roman"/>
          <w:color w:val="auto"/>
          <w:kern w:val="2"/>
          <w:szCs w:val="22"/>
          <w:lang w:eastAsia="en-US"/>
          <w14:ligatures w14:val="standardContextual"/>
        </w:rPr>
        <w:t>begrijpelijk</w:t>
      </w:r>
      <w:r w:rsidRPr="003F26D3" w:rsidR="009F6970">
        <w:rPr>
          <w:rFonts w:eastAsia="Calibri" w:cs="Times New Roman"/>
          <w:color w:val="auto"/>
          <w:kern w:val="2"/>
          <w:szCs w:val="22"/>
          <w:lang w:eastAsia="en-US"/>
          <w14:ligatures w14:val="standardContextual"/>
        </w:rPr>
        <w:t xml:space="preserve"> </w:t>
      </w:r>
      <w:r w:rsidRPr="003F26D3">
        <w:rPr>
          <w:rFonts w:eastAsia="Calibri" w:cs="Times New Roman"/>
          <w:color w:val="auto"/>
          <w:kern w:val="2"/>
          <w:szCs w:val="22"/>
          <w:lang w:eastAsia="en-US"/>
          <w14:ligatures w14:val="standardContextual"/>
        </w:rPr>
        <w:t xml:space="preserve">gegeven de grote </w:t>
      </w:r>
      <w:r w:rsidRPr="003F26D3">
        <w:rPr>
          <w:rFonts w:eastAsia="Calibri" w:cs="Times New Roman"/>
          <w:color w:val="auto"/>
          <w:kern w:val="2"/>
          <w:szCs w:val="22"/>
          <w:lang w:eastAsia="en-US"/>
          <w14:ligatures w14:val="standardContextual"/>
        </w:rPr>
        <w:lastRenderedPageBreak/>
        <w:t>uitdaging</w:t>
      </w:r>
      <w:r w:rsidR="009F6970">
        <w:rPr>
          <w:rFonts w:eastAsia="Calibri" w:cs="Times New Roman"/>
          <w:color w:val="auto"/>
          <w:kern w:val="2"/>
          <w:szCs w:val="22"/>
          <w:lang w:eastAsia="en-US"/>
          <w14:ligatures w14:val="standardContextual"/>
        </w:rPr>
        <w:t>, meerdere stakeholders</w:t>
      </w:r>
      <w:r w:rsidRPr="003F26D3">
        <w:rPr>
          <w:rFonts w:eastAsia="Calibri" w:cs="Times New Roman"/>
          <w:color w:val="auto"/>
          <w:kern w:val="2"/>
          <w:szCs w:val="22"/>
          <w:lang w:eastAsia="en-US"/>
          <w14:ligatures w14:val="standardContextual"/>
        </w:rPr>
        <w:t xml:space="preserve"> en het feit dat er contactbeperkingen golden tijdens de crisis. </w:t>
      </w:r>
    </w:p>
    <w:p w:rsidRPr="003F26D3" w:rsidR="003F26D3" w:rsidP="00A85E5F" w:rsidRDefault="003F26D3" w14:paraId="27688667"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Het kabinet waardeert dat de evaluatie ook oog heeft voor de </w:t>
      </w:r>
      <w:proofErr w:type="spellStart"/>
      <w:r w:rsidRPr="003F26D3">
        <w:rPr>
          <w:rFonts w:eastAsia="Calibri" w:cs="Times New Roman"/>
          <w:color w:val="auto"/>
          <w:kern w:val="2"/>
          <w:szCs w:val="22"/>
          <w:lang w:eastAsia="en-US"/>
          <w14:ligatures w14:val="standardContextual"/>
        </w:rPr>
        <w:t>additionaliteit</w:t>
      </w:r>
      <w:proofErr w:type="spellEnd"/>
      <w:r w:rsidRPr="003F26D3">
        <w:rPr>
          <w:rFonts w:eastAsia="Calibri" w:cs="Times New Roman"/>
          <w:color w:val="auto"/>
          <w:kern w:val="2"/>
          <w:szCs w:val="22"/>
          <w:lang w:eastAsia="en-US"/>
          <w14:ligatures w14:val="standardContextual"/>
        </w:rPr>
        <w:t xml:space="preserve"> van instrumenten. Als een instrument doeltreffend is, is het relevant te weten of het doel ook </w:t>
      </w:r>
      <w:r w:rsidR="009F6970">
        <w:rPr>
          <w:rFonts w:eastAsia="Calibri" w:cs="Times New Roman"/>
          <w:color w:val="auto"/>
          <w:kern w:val="2"/>
          <w:szCs w:val="22"/>
          <w:lang w:eastAsia="en-US"/>
          <w14:ligatures w14:val="standardContextual"/>
        </w:rPr>
        <w:t xml:space="preserve">met bestaande instrumenten </w:t>
      </w:r>
      <w:r w:rsidR="00C7780D">
        <w:rPr>
          <w:rFonts w:eastAsia="Calibri" w:cs="Times New Roman"/>
          <w:color w:val="auto"/>
          <w:kern w:val="2"/>
          <w:szCs w:val="22"/>
          <w:lang w:eastAsia="en-US"/>
          <w14:ligatures w14:val="standardContextual"/>
        </w:rPr>
        <w:t>of</w:t>
      </w:r>
      <w:r w:rsidRPr="003F26D3">
        <w:rPr>
          <w:rFonts w:eastAsia="Calibri" w:cs="Times New Roman"/>
          <w:color w:val="auto"/>
          <w:kern w:val="2"/>
          <w:szCs w:val="22"/>
          <w:lang w:eastAsia="en-US"/>
          <w14:ligatures w14:val="standardContextual"/>
        </w:rPr>
        <w:t xml:space="preserve"> </w:t>
      </w:r>
      <w:r w:rsidR="009F6970">
        <w:rPr>
          <w:rFonts w:eastAsia="Calibri" w:cs="Times New Roman"/>
          <w:color w:val="auto"/>
          <w:kern w:val="2"/>
          <w:szCs w:val="22"/>
          <w:lang w:eastAsia="en-US"/>
          <w14:ligatures w14:val="standardContextual"/>
        </w:rPr>
        <w:t>financierings</w:t>
      </w:r>
      <w:r w:rsidRPr="003F26D3">
        <w:rPr>
          <w:rFonts w:eastAsia="Calibri" w:cs="Times New Roman"/>
          <w:color w:val="auto"/>
          <w:kern w:val="2"/>
          <w:szCs w:val="22"/>
          <w:lang w:eastAsia="en-US"/>
          <w14:ligatures w14:val="standardContextual"/>
        </w:rPr>
        <w:t>wijze</w:t>
      </w:r>
      <w:r w:rsidR="009F6970">
        <w:rPr>
          <w:rFonts w:eastAsia="Calibri" w:cs="Times New Roman"/>
          <w:color w:val="auto"/>
          <w:kern w:val="2"/>
          <w:szCs w:val="22"/>
          <w:lang w:eastAsia="en-US"/>
          <w14:ligatures w14:val="standardContextual"/>
        </w:rPr>
        <w:t>n</w:t>
      </w:r>
      <w:r w:rsidRPr="003F26D3">
        <w:rPr>
          <w:rFonts w:eastAsia="Calibri" w:cs="Times New Roman"/>
          <w:color w:val="auto"/>
          <w:kern w:val="2"/>
          <w:szCs w:val="22"/>
          <w:lang w:eastAsia="en-US"/>
          <w14:ligatures w14:val="standardContextual"/>
        </w:rPr>
        <w:t xml:space="preserve"> bereikt had kunnen worden. De verleende steun blijkt niet overal of in al haar facetten additioneel te zijn geweest. Dat maakt haar nog niet overbodig. In veel gevallen gaf de beschikbaarheid van een instrument toch een impuls aan, en meer zekerheid over, de uitrol van nationale maatregelen. Daarnaast bood de beschikbaarheid van een collectief instrument de mogelijkheid om kennis en ervaring te delen. </w:t>
      </w:r>
    </w:p>
    <w:p w:rsidRPr="003F26D3" w:rsidR="003F26D3" w:rsidP="00A85E5F" w:rsidRDefault="003F26D3" w14:paraId="6FF8F6F4"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Het kabinet spreekt zijn waardering uit voor de algemene lessen die zijn getrokken uit de evaluatie. Veel lessen kunnen door het kabinet volmondig worden onderschreven. De getrapte inzet van middelen, van breed naar smal en van kleine naar grotere bedragen (les 1), is een slimme manier om in een onzekere situatie zowel effect te sorteren als risico’s te beperken. Het ontwikkelen van een kennispositie die is gebaseerd op de gevolgen van een crisis (les 9) is een benadering die eraan kan bijdragen dat instellingen beter voorbereid zijn, ook al is de oorzaak en aard van een volgende crisis onbekend. Het advies om de tijdelijkheid van een instrument onderdeel te maken van het ontwerp (les 7) sluit aan bij de ervaring met, en lessen uit, de inzet van nationale steunmaatregelen in de EU in reactie op de COVID19-pandemie en wordt door het kabinet omarmd. De notie dat bestaande instrumenten en relaties kunnen bijdragen aan een snelle inzet van middelen (les 2) lag wellicht voor de hand, maar vormt een welkome bevestiging. Dit onderstreept het belang van de kennispositie van de internationale instellingen en hun instrumentarium, ook buiten crisistijd.</w:t>
      </w:r>
      <w:r w:rsidR="00AE499B">
        <w:rPr>
          <w:rFonts w:eastAsia="Calibri" w:cs="Times New Roman"/>
          <w:color w:val="auto"/>
          <w:kern w:val="2"/>
          <w:szCs w:val="22"/>
          <w:lang w:eastAsia="en-US"/>
          <w14:ligatures w14:val="standardContextual"/>
        </w:rPr>
        <w:t xml:space="preserve"> Ook onderstreept deze les het belang van een goede relatieopbouw met internationale instellingen en tussen EU-lidstaten.</w:t>
      </w:r>
      <w:r w:rsidRPr="003F26D3">
        <w:rPr>
          <w:rFonts w:eastAsia="Calibri" w:cs="Times New Roman"/>
          <w:color w:val="auto"/>
          <w:kern w:val="2"/>
          <w:szCs w:val="22"/>
          <w:lang w:eastAsia="en-US"/>
          <w14:ligatures w14:val="standardContextual"/>
        </w:rPr>
        <w:t xml:space="preserve"> Het belang van een goede coördinatie tussen </w:t>
      </w:r>
      <w:proofErr w:type="spellStart"/>
      <w:r w:rsidRPr="003F26D3">
        <w:rPr>
          <w:rFonts w:eastAsia="Calibri" w:cs="Times New Roman"/>
          <w:color w:val="auto"/>
          <w:kern w:val="2"/>
          <w:szCs w:val="22"/>
          <w:lang w:eastAsia="en-US"/>
          <w14:ligatures w14:val="standardContextual"/>
        </w:rPr>
        <w:t>MDBs</w:t>
      </w:r>
      <w:proofErr w:type="spellEnd"/>
      <w:r w:rsidRPr="003F26D3">
        <w:rPr>
          <w:rFonts w:eastAsia="Calibri" w:cs="Times New Roman"/>
          <w:color w:val="auto"/>
          <w:kern w:val="2"/>
          <w:szCs w:val="22"/>
          <w:lang w:eastAsia="en-US"/>
          <w14:ligatures w14:val="standardContextual"/>
        </w:rPr>
        <w:t xml:space="preserve"> en het IMF (les 6) sluit aan bij de observaties van Nederland. </w:t>
      </w:r>
    </w:p>
    <w:p w:rsidRPr="003F26D3" w:rsidR="003F26D3" w:rsidP="00A85E5F" w:rsidRDefault="003F26D3" w14:paraId="3D26F12B"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Het kabinet is terughoudend ten aanzien van het wegnemen van obstakels die het gebruik van steun beperken (les 4). Obstakels zijn niet per se negatief; door een drempel in de vorm van bijvoorbeeld voorwaarden of toegangscriteria, worden overheden of bedrijven uitgenodigd om de noodzaak van het gebruik van een crisisinstrument kritisch te overwegen. Dit is bevorderlijk voor de </w:t>
      </w:r>
      <w:proofErr w:type="spellStart"/>
      <w:r w:rsidRPr="003F26D3">
        <w:rPr>
          <w:rFonts w:eastAsia="Calibri" w:cs="Times New Roman"/>
          <w:color w:val="auto"/>
          <w:kern w:val="2"/>
          <w:szCs w:val="22"/>
          <w:lang w:eastAsia="en-US"/>
          <w14:ligatures w14:val="standardContextual"/>
        </w:rPr>
        <w:t>additionaliteit</w:t>
      </w:r>
      <w:proofErr w:type="spellEnd"/>
      <w:r w:rsidRPr="003F26D3">
        <w:rPr>
          <w:rFonts w:eastAsia="Calibri" w:cs="Times New Roman"/>
          <w:color w:val="auto"/>
          <w:kern w:val="2"/>
          <w:szCs w:val="22"/>
          <w:lang w:eastAsia="en-US"/>
          <w14:ligatures w14:val="standardContextual"/>
        </w:rPr>
        <w:t xml:space="preserve"> van het instrument. </w:t>
      </w:r>
      <w:r w:rsidR="00AE499B">
        <w:rPr>
          <w:rFonts w:eastAsia="Calibri" w:cs="Times New Roman"/>
          <w:color w:val="auto"/>
          <w:kern w:val="2"/>
          <w:szCs w:val="22"/>
          <w:lang w:eastAsia="en-US"/>
          <w14:ligatures w14:val="standardContextual"/>
        </w:rPr>
        <w:t xml:space="preserve">Daarbij zijn voorwaarden of toetsingscriteria ook inhoudelijk te onderbouwen waar ze relevante structurele hervormingen kunnen stimuleren. </w:t>
      </w:r>
      <w:r w:rsidRPr="003F26D3">
        <w:rPr>
          <w:rFonts w:eastAsia="Calibri" w:cs="Times New Roman"/>
          <w:color w:val="auto"/>
          <w:kern w:val="2"/>
          <w:szCs w:val="22"/>
          <w:lang w:eastAsia="en-US"/>
          <w14:ligatures w14:val="standardContextual"/>
        </w:rPr>
        <w:t>Waar obstakels bestaan uit een stigma of negatief imago, zoals het rapport opmerkt ten aanzien van het ESM of het IMF</w:t>
      </w:r>
      <w:r w:rsidR="00316448">
        <w:rPr>
          <w:rFonts w:eastAsia="Calibri" w:cs="Times New Roman"/>
          <w:color w:val="auto"/>
          <w:kern w:val="2"/>
          <w:szCs w:val="22"/>
          <w:lang w:eastAsia="en-US"/>
          <w14:ligatures w14:val="standardContextual"/>
        </w:rPr>
        <w:t>,</w:t>
      </w:r>
      <w:r w:rsidRPr="003F26D3">
        <w:rPr>
          <w:rFonts w:eastAsia="Calibri" w:cs="Times New Roman"/>
          <w:color w:val="auto"/>
          <w:kern w:val="2"/>
          <w:szCs w:val="22"/>
          <w:lang w:eastAsia="en-US"/>
          <w14:ligatures w14:val="standardContextual"/>
        </w:rPr>
        <w:t xml:space="preserve"> ziet het kabinet bovendien beperkte mogelijkheden om die weg te nemen. Perceptie speelt daarbij vaak een grote rol. Aan het ESM zou bijvoorbeeld een stigma kleven als gevolg van de voorwaarden die aan eerdere volwaardige aanpassingsprogramma’s werden verbonden, terwijl ze voor de preventieve kredietlijn binnen het </w:t>
      </w:r>
      <w:proofErr w:type="spellStart"/>
      <w:r w:rsidRPr="00316448">
        <w:rPr>
          <w:rFonts w:eastAsia="Calibri" w:cs="Times New Roman"/>
          <w:i/>
          <w:iCs/>
          <w:color w:val="auto"/>
          <w:kern w:val="2"/>
          <w:szCs w:val="22"/>
          <w:lang w:eastAsia="en-US"/>
          <w14:ligatures w14:val="standardContextual"/>
        </w:rPr>
        <w:t>Pandemic</w:t>
      </w:r>
      <w:proofErr w:type="spellEnd"/>
      <w:r w:rsidRPr="00316448">
        <w:rPr>
          <w:rFonts w:eastAsia="Calibri" w:cs="Times New Roman"/>
          <w:i/>
          <w:iCs/>
          <w:color w:val="auto"/>
          <w:kern w:val="2"/>
          <w:szCs w:val="22"/>
          <w:lang w:eastAsia="en-US"/>
          <w14:ligatures w14:val="standardContextual"/>
        </w:rPr>
        <w:t xml:space="preserve"> Crisis Support</w:t>
      </w:r>
      <w:r w:rsidRPr="003F26D3">
        <w:rPr>
          <w:rFonts w:eastAsia="Calibri" w:cs="Times New Roman"/>
          <w:color w:val="auto"/>
          <w:kern w:val="2"/>
          <w:szCs w:val="22"/>
          <w:lang w:eastAsia="en-US"/>
          <w14:ligatures w14:val="standardContextual"/>
        </w:rPr>
        <w:t xml:space="preserve"> </w:t>
      </w:r>
      <w:r w:rsidR="00316448">
        <w:rPr>
          <w:rFonts w:eastAsia="Calibri" w:cs="Times New Roman"/>
          <w:color w:val="auto"/>
          <w:kern w:val="2"/>
          <w:szCs w:val="22"/>
          <w:lang w:eastAsia="en-US"/>
          <w14:ligatures w14:val="standardContextual"/>
        </w:rPr>
        <w:t xml:space="preserve">instrument </w:t>
      </w:r>
      <w:r w:rsidRPr="003F26D3">
        <w:rPr>
          <w:rFonts w:eastAsia="Calibri" w:cs="Times New Roman"/>
          <w:color w:val="auto"/>
          <w:kern w:val="2"/>
          <w:szCs w:val="22"/>
          <w:lang w:eastAsia="en-US"/>
          <w14:ligatures w14:val="standardContextual"/>
        </w:rPr>
        <w:t xml:space="preserve">juist vrijwel volledig waren losgelaten. </w:t>
      </w:r>
    </w:p>
    <w:p w:rsidRPr="003F26D3" w:rsidR="003F26D3" w:rsidP="00A85E5F" w:rsidRDefault="003F26D3" w14:paraId="19FEC249"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 xml:space="preserve">Het kabinet is </w:t>
      </w:r>
      <w:r w:rsidR="00C77BB9">
        <w:rPr>
          <w:rFonts w:eastAsia="Calibri" w:cs="Times New Roman"/>
          <w:color w:val="auto"/>
          <w:kern w:val="2"/>
          <w:szCs w:val="22"/>
          <w:lang w:eastAsia="en-US"/>
          <w14:ligatures w14:val="standardContextual"/>
        </w:rPr>
        <w:t>terughoudend</w:t>
      </w:r>
      <w:r w:rsidRPr="003F26D3" w:rsidR="00C77BB9">
        <w:rPr>
          <w:rFonts w:eastAsia="Calibri" w:cs="Times New Roman"/>
          <w:color w:val="auto"/>
          <w:kern w:val="2"/>
          <w:szCs w:val="22"/>
          <w:lang w:eastAsia="en-US"/>
          <w14:ligatures w14:val="standardContextual"/>
        </w:rPr>
        <w:t xml:space="preserve"> </w:t>
      </w:r>
      <w:r w:rsidRPr="003F26D3">
        <w:rPr>
          <w:rFonts w:eastAsia="Calibri" w:cs="Times New Roman"/>
          <w:color w:val="auto"/>
          <w:kern w:val="2"/>
          <w:szCs w:val="22"/>
          <w:lang w:eastAsia="en-US"/>
          <w14:ligatures w14:val="standardContextual"/>
        </w:rPr>
        <w:t xml:space="preserve">waar de evaluatie de les trekt dat het in de Europese context verstandig is te anticiperen op nieuwe steuninstrumenten die worden opgericht bij crises, door na te denken over wat redelijke eisen zijn om aan die steun te verbinden (les 5). De aard van een volgende crisis is niet bekend, en dat geldt ook voor een eventueel nieuw steuninstrument dat kan worden voorgesteld. Dat maakt het moeilijk om op voorhand na te denken over de voorwaarden die </w:t>
      </w:r>
      <w:r w:rsidRPr="003F26D3">
        <w:rPr>
          <w:rFonts w:eastAsia="Calibri" w:cs="Times New Roman"/>
          <w:color w:val="auto"/>
          <w:kern w:val="2"/>
          <w:szCs w:val="22"/>
          <w:lang w:eastAsia="en-US"/>
          <w14:ligatures w14:val="standardContextual"/>
        </w:rPr>
        <w:lastRenderedPageBreak/>
        <w:t xml:space="preserve">gepast zouden zijn. Ten algemene </w:t>
      </w:r>
      <w:r w:rsidR="00512B90">
        <w:rPr>
          <w:rFonts w:eastAsia="Calibri" w:cs="Times New Roman"/>
          <w:color w:val="auto"/>
          <w:kern w:val="2"/>
          <w:szCs w:val="22"/>
          <w:lang w:eastAsia="en-US"/>
          <w14:ligatures w14:val="standardContextual"/>
        </w:rPr>
        <w:t>is het kabinet terughoudend ten aanzien van</w:t>
      </w:r>
      <w:r w:rsidRPr="003F26D3" w:rsidR="00512B90">
        <w:rPr>
          <w:rFonts w:eastAsia="Calibri" w:cs="Times New Roman"/>
          <w:color w:val="auto"/>
          <w:kern w:val="2"/>
          <w:szCs w:val="22"/>
          <w:lang w:eastAsia="en-US"/>
          <w14:ligatures w14:val="standardContextual"/>
        </w:rPr>
        <w:t xml:space="preserve"> </w:t>
      </w:r>
      <w:r w:rsidRPr="003F26D3">
        <w:rPr>
          <w:rFonts w:eastAsia="Calibri" w:cs="Times New Roman"/>
          <w:color w:val="auto"/>
          <w:kern w:val="2"/>
          <w:szCs w:val="22"/>
          <w:lang w:eastAsia="en-US"/>
          <w14:ligatures w14:val="standardContextual"/>
        </w:rPr>
        <w:t xml:space="preserve">het voorbereiden van een aanvullend steuninstrument, </w:t>
      </w:r>
      <w:r w:rsidR="00512B90">
        <w:rPr>
          <w:rFonts w:eastAsia="Calibri" w:cs="Times New Roman"/>
          <w:color w:val="auto"/>
          <w:kern w:val="2"/>
          <w:szCs w:val="22"/>
          <w:lang w:eastAsia="en-US"/>
          <w14:ligatures w14:val="standardContextual"/>
        </w:rPr>
        <w:t xml:space="preserve">omdat er al een </w:t>
      </w:r>
      <w:r w:rsidRPr="003F26D3">
        <w:rPr>
          <w:rFonts w:eastAsia="Calibri" w:cs="Times New Roman"/>
          <w:color w:val="auto"/>
          <w:kern w:val="2"/>
          <w:szCs w:val="22"/>
          <w:lang w:eastAsia="en-US"/>
          <w14:ligatures w14:val="standardContextual"/>
        </w:rPr>
        <w:t>ruim beschikba</w:t>
      </w:r>
      <w:r w:rsidR="001D0560">
        <w:rPr>
          <w:rFonts w:eastAsia="Calibri" w:cs="Times New Roman"/>
          <w:color w:val="auto"/>
          <w:kern w:val="2"/>
          <w:szCs w:val="22"/>
          <w:lang w:eastAsia="en-US"/>
          <w14:ligatures w14:val="standardContextual"/>
        </w:rPr>
        <w:t>a</w:t>
      </w:r>
      <w:r w:rsidRPr="003F26D3">
        <w:rPr>
          <w:rFonts w:eastAsia="Calibri" w:cs="Times New Roman"/>
          <w:color w:val="auto"/>
          <w:kern w:val="2"/>
          <w:szCs w:val="22"/>
          <w:lang w:eastAsia="en-US"/>
          <w14:ligatures w14:val="standardContextual"/>
        </w:rPr>
        <w:t xml:space="preserve">r crisisinstrumentarium </w:t>
      </w:r>
      <w:r w:rsidR="00512B90">
        <w:rPr>
          <w:rFonts w:eastAsia="Calibri" w:cs="Times New Roman"/>
          <w:color w:val="auto"/>
          <w:kern w:val="2"/>
          <w:szCs w:val="22"/>
          <w:lang w:eastAsia="en-US"/>
          <w14:ligatures w14:val="standardContextual"/>
        </w:rPr>
        <w:t xml:space="preserve">voorhanden is </w:t>
      </w:r>
      <w:r w:rsidRPr="003F26D3">
        <w:rPr>
          <w:rFonts w:eastAsia="Calibri" w:cs="Times New Roman"/>
          <w:color w:val="auto"/>
          <w:kern w:val="2"/>
          <w:szCs w:val="22"/>
          <w:lang w:eastAsia="en-US"/>
          <w14:ligatures w14:val="standardContextual"/>
        </w:rPr>
        <w:t>(les 3)</w:t>
      </w:r>
      <w:r w:rsidR="00512B90">
        <w:rPr>
          <w:rFonts w:eastAsia="Calibri" w:cs="Times New Roman"/>
          <w:color w:val="auto"/>
          <w:kern w:val="2"/>
          <w:szCs w:val="22"/>
          <w:lang w:eastAsia="en-US"/>
          <w14:ligatures w14:val="standardContextual"/>
        </w:rPr>
        <w:t>.</w:t>
      </w:r>
      <w:r w:rsidR="001D0560">
        <w:rPr>
          <w:rFonts w:eastAsia="Calibri" w:cs="Times New Roman"/>
          <w:color w:val="auto"/>
          <w:kern w:val="2"/>
          <w:szCs w:val="22"/>
          <w:lang w:eastAsia="en-US"/>
          <w14:ligatures w14:val="standardContextual"/>
        </w:rPr>
        <w:t xml:space="preserve"> </w:t>
      </w:r>
      <w:r w:rsidRPr="003F26D3">
        <w:rPr>
          <w:rFonts w:eastAsia="Calibri" w:cs="Times New Roman"/>
          <w:color w:val="auto"/>
          <w:kern w:val="2"/>
          <w:szCs w:val="22"/>
          <w:lang w:eastAsia="en-US"/>
          <w14:ligatures w14:val="standardContextual"/>
        </w:rPr>
        <w:t xml:space="preserve">Het kabinet acht het </w:t>
      </w:r>
      <w:r w:rsidR="003F4DD2">
        <w:rPr>
          <w:rFonts w:eastAsia="Calibri" w:cs="Times New Roman"/>
          <w:color w:val="auto"/>
          <w:kern w:val="2"/>
          <w:szCs w:val="22"/>
          <w:lang w:eastAsia="en-US"/>
          <w14:ligatures w14:val="standardContextual"/>
        </w:rPr>
        <w:t xml:space="preserve">daarnaast </w:t>
      </w:r>
      <w:r w:rsidRPr="003F26D3">
        <w:rPr>
          <w:rFonts w:eastAsia="Calibri" w:cs="Times New Roman"/>
          <w:color w:val="auto"/>
          <w:kern w:val="2"/>
          <w:szCs w:val="22"/>
          <w:lang w:eastAsia="en-US"/>
          <w14:ligatures w14:val="standardContextual"/>
        </w:rPr>
        <w:t xml:space="preserve">belangrijk dat bedrijven en overheden zelf – zoveel mogelijk – voorbereid zijn op een crisis. </w:t>
      </w:r>
    </w:p>
    <w:p w:rsidR="00664CBE" w:rsidP="00A85E5F" w:rsidRDefault="003F26D3" w14:paraId="5D701ED1"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Het kabinet wil een kanttekening plaatsen bij de les dat de aard van een crisis bepaalt of het stellen van eisen nuttig is (les 8). Bij een exogene crisis ligt de oorzaak ervan weliswaar buiten de macht van overheden, maar kan de crisis wel het beperkte vermogen om een crisis zelf op te vangen aan het licht brengen. Het kan dan soms toch nuttig zijn om voorwaarden te stellen aan steun om ervoor te zorgen dat de eigen veerkracht toeneemt. Dit was een belangrijke overweging bij het verbinden van voorwaarden aan de steun uit de H</w:t>
      </w:r>
      <w:r w:rsidR="001D0560">
        <w:rPr>
          <w:rFonts w:eastAsia="Calibri" w:cs="Times New Roman"/>
          <w:color w:val="auto"/>
          <w:kern w:val="2"/>
          <w:szCs w:val="22"/>
          <w:lang w:eastAsia="en-US"/>
          <w14:ligatures w14:val="standardContextual"/>
        </w:rPr>
        <w:t>VF</w:t>
      </w:r>
      <w:r w:rsidRPr="003F26D3">
        <w:rPr>
          <w:rFonts w:eastAsia="Calibri" w:cs="Times New Roman"/>
          <w:color w:val="auto"/>
          <w:kern w:val="2"/>
          <w:szCs w:val="22"/>
          <w:lang w:eastAsia="en-US"/>
          <w14:ligatures w14:val="standardContextual"/>
        </w:rPr>
        <w:t xml:space="preserve">. </w:t>
      </w:r>
      <w:r w:rsidR="00815E39">
        <w:rPr>
          <w:rFonts w:eastAsia="Calibri" w:cs="Times New Roman"/>
          <w:color w:val="auto"/>
          <w:kern w:val="2"/>
          <w:szCs w:val="22"/>
          <w:lang w:eastAsia="en-US"/>
          <w14:ligatures w14:val="standardContextual"/>
        </w:rPr>
        <w:t xml:space="preserve">Daarnaast kan </w:t>
      </w:r>
      <w:r w:rsidRPr="00815E39" w:rsidR="00815E39">
        <w:rPr>
          <w:rFonts w:eastAsia="Calibri" w:cs="Times New Roman"/>
          <w:color w:val="auto"/>
          <w:kern w:val="2"/>
          <w:szCs w:val="22"/>
          <w:lang w:eastAsia="en-US"/>
          <w14:ligatures w14:val="standardContextual"/>
        </w:rPr>
        <w:t xml:space="preserve">een exogene schok </w:t>
      </w:r>
      <w:r w:rsidR="00815E39">
        <w:rPr>
          <w:rFonts w:eastAsia="Calibri" w:cs="Times New Roman"/>
          <w:color w:val="auto"/>
          <w:kern w:val="2"/>
          <w:szCs w:val="22"/>
          <w:lang w:eastAsia="en-US"/>
          <w14:ligatures w14:val="standardContextual"/>
        </w:rPr>
        <w:t xml:space="preserve">leiden tot een situatie (bijvoorbeeld een hogere overheidsschuld) die </w:t>
      </w:r>
      <w:r w:rsidRPr="00815E39" w:rsidR="00815E39">
        <w:rPr>
          <w:rFonts w:eastAsia="Calibri" w:cs="Times New Roman"/>
          <w:color w:val="auto"/>
          <w:kern w:val="2"/>
          <w:szCs w:val="22"/>
          <w:lang w:eastAsia="en-US"/>
          <w14:ligatures w14:val="standardContextual"/>
        </w:rPr>
        <w:t xml:space="preserve">macro-economische aanpassing </w:t>
      </w:r>
      <w:r w:rsidR="00815E39">
        <w:rPr>
          <w:rFonts w:eastAsia="Calibri" w:cs="Times New Roman"/>
          <w:color w:val="auto"/>
          <w:kern w:val="2"/>
          <w:szCs w:val="22"/>
          <w:lang w:eastAsia="en-US"/>
          <w14:ligatures w14:val="standardContextual"/>
        </w:rPr>
        <w:t xml:space="preserve">noodzakelijk maakt. Ook dan kan het verstandig zijn </w:t>
      </w:r>
      <w:r w:rsidR="0063383A">
        <w:rPr>
          <w:rFonts w:eastAsia="Calibri" w:cs="Times New Roman"/>
          <w:color w:val="auto"/>
          <w:kern w:val="2"/>
          <w:szCs w:val="22"/>
          <w:lang w:eastAsia="en-US"/>
          <w14:ligatures w14:val="standardContextual"/>
        </w:rPr>
        <w:t xml:space="preserve">om </w:t>
      </w:r>
      <w:r w:rsidR="00815E39">
        <w:rPr>
          <w:rFonts w:eastAsia="Calibri" w:cs="Times New Roman"/>
          <w:color w:val="auto"/>
          <w:kern w:val="2"/>
          <w:szCs w:val="22"/>
          <w:lang w:eastAsia="en-US"/>
          <w14:ligatures w14:val="standardContextual"/>
        </w:rPr>
        <w:t>steun te koppelen aan hervormingen</w:t>
      </w:r>
      <w:r w:rsidR="0063383A">
        <w:rPr>
          <w:rFonts w:eastAsia="Calibri" w:cs="Times New Roman"/>
          <w:color w:val="auto"/>
          <w:kern w:val="2"/>
          <w:szCs w:val="22"/>
          <w:lang w:eastAsia="en-US"/>
          <w14:ligatures w14:val="standardContextual"/>
        </w:rPr>
        <w:t xml:space="preserve"> die bijdragen aan die aanpassing</w:t>
      </w:r>
      <w:r w:rsidRPr="00815E39" w:rsidR="00815E39">
        <w:rPr>
          <w:rFonts w:eastAsia="Calibri" w:cs="Times New Roman"/>
          <w:color w:val="auto"/>
          <w:kern w:val="2"/>
          <w:szCs w:val="22"/>
          <w:lang w:eastAsia="en-US"/>
          <w14:ligatures w14:val="standardContextual"/>
        </w:rPr>
        <w:t>.</w:t>
      </w:r>
    </w:p>
    <w:p w:rsidRPr="003F26D3" w:rsidR="003F26D3" w:rsidP="00A85E5F" w:rsidRDefault="00664CBE" w14:paraId="315B2FE3" w14:textId="77777777">
      <w:pPr>
        <w:autoSpaceDN/>
        <w:spacing w:after="160" w:line="259" w:lineRule="auto"/>
        <w:textAlignment w:val="auto"/>
        <w:rPr>
          <w:rFonts w:eastAsia="Calibri" w:cs="Times New Roman"/>
          <w:color w:val="auto"/>
          <w:kern w:val="2"/>
          <w:szCs w:val="22"/>
          <w:lang w:eastAsia="en-US"/>
          <w14:ligatures w14:val="standardContextual"/>
        </w:rPr>
      </w:pPr>
      <w:r>
        <w:rPr>
          <w:rFonts w:eastAsia="Calibri" w:cs="Times New Roman"/>
          <w:color w:val="auto"/>
          <w:kern w:val="2"/>
          <w:szCs w:val="22"/>
          <w:lang w:eastAsia="en-US"/>
          <w14:ligatures w14:val="standardContextual"/>
        </w:rPr>
        <w:t xml:space="preserve">Voorts wil het kabinet een kanttekening plaatsen bij de </w:t>
      </w:r>
      <w:r w:rsidR="00316448">
        <w:rPr>
          <w:rFonts w:eastAsia="Calibri" w:cs="Times New Roman"/>
          <w:color w:val="auto"/>
          <w:kern w:val="2"/>
          <w:szCs w:val="22"/>
          <w:lang w:eastAsia="en-US"/>
          <w14:ligatures w14:val="standardContextual"/>
        </w:rPr>
        <w:t>conclusie</w:t>
      </w:r>
      <w:r>
        <w:rPr>
          <w:rFonts w:eastAsia="Calibri" w:cs="Times New Roman"/>
          <w:color w:val="auto"/>
          <w:kern w:val="2"/>
          <w:szCs w:val="22"/>
          <w:lang w:eastAsia="en-US"/>
          <w14:ligatures w14:val="standardContextual"/>
        </w:rPr>
        <w:t xml:space="preserve"> dat d</w:t>
      </w:r>
      <w:r w:rsidRPr="003F26D3">
        <w:rPr>
          <w:rFonts w:eastAsia="Calibri" w:cs="Times New Roman"/>
          <w:color w:val="auto"/>
          <w:kern w:val="2"/>
          <w:szCs w:val="22"/>
          <w:lang w:eastAsia="en-US"/>
          <w14:ligatures w14:val="standardContextual"/>
        </w:rPr>
        <w:t xml:space="preserve">e EBRD en de geëvalueerde EU-instrumenten geen noemenswaardige rol </w:t>
      </w:r>
      <w:r>
        <w:rPr>
          <w:rFonts w:eastAsia="Calibri" w:cs="Times New Roman"/>
          <w:color w:val="auto"/>
          <w:kern w:val="2"/>
          <w:szCs w:val="22"/>
          <w:lang w:eastAsia="en-US"/>
          <w14:ligatures w14:val="standardContextual"/>
        </w:rPr>
        <w:t xml:space="preserve">hebben </w:t>
      </w:r>
      <w:r w:rsidRPr="003F26D3">
        <w:rPr>
          <w:rFonts w:eastAsia="Calibri" w:cs="Times New Roman"/>
          <w:color w:val="auto"/>
          <w:kern w:val="2"/>
          <w:szCs w:val="22"/>
          <w:lang w:eastAsia="en-US"/>
          <w14:ligatures w14:val="standardContextual"/>
        </w:rPr>
        <w:t>gespeeld op het terrein van gezondheidszorg.</w:t>
      </w:r>
      <w:r>
        <w:rPr>
          <w:rFonts w:eastAsia="Calibri" w:cs="Times New Roman"/>
          <w:color w:val="auto"/>
          <w:kern w:val="2"/>
          <w:szCs w:val="22"/>
          <w:lang w:eastAsia="en-US"/>
          <w14:ligatures w14:val="standardContextual"/>
        </w:rPr>
        <w:t xml:space="preserve"> Voor beide geldt immers dat zij ook niet altijd specifiek gericht waren op de gezondheidszorg, waardoor het niet verrassend is dat de rol beperkt was.</w:t>
      </w:r>
    </w:p>
    <w:p w:rsidRPr="003F26D3" w:rsidR="003F26D3" w:rsidP="00A85E5F" w:rsidRDefault="003F26D3" w14:paraId="1248E9E4" w14:textId="77777777">
      <w:pPr>
        <w:autoSpaceDN/>
        <w:spacing w:after="160" w:line="259" w:lineRule="auto"/>
        <w:textAlignment w:val="auto"/>
        <w:rPr>
          <w:rFonts w:eastAsia="Calibri" w:cs="Times New Roman"/>
          <w:color w:val="auto"/>
          <w:kern w:val="2"/>
          <w:szCs w:val="22"/>
          <w:lang w:eastAsia="en-US"/>
          <w14:ligatures w14:val="standardContextual"/>
        </w:rPr>
      </w:pPr>
      <w:r w:rsidRPr="003F26D3">
        <w:rPr>
          <w:rFonts w:eastAsia="Calibri" w:cs="Times New Roman"/>
          <w:color w:val="auto"/>
          <w:kern w:val="2"/>
          <w:szCs w:val="22"/>
          <w:lang w:eastAsia="en-US"/>
          <w14:ligatures w14:val="standardContextual"/>
        </w:rPr>
        <w:t>Afsluitend</w:t>
      </w:r>
      <w:r w:rsidR="00512B90">
        <w:rPr>
          <w:rFonts w:eastAsia="Calibri" w:cs="Times New Roman"/>
          <w:color w:val="auto"/>
          <w:kern w:val="2"/>
          <w:szCs w:val="22"/>
          <w:lang w:eastAsia="en-US"/>
          <w14:ligatures w14:val="standardContextual"/>
        </w:rPr>
        <w:t xml:space="preserve"> wil het kabinet SEO danken voor haar nuttige evaluatie. </w:t>
      </w:r>
      <w:r w:rsidR="002831C6">
        <w:rPr>
          <w:rFonts w:eastAsia="Calibri" w:cs="Times New Roman"/>
          <w:color w:val="auto"/>
          <w:kern w:val="2"/>
          <w:szCs w:val="22"/>
          <w:lang w:eastAsia="en-US"/>
          <w14:ligatures w14:val="standardContextual"/>
        </w:rPr>
        <w:t xml:space="preserve">Die </w:t>
      </w:r>
      <w:r w:rsidR="00512B90">
        <w:rPr>
          <w:rFonts w:eastAsia="Calibri" w:cs="Times New Roman"/>
          <w:color w:val="auto"/>
          <w:kern w:val="2"/>
          <w:szCs w:val="22"/>
          <w:lang w:eastAsia="en-US"/>
          <w14:ligatures w14:val="standardContextual"/>
        </w:rPr>
        <w:t xml:space="preserve">geeft </w:t>
      </w:r>
      <w:r w:rsidRPr="003F26D3">
        <w:rPr>
          <w:rFonts w:eastAsia="Calibri" w:cs="Times New Roman"/>
          <w:color w:val="auto"/>
          <w:kern w:val="2"/>
          <w:szCs w:val="22"/>
          <w:lang w:eastAsia="en-US"/>
          <w14:ligatures w14:val="standardContextual"/>
        </w:rPr>
        <w:t xml:space="preserve">een waardevol inzicht in de doeltreffendheid en </w:t>
      </w:r>
      <w:proofErr w:type="spellStart"/>
      <w:r w:rsidRPr="003F26D3">
        <w:rPr>
          <w:rFonts w:eastAsia="Calibri" w:cs="Times New Roman"/>
          <w:color w:val="auto"/>
          <w:kern w:val="2"/>
          <w:szCs w:val="22"/>
          <w:lang w:eastAsia="en-US"/>
          <w14:ligatures w14:val="standardContextual"/>
        </w:rPr>
        <w:t>additionaliteit</w:t>
      </w:r>
      <w:proofErr w:type="spellEnd"/>
      <w:r w:rsidRPr="003F26D3">
        <w:rPr>
          <w:rFonts w:eastAsia="Calibri" w:cs="Times New Roman"/>
          <w:color w:val="auto"/>
          <w:kern w:val="2"/>
          <w:szCs w:val="22"/>
          <w:lang w:eastAsia="en-US"/>
          <w14:ligatures w14:val="standardContextual"/>
        </w:rPr>
        <w:t xml:space="preserve"> van de veelheid aan crisismaatregelen, voor elk van deze maatregelen afzonderlijk en in onderling vergelijk. Het kabinet zal bij (de voorbereiding op) onverhoopte toekomstige crises zijn voordeel doen met de algemene lessen, en deze ook onder de aandacht brengen bij beleidsmakers binnen de internationale en Europese instellingen.</w:t>
      </w:r>
    </w:p>
    <w:p w:rsidRPr="00AD7F25" w:rsidR="00AD7F25" w:rsidP="00A85E5F" w:rsidRDefault="00AD7F25" w14:paraId="12417BD0" w14:textId="77777777">
      <w:pPr>
        <w:autoSpaceDN/>
        <w:spacing w:after="160" w:line="259" w:lineRule="auto"/>
        <w:textAlignment w:val="auto"/>
        <w:rPr>
          <w:rFonts w:eastAsia="Calibri" w:cs="Times New Roman"/>
          <w:color w:val="auto"/>
          <w:kern w:val="2"/>
          <w:szCs w:val="22"/>
          <w:lang w:eastAsia="en-US"/>
          <w14:ligatures w14:val="standardContextual"/>
        </w:rPr>
      </w:pPr>
      <w:r w:rsidRPr="00AD7F25">
        <w:rPr>
          <w:rFonts w:eastAsia="Calibri" w:cs="Times New Roman"/>
          <w:color w:val="auto"/>
          <w:kern w:val="2"/>
          <w:szCs w:val="22"/>
          <w:lang w:eastAsia="en-US"/>
          <w14:ligatures w14:val="standardContextual"/>
        </w:rPr>
        <w:t xml:space="preserve"> </w:t>
      </w:r>
    </w:p>
    <w:p w:rsidR="00771F19" w:rsidP="00A85E5F" w:rsidRDefault="005216FA" w14:paraId="7537A5F0" w14:textId="77777777">
      <w:pPr>
        <w:pStyle w:val="StandaardSlotzin"/>
        <w:spacing w:line="259" w:lineRule="auto"/>
      </w:pPr>
      <w:r>
        <w:t>Hoogachtend,</w:t>
      </w:r>
    </w:p>
    <w:p w:rsidR="00771F19" w:rsidP="00A85E5F" w:rsidRDefault="00771F19" w14:paraId="72E5DE0C" w14:textId="77777777">
      <w:pPr>
        <w:spacing w:line="259" w:lineRule="auto"/>
      </w:pPr>
    </w:p>
    <w:tbl>
      <w:tblPr>
        <w:tblStyle w:val="Tabelzonderranden"/>
        <w:tblW w:w="7484" w:type="dxa"/>
        <w:tblInd w:w="0" w:type="dxa"/>
        <w:tblLayout w:type="fixed"/>
        <w:tblLook w:val="07E0" w:firstRow="1" w:lastRow="1" w:firstColumn="1" w:lastColumn="1" w:noHBand="1" w:noVBand="1"/>
      </w:tblPr>
      <w:tblGrid>
        <w:gridCol w:w="3592"/>
        <w:gridCol w:w="3892"/>
      </w:tblGrid>
      <w:tr w:rsidR="00771F19" w14:paraId="13CAF369" w14:textId="77777777">
        <w:tc>
          <w:tcPr>
            <w:tcW w:w="3592" w:type="dxa"/>
          </w:tcPr>
          <w:p w:rsidR="00771F19" w:rsidP="00A85E5F" w:rsidRDefault="005216FA" w14:paraId="778467EB" w14:textId="77777777">
            <w:pPr>
              <w:spacing w:line="259" w:lineRule="auto"/>
            </w:pPr>
            <w:r>
              <w:t>de minister van Financiën,</w:t>
            </w:r>
            <w:r>
              <w:br/>
            </w:r>
            <w:r>
              <w:br/>
            </w:r>
            <w:r>
              <w:br/>
            </w:r>
            <w:r>
              <w:br/>
            </w:r>
            <w:r>
              <w:br/>
            </w:r>
            <w:r>
              <w:br/>
            </w:r>
            <w:r>
              <w:br/>
              <w:t xml:space="preserve"> E. Heinen</w:t>
            </w:r>
          </w:p>
        </w:tc>
        <w:tc>
          <w:tcPr>
            <w:tcW w:w="3892" w:type="dxa"/>
          </w:tcPr>
          <w:p w:rsidR="00771F19" w:rsidP="00A85E5F" w:rsidRDefault="00771F19" w14:paraId="2D93A26D" w14:textId="77777777">
            <w:pPr>
              <w:spacing w:line="259" w:lineRule="auto"/>
            </w:pPr>
          </w:p>
        </w:tc>
      </w:tr>
      <w:tr w:rsidR="00771F19" w14:paraId="162FCF41" w14:textId="77777777">
        <w:tc>
          <w:tcPr>
            <w:tcW w:w="3592" w:type="dxa"/>
          </w:tcPr>
          <w:p w:rsidR="00771F19" w:rsidP="00A85E5F" w:rsidRDefault="00771F19" w14:paraId="6BE8C561" w14:textId="77777777">
            <w:pPr>
              <w:spacing w:line="259" w:lineRule="auto"/>
            </w:pPr>
          </w:p>
        </w:tc>
        <w:tc>
          <w:tcPr>
            <w:tcW w:w="3892" w:type="dxa"/>
          </w:tcPr>
          <w:p w:rsidR="00771F19" w:rsidP="00A85E5F" w:rsidRDefault="00771F19" w14:paraId="5BE909F4" w14:textId="77777777">
            <w:pPr>
              <w:spacing w:line="259" w:lineRule="auto"/>
            </w:pPr>
          </w:p>
        </w:tc>
      </w:tr>
      <w:tr w:rsidR="00771F19" w14:paraId="62F996F9" w14:textId="77777777">
        <w:tc>
          <w:tcPr>
            <w:tcW w:w="3592" w:type="dxa"/>
          </w:tcPr>
          <w:p w:rsidR="00771F19" w:rsidP="00A85E5F" w:rsidRDefault="00771F19" w14:paraId="432E9C85" w14:textId="77777777">
            <w:pPr>
              <w:spacing w:line="259" w:lineRule="auto"/>
            </w:pPr>
          </w:p>
        </w:tc>
        <w:tc>
          <w:tcPr>
            <w:tcW w:w="3892" w:type="dxa"/>
          </w:tcPr>
          <w:p w:rsidR="00771F19" w:rsidP="00A85E5F" w:rsidRDefault="00771F19" w14:paraId="6E378516" w14:textId="77777777">
            <w:pPr>
              <w:spacing w:line="259" w:lineRule="auto"/>
            </w:pPr>
          </w:p>
        </w:tc>
      </w:tr>
      <w:tr w:rsidR="00771F19" w14:paraId="1E545CC0" w14:textId="77777777">
        <w:tc>
          <w:tcPr>
            <w:tcW w:w="3592" w:type="dxa"/>
          </w:tcPr>
          <w:p w:rsidR="00771F19" w:rsidP="00A85E5F" w:rsidRDefault="00771F19" w14:paraId="1C21C393" w14:textId="77777777">
            <w:pPr>
              <w:spacing w:line="259" w:lineRule="auto"/>
            </w:pPr>
          </w:p>
        </w:tc>
        <w:tc>
          <w:tcPr>
            <w:tcW w:w="3892" w:type="dxa"/>
          </w:tcPr>
          <w:p w:rsidR="00771F19" w:rsidP="00A85E5F" w:rsidRDefault="00771F19" w14:paraId="56588E35" w14:textId="77777777">
            <w:pPr>
              <w:spacing w:line="259" w:lineRule="auto"/>
            </w:pPr>
          </w:p>
        </w:tc>
      </w:tr>
      <w:tr w:rsidR="00771F19" w14:paraId="412BB54F" w14:textId="77777777">
        <w:tc>
          <w:tcPr>
            <w:tcW w:w="3592" w:type="dxa"/>
          </w:tcPr>
          <w:p w:rsidR="00771F19" w:rsidP="00A85E5F" w:rsidRDefault="00771F19" w14:paraId="2576EEE5" w14:textId="77777777">
            <w:pPr>
              <w:spacing w:line="259" w:lineRule="auto"/>
            </w:pPr>
          </w:p>
        </w:tc>
        <w:tc>
          <w:tcPr>
            <w:tcW w:w="3892" w:type="dxa"/>
          </w:tcPr>
          <w:p w:rsidR="00771F19" w:rsidP="00A85E5F" w:rsidRDefault="00771F19" w14:paraId="5EB7830F" w14:textId="77777777">
            <w:pPr>
              <w:spacing w:line="259" w:lineRule="auto"/>
            </w:pPr>
          </w:p>
        </w:tc>
      </w:tr>
    </w:tbl>
    <w:p w:rsidR="00771F19" w:rsidP="00A85E5F" w:rsidRDefault="00771F19" w14:paraId="44D76FE4" w14:textId="77777777">
      <w:pPr>
        <w:pStyle w:val="Verdana7"/>
        <w:spacing w:line="259" w:lineRule="auto"/>
      </w:pPr>
    </w:p>
    <w:sectPr w:rsidR="00771F19" w:rsidSect="003F26D3">
      <w:headerReference w:type="default" r:id="rId7"/>
      <w:headerReference w:type="first" r:id="rId8"/>
      <w:pgSz w:w="11905" w:h="16837"/>
      <w:pgMar w:top="2948" w:right="2834" w:bottom="1701"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7891" w14:textId="77777777" w:rsidR="00AE1EC2" w:rsidRDefault="00AE1EC2">
      <w:pPr>
        <w:spacing w:line="240" w:lineRule="auto"/>
      </w:pPr>
      <w:r>
        <w:separator/>
      </w:r>
    </w:p>
  </w:endnote>
  <w:endnote w:type="continuationSeparator" w:id="0">
    <w:p w14:paraId="16CCECB4" w14:textId="77777777" w:rsidR="00AE1EC2" w:rsidRDefault="00AE1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C5E3" w14:textId="77777777" w:rsidR="00AE1EC2" w:rsidRDefault="00AE1EC2">
      <w:pPr>
        <w:spacing w:line="240" w:lineRule="auto"/>
      </w:pPr>
      <w:r>
        <w:separator/>
      </w:r>
    </w:p>
  </w:footnote>
  <w:footnote w:type="continuationSeparator" w:id="0">
    <w:p w14:paraId="7EDD692E" w14:textId="77777777" w:rsidR="00AE1EC2" w:rsidRDefault="00AE1EC2">
      <w:pPr>
        <w:spacing w:line="240" w:lineRule="auto"/>
      </w:pPr>
      <w:r>
        <w:continuationSeparator/>
      </w:r>
    </w:p>
  </w:footnote>
  <w:footnote w:id="1">
    <w:p w14:paraId="0E831AC6" w14:textId="77777777" w:rsidR="003F26D3" w:rsidRPr="00232D29" w:rsidRDefault="003F26D3" w:rsidP="003F26D3">
      <w:pPr>
        <w:pStyle w:val="Voetnoottekst"/>
        <w:rPr>
          <w:sz w:val="16"/>
          <w:szCs w:val="16"/>
        </w:rPr>
      </w:pPr>
      <w:r w:rsidRPr="00232D29">
        <w:rPr>
          <w:rStyle w:val="Voetnootmarkering"/>
          <w:sz w:val="16"/>
          <w:szCs w:val="16"/>
        </w:rPr>
        <w:footnoteRef/>
      </w:r>
      <w:r w:rsidRPr="00232D29">
        <w:rPr>
          <w:sz w:val="16"/>
          <w:szCs w:val="16"/>
        </w:rPr>
        <w:t xml:space="preserve"> Kamerstukken, 2019-2020, 31935, nr. 63</w:t>
      </w:r>
    </w:p>
  </w:footnote>
  <w:footnote w:id="2">
    <w:p w14:paraId="56A6DCB8" w14:textId="77777777" w:rsidR="003F26D3" w:rsidRPr="00232D29" w:rsidRDefault="003F26D3" w:rsidP="003F26D3">
      <w:pPr>
        <w:pStyle w:val="Voetnoottekst"/>
        <w:rPr>
          <w:sz w:val="16"/>
          <w:szCs w:val="16"/>
        </w:rPr>
      </w:pPr>
      <w:r w:rsidRPr="00232D29">
        <w:rPr>
          <w:rStyle w:val="Voetnootmarkering"/>
          <w:sz w:val="16"/>
          <w:szCs w:val="16"/>
        </w:rPr>
        <w:footnoteRef/>
      </w:r>
      <w:r w:rsidRPr="00232D29">
        <w:rPr>
          <w:sz w:val="16"/>
          <w:szCs w:val="16"/>
        </w:rPr>
        <w:t xml:space="preserve"> Kamerstukken, 2021-2022, 31935, nr. 75</w:t>
      </w:r>
    </w:p>
  </w:footnote>
  <w:footnote w:id="3">
    <w:p w14:paraId="5A6E60EC" w14:textId="77777777" w:rsidR="003F26D3" w:rsidRPr="00232D29" w:rsidRDefault="003F26D3" w:rsidP="003F26D3">
      <w:pPr>
        <w:pStyle w:val="Voetnoottekst"/>
        <w:rPr>
          <w:sz w:val="16"/>
          <w:szCs w:val="16"/>
        </w:rPr>
      </w:pPr>
      <w:r w:rsidRPr="00232D29">
        <w:rPr>
          <w:rStyle w:val="Voetnootmarkering"/>
          <w:sz w:val="16"/>
          <w:szCs w:val="16"/>
        </w:rPr>
        <w:footnoteRef/>
      </w:r>
      <w:r w:rsidRPr="00232D29">
        <w:rPr>
          <w:sz w:val="16"/>
          <w:szCs w:val="16"/>
        </w:rPr>
        <w:t xml:space="preserve"> De nummering is hier toegevoegd met oog op een verwijzing in de appreciatie.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CCAE" w14:textId="77777777" w:rsidR="00771F19" w:rsidRDefault="005216FA">
    <w:r>
      <w:rPr>
        <w:noProof/>
      </w:rPr>
      <mc:AlternateContent>
        <mc:Choice Requires="wps">
          <w:drawing>
            <wp:anchor distT="0" distB="0" distL="0" distR="0" simplePos="0" relativeHeight="251652096" behindDoc="0" locked="1" layoutInCell="1" allowOverlap="1" wp14:anchorId="06EC9C11" wp14:editId="3E2BF86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5C3E140" w14:textId="77777777" w:rsidR="00771F19" w:rsidRDefault="005216FA">
                          <w:pPr>
                            <w:pStyle w:val="StandaardReferentiegegevensKop"/>
                          </w:pPr>
                          <w:r>
                            <w:t>Directie Buitenlandse Financiële Betrekkingen</w:t>
                          </w:r>
                        </w:p>
                        <w:p w14:paraId="06A52554" w14:textId="77777777" w:rsidR="00771F19" w:rsidRDefault="00771F19">
                          <w:pPr>
                            <w:pStyle w:val="WitregelW1"/>
                          </w:pPr>
                        </w:p>
                        <w:p w14:paraId="0895A92A" w14:textId="77777777" w:rsidR="00771F19" w:rsidRDefault="005216FA">
                          <w:pPr>
                            <w:pStyle w:val="StandaardReferentiegegevensKop"/>
                          </w:pPr>
                          <w:r>
                            <w:t>Ons kenmerk</w:t>
                          </w:r>
                        </w:p>
                        <w:p w14:paraId="708752B9" w14:textId="3334B69A" w:rsidR="00710061" w:rsidRDefault="000753C1">
                          <w:pPr>
                            <w:pStyle w:val="StandaardReferentiegegevens"/>
                          </w:pPr>
                          <w:r>
                            <w:fldChar w:fldCharType="begin"/>
                          </w:r>
                          <w:r>
                            <w:instrText xml:space="preserve"> DOCPROPERTY  "Kenmerk"  \* MERGEFORMAT </w:instrText>
                          </w:r>
                          <w:r>
                            <w:fldChar w:fldCharType="separate"/>
                          </w:r>
                          <w:r>
                            <w:t>2025-0000104678</w:t>
                          </w:r>
                          <w:r>
                            <w:fldChar w:fldCharType="end"/>
                          </w:r>
                        </w:p>
                      </w:txbxContent>
                    </wps:txbx>
                    <wps:bodyPr vert="horz" wrap="square" lIns="0" tIns="0" rIns="0" bIns="0" anchor="t" anchorCtr="0"/>
                  </wps:wsp>
                </a:graphicData>
              </a:graphic>
            </wp:anchor>
          </w:drawing>
        </mc:Choice>
        <mc:Fallback>
          <w:pict>
            <v:shapetype w14:anchorId="06EC9C1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5C3E140" w14:textId="77777777" w:rsidR="00771F19" w:rsidRDefault="005216FA">
                    <w:pPr>
                      <w:pStyle w:val="StandaardReferentiegegevensKop"/>
                    </w:pPr>
                    <w:r>
                      <w:t>Directie Buitenlandse Financiële Betrekkingen</w:t>
                    </w:r>
                  </w:p>
                  <w:p w14:paraId="06A52554" w14:textId="77777777" w:rsidR="00771F19" w:rsidRDefault="00771F19">
                    <w:pPr>
                      <w:pStyle w:val="WitregelW1"/>
                    </w:pPr>
                  </w:p>
                  <w:p w14:paraId="0895A92A" w14:textId="77777777" w:rsidR="00771F19" w:rsidRDefault="005216FA">
                    <w:pPr>
                      <w:pStyle w:val="StandaardReferentiegegevensKop"/>
                    </w:pPr>
                    <w:r>
                      <w:t>Ons kenmerk</w:t>
                    </w:r>
                  </w:p>
                  <w:p w14:paraId="708752B9" w14:textId="3334B69A" w:rsidR="00710061" w:rsidRDefault="000753C1">
                    <w:pPr>
                      <w:pStyle w:val="StandaardReferentiegegevens"/>
                    </w:pPr>
                    <w:r>
                      <w:fldChar w:fldCharType="begin"/>
                    </w:r>
                    <w:r>
                      <w:instrText xml:space="preserve"> DOCPROPERTY  "Kenmerk"  \* MERGEFORMAT </w:instrText>
                    </w:r>
                    <w:r>
                      <w:fldChar w:fldCharType="separate"/>
                    </w:r>
                    <w:r>
                      <w:t>2025-0000104678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7E4E15B" wp14:editId="62A62F6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97C260" w14:textId="77777777" w:rsidR="00710061" w:rsidRDefault="005A409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7E4E15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197C260" w14:textId="77777777" w:rsidR="00710061" w:rsidRDefault="005A409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C759056" wp14:editId="652EE7C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B24D075" w14:textId="30DFC0F7" w:rsidR="00710061" w:rsidRDefault="005A409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C75905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B24D075" w14:textId="30DFC0F7" w:rsidR="00710061" w:rsidRDefault="005A409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EDAB" w14:textId="77777777" w:rsidR="00771F19" w:rsidRDefault="005216FA">
    <w:pPr>
      <w:spacing w:after="7029" w:line="14" w:lineRule="exact"/>
    </w:pPr>
    <w:r>
      <w:rPr>
        <w:noProof/>
      </w:rPr>
      <mc:AlternateContent>
        <mc:Choice Requires="wps">
          <w:drawing>
            <wp:anchor distT="0" distB="0" distL="0" distR="0" simplePos="0" relativeHeight="251655168" behindDoc="0" locked="1" layoutInCell="1" allowOverlap="1" wp14:anchorId="537E30B4" wp14:editId="2B1F55D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87CDD9" w14:textId="77777777" w:rsidR="00771F19" w:rsidRDefault="005216FA">
                          <w:pPr>
                            <w:spacing w:line="240" w:lineRule="auto"/>
                          </w:pPr>
                          <w:r>
                            <w:rPr>
                              <w:noProof/>
                            </w:rPr>
                            <w:drawing>
                              <wp:inline distT="0" distB="0" distL="0" distR="0" wp14:anchorId="23501F2F" wp14:editId="53C90C44">
                                <wp:extent cx="2339975" cy="1582834"/>
                                <wp:effectExtent l="0" t="0" r="0" b="0"/>
                                <wp:docPr id="1964100973"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7E30B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A87CDD9" w14:textId="77777777" w:rsidR="00771F19" w:rsidRDefault="005216FA">
                    <w:pPr>
                      <w:spacing w:line="240" w:lineRule="auto"/>
                    </w:pPr>
                    <w:r>
                      <w:rPr>
                        <w:noProof/>
                      </w:rPr>
                      <w:drawing>
                        <wp:inline distT="0" distB="0" distL="0" distR="0" wp14:anchorId="23501F2F" wp14:editId="53C90C44">
                          <wp:extent cx="2339975" cy="1582834"/>
                          <wp:effectExtent l="0" t="0" r="0" b="0"/>
                          <wp:docPr id="1964100973"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C2BE008" wp14:editId="6A3E7A15">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A369C3A" w14:textId="77777777" w:rsidR="005216FA" w:rsidRDefault="005216FA"/>
                      </w:txbxContent>
                    </wps:txbx>
                    <wps:bodyPr vert="horz" wrap="square" lIns="0" tIns="0" rIns="0" bIns="0" anchor="t" anchorCtr="0"/>
                  </wps:wsp>
                </a:graphicData>
              </a:graphic>
            </wp:anchor>
          </w:drawing>
        </mc:Choice>
        <mc:Fallback>
          <w:pict>
            <v:shape w14:anchorId="6C2BE00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A369C3A" w14:textId="77777777" w:rsidR="005216FA" w:rsidRDefault="005216F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9DE561C" wp14:editId="619A723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CB6CF65" w14:textId="77777777" w:rsidR="00771F19" w:rsidRDefault="005216FA">
                          <w:pPr>
                            <w:pStyle w:val="StandaardReferentiegegevensKop"/>
                          </w:pPr>
                          <w:r>
                            <w:t>Directie Buitenlandse Financiële Betrekkingen</w:t>
                          </w:r>
                        </w:p>
                        <w:p w14:paraId="0C3F42A4" w14:textId="77777777" w:rsidR="00771F19" w:rsidRDefault="00771F19">
                          <w:pPr>
                            <w:pStyle w:val="WitregelW1"/>
                          </w:pPr>
                        </w:p>
                        <w:p w14:paraId="71EC453F" w14:textId="77777777" w:rsidR="00771F19" w:rsidRDefault="005216FA">
                          <w:pPr>
                            <w:pStyle w:val="StandaardReferentiegegevens"/>
                          </w:pPr>
                          <w:r>
                            <w:t>Korte Voorhout 7</w:t>
                          </w:r>
                        </w:p>
                        <w:p w14:paraId="10298085" w14:textId="77777777" w:rsidR="00771F19" w:rsidRDefault="005216FA">
                          <w:pPr>
                            <w:pStyle w:val="StandaardReferentiegegevens"/>
                          </w:pPr>
                          <w:r>
                            <w:t>2511 CW  'S-GRAVENHAGE</w:t>
                          </w:r>
                        </w:p>
                        <w:p w14:paraId="233420E5" w14:textId="77777777" w:rsidR="00771F19" w:rsidRDefault="005216FA">
                          <w:pPr>
                            <w:pStyle w:val="StandaardReferentiegegevens"/>
                          </w:pPr>
                          <w:r>
                            <w:t>POSTBUS 20201</w:t>
                          </w:r>
                        </w:p>
                        <w:p w14:paraId="21DEBBF9" w14:textId="77777777" w:rsidR="00771F19" w:rsidRDefault="005216FA">
                          <w:pPr>
                            <w:pStyle w:val="StandaardReferentiegegevens"/>
                          </w:pPr>
                          <w:r>
                            <w:t>2500 EE  'S-GRAVENHAGE</w:t>
                          </w:r>
                        </w:p>
                        <w:p w14:paraId="78DDFD92" w14:textId="77777777" w:rsidR="00771F19" w:rsidRDefault="005216FA">
                          <w:pPr>
                            <w:pStyle w:val="StandaardReferentiegegevens"/>
                          </w:pPr>
                          <w:r>
                            <w:t>www.rijksoverheid.nl/fin</w:t>
                          </w:r>
                        </w:p>
                        <w:p w14:paraId="7755BA21" w14:textId="77777777" w:rsidR="00771F19" w:rsidRDefault="00771F19">
                          <w:pPr>
                            <w:pStyle w:val="WitregelW2"/>
                          </w:pPr>
                        </w:p>
                        <w:p w14:paraId="2ED27A00" w14:textId="77777777" w:rsidR="00771F19" w:rsidRDefault="005216FA">
                          <w:pPr>
                            <w:pStyle w:val="StandaardReferentiegegevensKop"/>
                          </w:pPr>
                          <w:r>
                            <w:t>Ons kenmerk</w:t>
                          </w:r>
                        </w:p>
                        <w:p w14:paraId="5B9F2F22" w14:textId="33002146" w:rsidR="00710061" w:rsidRDefault="000753C1">
                          <w:pPr>
                            <w:pStyle w:val="StandaardReferentiegegevens"/>
                          </w:pPr>
                          <w:r>
                            <w:fldChar w:fldCharType="begin"/>
                          </w:r>
                          <w:r>
                            <w:instrText xml:space="preserve"> DOCPROPERTY  "Kenmerk"  \* MERGEFORMAT </w:instrText>
                          </w:r>
                          <w:r>
                            <w:fldChar w:fldCharType="separate"/>
                          </w:r>
                          <w:r>
                            <w:t>2025-0000104678</w:t>
                          </w:r>
                          <w:r>
                            <w:fldChar w:fldCharType="end"/>
                          </w:r>
                        </w:p>
                        <w:p w14:paraId="04E02317" w14:textId="77777777" w:rsidR="00771F19" w:rsidRDefault="00771F19">
                          <w:pPr>
                            <w:pStyle w:val="WitregelW1"/>
                          </w:pPr>
                        </w:p>
                        <w:p w14:paraId="25AEE6E0" w14:textId="77777777" w:rsidR="00771F19" w:rsidRDefault="005216FA">
                          <w:pPr>
                            <w:pStyle w:val="StandaardReferentiegegevensKop"/>
                          </w:pPr>
                          <w:r>
                            <w:t>Uw brief (kenmerk)</w:t>
                          </w:r>
                        </w:p>
                        <w:p w14:paraId="41DBD7B9" w14:textId="29B0E6BC" w:rsidR="00710061" w:rsidRDefault="005A409C">
                          <w:pPr>
                            <w:pStyle w:val="StandaardReferentiegegevens"/>
                          </w:pPr>
                          <w:r>
                            <w:fldChar w:fldCharType="begin"/>
                          </w:r>
                          <w:r>
                            <w:instrText xml:space="preserve"> DOCPROPERTY  "UwKenmerk"  \* MERGEFORMAT </w:instrText>
                          </w:r>
                          <w:r>
                            <w:fldChar w:fldCharType="end"/>
                          </w:r>
                        </w:p>
                        <w:p w14:paraId="29EF9E76" w14:textId="77777777" w:rsidR="00771F19" w:rsidRDefault="00771F19">
                          <w:pPr>
                            <w:pStyle w:val="WitregelW1"/>
                          </w:pPr>
                        </w:p>
                        <w:p w14:paraId="689EEEEE" w14:textId="77777777" w:rsidR="00771F19" w:rsidRDefault="005216FA">
                          <w:pPr>
                            <w:pStyle w:val="StandaardReferentiegegevensKop"/>
                          </w:pPr>
                          <w:r>
                            <w:t>Bijlagen</w:t>
                          </w:r>
                        </w:p>
                        <w:p w14:paraId="3441070A" w14:textId="77777777" w:rsidR="00771F19" w:rsidRDefault="003F26D3">
                          <w:pPr>
                            <w:pStyle w:val="StandaardReferentiegegevens"/>
                          </w:pPr>
                          <w:r>
                            <w:t>Rapport SEO</w:t>
                          </w:r>
                        </w:p>
                      </w:txbxContent>
                    </wps:txbx>
                    <wps:bodyPr vert="horz" wrap="square" lIns="0" tIns="0" rIns="0" bIns="0" anchor="t" anchorCtr="0"/>
                  </wps:wsp>
                </a:graphicData>
              </a:graphic>
            </wp:anchor>
          </w:drawing>
        </mc:Choice>
        <mc:Fallback>
          <w:pict>
            <v:shape w14:anchorId="79DE561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CB6CF65" w14:textId="77777777" w:rsidR="00771F19" w:rsidRDefault="005216FA">
                    <w:pPr>
                      <w:pStyle w:val="StandaardReferentiegegevensKop"/>
                    </w:pPr>
                    <w:r>
                      <w:t>Directie Buitenlandse Financiële Betrekkingen</w:t>
                    </w:r>
                  </w:p>
                  <w:p w14:paraId="0C3F42A4" w14:textId="77777777" w:rsidR="00771F19" w:rsidRDefault="00771F19">
                    <w:pPr>
                      <w:pStyle w:val="WitregelW1"/>
                    </w:pPr>
                  </w:p>
                  <w:p w14:paraId="71EC453F" w14:textId="77777777" w:rsidR="00771F19" w:rsidRDefault="005216FA">
                    <w:pPr>
                      <w:pStyle w:val="StandaardReferentiegegevens"/>
                    </w:pPr>
                    <w:r>
                      <w:t>Korte Voorhout 7</w:t>
                    </w:r>
                  </w:p>
                  <w:p w14:paraId="10298085" w14:textId="77777777" w:rsidR="00771F19" w:rsidRDefault="005216FA">
                    <w:pPr>
                      <w:pStyle w:val="StandaardReferentiegegevens"/>
                    </w:pPr>
                    <w:r>
                      <w:t>2511 CW  'S-GRAVENHAGE</w:t>
                    </w:r>
                  </w:p>
                  <w:p w14:paraId="233420E5" w14:textId="77777777" w:rsidR="00771F19" w:rsidRDefault="005216FA">
                    <w:pPr>
                      <w:pStyle w:val="StandaardReferentiegegevens"/>
                    </w:pPr>
                    <w:r>
                      <w:t>POSTBUS 20201</w:t>
                    </w:r>
                  </w:p>
                  <w:p w14:paraId="21DEBBF9" w14:textId="77777777" w:rsidR="00771F19" w:rsidRDefault="005216FA">
                    <w:pPr>
                      <w:pStyle w:val="StandaardReferentiegegevens"/>
                    </w:pPr>
                    <w:r>
                      <w:t>2500 EE  'S-GRAVENHAGE</w:t>
                    </w:r>
                  </w:p>
                  <w:p w14:paraId="78DDFD92" w14:textId="77777777" w:rsidR="00771F19" w:rsidRDefault="005216FA">
                    <w:pPr>
                      <w:pStyle w:val="StandaardReferentiegegevens"/>
                    </w:pPr>
                    <w:r>
                      <w:t>www.rijksoverheid.nl/fin</w:t>
                    </w:r>
                  </w:p>
                  <w:p w14:paraId="7755BA21" w14:textId="77777777" w:rsidR="00771F19" w:rsidRDefault="00771F19">
                    <w:pPr>
                      <w:pStyle w:val="WitregelW2"/>
                    </w:pPr>
                  </w:p>
                  <w:p w14:paraId="2ED27A00" w14:textId="77777777" w:rsidR="00771F19" w:rsidRDefault="005216FA">
                    <w:pPr>
                      <w:pStyle w:val="StandaardReferentiegegevensKop"/>
                    </w:pPr>
                    <w:r>
                      <w:t>Ons kenmerk</w:t>
                    </w:r>
                  </w:p>
                  <w:p w14:paraId="5B9F2F22" w14:textId="33002146" w:rsidR="00710061" w:rsidRDefault="000753C1">
                    <w:pPr>
                      <w:pStyle w:val="StandaardReferentiegegevens"/>
                    </w:pPr>
                    <w:r>
                      <w:fldChar w:fldCharType="begin"/>
                    </w:r>
                    <w:r>
                      <w:instrText xml:space="preserve"> DOCPROPERTY  "Kenmerk"  \* MERGEFORMAT </w:instrText>
                    </w:r>
                    <w:r>
                      <w:fldChar w:fldCharType="separate"/>
                    </w:r>
                    <w:r>
                      <w:t>2025-0000104678</w:t>
                    </w:r>
                    <w:r>
                      <w:fldChar w:fldCharType="end"/>
                    </w:r>
                  </w:p>
                  <w:p w14:paraId="04E02317" w14:textId="77777777" w:rsidR="00771F19" w:rsidRDefault="00771F19">
                    <w:pPr>
                      <w:pStyle w:val="WitregelW1"/>
                    </w:pPr>
                  </w:p>
                  <w:p w14:paraId="25AEE6E0" w14:textId="77777777" w:rsidR="00771F19" w:rsidRDefault="005216FA">
                    <w:pPr>
                      <w:pStyle w:val="StandaardReferentiegegevensKop"/>
                    </w:pPr>
                    <w:r>
                      <w:t>Uw brief (kenmerk)</w:t>
                    </w:r>
                  </w:p>
                  <w:p w14:paraId="41DBD7B9" w14:textId="29B0E6BC" w:rsidR="00710061" w:rsidRDefault="005A409C">
                    <w:pPr>
                      <w:pStyle w:val="StandaardReferentiegegevens"/>
                    </w:pPr>
                    <w:r>
                      <w:fldChar w:fldCharType="begin"/>
                    </w:r>
                    <w:r>
                      <w:instrText xml:space="preserve"> DOCPROPERTY  "UwKenmerk"  \* MERGEFORMAT </w:instrText>
                    </w:r>
                    <w:r>
                      <w:fldChar w:fldCharType="end"/>
                    </w:r>
                  </w:p>
                  <w:p w14:paraId="29EF9E76" w14:textId="77777777" w:rsidR="00771F19" w:rsidRDefault="00771F19">
                    <w:pPr>
                      <w:pStyle w:val="WitregelW1"/>
                    </w:pPr>
                  </w:p>
                  <w:p w14:paraId="689EEEEE" w14:textId="77777777" w:rsidR="00771F19" w:rsidRDefault="005216FA">
                    <w:pPr>
                      <w:pStyle w:val="StandaardReferentiegegevensKop"/>
                    </w:pPr>
                    <w:r>
                      <w:t>Bijlagen</w:t>
                    </w:r>
                  </w:p>
                  <w:p w14:paraId="3441070A" w14:textId="77777777" w:rsidR="00771F19" w:rsidRDefault="003F26D3">
                    <w:pPr>
                      <w:pStyle w:val="StandaardReferentiegegevens"/>
                    </w:pPr>
                    <w:r>
                      <w:t>Rapport SEO</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D1DC14F" wp14:editId="798DFF8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0D93DBE" w14:textId="77777777" w:rsidR="00771F19" w:rsidRDefault="005216F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D1DC14F"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0D93DBE" w14:textId="77777777" w:rsidR="00771F19" w:rsidRDefault="005216F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79042B1" wp14:editId="545B751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D04A749" w14:textId="7D25D030" w:rsidR="00710061" w:rsidRDefault="005A409C">
                          <w:pPr>
                            <w:pStyle w:val="Rubricering"/>
                          </w:pPr>
                          <w:r>
                            <w:fldChar w:fldCharType="begin"/>
                          </w:r>
                          <w:r>
                            <w:instrText xml:space="preserve"> DOCPROPERTY  "Rubricering"  \* MERGEFORMAT </w:instrText>
                          </w:r>
                          <w:r>
                            <w:fldChar w:fldCharType="end"/>
                          </w:r>
                        </w:p>
                        <w:p w14:paraId="3692A863" w14:textId="77777777" w:rsidR="00771F19" w:rsidRDefault="005216F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79042B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D04A749" w14:textId="7D25D030" w:rsidR="00710061" w:rsidRDefault="005A409C">
                    <w:pPr>
                      <w:pStyle w:val="Rubricering"/>
                    </w:pPr>
                    <w:r>
                      <w:fldChar w:fldCharType="begin"/>
                    </w:r>
                    <w:r>
                      <w:instrText xml:space="preserve"> DOCPROPERTY  "Rubricering"  \* MERGEFORMAT </w:instrText>
                    </w:r>
                    <w:r>
                      <w:fldChar w:fldCharType="end"/>
                    </w:r>
                  </w:p>
                  <w:p w14:paraId="3692A863" w14:textId="77777777" w:rsidR="00771F19" w:rsidRDefault="005216F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3A8BA31" wp14:editId="0AFBCFC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46B4DA7" w14:textId="77777777" w:rsidR="00710061" w:rsidRDefault="005A409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3A8BA31"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46B4DA7" w14:textId="77777777" w:rsidR="00710061" w:rsidRDefault="005A409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95EE74C" wp14:editId="48DC3EE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71F19" w14:paraId="327A676B" w14:textId="77777777">
                            <w:trPr>
                              <w:trHeight w:val="200"/>
                            </w:trPr>
                            <w:tc>
                              <w:tcPr>
                                <w:tcW w:w="1140" w:type="dxa"/>
                              </w:tcPr>
                              <w:p w14:paraId="367B0D18" w14:textId="77777777" w:rsidR="00771F19" w:rsidRDefault="00771F19"/>
                            </w:tc>
                            <w:tc>
                              <w:tcPr>
                                <w:tcW w:w="5400" w:type="dxa"/>
                              </w:tcPr>
                              <w:p w14:paraId="29B22677" w14:textId="77777777" w:rsidR="00771F19" w:rsidRDefault="00771F19"/>
                            </w:tc>
                          </w:tr>
                          <w:tr w:rsidR="00771F19" w14:paraId="38F7325A" w14:textId="77777777">
                            <w:trPr>
                              <w:trHeight w:val="240"/>
                            </w:trPr>
                            <w:tc>
                              <w:tcPr>
                                <w:tcW w:w="1140" w:type="dxa"/>
                              </w:tcPr>
                              <w:p w14:paraId="1CDE3297" w14:textId="77777777" w:rsidR="00771F19" w:rsidRDefault="005216FA">
                                <w:r>
                                  <w:t>Datum</w:t>
                                </w:r>
                              </w:p>
                            </w:tc>
                            <w:tc>
                              <w:tcPr>
                                <w:tcW w:w="5400" w:type="dxa"/>
                              </w:tcPr>
                              <w:p w14:paraId="13477F9C" w14:textId="708A2108" w:rsidR="00771F19" w:rsidRDefault="000753C1">
                                <w:r>
                                  <w:t>28 april 2025</w:t>
                                </w:r>
                              </w:p>
                            </w:tc>
                          </w:tr>
                          <w:tr w:rsidR="00771F19" w14:paraId="7F54F270" w14:textId="77777777">
                            <w:trPr>
                              <w:trHeight w:val="240"/>
                            </w:trPr>
                            <w:tc>
                              <w:tcPr>
                                <w:tcW w:w="1140" w:type="dxa"/>
                              </w:tcPr>
                              <w:p w14:paraId="7E5386C0" w14:textId="77777777" w:rsidR="00771F19" w:rsidRDefault="005216FA">
                                <w:r>
                                  <w:t>Betreft</w:t>
                                </w:r>
                              </w:p>
                            </w:tc>
                            <w:tc>
                              <w:tcPr>
                                <w:tcW w:w="5400" w:type="dxa"/>
                              </w:tcPr>
                              <w:p w14:paraId="65656EB5" w14:textId="4E7D33C4" w:rsidR="00710061" w:rsidRDefault="000753C1">
                                <w:r>
                                  <w:fldChar w:fldCharType="begin"/>
                                </w:r>
                                <w:r>
                                  <w:instrText xml:space="preserve"> DOCPROPERTY  "Onderwerp"  \* MERGEFORMAT </w:instrText>
                                </w:r>
                                <w:r>
                                  <w:fldChar w:fldCharType="separate"/>
                                </w:r>
                                <w:r>
                                  <w:t>Rapport Stichting Economisch Onderzoek (SEO) over crisismaatregelen internationale financiële instellingen en Europese instellingen in reactie op de COVID-19 pandemie</w:t>
                                </w:r>
                                <w:r>
                                  <w:fldChar w:fldCharType="end"/>
                                </w:r>
                              </w:p>
                            </w:tc>
                          </w:tr>
                          <w:tr w:rsidR="00771F19" w14:paraId="45A09159" w14:textId="77777777">
                            <w:trPr>
                              <w:trHeight w:val="200"/>
                            </w:trPr>
                            <w:tc>
                              <w:tcPr>
                                <w:tcW w:w="1140" w:type="dxa"/>
                              </w:tcPr>
                              <w:p w14:paraId="78E5A6F9" w14:textId="77777777" w:rsidR="00771F19" w:rsidRDefault="00771F19"/>
                            </w:tc>
                            <w:tc>
                              <w:tcPr>
                                <w:tcW w:w="4738" w:type="dxa"/>
                              </w:tcPr>
                              <w:p w14:paraId="1D439B11" w14:textId="77777777" w:rsidR="00771F19" w:rsidRDefault="00771F19"/>
                            </w:tc>
                          </w:tr>
                        </w:tbl>
                        <w:p w14:paraId="3BF4E9AF" w14:textId="77777777" w:rsidR="005216FA" w:rsidRDefault="005216FA"/>
                      </w:txbxContent>
                    </wps:txbx>
                    <wps:bodyPr vert="horz" wrap="square" lIns="0" tIns="0" rIns="0" bIns="0" anchor="t" anchorCtr="0"/>
                  </wps:wsp>
                </a:graphicData>
              </a:graphic>
            </wp:anchor>
          </w:drawing>
        </mc:Choice>
        <mc:Fallback>
          <w:pict>
            <v:shape w14:anchorId="795EE74C"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71F19" w14:paraId="327A676B" w14:textId="77777777">
                      <w:trPr>
                        <w:trHeight w:val="200"/>
                      </w:trPr>
                      <w:tc>
                        <w:tcPr>
                          <w:tcW w:w="1140" w:type="dxa"/>
                        </w:tcPr>
                        <w:p w14:paraId="367B0D18" w14:textId="77777777" w:rsidR="00771F19" w:rsidRDefault="00771F19"/>
                      </w:tc>
                      <w:tc>
                        <w:tcPr>
                          <w:tcW w:w="5400" w:type="dxa"/>
                        </w:tcPr>
                        <w:p w14:paraId="29B22677" w14:textId="77777777" w:rsidR="00771F19" w:rsidRDefault="00771F19"/>
                      </w:tc>
                    </w:tr>
                    <w:tr w:rsidR="00771F19" w14:paraId="38F7325A" w14:textId="77777777">
                      <w:trPr>
                        <w:trHeight w:val="240"/>
                      </w:trPr>
                      <w:tc>
                        <w:tcPr>
                          <w:tcW w:w="1140" w:type="dxa"/>
                        </w:tcPr>
                        <w:p w14:paraId="1CDE3297" w14:textId="77777777" w:rsidR="00771F19" w:rsidRDefault="005216FA">
                          <w:r>
                            <w:t>Datum</w:t>
                          </w:r>
                        </w:p>
                      </w:tc>
                      <w:tc>
                        <w:tcPr>
                          <w:tcW w:w="5400" w:type="dxa"/>
                        </w:tcPr>
                        <w:p w14:paraId="13477F9C" w14:textId="708A2108" w:rsidR="00771F19" w:rsidRDefault="000753C1">
                          <w:r>
                            <w:t>28 april 2025</w:t>
                          </w:r>
                        </w:p>
                      </w:tc>
                    </w:tr>
                    <w:tr w:rsidR="00771F19" w14:paraId="7F54F270" w14:textId="77777777">
                      <w:trPr>
                        <w:trHeight w:val="240"/>
                      </w:trPr>
                      <w:tc>
                        <w:tcPr>
                          <w:tcW w:w="1140" w:type="dxa"/>
                        </w:tcPr>
                        <w:p w14:paraId="7E5386C0" w14:textId="77777777" w:rsidR="00771F19" w:rsidRDefault="005216FA">
                          <w:r>
                            <w:t>Betreft</w:t>
                          </w:r>
                        </w:p>
                      </w:tc>
                      <w:tc>
                        <w:tcPr>
                          <w:tcW w:w="5400" w:type="dxa"/>
                        </w:tcPr>
                        <w:p w14:paraId="65656EB5" w14:textId="4E7D33C4" w:rsidR="00710061" w:rsidRDefault="000753C1">
                          <w:r>
                            <w:fldChar w:fldCharType="begin"/>
                          </w:r>
                          <w:r>
                            <w:instrText xml:space="preserve"> DOCPROPERTY  "Onderwerp"  \* MERGEFORMAT </w:instrText>
                          </w:r>
                          <w:r>
                            <w:fldChar w:fldCharType="separate"/>
                          </w:r>
                          <w:r>
                            <w:t>Rapport Stichting Economisch Onderzoek (SEO) over crisismaatregelen internationale financiële instellingen en Europese instellingen in reactie op de COVID-19 pandemie</w:t>
                          </w:r>
                          <w:r>
                            <w:fldChar w:fldCharType="end"/>
                          </w:r>
                        </w:p>
                      </w:tc>
                    </w:tr>
                    <w:tr w:rsidR="00771F19" w14:paraId="45A09159" w14:textId="77777777">
                      <w:trPr>
                        <w:trHeight w:val="200"/>
                      </w:trPr>
                      <w:tc>
                        <w:tcPr>
                          <w:tcW w:w="1140" w:type="dxa"/>
                        </w:tcPr>
                        <w:p w14:paraId="78E5A6F9" w14:textId="77777777" w:rsidR="00771F19" w:rsidRDefault="00771F19"/>
                      </w:tc>
                      <w:tc>
                        <w:tcPr>
                          <w:tcW w:w="4738" w:type="dxa"/>
                        </w:tcPr>
                        <w:p w14:paraId="1D439B11" w14:textId="77777777" w:rsidR="00771F19" w:rsidRDefault="00771F19"/>
                      </w:tc>
                    </w:tr>
                  </w:tbl>
                  <w:p w14:paraId="3BF4E9AF" w14:textId="77777777" w:rsidR="005216FA" w:rsidRDefault="005216F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466EEBA" wp14:editId="3BE12D3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022C42A" w14:textId="5B9E02D8" w:rsidR="00710061" w:rsidRDefault="005A409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466EEB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022C42A" w14:textId="5B9E02D8" w:rsidR="00710061" w:rsidRDefault="005A409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8914491" wp14:editId="08004C7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6A6123E" w14:textId="77777777" w:rsidR="005216FA" w:rsidRDefault="005216FA"/>
                      </w:txbxContent>
                    </wps:txbx>
                    <wps:bodyPr vert="horz" wrap="square" lIns="0" tIns="0" rIns="0" bIns="0" anchor="t" anchorCtr="0"/>
                  </wps:wsp>
                </a:graphicData>
              </a:graphic>
            </wp:anchor>
          </w:drawing>
        </mc:Choice>
        <mc:Fallback>
          <w:pict>
            <v:shape w14:anchorId="4891449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6A6123E" w14:textId="77777777" w:rsidR="005216FA" w:rsidRDefault="005216F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C5561"/>
    <w:multiLevelType w:val="multilevel"/>
    <w:tmpl w:val="D95AEB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4824922"/>
    <w:multiLevelType w:val="multilevel"/>
    <w:tmpl w:val="820A291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28C0730"/>
    <w:multiLevelType w:val="multilevel"/>
    <w:tmpl w:val="B5D4ECF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F8F4C06"/>
    <w:multiLevelType w:val="multilevel"/>
    <w:tmpl w:val="756A161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04044"/>
    <w:multiLevelType w:val="multilevel"/>
    <w:tmpl w:val="98AD1EF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802473"/>
    <w:multiLevelType w:val="hybridMultilevel"/>
    <w:tmpl w:val="F5CE80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EA58E81"/>
    <w:multiLevelType w:val="multilevel"/>
    <w:tmpl w:val="E5B04B8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0918934">
    <w:abstractNumId w:val="4"/>
  </w:num>
  <w:num w:numId="2" w16cid:durableId="1580871864">
    <w:abstractNumId w:val="3"/>
  </w:num>
  <w:num w:numId="3" w16cid:durableId="2018537445">
    <w:abstractNumId w:val="1"/>
  </w:num>
  <w:num w:numId="4" w16cid:durableId="1373307736">
    <w:abstractNumId w:val="0"/>
  </w:num>
  <w:num w:numId="5" w16cid:durableId="1571965446">
    <w:abstractNumId w:val="6"/>
  </w:num>
  <w:num w:numId="6" w16cid:durableId="158230671">
    <w:abstractNumId w:val="2"/>
  </w:num>
  <w:num w:numId="7" w16cid:durableId="1246525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19"/>
    <w:rsid w:val="000753C1"/>
    <w:rsid w:val="000D06F5"/>
    <w:rsid w:val="000E568D"/>
    <w:rsid w:val="00130009"/>
    <w:rsid w:val="001D0560"/>
    <w:rsid w:val="002240C3"/>
    <w:rsid w:val="00232D29"/>
    <w:rsid w:val="00251BA5"/>
    <w:rsid w:val="002831C6"/>
    <w:rsid w:val="00316448"/>
    <w:rsid w:val="00352B05"/>
    <w:rsid w:val="0038785A"/>
    <w:rsid w:val="00391B97"/>
    <w:rsid w:val="003F26D3"/>
    <w:rsid w:val="003F4DD2"/>
    <w:rsid w:val="00460EA5"/>
    <w:rsid w:val="004D7949"/>
    <w:rsid w:val="00512B90"/>
    <w:rsid w:val="005216FA"/>
    <w:rsid w:val="00522B67"/>
    <w:rsid w:val="005A409C"/>
    <w:rsid w:val="005A6A02"/>
    <w:rsid w:val="0063383A"/>
    <w:rsid w:val="00664CBE"/>
    <w:rsid w:val="00710061"/>
    <w:rsid w:val="00723910"/>
    <w:rsid w:val="00771F19"/>
    <w:rsid w:val="0078177A"/>
    <w:rsid w:val="007A2ED7"/>
    <w:rsid w:val="007F4BC2"/>
    <w:rsid w:val="00815E39"/>
    <w:rsid w:val="009510A0"/>
    <w:rsid w:val="009E38B0"/>
    <w:rsid w:val="009F6970"/>
    <w:rsid w:val="00A85E5F"/>
    <w:rsid w:val="00AD7F25"/>
    <w:rsid w:val="00AE1EC2"/>
    <w:rsid w:val="00AE499B"/>
    <w:rsid w:val="00B430E0"/>
    <w:rsid w:val="00B67B83"/>
    <w:rsid w:val="00BE7F44"/>
    <w:rsid w:val="00C7780D"/>
    <w:rsid w:val="00C77BB9"/>
    <w:rsid w:val="00CA7FDA"/>
    <w:rsid w:val="00D17E12"/>
    <w:rsid w:val="00D21515"/>
    <w:rsid w:val="00DB39C3"/>
    <w:rsid w:val="00DB45F2"/>
    <w:rsid w:val="00DC3F52"/>
    <w:rsid w:val="00E83FBD"/>
    <w:rsid w:val="00EA051F"/>
    <w:rsid w:val="00F125AD"/>
    <w:rsid w:val="00F81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8385A"/>
  <w15:docId w15:val="{83145B09-A2EB-4C0F-9ECB-CA9E39E9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tabs>
        <w:tab w:val="num" w:pos="360"/>
      </w:tabs>
      <w:ind w:left="0" w:firstLine="0"/>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D7F2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7F25"/>
    <w:rPr>
      <w:rFonts w:ascii="Verdana" w:hAnsi="Verdana"/>
      <w:color w:val="000000"/>
      <w:sz w:val="18"/>
      <w:szCs w:val="18"/>
    </w:rPr>
  </w:style>
  <w:style w:type="paragraph" w:styleId="Voettekst">
    <w:name w:val="footer"/>
    <w:basedOn w:val="Standaard"/>
    <w:link w:val="VoettekstChar"/>
    <w:uiPriority w:val="99"/>
    <w:unhideWhenUsed/>
    <w:rsid w:val="00AD7F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7F25"/>
    <w:rPr>
      <w:rFonts w:ascii="Verdana" w:hAnsi="Verdana"/>
      <w:color w:val="000000"/>
      <w:sz w:val="18"/>
      <w:szCs w:val="18"/>
    </w:rPr>
  </w:style>
  <w:style w:type="paragraph" w:styleId="Voetnoottekst">
    <w:name w:val="footnote text"/>
    <w:basedOn w:val="Standaard"/>
    <w:link w:val="VoetnoottekstChar"/>
    <w:uiPriority w:val="99"/>
    <w:unhideWhenUsed/>
    <w:rsid w:val="003F26D3"/>
    <w:pPr>
      <w:autoSpaceDN/>
      <w:spacing w:line="240" w:lineRule="auto"/>
      <w:textAlignment w:val="auto"/>
    </w:pPr>
    <w:rPr>
      <w:rFonts w:eastAsia="Calibri" w:cs="Times New Roman"/>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3F26D3"/>
    <w:rPr>
      <w:rFonts w:ascii="Verdana" w:eastAsia="Calibri" w:hAnsi="Verdana" w:cs="Times New Roman"/>
      <w:kern w:val="2"/>
      <w:lang w:eastAsia="en-US"/>
      <w14:ligatures w14:val="standardContextual"/>
    </w:rPr>
  </w:style>
  <w:style w:type="character" w:styleId="Voetnootmarkering">
    <w:name w:val="footnote reference"/>
    <w:basedOn w:val="Standaardalinea-lettertype"/>
    <w:uiPriority w:val="99"/>
    <w:semiHidden/>
    <w:unhideWhenUsed/>
    <w:rsid w:val="003F26D3"/>
    <w:rPr>
      <w:vertAlign w:val="superscript"/>
    </w:rPr>
  </w:style>
  <w:style w:type="character" w:styleId="Verwijzingopmerking">
    <w:name w:val="annotation reference"/>
    <w:basedOn w:val="Standaardalinea-lettertype"/>
    <w:uiPriority w:val="99"/>
    <w:semiHidden/>
    <w:unhideWhenUsed/>
    <w:rsid w:val="003F26D3"/>
    <w:rPr>
      <w:sz w:val="16"/>
      <w:szCs w:val="16"/>
    </w:rPr>
  </w:style>
  <w:style w:type="paragraph" w:styleId="Tekstopmerking">
    <w:name w:val="annotation text"/>
    <w:basedOn w:val="Standaard"/>
    <w:link w:val="TekstopmerkingChar"/>
    <w:uiPriority w:val="99"/>
    <w:unhideWhenUsed/>
    <w:rsid w:val="003F26D3"/>
    <w:pPr>
      <w:autoSpaceDN/>
      <w:spacing w:after="160" w:line="240" w:lineRule="auto"/>
      <w:textAlignment w:val="auto"/>
    </w:pPr>
    <w:rPr>
      <w:rFonts w:eastAsia="Calibri" w:cs="Times New Roman"/>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3F26D3"/>
    <w:rPr>
      <w:rFonts w:ascii="Verdana" w:eastAsia="Calibri" w:hAnsi="Verdana" w:cs="Times New Roman"/>
      <w:kern w:val="2"/>
      <w:lang w:val="en-US" w:eastAsia="en-US"/>
      <w14:ligatures w14:val="standardContextual"/>
    </w:rPr>
  </w:style>
  <w:style w:type="paragraph" w:styleId="Revisie">
    <w:name w:val="Revision"/>
    <w:hidden/>
    <w:uiPriority w:val="99"/>
    <w:semiHidden/>
    <w:rsid w:val="00B67B83"/>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B67B83"/>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B67B83"/>
    <w:rPr>
      <w:rFonts w:ascii="Verdana" w:eastAsia="Calibri" w:hAnsi="Verdana" w:cs="Times New Roman"/>
      <w:b/>
      <w:bCs/>
      <w:color w:val="000000"/>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2595</ap:Words>
  <ap:Characters>14278</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Brief aan Eerste of Tweede Kamer - Rapport Stichting Economisch Onderzoek (SEO) over crisismaatregelen internationale financiële instellingen en Europese instellingen in reactie op de COVID-19 pandemie</vt:lpstr>
    </vt:vector>
  </ap:TitlesOfParts>
  <ap:LinksUpToDate>false</ap:LinksUpToDate>
  <ap:CharactersWithSpaces>16840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2025-04-28T08:46:00.0000000Z</dcterms:created>
  <dcterms:modified xsi:type="dcterms:W3CDTF">2025-04-28T08:46:00.0000000Z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Rapport Stichting Economisch Onderzoek (SEO) over crisismaatregelen internationale financiële instellingen en Europese instellingen in reactie op de COVID-19 pandemie</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31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2025-0000104678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Rapport Stichting Economisch Onderzoek (SEO) over crisismaatregelen internationale financiële instellingen en Europese instellingen in reactie op de COVID-19 pandemie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2025-03-31T14:40:53Z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949815c5-81ce-4c42-9f98-07de695dc2b4</vt:lpwstr>
  </property>
  <property fmtid="{D5CDD505-2E9C-101B-9397-08002B2CF9AE}" pid="37" name="MSIP_Label_6800fede-0e59-47ad-af95-4e63bbdb932d_ContentBits">
    <vt:lpwstr>0</vt:lpwstr>
  </property>
</Properties>
</file>