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A7B" w:rsidP="00C37A7B" w:rsidRDefault="00C37A7B" w14:paraId="77A21B6F" w14:textId="77777777">
      <w:pPr>
        <w:pStyle w:val="StandaardAanhef"/>
      </w:pPr>
      <w:r>
        <w:t>Geachte voorzitter,</w:t>
      </w:r>
    </w:p>
    <w:p w:rsidR="00C37A7B" w:rsidP="00C37A7B" w:rsidRDefault="00C37A7B" w14:paraId="21037341" w14:textId="77777777">
      <w:r>
        <w:t xml:space="preserve">Hierbij ontvangt u het verslag van de Eurogroep en de informele bijeenkomst van de </w:t>
      </w:r>
      <w:proofErr w:type="spellStart"/>
      <w:r>
        <w:t>Ecofin</w:t>
      </w:r>
      <w:proofErr w:type="spellEnd"/>
      <w:r>
        <w:t>-ministers van 11 en 12 april 2025 in Warschau</w:t>
      </w:r>
      <w:r w:rsidR="00041DAE">
        <w:t>, Polen</w:t>
      </w:r>
      <w:r>
        <w:t xml:space="preserve">. </w:t>
      </w:r>
    </w:p>
    <w:p w:rsidR="00C37A7B" w:rsidP="00C37A7B" w:rsidRDefault="00C37A7B" w14:paraId="1C6936E5" w14:textId="77777777"/>
    <w:p w:rsidR="00C37A7B" w:rsidP="00C37A7B" w:rsidRDefault="00C37A7B" w14:paraId="0B6B9E1A" w14:textId="77777777">
      <w:r>
        <w:t xml:space="preserve">In het verslag ga ik ook in op een aantal andere onderwerpen. Deze behelzen de voortgang ten aanzien van de digitale euro, een toelichting bij het </w:t>
      </w:r>
      <w:r>
        <w:rPr>
          <w:i/>
          <w:iCs/>
        </w:rPr>
        <w:t xml:space="preserve">Carbon Border </w:t>
      </w:r>
      <w:proofErr w:type="spellStart"/>
      <w:r>
        <w:rPr>
          <w:i/>
          <w:iCs/>
        </w:rPr>
        <w:t>Adjustment</w:t>
      </w:r>
      <w:proofErr w:type="spellEnd"/>
      <w:r>
        <w:rPr>
          <w:i/>
          <w:iCs/>
        </w:rPr>
        <w:t xml:space="preserve"> </w:t>
      </w:r>
      <w:proofErr w:type="spellStart"/>
      <w:r>
        <w:rPr>
          <w:i/>
          <w:iCs/>
        </w:rPr>
        <w:t>Mechanism</w:t>
      </w:r>
      <w:proofErr w:type="spellEnd"/>
      <w:r>
        <w:rPr>
          <w:i/>
          <w:iCs/>
        </w:rPr>
        <w:t xml:space="preserve"> </w:t>
      </w:r>
      <w:r>
        <w:t>naar aanleiding van een toezegging in het Commissiedebat Eurogroep/</w:t>
      </w:r>
      <w:proofErr w:type="spellStart"/>
      <w:r>
        <w:t>Ecofin</w:t>
      </w:r>
      <w:proofErr w:type="spellEnd"/>
      <w:r>
        <w:t xml:space="preserve"> van 2 april jl., de ontwikkelingen ten aanzien van de eurotoetreding van Bulgarije</w:t>
      </w:r>
      <w:r w:rsidR="00310A7E">
        <w:t xml:space="preserve">, </w:t>
      </w:r>
      <w:r>
        <w:t>de stand van zaken ten aanzien van het indienen van de budgettair-structurele plannen voor de middellange termijn door lidstaten</w:t>
      </w:r>
      <w:r w:rsidR="00310A7E">
        <w:t xml:space="preserve"> en de onderhandelingen over Omnibus I</w:t>
      </w:r>
      <w:r>
        <w:t xml:space="preserve">.  </w:t>
      </w:r>
    </w:p>
    <w:p w:rsidR="00C37A7B" w:rsidP="00C37A7B" w:rsidRDefault="00C37A7B" w14:paraId="3A9CF3AF" w14:textId="77777777"/>
    <w:p w:rsidR="00C37A7B" w:rsidP="00C37A7B" w:rsidRDefault="00C37A7B" w14:paraId="323D48CE" w14:textId="77777777">
      <w:r>
        <w:t xml:space="preserve">Daarnaast reageer ik ook op de </w:t>
      </w:r>
      <w:r w:rsidRPr="00554156">
        <w:t xml:space="preserve">motie </w:t>
      </w:r>
      <w:r>
        <w:t>V</w:t>
      </w:r>
      <w:r w:rsidRPr="00554156">
        <w:t>an Baarle</w:t>
      </w:r>
      <w:r>
        <w:rPr>
          <w:rStyle w:val="Voetnootmarkering"/>
        </w:rPr>
        <w:footnoteReference w:id="2"/>
      </w:r>
      <w:r w:rsidR="00C20B40">
        <w:t xml:space="preserve"> die in het kader van het </w:t>
      </w:r>
      <w:proofErr w:type="spellStart"/>
      <w:r w:rsidR="00C20B40">
        <w:t>ReArm</w:t>
      </w:r>
      <w:proofErr w:type="spellEnd"/>
      <w:r w:rsidR="00C20B40">
        <w:t xml:space="preserve"> Europe Plan/Readiness 2030 van de Commissie</w:t>
      </w:r>
      <w:r w:rsidRPr="00554156">
        <w:t xml:space="preserve"> de regering </w:t>
      </w:r>
      <w:r>
        <w:t xml:space="preserve">verzoekt </w:t>
      </w:r>
      <w:r w:rsidRPr="00554156">
        <w:t>als standpunt te hanteren dat ook extra Europese investeringen in defensie geen verhoging van de EU-afdracht mogen veroorzaken</w:t>
      </w:r>
      <w:r>
        <w:t>. D</w:t>
      </w:r>
      <w:r w:rsidRPr="00554156">
        <w:t xml:space="preserve">e inzet van het kabinet </w:t>
      </w:r>
      <w:r>
        <w:t xml:space="preserve">is </w:t>
      </w:r>
      <w:r w:rsidRPr="00554156">
        <w:t>dat</w:t>
      </w:r>
      <w:r w:rsidR="00741138">
        <w:t xml:space="preserve"> deze</w:t>
      </w:r>
      <w:r w:rsidRPr="00554156">
        <w:t xml:space="preserve"> extra Europese investeringen in defensie niet resulteren in een verhoging van de EU-afdrachten</w:t>
      </w:r>
      <w:r>
        <w:t xml:space="preserve">, conform deze motie. </w:t>
      </w:r>
    </w:p>
    <w:p w:rsidR="00C37A7B" w:rsidP="00C37A7B" w:rsidRDefault="00C37A7B" w14:paraId="741EE492" w14:textId="77777777"/>
    <w:p w:rsidR="00C37A7B" w:rsidP="00C37A7B" w:rsidRDefault="00C37A7B" w14:paraId="603397CB" w14:textId="77777777">
      <w:bookmarkStart w:name="_Hlk196315819" w:id="0"/>
      <w:r>
        <w:t>Verder</w:t>
      </w:r>
      <w:r w:rsidRPr="00554156">
        <w:t xml:space="preserve"> informeer ik uw Kamer mede namens de minister van Klimaat en Groene Groei over </w:t>
      </w:r>
      <w:r>
        <w:t>de</w:t>
      </w:r>
      <w:r w:rsidRPr="00554156">
        <w:t xml:space="preserve"> reactie op een consultatie van de Europese Commissie </w:t>
      </w:r>
      <w:r>
        <w:t xml:space="preserve">(de Commissie) </w:t>
      </w:r>
      <w:r w:rsidRPr="00554156">
        <w:t xml:space="preserve">over de werking van de financiële markten voor grondstoffenderivaten en bepaalde aspecten van de spotmarkten voor energie. In de reactie </w:t>
      </w:r>
      <w:r>
        <w:t>(zie bijlage 1)</w:t>
      </w:r>
      <w:r w:rsidRPr="00554156">
        <w:t xml:space="preserve"> </w:t>
      </w:r>
      <w:r>
        <w:t xml:space="preserve">geeft Nederland </w:t>
      </w:r>
      <w:r w:rsidRPr="00554156">
        <w:t xml:space="preserve">aan dat het regelgevend en toezichtraamwerk wat </w:t>
      </w:r>
      <w:r>
        <w:t>Nederland</w:t>
      </w:r>
      <w:r w:rsidRPr="00554156">
        <w:t xml:space="preserve"> betreft in algemene zin goed functioneert en grote wijzigingen niet wenselijk zijn, mede vanwege mogelijke impact op lastendruk en het belang van een internationaal aantrekkelijke EU-markt voor grondstoffenderivaten en energie. </w:t>
      </w:r>
      <w:r>
        <w:t>Nederland pleit</w:t>
      </w:r>
      <w:r w:rsidRPr="00554156">
        <w:t xml:space="preserve"> daarom voor enkele gerichte verbeteringen en voor behoud van </w:t>
      </w:r>
      <w:r>
        <w:t>de elementen die</w:t>
      </w:r>
      <w:r w:rsidRPr="00554156">
        <w:t xml:space="preserve"> goed werk</w:t>
      </w:r>
      <w:r>
        <w:t>en</w:t>
      </w:r>
      <w:r w:rsidRPr="00554156">
        <w:t>.</w:t>
      </w:r>
    </w:p>
    <w:bookmarkEnd w:id="0"/>
    <w:p w:rsidR="00C37A7B" w:rsidP="00C37A7B" w:rsidRDefault="00C37A7B" w14:paraId="3653302C" w14:textId="77777777"/>
    <w:p w:rsidRPr="00FE6C0A" w:rsidR="00C37A7B" w:rsidP="00C37A7B" w:rsidRDefault="00C37A7B" w14:paraId="306BD144" w14:textId="77777777">
      <w:r>
        <w:t xml:space="preserve">Tot slot </w:t>
      </w:r>
      <w:r w:rsidRPr="00FE6C0A">
        <w:t xml:space="preserve">informeer ik uw Kamer over de reactie op een consultatie van de Europese Commissie over de implementatie van het prudentiële marktrisicoraamwerk voor banken (FRTB, </w:t>
      </w:r>
      <w:proofErr w:type="spellStart"/>
      <w:r w:rsidRPr="00FE6C0A">
        <w:rPr>
          <w:i/>
          <w:iCs/>
        </w:rPr>
        <w:t>fundamental</w:t>
      </w:r>
      <w:proofErr w:type="spellEnd"/>
      <w:r w:rsidRPr="00FE6C0A">
        <w:rPr>
          <w:i/>
          <w:iCs/>
        </w:rPr>
        <w:t xml:space="preserve"> review of </w:t>
      </w:r>
      <w:proofErr w:type="spellStart"/>
      <w:r w:rsidRPr="00FE6C0A">
        <w:rPr>
          <w:i/>
          <w:iCs/>
        </w:rPr>
        <w:t>the</w:t>
      </w:r>
      <w:proofErr w:type="spellEnd"/>
      <w:r w:rsidRPr="00FE6C0A">
        <w:rPr>
          <w:i/>
          <w:iCs/>
        </w:rPr>
        <w:t xml:space="preserve"> </w:t>
      </w:r>
      <w:proofErr w:type="spellStart"/>
      <w:r w:rsidRPr="00FE6C0A">
        <w:rPr>
          <w:i/>
          <w:iCs/>
        </w:rPr>
        <w:t>trading</w:t>
      </w:r>
      <w:proofErr w:type="spellEnd"/>
      <w:r w:rsidRPr="00FE6C0A">
        <w:rPr>
          <w:i/>
          <w:iCs/>
        </w:rPr>
        <w:t xml:space="preserve"> </w:t>
      </w:r>
      <w:proofErr w:type="spellStart"/>
      <w:r w:rsidRPr="00FE6C0A">
        <w:rPr>
          <w:i/>
          <w:iCs/>
        </w:rPr>
        <w:lastRenderedPageBreak/>
        <w:t>book</w:t>
      </w:r>
      <w:proofErr w:type="spellEnd"/>
      <w:r w:rsidRPr="00FE6C0A">
        <w:t xml:space="preserve">). FRTB is onderdeel van de Bazelstandaarden en bevat regels om risico’s te adresseren die voortkomen uit handelsactiviteiten van banken. De Europese Commissie heeft gedelegeerde bevoegdheden ontvangen om implementatie van dit raamwerk vanwege het internationale speelveld tijdelijk uit te stellen of tijdelijk aanpassingen voor te stellen. De Nederlandse consultatiereactie (zie </w:t>
      </w:r>
      <w:r>
        <w:t>Bijlage 4</w:t>
      </w:r>
      <w:r w:rsidRPr="00FE6C0A">
        <w:t xml:space="preserve">) laat ruimte voor meerdere (combinaties van) opties die onze eerste of tweede voorkeur hebben en spreekt zich uit tegen generiek uitstel. Alle gesteunde opties gaan uit van commitment aan de Bazelstandaarden, het voorkomen van onnodige lasten voor banken en het waarborgen van een gelijk speelveld, zowel internationaal als binnen Europa. Uitstel van FRTB brengt operationele kosten met zich mee voor veel Europese en Nederlandse banken en straalt geen commitment aan de Bazelstandaarden uit. </w:t>
      </w:r>
    </w:p>
    <w:p w:rsidRPr="005C1983" w:rsidR="00C37A7B" w:rsidP="00C37A7B" w:rsidRDefault="00C37A7B" w14:paraId="3347E9E8" w14:textId="77777777">
      <w:r w:rsidRPr="005C1983">
        <w:t xml:space="preserve"> </w:t>
      </w:r>
    </w:p>
    <w:p w:rsidR="00C37A7B" w:rsidP="00C37A7B" w:rsidRDefault="00C37A7B" w14:paraId="68E538B4" w14:textId="77777777">
      <w:pPr>
        <w:pStyle w:val="StandaardSlotzin"/>
      </w:pPr>
      <w:r>
        <w:t>Hoogachtend,</w:t>
      </w:r>
    </w:p>
    <w:p w:rsidR="00C37A7B" w:rsidP="00C37A7B" w:rsidRDefault="00C37A7B" w14:paraId="3CBD3FE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37A7B" w:rsidTr="007027F7" w14:paraId="438CA3B7" w14:textId="77777777">
        <w:tc>
          <w:tcPr>
            <w:tcW w:w="3592" w:type="dxa"/>
          </w:tcPr>
          <w:p w:rsidR="00C37A7B" w:rsidP="007027F7" w:rsidRDefault="00C37A7B" w14:paraId="4349A469" w14:textId="77777777">
            <w:r>
              <w:t>de minister van Financiën,</w:t>
            </w:r>
            <w:r>
              <w:br/>
            </w:r>
            <w:r>
              <w:br/>
            </w:r>
            <w:r>
              <w:br/>
            </w:r>
            <w:r>
              <w:br/>
            </w:r>
            <w:r>
              <w:br/>
            </w:r>
            <w:r>
              <w:br/>
            </w:r>
            <w:r>
              <w:br/>
              <w:t xml:space="preserve"> E. Heinen</w:t>
            </w:r>
          </w:p>
        </w:tc>
        <w:tc>
          <w:tcPr>
            <w:tcW w:w="3892" w:type="dxa"/>
          </w:tcPr>
          <w:p w:rsidR="00C37A7B" w:rsidP="007027F7" w:rsidRDefault="00C37A7B" w14:paraId="7B353705" w14:textId="77777777"/>
        </w:tc>
      </w:tr>
    </w:tbl>
    <w:p w:rsidRPr="00C37A7B" w:rsidR="00EA0211" w:rsidP="00C37A7B" w:rsidRDefault="00EA0211" w14:paraId="057188B6" w14:textId="77777777"/>
    <w:sectPr w:rsidRPr="00C37A7B" w:rsidR="00EA021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0C74" w14:textId="77777777" w:rsidR="00A40500" w:rsidRDefault="00A40500">
      <w:pPr>
        <w:spacing w:line="240" w:lineRule="auto"/>
      </w:pPr>
      <w:r>
        <w:separator/>
      </w:r>
    </w:p>
  </w:endnote>
  <w:endnote w:type="continuationSeparator" w:id="0">
    <w:p w14:paraId="58DAA723" w14:textId="77777777" w:rsidR="00A40500" w:rsidRDefault="00A40500">
      <w:pPr>
        <w:spacing w:line="240" w:lineRule="auto"/>
      </w:pPr>
      <w:r>
        <w:continuationSeparator/>
      </w:r>
    </w:p>
  </w:endnote>
  <w:endnote w:type="continuationNotice" w:id="1">
    <w:p w14:paraId="6E72DFC2" w14:textId="77777777" w:rsidR="00A40500" w:rsidRDefault="00A405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B9AD" w14:textId="77777777" w:rsidR="00A40500" w:rsidRDefault="00A40500">
      <w:pPr>
        <w:spacing w:line="240" w:lineRule="auto"/>
      </w:pPr>
      <w:r>
        <w:separator/>
      </w:r>
    </w:p>
  </w:footnote>
  <w:footnote w:type="continuationSeparator" w:id="0">
    <w:p w14:paraId="4DC5B89B" w14:textId="77777777" w:rsidR="00A40500" w:rsidRDefault="00A40500">
      <w:pPr>
        <w:spacing w:line="240" w:lineRule="auto"/>
      </w:pPr>
      <w:r>
        <w:continuationSeparator/>
      </w:r>
    </w:p>
  </w:footnote>
  <w:footnote w:type="continuationNotice" w:id="1">
    <w:p w14:paraId="261DFE3E" w14:textId="77777777" w:rsidR="00A40500" w:rsidRDefault="00A40500">
      <w:pPr>
        <w:spacing w:line="240" w:lineRule="auto"/>
      </w:pPr>
    </w:p>
  </w:footnote>
  <w:footnote w:id="2">
    <w:p w14:paraId="12505D5C" w14:textId="77777777" w:rsidR="00C37A7B" w:rsidRDefault="00C37A7B" w:rsidP="00C37A7B">
      <w:pPr>
        <w:pStyle w:val="Voetnoottekst"/>
      </w:pPr>
      <w:r w:rsidRPr="001862BA">
        <w:rPr>
          <w:rStyle w:val="Voetnootmarkering"/>
          <w:sz w:val="14"/>
          <w:szCs w:val="14"/>
        </w:rPr>
        <w:footnoteRef/>
      </w:r>
      <w:r>
        <w:t xml:space="preserve"> </w:t>
      </w:r>
      <w:r w:rsidRPr="001862BA">
        <w:rPr>
          <w:sz w:val="14"/>
          <w:szCs w:val="14"/>
        </w:rPr>
        <w:t>Motie 21 501-20, nr. 2225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5B6B" w14:textId="77777777" w:rsidR="00EA0211" w:rsidRDefault="00855334">
    <w:r>
      <w:rPr>
        <w:noProof/>
      </w:rPr>
      <mc:AlternateContent>
        <mc:Choice Requires="wps">
          <w:drawing>
            <wp:anchor distT="0" distB="0" distL="0" distR="0" simplePos="0" relativeHeight="251658240" behindDoc="0" locked="1" layoutInCell="1" allowOverlap="1" wp14:anchorId="4E2F68AE" wp14:editId="0BCFB12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5A7859" w14:textId="77777777" w:rsidR="00EA0211" w:rsidRDefault="00855334">
                          <w:pPr>
                            <w:pStyle w:val="StandaardReferentiegegevensKop"/>
                          </w:pPr>
                          <w:r>
                            <w:t>Directie Buitenlandse Financiële Betrekkingen</w:t>
                          </w:r>
                        </w:p>
                        <w:p w14:paraId="1EC7E85B" w14:textId="77777777" w:rsidR="00EA0211" w:rsidRDefault="00EA0211">
                          <w:pPr>
                            <w:pStyle w:val="WitregelW1"/>
                          </w:pPr>
                        </w:p>
                        <w:p w14:paraId="7629AA38" w14:textId="77777777" w:rsidR="00EA0211" w:rsidRDefault="00855334">
                          <w:pPr>
                            <w:pStyle w:val="StandaardReferentiegegevensKop"/>
                          </w:pPr>
                          <w:r>
                            <w:t>Ons kenmerk</w:t>
                          </w:r>
                        </w:p>
                        <w:p w14:paraId="37742B44" w14:textId="7B0A832B" w:rsidR="00810713" w:rsidRDefault="00D9027F">
                          <w:pPr>
                            <w:pStyle w:val="StandaardReferentiegegevens"/>
                          </w:pPr>
                          <w:r>
                            <w:fldChar w:fldCharType="begin"/>
                          </w:r>
                          <w:r>
                            <w:instrText xml:space="preserve"> DOCPROPERTY  "Kenmerk"  \* MERGEFORMAT </w:instrText>
                          </w:r>
                          <w:r>
                            <w:fldChar w:fldCharType="separate"/>
                          </w:r>
                          <w:r>
                            <w:t>2025-0000117981</w:t>
                          </w:r>
                          <w:r>
                            <w:fldChar w:fldCharType="end"/>
                          </w:r>
                        </w:p>
                      </w:txbxContent>
                    </wps:txbx>
                    <wps:bodyPr vert="horz" wrap="square" lIns="0" tIns="0" rIns="0" bIns="0" anchor="t" anchorCtr="0"/>
                  </wps:wsp>
                </a:graphicData>
              </a:graphic>
            </wp:anchor>
          </w:drawing>
        </mc:Choice>
        <mc:Fallback>
          <w:pict>
            <v:shapetype w14:anchorId="4E2F68A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5A7859" w14:textId="77777777" w:rsidR="00EA0211" w:rsidRDefault="00855334">
                    <w:pPr>
                      <w:pStyle w:val="StandaardReferentiegegevensKop"/>
                    </w:pPr>
                    <w:r>
                      <w:t>Directie Buitenlandse Financiële Betrekkingen</w:t>
                    </w:r>
                  </w:p>
                  <w:p w14:paraId="1EC7E85B" w14:textId="77777777" w:rsidR="00EA0211" w:rsidRDefault="00EA0211">
                    <w:pPr>
                      <w:pStyle w:val="WitregelW1"/>
                    </w:pPr>
                  </w:p>
                  <w:p w14:paraId="7629AA38" w14:textId="77777777" w:rsidR="00EA0211" w:rsidRDefault="00855334">
                    <w:pPr>
                      <w:pStyle w:val="StandaardReferentiegegevensKop"/>
                    </w:pPr>
                    <w:r>
                      <w:t>Ons kenmerk</w:t>
                    </w:r>
                  </w:p>
                  <w:p w14:paraId="37742B44" w14:textId="7B0A832B" w:rsidR="00810713" w:rsidRDefault="00D9027F">
                    <w:pPr>
                      <w:pStyle w:val="StandaardReferentiegegevens"/>
                    </w:pPr>
                    <w:r>
                      <w:fldChar w:fldCharType="begin"/>
                    </w:r>
                    <w:r>
                      <w:instrText xml:space="preserve"> DOCPROPERTY  "Kenmerk"  \* MERGEFORMAT </w:instrText>
                    </w:r>
                    <w:r>
                      <w:fldChar w:fldCharType="separate"/>
                    </w:r>
                    <w:r>
                      <w:t>2025-0000117981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9CC0C1F" wp14:editId="63F9CAC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49FBA6" w14:textId="77777777" w:rsidR="00810713" w:rsidRDefault="00D9027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CC0C1F"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49FBA6" w14:textId="77777777" w:rsidR="00810713" w:rsidRDefault="00D9027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0E4A250" wp14:editId="5E339A1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5D7B64" w14:textId="700B6C2F" w:rsidR="00810713" w:rsidRDefault="00D9027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E4A250"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5D7B64" w14:textId="700B6C2F" w:rsidR="00810713" w:rsidRDefault="00D9027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CCFE" w14:textId="77777777" w:rsidR="00EA0211" w:rsidRDefault="00855334">
    <w:pPr>
      <w:spacing w:after="7029" w:line="14" w:lineRule="exact"/>
    </w:pPr>
    <w:r>
      <w:rPr>
        <w:noProof/>
      </w:rPr>
      <mc:AlternateContent>
        <mc:Choice Requires="wps">
          <w:drawing>
            <wp:anchor distT="0" distB="0" distL="0" distR="0" simplePos="0" relativeHeight="251658243" behindDoc="0" locked="1" layoutInCell="1" allowOverlap="1" wp14:anchorId="7CAC86E7" wp14:editId="01C049F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B8FBDE" w14:textId="77777777" w:rsidR="00EA0211" w:rsidRDefault="00855334">
                          <w:pPr>
                            <w:spacing w:line="240" w:lineRule="auto"/>
                          </w:pPr>
                          <w:r>
                            <w:rPr>
                              <w:noProof/>
                            </w:rPr>
                            <w:drawing>
                              <wp:inline distT="0" distB="0" distL="0" distR="0" wp14:anchorId="62591F56" wp14:editId="101417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AC86E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B8FBDE" w14:textId="77777777" w:rsidR="00EA0211" w:rsidRDefault="00855334">
                    <w:pPr>
                      <w:spacing w:line="240" w:lineRule="auto"/>
                    </w:pPr>
                    <w:r>
                      <w:rPr>
                        <w:noProof/>
                      </w:rPr>
                      <w:drawing>
                        <wp:inline distT="0" distB="0" distL="0" distR="0" wp14:anchorId="62591F56" wp14:editId="101417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8E1B6D5" wp14:editId="162FF52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CC3B8D" w14:textId="77777777" w:rsidR="00855334" w:rsidRDefault="00855334"/>
                      </w:txbxContent>
                    </wps:txbx>
                    <wps:bodyPr vert="horz" wrap="square" lIns="0" tIns="0" rIns="0" bIns="0" anchor="t" anchorCtr="0"/>
                  </wps:wsp>
                </a:graphicData>
              </a:graphic>
            </wp:anchor>
          </w:drawing>
        </mc:Choice>
        <mc:Fallback>
          <w:pict>
            <v:shape w14:anchorId="48E1B6D5"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CC3B8D" w14:textId="77777777" w:rsidR="00855334" w:rsidRDefault="0085533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8DBC51C" wp14:editId="79758F87">
              <wp:simplePos x="0" y="0"/>
              <wp:positionH relativeFrom="page">
                <wp:posOffset>5930265</wp:posOffset>
              </wp:positionH>
              <wp:positionV relativeFrom="page">
                <wp:posOffset>1960880</wp:posOffset>
              </wp:positionV>
              <wp:extent cx="1371600" cy="411353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371600" cy="4113530"/>
                      </a:xfrm>
                      <a:prstGeom prst="rect">
                        <a:avLst/>
                      </a:prstGeom>
                      <a:noFill/>
                    </wps:spPr>
                    <wps:txbx>
                      <w:txbxContent>
                        <w:p w14:paraId="40A9616E" w14:textId="77777777" w:rsidR="00EA0211" w:rsidRDefault="00855334">
                          <w:pPr>
                            <w:pStyle w:val="StandaardReferentiegegevensKop"/>
                          </w:pPr>
                          <w:r>
                            <w:t>Directie Buitenlandse Financiële Betrekkingen</w:t>
                          </w:r>
                        </w:p>
                        <w:p w14:paraId="3D0B931A" w14:textId="77777777" w:rsidR="00EA0211" w:rsidRDefault="00EA0211">
                          <w:pPr>
                            <w:pStyle w:val="WitregelW1"/>
                          </w:pPr>
                        </w:p>
                        <w:p w14:paraId="001713A2" w14:textId="77777777" w:rsidR="00EA0211" w:rsidRDefault="00855334">
                          <w:pPr>
                            <w:pStyle w:val="StandaardReferentiegegevens"/>
                          </w:pPr>
                          <w:r>
                            <w:t>Korte Voorhout 7</w:t>
                          </w:r>
                        </w:p>
                        <w:p w14:paraId="1058D066" w14:textId="77777777" w:rsidR="00EA0211" w:rsidRDefault="00855334">
                          <w:pPr>
                            <w:pStyle w:val="StandaardReferentiegegevens"/>
                          </w:pPr>
                          <w:r>
                            <w:t>2511 CW  'S-GRAVENHAGE</w:t>
                          </w:r>
                        </w:p>
                        <w:p w14:paraId="3A3F826B" w14:textId="77777777" w:rsidR="00EA0211" w:rsidRDefault="00855334">
                          <w:pPr>
                            <w:pStyle w:val="StandaardReferentiegegevens"/>
                          </w:pPr>
                          <w:r>
                            <w:t>POSTBUS 20201</w:t>
                          </w:r>
                        </w:p>
                        <w:p w14:paraId="317B0E32" w14:textId="77777777" w:rsidR="00EA0211" w:rsidRDefault="00855334">
                          <w:pPr>
                            <w:pStyle w:val="StandaardReferentiegegevens"/>
                          </w:pPr>
                          <w:r>
                            <w:t>2500 EE  'S-GRAVENHAGE</w:t>
                          </w:r>
                        </w:p>
                        <w:p w14:paraId="58DC54D3" w14:textId="77777777" w:rsidR="00EA0211" w:rsidRDefault="00855334">
                          <w:pPr>
                            <w:pStyle w:val="StandaardReferentiegegevens"/>
                          </w:pPr>
                          <w:r>
                            <w:t>www.rijksoverheid.nl/fin</w:t>
                          </w:r>
                        </w:p>
                        <w:p w14:paraId="17AF197E" w14:textId="77777777" w:rsidR="00EA0211" w:rsidRDefault="00EA0211">
                          <w:pPr>
                            <w:pStyle w:val="WitregelW2"/>
                          </w:pPr>
                        </w:p>
                        <w:p w14:paraId="3371AD66" w14:textId="77777777" w:rsidR="00EA0211" w:rsidRDefault="00855334">
                          <w:pPr>
                            <w:pStyle w:val="StandaardReferentiegegevensKop"/>
                          </w:pPr>
                          <w:r>
                            <w:t>Ons kenmerk</w:t>
                          </w:r>
                        </w:p>
                        <w:p w14:paraId="2B15E57E" w14:textId="678CD6EA" w:rsidR="00810713" w:rsidRDefault="00D9027F">
                          <w:pPr>
                            <w:pStyle w:val="StandaardReferentiegegevens"/>
                          </w:pPr>
                          <w:r>
                            <w:fldChar w:fldCharType="begin"/>
                          </w:r>
                          <w:r>
                            <w:instrText xml:space="preserve"> DOCPROPERTY  "Kenmerk"  \* MERGEFORMAT </w:instrText>
                          </w:r>
                          <w:r>
                            <w:fldChar w:fldCharType="separate"/>
                          </w:r>
                          <w:r>
                            <w:t>2025-0000117981</w:t>
                          </w:r>
                          <w:r>
                            <w:fldChar w:fldCharType="end"/>
                          </w:r>
                        </w:p>
                        <w:p w14:paraId="0211D889" w14:textId="77777777" w:rsidR="00EA0211" w:rsidRDefault="00EA0211">
                          <w:pPr>
                            <w:pStyle w:val="WitregelW1"/>
                          </w:pPr>
                        </w:p>
                        <w:p w14:paraId="01ACB75F" w14:textId="77777777" w:rsidR="00EA0211" w:rsidRDefault="00855334">
                          <w:pPr>
                            <w:pStyle w:val="StandaardReferentiegegevensKop"/>
                          </w:pPr>
                          <w:r>
                            <w:t>Uw brief (kenmerk)</w:t>
                          </w:r>
                        </w:p>
                        <w:p w14:paraId="5A036272" w14:textId="0B957671" w:rsidR="00810713" w:rsidRDefault="00D9027F">
                          <w:pPr>
                            <w:pStyle w:val="StandaardReferentiegegevens"/>
                          </w:pPr>
                          <w:r>
                            <w:fldChar w:fldCharType="begin"/>
                          </w:r>
                          <w:r>
                            <w:instrText xml:space="preserve"> DOCPROPERTY  "UwKenmerk"  \* MERGEFORMAT </w:instrText>
                          </w:r>
                          <w:r>
                            <w:fldChar w:fldCharType="end"/>
                          </w:r>
                        </w:p>
                        <w:p w14:paraId="4EE4A353" w14:textId="77777777" w:rsidR="00EA0211" w:rsidRDefault="00EA0211">
                          <w:pPr>
                            <w:pStyle w:val="WitregelW1"/>
                          </w:pPr>
                        </w:p>
                        <w:p w14:paraId="345A7946" w14:textId="77777777" w:rsidR="003E2011" w:rsidRDefault="00855334" w:rsidP="003E2011">
                          <w:pPr>
                            <w:pStyle w:val="StandaardReferentiegegevensKop"/>
                          </w:pPr>
                          <w:r>
                            <w:t>Bijlagen</w:t>
                          </w:r>
                        </w:p>
                        <w:p w14:paraId="0DEB4F45" w14:textId="77777777" w:rsidR="00684FC4" w:rsidRDefault="00D06CFC" w:rsidP="003E2011">
                          <w:pPr>
                            <w:pStyle w:val="StandaardReferentiegegevensKop"/>
                            <w:rPr>
                              <w:b w:val="0"/>
                              <w:bCs/>
                            </w:rPr>
                          </w:pPr>
                          <w:r>
                            <w:rPr>
                              <w:b w:val="0"/>
                              <w:bCs/>
                            </w:rPr>
                            <w:t xml:space="preserve">Bijlage 1 - </w:t>
                          </w:r>
                          <w:r w:rsidR="003E2011" w:rsidRPr="003E2011">
                            <w:rPr>
                              <w:b w:val="0"/>
                              <w:bCs/>
                            </w:rPr>
                            <w:t xml:space="preserve">Verslag </w:t>
                          </w:r>
                        </w:p>
                        <w:p w14:paraId="174CBF91" w14:textId="77777777" w:rsidR="00DB5439" w:rsidRDefault="003E2011" w:rsidP="003E2011">
                          <w:pPr>
                            <w:pStyle w:val="StandaardReferentiegegevensKop"/>
                            <w:rPr>
                              <w:b w:val="0"/>
                              <w:bCs/>
                            </w:rPr>
                          </w:pPr>
                          <w:r w:rsidRPr="003E2011">
                            <w:rPr>
                              <w:b w:val="0"/>
                              <w:bCs/>
                            </w:rPr>
                            <w:t>Eurogroep</w:t>
                          </w:r>
                          <w:r w:rsidR="00862C42">
                            <w:rPr>
                              <w:b w:val="0"/>
                              <w:bCs/>
                            </w:rPr>
                            <w:t xml:space="preserve"> en</w:t>
                          </w:r>
                          <w:r w:rsidR="00684FC4">
                            <w:rPr>
                              <w:b w:val="0"/>
                              <w:bCs/>
                            </w:rPr>
                            <w:t xml:space="preserve"> informele </w:t>
                          </w:r>
                          <w:proofErr w:type="spellStart"/>
                          <w:r w:rsidRPr="003E2011">
                            <w:rPr>
                              <w:b w:val="0"/>
                              <w:bCs/>
                            </w:rPr>
                            <w:t>Ecofinraad</w:t>
                          </w:r>
                          <w:proofErr w:type="spellEnd"/>
                          <w:r w:rsidRPr="003E2011">
                            <w:rPr>
                              <w:b w:val="0"/>
                              <w:bCs/>
                            </w:rPr>
                            <w:t xml:space="preserve"> april 2025</w:t>
                          </w:r>
                        </w:p>
                        <w:p w14:paraId="765DEBAC" w14:textId="77777777" w:rsidR="00406B61" w:rsidRDefault="00406B61" w:rsidP="00406B61"/>
                        <w:p w14:paraId="0C272910" w14:textId="77777777" w:rsidR="00406B61" w:rsidRDefault="00406B61" w:rsidP="00406B61">
                          <w:pPr>
                            <w:spacing w:line="240" w:lineRule="auto"/>
                            <w:rPr>
                              <w:sz w:val="13"/>
                              <w:szCs w:val="13"/>
                            </w:rPr>
                          </w:pPr>
                          <w:r w:rsidRPr="00406B61">
                            <w:rPr>
                              <w:sz w:val="13"/>
                              <w:szCs w:val="13"/>
                            </w:rPr>
                            <w:t xml:space="preserve">Bijlage 2 </w:t>
                          </w:r>
                          <w:r>
                            <w:rPr>
                              <w:sz w:val="13"/>
                              <w:szCs w:val="13"/>
                            </w:rPr>
                            <w:t>–</w:t>
                          </w:r>
                          <w:r w:rsidRPr="00406B61">
                            <w:rPr>
                              <w:sz w:val="13"/>
                              <w:szCs w:val="13"/>
                            </w:rPr>
                            <w:t xml:space="preserve"> Consultatie</w:t>
                          </w:r>
                          <w:r>
                            <w:rPr>
                              <w:sz w:val="13"/>
                              <w:szCs w:val="13"/>
                            </w:rPr>
                            <w:t>reactie</w:t>
                          </w:r>
                        </w:p>
                        <w:p w14:paraId="555EFCCA" w14:textId="77777777" w:rsidR="00406B61" w:rsidRDefault="00406B61" w:rsidP="00406B61">
                          <w:pPr>
                            <w:spacing w:line="240" w:lineRule="auto"/>
                            <w:rPr>
                              <w:sz w:val="13"/>
                              <w:szCs w:val="13"/>
                            </w:rPr>
                          </w:pPr>
                          <w:r>
                            <w:rPr>
                              <w:sz w:val="13"/>
                              <w:szCs w:val="13"/>
                            </w:rPr>
                            <w:t>grondstoffenderivatenmarkt</w:t>
                          </w:r>
                        </w:p>
                        <w:p w14:paraId="3814B124" w14:textId="77777777" w:rsidR="00406B61" w:rsidRDefault="00406B61" w:rsidP="00406B61">
                          <w:pPr>
                            <w:spacing w:line="240" w:lineRule="auto"/>
                            <w:rPr>
                              <w:sz w:val="13"/>
                              <w:szCs w:val="13"/>
                            </w:rPr>
                          </w:pPr>
                          <w:r>
                            <w:rPr>
                              <w:sz w:val="13"/>
                              <w:szCs w:val="13"/>
                            </w:rPr>
                            <w:t>en spotenergiemarkten</w:t>
                          </w:r>
                        </w:p>
                        <w:p w14:paraId="0CDC912A" w14:textId="77777777" w:rsidR="00D06CFC" w:rsidRDefault="00D06CFC" w:rsidP="00406B61">
                          <w:pPr>
                            <w:spacing w:line="240" w:lineRule="auto"/>
                            <w:rPr>
                              <w:sz w:val="13"/>
                              <w:szCs w:val="13"/>
                            </w:rPr>
                          </w:pPr>
                        </w:p>
                        <w:p w14:paraId="15FE754E" w14:textId="07605773" w:rsidR="005078F9" w:rsidRPr="00230F09" w:rsidRDefault="0008334A" w:rsidP="00230F09">
                          <w:pPr>
                            <w:spacing w:line="240" w:lineRule="auto"/>
                            <w:rPr>
                              <w:sz w:val="13"/>
                              <w:szCs w:val="13"/>
                            </w:rPr>
                          </w:pPr>
                          <w:r>
                            <w:rPr>
                              <w:sz w:val="13"/>
                              <w:szCs w:val="13"/>
                            </w:rPr>
                            <w:t xml:space="preserve">Bijlage </w:t>
                          </w:r>
                          <w:r w:rsidR="00230F09">
                            <w:rPr>
                              <w:sz w:val="13"/>
                              <w:szCs w:val="13"/>
                            </w:rPr>
                            <w:t>3</w:t>
                          </w:r>
                          <w:r>
                            <w:rPr>
                              <w:sz w:val="13"/>
                              <w:szCs w:val="13"/>
                            </w:rPr>
                            <w:t xml:space="preserve"> – Consultatiereactie</w:t>
                          </w:r>
                          <w:r>
                            <w:rPr>
                              <w:sz w:val="13"/>
                              <w:szCs w:val="13"/>
                            </w:rPr>
                            <w:br/>
                            <w:t xml:space="preserve">implementatie </w:t>
                          </w:r>
                          <w:proofErr w:type="spellStart"/>
                          <w:r>
                            <w:rPr>
                              <w:sz w:val="13"/>
                              <w:szCs w:val="13"/>
                            </w:rPr>
                            <w:t>prudentiële</w:t>
                          </w:r>
                          <w:proofErr w:type="spellEnd"/>
                          <w:r>
                            <w:rPr>
                              <w:sz w:val="13"/>
                              <w:szCs w:val="13"/>
                            </w:rPr>
                            <w:t xml:space="preserve"> marktrisic</w:t>
                          </w:r>
                          <w:r w:rsidR="00594906">
                            <w:rPr>
                              <w:sz w:val="13"/>
                              <w:szCs w:val="13"/>
                            </w:rPr>
                            <w:t>o</w:t>
                          </w:r>
                          <w:r>
                            <w:rPr>
                              <w:sz w:val="13"/>
                              <w:szCs w:val="13"/>
                            </w:rPr>
                            <w:t>raamwerk</w:t>
                          </w:r>
                          <w:r w:rsidR="00742D16">
                            <w:rPr>
                              <w:sz w:val="13"/>
                              <w:szCs w:val="13"/>
                            </w:rPr>
                            <w:t xml:space="preserve"> voor banken</w:t>
                          </w:r>
                        </w:p>
                        <w:p w14:paraId="5DE6E110" w14:textId="77777777" w:rsidR="00EA0211" w:rsidRDefault="00EA0211" w:rsidP="005078F9">
                          <w:pPr>
                            <w:pStyle w:val="StandaardReferentiegegevens"/>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BC51C" id="bd4a91e7-03a6-11ee-8f29-0242ac130005" o:spid="_x0000_s1031" type="#_x0000_t202" style="position:absolute;margin-left:466.95pt;margin-top:154.4pt;width:108pt;height:323.9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" filled="f" stroked="f">
              <v:textbox inset="0,0,0,0">
                <w:txbxContent>
                  <w:p w14:paraId="40A9616E" w14:textId="77777777" w:rsidR="00EA0211" w:rsidRDefault="00855334">
                    <w:pPr>
                      <w:pStyle w:val="StandaardReferentiegegevensKop"/>
                    </w:pPr>
                    <w:r>
                      <w:t>Directie Buitenlandse Financiële Betrekkingen</w:t>
                    </w:r>
                  </w:p>
                  <w:p w14:paraId="3D0B931A" w14:textId="77777777" w:rsidR="00EA0211" w:rsidRDefault="00EA0211">
                    <w:pPr>
                      <w:pStyle w:val="WitregelW1"/>
                    </w:pPr>
                  </w:p>
                  <w:p w14:paraId="001713A2" w14:textId="77777777" w:rsidR="00EA0211" w:rsidRDefault="00855334">
                    <w:pPr>
                      <w:pStyle w:val="StandaardReferentiegegevens"/>
                    </w:pPr>
                    <w:r>
                      <w:t>Korte Voorhout 7</w:t>
                    </w:r>
                  </w:p>
                  <w:p w14:paraId="1058D066" w14:textId="77777777" w:rsidR="00EA0211" w:rsidRDefault="00855334">
                    <w:pPr>
                      <w:pStyle w:val="StandaardReferentiegegevens"/>
                    </w:pPr>
                    <w:r>
                      <w:t>2511 CW  'S-GRAVENHAGE</w:t>
                    </w:r>
                  </w:p>
                  <w:p w14:paraId="3A3F826B" w14:textId="77777777" w:rsidR="00EA0211" w:rsidRDefault="00855334">
                    <w:pPr>
                      <w:pStyle w:val="StandaardReferentiegegevens"/>
                    </w:pPr>
                    <w:r>
                      <w:t>POSTBUS 20201</w:t>
                    </w:r>
                  </w:p>
                  <w:p w14:paraId="317B0E32" w14:textId="77777777" w:rsidR="00EA0211" w:rsidRDefault="00855334">
                    <w:pPr>
                      <w:pStyle w:val="StandaardReferentiegegevens"/>
                    </w:pPr>
                    <w:r>
                      <w:t>2500 EE  'S-GRAVENHAGE</w:t>
                    </w:r>
                  </w:p>
                  <w:p w14:paraId="58DC54D3" w14:textId="77777777" w:rsidR="00EA0211" w:rsidRDefault="00855334">
                    <w:pPr>
                      <w:pStyle w:val="StandaardReferentiegegevens"/>
                    </w:pPr>
                    <w:r>
                      <w:t>www.rijksoverheid.nl/fin</w:t>
                    </w:r>
                  </w:p>
                  <w:p w14:paraId="17AF197E" w14:textId="77777777" w:rsidR="00EA0211" w:rsidRDefault="00EA0211">
                    <w:pPr>
                      <w:pStyle w:val="WitregelW2"/>
                    </w:pPr>
                  </w:p>
                  <w:p w14:paraId="3371AD66" w14:textId="77777777" w:rsidR="00EA0211" w:rsidRDefault="00855334">
                    <w:pPr>
                      <w:pStyle w:val="StandaardReferentiegegevensKop"/>
                    </w:pPr>
                    <w:r>
                      <w:t>Ons kenmerk</w:t>
                    </w:r>
                  </w:p>
                  <w:p w14:paraId="2B15E57E" w14:textId="678CD6EA" w:rsidR="00810713" w:rsidRDefault="00D9027F">
                    <w:pPr>
                      <w:pStyle w:val="StandaardReferentiegegevens"/>
                    </w:pPr>
                    <w:r>
                      <w:fldChar w:fldCharType="begin"/>
                    </w:r>
                    <w:r>
                      <w:instrText xml:space="preserve"> DOCPROPERTY  "Kenmerk"  \* MERGEFORMAT </w:instrText>
                    </w:r>
                    <w:r>
                      <w:fldChar w:fldCharType="separate"/>
                    </w:r>
                    <w:r>
                      <w:t>2025-0000117981</w:t>
                    </w:r>
                    <w:r>
                      <w:fldChar w:fldCharType="end"/>
                    </w:r>
                  </w:p>
                  <w:p w14:paraId="0211D889" w14:textId="77777777" w:rsidR="00EA0211" w:rsidRDefault="00EA0211">
                    <w:pPr>
                      <w:pStyle w:val="WitregelW1"/>
                    </w:pPr>
                  </w:p>
                  <w:p w14:paraId="01ACB75F" w14:textId="77777777" w:rsidR="00EA0211" w:rsidRDefault="00855334">
                    <w:pPr>
                      <w:pStyle w:val="StandaardReferentiegegevensKop"/>
                    </w:pPr>
                    <w:r>
                      <w:t>Uw brief (kenmerk)</w:t>
                    </w:r>
                  </w:p>
                  <w:p w14:paraId="5A036272" w14:textId="0B957671" w:rsidR="00810713" w:rsidRDefault="00D9027F">
                    <w:pPr>
                      <w:pStyle w:val="StandaardReferentiegegevens"/>
                    </w:pPr>
                    <w:r>
                      <w:fldChar w:fldCharType="begin"/>
                    </w:r>
                    <w:r>
                      <w:instrText xml:space="preserve"> DOCPROPERTY  "UwKenmerk"  \* MERGEFORMAT </w:instrText>
                    </w:r>
                    <w:r>
                      <w:fldChar w:fldCharType="end"/>
                    </w:r>
                  </w:p>
                  <w:p w14:paraId="4EE4A353" w14:textId="77777777" w:rsidR="00EA0211" w:rsidRDefault="00EA0211">
                    <w:pPr>
                      <w:pStyle w:val="WitregelW1"/>
                    </w:pPr>
                  </w:p>
                  <w:p w14:paraId="345A7946" w14:textId="77777777" w:rsidR="003E2011" w:rsidRDefault="00855334" w:rsidP="003E2011">
                    <w:pPr>
                      <w:pStyle w:val="StandaardReferentiegegevensKop"/>
                    </w:pPr>
                    <w:r>
                      <w:t>Bijlagen</w:t>
                    </w:r>
                  </w:p>
                  <w:p w14:paraId="0DEB4F45" w14:textId="77777777" w:rsidR="00684FC4" w:rsidRDefault="00D06CFC" w:rsidP="003E2011">
                    <w:pPr>
                      <w:pStyle w:val="StandaardReferentiegegevensKop"/>
                      <w:rPr>
                        <w:b w:val="0"/>
                        <w:bCs/>
                      </w:rPr>
                    </w:pPr>
                    <w:r>
                      <w:rPr>
                        <w:b w:val="0"/>
                        <w:bCs/>
                      </w:rPr>
                      <w:t xml:space="preserve">Bijlage 1 - </w:t>
                    </w:r>
                    <w:r w:rsidR="003E2011" w:rsidRPr="003E2011">
                      <w:rPr>
                        <w:b w:val="0"/>
                        <w:bCs/>
                      </w:rPr>
                      <w:t xml:space="preserve">Verslag </w:t>
                    </w:r>
                  </w:p>
                  <w:p w14:paraId="174CBF91" w14:textId="77777777" w:rsidR="00DB5439" w:rsidRDefault="003E2011" w:rsidP="003E2011">
                    <w:pPr>
                      <w:pStyle w:val="StandaardReferentiegegevensKop"/>
                      <w:rPr>
                        <w:b w:val="0"/>
                        <w:bCs/>
                      </w:rPr>
                    </w:pPr>
                    <w:r w:rsidRPr="003E2011">
                      <w:rPr>
                        <w:b w:val="0"/>
                        <w:bCs/>
                      </w:rPr>
                      <w:t>Eurogroep</w:t>
                    </w:r>
                    <w:r w:rsidR="00862C42">
                      <w:rPr>
                        <w:b w:val="0"/>
                        <w:bCs/>
                      </w:rPr>
                      <w:t xml:space="preserve"> en</w:t>
                    </w:r>
                    <w:r w:rsidR="00684FC4">
                      <w:rPr>
                        <w:b w:val="0"/>
                        <w:bCs/>
                      </w:rPr>
                      <w:t xml:space="preserve"> informele </w:t>
                    </w:r>
                    <w:proofErr w:type="spellStart"/>
                    <w:r w:rsidRPr="003E2011">
                      <w:rPr>
                        <w:b w:val="0"/>
                        <w:bCs/>
                      </w:rPr>
                      <w:t>Ecofinraad</w:t>
                    </w:r>
                    <w:proofErr w:type="spellEnd"/>
                    <w:r w:rsidRPr="003E2011">
                      <w:rPr>
                        <w:b w:val="0"/>
                        <w:bCs/>
                      </w:rPr>
                      <w:t xml:space="preserve"> april 2025</w:t>
                    </w:r>
                  </w:p>
                  <w:p w14:paraId="765DEBAC" w14:textId="77777777" w:rsidR="00406B61" w:rsidRDefault="00406B61" w:rsidP="00406B61"/>
                  <w:p w14:paraId="0C272910" w14:textId="77777777" w:rsidR="00406B61" w:rsidRDefault="00406B61" w:rsidP="00406B61">
                    <w:pPr>
                      <w:spacing w:line="240" w:lineRule="auto"/>
                      <w:rPr>
                        <w:sz w:val="13"/>
                        <w:szCs w:val="13"/>
                      </w:rPr>
                    </w:pPr>
                    <w:r w:rsidRPr="00406B61">
                      <w:rPr>
                        <w:sz w:val="13"/>
                        <w:szCs w:val="13"/>
                      </w:rPr>
                      <w:t xml:space="preserve">Bijlage 2 </w:t>
                    </w:r>
                    <w:r>
                      <w:rPr>
                        <w:sz w:val="13"/>
                        <w:szCs w:val="13"/>
                      </w:rPr>
                      <w:t>–</w:t>
                    </w:r>
                    <w:r w:rsidRPr="00406B61">
                      <w:rPr>
                        <w:sz w:val="13"/>
                        <w:szCs w:val="13"/>
                      </w:rPr>
                      <w:t xml:space="preserve"> Consultatie</w:t>
                    </w:r>
                    <w:r>
                      <w:rPr>
                        <w:sz w:val="13"/>
                        <w:szCs w:val="13"/>
                      </w:rPr>
                      <w:t>reactie</w:t>
                    </w:r>
                  </w:p>
                  <w:p w14:paraId="555EFCCA" w14:textId="77777777" w:rsidR="00406B61" w:rsidRDefault="00406B61" w:rsidP="00406B61">
                    <w:pPr>
                      <w:spacing w:line="240" w:lineRule="auto"/>
                      <w:rPr>
                        <w:sz w:val="13"/>
                        <w:szCs w:val="13"/>
                      </w:rPr>
                    </w:pPr>
                    <w:r>
                      <w:rPr>
                        <w:sz w:val="13"/>
                        <w:szCs w:val="13"/>
                      </w:rPr>
                      <w:t>grondstoffenderivatenmarkt</w:t>
                    </w:r>
                  </w:p>
                  <w:p w14:paraId="3814B124" w14:textId="77777777" w:rsidR="00406B61" w:rsidRDefault="00406B61" w:rsidP="00406B61">
                    <w:pPr>
                      <w:spacing w:line="240" w:lineRule="auto"/>
                      <w:rPr>
                        <w:sz w:val="13"/>
                        <w:szCs w:val="13"/>
                      </w:rPr>
                    </w:pPr>
                    <w:r>
                      <w:rPr>
                        <w:sz w:val="13"/>
                        <w:szCs w:val="13"/>
                      </w:rPr>
                      <w:t>en spotenergiemarkten</w:t>
                    </w:r>
                  </w:p>
                  <w:p w14:paraId="0CDC912A" w14:textId="77777777" w:rsidR="00D06CFC" w:rsidRDefault="00D06CFC" w:rsidP="00406B61">
                    <w:pPr>
                      <w:spacing w:line="240" w:lineRule="auto"/>
                      <w:rPr>
                        <w:sz w:val="13"/>
                        <w:szCs w:val="13"/>
                      </w:rPr>
                    </w:pPr>
                  </w:p>
                  <w:p w14:paraId="15FE754E" w14:textId="07605773" w:rsidR="005078F9" w:rsidRPr="00230F09" w:rsidRDefault="0008334A" w:rsidP="00230F09">
                    <w:pPr>
                      <w:spacing w:line="240" w:lineRule="auto"/>
                      <w:rPr>
                        <w:sz w:val="13"/>
                        <w:szCs w:val="13"/>
                      </w:rPr>
                    </w:pPr>
                    <w:r>
                      <w:rPr>
                        <w:sz w:val="13"/>
                        <w:szCs w:val="13"/>
                      </w:rPr>
                      <w:t xml:space="preserve">Bijlage </w:t>
                    </w:r>
                    <w:r w:rsidR="00230F09">
                      <w:rPr>
                        <w:sz w:val="13"/>
                        <w:szCs w:val="13"/>
                      </w:rPr>
                      <w:t>3</w:t>
                    </w:r>
                    <w:r>
                      <w:rPr>
                        <w:sz w:val="13"/>
                        <w:szCs w:val="13"/>
                      </w:rPr>
                      <w:t xml:space="preserve"> – Consultatiereactie</w:t>
                    </w:r>
                    <w:r>
                      <w:rPr>
                        <w:sz w:val="13"/>
                        <w:szCs w:val="13"/>
                      </w:rPr>
                      <w:br/>
                      <w:t xml:space="preserve">implementatie </w:t>
                    </w:r>
                    <w:proofErr w:type="spellStart"/>
                    <w:r>
                      <w:rPr>
                        <w:sz w:val="13"/>
                        <w:szCs w:val="13"/>
                      </w:rPr>
                      <w:t>prudentiële</w:t>
                    </w:r>
                    <w:proofErr w:type="spellEnd"/>
                    <w:r>
                      <w:rPr>
                        <w:sz w:val="13"/>
                        <w:szCs w:val="13"/>
                      </w:rPr>
                      <w:t xml:space="preserve"> marktrisic</w:t>
                    </w:r>
                    <w:r w:rsidR="00594906">
                      <w:rPr>
                        <w:sz w:val="13"/>
                        <w:szCs w:val="13"/>
                      </w:rPr>
                      <w:t>o</w:t>
                    </w:r>
                    <w:r>
                      <w:rPr>
                        <w:sz w:val="13"/>
                        <w:szCs w:val="13"/>
                      </w:rPr>
                      <w:t>raamwerk</w:t>
                    </w:r>
                    <w:r w:rsidR="00742D16">
                      <w:rPr>
                        <w:sz w:val="13"/>
                        <w:szCs w:val="13"/>
                      </w:rPr>
                      <w:t xml:space="preserve"> voor banken</w:t>
                    </w:r>
                  </w:p>
                  <w:p w14:paraId="5DE6E110" w14:textId="77777777" w:rsidR="00EA0211" w:rsidRDefault="00EA0211" w:rsidP="005078F9">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8784896" wp14:editId="698596D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47B15A7" w14:textId="77777777" w:rsidR="00EA0211" w:rsidRDefault="0085533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8784896"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47B15A7" w14:textId="77777777" w:rsidR="00EA0211" w:rsidRDefault="0085533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4F92CC5" wp14:editId="263759E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7D9BEE" w14:textId="589EA7BA" w:rsidR="00810713" w:rsidRDefault="00D9027F">
                          <w:pPr>
                            <w:pStyle w:val="Rubricering"/>
                          </w:pPr>
                          <w:r>
                            <w:fldChar w:fldCharType="begin"/>
                          </w:r>
                          <w:r>
                            <w:instrText xml:space="preserve"> DOCPROPERTY  "Rubricering"  \* MERGEFORMAT </w:instrText>
                          </w:r>
                          <w:r>
                            <w:fldChar w:fldCharType="end"/>
                          </w:r>
                        </w:p>
                        <w:p w14:paraId="7BD3E222" w14:textId="77777777" w:rsidR="00EA0211" w:rsidRDefault="0085533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4F92CC5"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7D9BEE" w14:textId="589EA7BA" w:rsidR="00810713" w:rsidRDefault="00D9027F">
                    <w:pPr>
                      <w:pStyle w:val="Rubricering"/>
                    </w:pPr>
                    <w:r>
                      <w:fldChar w:fldCharType="begin"/>
                    </w:r>
                    <w:r>
                      <w:instrText xml:space="preserve"> DOCPROPERTY  "Rubricering"  \* MERGEFORMAT </w:instrText>
                    </w:r>
                    <w:r>
                      <w:fldChar w:fldCharType="end"/>
                    </w:r>
                  </w:p>
                  <w:p w14:paraId="7BD3E222" w14:textId="77777777" w:rsidR="00EA0211" w:rsidRDefault="0085533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80F90A" wp14:editId="52DED3B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0E33AE" w14:textId="77777777" w:rsidR="00810713" w:rsidRDefault="00D9027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80F90A"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40E33AE" w14:textId="77777777" w:rsidR="00810713" w:rsidRDefault="00D9027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96D0093" wp14:editId="75BBF33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0211" w14:paraId="343ED959" w14:textId="77777777">
                            <w:trPr>
                              <w:trHeight w:val="200"/>
                            </w:trPr>
                            <w:tc>
                              <w:tcPr>
                                <w:tcW w:w="1140" w:type="dxa"/>
                              </w:tcPr>
                              <w:p w14:paraId="5ACE5E9F" w14:textId="77777777" w:rsidR="00EA0211" w:rsidRDefault="00EA0211"/>
                            </w:tc>
                            <w:tc>
                              <w:tcPr>
                                <w:tcW w:w="5400" w:type="dxa"/>
                              </w:tcPr>
                              <w:p w14:paraId="3A10DEC4" w14:textId="77777777" w:rsidR="00EA0211" w:rsidRDefault="00EA0211"/>
                            </w:tc>
                          </w:tr>
                          <w:tr w:rsidR="00EA0211" w14:paraId="59115F67" w14:textId="77777777">
                            <w:trPr>
                              <w:trHeight w:val="240"/>
                            </w:trPr>
                            <w:tc>
                              <w:tcPr>
                                <w:tcW w:w="1140" w:type="dxa"/>
                              </w:tcPr>
                              <w:p w14:paraId="6A25047F" w14:textId="77777777" w:rsidR="00EA0211" w:rsidRDefault="00855334">
                                <w:r>
                                  <w:t>Datum</w:t>
                                </w:r>
                              </w:p>
                            </w:tc>
                            <w:tc>
                              <w:tcPr>
                                <w:tcW w:w="5400" w:type="dxa"/>
                              </w:tcPr>
                              <w:p w14:paraId="292A5BD2" w14:textId="3647EA5C" w:rsidR="00EA0211" w:rsidRDefault="0021306E">
                                <w:r>
                                  <w:t>29 april 2025</w:t>
                                </w:r>
                              </w:p>
                            </w:tc>
                          </w:tr>
                          <w:tr w:rsidR="00EA0211" w14:paraId="75BDB494" w14:textId="77777777">
                            <w:trPr>
                              <w:trHeight w:val="240"/>
                            </w:trPr>
                            <w:tc>
                              <w:tcPr>
                                <w:tcW w:w="1140" w:type="dxa"/>
                              </w:tcPr>
                              <w:p w14:paraId="0A85E3A3" w14:textId="77777777" w:rsidR="00EA0211" w:rsidRDefault="00855334">
                                <w:r>
                                  <w:t>Betreft</w:t>
                                </w:r>
                              </w:p>
                            </w:tc>
                            <w:tc>
                              <w:tcPr>
                                <w:tcW w:w="5400" w:type="dxa"/>
                              </w:tcPr>
                              <w:p w14:paraId="4D7AA94C" w14:textId="77777777" w:rsidR="00EB4B08" w:rsidRDefault="004C1C12">
                                <w:r>
                                  <w:t xml:space="preserve">Verslag Eurogroep en informele bijeenkomst </w:t>
                                </w:r>
                                <w:proofErr w:type="spellStart"/>
                                <w:r>
                                  <w:t>Ecofin</w:t>
                                </w:r>
                                <w:proofErr w:type="spellEnd"/>
                                <w:r>
                                  <w:t>-ministers 11 en 12 april 2025</w:t>
                                </w:r>
                              </w:p>
                            </w:tc>
                          </w:tr>
                          <w:tr w:rsidR="00EA0211" w14:paraId="30B810EB" w14:textId="77777777">
                            <w:trPr>
                              <w:trHeight w:val="200"/>
                            </w:trPr>
                            <w:tc>
                              <w:tcPr>
                                <w:tcW w:w="1140" w:type="dxa"/>
                              </w:tcPr>
                              <w:p w14:paraId="09C58828" w14:textId="77777777" w:rsidR="00EA0211" w:rsidRDefault="00EA0211"/>
                            </w:tc>
                            <w:tc>
                              <w:tcPr>
                                <w:tcW w:w="4738" w:type="dxa"/>
                              </w:tcPr>
                              <w:p w14:paraId="7A0519B4" w14:textId="77777777" w:rsidR="00EA0211" w:rsidRDefault="00EA0211"/>
                            </w:tc>
                          </w:tr>
                        </w:tbl>
                        <w:p w14:paraId="206DCB09" w14:textId="77777777" w:rsidR="00855334" w:rsidRDefault="00855334"/>
                      </w:txbxContent>
                    </wps:txbx>
                    <wps:bodyPr vert="horz" wrap="square" lIns="0" tIns="0" rIns="0" bIns="0" anchor="t" anchorCtr="0"/>
                  </wps:wsp>
                </a:graphicData>
              </a:graphic>
            </wp:anchor>
          </w:drawing>
        </mc:Choice>
        <mc:Fallback>
          <w:pict>
            <v:shape w14:anchorId="496D0093"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A0211" w14:paraId="343ED959" w14:textId="77777777">
                      <w:trPr>
                        <w:trHeight w:val="200"/>
                      </w:trPr>
                      <w:tc>
                        <w:tcPr>
                          <w:tcW w:w="1140" w:type="dxa"/>
                        </w:tcPr>
                        <w:p w14:paraId="5ACE5E9F" w14:textId="77777777" w:rsidR="00EA0211" w:rsidRDefault="00EA0211"/>
                      </w:tc>
                      <w:tc>
                        <w:tcPr>
                          <w:tcW w:w="5400" w:type="dxa"/>
                        </w:tcPr>
                        <w:p w14:paraId="3A10DEC4" w14:textId="77777777" w:rsidR="00EA0211" w:rsidRDefault="00EA0211"/>
                      </w:tc>
                    </w:tr>
                    <w:tr w:rsidR="00EA0211" w14:paraId="59115F67" w14:textId="77777777">
                      <w:trPr>
                        <w:trHeight w:val="240"/>
                      </w:trPr>
                      <w:tc>
                        <w:tcPr>
                          <w:tcW w:w="1140" w:type="dxa"/>
                        </w:tcPr>
                        <w:p w14:paraId="6A25047F" w14:textId="77777777" w:rsidR="00EA0211" w:rsidRDefault="00855334">
                          <w:r>
                            <w:t>Datum</w:t>
                          </w:r>
                        </w:p>
                      </w:tc>
                      <w:tc>
                        <w:tcPr>
                          <w:tcW w:w="5400" w:type="dxa"/>
                        </w:tcPr>
                        <w:p w14:paraId="292A5BD2" w14:textId="3647EA5C" w:rsidR="00EA0211" w:rsidRDefault="0021306E">
                          <w:r>
                            <w:t>29 april 2025</w:t>
                          </w:r>
                        </w:p>
                      </w:tc>
                    </w:tr>
                    <w:tr w:rsidR="00EA0211" w14:paraId="75BDB494" w14:textId="77777777">
                      <w:trPr>
                        <w:trHeight w:val="240"/>
                      </w:trPr>
                      <w:tc>
                        <w:tcPr>
                          <w:tcW w:w="1140" w:type="dxa"/>
                        </w:tcPr>
                        <w:p w14:paraId="0A85E3A3" w14:textId="77777777" w:rsidR="00EA0211" w:rsidRDefault="00855334">
                          <w:r>
                            <w:t>Betreft</w:t>
                          </w:r>
                        </w:p>
                      </w:tc>
                      <w:tc>
                        <w:tcPr>
                          <w:tcW w:w="5400" w:type="dxa"/>
                        </w:tcPr>
                        <w:p w14:paraId="4D7AA94C" w14:textId="77777777" w:rsidR="00EB4B08" w:rsidRDefault="004C1C12">
                          <w:r>
                            <w:t xml:space="preserve">Verslag Eurogroep en informele bijeenkomst </w:t>
                          </w:r>
                          <w:proofErr w:type="spellStart"/>
                          <w:r>
                            <w:t>Ecofin</w:t>
                          </w:r>
                          <w:proofErr w:type="spellEnd"/>
                          <w:r>
                            <w:t>-ministers 11 en 12 april 2025</w:t>
                          </w:r>
                        </w:p>
                      </w:tc>
                    </w:tr>
                    <w:tr w:rsidR="00EA0211" w14:paraId="30B810EB" w14:textId="77777777">
                      <w:trPr>
                        <w:trHeight w:val="200"/>
                      </w:trPr>
                      <w:tc>
                        <w:tcPr>
                          <w:tcW w:w="1140" w:type="dxa"/>
                        </w:tcPr>
                        <w:p w14:paraId="09C58828" w14:textId="77777777" w:rsidR="00EA0211" w:rsidRDefault="00EA0211"/>
                      </w:tc>
                      <w:tc>
                        <w:tcPr>
                          <w:tcW w:w="4738" w:type="dxa"/>
                        </w:tcPr>
                        <w:p w14:paraId="7A0519B4" w14:textId="77777777" w:rsidR="00EA0211" w:rsidRDefault="00EA0211"/>
                      </w:tc>
                    </w:tr>
                  </w:tbl>
                  <w:p w14:paraId="206DCB09" w14:textId="77777777" w:rsidR="00855334" w:rsidRDefault="0085533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66EBA28" wp14:editId="20E8727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F3ECEA2" w14:textId="54C0D03A" w:rsidR="00810713" w:rsidRDefault="00D9027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6EBA28"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F3ECEA2" w14:textId="54C0D03A" w:rsidR="00810713" w:rsidRDefault="00D9027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07C0238" wp14:editId="006DE0A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6CE08F" w14:textId="77777777" w:rsidR="00855334" w:rsidRDefault="00855334"/>
                      </w:txbxContent>
                    </wps:txbx>
                    <wps:bodyPr vert="horz" wrap="square" lIns="0" tIns="0" rIns="0" bIns="0" anchor="t" anchorCtr="0"/>
                  </wps:wsp>
                </a:graphicData>
              </a:graphic>
            </wp:anchor>
          </w:drawing>
        </mc:Choice>
        <mc:Fallback>
          <w:pict>
            <v:shape w14:anchorId="107C0238"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76CE08F" w14:textId="77777777" w:rsidR="00855334" w:rsidRDefault="0085533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D39D9"/>
    <w:multiLevelType w:val="multilevel"/>
    <w:tmpl w:val="CD95E1E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6EF59F"/>
    <w:multiLevelType w:val="multilevel"/>
    <w:tmpl w:val="DF9FD43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52B2B2"/>
    <w:multiLevelType w:val="multilevel"/>
    <w:tmpl w:val="C299CC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6154CA"/>
    <w:multiLevelType w:val="multilevel"/>
    <w:tmpl w:val="686924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85CB310"/>
    <w:multiLevelType w:val="multilevel"/>
    <w:tmpl w:val="6D691F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15F670"/>
    <w:multiLevelType w:val="multilevel"/>
    <w:tmpl w:val="FBA5AE9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2723935">
    <w:abstractNumId w:val="2"/>
  </w:num>
  <w:num w:numId="2" w16cid:durableId="979044043">
    <w:abstractNumId w:val="5"/>
  </w:num>
  <w:num w:numId="3" w16cid:durableId="436868940">
    <w:abstractNumId w:val="3"/>
  </w:num>
  <w:num w:numId="4" w16cid:durableId="364213542">
    <w:abstractNumId w:val="4"/>
  </w:num>
  <w:num w:numId="5" w16cid:durableId="1549881671">
    <w:abstractNumId w:val="0"/>
  </w:num>
  <w:num w:numId="6" w16cid:durableId="121264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11"/>
    <w:rsid w:val="00041DAE"/>
    <w:rsid w:val="000771B5"/>
    <w:rsid w:val="0008334A"/>
    <w:rsid w:val="000D22CB"/>
    <w:rsid w:val="000D3BCE"/>
    <w:rsid w:val="00151478"/>
    <w:rsid w:val="00197E52"/>
    <w:rsid w:val="0021306E"/>
    <w:rsid w:val="002167A2"/>
    <w:rsid w:val="00230F09"/>
    <w:rsid w:val="00290929"/>
    <w:rsid w:val="002B5DA6"/>
    <w:rsid w:val="002E396B"/>
    <w:rsid w:val="00310A7E"/>
    <w:rsid w:val="003403DD"/>
    <w:rsid w:val="0038218C"/>
    <w:rsid w:val="003E2011"/>
    <w:rsid w:val="00404017"/>
    <w:rsid w:val="00406B61"/>
    <w:rsid w:val="0041533B"/>
    <w:rsid w:val="00487FC4"/>
    <w:rsid w:val="004C1C12"/>
    <w:rsid w:val="005078F9"/>
    <w:rsid w:val="00594906"/>
    <w:rsid w:val="005A696E"/>
    <w:rsid w:val="00642F2C"/>
    <w:rsid w:val="00650DEC"/>
    <w:rsid w:val="00683B2C"/>
    <w:rsid w:val="00684FC4"/>
    <w:rsid w:val="006F6EEE"/>
    <w:rsid w:val="00741138"/>
    <w:rsid w:val="00742D16"/>
    <w:rsid w:val="007B50A3"/>
    <w:rsid w:val="007D5B70"/>
    <w:rsid w:val="00810713"/>
    <w:rsid w:val="00836FB4"/>
    <w:rsid w:val="00855334"/>
    <w:rsid w:val="00862C42"/>
    <w:rsid w:val="008F7BAE"/>
    <w:rsid w:val="009231EF"/>
    <w:rsid w:val="00A316A3"/>
    <w:rsid w:val="00A40500"/>
    <w:rsid w:val="00AB5135"/>
    <w:rsid w:val="00AB5897"/>
    <w:rsid w:val="00AD0426"/>
    <w:rsid w:val="00C17C17"/>
    <w:rsid w:val="00C20B40"/>
    <w:rsid w:val="00C33F64"/>
    <w:rsid w:val="00C37A7B"/>
    <w:rsid w:val="00C73EBC"/>
    <w:rsid w:val="00C90AC6"/>
    <w:rsid w:val="00CB3262"/>
    <w:rsid w:val="00D06CFC"/>
    <w:rsid w:val="00D9027F"/>
    <w:rsid w:val="00DB5439"/>
    <w:rsid w:val="00DE3750"/>
    <w:rsid w:val="00E9456F"/>
    <w:rsid w:val="00EA0211"/>
    <w:rsid w:val="00EB4B08"/>
    <w:rsid w:val="00EE2ADD"/>
    <w:rsid w:val="00F33EC2"/>
    <w:rsid w:val="00F51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8222"/>
  <w15:docId w15:val="{9A1B4189-9483-4C74-ACAE-1BA80126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3B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3B2C"/>
    <w:rPr>
      <w:rFonts w:ascii="Verdana" w:hAnsi="Verdana"/>
      <w:color w:val="000000"/>
      <w:sz w:val="18"/>
      <w:szCs w:val="18"/>
    </w:rPr>
  </w:style>
  <w:style w:type="paragraph" w:styleId="Voettekst">
    <w:name w:val="footer"/>
    <w:basedOn w:val="Standaard"/>
    <w:link w:val="VoettekstChar"/>
    <w:uiPriority w:val="99"/>
    <w:unhideWhenUsed/>
    <w:rsid w:val="00683B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3B2C"/>
    <w:rPr>
      <w:rFonts w:ascii="Verdana" w:hAnsi="Verdana"/>
      <w:color w:val="000000"/>
      <w:sz w:val="18"/>
      <w:szCs w:val="18"/>
    </w:rPr>
  </w:style>
  <w:style w:type="paragraph" w:styleId="Voetnoottekst">
    <w:name w:val="footnote text"/>
    <w:basedOn w:val="Standaard"/>
    <w:link w:val="VoetnoottekstChar"/>
    <w:uiPriority w:val="99"/>
    <w:semiHidden/>
    <w:unhideWhenUsed/>
    <w:rsid w:val="00683B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3B2C"/>
    <w:rPr>
      <w:rFonts w:ascii="Verdana" w:hAnsi="Verdana"/>
      <w:color w:val="000000"/>
    </w:rPr>
  </w:style>
  <w:style w:type="character" w:styleId="Voetnootmarkering">
    <w:name w:val="footnote reference"/>
    <w:basedOn w:val="Standaardalinea-lettertype"/>
    <w:uiPriority w:val="99"/>
    <w:semiHidden/>
    <w:unhideWhenUsed/>
    <w:rsid w:val="00683B2C"/>
    <w:rPr>
      <w:vertAlign w:val="superscript"/>
    </w:rPr>
  </w:style>
  <w:style w:type="paragraph" w:customStyle="1" w:styleId="Referentiegegevens">
    <w:name w:val="Referentiegegevens"/>
    <w:basedOn w:val="Standaard"/>
    <w:next w:val="Standaard"/>
    <w:rsid w:val="005078F9"/>
    <w:pPr>
      <w:spacing w:line="180" w:lineRule="exact"/>
      <w:ind w:left="140"/>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458</ap:Words>
  <ap:Characters>2525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Brief TK - Verslag Eurogroep/Ecofinraad 11-12 april 2025</vt:lpstr>
    </vt:vector>
  </ap:TitlesOfParts>
  <ap:LinksUpToDate>false</ap:LinksUpToDate>
  <ap:CharactersWithSpaces>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2025-04-29T14:29:00.0000000Z</dcterms:created>
  <dcterms:modified xsi:type="dcterms:W3CDTF">2025-04-29T14:29:00.0000000Z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Brief TK - Verslag Eurogroep/Ecofinraad 11-12 april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2025-0000117981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Brief TK - Verslag Eurogroep/Ecofinraad 11-12 april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2025-04-23T10:13:31Z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943ad43c-a8b0-41ed-81ab-1afbcfe5688a</vt:lpwstr>
  </property>
  <property fmtid="{D5CDD505-2E9C-101B-9397-08002B2CF9AE}" pid="37" name="MSIP_Label_6800fede-0e59-47ad-af95-4e63bbdb932d_ContentBits">
    <vt:lpwstr>0</vt:lpwstr>
  </property>
</Properties>
</file>