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39B7" w:rsidP="004939B7" w:rsidRDefault="004939B7" w14:paraId="2272AA1C" w14:textId="13F92075">
      <w:r>
        <w:t>AH 2094</w:t>
      </w:r>
    </w:p>
    <w:p w:rsidR="004939B7" w:rsidP="004939B7" w:rsidRDefault="004939B7" w14:paraId="6F8B6270" w14:textId="3323CCB0">
      <w:r>
        <w:t>2025Z05066</w:t>
      </w:r>
    </w:p>
    <w:p w:rsidR="004939B7" w:rsidP="004939B7" w:rsidRDefault="004939B7" w14:paraId="127AF1C5" w14:textId="0AD4AA07">
      <w:r w:rsidRPr="009B5FE1">
        <w:rPr>
          <w:sz w:val="24"/>
          <w:szCs w:val="24"/>
        </w:rPr>
        <w:t>Antwoord van minister Keijzer (Volkshuisvesting en Ruimtelijke Ordening)</w:t>
      </w:r>
      <w:r w:rsidRPr="00ED42F6">
        <w:rPr>
          <w:sz w:val="24"/>
          <w:szCs w:val="24"/>
        </w:rPr>
        <w:t xml:space="preserve"> </w:t>
      </w:r>
      <w:r w:rsidRPr="009B5FE1">
        <w:rPr>
          <w:sz w:val="24"/>
          <w:szCs w:val="24"/>
        </w:rPr>
        <w:t>(ontvangen</w:t>
      </w:r>
      <w:r>
        <w:rPr>
          <w:sz w:val="24"/>
          <w:szCs w:val="24"/>
        </w:rPr>
        <w:t xml:space="preserve"> 6 mei 2025)</w:t>
      </w:r>
    </w:p>
    <w:p w:rsidRPr="00415034" w:rsidR="004939B7" w:rsidP="004939B7" w:rsidRDefault="004939B7" w14:paraId="23F4B92F" w14:textId="77777777">
      <w:pPr>
        <w:rPr>
          <w:b/>
          <w:bCs/>
        </w:rPr>
      </w:pPr>
      <w:r w:rsidRPr="00415034">
        <w:rPr>
          <w:b/>
          <w:bCs/>
        </w:rPr>
        <w:t>Vraag 1</w:t>
      </w:r>
    </w:p>
    <w:p w:rsidRPr="00BB45CD" w:rsidR="004939B7" w:rsidP="004939B7" w:rsidRDefault="004939B7" w14:paraId="7E70FEB6" w14:textId="77777777">
      <w:r w:rsidRPr="00BB45CD">
        <w:t>Wat is uw reactie op de aantallen reguliere woningen die in gebruik zijn voor de huisvesting van arbeidsmigranten?</w:t>
      </w:r>
      <w:r>
        <w:rPr>
          <w:rStyle w:val="Voetnootmarkering"/>
        </w:rPr>
        <w:footnoteReference w:id="1"/>
      </w:r>
    </w:p>
    <w:p w:rsidR="004939B7" w:rsidP="004939B7" w:rsidRDefault="004939B7" w14:paraId="4FE886A0" w14:textId="77777777"/>
    <w:p w:rsidRPr="00BB45CD" w:rsidR="004939B7" w:rsidP="004939B7" w:rsidRDefault="004939B7" w14:paraId="2681815E" w14:textId="77777777">
      <w:pPr>
        <w:rPr>
          <w:b/>
          <w:bCs/>
        </w:rPr>
      </w:pPr>
      <w:r w:rsidRPr="00BB45CD">
        <w:rPr>
          <w:b/>
          <w:bCs/>
        </w:rPr>
        <w:t>Antwoord</w:t>
      </w:r>
    </w:p>
    <w:p w:rsidR="004939B7" w:rsidP="004939B7" w:rsidRDefault="004939B7" w14:paraId="514CB370" w14:textId="77777777">
      <w:r w:rsidRPr="004A330D">
        <w:t xml:space="preserve">Mij is het signaal bekend dat er relatief veel reguliere woningen gebruikt worden voor de huisvesting van arbeidsmigranten en dat dit in sommige wijken kan leiden tot overbewoning en verdringing van andere woningzoekenden. </w:t>
      </w:r>
      <w:r>
        <w:t xml:space="preserve">Zowel in het overzicht waar in de vraag naar verwezen wordt (d.d. 2023), alsook in meer recente cijfers van de Stichting Normering Flexwonen (SNF) waar ik hieronder bij vraag 2 op in zal gaan, is te zien dat een aanzienlijk deel van de SNF-geregistreerde locaties reguliere woningen betreft. Daarnaast zijn er ook huisvestingslocaties voor arbeidsmigranten die niet SNF-gecertificeerd zijn en niet in de gepresenteerde cijfers vertegenwoordigd zijn. Hoewel daar geen data van bekend is, lijkt dat ook vaak huisvesting in reguliere woningen te betreffen. </w:t>
      </w:r>
    </w:p>
    <w:p w:rsidRPr="00415034" w:rsidR="004939B7" w:rsidP="004939B7" w:rsidRDefault="004939B7" w14:paraId="068CA3B0" w14:textId="77777777"/>
    <w:p w:rsidRPr="00415034" w:rsidR="004939B7" w:rsidP="004939B7" w:rsidRDefault="004939B7" w14:paraId="5C703BCD" w14:textId="77777777">
      <w:pPr>
        <w:rPr>
          <w:b/>
          <w:bCs/>
        </w:rPr>
      </w:pPr>
      <w:r w:rsidRPr="00415034">
        <w:rPr>
          <w:b/>
          <w:bCs/>
        </w:rPr>
        <w:t>Vraag 2</w:t>
      </w:r>
    </w:p>
    <w:p w:rsidRPr="00BB45CD" w:rsidR="004939B7" w:rsidP="004939B7" w:rsidRDefault="004939B7" w14:paraId="58B30F66" w14:textId="77777777">
      <w:r w:rsidRPr="00BB45CD">
        <w:t>Hoeveel woonhuizen zijn er volgens u totaal geregistreerd met het Stichting Normering Flexwonen (SNF)-keurmerk? Bent u bereid dit na te gaan en kunt u een inschatting maken van het totaal aantal woningen met en zonder SNF-keurmerk die er in gebruik zijn? Mochten hier geen absolute cijfers van te zijn, kan er een inschatting worden gegeven?</w:t>
      </w:r>
    </w:p>
    <w:p w:rsidR="004939B7" w:rsidP="004939B7" w:rsidRDefault="004939B7" w14:paraId="6862936B" w14:textId="77777777">
      <w:pPr>
        <w:rPr>
          <w:i/>
          <w:iCs/>
        </w:rPr>
      </w:pPr>
    </w:p>
    <w:p w:rsidRPr="00BB45CD" w:rsidR="004939B7" w:rsidP="004939B7" w:rsidRDefault="004939B7" w14:paraId="28BE6822" w14:textId="77777777">
      <w:pPr>
        <w:rPr>
          <w:b/>
          <w:bCs/>
        </w:rPr>
      </w:pPr>
      <w:r w:rsidRPr="00BB45CD">
        <w:rPr>
          <w:b/>
          <w:bCs/>
        </w:rPr>
        <w:t>Antwoord</w:t>
      </w:r>
    </w:p>
    <w:p w:rsidR="004939B7" w:rsidP="004939B7" w:rsidRDefault="004939B7" w14:paraId="2BADA849" w14:textId="77777777">
      <w:r>
        <w:t xml:space="preserve">SNF </w:t>
      </w:r>
      <w:r w:rsidRPr="00233EAF">
        <w:t xml:space="preserve">beheert het register van ondernemingen die aan </w:t>
      </w:r>
      <w:r>
        <w:t>haar</w:t>
      </w:r>
      <w:r w:rsidRPr="00233EAF">
        <w:t xml:space="preserve"> norm voor huisvesting van arbeidsmigranten voldoen en onderhoudt deze normen. Huisvestingslocaties van de organisaties die zich aanmelden bij </w:t>
      </w:r>
      <w:r>
        <w:t>SNF</w:t>
      </w:r>
      <w:r w:rsidRPr="00233EAF">
        <w:t xml:space="preserve"> worden periodiek gecontroleerd. </w:t>
      </w:r>
      <w:r w:rsidRPr="00233EAF">
        <w:lastRenderedPageBreak/>
        <w:t>Voldoet de huisvesting niet</w:t>
      </w:r>
      <w:r>
        <w:t xml:space="preserve"> aan de normen</w:t>
      </w:r>
      <w:r w:rsidRPr="00233EAF">
        <w:t xml:space="preserve">, en worden zaken niet snel hersteld, dan wordt de aanbieder van huisvesting uit het register van </w:t>
      </w:r>
      <w:r>
        <w:t>SNF uit</w:t>
      </w:r>
      <w:r w:rsidRPr="00233EAF">
        <w:t>geschreven.</w:t>
      </w:r>
      <w:r>
        <w:t xml:space="preserve"> </w:t>
      </w:r>
    </w:p>
    <w:p w:rsidR="004939B7" w:rsidP="004939B7" w:rsidRDefault="004939B7" w14:paraId="401DBA62" w14:textId="77777777"/>
    <w:p w:rsidR="004939B7" w:rsidP="004939B7" w:rsidRDefault="004939B7" w14:paraId="4F840E7A" w14:textId="77777777">
      <w:r>
        <w:t xml:space="preserve">In het register van SNF wordt door ondernemingen zelf aangegeven welk gebouwtype hun geregistreerde locatie betreft. Hierbij wordt het gebouwtype ‘reguliere woning’ gedefinieerd als een regulier woonhuis of appartement in een appartementencomplex/flat; waarbij sprake is van één adres per woonhuis of appartement; met de bestemming ‘wonen’; waarbij alle voorzieningen zich in de woning bevinden. Of de onderneming het juiste gebouwtype opgeeft, wordt niet door SNF specifiek gecontroleerd. Het werkelijke aantal reguliere woningen dat SNF-geregistreerd is kan dus licht afwijken van de hieronder gepresenteerde cijfers.  </w:t>
      </w:r>
    </w:p>
    <w:p w:rsidR="004939B7" w:rsidP="004939B7" w:rsidRDefault="004939B7" w14:paraId="182C4619" w14:textId="77777777"/>
    <w:p w:rsidR="004939B7" w:rsidP="004939B7" w:rsidRDefault="004939B7" w14:paraId="7589F682" w14:textId="77777777">
      <w:r w:rsidRPr="002D72F1">
        <w:t xml:space="preserve">Tabel 1 toont, op basis van data van 4 februari 2025, de verdeling van alle SNF-geregistreerde locaties en de bijbehorende capaciteit (het aantal </w:t>
      </w:r>
      <w:r>
        <w:t>‘</w:t>
      </w:r>
      <w:r w:rsidRPr="002D72F1">
        <w:t>bedden</w:t>
      </w:r>
      <w:r>
        <w:t>’</w:t>
      </w:r>
      <w:r w:rsidRPr="002D72F1">
        <w:t>) over de verschillende gebouwtypen.</w:t>
      </w:r>
      <w:r>
        <w:rPr>
          <w:rStyle w:val="Voetnootmarkering"/>
        </w:rPr>
        <w:footnoteReference w:id="2"/>
      </w:r>
      <w:r>
        <w:t xml:space="preserve"> </w:t>
      </w:r>
    </w:p>
    <w:p w:rsidR="004939B7" w:rsidP="004939B7" w:rsidRDefault="004939B7" w14:paraId="48C2D9BA" w14:textId="77777777"/>
    <w:p w:rsidR="004939B7" w:rsidP="004939B7" w:rsidRDefault="004939B7" w14:paraId="7627A230" w14:textId="77777777">
      <w:pPr>
        <w:pStyle w:val="Bijschrift"/>
        <w:spacing w:after="0"/>
      </w:pPr>
      <w:r>
        <w:t xml:space="preserve">Tabel </w:t>
      </w:r>
      <w:r>
        <w:fldChar w:fldCharType="begin"/>
      </w:r>
      <w:r>
        <w:instrText xml:space="preserve"> SEQ Tabel \* ARABIC </w:instrText>
      </w:r>
      <w:r>
        <w:fldChar w:fldCharType="separate"/>
      </w:r>
      <w:r>
        <w:t>1</w:t>
      </w:r>
      <w:r>
        <w:fldChar w:fldCharType="end"/>
      </w:r>
      <w:r>
        <w:t>. Verdeling van het aantal SNF-geregistreerde locaties en capaciteit over gebouwtypen per 4 februari 2025.</w:t>
      </w:r>
    </w:p>
    <w:tbl>
      <w:tblPr>
        <w:tblStyle w:val="TabelRijkshuisstijl"/>
        <w:tblW w:w="7650" w:type="dxa"/>
        <w:tblInd w:w="-2" w:type="dxa"/>
        <w:tblLayout w:type="fixed"/>
        <w:tblLook w:val="04A0" w:firstRow="1" w:lastRow="0" w:firstColumn="1" w:lastColumn="0" w:noHBand="0" w:noVBand="1"/>
      </w:tblPr>
      <w:tblGrid>
        <w:gridCol w:w="1982"/>
        <w:gridCol w:w="1417"/>
        <w:gridCol w:w="1417"/>
        <w:gridCol w:w="1417"/>
        <w:gridCol w:w="1417"/>
      </w:tblGrid>
      <w:tr w:rsidR="004939B7" w:rsidTr="00C0358E" w14:paraId="7C9A1803" w14:textId="77777777">
        <w:trPr>
          <w:cnfStyle w:val="100000000000" w:firstRow="1" w:lastRow="0" w:firstColumn="0" w:lastColumn="0" w:oddVBand="0" w:evenVBand="0" w:oddHBand="0" w:evenHBand="0" w:firstRowFirstColumn="0" w:firstRowLastColumn="0" w:lastRowFirstColumn="0" w:lastRowLastColumn="0"/>
          <w:trHeight w:val="497"/>
        </w:trPr>
        <w:tc>
          <w:tcPr>
            <w:tcW w:w="1982" w:type="dxa"/>
            <w:hideMark/>
          </w:tcPr>
          <w:p w:rsidRPr="00F55B54" w:rsidR="004939B7" w:rsidP="00C0358E" w:rsidRDefault="004939B7" w14:paraId="698601AC" w14:textId="77777777">
            <w:r w:rsidRPr="007B3676">
              <w:t>Gebouwtype</w:t>
            </w:r>
          </w:p>
        </w:tc>
        <w:tc>
          <w:tcPr>
            <w:tcW w:w="1417" w:type="dxa"/>
            <w:hideMark/>
          </w:tcPr>
          <w:p w:rsidRPr="00F55B54" w:rsidR="004939B7" w:rsidP="00C0358E" w:rsidRDefault="004939B7" w14:paraId="54FB1599" w14:textId="77777777">
            <w:pPr>
              <w:rPr>
                <w:bCs/>
              </w:rPr>
            </w:pPr>
            <w:r w:rsidRPr="00F55B54">
              <w:rPr>
                <w:bCs/>
              </w:rPr>
              <w:t>Aantal SNF-geregistreerde locaties</w:t>
            </w:r>
          </w:p>
        </w:tc>
        <w:tc>
          <w:tcPr>
            <w:tcW w:w="1417" w:type="dxa"/>
            <w:hideMark/>
          </w:tcPr>
          <w:p w:rsidRPr="00F55B54" w:rsidR="004939B7" w:rsidP="00C0358E" w:rsidRDefault="004939B7" w14:paraId="3F7880EC" w14:textId="77777777">
            <w:pPr>
              <w:rPr>
                <w:bCs/>
              </w:rPr>
            </w:pPr>
            <w:r w:rsidRPr="00F55B54">
              <w:rPr>
                <w:bCs/>
              </w:rPr>
              <w:t xml:space="preserve">Percentage van </w:t>
            </w:r>
            <w:r>
              <w:rPr>
                <w:bCs/>
              </w:rPr>
              <w:t>t</w:t>
            </w:r>
            <w:r w:rsidRPr="00F55B54">
              <w:rPr>
                <w:bCs/>
              </w:rPr>
              <w:t>otaal</w:t>
            </w:r>
            <w:r>
              <w:rPr>
                <w:bCs/>
              </w:rPr>
              <w:t xml:space="preserve"> aantal SNF-geregistreerde locaties</w:t>
            </w:r>
          </w:p>
        </w:tc>
        <w:tc>
          <w:tcPr>
            <w:tcW w:w="1417" w:type="dxa"/>
            <w:hideMark/>
          </w:tcPr>
          <w:p w:rsidRPr="00F55B54" w:rsidR="004939B7" w:rsidP="00C0358E" w:rsidRDefault="004939B7" w14:paraId="0CF6BE9F" w14:textId="77777777">
            <w:pPr>
              <w:rPr>
                <w:bCs/>
              </w:rPr>
            </w:pPr>
            <w:r>
              <w:rPr>
                <w:bCs/>
              </w:rPr>
              <w:t>Capaciteit (aantal ‘bedden’)</w:t>
            </w:r>
          </w:p>
        </w:tc>
        <w:tc>
          <w:tcPr>
            <w:tcW w:w="1417" w:type="dxa"/>
            <w:hideMark/>
          </w:tcPr>
          <w:p w:rsidRPr="00F55B54" w:rsidR="004939B7" w:rsidP="00C0358E" w:rsidRDefault="004939B7" w14:paraId="70FB87EA" w14:textId="77777777">
            <w:pPr>
              <w:rPr>
                <w:bCs/>
              </w:rPr>
            </w:pPr>
            <w:r w:rsidRPr="00F55B54">
              <w:rPr>
                <w:bCs/>
              </w:rPr>
              <w:t xml:space="preserve">Percentage van </w:t>
            </w:r>
            <w:r>
              <w:rPr>
                <w:bCs/>
              </w:rPr>
              <w:t>totale capaciteit</w:t>
            </w:r>
          </w:p>
        </w:tc>
      </w:tr>
      <w:tr w:rsidR="004939B7" w:rsidTr="00C0358E" w14:paraId="7CE38EEC" w14:textId="77777777">
        <w:trPr>
          <w:trHeight w:val="248"/>
        </w:trPr>
        <w:tc>
          <w:tcPr>
            <w:tcW w:w="1982" w:type="dxa"/>
            <w:hideMark/>
          </w:tcPr>
          <w:p w:rsidRPr="00F55B54" w:rsidR="004939B7" w:rsidP="00C0358E" w:rsidRDefault="004939B7" w14:paraId="3E981C9B" w14:textId="77777777">
            <w:r w:rsidRPr="00F55B54">
              <w:t>Reguliere woning</w:t>
            </w:r>
          </w:p>
        </w:tc>
        <w:tc>
          <w:tcPr>
            <w:tcW w:w="1417" w:type="dxa"/>
            <w:hideMark/>
          </w:tcPr>
          <w:p w:rsidRPr="00F55B54" w:rsidR="004939B7" w:rsidP="00C0358E" w:rsidRDefault="004939B7" w14:paraId="6C8E4757" w14:textId="77777777">
            <w:r w:rsidRPr="00F55B54">
              <w:t>15.399</w:t>
            </w:r>
          </w:p>
        </w:tc>
        <w:tc>
          <w:tcPr>
            <w:tcW w:w="1417" w:type="dxa"/>
            <w:hideMark/>
          </w:tcPr>
          <w:p w:rsidRPr="00F55B54" w:rsidR="004939B7" w:rsidP="00C0358E" w:rsidRDefault="004939B7" w14:paraId="2953B710" w14:textId="77777777">
            <w:r w:rsidRPr="00F55B54">
              <w:t>79%</w:t>
            </w:r>
          </w:p>
        </w:tc>
        <w:tc>
          <w:tcPr>
            <w:tcW w:w="1417" w:type="dxa"/>
            <w:hideMark/>
          </w:tcPr>
          <w:p w:rsidRPr="00F55B54" w:rsidR="004939B7" w:rsidP="00C0358E" w:rsidRDefault="004939B7" w14:paraId="0BA2AE5E" w14:textId="77777777">
            <w:r w:rsidRPr="00F55B54">
              <w:t>85.158</w:t>
            </w:r>
          </w:p>
        </w:tc>
        <w:tc>
          <w:tcPr>
            <w:tcW w:w="1417" w:type="dxa"/>
            <w:hideMark/>
          </w:tcPr>
          <w:p w:rsidRPr="00F55B54" w:rsidR="004939B7" w:rsidP="00C0358E" w:rsidRDefault="004939B7" w14:paraId="7B07FF8C" w14:textId="77777777">
            <w:r w:rsidRPr="00F55B54">
              <w:t>59%</w:t>
            </w:r>
          </w:p>
        </w:tc>
      </w:tr>
      <w:tr w:rsidR="004939B7" w:rsidTr="00C0358E" w14:paraId="5D74D2C1" w14:textId="77777777">
        <w:trPr>
          <w:trHeight w:val="497"/>
        </w:trPr>
        <w:tc>
          <w:tcPr>
            <w:tcW w:w="1982" w:type="dxa"/>
            <w:hideMark/>
          </w:tcPr>
          <w:p w:rsidRPr="00F55B54" w:rsidR="004939B7" w:rsidP="00C0358E" w:rsidRDefault="004939B7" w14:paraId="40EEF7AF" w14:textId="77777777">
            <w:r w:rsidRPr="00F55B54">
              <w:t>Huisvesting op recreatieterrein</w:t>
            </w:r>
          </w:p>
        </w:tc>
        <w:tc>
          <w:tcPr>
            <w:tcW w:w="1417" w:type="dxa"/>
            <w:hideMark/>
          </w:tcPr>
          <w:p w:rsidRPr="00F55B54" w:rsidR="004939B7" w:rsidP="00C0358E" w:rsidRDefault="004939B7" w14:paraId="2AA0C978" w14:textId="77777777">
            <w:r w:rsidRPr="00F55B54">
              <w:t>1.558</w:t>
            </w:r>
          </w:p>
        </w:tc>
        <w:tc>
          <w:tcPr>
            <w:tcW w:w="1417" w:type="dxa"/>
            <w:hideMark/>
          </w:tcPr>
          <w:p w:rsidRPr="00F55B54" w:rsidR="004939B7" w:rsidP="00C0358E" w:rsidRDefault="004939B7" w14:paraId="755DD2B6" w14:textId="77777777">
            <w:r w:rsidRPr="00F55B54">
              <w:t>8%</w:t>
            </w:r>
          </w:p>
        </w:tc>
        <w:tc>
          <w:tcPr>
            <w:tcW w:w="1417" w:type="dxa"/>
            <w:hideMark/>
          </w:tcPr>
          <w:p w:rsidRPr="00F55B54" w:rsidR="004939B7" w:rsidP="00C0358E" w:rsidRDefault="004939B7" w14:paraId="2B699351" w14:textId="77777777">
            <w:r w:rsidRPr="00F55B54">
              <w:t>8.429</w:t>
            </w:r>
          </w:p>
        </w:tc>
        <w:tc>
          <w:tcPr>
            <w:tcW w:w="1417" w:type="dxa"/>
            <w:hideMark/>
          </w:tcPr>
          <w:p w:rsidRPr="00F55B54" w:rsidR="004939B7" w:rsidP="00C0358E" w:rsidRDefault="004939B7" w14:paraId="0C45665E" w14:textId="77777777">
            <w:r w:rsidRPr="00F55B54">
              <w:t>6%</w:t>
            </w:r>
          </w:p>
        </w:tc>
      </w:tr>
      <w:tr w:rsidR="004939B7" w:rsidTr="00C0358E" w14:paraId="6F8FB6B8" w14:textId="77777777">
        <w:trPr>
          <w:trHeight w:val="497"/>
        </w:trPr>
        <w:tc>
          <w:tcPr>
            <w:tcW w:w="1982" w:type="dxa"/>
            <w:hideMark/>
          </w:tcPr>
          <w:p w:rsidRPr="00F55B54" w:rsidR="004939B7" w:rsidP="00C0358E" w:rsidRDefault="004939B7" w14:paraId="65C60F33" w14:textId="77777777">
            <w:r w:rsidRPr="00F55B54">
              <w:t>Wooneenheden in gebouwencomplexen</w:t>
            </w:r>
          </w:p>
        </w:tc>
        <w:tc>
          <w:tcPr>
            <w:tcW w:w="1417" w:type="dxa"/>
            <w:hideMark/>
          </w:tcPr>
          <w:p w:rsidRPr="00F55B54" w:rsidR="004939B7" w:rsidP="00C0358E" w:rsidRDefault="004939B7" w14:paraId="7A42169A" w14:textId="77777777">
            <w:r w:rsidRPr="00F55B54">
              <w:t>1.135</w:t>
            </w:r>
          </w:p>
        </w:tc>
        <w:tc>
          <w:tcPr>
            <w:tcW w:w="1417" w:type="dxa"/>
            <w:hideMark/>
          </w:tcPr>
          <w:p w:rsidRPr="00F55B54" w:rsidR="004939B7" w:rsidP="00C0358E" w:rsidRDefault="004939B7" w14:paraId="546A148B" w14:textId="77777777">
            <w:r w:rsidRPr="00F55B54">
              <w:t>6%</w:t>
            </w:r>
          </w:p>
        </w:tc>
        <w:tc>
          <w:tcPr>
            <w:tcW w:w="1417" w:type="dxa"/>
            <w:hideMark/>
          </w:tcPr>
          <w:p w:rsidRPr="00F55B54" w:rsidR="004939B7" w:rsidP="00C0358E" w:rsidRDefault="004939B7" w14:paraId="04A3096B" w14:textId="77777777">
            <w:r w:rsidRPr="00F55B54">
              <w:t>25.654</w:t>
            </w:r>
          </w:p>
        </w:tc>
        <w:tc>
          <w:tcPr>
            <w:tcW w:w="1417" w:type="dxa"/>
            <w:hideMark/>
          </w:tcPr>
          <w:p w:rsidRPr="00F55B54" w:rsidR="004939B7" w:rsidP="00C0358E" w:rsidRDefault="004939B7" w14:paraId="7DACF714" w14:textId="77777777">
            <w:r w:rsidRPr="00F55B54">
              <w:t>18%</w:t>
            </w:r>
          </w:p>
        </w:tc>
      </w:tr>
      <w:tr w:rsidR="004939B7" w:rsidTr="00C0358E" w14:paraId="0F420A9D" w14:textId="77777777">
        <w:trPr>
          <w:trHeight w:val="248"/>
        </w:trPr>
        <w:tc>
          <w:tcPr>
            <w:tcW w:w="1982" w:type="dxa"/>
            <w:hideMark/>
          </w:tcPr>
          <w:p w:rsidRPr="00F55B54" w:rsidR="004939B7" w:rsidP="00C0358E" w:rsidRDefault="004939B7" w14:paraId="7761A5CE" w14:textId="77777777">
            <w:r w:rsidRPr="00F55B54">
              <w:t>Woonunits</w:t>
            </w:r>
          </w:p>
        </w:tc>
        <w:tc>
          <w:tcPr>
            <w:tcW w:w="1417" w:type="dxa"/>
            <w:hideMark/>
          </w:tcPr>
          <w:p w:rsidRPr="00F55B54" w:rsidR="004939B7" w:rsidP="00C0358E" w:rsidRDefault="004939B7" w14:paraId="7822BE80" w14:textId="77777777">
            <w:r w:rsidRPr="00F55B54">
              <w:t>847</w:t>
            </w:r>
          </w:p>
        </w:tc>
        <w:tc>
          <w:tcPr>
            <w:tcW w:w="1417" w:type="dxa"/>
            <w:hideMark/>
          </w:tcPr>
          <w:p w:rsidRPr="00F55B54" w:rsidR="004939B7" w:rsidP="00C0358E" w:rsidRDefault="004939B7" w14:paraId="67F33FA4" w14:textId="77777777">
            <w:r w:rsidRPr="00F55B54">
              <w:t>4%</w:t>
            </w:r>
          </w:p>
        </w:tc>
        <w:tc>
          <w:tcPr>
            <w:tcW w:w="1417" w:type="dxa"/>
            <w:hideMark/>
          </w:tcPr>
          <w:p w:rsidRPr="00F55B54" w:rsidR="004939B7" w:rsidP="00C0358E" w:rsidRDefault="004939B7" w14:paraId="79DD5C41" w14:textId="77777777">
            <w:r w:rsidRPr="00F55B54">
              <w:t>5.934</w:t>
            </w:r>
          </w:p>
        </w:tc>
        <w:tc>
          <w:tcPr>
            <w:tcW w:w="1417" w:type="dxa"/>
            <w:hideMark/>
          </w:tcPr>
          <w:p w:rsidRPr="00F55B54" w:rsidR="004939B7" w:rsidP="00C0358E" w:rsidRDefault="004939B7" w14:paraId="3C29161C" w14:textId="77777777">
            <w:r w:rsidRPr="00F55B54">
              <w:t>4%</w:t>
            </w:r>
          </w:p>
        </w:tc>
      </w:tr>
      <w:tr w:rsidR="004939B7" w:rsidTr="00C0358E" w14:paraId="44E9C3FA" w14:textId="77777777">
        <w:trPr>
          <w:trHeight w:val="497"/>
        </w:trPr>
        <w:tc>
          <w:tcPr>
            <w:tcW w:w="1982" w:type="dxa"/>
            <w:hideMark/>
          </w:tcPr>
          <w:p w:rsidRPr="00F55B54" w:rsidR="004939B7" w:rsidP="00C0358E" w:rsidRDefault="004939B7" w14:paraId="739DE5B9" w14:textId="77777777">
            <w:r>
              <w:t>C</w:t>
            </w:r>
            <w:r w:rsidRPr="00F55B54">
              <w:t>ampus</w:t>
            </w:r>
          </w:p>
        </w:tc>
        <w:tc>
          <w:tcPr>
            <w:tcW w:w="1417" w:type="dxa"/>
            <w:hideMark/>
          </w:tcPr>
          <w:p w:rsidRPr="00F55B54" w:rsidR="004939B7" w:rsidP="00C0358E" w:rsidRDefault="004939B7" w14:paraId="0B82EF5C" w14:textId="77777777">
            <w:r w:rsidRPr="00F55B54">
              <w:t>272</w:t>
            </w:r>
          </w:p>
        </w:tc>
        <w:tc>
          <w:tcPr>
            <w:tcW w:w="1417" w:type="dxa"/>
            <w:hideMark/>
          </w:tcPr>
          <w:p w:rsidRPr="00F55B54" w:rsidR="004939B7" w:rsidP="00C0358E" w:rsidRDefault="004939B7" w14:paraId="3925475B" w14:textId="77777777">
            <w:r w:rsidRPr="00F55B54">
              <w:t>2%</w:t>
            </w:r>
          </w:p>
        </w:tc>
        <w:tc>
          <w:tcPr>
            <w:tcW w:w="1417" w:type="dxa"/>
            <w:hideMark/>
          </w:tcPr>
          <w:p w:rsidRPr="00F55B54" w:rsidR="004939B7" w:rsidP="00C0358E" w:rsidRDefault="004939B7" w14:paraId="662F4AF8" w14:textId="77777777">
            <w:r w:rsidRPr="00F55B54">
              <w:t>10.310</w:t>
            </w:r>
          </w:p>
        </w:tc>
        <w:tc>
          <w:tcPr>
            <w:tcW w:w="1417" w:type="dxa"/>
            <w:hideMark/>
          </w:tcPr>
          <w:p w:rsidRPr="00F55B54" w:rsidR="004939B7" w:rsidP="00C0358E" w:rsidRDefault="004939B7" w14:paraId="3F5BEEED" w14:textId="77777777">
            <w:r w:rsidRPr="00F55B54">
              <w:t>7%</w:t>
            </w:r>
          </w:p>
        </w:tc>
      </w:tr>
      <w:tr w:rsidR="004939B7" w:rsidTr="00C0358E" w14:paraId="5647D9C8" w14:textId="77777777">
        <w:trPr>
          <w:trHeight w:val="248"/>
        </w:trPr>
        <w:tc>
          <w:tcPr>
            <w:tcW w:w="1982" w:type="dxa"/>
            <w:hideMark/>
          </w:tcPr>
          <w:p w:rsidRPr="00F55B54" w:rsidR="004939B7" w:rsidP="00C0358E" w:rsidRDefault="004939B7" w14:paraId="57102B68" w14:textId="77777777">
            <w:r w:rsidRPr="00F55B54">
              <w:t>Hotel/pension</w:t>
            </w:r>
          </w:p>
        </w:tc>
        <w:tc>
          <w:tcPr>
            <w:tcW w:w="1417" w:type="dxa"/>
            <w:hideMark/>
          </w:tcPr>
          <w:p w:rsidRPr="00F55B54" w:rsidR="004939B7" w:rsidP="00C0358E" w:rsidRDefault="004939B7" w14:paraId="225E099A" w14:textId="77777777">
            <w:r w:rsidRPr="00F55B54">
              <w:t>256</w:t>
            </w:r>
          </w:p>
        </w:tc>
        <w:tc>
          <w:tcPr>
            <w:tcW w:w="1417" w:type="dxa"/>
            <w:hideMark/>
          </w:tcPr>
          <w:p w:rsidRPr="00F55B54" w:rsidR="004939B7" w:rsidP="00C0358E" w:rsidRDefault="004939B7" w14:paraId="0CA3241A" w14:textId="77777777">
            <w:r w:rsidRPr="00F55B54">
              <w:t>1%</w:t>
            </w:r>
          </w:p>
        </w:tc>
        <w:tc>
          <w:tcPr>
            <w:tcW w:w="1417" w:type="dxa"/>
            <w:hideMark/>
          </w:tcPr>
          <w:p w:rsidRPr="00F55B54" w:rsidR="004939B7" w:rsidP="00C0358E" w:rsidRDefault="004939B7" w14:paraId="69ACB409" w14:textId="77777777">
            <w:r w:rsidRPr="00F55B54">
              <w:t>9.216</w:t>
            </w:r>
          </w:p>
        </w:tc>
        <w:tc>
          <w:tcPr>
            <w:tcW w:w="1417" w:type="dxa"/>
            <w:hideMark/>
          </w:tcPr>
          <w:p w:rsidRPr="00F55B54" w:rsidR="004939B7" w:rsidP="00C0358E" w:rsidRDefault="004939B7" w14:paraId="2183BF1F" w14:textId="77777777">
            <w:r w:rsidRPr="00F55B54">
              <w:t>6%</w:t>
            </w:r>
          </w:p>
        </w:tc>
      </w:tr>
      <w:tr w:rsidR="004939B7" w:rsidTr="00C0358E" w14:paraId="520FEBA4" w14:textId="77777777">
        <w:trPr>
          <w:trHeight w:val="15"/>
        </w:trPr>
        <w:tc>
          <w:tcPr>
            <w:tcW w:w="1982" w:type="dxa"/>
            <w:hideMark/>
          </w:tcPr>
          <w:p w:rsidRPr="00F55B54" w:rsidR="004939B7" w:rsidP="00C0358E" w:rsidRDefault="004939B7" w14:paraId="1D7ABF7A" w14:textId="77777777">
            <w:r w:rsidRPr="00F55B54">
              <w:rPr>
                <w:b/>
                <w:bCs/>
              </w:rPr>
              <w:t>Totaal</w:t>
            </w:r>
          </w:p>
        </w:tc>
        <w:tc>
          <w:tcPr>
            <w:tcW w:w="1417" w:type="dxa"/>
            <w:hideMark/>
          </w:tcPr>
          <w:p w:rsidRPr="00F55B54" w:rsidR="004939B7" w:rsidP="00C0358E" w:rsidRDefault="004939B7" w14:paraId="09105B6E" w14:textId="77777777">
            <w:r w:rsidRPr="00F55B54">
              <w:rPr>
                <w:b/>
                <w:bCs/>
              </w:rPr>
              <w:t>19.467</w:t>
            </w:r>
          </w:p>
        </w:tc>
        <w:tc>
          <w:tcPr>
            <w:tcW w:w="1417" w:type="dxa"/>
            <w:hideMark/>
          </w:tcPr>
          <w:p w:rsidRPr="00F55B54" w:rsidR="004939B7" w:rsidP="00C0358E" w:rsidRDefault="004939B7" w14:paraId="53902F9A" w14:textId="77777777">
            <w:r w:rsidRPr="00F55B54">
              <w:rPr>
                <w:b/>
                <w:bCs/>
              </w:rPr>
              <w:t>100%</w:t>
            </w:r>
          </w:p>
        </w:tc>
        <w:tc>
          <w:tcPr>
            <w:tcW w:w="1417" w:type="dxa"/>
            <w:hideMark/>
          </w:tcPr>
          <w:p w:rsidRPr="00F55B54" w:rsidR="004939B7" w:rsidP="00C0358E" w:rsidRDefault="004939B7" w14:paraId="5D7EF9F7" w14:textId="77777777">
            <w:r w:rsidRPr="00F55B54">
              <w:rPr>
                <w:b/>
                <w:bCs/>
              </w:rPr>
              <w:t>144.701</w:t>
            </w:r>
          </w:p>
        </w:tc>
        <w:tc>
          <w:tcPr>
            <w:tcW w:w="1417" w:type="dxa"/>
            <w:hideMark/>
          </w:tcPr>
          <w:p w:rsidRPr="00F55B54" w:rsidR="004939B7" w:rsidP="00C0358E" w:rsidRDefault="004939B7" w14:paraId="6B485C75" w14:textId="77777777">
            <w:pPr>
              <w:keepNext/>
            </w:pPr>
            <w:r w:rsidRPr="00F55B54">
              <w:rPr>
                <w:b/>
                <w:bCs/>
              </w:rPr>
              <w:t>100%</w:t>
            </w:r>
          </w:p>
        </w:tc>
      </w:tr>
    </w:tbl>
    <w:p w:rsidR="004939B7" w:rsidP="004939B7" w:rsidRDefault="004939B7" w14:paraId="47CFC539" w14:textId="77777777"/>
    <w:p w:rsidR="004939B7" w:rsidP="004939B7" w:rsidRDefault="004939B7" w14:paraId="08CE02F6" w14:textId="77777777">
      <w:r>
        <w:t xml:space="preserve">Uit deze data blijkt dat </w:t>
      </w:r>
      <w:r w:rsidRPr="002D72F1">
        <w:t>van de in totaal 19.467 bij SNF geregistreerde locaties 15.399 het type ‘reguliere woning’ betreft</w:t>
      </w:r>
      <w:r>
        <w:t xml:space="preserve"> (</w:t>
      </w:r>
      <w:r w:rsidRPr="002D72F1">
        <w:t>79 procent van het aantal geregistreerde locaties</w:t>
      </w:r>
      <w:r>
        <w:t>)</w:t>
      </w:r>
      <w:r w:rsidRPr="002D72F1">
        <w:t>. Wanneer wordt gekeken naar de verdeling van capaciteit over de verschillende type locaties, laat de data zien dat van de in totaal 144.701 bedden 85.158 bedden zich in een reguliere woning bevinden</w:t>
      </w:r>
      <w:r>
        <w:t xml:space="preserve"> (59 procent van het totaal aantal bedden)</w:t>
      </w:r>
      <w:r w:rsidRPr="002D72F1">
        <w:t xml:space="preserve">. </w:t>
      </w:r>
    </w:p>
    <w:p w:rsidR="004939B7" w:rsidP="004939B7" w:rsidRDefault="004939B7" w14:paraId="62545661" w14:textId="77777777"/>
    <w:p w:rsidRPr="00C6665F" w:rsidR="004939B7" w:rsidP="004939B7" w:rsidRDefault="004939B7" w14:paraId="5882BE39" w14:textId="77777777">
      <w:r>
        <w:t xml:space="preserve">Er zijn geen exacte cijfers bekend over het aantal huisvestingslocaties voor arbeidsmigranten, waaronder reguliere woningen, dat niet bij SNF is geregistreerd. SNF geeft aan in te schatten dat in de meeste gemeenten ongeveer een kwart tot een derde van het totaal aantal ‘bedden’ voor arbeidsmigranten SNF-geregistreerd is. Echter, de verdeling van gebouwtypen zoals in de SNF-data kan niet zomaar geëxtrapoleerd worden naar de schatting van het aantal niet-SNF-geregistreerde woningen. </w:t>
      </w:r>
      <w:r w:rsidRPr="00E85304">
        <w:t>Het is mogelijk dat de verdeling naar gebouwtypen hierin anders is, waardoor het relatieve aandeel van reguliere woningen groter of kleiner kan zijn.</w:t>
      </w:r>
      <w:r>
        <w:t xml:space="preserve"> </w:t>
      </w:r>
    </w:p>
    <w:p w:rsidR="004939B7" w:rsidP="004939B7" w:rsidRDefault="004939B7" w14:paraId="2AC87BA2" w14:textId="77777777"/>
    <w:p w:rsidRPr="00415034" w:rsidR="004939B7" w:rsidP="004939B7" w:rsidRDefault="004939B7" w14:paraId="683BB10B" w14:textId="77777777"/>
    <w:p w:rsidRPr="00415034" w:rsidR="004939B7" w:rsidP="004939B7" w:rsidRDefault="004939B7" w14:paraId="5503DFDE" w14:textId="77777777">
      <w:pPr>
        <w:rPr>
          <w:b/>
          <w:bCs/>
        </w:rPr>
      </w:pPr>
      <w:r w:rsidRPr="00415034">
        <w:rPr>
          <w:b/>
          <w:bCs/>
        </w:rPr>
        <w:t>Vraag 3</w:t>
      </w:r>
    </w:p>
    <w:p w:rsidRPr="00BB45CD" w:rsidR="004939B7" w:rsidP="004939B7" w:rsidRDefault="004939B7" w14:paraId="10B01E92" w14:textId="77777777">
      <w:r w:rsidRPr="00BB45CD">
        <w:t>Deelt u de visie dat het ontoereikend is dat het SNF-locatieregister alleen in te zien is door de branche zelf? Ziet u hierin een probleem voor gemeenten die in dit systeem geen inzicht hebben, wat handhaving in de weg staat?</w:t>
      </w:r>
    </w:p>
    <w:p w:rsidR="004939B7" w:rsidP="004939B7" w:rsidRDefault="004939B7" w14:paraId="4F916F20" w14:textId="77777777">
      <w:pPr>
        <w:rPr>
          <w:i/>
          <w:iCs/>
        </w:rPr>
      </w:pPr>
    </w:p>
    <w:p w:rsidRPr="00BB45CD" w:rsidR="004939B7" w:rsidP="004939B7" w:rsidRDefault="004939B7" w14:paraId="1960FF49" w14:textId="77777777">
      <w:pPr>
        <w:rPr>
          <w:b/>
          <w:bCs/>
        </w:rPr>
      </w:pPr>
      <w:r w:rsidRPr="00BB45CD">
        <w:rPr>
          <w:b/>
          <w:bCs/>
        </w:rPr>
        <w:t>Antwoord</w:t>
      </w:r>
    </w:p>
    <w:p w:rsidR="004939B7" w:rsidP="004939B7" w:rsidRDefault="004939B7" w14:paraId="392E5322" w14:textId="77777777">
      <w:r>
        <w:t xml:space="preserve">SNF beschikt over een apart locatieregister. In deze database staan alle locaties van ondernemingen die SNF-geregistreerd zijn. </w:t>
      </w:r>
      <w:r w:rsidRPr="001E196F">
        <w:t xml:space="preserve">De ondernemingen registreren de locaties die zij inzetten voor de huisvesting van arbeidsmigranten in het locatieregister en voeren de mutaties maandelijks en voorafgaand </w:t>
      </w:r>
      <w:r>
        <w:t xml:space="preserve">aan </w:t>
      </w:r>
      <w:r w:rsidRPr="001E196F">
        <w:t>een inspectie door.</w:t>
      </w:r>
      <w:r>
        <w:t xml:space="preserve"> </w:t>
      </w:r>
    </w:p>
    <w:p w:rsidR="004939B7" w:rsidP="004939B7" w:rsidRDefault="004939B7" w14:paraId="4138215C" w14:textId="77777777"/>
    <w:p w:rsidR="004939B7" w:rsidP="004939B7" w:rsidRDefault="004939B7" w14:paraId="21649061" w14:textId="77777777">
      <w:r>
        <w:t>Alleen SNF zelf heeft inzage in het volledige register. Een geregistreerde onderneming heeft inzage in de gegevens van de eigen locaties die in het register staan. Het register is niet openbaar voor derden, dus ook niet voor gemeenten.</w:t>
      </w:r>
    </w:p>
    <w:p w:rsidR="004939B7" w:rsidP="004939B7" w:rsidRDefault="004939B7" w14:paraId="2A03976E" w14:textId="77777777"/>
    <w:p w:rsidR="004939B7" w:rsidP="004939B7" w:rsidRDefault="004939B7" w14:paraId="66D527A8" w14:textId="77777777">
      <w:r>
        <w:lastRenderedPageBreak/>
        <w:t xml:space="preserve">Ik herken dat het gemeenten zou kunnen helpen als ze de gegevens van SNF-geregistreerde locaties in hun gemeente konden inzien. Hiermee zouden zij meer inzicht kunnen krijgen in de huisvestingslocaties voor arbeidsmigranten binnen hun gemeentegrenzen. In sommige gemeenten is er namelijk onvoldoende zicht op de locaties waar arbeidsmigranten verblijven, wat onder andere handhaving bemoeilijkt. </w:t>
      </w:r>
    </w:p>
    <w:p w:rsidR="004939B7" w:rsidP="004939B7" w:rsidRDefault="004939B7" w14:paraId="1A5F49ED" w14:textId="77777777"/>
    <w:p w:rsidR="004939B7" w:rsidP="004939B7" w:rsidRDefault="004939B7" w14:paraId="54A3C02B" w14:textId="77777777">
      <w:r>
        <w:t xml:space="preserve">Echter, ik merk ook op dat SNF een privaat keurmerk is. Ondernemingen melden zich vrijwillig aan om het keurmerk te krijgen. Hoewel ik SNF daarom niet kan verplichten om het locatieregister openbaar te maken voor gemeenten, heeft SNF mij desgevraagd wel aangegeven open te staan </w:t>
      </w:r>
      <w:r w:rsidRPr="005761F8">
        <w:t xml:space="preserve">om in gesprek te gaan met individuele gemeenten, om passende afspraken te maken op het gebied van gegevensdeling. </w:t>
      </w:r>
      <w:r>
        <w:t xml:space="preserve">Met enkele gemeenten heeft SNF al een convenant afgesloten over gegevensdeling en dit zou in de toekomst met meer gemeenten afgesproken kunnen worden. </w:t>
      </w:r>
      <w:r w:rsidRPr="004A330D">
        <w:t>Ik moedig gemeenten dan ook aan om dergelijke afspraken met SNF te maken en zal zelf ook met SNF verder bespreken welke rol ik kan spelen om dergelijke afspraken te bevorderen.</w:t>
      </w:r>
    </w:p>
    <w:p w:rsidR="004939B7" w:rsidP="004939B7" w:rsidRDefault="004939B7" w14:paraId="29101EDE" w14:textId="77777777"/>
    <w:p w:rsidR="004939B7" w:rsidP="004939B7" w:rsidRDefault="004939B7" w14:paraId="6A7CFE0B" w14:textId="77777777">
      <w:r>
        <w:t>Daarnaast is het belangrijk om op te merken dat waarschijnlijk de meeste locaties waar arbeidsmigranten verblijven, zoals in mijn antwoord op vraag 2 ook aangegeven, niet geregistreerd of gecertificeerd zijn door SNF. Inzage in slechts de SNF-locaties zou dus geen volledig beeld geven van alle huisvestingslocaties voor arbeidsmigranten in een gemeente. Aangezien de SNF-geregistreerde locaties gecontroleerd worden op een bepaalde kwaliteitsnorm, is het mogelijk dat er juist bij de niet-SNF-geregistreerde locaties meer misstanden voorkomen. Enkel de toegang tot het SNF-register zou voor gemeenten zodoende niet direct leiden tot meer zicht op locaties waar handhaving waarschijnlijk het meest urgent nodig is. Ik vind het dan ook van belang dat er vooral ook op niet-SNF-geregistreerde locaties meer zicht komt en dat er op deze locaties wordt gehandhaafd door gemeenten. Ik zal in dat kader ook in gesprek gaan met gemeenten om te verkennen welke ondersteuning zij nodig hebben om meer zicht te krijgen op de huisvestingslocaties voor arbeidsmigranten binnen hun gemeente.</w:t>
      </w:r>
    </w:p>
    <w:p w:rsidR="004939B7" w:rsidP="004939B7" w:rsidRDefault="004939B7" w14:paraId="582ACC34" w14:textId="77777777"/>
    <w:p w:rsidRPr="00F33981" w:rsidR="004939B7" w:rsidP="004939B7" w:rsidRDefault="004939B7" w14:paraId="7CE8C96B" w14:textId="77777777">
      <w:r>
        <w:t xml:space="preserve">Om meer grip te krijgen op de kwaliteit van huisvestingslocaties voor arbeidsmigranten in de gemeente, moedig ik gemeenten daarom vooral aan om het instrumentarium van de Wet goed verhuurderschap (Wgv) in te zetten. De Wgv biedt bijvoorbeeld de mogelijkheid om een verhuurvergunning voor de verhuur aan arbeidsmigranten in te voeren. Daarmee kunnen er eisen worden gesteld aan onder </w:t>
      </w:r>
      <w:r>
        <w:lastRenderedPageBreak/>
        <w:t>andere het maximaal aantal personen aan wie verhuurd mag worden en de voorzieningen die aanwezig moeten zijn ten behoeve van voedsel en hygiëne. Hierop kan vervolgens gehandhaafd worden. Met de Wet betaalbare huur kan er daarnaast gehandhaafd worden op de huurprijs.</w:t>
      </w:r>
    </w:p>
    <w:p w:rsidRPr="00415034" w:rsidR="004939B7" w:rsidP="004939B7" w:rsidRDefault="004939B7" w14:paraId="0984089B" w14:textId="77777777"/>
    <w:p w:rsidRPr="00415034" w:rsidR="004939B7" w:rsidP="004939B7" w:rsidRDefault="004939B7" w14:paraId="294AEA2B" w14:textId="77777777">
      <w:pPr>
        <w:rPr>
          <w:b/>
          <w:bCs/>
        </w:rPr>
      </w:pPr>
      <w:r w:rsidRPr="00415034">
        <w:rPr>
          <w:b/>
          <w:bCs/>
        </w:rPr>
        <w:t>Vraag 4</w:t>
      </w:r>
    </w:p>
    <w:p w:rsidR="004939B7" w:rsidP="004939B7" w:rsidRDefault="004939B7" w14:paraId="3A062E84" w14:textId="77777777">
      <w:pPr>
        <w:rPr>
          <w:b/>
          <w:bCs/>
        </w:rPr>
      </w:pPr>
      <w:r w:rsidRPr="00A520A9">
        <w:t>Bent u bereid om in gesprek te gaan met SNF om de registers openbaar te maken voor gemeenten, zodat zij beter kunnen handhaven op illegale huisvestingspraktijken? Zo nee, waarom niet?</w:t>
      </w:r>
      <w:r w:rsidRPr="00A520A9">
        <w:rPr>
          <w:b/>
          <w:bCs/>
        </w:rPr>
        <w:br/>
      </w:r>
    </w:p>
    <w:p w:rsidRPr="00A520A9" w:rsidR="004939B7" w:rsidP="004939B7" w:rsidRDefault="004939B7" w14:paraId="1A334EF4" w14:textId="77777777">
      <w:pPr>
        <w:rPr>
          <w:b/>
          <w:bCs/>
        </w:rPr>
      </w:pPr>
      <w:r>
        <w:rPr>
          <w:b/>
          <w:bCs/>
        </w:rPr>
        <w:t>Antwoord</w:t>
      </w:r>
    </w:p>
    <w:p w:rsidRPr="00415034" w:rsidR="004939B7" w:rsidP="004939B7" w:rsidRDefault="004939B7" w14:paraId="3D68A7AE" w14:textId="77777777">
      <w:r>
        <w:t>Zoals hierboven bij vraag 3 aangegeven, kan ik SNF niet verordenen om het register volledig openbaar te maken voor gemeenten. Ik moedig gemeenten wel aan om afspraken te maken met SNF over gegevensdeling en zal zelf ook met SNF verder bespreken welke rol ik kan spelen om dergelijke afspraken te bevorderen. Daarnaast vind ik het van belang dat gemeenten andere middelen inzetten om beter zicht te krijgen op het aantal arbeidsmigranten dat in de gemeente woont en werkt, bijvoorbeeld op het gebied van registratie in de Basisregistratie Personen, en te handhaven op de kwaliteit van huisvesting voor arbeidsmigranten via het instrumentarium op basis van de Wgv. Zoals in mijn antwoord op vraag 3 ook gezegd, zal ik hierover ook met gemeenten het gesprek aangaan om te bezien welke ondersteuning zij hierbij aanvullend nodig hebben.</w:t>
      </w:r>
    </w:p>
    <w:p w:rsidR="006708C8" w:rsidRDefault="006708C8" w14:paraId="72F58B29" w14:textId="77777777"/>
    <w:sectPr w:rsidR="006708C8" w:rsidSect="004939B7">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F5911" w14:textId="77777777" w:rsidR="004939B7" w:rsidRDefault="004939B7" w:rsidP="004939B7">
      <w:pPr>
        <w:spacing w:after="0" w:line="240" w:lineRule="auto"/>
      </w:pPr>
      <w:r>
        <w:separator/>
      </w:r>
    </w:p>
  </w:endnote>
  <w:endnote w:type="continuationSeparator" w:id="0">
    <w:p w14:paraId="35108CEF" w14:textId="77777777" w:rsidR="004939B7" w:rsidRDefault="004939B7" w:rsidP="00493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BDE5" w14:textId="77777777" w:rsidR="004939B7" w:rsidRPr="004939B7" w:rsidRDefault="004939B7" w:rsidP="004939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C7A8F" w14:textId="77777777" w:rsidR="004939B7" w:rsidRPr="004939B7" w:rsidRDefault="004939B7" w:rsidP="004939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8CC6A" w14:textId="77777777" w:rsidR="004939B7" w:rsidRPr="004939B7" w:rsidRDefault="004939B7" w:rsidP="004939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01600" w14:textId="77777777" w:rsidR="004939B7" w:rsidRDefault="004939B7" w:rsidP="004939B7">
      <w:pPr>
        <w:spacing w:after="0" w:line="240" w:lineRule="auto"/>
      </w:pPr>
      <w:r>
        <w:separator/>
      </w:r>
    </w:p>
  </w:footnote>
  <w:footnote w:type="continuationSeparator" w:id="0">
    <w:p w14:paraId="2F52B2DC" w14:textId="77777777" w:rsidR="004939B7" w:rsidRDefault="004939B7" w:rsidP="004939B7">
      <w:pPr>
        <w:spacing w:after="0" w:line="240" w:lineRule="auto"/>
      </w:pPr>
      <w:r>
        <w:continuationSeparator/>
      </w:r>
    </w:p>
  </w:footnote>
  <w:footnote w:id="1">
    <w:p w14:paraId="02CB1790" w14:textId="77777777" w:rsidR="004939B7" w:rsidRDefault="004939B7" w:rsidP="004939B7">
      <w:pPr>
        <w:pStyle w:val="Voetnoottekst"/>
      </w:pPr>
      <w:r w:rsidRPr="00415034">
        <w:rPr>
          <w:rStyle w:val="Voetnootmarkering"/>
          <w:sz w:val="16"/>
          <w:szCs w:val="16"/>
        </w:rPr>
        <w:footnoteRef/>
      </w:r>
      <w:r w:rsidRPr="00415034">
        <w:rPr>
          <w:sz w:val="16"/>
          <w:szCs w:val="16"/>
        </w:rPr>
        <w:t xml:space="preserve"> Stichting Normering Flexwonen, Geregistreerde locaties (www.normeringflexwonen.nl/geregistreerde-locaties).  </w:t>
      </w:r>
    </w:p>
  </w:footnote>
  <w:footnote w:id="2">
    <w:p w14:paraId="44539680" w14:textId="77777777" w:rsidR="004939B7" w:rsidRDefault="004939B7" w:rsidP="004939B7">
      <w:pPr>
        <w:pStyle w:val="Voetnoottekst"/>
      </w:pPr>
      <w:r>
        <w:rPr>
          <w:rStyle w:val="Voetnootmarkering"/>
        </w:rPr>
        <w:footnoteRef/>
      </w:r>
      <w:r>
        <w:t xml:space="preserve"> </w:t>
      </w:r>
      <w:r w:rsidRPr="00C6665F">
        <w:rPr>
          <w:sz w:val="16"/>
          <w:szCs w:val="16"/>
        </w:rPr>
        <w:t xml:space="preserve">Data </w:t>
      </w:r>
      <w:r>
        <w:rPr>
          <w:sz w:val="16"/>
          <w:szCs w:val="16"/>
        </w:rPr>
        <w:t xml:space="preserve">van 4 februari 2025, </w:t>
      </w:r>
      <w:r w:rsidRPr="00C6665F">
        <w:rPr>
          <w:sz w:val="16"/>
          <w:szCs w:val="16"/>
        </w:rPr>
        <w:t>aangeleverd door Stichting Normering Flexwonen op 1 april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7F75D" w14:textId="77777777" w:rsidR="004939B7" w:rsidRPr="004939B7" w:rsidRDefault="004939B7" w:rsidP="004939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EB02A" w14:textId="77777777" w:rsidR="004939B7" w:rsidRPr="004939B7" w:rsidRDefault="004939B7" w:rsidP="004939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1392" w14:textId="77777777" w:rsidR="004939B7" w:rsidRPr="004939B7" w:rsidRDefault="004939B7" w:rsidP="004939B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B7"/>
    <w:rsid w:val="000F5925"/>
    <w:rsid w:val="004939B7"/>
    <w:rsid w:val="006708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9DAA4"/>
  <w15:chartTrackingRefBased/>
  <w15:docId w15:val="{B27C564B-5088-46A7-92E4-901AFF2FF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39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939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939B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939B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939B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939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39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39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39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39B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939B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939B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939B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939B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939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39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39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39B7"/>
    <w:rPr>
      <w:rFonts w:eastAsiaTheme="majorEastAsia" w:cstheme="majorBidi"/>
      <w:color w:val="272727" w:themeColor="text1" w:themeTint="D8"/>
    </w:rPr>
  </w:style>
  <w:style w:type="paragraph" w:styleId="Titel">
    <w:name w:val="Title"/>
    <w:basedOn w:val="Standaard"/>
    <w:next w:val="Standaard"/>
    <w:link w:val="TitelChar"/>
    <w:uiPriority w:val="10"/>
    <w:qFormat/>
    <w:rsid w:val="00493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39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39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39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39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39B7"/>
    <w:rPr>
      <w:i/>
      <w:iCs/>
      <w:color w:val="404040" w:themeColor="text1" w:themeTint="BF"/>
    </w:rPr>
  </w:style>
  <w:style w:type="paragraph" w:styleId="Lijstalinea">
    <w:name w:val="List Paragraph"/>
    <w:basedOn w:val="Standaard"/>
    <w:uiPriority w:val="34"/>
    <w:qFormat/>
    <w:rsid w:val="004939B7"/>
    <w:pPr>
      <w:ind w:left="720"/>
      <w:contextualSpacing/>
    </w:pPr>
  </w:style>
  <w:style w:type="character" w:styleId="Intensievebenadrukking">
    <w:name w:val="Intense Emphasis"/>
    <w:basedOn w:val="Standaardalinea-lettertype"/>
    <w:uiPriority w:val="21"/>
    <w:qFormat/>
    <w:rsid w:val="004939B7"/>
    <w:rPr>
      <w:i/>
      <w:iCs/>
      <w:color w:val="2F5496" w:themeColor="accent1" w:themeShade="BF"/>
    </w:rPr>
  </w:style>
  <w:style w:type="paragraph" w:styleId="Duidelijkcitaat">
    <w:name w:val="Intense Quote"/>
    <w:basedOn w:val="Standaard"/>
    <w:next w:val="Standaard"/>
    <w:link w:val="DuidelijkcitaatChar"/>
    <w:uiPriority w:val="30"/>
    <w:qFormat/>
    <w:rsid w:val="004939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939B7"/>
    <w:rPr>
      <w:i/>
      <w:iCs/>
      <w:color w:val="2F5496" w:themeColor="accent1" w:themeShade="BF"/>
    </w:rPr>
  </w:style>
  <w:style w:type="character" w:styleId="Intensieveverwijzing">
    <w:name w:val="Intense Reference"/>
    <w:basedOn w:val="Standaardalinea-lettertype"/>
    <w:uiPriority w:val="32"/>
    <w:qFormat/>
    <w:rsid w:val="004939B7"/>
    <w:rPr>
      <w:b/>
      <w:bCs/>
      <w:smallCaps/>
      <w:color w:val="2F5496" w:themeColor="accent1" w:themeShade="BF"/>
      <w:spacing w:val="5"/>
    </w:rPr>
  </w:style>
  <w:style w:type="table" w:customStyle="1" w:styleId="TabelRijkshuisstijl">
    <w:name w:val="Tabel Rijkshuisstijl"/>
    <w:rsid w:val="004939B7"/>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paragraph" w:styleId="Voetnoottekst">
    <w:name w:val="footnote text"/>
    <w:basedOn w:val="Standaard"/>
    <w:link w:val="VoetnoottekstChar"/>
    <w:uiPriority w:val="99"/>
    <w:semiHidden/>
    <w:unhideWhenUsed/>
    <w:rsid w:val="004939B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939B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939B7"/>
    <w:rPr>
      <w:vertAlign w:val="superscript"/>
    </w:rPr>
  </w:style>
  <w:style w:type="paragraph" w:styleId="Bijschrift">
    <w:name w:val="caption"/>
    <w:basedOn w:val="Standaard"/>
    <w:next w:val="Standaard"/>
    <w:uiPriority w:val="35"/>
    <w:unhideWhenUsed/>
    <w:qFormat/>
    <w:rsid w:val="004939B7"/>
    <w:pPr>
      <w:autoSpaceDN w:val="0"/>
      <w:spacing w:after="200" w:line="240" w:lineRule="auto"/>
      <w:textAlignment w:val="baseline"/>
    </w:pPr>
    <w:rPr>
      <w:rFonts w:ascii="Verdana" w:eastAsia="DejaVu Sans" w:hAnsi="Verdana" w:cs="Lohit Hindi"/>
      <w:i/>
      <w:iCs/>
      <w:color w:val="44546A" w:themeColor="text2"/>
      <w:kern w:val="0"/>
      <w:sz w:val="18"/>
      <w:szCs w:val="18"/>
      <w:lang w:eastAsia="nl-NL"/>
      <w14:ligatures w14:val="none"/>
    </w:rPr>
  </w:style>
  <w:style w:type="paragraph" w:styleId="Koptekst">
    <w:name w:val="header"/>
    <w:basedOn w:val="Standaard"/>
    <w:link w:val="KoptekstChar"/>
    <w:uiPriority w:val="99"/>
    <w:unhideWhenUsed/>
    <w:rsid w:val="004939B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939B7"/>
  </w:style>
  <w:style w:type="paragraph" w:styleId="Voettekst">
    <w:name w:val="footer"/>
    <w:basedOn w:val="Standaard"/>
    <w:link w:val="VoettekstChar"/>
    <w:uiPriority w:val="99"/>
    <w:unhideWhenUsed/>
    <w:rsid w:val="004939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93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1372</ap:Words>
  <ap:Characters>7547</ap:Characters>
  <ap:DocSecurity>0</ap:DocSecurity>
  <ap:Lines>62</ap:Lines>
  <ap:Paragraphs>17</ap:Paragraphs>
  <ap:ScaleCrop>false</ap:ScaleCrop>
  <ap:LinksUpToDate>false</ap:LinksUpToDate>
  <ap:CharactersWithSpaces>8902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2025-05-06T08:07:00.0000000Z</dcterms:created>
  <dcterms:modified xsi:type="dcterms:W3CDTF">2025-05-06T08:09:00.0000000Z</dcterms:modified>
  <version/>
  <category/>
</coreProperties>
</file>