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0C75BD" w:rsidR="000C75BD">
        <w:rPr>
          <w:rFonts w:cstheme="minorHAnsi"/>
          <w:i/>
        </w:rPr>
        <w:t>Volksgezondheid, Welzijn en Sport (XVI)</w:t>
      </w:r>
      <w:r w:rsidR="000C75BD">
        <w:rPr>
          <w:rFonts w:cstheme="minorHAnsi"/>
          <w:i/>
        </w:rPr>
        <w:t>,</w:t>
      </w:r>
      <w:r w:rsidR="000C75BD">
        <w:rPr>
          <w:rFonts w:cstheme="minorHAnsi"/>
        </w:rPr>
        <w:t xml:space="preserve">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0C75BD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69611A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3D" w:rsidRDefault="00F570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3D" w:rsidRDefault="00F570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3D" w:rsidRDefault="00F570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0C75BD" w:rsidRPr="002071FB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0C75BD" w:rsidRPr="000C75BD">
                                  <w:rPr>
                                    <w:rFonts w:cstheme="minorHAnsi"/>
                                    <w:i/>
                                  </w:rPr>
                                  <w:t>Volksgezondheid, Welzijn en Sport (XVI)</w:t>
                                </w:r>
                                <w:r w:rsidR="000C75BD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0C75BD" w:rsidRPr="002071FB">
                            <w:rPr>
                              <w:rFonts w:cstheme="minorHAnsi"/>
                            </w:rPr>
                            <w:t xml:space="preserve"> </w:t>
                          </w:r>
                          <w:r w:rsidR="000C75BD" w:rsidRPr="000C75BD">
                            <w:rPr>
                              <w:rFonts w:cstheme="minorHAnsi"/>
                              <w:i/>
                            </w:rPr>
                            <w:t>Volksgezondheid, Welzijn en Sport (XVI)</w:t>
                          </w:r>
                          <w:r w:rsidR="000C75BD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6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6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6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6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F5703D">
                                <w:r>
                                  <w:t>25002533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F5703D">
                          <w:r>
                            <w:t>25002533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0C75BD"/>
    <w:rsid w:val="0069611A"/>
    <w:rsid w:val="009E7063"/>
    <w:rsid w:val="00D123D7"/>
    <w:rsid w:val="00ED504B"/>
    <w:rsid w:val="00F5703D"/>
    <w:rsid w:val="00F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2025-05-15T09:20:00.0000000Z</dcterms:created>
  <dcterms:modified xsi:type="dcterms:W3CDTF">2025-05-15T11:27:00.0000000Z</dcterms:modified>
  <dc:description>------------------------</dc:description>
  <dc:subject/>
  <keywords/>
  <version/>
  <category/>
</coreProperties>
</file>