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105" w:rsidRDefault="00083105" w14:paraId="24714EBE" w14:textId="77777777"/>
    <w:p w:rsidR="007D3234" w:rsidP="007D3234" w:rsidRDefault="007D3234" w14:paraId="6CB67DEF" w14:textId="423E226F">
      <w:pPr>
        <w:pStyle w:val="WitregelW1bodytekst"/>
      </w:pPr>
      <w:r>
        <w:t xml:space="preserve">De sociale zekerheid kent sinds 2008 de Wet eenmalige </w:t>
      </w:r>
      <w:proofErr w:type="spellStart"/>
      <w:r>
        <w:t>gegevensuitvraag</w:t>
      </w:r>
      <w:proofErr w:type="spellEnd"/>
      <w:r>
        <w:t xml:space="preserve"> werk en inkomen (hierna: WEU). De WEU regelt dat UWV, de SVB en gemeenten </w:t>
      </w:r>
      <w:r w:rsidR="00892CD3">
        <w:t xml:space="preserve">één keer </w:t>
      </w:r>
      <w:r>
        <w:t xml:space="preserve">aan </w:t>
      </w:r>
      <w:r w:rsidR="00C52D92">
        <w:t>mensen</w:t>
      </w:r>
      <w:r>
        <w:t xml:space="preserve"> persoonsgegevens vragen en die hergebruiken bij het aanvragen, verstrekken en controleren van uitkeringen en andere sociale voorzieningen. Dit zorgt voor minder administratieve lasten en </w:t>
      </w:r>
      <w:r w:rsidR="00BA1E01">
        <w:t>kan</w:t>
      </w:r>
      <w:r>
        <w:t xml:space="preserve"> de dienstverlening eenvoudiger en toegankelijker</w:t>
      </w:r>
      <w:r w:rsidR="00BA1E01">
        <w:t xml:space="preserve"> maken</w:t>
      </w:r>
      <w:r>
        <w:t>. In het kader van de Werkagenda SUWI is de WEU geëvalueerd. We hebben uw Kamer in de voortgangsbrief van de Werkagenda SUWI hierover geïnformeerd.</w:t>
      </w:r>
      <w:r>
        <w:rPr>
          <w:rStyle w:val="Voetnootmarkering"/>
        </w:rPr>
        <w:footnoteReference w:id="2"/>
      </w:r>
    </w:p>
    <w:p w:rsidR="007D3234" w:rsidP="007D3234" w:rsidRDefault="007D3234" w14:paraId="300A1EC1" w14:textId="77777777"/>
    <w:p w:rsidR="007D3234" w:rsidP="007D3234" w:rsidRDefault="007D3234" w14:paraId="0F4A9F5E" w14:textId="4DA6E60B">
      <w:r>
        <w:t xml:space="preserve">Met deze brief bieden wij de evaluatie aan en </w:t>
      </w:r>
      <w:r w:rsidR="000B7200">
        <w:t xml:space="preserve">geven </w:t>
      </w:r>
      <w:r>
        <w:t xml:space="preserve">wij </w:t>
      </w:r>
      <w:r w:rsidR="000B7200">
        <w:t>een reactie op</w:t>
      </w:r>
      <w:r>
        <w:t xml:space="preserve"> de uitkomsten. Daarbij zullen wij</w:t>
      </w:r>
      <w:r w:rsidR="007C4C1C">
        <w:t>,</w:t>
      </w:r>
      <w:r w:rsidRPr="00676608" w:rsidR="007C4C1C">
        <w:t xml:space="preserve"> </w:t>
      </w:r>
      <w:r w:rsidR="007C4C1C">
        <w:t>gelet op de samenhang met de evaluatie van de WEU,</w:t>
      </w:r>
      <w:r>
        <w:t xml:space="preserve"> ook de motie van het voormalige lid Zeedijk (NSC) en het lid </w:t>
      </w:r>
      <w:proofErr w:type="spellStart"/>
      <w:r>
        <w:t>Mohandis</w:t>
      </w:r>
      <w:proofErr w:type="spellEnd"/>
      <w:r>
        <w:t xml:space="preserve"> (GroenLinks-</w:t>
      </w:r>
      <w:proofErr w:type="spellStart"/>
      <w:r>
        <w:t>Pvda</w:t>
      </w:r>
      <w:proofErr w:type="spellEnd"/>
      <w:r>
        <w:t xml:space="preserve">) over </w:t>
      </w:r>
      <w:bookmarkStart w:name="_Hlk194334689" w:id="0"/>
      <w:r>
        <w:t xml:space="preserve">automatische, geautomatiseerde en </w:t>
      </w:r>
      <w:proofErr w:type="spellStart"/>
      <w:r>
        <w:t>vooringevulde</w:t>
      </w:r>
      <w:proofErr w:type="spellEnd"/>
      <w:r>
        <w:t xml:space="preserve"> aanvragen voor inkomensvoorzieningen v</w:t>
      </w:r>
      <w:bookmarkEnd w:id="0"/>
      <w:r>
        <w:t>an een reactie voorzien.</w:t>
      </w:r>
      <w:r w:rsidR="006D1EE0">
        <w:rPr>
          <w:rStyle w:val="Voetnootmarkering"/>
        </w:rPr>
        <w:footnoteReference w:id="3"/>
      </w:r>
    </w:p>
    <w:p w:rsidR="007D3234" w:rsidP="007D3234" w:rsidRDefault="007D3234" w14:paraId="3CD0970A" w14:textId="77777777"/>
    <w:p w:rsidRPr="00C47562" w:rsidR="007D3234" w:rsidP="007D3234" w:rsidRDefault="007D3234" w14:paraId="293F35D2" w14:textId="77777777">
      <w:pPr>
        <w:rPr>
          <w:i/>
          <w:iCs/>
        </w:rPr>
      </w:pPr>
      <w:r w:rsidRPr="00C47562">
        <w:rPr>
          <w:i/>
          <w:iCs/>
        </w:rPr>
        <w:t xml:space="preserve">Wet eenmalige </w:t>
      </w:r>
      <w:proofErr w:type="spellStart"/>
      <w:r w:rsidRPr="00C47562">
        <w:rPr>
          <w:i/>
          <w:iCs/>
        </w:rPr>
        <w:t>gegevensuitvraag</w:t>
      </w:r>
      <w:proofErr w:type="spellEnd"/>
      <w:r w:rsidRPr="00C47562">
        <w:rPr>
          <w:i/>
          <w:iCs/>
        </w:rPr>
        <w:t xml:space="preserve"> werk en inkomen</w:t>
      </w:r>
    </w:p>
    <w:p w:rsidR="007D3234" w:rsidP="007D3234" w:rsidRDefault="000B7200" w14:paraId="7900954C" w14:textId="19C4C909">
      <w:r>
        <w:t>D</w:t>
      </w:r>
      <w:r w:rsidR="007D3234">
        <w:t xml:space="preserve">e WEU </w:t>
      </w:r>
      <w:r w:rsidR="00F31BCE">
        <w:t xml:space="preserve">is </w:t>
      </w:r>
      <w:r w:rsidR="007D3234">
        <w:t>in 2008 ingevoerd. De WEU voegde zowel in de Wet structuur uitvoeringsorganisatie werk en inkomen (hierna: Wet SUWI) als in materiewetten zoals de Werkloosheidswet, Ziektewet en Participatiewet bepalingen toe</w:t>
      </w:r>
      <w:r w:rsidR="00C52D92">
        <w:t xml:space="preserve"> over het hergebruiken van gegevens</w:t>
      </w:r>
      <w:r w:rsidR="007D3234">
        <w:t>.</w:t>
      </w:r>
      <w:r w:rsidR="007D3234">
        <w:rPr>
          <w:rStyle w:val="Voetnootmarkering"/>
        </w:rPr>
        <w:footnoteReference w:id="4"/>
      </w:r>
      <w:r w:rsidR="007D3234">
        <w:t xml:space="preserve"> De WEU regelt dat de SUWI-partijen</w:t>
      </w:r>
      <w:r>
        <w:rPr>
          <w:rStyle w:val="Voetnootmarkering"/>
        </w:rPr>
        <w:footnoteReference w:id="5"/>
      </w:r>
      <w:r w:rsidR="007D3234">
        <w:t xml:space="preserve"> voor hun wettelijke taak verplicht zijn gegevens uit het </w:t>
      </w:r>
      <w:proofErr w:type="spellStart"/>
      <w:r w:rsidR="007D3234">
        <w:t>overheidsbrede</w:t>
      </w:r>
      <w:proofErr w:type="spellEnd"/>
      <w:r w:rsidR="007D3234">
        <w:t xml:space="preserve"> stelstel van basisregistraties, de </w:t>
      </w:r>
      <w:proofErr w:type="spellStart"/>
      <w:r w:rsidR="007D3234">
        <w:t>polisadministratie</w:t>
      </w:r>
      <w:proofErr w:type="spellEnd"/>
      <w:r w:rsidR="007D3234">
        <w:t xml:space="preserve"> van UWV en de verzekerdenadministratie van de SVB te gebruiken</w:t>
      </w:r>
      <w:r>
        <w:t xml:space="preserve"> en te hergebruiken</w:t>
      </w:r>
      <w:r w:rsidR="007D3234">
        <w:t xml:space="preserve">. Dit zou op den duur moeten leiden tot het voorinvullen van aanvraagformulieren, zodat </w:t>
      </w:r>
      <w:r w:rsidR="009C1803">
        <w:t>mensen</w:t>
      </w:r>
      <w:r w:rsidR="007D3234">
        <w:t xml:space="preserve"> deze alleen maar </w:t>
      </w:r>
      <w:r w:rsidR="009C1803">
        <w:t xml:space="preserve">hoeven </w:t>
      </w:r>
      <w:r w:rsidR="007D3234">
        <w:t>aan te vullen en te corrigeren.</w:t>
      </w:r>
    </w:p>
    <w:p w:rsidR="007D3234" w:rsidP="007D3234" w:rsidRDefault="007D3234" w14:paraId="266C86E9" w14:textId="77777777"/>
    <w:p w:rsidR="00A468BE" w:rsidP="007D3234" w:rsidRDefault="000B7200" w14:paraId="69C3C4C4" w14:textId="77777777">
      <w:r>
        <w:t>U</w:t>
      </w:r>
      <w:r w:rsidR="007D3234">
        <w:t xml:space="preserve">itkeringsgerechtigden </w:t>
      </w:r>
      <w:r>
        <w:t xml:space="preserve">zijn </w:t>
      </w:r>
      <w:r w:rsidR="007D3234">
        <w:t>verplicht om direct uit eigen beweging melding te maken van alle feiten en omstandigheden die van invloed kunnen zijn op hun recht op de uitkering. Bij de invoering van de WEU is ervan uitgegaan dat de</w:t>
      </w:r>
      <w:r>
        <w:t>ze</w:t>
      </w:r>
      <w:r w:rsidR="007D3234">
        <w:t xml:space="preserve"> inlichtingenplicht beperkt </w:t>
      </w:r>
      <w:r w:rsidR="00F31BCE">
        <w:t xml:space="preserve">kan worden </w:t>
      </w:r>
      <w:r w:rsidR="007D3234">
        <w:t xml:space="preserve">vanwege </w:t>
      </w:r>
      <w:r w:rsidR="00BA1E01">
        <w:t>her</w:t>
      </w:r>
      <w:r w:rsidR="007D3234">
        <w:t xml:space="preserve">gebruik van gegevens. </w:t>
      </w:r>
    </w:p>
    <w:p w:rsidR="007D3234" w:rsidP="007D3234" w:rsidRDefault="007D3234" w14:paraId="2C806DB1" w14:textId="2B189974">
      <w:r>
        <w:lastRenderedPageBreak/>
        <w:t>D</w:t>
      </w:r>
      <w:r w:rsidR="00014368">
        <w:t>it heeft</w:t>
      </w:r>
      <w:r>
        <w:t xml:space="preserve"> geleid tot de Regeling uitzondering inlichtingenplicht, waarin wordt aangegeven welke gegevens van de inlichtingenplicht zijn uitgezonderd.</w:t>
      </w:r>
      <w:r>
        <w:rPr>
          <w:rStyle w:val="Voetnootmarkering"/>
        </w:rPr>
        <w:footnoteReference w:id="6"/>
      </w:r>
      <w:r>
        <w:t xml:space="preserve"> </w:t>
      </w:r>
    </w:p>
    <w:p w:rsidR="007D3234" w:rsidP="007D3234" w:rsidRDefault="007D3234" w14:paraId="55FCD8FF" w14:textId="77777777"/>
    <w:p w:rsidRPr="007F2F30" w:rsidR="007D3234" w:rsidP="007D3234" w:rsidRDefault="007D3234" w14:paraId="601D833B" w14:textId="106B9AA2">
      <w:pPr>
        <w:rPr>
          <w:i/>
          <w:iCs/>
        </w:rPr>
      </w:pPr>
      <w:r w:rsidRPr="007F2F30">
        <w:rPr>
          <w:i/>
          <w:iCs/>
        </w:rPr>
        <w:t xml:space="preserve">Belangrijkste uitkomsten </w:t>
      </w:r>
      <w:r>
        <w:rPr>
          <w:i/>
          <w:iCs/>
        </w:rPr>
        <w:t xml:space="preserve">huidige </w:t>
      </w:r>
      <w:r w:rsidRPr="007F2F30">
        <w:rPr>
          <w:i/>
          <w:iCs/>
        </w:rPr>
        <w:t>evaluatie WEU</w:t>
      </w:r>
      <w:r>
        <w:rPr>
          <w:i/>
          <w:iCs/>
        </w:rPr>
        <w:t xml:space="preserve"> 2025</w:t>
      </w:r>
    </w:p>
    <w:p w:rsidR="00BA1E01" w:rsidP="007D3234" w:rsidRDefault="009C1803" w14:paraId="19093866" w14:textId="11CB46F9">
      <w:r>
        <w:t>De m</w:t>
      </w:r>
      <w:r w:rsidR="009F499C">
        <w:t>ensen</w:t>
      </w:r>
      <w:r w:rsidR="007D3234">
        <w:t xml:space="preserve"> </w:t>
      </w:r>
      <w:r>
        <w:t xml:space="preserve">met wie is gesproken voor de evaluatie </w:t>
      </w:r>
      <w:r w:rsidR="007D3234">
        <w:t xml:space="preserve">vinden verbetering van de dienstverlening belangrijk. In hoeverre </w:t>
      </w:r>
      <w:r w:rsidR="00D02114">
        <w:t xml:space="preserve">ze </w:t>
      </w:r>
      <w:r w:rsidR="007D3234">
        <w:t>administratieve lasten ervaren verschilt per situatie en persoon. Sommige</w:t>
      </w:r>
      <w:r>
        <w:t>n</w:t>
      </w:r>
      <w:r w:rsidR="007D3234">
        <w:t xml:space="preserve"> verwachten dat UWV, SVB en gemeenten hun gegevens al onderling delen en ervaren het herhaald aanleveren van gegevens als onnodig en inefficiënt. Andere</w:t>
      </w:r>
      <w:r>
        <w:t>n</w:t>
      </w:r>
      <w:r w:rsidR="007D3234">
        <w:t xml:space="preserve"> </w:t>
      </w:r>
      <w:r w:rsidR="009F499C">
        <w:t xml:space="preserve">vinden het, vanuit optiek van de borging van hun privacy, </w:t>
      </w:r>
      <w:r w:rsidR="007D3234">
        <w:t xml:space="preserve">niet erg om gegevens dubbel aan te leveren. </w:t>
      </w:r>
      <w:r w:rsidR="00BA1E01">
        <w:t xml:space="preserve">Vaak nemen </w:t>
      </w:r>
      <w:r w:rsidR="009F499C">
        <w:t>mensen</w:t>
      </w:r>
      <w:r w:rsidR="00D02114">
        <w:t xml:space="preserve"> </w:t>
      </w:r>
      <w:r w:rsidR="00BA1E01">
        <w:t>de administratieve lasten voor lief, o</w:t>
      </w:r>
      <w:r w:rsidR="007D3234">
        <w:t>mdat een uitkering noodzakelijk is om financieel rond te komen.</w:t>
      </w:r>
      <w:r w:rsidR="00F31BCE">
        <w:t xml:space="preserve"> </w:t>
      </w:r>
    </w:p>
    <w:p w:rsidR="00BA1E01" w:rsidP="007D3234" w:rsidRDefault="00BA1E01" w14:paraId="601FCF32" w14:textId="77777777"/>
    <w:p w:rsidR="007D3234" w:rsidP="007D3234" w:rsidRDefault="007D3234" w14:paraId="287CE8DC" w14:textId="01847274">
      <w:r>
        <w:t xml:space="preserve">Volgens </w:t>
      </w:r>
      <w:r w:rsidR="00F31BCE">
        <w:t>de evaluatie</w:t>
      </w:r>
      <w:r>
        <w:t xml:space="preserve"> heeft de WEU geholpen om de dienst</w:t>
      </w:r>
      <w:r w:rsidR="00B11654">
        <w:t>verlening</w:t>
      </w:r>
      <w:r>
        <w:t xml:space="preserve"> blijvend te verbeteren. </w:t>
      </w:r>
      <w:r w:rsidRPr="008A4C6E">
        <w:t xml:space="preserve">Het principe van eenmalige </w:t>
      </w:r>
      <w:proofErr w:type="spellStart"/>
      <w:r w:rsidRPr="008A4C6E">
        <w:t>gegevensuitvraag</w:t>
      </w:r>
      <w:proofErr w:type="spellEnd"/>
      <w:r w:rsidRPr="008A4C6E">
        <w:t xml:space="preserve"> wordt breed gedrag</w:t>
      </w:r>
      <w:r>
        <w:t xml:space="preserve">en door de SUWI-partijen. </w:t>
      </w:r>
      <w:r w:rsidR="00BA1E01">
        <w:t xml:space="preserve">Ze </w:t>
      </w:r>
      <w:r w:rsidRPr="00C466BD" w:rsidR="00BA1E01">
        <w:t>hebben</w:t>
      </w:r>
      <w:r w:rsidR="00BA1E01">
        <w:t xml:space="preserve"> echter</w:t>
      </w:r>
      <w:r w:rsidRPr="00C466BD" w:rsidR="00BA1E01">
        <w:t xml:space="preserve"> diverse redenen om gegevens </w:t>
      </w:r>
      <w:r w:rsidR="00BA1E01">
        <w:t xml:space="preserve">regelmatig wel </w:t>
      </w:r>
      <w:r w:rsidRPr="00C466BD" w:rsidR="00BA1E01">
        <w:t>opnieuw uit te vragen</w:t>
      </w:r>
      <w:r w:rsidR="00BA1E01">
        <w:t xml:space="preserve">. </w:t>
      </w:r>
      <w:r w:rsidRPr="00C466BD">
        <w:t xml:space="preserve">Het onderzoek laat </w:t>
      </w:r>
      <w:r w:rsidR="00BA1E01">
        <w:t xml:space="preserve">bijvoorbeeld </w:t>
      </w:r>
      <w:r w:rsidRPr="00C466BD">
        <w:t xml:space="preserve">zien dat </w:t>
      </w:r>
      <w:r>
        <w:t>de beschikbare g</w:t>
      </w:r>
      <w:r w:rsidRPr="00C466BD">
        <w:t xml:space="preserve">egevens </w:t>
      </w:r>
      <w:r>
        <w:t>niet altijd</w:t>
      </w:r>
      <w:r w:rsidRPr="00C466BD">
        <w:t xml:space="preserve"> actueel, juist en </w:t>
      </w:r>
      <w:r>
        <w:t>volledig</w:t>
      </w:r>
      <w:r w:rsidRPr="00C466BD">
        <w:t xml:space="preserve"> genoeg zijn om </w:t>
      </w:r>
      <w:r w:rsidR="00892CD3">
        <w:t xml:space="preserve">hergebruikt </w:t>
      </w:r>
      <w:r w:rsidRPr="00C466BD">
        <w:t>te worden</w:t>
      </w:r>
      <w:r w:rsidR="00892CD3">
        <w:t>.</w:t>
      </w:r>
      <w:r w:rsidRPr="00C466BD" w:rsidR="00892CD3">
        <w:t xml:space="preserve"> </w:t>
      </w:r>
      <w:r w:rsidR="00737C22">
        <w:t>H</w:t>
      </w:r>
      <w:r w:rsidRPr="00C466BD">
        <w:t xml:space="preserve">et voorkomen van terugvorderingen of het maken van persoonlijk contact </w:t>
      </w:r>
      <w:r w:rsidR="00BA1E01">
        <w:t>om bijvoorbeeld naar werk te kunnen begeleiden</w:t>
      </w:r>
      <w:r w:rsidR="00892CD3">
        <w:t xml:space="preserve">, </w:t>
      </w:r>
      <w:r w:rsidR="0085413F">
        <w:t>worden</w:t>
      </w:r>
      <w:r w:rsidRPr="00C466BD">
        <w:t xml:space="preserve"> genoemd</w:t>
      </w:r>
      <w:r w:rsidR="00737C22">
        <w:t xml:space="preserve"> als redenen</w:t>
      </w:r>
      <w:r w:rsidRPr="00C466BD">
        <w:t>.</w:t>
      </w:r>
      <w:r w:rsidRPr="00150778">
        <w:t xml:space="preserve"> </w:t>
      </w:r>
      <w:r w:rsidR="000750A9">
        <w:t xml:space="preserve">Ook niet alle </w:t>
      </w:r>
      <w:r w:rsidR="00BA1E01">
        <w:t xml:space="preserve">aanvraagformulieren </w:t>
      </w:r>
      <w:r w:rsidR="000750A9">
        <w:t xml:space="preserve">worden (volledig) </w:t>
      </w:r>
      <w:proofErr w:type="spellStart"/>
      <w:r w:rsidR="000750A9">
        <w:t>vooringevuld</w:t>
      </w:r>
      <w:proofErr w:type="spellEnd"/>
      <w:r w:rsidR="000750A9">
        <w:t xml:space="preserve">. </w:t>
      </w:r>
    </w:p>
    <w:p w:rsidR="007D3234" w:rsidP="007D3234" w:rsidRDefault="007D3234" w14:paraId="5AFE0CA6" w14:textId="77777777">
      <w:pPr>
        <w:rPr>
          <w:i/>
          <w:iCs/>
        </w:rPr>
      </w:pPr>
    </w:p>
    <w:p w:rsidR="007D3234" w:rsidP="007D3234" w:rsidRDefault="007D3234" w14:paraId="5F381624" w14:textId="77777777">
      <w:pPr>
        <w:rPr>
          <w:i/>
          <w:iCs/>
        </w:rPr>
      </w:pPr>
      <w:r w:rsidRPr="00C74B61">
        <w:rPr>
          <w:i/>
          <w:iCs/>
        </w:rPr>
        <w:t>Beleidsreactie evaluatie WEU</w:t>
      </w:r>
      <w:r>
        <w:rPr>
          <w:i/>
          <w:iCs/>
        </w:rPr>
        <w:t xml:space="preserve"> </w:t>
      </w:r>
    </w:p>
    <w:p w:rsidR="00A43CAE" w:rsidP="007D3234" w:rsidRDefault="00415670" w14:paraId="04657A2B" w14:textId="48DC718F">
      <w:r>
        <w:t>Wij vinden e</w:t>
      </w:r>
      <w:r w:rsidR="007D3234">
        <w:t>envoudig</w:t>
      </w:r>
      <w:r w:rsidR="00EE2520">
        <w:t>e</w:t>
      </w:r>
      <w:r w:rsidR="007D3234">
        <w:t xml:space="preserve"> en toegankelijk</w:t>
      </w:r>
      <w:r w:rsidR="00EE2520">
        <w:t>e dienstverlening</w:t>
      </w:r>
      <w:r w:rsidR="00B11654">
        <w:t xml:space="preserve"> </w:t>
      </w:r>
      <w:r>
        <w:t xml:space="preserve">in de sociale zekerheid </w:t>
      </w:r>
      <w:r w:rsidR="00B11654">
        <w:t>belangrijk</w:t>
      </w:r>
      <w:r w:rsidR="00CB35DB">
        <w:t>,</w:t>
      </w:r>
      <w:r>
        <w:t xml:space="preserve"> zodat mensen krijgen waar ze recht op hebben. We onderschrijven daarom het belang van eenmalige uitvraag van gegevens waar dat </w:t>
      </w:r>
      <w:r w:rsidR="00A43CAE">
        <w:t xml:space="preserve">praktisch </w:t>
      </w:r>
      <w:r>
        <w:t>kan</w:t>
      </w:r>
      <w:r w:rsidR="00A43CAE">
        <w:t xml:space="preserve"> en bijdraagt aan betere </w:t>
      </w:r>
      <w:r w:rsidR="00E96F08">
        <w:t xml:space="preserve">en gezamenlijke </w:t>
      </w:r>
      <w:r w:rsidR="00A43CAE">
        <w:t>dienstverlening</w:t>
      </w:r>
      <w:r>
        <w:t xml:space="preserve">. </w:t>
      </w:r>
      <w:r w:rsidR="00A43CAE">
        <w:t xml:space="preserve">De uitkomsten van deze evaluatie betrekken we bij de </w:t>
      </w:r>
      <w:r w:rsidR="008B070C">
        <w:t>W</w:t>
      </w:r>
      <w:r w:rsidR="00A43CAE">
        <w:t xml:space="preserve">erkagenda SUWI. De Werkagenda SUWI wil de positie van mensen centraal zetten in de regelgeving </w:t>
      </w:r>
      <w:r w:rsidR="00076A4A">
        <w:t>over</w:t>
      </w:r>
      <w:r w:rsidR="00A43CAE">
        <w:t xml:space="preserve"> de organisatie en de gegevensverwerking van de sociale zekerheid. </w:t>
      </w:r>
      <w:r w:rsidR="007C4C1C">
        <w:t xml:space="preserve">Hieronder geven we aan hoe we dit gaan doen </w:t>
      </w:r>
      <w:r w:rsidR="007F0237">
        <w:t xml:space="preserve">door de wetgeving aan te passen </w:t>
      </w:r>
      <w:r w:rsidR="007C4C1C">
        <w:t>en wat dit betekent voor de uitvoering.</w:t>
      </w:r>
    </w:p>
    <w:p w:rsidR="00A43CAE" w:rsidP="007D3234" w:rsidRDefault="00A43CAE" w14:paraId="58404F84" w14:textId="77777777"/>
    <w:p w:rsidRPr="009C1803" w:rsidR="00903859" w:rsidP="00903859" w:rsidRDefault="00903859" w14:paraId="3999A518" w14:textId="56959CAB">
      <w:pPr>
        <w:pStyle w:val="Lijstalinea"/>
        <w:numPr>
          <w:ilvl w:val="0"/>
          <w:numId w:val="12"/>
        </w:numPr>
        <w:rPr>
          <w:u w:val="single"/>
        </w:rPr>
      </w:pPr>
      <w:r w:rsidRPr="009C1803">
        <w:rPr>
          <w:u w:val="single"/>
        </w:rPr>
        <w:t>Wetgeving</w:t>
      </w:r>
    </w:p>
    <w:p w:rsidR="00A43CAE" w:rsidP="00903859" w:rsidRDefault="00A43CAE" w14:paraId="7BDF43DF" w14:textId="3A4664E6">
      <w:r w:rsidRPr="00B71995">
        <w:t>Met het wetsvoorstel proactieve dienstverlening SZW</w:t>
      </w:r>
      <w:r>
        <w:t xml:space="preserve"> kunnen mensen </w:t>
      </w:r>
      <w:r w:rsidRPr="00B71995">
        <w:t xml:space="preserve">gericht advies </w:t>
      </w:r>
      <w:r>
        <w:t xml:space="preserve">krijgen over bepaalde uitkeringen en voorzieningen </w:t>
      </w:r>
      <w:r w:rsidRPr="00B71995">
        <w:t xml:space="preserve">en </w:t>
      </w:r>
      <w:r>
        <w:t>persoonlijke hulp om een aanvraag in te dienen. UWV, SVB en gemeenten mogen hiervoor persoonsgegevens verder verwerken en uitwisselen.</w:t>
      </w:r>
      <w:r w:rsidR="00076A4A">
        <w:t xml:space="preserve"> Dan helpt het ook als dat vervolgens in het verdere dienstverleningsproces ook goed geregeld is. </w:t>
      </w:r>
    </w:p>
    <w:p w:rsidR="00A43CAE" w:rsidP="007D3234" w:rsidRDefault="00A43CAE" w14:paraId="6A0C7219" w14:textId="77777777"/>
    <w:p w:rsidR="00F61615" w:rsidP="00E96F08" w:rsidRDefault="007D3234" w14:paraId="3A60C1CD" w14:textId="2FDAAB2C">
      <w:r>
        <w:t xml:space="preserve">We werken daarnaast </w:t>
      </w:r>
      <w:r w:rsidR="003F25D1">
        <w:t xml:space="preserve">in het kader van de Werkagenda SUWI </w:t>
      </w:r>
      <w:r>
        <w:t xml:space="preserve">aan het </w:t>
      </w:r>
      <w:r w:rsidRPr="00731FA3">
        <w:t>wetsvoorstel modernisering grondslagen</w:t>
      </w:r>
      <w:r>
        <w:t xml:space="preserve"> om meer</w:t>
      </w:r>
      <w:r w:rsidR="00B11654">
        <w:t xml:space="preserve"> </w:t>
      </w:r>
      <w:r w:rsidR="00076A4A">
        <w:t xml:space="preserve">rechtszekerheid </w:t>
      </w:r>
      <w:r>
        <w:t>te</w:t>
      </w:r>
      <w:r w:rsidR="00B11654">
        <w:t xml:space="preserve"> bieden</w:t>
      </w:r>
      <w:r>
        <w:t xml:space="preserve"> over </w:t>
      </w:r>
      <w:r w:rsidRPr="00731FA3">
        <w:t>de verwerking van persoonsgegevens</w:t>
      </w:r>
      <w:r>
        <w:t xml:space="preserve"> in de sociale zekerheid. Dit doen we door een eenduidige structuur te hanteren. We bekijken hoe we de grondslagen voor het hergebruiken van gegevens </w:t>
      </w:r>
      <w:r w:rsidR="00D019F3">
        <w:t xml:space="preserve">daarin </w:t>
      </w:r>
      <w:r>
        <w:t xml:space="preserve">een </w:t>
      </w:r>
      <w:r w:rsidR="00D019F3">
        <w:t xml:space="preserve">goede </w:t>
      </w:r>
      <w:r>
        <w:t>plaats kunnen geven.</w:t>
      </w:r>
      <w:r>
        <w:rPr>
          <w:rStyle w:val="Voetnootmarkering"/>
        </w:rPr>
        <w:footnoteReference w:id="7"/>
      </w:r>
      <w:r>
        <w:t xml:space="preserve"> </w:t>
      </w:r>
      <w:r w:rsidR="00D019F3">
        <w:t xml:space="preserve">Daarbij kijken we of we de wijze van regelen, met veel onderliggende regelgeving, kunnen vereenvoudigen. </w:t>
      </w:r>
      <w:r>
        <w:t xml:space="preserve"> </w:t>
      </w:r>
    </w:p>
    <w:p w:rsidR="003F25D1" w:rsidP="00F61615" w:rsidRDefault="003F25D1" w14:paraId="16089D47" w14:textId="77777777">
      <w:pPr>
        <w:ind w:left="428"/>
      </w:pPr>
    </w:p>
    <w:p w:rsidR="007C4C1C" w:rsidRDefault="007C4C1C" w14:paraId="6BCFAE63" w14:textId="77777777">
      <w:pPr>
        <w:spacing w:line="240" w:lineRule="auto"/>
      </w:pPr>
      <w:r>
        <w:br w:type="page"/>
      </w:r>
    </w:p>
    <w:p w:rsidR="00F61615" w:rsidP="00E96F08" w:rsidRDefault="00D019F3" w14:paraId="3D199758" w14:textId="0B30D7B3">
      <w:r>
        <w:lastRenderedPageBreak/>
        <w:t xml:space="preserve">Om eenmalige uitvraag vaker en makkelijker mogelijk te maken, werken we </w:t>
      </w:r>
      <w:r w:rsidR="007C4C1C">
        <w:t xml:space="preserve">ook </w:t>
      </w:r>
      <w:r>
        <w:t>aan het harmoniseren en standaardiseren van de begrippen vermogen, inkomen en partner bij inkomensafhankelijke regelingen.</w:t>
      </w:r>
      <w:r w:rsidRPr="00E96F08" w:rsidR="00E96F08">
        <w:rPr>
          <w:rStyle w:val="Voetnootmarkering"/>
        </w:rPr>
        <w:t xml:space="preserve"> </w:t>
      </w:r>
      <w:r w:rsidR="00E96F08">
        <w:rPr>
          <w:rStyle w:val="Voetnootmarkering"/>
        </w:rPr>
        <w:footnoteReference w:id="8"/>
      </w:r>
      <w:r w:rsidR="00E96F08">
        <w:t xml:space="preserve"> </w:t>
      </w:r>
      <w:r w:rsidR="00E96F08">
        <w:rPr>
          <w:rStyle w:val="Voetnootmarkering"/>
        </w:rPr>
        <w:footnoteReference w:id="9"/>
      </w:r>
      <w:r w:rsidR="00E96F08">
        <w:t xml:space="preserve"> </w:t>
      </w:r>
      <w:r>
        <w:t>Uitgangspunt bij het standaardiseren van begrippen is dat bij het formuleren van definities zoveel mogelijk rekening wordt gehouden met objectief vaststelbare gegevens die beschikbaar zijn uit authentieke bronnen.</w:t>
      </w:r>
      <w:r w:rsidR="009425C4">
        <w:t xml:space="preserve"> </w:t>
      </w:r>
      <w:r w:rsidR="00F61615">
        <w:t>Een voorbeeld hiervan is dat we de mogelijkheden verkennen van een objectief uit basisregistraties vast te stellen partnerbegrip bij de AOW. Zo zou er niet doorgevraagd hoeven te worden naar diverse leefvormen zoals dat nu het geval is.</w:t>
      </w:r>
      <w:r w:rsidR="00072618">
        <w:t xml:space="preserve"> </w:t>
      </w:r>
    </w:p>
    <w:p w:rsidR="00B11654" w:rsidP="007D3234" w:rsidRDefault="00B11654" w14:paraId="2C21EDA5" w14:textId="77135E67">
      <w:pPr>
        <w:ind w:left="428"/>
      </w:pPr>
    </w:p>
    <w:p w:rsidRPr="0089261D" w:rsidR="00903859" w:rsidP="00903859" w:rsidRDefault="00903859" w14:paraId="14388423" w14:textId="77777777">
      <w:pPr>
        <w:pStyle w:val="Lijstalinea"/>
        <w:numPr>
          <w:ilvl w:val="0"/>
          <w:numId w:val="12"/>
        </w:numPr>
        <w:rPr>
          <w:u w:val="single"/>
        </w:rPr>
      </w:pPr>
      <w:r w:rsidRPr="0089261D">
        <w:rPr>
          <w:u w:val="single"/>
        </w:rPr>
        <w:t>Uitvoering</w:t>
      </w:r>
    </w:p>
    <w:p w:rsidR="007D3234" w:rsidP="00903859" w:rsidRDefault="007D3234" w14:paraId="36EC31CC" w14:textId="592914D9">
      <w:r w:rsidRPr="007C616E">
        <w:t xml:space="preserve">Het beschikbaar maken van meer en </w:t>
      </w:r>
      <w:r w:rsidR="00E96F08">
        <w:t>betere</w:t>
      </w:r>
      <w:r w:rsidRPr="007C616E">
        <w:t xml:space="preserve"> gegevens </w:t>
      </w:r>
      <w:r w:rsidRPr="007C616E" w:rsidR="00957ED1">
        <w:t xml:space="preserve">maakt </w:t>
      </w:r>
      <w:r w:rsidRPr="007C616E" w:rsidR="00F31BCE">
        <w:t>de</w:t>
      </w:r>
      <w:r w:rsidRPr="007C616E" w:rsidR="00957ED1">
        <w:t xml:space="preserve"> </w:t>
      </w:r>
      <w:r w:rsidR="00E96F08">
        <w:t xml:space="preserve">uitvoering van de </w:t>
      </w:r>
      <w:r w:rsidRPr="007C616E" w:rsidR="00957ED1">
        <w:t>sociale zekerheid</w:t>
      </w:r>
      <w:r w:rsidRPr="007C616E">
        <w:t xml:space="preserve"> eenvoudiger, bijvoorbeeld via </w:t>
      </w:r>
      <w:proofErr w:type="spellStart"/>
      <w:r w:rsidRPr="007C616E">
        <w:t>vooringevulde</w:t>
      </w:r>
      <w:proofErr w:type="spellEnd"/>
      <w:r w:rsidRPr="007C616E">
        <w:t xml:space="preserve"> aanvraagformulieren en notificaties voor </w:t>
      </w:r>
      <w:r w:rsidR="004A0204">
        <w:t>mensen</w:t>
      </w:r>
      <w:r w:rsidRPr="007C616E">
        <w:t xml:space="preserve"> bij een wijziging van persoonsgegevens.</w:t>
      </w:r>
      <w:r w:rsidRPr="007C616E" w:rsidR="005B46E5">
        <w:t xml:space="preserve"> </w:t>
      </w:r>
      <w:r w:rsidRPr="007C616E" w:rsidR="00F31BCE">
        <w:t>Het geeft</w:t>
      </w:r>
      <w:r w:rsidRPr="007C616E">
        <w:t xml:space="preserve"> professionals meer mogelijkheden om gerichte en gepersonaliseerde dienstverlening te bieden</w:t>
      </w:r>
      <w:r w:rsidRPr="007C616E" w:rsidR="00957ED1">
        <w:t>, bijvoorbeeld ook bij het vinden van werk</w:t>
      </w:r>
      <w:r w:rsidRPr="007C616E">
        <w:t>.</w:t>
      </w:r>
      <w:r w:rsidRPr="007C616E" w:rsidR="005B46E5">
        <w:t xml:space="preserve"> </w:t>
      </w:r>
      <w:r w:rsidRPr="007C616E">
        <w:t>We</w:t>
      </w:r>
      <w:r w:rsidR="00E96F08">
        <w:t xml:space="preserve"> </w:t>
      </w:r>
      <w:r w:rsidRPr="007C616E">
        <w:t xml:space="preserve">gaan met de SUWI-partijen in gesprek over </w:t>
      </w:r>
      <w:r w:rsidRPr="007C616E" w:rsidR="00703AAF">
        <w:t>de verbetermogelijkheden</w:t>
      </w:r>
      <w:r w:rsidR="00703AAF">
        <w:t xml:space="preserve"> die zijn benoemd in</w:t>
      </w:r>
      <w:r w:rsidR="00957ED1">
        <w:t xml:space="preserve"> de evaluatie</w:t>
      </w:r>
      <w:r w:rsidR="00703AAF">
        <w:t xml:space="preserve"> en </w:t>
      </w:r>
      <w:r w:rsidR="007C616E">
        <w:t xml:space="preserve">om te bezien </w:t>
      </w:r>
      <w:r>
        <w:t xml:space="preserve">wat er in de ICT nodig is. </w:t>
      </w:r>
      <w:r w:rsidR="00703AAF">
        <w:t>D</w:t>
      </w:r>
      <w:r w:rsidR="00957ED1">
        <w:t>enk bijvoorbeeld aan de</w:t>
      </w:r>
      <w:r w:rsidR="00703AAF">
        <w:t xml:space="preserve"> optimale inzet en doorontwikkeling van de Gezamenlijke elektronische Voorzieningen SUWI. </w:t>
      </w:r>
      <w:r w:rsidR="007C4C1C">
        <w:t>We betrekken ook uitkeringsgerechtigden hierbij</w:t>
      </w:r>
      <w:r w:rsidRPr="00676608" w:rsidR="007C4C1C">
        <w:t xml:space="preserve"> </w:t>
      </w:r>
      <w:r w:rsidR="007C4C1C">
        <w:t>en andere mensen die deze dienstverlening mogelijk gaan gebruiken.</w:t>
      </w:r>
    </w:p>
    <w:p w:rsidR="00F57132" w:rsidP="007D3234" w:rsidRDefault="00F57132" w14:paraId="3354D171" w14:textId="77777777">
      <w:pPr>
        <w:rPr>
          <w:i/>
          <w:iCs/>
        </w:rPr>
      </w:pPr>
    </w:p>
    <w:p w:rsidR="007D3234" w:rsidP="007D3234" w:rsidRDefault="007D3234" w14:paraId="1E3F21B9" w14:textId="4F4F614E">
      <w:pPr>
        <w:rPr>
          <w:i/>
          <w:iCs/>
        </w:rPr>
      </w:pPr>
      <w:r>
        <w:rPr>
          <w:i/>
          <w:iCs/>
        </w:rPr>
        <w:t>Reactie m</w:t>
      </w:r>
      <w:r w:rsidRPr="00C47562">
        <w:rPr>
          <w:i/>
          <w:iCs/>
        </w:rPr>
        <w:t>otie Zeedijk</w:t>
      </w:r>
      <w:r>
        <w:rPr>
          <w:i/>
          <w:iCs/>
        </w:rPr>
        <w:t>/</w:t>
      </w:r>
      <w:proofErr w:type="spellStart"/>
      <w:r w:rsidRPr="00C47562">
        <w:rPr>
          <w:i/>
          <w:iCs/>
        </w:rPr>
        <w:t>Mohandis</w:t>
      </w:r>
      <w:proofErr w:type="spellEnd"/>
      <w:r w:rsidRPr="00DF0A39">
        <w:t xml:space="preserve"> </w:t>
      </w:r>
    </w:p>
    <w:p w:rsidR="00A6086F" w:rsidP="007D3234" w:rsidRDefault="007D3234" w14:paraId="112FC503" w14:textId="7AE78C22">
      <w:r w:rsidRPr="005537F1">
        <w:t>De motie</w:t>
      </w:r>
      <w:r>
        <w:t>-</w:t>
      </w:r>
      <w:r w:rsidRPr="005537F1">
        <w:t>Zeedijk/</w:t>
      </w:r>
      <w:proofErr w:type="spellStart"/>
      <w:r w:rsidRPr="005537F1">
        <w:t>Mohandis</w:t>
      </w:r>
      <w:proofErr w:type="spellEnd"/>
      <w:r w:rsidRPr="005537F1">
        <w:t xml:space="preserve"> verzoekt om te onderzoeken hoe met betrekking tot het tegengaan van niet-gebruik ook wordt gekeken naar de mogelijkheden van automatische, geautomatiseerde en </w:t>
      </w:r>
      <w:proofErr w:type="spellStart"/>
      <w:r w:rsidRPr="005537F1">
        <w:t>vooringevulde</w:t>
      </w:r>
      <w:proofErr w:type="spellEnd"/>
      <w:r w:rsidRPr="005537F1">
        <w:t xml:space="preserve"> aanvragen voor inkomensvoorzieningen.</w:t>
      </w:r>
    </w:p>
    <w:p w:rsidR="001746C0" w:rsidP="007D3234" w:rsidRDefault="001746C0" w14:paraId="541F551A" w14:textId="77777777"/>
    <w:p w:rsidRPr="005537F1" w:rsidR="001C70B6" w:rsidP="007D3234" w:rsidRDefault="007D3234" w14:paraId="423D456C" w14:textId="74D197C2">
      <w:r w:rsidRPr="005537F1">
        <w:t xml:space="preserve">Mensen maken </w:t>
      </w:r>
      <w:r w:rsidR="00D8305A">
        <w:t>om verschillende redenen</w:t>
      </w:r>
      <w:r w:rsidR="00C52D92">
        <w:t xml:space="preserve"> </w:t>
      </w:r>
      <w:r w:rsidRPr="005537F1">
        <w:t xml:space="preserve">niet altijd gebruik van de </w:t>
      </w:r>
      <w:r w:rsidR="00157DB5">
        <w:t>inkomensondersteuning</w:t>
      </w:r>
      <w:r w:rsidRPr="005537F1">
        <w:t xml:space="preserve"> waar zij wel recht op hebben</w:t>
      </w:r>
      <w:r w:rsidR="008E17E3">
        <w:t>. B</w:t>
      </w:r>
      <w:r w:rsidR="000813B9">
        <w:t xml:space="preserve">ijvoorbeeld omdat een aanvraag niet lukt </w:t>
      </w:r>
      <w:r w:rsidR="00157DB5">
        <w:t>door</w:t>
      </w:r>
      <w:r w:rsidR="000813B9">
        <w:t xml:space="preserve"> de complexiteit van het aanvraagproces of </w:t>
      </w:r>
      <w:r w:rsidR="00757C4F">
        <w:t xml:space="preserve">vanwege een </w:t>
      </w:r>
      <w:r w:rsidR="000813B9">
        <w:t>gebrek aan digitale vaardigheid.</w:t>
      </w:r>
      <w:r w:rsidRPr="005537F1">
        <w:t xml:space="preserve"> Een beter gebruik van inkomensondersteunende regelingen en voorzieningen kan een substantiële bijdrage leveren </w:t>
      </w:r>
      <w:r w:rsidR="00757C4F">
        <w:t>aa</w:t>
      </w:r>
      <w:r w:rsidRPr="005537F1">
        <w:t xml:space="preserve">n het </w:t>
      </w:r>
      <w:r w:rsidR="00D8305A">
        <w:t>voorkomen of verzachten</w:t>
      </w:r>
      <w:r w:rsidRPr="005537F1">
        <w:t xml:space="preserve"> van geldzorgen, armoede en schulden. </w:t>
      </w:r>
      <w:r w:rsidR="00E42DFF">
        <w:t>We zetten</w:t>
      </w:r>
      <w:r w:rsidRPr="005537F1">
        <w:t xml:space="preserve"> daarom in op het terugdringen van niet-gebruik</w:t>
      </w:r>
      <w:r w:rsidR="00D8305A">
        <w:t>, onder andere</w:t>
      </w:r>
      <w:r w:rsidRPr="005537F1">
        <w:t xml:space="preserve"> met het wetsvoorstel proactieve dienstverlening SZW. </w:t>
      </w:r>
      <w:r w:rsidR="00A0188A">
        <w:t xml:space="preserve">Samen met </w:t>
      </w:r>
      <w:r w:rsidR="00BE5052">
        <w:t>publieke dienstverleners</w:t>
      </w:r>
      <w:r w:rsidR="00A0188A">
        <w:t xml:space="preserve"> zet h</w:t>
      </w:r>
      <w:r w:rsidRPr="005537F1">
        <w:t>et kabinet daarnaast met de Hervormingsagenda inkomensondersteuning in op het eenvoudiger</w:t>
      </w:r>
      <w:r w:rsidR="00A0188A">
        <w:t xml:space="preserve">, </w:t>
      </w:r>
      <w:r w:rsidRPr="005537F1">
        <w:t>toegankelijker</w:t>
      </w:r>
      <w:r w:rsidR="00A0188A">
        <w:t xml:space="preserve"> en uitvoerbaar</w:t>
      </w:r>
      <w:r w:rsidRPr="005537F1">
        <w:t xml:space="preserve"> maken van het stelsel van inkomensondersteuning als geheel</w:t>
      </w:r>
      <w:r w:rsidR="00273D34">
        <w:t>.</w:t>
      </w:r>
      <w:r w:rsidRPr="005537F1">
        <w:t xml:space="preserve"> Zo wordt binnen de herziening</w:t>
      </w:r>
      <w:r>
        <w:t>en</w:t>
      </w:r>
      <w:r w:rsidRPr="005537F1">
        <w:t xml:space="preserve"> van bijvoorbeeld de Participatiewet en de Toeslagenwet – die onderdeel uitmaken van de hervormingsagenda – ook het vereenvoudigen en toegankelijker maken van het aanvraagproces meegenomen.</w:t>
      </w:r>
      <w:r w:rsidR="00315360">
        <w:rPr>
          <w:rStyle w:val="Voetnootmarkering"/>
        </w:rPr>
        <w:footnoteReference w:id="10"/>
      </w:r>
      <w:r w:rsidRPr="005537F1">
        <w:t xml:space="preserve"> </w:t>
      </w:r>
      <w:r w:rsidR="00757C4F">
        <w:t xml:space="preserve">Ook het terugdringen van niet-gebruik van gemeentelijke minimaregelingen en voorzieningen heeft onze aandacht. Samen met VNG en </w:t>
      </w:r>
      <w:proofErr w:type="spellStart"/>
      <w:r w:rsidR="00757C4F">
        <w:t>Divosa</w:t>
      </w:r>
      <w:proofErr w:type="spellEnd"/>
      <w:r w:rsidR="00757C4F">
        <w:t xml:space="preserve"> willen we inzetten op het vereenvoudigen en versterken van het (integrale) gemeentelijke beleid gericht op het aanpakken van (</w:t>
      </w:r>
      <w:proofErr w:type="spellStart"/>
      <w:r w:rsidR="00757C4F">
        <w:t>kinder</w:t>
      </w:r>
      <w:proofErr w:type="spellEnd"/>
      <w:r w:rsidR="00757C4F">
        <w:t>)armoede.</w:t>
      </w:r>
      <w:r w:rsidRPr="005537F1">
        <w:br/>
      </w:r>
    </w:p>
    <w:p w:rsidR="007C4C1C" w:rsidRDefault="007C4C1C" w14:paraId="61A761C9" w14:textId="77777777">
      <w:pPr>
        <w:spacing w:line="240" w:lineRule="auto"/>
      </w:pPr>
      <w:r>
        <w:br w:type="page"/>
      </w:r>
    </w:p>
    <w:p w:rsidR="00F57132" w:rsidP="007D3234" w:rsidRDefault="0092172E" w14:paraId="5E3CD5E4" w14:textId="203237D9">
      <w:r>
        <w:lastRenderedPageBreak/>
        <w:t xml:space="preserve">Automatische aanvragen en geautomatiseerde aanvragen </w:t>
      </w:r>
      <w:r w:rsidR="006D1EE0">
        <w:t xml:space="preserve">zien we als </w:t>
      </w:r>
      <w:r>
        <w:t>vormen van proactieve dienstverlening</w:t>
      </w:r>
      <w:r w:rsidR="003066FC">
        <w:t xml:space="preserve"> die een bijdrage kunne leveren aan tegengaan van niet-gebruik</w:t>
      </w:r>
      <w:r>
        <w:t>.</w:t>
      </w:r>
      <w:r w:rsidR="003B3253">
        <w:t xml:space="preserve"> </w:t>
      </w:r>
      <w:r w:rsidR="00746B5A">
        <w:t xml:space="preserve">Het doel is </w:t>
      </w:r>
      <w:r w:rsidR="00A66B6C">
        <w:t>een zo laag mogelijke</w:t>
      </w:r>
      <w:r w:rsidR="007F0F4A">
        <w:t xml:space="preserve"> drempel voor mens</w:t>
      </w:r>
      <w:r w:rsidR="00AA59E5">
        <w:t>e</w:t>
      </w:r>
      <w:r w:rsidR="007F0F4A">
        <w:t>n om de aanvraag te doen</w:t>
      </w:r>
      <w:r w:rsidRPr="00475120" w:rsidR="003B3253">
        <w:t xml:space="preserve">. </w:t>
      </w:r>
    </w:p>
    <w:p w:rsidR="00746B5A" w:rsidP="007D3234" w:rsidRDefault="00746B5A" w14:paraId="6AEEE9E2" w14:textId="77777777"/>
    <w:p w:rsidR="00746B5A" w:rsidP="007D3234" w:rsidRDefault="00746B5A" w14:paraId="7D957480" w14:textId="618F5966">
      <w:r>
        <w:t>Automatische en geautomatiseerde aanvragen moeten worden onderscheiden van het automatisch toekennen van een uitkering of andere sociale voorziening. Daarbij is geen aanvraag meer nodig. Waar dat mogelijk en wenselijk is</w:t>
      </w:r>
      <w:r w:rsidR="00643DDD">
        <w:t>,</w:t>
      </w:r>
      <w:r>
        <w:t xml:space="preserve"> </w:t>
      </w:r>
      <w:r w:rsidR="007C4C1C">
        <w:t>dragen</w:t>
      </w:r>
      <w:r>
        <w:t xml:space="preserve"> we </w:t>
      </w:r>
      <w:r w:rsidR="005B63E9">
        <w:t xml:space="preserve">ook </w:t>
      </w:r>
      <w:r>
        <w:t xml:space="preserve">bij aan automatisch toekennen. De Kamer is hierover geïnformeerd </w:t>
      </w:r>
      <w:r w:rsidR="00643DDD">
        <w:t xml:space="preserve">naar aanleiding van de motie van de leden </w:t>
      </w:r>
      <w:proofErr w:type="spellStart"/>
      <w:r w:rsidR="00643DDD">
        <w:t>Mohandis</w:t>
      </w:r>
      <w:proofErr w:type="spellEnd"/>
      <w:r w:rsidR="00643DDD">
        <w:t xml:space="preserve"> en Palmen over inkomensondersteunende regelingen van gemeenten</w:t>
      </w:r>
      <w:r w:rsidR="00643DDD">
        <w:rPr>
          <w:rStyle w:val="Voetnootmarkering"/>
        </w:rPr>
        <w:footnoteReference w:id="11"/>
      </w:r>
      <w:r w:rsidR="00643DDD">
        <w:t xml:space="preserve"> en in de Hervormingsagenda inkomensondersteuning.</w:t>
      </w:r>
    </w:p>
    <w:p w:rsidR="00746B5A" w:rsidP="007D3234" w:rsidRDefault="00746B5A" w14:paraId="64ABC602" w14:textId="77777777">
      <w:pPr>
        <w:rPr>
          <w:u w:val="single"/>
        </w:rPr>
      </w:pPr>
    </w:p>
    <w:p w:rsidRPr="00C47562" w:rsidR="007D3234" w:rsidP="007D3234" w:rsidRDefault="007D3234" w14:paraId="1E2B44E2" w14:textId="6D5F37F4">
      <w:pPr>
        <w:rPr>
          <w:i/>
          <w:iCs/>
        </w:rPr>
      </w:pPr>
      <w:r>
        <w:rPr>
          <w:i/>
          <w:iCs/>
        </w:rPr>
        <w:t>Slot</w:t>
      </w:r>
    </w:p>
    <w:p w:rsidR="00A8722C" w:rsidP="007D3234" w:rsidRDefault="00270BCD" w14:paraId="07029726" w14:textId="38293E88">
      <w:r>
        <w:t>De evaluatie laat zien dat het g</w:t>
      </w:r>
      <w:r w:rsidR="00C52387">
        <w:t xml:space="preserve">ebruiken en hergebruiken van persoonsgegevens </w:t>
      </w:r>
      <w:r>
        <w:t xml:space="preserve">van groot belang </w:t>
      </w:r>
      <w:r w:rsidR="000C001E">
        <w:t>zijn</w:t>
      </w:r>
      <w:r>
        <w:t xml:space="preserve"> </w:t>
      </w:r>
      <w:r w:rsidR="00C52387">
        <w:t xml:space="preserve">voor de dienstverlening in de sociale zekerheid. </w:t>
      </w:r>
      <w:r w:rsidR="00F57132">
        <w:t xml:space="preserve">UWV, de SVB en gemeenten gebruiken de </w:t>
      </w:r>
      <w:r w:rsidR="00B33791">
        <w:t xml:space="preserve">huidige </w:t>
      </w:r>
      <w:r w:rsidR="00F57132">
        <w:t>mogelijkheden om de dienstverlening beter toegankelijk en eenvoudiger te maken. Maar er is ruimte voor verbetering van de gegevensuitwisseling en ICT-ondersteuning in de sociale zekerheid. We werken daaraan in nauwe samenwerking met UWV, de SVB en gemeenten</w:t>
      </w:r>
      <w:r w:rsidR="008E17E3">
        <w:t xml:space="preserve"> en betrekken ook steeds mensen hierbij</w:t>
      </w:r>
      <w:r w:rsidR="00F57132">
        <w:t xml:space="preserve">. </w:t>
      </w:r>
      <w:r w:rsidR="00FB4AB2">
        <w:t xml:space="preserve">Voor </w:t>
      </w:r>
      <w:r w:rsidR="00C52387">
        <w:t>de</w:t>
      </w:r>
      <w:r w:rsidR="00FB4AB2">
        <w:t xml:space="preserve"> </w:t>
      </w:r>
      <w:r w:rsidR="00C52387">
        <w:t xml:space="preserve">toegankelijkheid en begrijpelijkheid </w:t>
      </w:r>
      <w:r>
        <w:t xml:space="preserve">van de sociale zekerheid is nodig de regelgeving over gegevensverwerking </w:t>
      </w:r>
      <w:r w:rsidR="0029570A">
        <w:t xml:space="preserve">in de sociale zekerheid </w:t>
      </w:r>
      <w:r>
        <w:t>te moderniseren</w:t>
      </w:r>
      <w:r w:rsidR="00F57132">
        <w:t xml:space="preserve"> en de wet- en regelgeving te vereenvoudigen</w:t>
      </w:r>
      <w:r>
        <w:t xml:space="preserve">. We zetten </w:t>
      </w:r>
      <w:r w:rsidR="0029570A">
        <w:t xml:space="preserve">daarom </w:t>
      </w:r>
      <w:r>
        <w:t>de Werkagenda SUW</w:t>
      </w:r>
      <w:r w:rsidR="008A5CF2">
        <w:t>I</w:t>
      </w:r>
      <w:r w:rsidR="00F57132">
        <w:t xml:space="preserve"> en de Hervormingsagenda</w:t>
      </w:r>
      <w:r>
        <w:t xml:space="preserve"> onverminderd voort</w:t>
      </w:r>
      <w:r w:rsidR="00F57132">
        <w:t>.</w:t>
      </w:r>
      <w:r w:rsidR="005F1D10">
        <w:t xml:space="preserve"> Dit maakt het voor mensen duidelijker waar ze recht op hebben.</w:t>
      </w:r>
      <w:r w:rsidRPr="00464BD9" w:rsidR="00464BD9">
        <w:t xml:space="preserve"> </w:t>
      </w:r>
      <w:r w:rsidR="00AF7F18">
        <w:t>Ook d</w:t>
      </w:r>
      <w:r w:rsidRPr="00464BD9" w:rsidR="00464BD9">
        <w:t>e motie Zeedijk/</w:t>
      </w:r>
      <w:proofErr w:type="spellStart"/>
      <w:r w:rsidRPr="00464BD9" w:rsidR="00464BD9">
        <w:t>Mohandis</w:t>
      </w:r>
      <w:proofErr w:type="spellEnd"/>
      <w:r w:rsidRPr="00464BD9" w:rsidR="00464BD9">
        <w:t xml:space="preserve"> onderstreept dat belang.</w:t>
      </w:r>
      <w:r w:rsidR="00464BD9">
        <w:t xml:space="preserve"> </w:t>
      </w:r>
    </w:p>
    <w:p w:rsidR="00D158E9" w:rsidP="00D158E9" w:rsidRDefault="00D158E9" w14:paraId="1CF20E8D" w14:textId="77777777"/>
    <w:p w:rsidRPr="00D158E9" w:rsidR="00D158E9" w:rsidP="00D158E9" w:rsidRDefault="00D158E9" w14:paraId="5C9A4335" w14:textId="07533809"/>
    <w:p w:rsidR="00083105" w:rsidRDefault="009F5636" w14:paraId="24714EC1" w14:textId="77777777">
      <w:r>
        <w:t>De Minister van Sociale Zaken            De Staatssecretaris van Sociale Zaken                                    en Werkgelegenheid,                         en Werkgelegenheid,</w:t>
      </w:r>
    </w:p>
    <w:p w:rsidR="00083105" w:rsidRDefault="00083105" w14:paraId="24714EC2" w14:textId="77777777"/>
    <w:p w:rsidR="00083105" w:rsidRDefault="00083105" w14:paraId="24714EC3" w14:textId="77777777"/>
    <w:p w:rsidR="00083105" w:rsidRDefault="00083105" w14:paraId="24714EC4" w14:textId="77777777"/>
    <w:p w:rsidR="00083105" w:rsidRDefault="00083105" w14:paraId="24714EC5" w14:textId="77777777"/>
    <w:p w:rsidR="00083105" w:rsidRDefault="00083105" w14:paraId="24714EC6" w14:textId="77777777"/>
    <w:p w:rsidR="00083105" w:rsidRDefault="009F5636" w14:paraId="24714EC7" w14:textId="77777777">
      <w:r>
        <w:t>Y.J. van Hijum                                   J.N.J. Nobel</w:t>
      </w:r>
    </w:p>
    <w:sectPr w:rsidR="0008310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D50C" w14:textId="77777777" w:rsidR="009F5636" w:rsidRDefault="009F5636">
      <w:pPr>
        <w:spacing w:line="240" w:lineRule="auto"/>
      </w:pPr>
      <w:r>
        <w:separator/>
      </w:r>
    </w:p>
  </w:endnote>
  <w:endnote w:type="continuationSeparator" w:id="0">
    <w:p w14:paraId="099011B3" w14:textId="77777777" w:rsidR="009F5636" w:rsidRDefault="009F5636">
      <w:pPr>
        <w:spacing w:line="240" w:lineRule="auto"/>
      </w:pPr>
      <w:r>
        <w:continuationSeparator/>
      </w:r>
    </w:p>
  </w:endnote>
  <w:endnote w:type="continuationNotice" w:id="1">
    <w:p w14:paraId="5B65BB93" w14:textId="77777777" w:rsidR="004117CD" w:rsidRDefault="004117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6F76" w14:textId="77777777" w:rsidR="002627D1" w:rsidRDefault="00262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4EC5" w14:textId="77777777" w:rsidR="002627D1" w:rsidRDefault="002627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3BFF" w14:textId="77777777" w:rsidR="002627D1" w:rsidRDefault="00262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A4E7" w14:textId="77777777" w:rsidR="009F5636" w:rsidRDefault="009F5636">
      <w:pPr>
        <w:spacing w:line="240" w:lineRule="auto"/>
      </w:pPr>
      <w:r>
        <w:separator/>
      </w:r>
    </w:p>
  </w:footnote>
  <w:footnote w:type="continuationSeparator" w:id="0">
    <w:p w14:paraId="27C41B30" w14:textId="77777777" w:rsidR="009F5636" w:rsidRDefault="009F5636">
      <w:pPr>
        <w:spacing w:line="240" w:lineRule="auto"/>
      </w:pPr>
      <w:r>
        <w:continuationSeparator/>
      </w:r>
    </w:p>
  </w:footnote>
  <w:footnote w:type="continuationNotice" w:id="1">
    <w:p w14:paraId="148413E9" w14:textId="77777777" w:rsidR="004117CD" w:rsidRDefault="004117CD">
      <w:pPr>
        <w:spacing w:line="240" w:lineRule="auto"/>
      </w:pPr>
    </w:p>
  </w:footnote>
  <w:footnote w:id="2">
    <w:p w14:paraId="27B9700E" w14:textId="77777777" w:rsidR="007D3234" w:rsidRDefault="007D3234" w:rsidP="007D3234">
      <w:pPr>
        <w:pStyle w:val="Voetnoottekst"/>
      </w:pPr>
      <w:r w:rsidRPr="00171772">
        <w:rPr>
          <w:rStyle w:val="Voetnootmarkering"/>
          <w:sz w:val="14"/>
          <w:szCs w:val="14"/>
        </w:rPr>
        <w:footnoteRef/>
      </w:r>
      <w:r w:rsidRPr="00171772">
        <w:rPr>
          <w:sz w:val="14"/>
          <w:szCs w:val="14"/>
        </w:rPr>
        <w:t xml:space="preserve"> Kamerstukken II, 2024/2025, 26 446, nr.</w:t>
      </w:r>
      <w:r>
        <w:rPr>
          <w:sz w:val="14"/>
          <w:szCs w:val="14"/>
        </w:rPr>
        <w:t xml:space="preserve"> </w:t>
      </w:r>
      <w:r w:rsidRPr="00171772">
        <w:rPr>
          <w:sz w:val="14"/>
          <w:szCs w:val="14"/>
        </w:rPr>
        <w:t>796</w:t>
      </w:r>
      <w:r>
        <w:rPr>
          <w:sz w:val="14"/>
          <w:szCs w:val="14"/>
        </w:rPr>
        <w:t>.</w:t>
      </w:r>
    </w:p>
  </w:footnote>
  <w:footnote w:id="3">
    <w:p w14:paraId="01025AFF" w14:textId="7634FC10" w:rsidR="006D1EE0" w:rsidRPr="006D1EE0" w:rsidRDefault="006D1EE0">
      <w:pPr>
        <w:pStyle w:val="Voetnoottekst"/>
        <w:rPr>
          <w:sz w:val="14"/>
          <w:szCs w:val="14"/>
        </w:rPr>
      </w:pPr>
      <w:r w:rsidRPr="006D1EE0">
        <w:rPr>
          <w:rStyle w:val="Voetnootmarkering"/>
          <w:sz w:val="14"/>
          <w:szCs w:val="14"/>
        </w:rPr>
        <w:footnoteRef/>
      </w:r>
      <w:r w:rsidRPr="006D1EE0">
        <w:rPr>
          <w:sz w:val="14"/>
          <w:szCs w:val="14"/>
        </w:rPr>
        <w:t xml:space="preserve"> Kamerstukken II, 2023/2024, 34 352, nr. 319.</w:t>
      </w:r>
    </w:p>
  </w:footnote>
  <w:footnote w:id="4">
    <w:p w14:paraId="4CF9109E" w14:textId="3901AB8D" w:rsidR="007D3234" w:rsidRPr="00171772" w:rsidRDefault="007D3234" w:rsidP="007D3234">
      <w:pPr>
        <w:pStyle w:val="Voetnoottekst"/>
        <w:rPr>
          <w:sz w:val="14"/>
          <w:szCs w:val="14"/>
        </w:rPr>
      </w:pPr>
      <w:r w:rsidRPr="00171772">
        <w:rPr>
          <w:rStyle w:val="Voetnootmarkering"/>
          <w:sz w:val="14"/>
          <w:szCs w:val="14"/>
        </w:rPr>
        <w:footnoteRef/>
      </w:r>
      <w:r w:rsidRPr="00171772">
        <w:rPr>
          <w:sz w:val="14"/>
          <w:szCs w:val="14"/>
        </w:rPr>
        <w:t xml:space="preserve"> Staatsblad 2007, </w:t>
      </w:r>
      <w:r w:rsidR="00F10F8C">
        <w:rPr>
          <w:sz w:val="14"/>
          <w:szCs w:val="14"/>
        </w:rPr>
        <w:t xml:space="preserve">nr. </w:t>
      </w:r>
      <w:r w:rsidRPr="00171772">
        <w:rPr>
          <w:sz w:val="14"/>
          <w:szCs w:val="14"/>
        </w:rPr>
        <w:t>555</w:t>
      </w:r>
      <w:r>
        <w:rPr>
          <w:sz w:val="14"/>
          <w:szCs w:val="14"/>
        </w:rPr>
        <w:t>.</w:t>
      </w:r>
    </w:p>
  </w:footnote>
  <w:footnote w:id="5">
    <w:p w14:paraId="4389623D" w14:textId="77777777" w:rsidR="000B7200" w:rsidRDefault="000B7200" w:rsidP="000B7200">
      <w:pPr>
        <w:pStyle w:val="Voetnoottekst"/>
      </w:pPr>
      <w:r w:rsidRPr="00C47562">
        <w:rPr>
          <w:rStyle w:val="Voetnootmarkering"/>
          <w:sz w:val="14"/>
          <w:szCs w:val="14"/>
        </w:rPr>
        <w:footnoteRef/>
      </w:r>
      <w:r w:rsidRPr="00C47562">
        <w:rPr>
          <w:sz w:val="14"/>
          <w:szCs w:val="14"/>
        </w:rPr>
        <w:t xml:space="preserve"> UWV, SVB en gemeenten</w:t>
      </w:r>
      <w:r>
        <w:rPr>
          <w:sz w:val="14"/>
          <w:szCs w:val="14"/>
        </w:rPr>
        <w:t>.</w:t>
      </w:r>
    </w:p>
  </w:footnote>
  <w:footnote w:id="6">
    <w:p w14:paraId="2554FEBA" w14:textId="77777777" w:rsidR="007D3234" w:rsidRPr="00676CE3" w:rsidRDefault="007D3234" w:rsidP="007D3234">
      <w:pPr>
        <w:pStyle w:val="Voetnoottekst"/>
        <w:rPr>
          <w:sz w:val="14"/>
          <w:szCs w:val="14"/>
        </w:rPr>
      </w:pPr>
      <w:r w:rsidRPr="00676CE3">
        <w:rPr>
          <w:rStyle w:val="Voetnootmarkering"/>
          <w:sz w:val="14"/>
          <w:szCs w:val="14"/>
        </w:rPr>
        <w:footnoteRef/>
      </w:r>
      <w:r w:rsidRPr="00676CE3">
        <w:rPr>
          <w:sz w:val="14"/>
          <w:szCs w:val="14"/>
        </w:rPr>
        <w:t xml:space="preserve"> Kamerstukken II, 2015/2016, 30 982, nr. 26</w:t>
      </w:r>
      <w:r>
        <w:rPr>
          <w:sz w:val="14"/>
          <w:szCs w:val="14"/>
        </w:rPr>
        <w:t>.</w:t>
      </w:r>
    </w:p>
  </w:footnote>
  <w:footnote w:id="7">
    <w:p w14:paraId="48BCFD76" w14:textId="10562C78" w:rsidR="007D3234" w:rsidRPr="00E1102F" w:rsidRDefault="007D3234" w:rsidP="007D3234">
      <w:pPr>
        <w:pStyle w:val="Voetnoottekst"/>
        <w:rPr>
          <w:sz w:val="14"/>
          <w:szCs w:val="14"/>
        </w:rPr>
      </w:pPr>
      <w:r w:rsidRPr="00E1102F">
        <w:rPr>
          <w:rStyle w:val="Voetnootmarkering"/>
          <w:sz w:val="14"/>
          <w:szCs w:val="14"/>
        </w:rPr>
        <w:footnoteRef/>
      </w:r>
      <w:r w:rsidRPr="00E1102F">
        <w:rPr>
          <w:sz w:val="14"/>
          <w:szCs w:val="14"/>
        </w:rPr>
        <w:t xml:space="preserve"> Kamerstukken II, 2024/2025, 26 446, nr.</w:t>
      </w:r>
      <w:r w:rsidR="00072618">
        <w:rPr>
          <w:sz w:val="14"/>
          <w:szCs w:val="14"/>
        </w:rPr>
        <w:t xml:space="preserve"> </w:t>
      </w:r>
      <w:r w:rsidRPr="00E1102F">
        <w:rPr>
          <w:sz w:val="14"/>
          <w:szCs w:val="14"/>
        </w:rPr>
        <w:t>796</w:t>
      </w:r>
      <w:r w:rsidR="00F10F8C">
        <w:rPr>
          <w:sz w:val="14"/>
          <w:szCs w:val="14"/>
        </w:rPr>
        <w:t>.</w:t>
      </w:r>
    </w:p>
  </w:footnote>
  <w:footnote w:id="8">
    <w:p w14:paraId="177B4287" w14:textId="77777777" w:rsidR="00E96F08" w:rsidRDefault="00E96F08" w:rsidP="00E96F08">
      <w:pPr>
        <w:pStyle w:val="Voetnoottekst"/>
      </w:pPr>
      <w:r w:rsidRPr="009425C4">
        <w:rPr>
          <w:rStyle w:val="Voetnootmarkering"/>
          <w:sz w:val="14"/>
          <w:szCs w:val="14"/>
        </w:rPr>
        <w:footnoteRef/>
      </w:r>
      <w:r>
        <w:t xml:space="preserve"> </w:t>
      </w:r>
      <w:r w:rsidRPr="00E96F08">
        <w:rPr>
          <w:sz w:val="14"/>
          <w:szCs w:val="14"/>
        </w:rPr>
        <w:t xml:space="preserve">Zie kabinetsreactie op de Parlementaire </w:t>
      </w:r>
      <w:proofErr w:type="spellStart"/>
      <w:r w:rsidRPr="00E96F08">
        <w:rPr>
          <w:sz w:val="14"/>
          <w:szCs w:val="14"/>
        </w:rPr>
        <w:t>enquetecommissie</w:t>
      </w:r>
      <w:proofErr w:type="spellEnd"/>
      <w:r w:rsidRPr="00E96F08">
        <w:rPr>
          <w:sz w:val="14"/>
          <w:szCs w:val="14"/>
        </w:rPr>
        <w:t xml:space="preserve"> Fraudebeleid en Dienstverlening:</w:t>
      </w:r>
      <w:r>
        <w:t xml:space="preserve"> </w:t>
      </w:r>
      <w:r w:rsidRPr="00B21C5D">
        <w:rPr>
          <w:sz w:val="14"/>
          <w:szCs w:val="14"/>
        </w:rPr>
        <w:t xml:space="preserve">Kamerstukken </w:t>
      </w:r>
      <w:r>
        <w:rPr>
          <w:sz w:val="14"/>
          <w:szCs w:val="14"/>
        </w:rPr>
        <w:t>II, 2024/2025, 35867, nr. 12.</w:t>
      </w:r>
    </w:p>
  </w:footnote>
  <w:footnote w:id="9">
    <w:p w14:paraId="6D8D60B1" w14:textId="77777777" w:rsidR="00E96F08" w:rsidRPr="00BB75A8" w:rsidRDefault="00E96F08" w:rsidP="00E96F08">
      <w:pPr>
        <w:pStyle w:val="Voetnoottekst"/>
        <w:rPr>
          <w:sz w:val="14"/>
          <w:szCs w:val="14"/>
        </w:rPr>
      </w:pPr>
      <w:r w:rsidRPr="00BB75A8">
        <w:rPr>
          <w:rStyle w:val="Voetnootmarkering"/>
          <w:sz w:val="14"/>
          <w:szCs w:val="14"/>
        </w:rPr>
        <w:footnoteRef/>
      </w:r>
      <w:r w:rsidRPr="00BB75A8">
        <w:rPr>
          <w:sz w:val="14"/>
          <w:szCs w:val="14"/>
        </w:rPr>
        <w:t xml:space="preserve"> </w:t>
      </w:r>
      <w:bookmarkStart w:id="1" w:name="_Hlk195175860"/>
      <w:r w:rsidRPr="00BB75A8">
        <w:rPr>
          <w:sz w:val="14"/>
          <w:szCs w:val="14"/>
        </w:rPr>
        <w:t>Kamerstukken II, 2024/2025, 26 448, nr. 792</w:t>
      </w:r>
      <w:r>
        <w:rPr>
          <w:sz w:val="14"/>
          <w:szCs w:val="14"/>
        </w:rPr>
        <w:t>.</w:t>
      </w:r>
      <w:bookmarkEnd w:id="1"/>
    </w:p>
  </w:footnote>
  <w:footnote w:id="10">
    <w:p w14:paraId="27B7EFEE" w14:textId="7F6B302D" w:rsidR="00315360" w:rsidRPr="00315360" w:rsidRDefault="00315360">
      <w:pPr>
        <w:pStyle w:val="Voetnoottekst"/>
        <w:rPr>
          <w:sz w:val="14"/>
          <w:szCs w:val="14"/>
        </w:rPr>
      </w:pPr>
      <w:r w:rsidRPr="00315360">
        <w:rPr>
          <w:rStyle w:val="Voetnootmarkering"/>
          <w:sz w:val="14"/>
          <w:szCs w:val="14"/>
        </w:rPr>
        <w:footnoteRef/>
      </w:r>
      <w:r w:rsidRPr="00315360">
        <w:rPr>
          <w:sz w:val="14"/>
          <w:szCs w:val="14"/>
        </w:rPr>
        <w:t xml:space="preserve"> Kamerstukken II, 2024/2025, 26 448, nr. 792.</w:t>
      </w:r>
    </w:p>
  </w:footnote>
  <w:footnote w:id="11">
    <w:p w14:paraId="0C51E1DC" w14:textId="696E5350" w:rsidR="00643DDD" w:rsidRPr="00643DDD" w:rsidRDefault="00643DDD">
      <w:pPr>
        <w:pStyle w:val="Voetnoottekst"/>
        <w:rPr>
          <w:sz w:val="14"/>
          <w:szCs w:val="14"/>
        </w:rPr>
      </w:pPr>
      <w:r w:rsidRPr="00643DDD">
        <w:rPr>
          <w:rStyle w:val="Voetnootmarkering"/>
          <w:sz w:val="14"/>
          <w:szCs w:val="14"/>
        </w:rPr>
        <w:footnoteRef/>
      </w:r>
      <w:r w:rsidRPr="00643DDD">
        <w:rPr>
          <w:sz w:val="14"/>
          <w:szCs w:val="14"/>
        </w:rPr>
        <w:t xml:space="preserve"> Kamerstukken II, 2023/2024, 34 352, </w:t>
      </w:r>
      <w:proofErr w:type="spellStart"/>
      <w:r w:rsidRPr="00643DDD">
        <w:rPr>
          <w:sz w:val="14"/>
          <w:szCs w:val="14"/>
        </w:rPr>
        <w:t>nrs</w:t>
      </w:r>
      <w:proofErr w:type="spellEnd"/>
      <w:r w:rsidRPr="00643DDD">
        <w:rPr>
          <w:sz w:val="14"/>
          <w:szCs w:val="14"/>
        </w:rPr>
        <w:t>. 317 en 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BA71" w14:textId="77777777" w:rsidR="002627D1" w:rsidRDefault="00262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4EC8" w14:textId="77777777" w:rsidR="00083105" w:rsidRDefault="009F5636">
    <w:r>
      <w:rPr>
        <w:noProof/>
      </w:rPr>
      <mc:AlternateContent>
        <mc:Choice Requires="wps">
          <w:drawing>
            <wp:anchor distT="0" distB="0" distL="0" distR="0" simplePos="0" relativeHeight="251658240" behindDoc="0" locked="1" layoutInCell="1" allowOverlap="1" wp14:anchorId="24714ECC" wp14:editId="24714EC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714EFD" w14:textId="77777777" w:rsidR="00083105" w:rsidRDefault="009F5636">
                          <w:pPr>
                            <w:pStyle w:val="Referentiegegevenskopjes"/>
                          </w:pPr>
                          <w:r>
                            <w:t>Datum</w:t>
                          </w:r>
                        </w:p>
                        <w:p w14:paraId="5B2CBA09" w14:textId="72B2F0BB" w:rsidR="00D84498" w:rsidRDefault="000D0A0C">
                          <w:pPr>
                            <w:pStyle w:val="Referentiegegevens"/>
                          </w:pPr>
                          <w:r>
                            <w:fldChar w:fldCharType="begin"/>
                          </w:r>
                          <w:r>
                            <w:instrText xml:space="preserve"> DOCPROPERTY  "iDatum"  \* MERGEFORMAT </w:instrText>
                          </w:r>
                          <w:r w:rsidR="002143BE">
                            <w:fldChar w:fldCharType="separate"/>
                          </w:r>
                          <w:r w:rsidR="002143BE">
                            <w:t>6 mei 2025</w:t>
                          </w:r>
                          <w:r>
                            <w:fldChar w:fldCharType="end"/>
                          </w:r>
                        </w:p>
                        <w:p w14:paraId="24714EFF" w14:textId="77777777" w:rsidR="00083105" w:rsidRDefault="00083105">
                          <w:pPr>
                            <w:pStyle w:val="WitregelW1"/>
                          </w:pPr>
                        </w:p>
                        <w:p w14:paraId="24714F00" w14:textId="77777777" w:rsidR="00083105" w:rsidRDefault="009F5636">
                          <w:pPr>
                            <w:pStyle w:val="Referentiegegevenskopjes"/>
                          </w:pPr>
                          <w:r>
                            <w:t>Onze referentie</w:t>
                          </w:r>
                        </w:p>
                        <w:p w14:paraId="5DE9D810" w14:textId="49D0AB5C" w:rsidR="00D84498" w:rsidRDefault="000D0A0C">
                          <w:pPr>
                            <w:pStyle w:val="ReferentiegegevensHL"/>
                          </w:pPr>
                          <w:r>
                            <w:fldChar w:fldCharType="begin"/>
                          </w:r>
                          <w:r>
                            <w:instrText xml:space="preserve"> DOCPROPERTY  "iOnsKenmerk"  \* MERGEFORMAT </w:instrText>
                          </w:r>
                          <w:r>
                            <w:fldChar w:fldCharType="separate"/>
                          </w:r>
                          <w:r w:rsidR="002143BE">
                            <w:t>2025-0000042705</w:t>
                          </w:r>
                          <w:r>
                            <w:fldChar w:fldCharType="end"/>
                          </w:r>
                        </w:p>
                      </w:txbxContent>
                    </wps:txbx>
                    <wps:bodyPr vert="horz" wrap="square" lIns="0" tIns="0" rIns="0" bIns="0" anchor="t" anchorCtr="0"/>
                  </wps:wsp>
                </a:graphicData>
              </a:graphic>
            </wp:anchor>
          </w:drawing>
        </mc:Choice>
        <mc:Fallback>
          <w:pict>
            <v:shapetype w14:anchorId="24714EC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4714EFD" w14:textId="77777777" w:rsidR="00083105" w:rsidRDefault="009F5636">
                    <w:pPr>
                      <w:pStyle w:val="Referentiegegevenskopjes"/>
                    </w:pPr>
                    <w:r>
                      <w:t>Datum</w:t>
                    </w:r>
                  </w:p>
                  <w:p w14:paraId="5B2CBA09" w14:textId="72B2F0BB" w:rsidR="00D84498" w:rsidRDefault="000D0A0C">
                    <w:pPr>
                      <w:pStyle w:val="Referentiegegevens"/>
                    </w:pPr>
                    <w:r>
                      <w:fldChar w:fldCharType="begin"/>
                    </w:r>
                    <w:r>
                      <w:instrText xml:space="preserve"> DOCPROPERTY  "iDatum"  \* MERGEFORMAT </w:instrText>
                    </w:r>
                    <w:r w:rsidR="002143BE">
                      <w:fldChar w:fldCharType="separate"/>
                    </w:r>
                    <w:r w:rsidR="002143BE">
                      <w:t>6 mei 2025</w:t>
                    </w:r>
                    <w:r>
                      <w:fldChar w:fldCharType="end"/>
                    </w:r>
                  </w:p>
                  <w:p w14:paraId="24714EFF" w14:textId="77777777" w:rsidR="00083105" w:rsidRDefault="00083105">
                    <w:pPr>
                      <w:pStyle w:val="WitregelW1"/>
                    </w:pPr>
                  </w:p>
                  <w:p w14:paraId="24714F00" w14:textId="77777777" w:rsidR="00083105" w:rsidRDefault="009F5636">
                    <w:pPr>
                      <w:pStyle w:val="Referentiegegevenskopjes"/>
                    </w:pPr>
                    <w:r>
                      <w:t>Onze referentie</w:t>
                    </w:r>
                  </w:p>
                  <w:p w14:paraId="5DE9D810" w14:textId="49D0AB5C" w:rsidR="00D84498" w:rsidRDefault="000D0A0C">
                    <w:pPr>
                      <w:pStyle w:val="ReferentiegegevensHL"/>
                    </w:pPr>
                    <w:r>
                      <w:fldChar w:fldCharType="begin"/>
                    </w:r>
                    <w:r>
                      <w:instrText xml:space="preserve"> DOCPROPERTY  "iOnsKenmerk"  \* MERGEFORMAT </w:instrText>
                    </w:r>
                    <w:r>
                      <w:fldChar w:fldCharType="separate"/>
                    </w:r>
                    <w:r w:rsidR="002143BE">
                      <w:t>2025-0000042705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4714ECE" wp14:editId="24714EC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63B3899" w14:textId="77777777" w:rsidR="00D84498" w:rsidRDefault="000D0A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714ECE"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63B3899" w14:textId="77777777" w:rsidR="00D84498" w:rsidRDefault="000D0A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4ECA" w14:textId="77777777" w:rsidR="00083105" w:rsidRDefault="009F5636">
    <w:pPr>
      <w:spacing w:after="7029" w:line="14" w:lineRule="exact"/>
    </w:pPr>
    <w:r>
      <w:rPr>
        <w:noProof/>
      </w:rPr>
      <mc:AlternateContent>
        <mc:Choice Requires="wps">
          <w:drawing>
            <wp:anchor distT="0" distB="0" distL="0" distR="0" simplePos="0" relativeHeight="251658242" behindDoc="0" locked="1" layoutInCell="1" allowOverlap="1" wp14:anchorId="24714ED0" wp14:editId="24714ED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714EDC" w14:textId="77777777" w:rsidR="00083105" w:rsidRDefault="009F563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83105" w:rsidRDefault="009F5636" w14:paraId="24714ED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4714ED2" wp14:editId="24714ED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714EDF" w14:textId="77777777" w:rsidR="00083105" w:rsidRPr="00D158E9" w:rsidRDefault="009F5636">
                          <w:pPr>
                            <w:pStyle w:val="Afzendgegevens"/>
                            <w:rPr>
                              <w:lang w:val="de-DE"/>
                            </w:rPr>
                          </w:pPr>
                          <w:r w:rsidRPr="00D158E9">
                            <w:rPr>
                              <w:lang w:val="de-DE"/>
                            </w:rPr>
                            <w:t>Postbus 90801</w:t>
                          </w:r>
                        </w:p>
                        <w:p w14:paraId="24714EE0" w14:textId="3DC5BABD" w:rsidR="00083105" w:rsidRPr="00D158E9" w:rsidRDefault="009F5636">
                          <w:pPr>
                            <w:pStyle w:val="Afzendgegevens"/>
                            <w:rPr>
                              <w:lang w:val="de-DE"/>
                            </w:rPr>
                          </w:pPr>
                          <w:r w:rsidRPr="00D158E9">
                            <w:rPr>
                              <w:lang w:val="de-DE"/>
                            </w:rPr>
                            <w:t>2509 LV Den Haag</w:t>
                          </w:r>
                        </w:p>
                        <w:p w14:paraId="24714EE1" w14:textId="64CD17D8" w:rsidR="00083105" w:rsidRPr="00D158E9" w:rsidRDefault="00A468BE">
                          <w:pPr>
                            <w:pStyle w:val="Afzendgegevens"/>
                            <w:rPr>
                              <w:lang w:val="de-DE"/>
                            </w:rPr>
                          </w:pPr>
                          <w:r w:rsidRPr="00D158E9">
                            <w:rPr>
                              <w:lang w:val="de-DE"/>
                            </w:rPr>
                            <w:t>T 070</w:t>
                          </w:r>
                          <w:r w:rsidR="009F5636" w:rsidRPr="00D158E9">
                            <w:rPr>
                              <w:lang w:val="de-DE"/>
                            </w:rPr>
                            <w:t xml:space="preserve"> 333 44 44</w:t>
                          </w:r>
                        </w:p>
                        <w:p w14:paraId="24714EE2" w14:textId="77777777" w:rsidR="00083105" w:rsidRPr="00D158E9" w:rsidRDefault="00083105">
                          <w:pPr>
                            <w:pStyle w:val="WitregelW2"/>
                            <w:rPr>
                              <w:lang w:val="de-DE"/>
                            </w:rPr>
                          </w:pPr>
                        </w:p>
                        <w:p w14:paraId="24714EE3" w14:textId="77777777" w:rsidR="00083105" w:rsidRDefault="009F5636">
                          <w:pPr>
                            <w:pStyle w:val="Referentiegegevenskopjes"/>
                          </w:pPr>
                          <w:r>
                            <w:t>Onze referentie</w:t>
                          </w:r>
                        </w:p>
                        <w:p w14:paraId="594AE10B" w14:textId="7DB2910A" w:rsidR="00D84498" w:rsidRDefault="000D0A0C">
                          <w:pPr>
                            <w:pStyle w:val="ReferentiegegevensHL"/>
                          </w:pPr>
                          <w:r>
                            <w:fldChar w:fldCharType="begin"/>
                          </w:r>
                          <w:r>
                            <w:instrText xml:space="preserve"> DOCPROPERTY  "iOnsKenmerk"  \* MERGEFORMAT </w:instrText>
                          </w:r>
                          <w:r>
                            <w:fldChar w:fldCharType="separate"/>
                          </w:r>
                          <w:r w:rsidR="002143BE">
                            <w:t>2025-0000042705</w:t>
                          </w:r>
                          <w:r>
                            <w:fldChar w:fldCharType="end"/>
                          </w:r>
                        </w:p>
                        <w:p w14:paraId="24714EE5" w14:textId="77777777" w:rsidR="00083105" w:rsidRDefault="00083105">
                          <w:pPr>
                            <w:pStyle w:val="WitregelW1"/>
                          </w:pPr>
                        </w:p>
                        <w:p w14:paraId="28A84168" w14:textId="4852E488" w:rsidR="00D84498" w:rsidRDefault="000D0A0C">
                          <w:pPr>
                            <w:pStyle w:val="Referentiegegevens"/>
                          </w:pPr>
                          <w:r>
                            <w:fldChar w:fldCharType="begin"/>
                          </w:r>
                          <w:r>
                            <w:instrText xml:space="preserve"> DOCPROPERTY  "iCC"  \* MERGEFORMAT </w:instrText>
                          </w:r>
                          <w:r>
                            <w:fldChar w:fldCharType="end"/>
                          </w:r>
                        </w:p>
                        <w:p w14:paraId="24714EE7" w14:textId="77777777" w:rsidR="00083105" w:rsidRDefault="00083105">
                          <w:pPr>
                            <w:pStyle w:val="WitregelW1"/>
                          </w:pPr>
                        </w:p>
                        <w:p w14:paraId="24714EE8" w14:textId="77777777" w:rsidR="00083105" w:rsidRDefault="009F5636">
                          <w:pPr>
                            <w:pStyle w:val="Referentiegegevenskopjes"/>
                          </w:pPr>
                          <w:r>
                            <w:t>Bijlage(n)</w:t>
                          </w:r>
                        </w:p>
                        <w:p w14:paraId="26615FF3" w14:textId="0935D616" w:rsidR="00BB02F0" w:rsidRDefault="00A468BE">
                          <w:pPr>
                            <w:pStyle w:val="Referentiegegevens"/>
                          </w:pPr>
                          <w:r>
                            <w:t>1</w:t>
                          </w:r>
                        </w:p>
                      </w:txbxContent>
                    </wps:txbx>
                    <wps:bodyPr vert="horz" wrap="square" lIns="0" tIns="0" rIns="0" bIns="0" anchor="t" anchorCtr="0"/>
                  </wps:wsp>
                </a:graphicData>
              </a:graphic>
            </wp:anchor>
          </w:drawing>
        </mc:Choice>
        <mc:Fallback>
          <w:pict>
            <v:shapetype w14:anchorId="24714ED2"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4714EDF" w14:textId="77777777" w:rsidR="00083105" w:rsidRPr="00D158E9" w:rsidRDefault="009F5636">
                    <w:pPr>
                      <w:pStyle w:val="Afzendgegevens"/>
                      <w:rPr>
                        <w:lang w:val="de-DE"/>
                      </w:rPr>
                    </w:pPr>
                    <w:r w:rsidRPr="00D158E9">
                      <w:rPr>
                        <w:lang w:val="de-DE"/>
                      </w:rPr>
                      <w:t>Postbus 90801</w:t>
                    </w:r>
                  </w:p>
                  <w:p w14:paraId="24714EE0" w14:textId="3DC5BABD" w:rsidR="00083105" w:rsidRPr="00D158E9" w:rsidRDefault="009F5636">
                    <w:pPr>
                      <w:pStyle w:val="Afzendgegevens"/>
                      <w:rPr>
                        <w:lang w:val="de-DE"/>
                      </w:rPr>
                    </w:pPr>
                    <w:r w:rsidRPr="00D158E9">
                      <w:rPr>
                        <w:lang w:val="de-DE"/>
                      </w:rPr>
                      <w:t>2509 LV Den Haag</w:t>
                    </w:r>
                  </w:p>
                  <w:p w14:paraId="24714EE1" w14:textId="64CD17D8" w:rsidR="00083105" w:rsidRPr="00D158E9" w:rsidRDefault="00A468BE">
                    <w:pPr>
                      <w:pStyle w:val="Afzendgegevens"/>
                      <w:rPr>
                        <w:lang w:val="de-DE"/>
                      </w:rPr>
                    </w:pPr>
                    <w:r w:rsidRPr="00D158E9">
                      <w:rPr>
                        <w:lang w:val="de-DE"/>
                      </w:rPr>
                      <w:t>T 070</w:t>
                    </w:r>
                    <w:r w:rsidR="009F5636" w:rsidRPr="00D158E9">
                      <w:rPr>
                        <w:lang w:val="de-DE"/>
                      </w:rPr>
                      <w:t xml:space="preserve"> 333 44 44</w:t>
                    </w:r>
                  </w:p>
                  <w:p w14:paraId="24714EE2" w14:textId="77777777" w:rsidR="00083105" w:rsidRPr="00D158E9" w:rsidRDefault="00083105">
                    <w:pPr>
                      <w:pStyle w:val="WitregelW2"/>
                      <w:rPr>
                        <w:lang w:val="de-DE"/>
                      </w:rPr>
                    </w:pPr>
                  </w:p>
                  <w:p w14:paraId="24714EE3" w14:textId="77777777" w:rsidR="00083105" w:rsidRDefault="009F5636">
                    <w:pPr>
                      <w:pStyle w:val="Referentiegegevenskopjes"/>
                    </w:pPr>
                    <w:r>
                      <w:t>Onze referentie</w:t>
                    </w:r>
                  </w:p>
                  <w:p w14:paraId="594AE10B" w14:textId="7DB2910A" w:rsidR="00D84498" w:rsidRDefault="000D0A0C">
                    <w:pPr>
                      <w:pStyle w:val="ReferentiegegevensHL"/>
                    </w:pPr>
                    <w:r>
                      <w:fldChar w:fldCharType="begin"/>
                    </w:r>
                    <w:r>
                      <w:instrText xml:space="preserve"> DOCPROPERTY  "iOnsKenmerk"  \* MERGEFORMAT </w:instrText>
                    </w:r>
                    <w:r>
                      <w:fldChar w:fldCharType="separate"/>
                    </w:r>
                    <w:r w:rsidR="002143BE">
                      <w:t>2025-0000042705</w:t>
                    </w:r>
                    <w:r>
                      <w:fldChar w:fldCharType="end"/>
                    </w:r>
                  </w:p>
                  <w:p w14:paraId="24714EE5" w14:textId="77777777" w:rsidR="00083105" w:rsidRDefault="00083105">
                    <w:pPr>
                      <w:pStyle w:val="WitregelW1"/>
                    </w:pPr>
                  </w:p>
                  <w:p w14:paraId="28A84168" w14:textId="4852E488" w:rsidR="00D84498" w:rsidRDefault="000D0A0C">
                    <w:pPr>
                      <w:pStyle w:val="Referentiegegevens"/>
                    </w:pPr>
                    <w:r>
                      <w:fldChar w:fldCharType="begin"/>
                    </w:r>
                    <w:r>
                      <w:instrText xml:space="preserve"> DOCPROPERTY  "iCC"  \* MERGEFORMAT </w:instrText>
                    </w:r>
                    <w:r>
                      <w:fldChar w:fldCharType="end"/>
                    </w:r>
                  </w:p>
                  <w:p w14:paraId="24714EE7" w14:textId="77777777" w:rsidR="00083105" w:rsidRDefault="00083105">
                    <w:pPr>
                      <w:pStyle w:val="WitregelW1"/>
                    </w:pPr>
                  </w:p>
                  <w:p w14:paraId="24714EE8" w14:textId="77777777" w:rsidR="00083105" w:rsidRDefault="009F5636">
                    <w:pPr>
                      <w:pStyle w:val="Referentiegegevenskopjes"/>
                    </w:pPr>
                    <w:r>
                      <w:t>Bijlage(n)</w:t>
                    </w:r>
                  </w:p>
                  <w:p w14:paraId="26615FF3" w14:textId="0935D616" w:rsidR="00BB02F0" w:rsidRDefault="00A468B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4714ED4" wp14:editId="24714ED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4714EEA" w14:textId="77777777" w:rsidR="00083105" w:rsidRDefault="009F5636">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83105" w:rsidRDefault="009F5636" w14:paraId="24714EE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4714ED6" wp14:editId="24714ED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4714EEB" w14:textId="77777777" w:rsidR="00083105" w:rsidRDefault="009F5636">
                          <w:r>
                            <w:t>De voorzitter van de Tweede Kamer der Staten-Generaal</w:t>
                          </w:r>
                        </w:p>
                        <w:p w14:paraId="24714EEC" w14:textId="77777777" w:rsidR="00083105" w:rsidRDefault="009F5636">
                          <w:r>
                            <w:t>Prinses Irenestraat 6</w:t>
                          </w:r>
                        </w:p>
                        <w:p w14:paraId="24714EED" w14:textId="77777777" w:rsidR="00083105" w:rsidRDefault="009F5636">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83105" w:rsidRDefault="009F5636" w14:paraId="24714EEB" w14:textId="77777777">
                    <w:r>
                      <w:t>De voorzitter van de Tweede Kamer der Staten-Generaal</w:t>
                    </w:r>
                  </w:p>
                  <w:p w:rsidR="00083105" w:rsidRDefault="009F5636" w14:paraId="24714EEC" w14:textId="77777777">
                    <w:r>
                      <w:t>Prinses Irenestraat 6</w:t>
                    </w:r>
                  </w:p>
                  <w:p w:rsidR="00083105" w:rsidRDefault="009F5636" w14:paraId="24714EE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4714ED8" wp14:editId="24714ED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83105" w14:paraId="24714EF0" w14:textId="77777777">
                            <w:trPr>
                              <w:trHeight w:val="200"/>
                            </w:trPr>
                            <w:tc>
                              <w:tcPr>
                                <w:tcW w:w="1134" w:type="dxa"/>
                              </w:tcPr>
                              <w:p w14:paraId="24714EEE" w14:textId="77777777" w:rsidR="00083105" w:rsidRDefault="00083105"/>
                            </w:tc>
                            <w:tc>
                              <w:tcPr>
                                <w:tcW w:w="5244" w:type="dxa"/>
                              </w:tcPr>
                              <w:p w14:paraId="24714EEF" w14:textId="77777777" w:rsidR="00083105" w:rsidRDefault="00083105"/>
                            </w:tc>
                          </w:tr>
                          <w:tr w:rsidR="00083105" w14:paraId="24714EF3" w14:textId="77777777">
                            <w:trPr>
                              <w:trHeight w:val="240"/>
                            </w:trPr>
                            <w:tc>
                              <w:tcPr>
                                <w:tcW w:w="1134" w:type="dxa"/>
                              </w:tcPr>
                              <w:p w14:paraId="24714EF1" w14:textId="77777777" w:rsidR="00083105" w:rsidRDefault="009F5636">
                                <w:r>
                                  <w:t>Datum</w:t>
                                </w:r>
                              </w:p>
                            </w:tc>
                            <w:tc>
                              <w:tcPr>
                                <w:tcW w:w="5244" w:type="dxa"/>
                              </w:tcPr>
                              <w:p w14:paraId="2E3F696C" w14:textId="7B486195" w:rsidR="00D84498" w:rsidRDefault="000D0A0C">
                                <w:r>
                                  <w:fldChar w:fldCharType="begin"/>
                                </w:r>
                                <w:r>
                                  <w:instrText xml:space="preserve"> DOCPROPERTY  "iDatum"  \* MERGEFORMAT </w:instrText>
                                </w:r>
                                <w:r w:rsidR="002143BE">
                                  <w:fldChar w:fldCharType="separate"/>
                                </w:r>
                                <w:r w:rsidR="002143BE">
                                  <w:t>6 mei 2025</w:t>
                                </w:r>
                                <w:r>
                                  <w:fldChar w:fldCharType="end"/>
                                </w:r>
                              </w:p>
                            </w:tc>
                          </w:tr>
                          <w:tr w:rsidR="00083105" w14:paraId="24714EF6" w14:textId="77777777">
                            <w:trPr>
                              <w:trHeight w:val="240"/>
                            </w:trPr>
                            <w:tc>
                              <w:tcPr>
                                <w:tcW w:w="1134" w:type="dxa"/>
                              </w:tcPr>
                              <w:p w14:paraId="24714EF4" w14:textId="77777777" w:rsidR="00083105" w:rsidRDefault="009F5636">
                                <w:r>
                                  <w:t>Betreft</w:t>
                                </w:r>
                              </w:p>
                            </w:tc>
                            <w:tc>
                              <w:tcPr>
                                <w:tcW w:w="5244" w:type="dxa"/>
                              </w:tcPr>
                              <w:p w14:paraId="51BC186B" w14:textId="4FB89CF9" w:rsidR="00D84498" w:rsidRDefault="000D0A0C">
                                <w:r>
                                  <w:fldChar w:fldCharType="begin"/>
                                </w:r>
                                <w:r>
                                  <w:instrText xml:space="preserve"> DOCPROPERTY  "iOnderwerp"  \* MERGEFORMAT </w:instrText>
                                </w:r>
                                <w:r>
                                  <w:fldChar w:fldCharType="separate"/>
                                </w:r>
                                <w:r w:rsidR="002143BE">
                                  <w:t xml:space="preserve">Kamerbrief evaluatie van de Wet eenmalige </w:t>
                                </w:r>
                                <w:proofErr w:type="spellStart"/>
                                <w:r w:rsidR="002143BE">
                                  <w:t>gegevensuitvraag</w:t>
                                </w:r>
                                <w:proofErr w:type="spellEnd"/>
                                <w:r w:rsidR="002143BE">
                                  <w:t xml:space="preserve"> werk en inkomen</w:t>
                                </w:r>
                                <w:r>
                                  <w:fldChar w:fldCharType="end"/>
                                </w:r>
                              </w:p>
                            </w:tc>
                          </w:tr>
                          <w:tr w:rsidR="00083105" w14:paraId="24714EF9" w14:textId="77777777">
                            <w:trPr>
                              <w:trHeight w:val="200"/>
                            </w:trPr>
                            <w:tc>
                              <w:tcPr>
                                <w:tcW w:w="1134" w:type="dxa"/>
                              </w:tcPr>
                              <w:p w14:paraId="24714EF7" w14:textId="77777777" w:rsidR="00083105" w:rsidRDefault="00083105"/>
                            </w:tc>
                            <w:tc>
                              <w:tcPr>
                                <w:tcW w:w="5244" w:type="dxa"/>
                              </w:tcPr>
                              <w:p w14:paraId="24714EF8" w14:textId="77777777" w:rsidR="00083105" w:rsidRDefault="00083105"/>
                            </w:tc>
                          </w:tr>
                        </w:tbl>
                        <w:p w14:paraId="24714F07" w14:textId="77777777" w:rsidR="009F5636" w:rsidRDefault="009F5636"/>
                      </w:txbxContent>
                    </wps:txbx>
                    <wps:bodyPr vert="horz" wrap="square" lIns="0" tIns="0" rIns="0" bIns="0" anchor="t" anchorCtr="0"/>
                  </wps:wsp>
                </a:graphicData>
              </a:graphic>
            </wp:anchor>
          </w:drawing>
        </mc:Choice>
        <mc:Fallback>
          <w:pict>
            <v:shape w14:anchorId="24714ED8"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83105" w14:paraId="24714EF0" w14:textId="77777777">
                      <w:trPr>
                        <w:trHeight w:val="200"/>
                      </w:trPr>
                      <w:tc>
                        <w:tcPr>
                          <w:tcW w:w="1134" w:type="dxa"/>
                        </w:tcPr>
                        <w:p w14:paraId="24714EEE" w14:textId="77777777" w:rsidR="00083105" w:rsidRDefault="00083105"/>
                      </w:tc>
                      <w:tc>
                        <w:tcPr>
                          <w:tcW w:w="5244" w:type="dxa"/>
                        </w:tcPr>
                        <w:p w14:paraId="24714EEF" w14:textId="77777777" w:rsidR="00083105" w:rsidRDefault="00083105"/>
                      </w:tc>
                    </w:tr>
                    <w:tr w:rsidR="00083105" w14:paraId="24714EF3" w14:textId="77777777">
                      <w:trPr>
                        <w:trHeight w:val="240"/>
                      </w:trPr>
                      <w:tc>
                        <w:tcPr>
                          <w:tcW w:w="1134" w:type="dxa"/>
                        </w:tcPr>
                        <w:p w14:paraId="24714EF1" w14:textId="77777777" w:rsidR="00083105" w:rsidRDefault="009F5636">
                          <w:r>
                            <w:t>Datum</w:t>
                          </w:r>
                        </w:p>
                      </w:tc>
                      <w:tc>
                        <w:tcPr>
                          <w:tcW w:w="5244" w:type="dxa"/>
                        </w:tcPr>
                        <w:p w14:paraId="2E3F696C" w14:textId="7B486195" w:rsidR="00D84498" w:rsidRDefault="000D0A0C">
                          <w:r>
                            <w:fldChar w:fldCharType="begin"/>
                          </w:r>
                          <w:r>
                            <w:instrText xml:space="preserve"> DOCPROPERTY  "iDatum"  \* MERGEFORMAT </w:instrText>
                          </w:r>
                          <w:r w:rsidR="002143BE">
                            <w:fldChar w:fldCharType="separate"/>
                          </w:r>
                          <w:r w:rsidR="002143BE">
                            <w:t>6 mei 2025</w:t>
                          </w:r>
                          <w:r>
                            <w:fldChar w:fldCharType="end"/>
                          </w:r>
                        </w:p>
                      </w:tc>
                    </w:tr>
                    <w:tr w:rsidR="00083105" w14:paraId="24714EF6" w14:textId="77777777">
                      <w:trPr>
                        <w:trHeight w:val="240"/>
                      </w:trPr>
                      <w:tc>
                        <w:tcPr>
                          <w:tcW w:w="1134" w:type="dxa"/>
                        </w:tcPr>
                        <w:p w14:paraId="24714EF4" w14:textId="77777777" w:rsidR="00083105" w:rsidRDefault="009F5636">
                          <w:r>
                            <w:t>Betreft</w:t>
                          </w:r>
                        </w:p>
                      </w:tc>
                      <w:tc>
                        <w:tcPr>
                          <w:tcW w:w="5244" w:type="dxa"/>
                        </w:tcPr>
                        <w:p w14:paraId="51BC186B" w14:textId="4FB89CF9" w:rsidR="00D84498" w:rsidRDefault="000D0A0C">
                          <w:r>
                            <w:fldChar w:fldCharType="begin"/>
                          </w:r>
                          <w:r>
                            <w:instrText xml:space="preserve"> DOCPROPERTY  "iOnderwerp"  \* MERGEFORMAT </w:instrText>
                          </w:r>
                          <w:r>
                            <w:fldChar w:fldCharType="separate"/>
                          </w:r>
                          <w:r w:rsidR="002143BE">
                            <w:t xml:space="preserve">Kamerbrief evaluatie van de Wet eenmalige </w:t>
                          </w:r>
                          <w:proofErr w:type="spellStart"/>
                          <w:r w:rsidR="002143BE">
                            <w:t>gegevensuitvraag</w:t>
                          </w:r>
                          <w:proofErr w:type="spellEnd"/>
                          <w:r w:rsidR="002143BE">
                            <w:t xml:space="preserve"> werk en inkomen</w:t>
                          </w:r>
                          <w:r>
                            <w:fldChar w:fldCharType="end"/>
                          </w:r>
                        </w:p>
                      </w:tc>
                    </w:tr>
                    <w:tr w:rsidR="00083105" w14:paraId="24714EF9" w14:textId="77777777">
                      <w:trPr>
                        <w:trHeight w:val="200"/>
                      </w:trPr>
                      <w:tc>
                        <w:tcPr>
                          <w:tcW w:w="1134" w:type="dxa"/>
                        </w:tcPr>
                        <w:p w14:paraId="24714EF7" w14:textId="77777777" w:rsidR="00083105" w:rsidRDefault="00083105"/>
                      </w:tc>
                      <w:tc>
                        <w:tcPr>
                          <w:tcW w:w="5244" w:type="dxa"/>
                        </w:tcPr>
                        <w:p w14:paraId="24714EF8" w14:textId="77777777" w:rsidR="00083105" w:rsidRDefault="00083105"/>
                      </w:tc>
                    </w:tr>
                  </w:tbl>
                  <w:p w14:paraId="24714F07" w14:textId="77777777" w:rsidR="009F5636" w:rsidRDefault="009F5636"/>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4714EDA" wp14:editId="24714ED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5B6F60" w14:textId="77777777" w:rsidR="00D84498" w:rsidRDefault="000D0A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714EDA"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75B6F60" w14:textId="77777777" w:rsidR="00D84498" w:rsidRDefault="000D0A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41F207"/>
    <w:multiLevelType w:val="multilevel"/>
    <w:tmpl w:val="5467D64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C4620A"/>
    <w:multiLevelType w:val="multilevel"/>
    <w:tmpl w:val="B23BAB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B4444A5"/>
    <w:multiLevelType w:val="multilevel"/>
    <w:tmpl w:val="C3B5448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AFBDEB"/>
    <w:multiLevelType w:val="multilevel"/>
    <w:tmpl w:val="BA27BA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8211C4C"/>
    <w:multiLevelType w:val="hybridMultilevel"/>
    <w:tmpl w:val="3A0421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5F4691C"/>
    <w:multiLevelType w:val="multilevel"/>
    <w:tmpl w:val="F03B519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260A7"/>
    <w:multiLevelType w:val="hybridMultilevel"/>
    <w:tmpl w:val="26C6DD2C"/>
    <w:lvl w:ilvl="0" w:tplc="04130005">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4B46AE62"/>
    <w:multiLevelType w:val="multilevel"/>
    <w:tmpl w:val="890A787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1735CB"/>
    <w:multiLevelType w:val="hybridMultilevel"/>
    <w:tmpl w:val="BE16CBF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A2AE6CE"/>
    <w:multiLevelType w:val="multilevel"/>
    <w:tmpl w:val="8D03313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757BF6"/>
    <w:multiLevelType w:val="multilevel"/>
    <w:tmpl w:val="79B81AF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3E34C1"/>
    <w:multiLevelType w:val="hybridMultilevel"/>
    <w:tmpl w:val="03120F52"/>
    <w:lvl w:ilvl="0" w:tplc="2B445DCC">
      <w:start w:val="1"/>
      <w:numFmt w:val="bullet"/>
      <w:lvlText w:val=""/>
      <w:lvlJc w:val="left"/>
      <w:pPr>
        <w:ind w:left="1100" w:hanging="360"/>
      </w:pPr>
      <w:rPr>
        <w:rFonts w:ascii="Symbol" w:hAnsi="Symbol"/>
      </w:rPr>
    </w:lvl>
    <w:lvl w:ilvl="1" w:tplc="D5F47D8E">
      <w:start w:val="1"/>
      <w:numFmt w:val="bullet"/>
      <w:lvlText w:val=""/>
      <w:lvlJc w:val="left"/>
      <w:pPr>
        <w:ind w:left="1100" w:hanging="360"/>
      </w:pPr>
      <w:rPr>
        <w:rFonts w:ascii="Symbol" w:hAnsi="Symbol"/>
      </w:rPr>
    </w:lvl>
    <w:lvl w:ilvl="2" w:tplc="56DA67C4">
      <w:start w:val="1"/>
      <w:numFmt w:val="bullet"/>
      <w:lvlText w:val=""/>
      <w:lvlJc w:val="left"/>
      <w:pPr>
        <w:ind w:left="1100" w:hanging="360"/>
      </w:pPr>
      <w:rPr>
        <w:rFonts w:ascii="Symbol" w:hAnsi="Symbol"/>
      </w:rPr>
    </w:lvl>
    <w:lvl w:ilvl="3" w:tplc="693CA90C">
      <w:start w:val="1"/>
      <w:numFmt w:val="bullet"/>
      <w:lvlText w:val=""/>
      <w:lvlJc w:val="left"/>
      <w:pPr>
        <w:ind w:left="1100" w:hanging="360"/>
      </w:pPr>
      <w:rPr>
        <w:rFonts w:ascii="Symbol" w:hAnsi="Symbol"/>
      </w:rPr>
    </w:lvl>
    <w:lvl w:ilvl="4" w:tplc="C4CC67C8">
      <w:start w:val="1"/>
      <w:numFmt w:val="bullet"/>
      <w:lvlText w:val=""/>
      <w:lvlJc w:val="left"/>
      <w:pPr>
        <w:ind w:left="1100" w:hanging="360"/>
      </w:pPr>
      <w:rPr>
        <w:rFonts w:ascii="Symbol" w:hAnsi="Symbol"/>
      </w:rPr>
    </w:lvl>
    <w:lvl w:ilvl="5" w:tplc="D184719C">
      <w:start w:val="1"/>
      <w:numFmt w:val="bullet"/>
      <w:lvlText w:val=""/>
      <w:lvlJc w:val="left"/>
      <w:pPr>
        <w:ind w:left="1100" w:hanging="360"/>
      </w:pPr>
      <w:rPr>
        <w:rFonts w:ascii="Symbol" w:hAnsi="Symbol"/>
      </w:rPr>
    </w:lvl>
    <w:lvl w:ilvl="6" w:tplc="E960B914">
      <w:start w:val="1"/>
      <w:numFmt w:val="bullet"/>
      <w:lvlText w:val=""/>
      <w:lvlJc w:val="left"/>
      <w:pPr>
        <w:ind w:left="1100" w:hanging="360"/>
      </w:pPr>
      <w:rPr>
        <w:rFonts w:ascii="Symbol" w:hAnsi="Symbol"/>
      </w:rPr>
    </w:lvl>
    <w:lvl w:ilvl="7" w:tplc="D9B23C28">
      <w:start w:val="1"/>
      <w:numFmt w:val="bullet"/>
      <w:lvlText w:val=""/>
      <w:lvlJc w:val="left"/>
      <w:pPr>
        <w:ind w:left="1100" w:hanging="360"/>
      </w:pPr>
      <w:rPr>
        <w:rFonts w:ascii="Symbol" w:hAnsi="Symbol"/>
      </w:rPr>
    </w:lvl>
    <w:lvl w:ilvl="8" w:tplc="5CCC569E">
      <w:start w:val="1"/>
      <w:numFmt w:val="bullet"/>
      <w:lvlText w:val=""/>
      <w:lvlJc w:val="left"/>
      <w:pPr>
        <w:ind w:left="1100" w:hanging="360"/>
      </w:pPr>
      <w:rPr>
        <w:rFonts w:ascii="Symbol" w:hAnsi="Symbol"/>
      </w:rPr>
    </w:lvl>
  </w:abstractNum>
  <w:num w:numId="1" w16cid:durableId="1335717140">
    <w:abstractNumId w:val="2"/>
  </w:num>
  <w:num w:numId="2" w16cid:durableId="1848905352">
    <w:abstractNumId w:val="10"/>
  </w:num>
  <w:num w:numId="3" w16cid:durableId="1020200726">
    <w:abstractNumId w:val="3"/>
  </w:num>
  <w:num w:numId="4" w16cid:durableId="1128163389">
    <w:abstractNumId w:val="1"/>
  </w:num>
  <w:num w:numId="5" w16cid:durableId="897210147">
    <w:abstractNumId w:val="5"/>
  </w:num>
  <w:num w:numId="6" w16cid:durableId="297027849">
    <w:abstractNumId w:val="9"/>
  </w:num>
  <w:num w:numId="7" w16cid:durableId="2037269925">
    <w:abstractNumId w:val="7"/>
  </w:num>
  <w:num w:numId="8" w16cid:durableId="1558933860">
    <w:abstractNumId w:val="0"/>
  </w:num>
  <w:num w:numId="9" w16cid:durableId="2099985976">
    <w:abstractNumId w:val="6"/>
  </w:num>
  <w:num w:numId="10" w16cid:durableId="83842952">
    <w:abstractNumId w:val="8"/>
  </w:num>
  <w:num w:numId="11" w16cid:durableId="777874400">
    <w:abstractNumId w:val="11"/>
  </w:num>
  <w:num w:numId="12" w16cid:durableId="1708138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05"/>
    <w:rsid w:val="00014368"/>
    <w:rsid w:val="00072618"/>
    <w:rsid w:val="000750A9"/>
    <w:rsid w:val="000752F6"/>
    <w:rsid w:val="00076A4A"/>
    <w:rsid w:val="000813B9"/>
    <w:rsid w:val="00083105"/>
    <w:rsid w:val="0009424F"/>
    <w:rsid w:val="000B055B"/>
    <w:rsid w:val="000B7200"/>
    <w:rsid w:val="000C001E"/>
    <w:rsid w:val="00114930"/>
    <w:rsid w:val="00157DB5"/>
    <w:rsid w:val="00167314"/>
    <w:rsid w:val="00171772"/>
    <w:rsid w:val="00172451"/>
    <w:rsid w:val="001746C0"/>
    <w:rsid w:val="001A73D1"/>
    <w:rsid w:val="001B3714"/>
    <w:rsid w:val="001C4899"/>
    <w:rsid w:val="001C70B6"/>
    <w:rsid w:val="001D0402"/>
    <w:rsid w:val="002143BE"/>
    <w:rsid w:val="002303D8"/>
    <w:rsid w:val="002316CF"/>
    <w:rsid w:val="00251CE6"/>
    <w:rsid w:val="00254165"/>
    <w:rsid w:val="002627D1"/>
    <w:rsid w:val="00264888"/>
    <w:rsid w:val="00264D14"/>
    <w:rsid w:val="00270BCD"/>
    <w:rsid w:val="00273D34"/>
    <w:rsid w:val="0029570A"/>
    <w:rsid w:val="00295B56"/>
    <w:rsid w:val="002A3CC3"/>
    <w:rsid w:val="002F5368"/>
    <w:rsid w:val="00300D1B"/>
    <w:rsid w:val="003066FC"/>
    <w:rsid w:val="00315360"/>
    <w:rsid w:val="00323AC0"/>
    <w:rsid w:val="00353EB6"/>
    <w:rsid w:val="00375E3B"/>
    <w:rsid w:val="00382965"/>
    <w:rsid w:val="00385323"/>
    <w:rsid w:val="0039639B"/>
    <w:rsid w:val="0039670F"/>
    <w:rsid w:val="003B3253"/>
    <w:rsid w:val="003D3F70"/>
    <w:rsid w:val="003F25D1"/>
    <w:rsid w:val="004117CD"/>
    <w:rsid w:val="00415670"/>
    <w:rsid w:val="004504AE"/>
    <w:rsid w:val="00464BD9"/>
    <w:rsid w:val="00483F2E"/>
    <w:rsid w:val="00494E44"/>
    <w:rsid w:val="004A0204"/>
    <w:rsid w:val="004B01A8"/>
    <w:rsid w:val="005302E1"/>
    <w:rsid w:val="00581BC2"/>
    <w:rsid w:val="005933BF"/>
    <w:rsid w:val="005B46E5"/>
    <w:rsid w:val="005B63E9"/>
    <w:rsid w:val="005F1D10"/>
    <w:rsid w:val="005F1DC3"/>
    <w:rsid w:val="0062125B"/>
    <w:rsid w:val="00643DDD"/>
    <w:rsid w:val="00686697"/>
    <w:rsid w:val="00692522"/>
    <w:rsid w:val="006D1EE0"/>
    <w:rsid w:val="006E32D1"/>
    <w:rsid w:val="00703AAF"/>
    <w:rsid w:val="00733426"/>
    <w:rsid w:val="00737C22"/>
    <w:rsid w:val="00746B5A"/>
    <w:rsid w:val="00757C4F"/>
    <w:rsid w:val="00761228"/>
    <w:rsid w:val="0076400F"/>
    <w:rsid w:val="0076561E"/>
    <w:rsid w:val="007863F9"/>
    <w:rsid w:val="007B3299"/>
    <w:rsid w:val="007C4C1C"/>
    <w:rsid w:val="007C616E"/>
    <w:rsid w:val="007D3234"/>
    <w:rsid w:val="007E3CFC"/>
    <w:rsid w:val="007F0237"/>
    <w:rsid w:val="007F0F4A"/>
    <w:rsid w:val="007F2F30"/>
    <w:rsid w:val="008031E0"/>
    <w:rsid w:val="0085413F"/>
    <w:rsid w:val="00866BF5"/>
    <w:rsid w:val="00887866"/>
    <w:rsid w:val="0089261D"/>
    <w:rsid w:val="00892CD3"/>
    <w:rsid w:val="008A5CF2"/>
    <w:rsid w:val="008B070C"/>
    <w:rsid w:val="008C7EFF"/>
    <w:rsid w:val="008E17E3"/>
    <w:rsid w:val="00903859"/>
    <w:rsid w:val="0092172E"/>
    <w:rsid w:val="00933574"/>
    <w:rsid w:val="00933B54"/>
    <w:rsid w:val="009425C4"/>
    <w:rsid w:val="00957ED1"/>
    <w:rsid w:val="0096624D"/>
    <w:rsid w:val="009B5474"/>
    <w:rsid w:val="009C1803"/>
    <w:rsid w:val="009F499C"/>
    <w:rsid w:val="009F5636"/>
    <w:rsid w:val="00A0188A"/>
    <w:rsid w:val="00A22662"/>
    <w:rsid w:val="00A43CAE"/>
    <w:rsid w:val="00A468BE"/>
    <w:rsid w:val="00A46D37"/>
    <w:rsid w:val="00A50E8A"/>
    <w:rsid w:val="00A6086F"/>
    <w:rsid w:val="00A66B6C"/>
    <w:rsid w:val="00A7772A"/>
    <w:rsid w:val="00A817C9"/>
    <w:rsid w:val="00A8722C"/>
    <w:rsid w:val="00AA59E5"/>
    <w:rsid w:val="00AF7F18"/>
    <w:rsid w:val="00B11654"/>
    <w:rsid w:val="00B14644"/>
    <w:rsid w:val="00B1700B"/>
    <w:rsid w:val="00B33791"/>
    <w:rsid w:val="00B567C9"/>
    <w:rsid w:val="00B577AC"/>
    <w:rsid w:val="00B620B4"/>
    <w:rsid w:val="00B7295C"/>
    <w:rsid w:val="00B95A49"/>
    <w:rsid w:val="00BA1E01"/>
    <w:rsid w:val="00BB02F0"/>
    <w:rsid w:val="00BD4962"/>
    <w:rsid w:val="00BE5052"/>
    <w:rsid w:val="00C02912"/>
    <w:rsid w:val="00C042A7"/>
    <w:rsid w:val="00C52387"/>
    <w:rsid w:val="00C52D92"/>
    <w:rsid w:val="00C97802"/>
    <w:rsid w:val="00CA0415"/>
    <w:rsid w:val="00CA688C"/>
    <w:rsid w:val="00CB35DB"/>
    <w:rsid w:val="00D019F3"/>
    <w:rsid w:val="00D02114"/>
    <w:rsid w:val="00D0572A"/>
    <w:rsid w:val="00D10CDC"/>
    <w:rsid w:val="00D158E9"/>
    <w:rsid w:val="00D32E7B"/>
    <w:rsid w:val="00D36535"/>
    <w:rsid w:val="00D46726"/>
    <w:rsid w:val="00D7224C"/>
    <w:rsid w:val="00D76B05"/>
    <w:rsid w:val="00D8305A"/>
    <w:rsid w:val="00D84498"/>
    <w:rsid w:val="00D91F5D"/>
    <w:rsid w:val="00D9568C"/>
    <w:rsid w:val="00E272F0"/>
    <w:rsid w:val="00E35C2E"/>
    <w:rsid w:val="00E40FC6"/>
    <w:rsid w:val="00E42DFF"/>
    <w:rsid w:val="00E63297"/>
    <w:rsid w:val="00E71623"/>
    <w:rsid w:val="00E738C5"/>
    <w:rsid w:val="00E91072"/>
    <w:rsid w:val="00E96F08"/>
    <w:rsid w:val="00EA0C76"/>
    <w:rsid w:val="00EC67DF"/>
    <w:rsid w:val="00ED6B7A"/>
    <w:rsid w:val="00EE0267"/>
    <w:rsid w:val="00EE2520"/>
    <w:rsid w:val="00EE4F2B"/>
    <w:rsid w:val="00F10F8C"/>
    <w:rsid w:val="00F31BCE"/>
    <w:rsid w:val="00F57132"/>
    <w:rsid w:val="00F611B7"/>
    <w:rsid w:val="00F61615"/>
    <w:rsid w:val="00F856E6"/>
    <w:rsid w:val="00FB4AB2"/>
    <w:rsid w:val="00FE2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2471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D158E9"/>
    <w:pPr>
      <w:spacing w:line="240" w:lineRule="auto"/>
    </w:pPr>
    <w:rPr>
      <w:sz w:val="20"/>
      <w:szCs w:val="20"/>
    </w:rPr>
  </w:style>
  <w:style w:type="character" w:customStyle="1" w:styleId="VoetnoottekstChar">
    <w:name w:val="Voetnoottekst Char"/>
    <w:basedOn w:val="Standaardalinea-lettertype"/>
    <w:link w:val="Voetnoottekst"/>
    <w:uiPriority w:val="99"/>
    <w:rsid w:val="00D158E9"/>
    <w:rPr>
      <w:rFonts w:ascii="Verdana" w:hAnsi="Verdana"/>
      <w:color w:val="000000"/>
    </w:rPr>
  </w:style>
  <w:style w:type="character" w:styleId="Voetnootmarkering">
    <w:name w:val="footnote reference"/>
    <w:basedOn w:val="Standaardalinea-lettertype"/>
    <w:uiPriority w:val="99"/>
    <w:semiHidden/>
    <w:unhideWhenUsed/>
    <w:rsid w:val="00D158E9"/>
    <w:rPr>
      <w:vertAlign w:val="superscript"/>
    </w:rPr>
  </w:style>
  <w:style w:type="character" w:styleId="Verwijzingopmerking">
    <w:name w:val="annotation reference"/>
    <w:basedOn w:val="Standaardalinea-lettertype"/>
    <w:uiPriority w:val="99"/>
    <w:semiHidden/>
    <w:unhideWhenUsed/>
    <w:rsid w:val="007D3234"/>
    <w:rPr>
      <w:sz w:val="16"/>
      <w:szCs w:val="16"/>
    </w:rPr>
  </w:style>
  <w:style w:type="paragraph" w:styleId="Tekstopmerking">
    <w:name w:val="annotation text"/>
    <w:basedOn w:val="Standaard"/>
    <w:link w:val="TekstopmerkingChar"/>
    <w:uiPriority w:val="99"/>
    <w:unhideWhenUsed/>
    <w:rsid w:val="007D3234"/>
    <w:pPr>
      <w:spacing w:line="240" w:lineRule="auto"/>
    </w:pPr>
    <w:rPr>
      <w:sz w:val="20"/>
      <w:szCs w:val="20"/>
    </w:rPr>
  </w:style>
  <w:style w:type="character" w:customStyle="1" w:styleId="TekstopmerkingChar">
    <w:name w:val="Tekst opmerking Char"/>
    <w:basedOn w:val="Standaardalinea-lettertype"/>
    <w:link w:val="Tekstopmerking"/>
    <w:uiPriority w:val="99"/>
    <w:rsid w:val="007D3234"/>
    <w:rPr>
      <w:rFonts w:ascii="Verdana" w:hAnsi="Verdana"/>
      <w:color w:val="000000"/>
    </w:rPr>
  </w:style>
  <w:style w:type="paragraph" w:styleId="Lijstalinea">
    <w:name w:val="List Paragraph"/>
    <w:basedOn w:val="Standaard"/>
    <w:uiPriority w:val="34"/>
    <w:semiHidden/>
    <w:rsid w:val="007D3234"/>
    <w:pPr>
      <w:ind w:left="720"/>
      <w:contextualSpacing/>
    </w:pPr>
  </w:style>
  <w:style w:type="paragraph" w:styleId="Revisie">
    <w:name w:val="Revision"/>
    <w:hidden/>
    <w:uiPriority w:val="99"/>
    <w:semiHidden/>
    <w:rsid w:val="00E738C5"/>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92CD3"/>
    <w:rPr>
      <w:b/>
      <w:bCs/>
    </w:rPr>
  </w:style>
  <w:style w:type="character" w:customStyle="1" w:styleId="OnderwerpvanopmerkingChar">
    <w:name w:val="Onderwerp van opmerking Char"/>
    <w:basedOn w:val="TekstopmerkingChar"/>
    <w:link w:val="Onderwerpvanopmerking"/>
    <w:uiPriority w:val="99"/>
    <w:semiHidden/>
    <w:rsid w:val="00892CD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1484</ap:Words>
  <ap:Characters>8168</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Kamer - Kamerbrief evaluatie van de Wet eenmalige gegevensuitvraag werk en inkomen</vt:lpstr>
    </vt:vector>
  </ap:TitlesOfParts>
  <ap:LinksUpToDate>false</ap:LinksUpToDate>
  <ap:CharactersWithSpaces>9633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2025-05-06T12:38:00.0000000Z</dcterms:created>
  <dcterms:modified xsi:type="dcterms:W3CDTF">2025-05-06T12:38:00.0000000Z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evaluatie van de Wet eenmalige gegevensuitvraag werk en inkomen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Z.E. Redan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Rapport de Beleidsonderzoekers- Evaluatie van de Wet eenmalige gegevensuitvraag werk en inkomen</vt:lpwstr>
  </property>
  <property fmtid="{D5CDD505-2E9C-101B-9397-08002B2CF9AE}" pid="31" name="iCC">
    <vt:lpwstr/>
  </property>
  <property fmtid="{D5CDD505-2E9C-101B-9397-08002B2CF9AE}" pid="32" name="iDatum">
    <vt:lpwstr>6 mei 2025</vt:lpwstr>
  </property>
  <property fmtid="{D5CDD505-2E9C-101B-9397-08002B2CF9AE}" pid="33" name="iKixcode">
    <vt:lpwstr/>
  </property>
  <property fmtid="{D5CDD505-2E9C-101B-9397-08002B2CF9AE}" pid="34" name="iNr">
    <vt:lpwstr/>
  </property>
  <property fmtid="{D5CDD505-2E9C-101B-9397-08002B2CF9AE}" pid="35" name="iOnderwerp">
    <vt:lpwstr>Kamerbrief evaluatie van de Wet eenmalige gegevensuitvraag werk en inkomen</vt:lpwstr>
  </property>
  <property fmtid="{D5CDD505-2E9C-101B-9397-08002B2CF9AE}" pid="36" name="iOnsKenmerk">
    <vt:lpwstr>2025-0000042705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