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C39DC" w:rsidRDefault="00340ECA" w14:paraId="394B39A3" w14:textId="77777777"/>
    <w:p w:rsidR="00B824BA" w:rsidP="001C39DC" w:rsidRDefault="00804156" w14:paraId="0430E1F1" w14:textId="49EE0AA7">
      <w:r>
        <w:t>Geachte Voorzitter,</w:t>
      </w:r>
    </w:p>
    <w:p w:rsidR="00D15779" w:rsidP="001C39DC" w:rsidRDefault="00D15779" w14:paraId="0CE6982C" w14:textId="2788BEB2"/>
    <w:p w:rsidR="00F60D96" w:rsidP="001C39DC" w:rsidRDefault="00F60D96" w14:paraId="2E1FBB24" w14:textId="120D9DE3">
      <w:r>
        <w:t xml:space="preserve">Op 22-23 mei 2025 organiseert het Pools voorzitterschap een formele Raad voor Concurrentievermogen over de onderdelen 1) industrie en interne markt; 2) onderzoek en innovatie; en 3) ruimtevaart in Brussel. Met deze brief stuur ik u de geannoteerde agenda met daarin een beschrijving van de discussiepunten en de Nederlandse inzet. </w:t>
      </w:r>
      <w:r w:rsidR="00637CA4">
        <w:t xml:space="preserve">Het agendapunt over de Clean Industrial Deal stuur ik mede namens de </w:t>
      </w:r>
      <w:r w:rsidR="001C39DC">
        <w:t>m</w:t>
      </w:r>
      <w:r w:rsidR="00637CA4">
        <w:t xml:space="preserve">inister van Klimaat en Groene Groei. </w:t>
      </w:r>
      <w:r>
        <w:t xml:space="preserve">De geannoteerde agenda voor het onderdeel onderzoek en innovatie stuur ik u mede namens de </w:t>
      </w:r>
      <w:r w:rsidR="001C39DC">
        <w:t>m</w:t>
      </w:r>
      <w:r>
        <w:t xml:space="preserve">inister van Onderwijs, Cultuur en Wetenschap. </w:t>
      </w:r>
    </w:p>
    <w:p w:rsidR="00F60D96" w:rsidP="001C39DC" w:rsidRDefault="00F60D96" w14:paraId="125B2215" w14:textId="77777777"/>
    <w:p w:rsidRPr="00150D47" w:rsidR="00D15779" w:rsidP="001C39DC" w:rsidRDefault="00B76B86" w14:paraId="3418977D" w14:textId="19EDD0B0">
      <w:pPr>
        <w:rPr>
          <w:rFonts w:eastAsia="Verdana" w:cs="Verdana"/>
        </w:rPr>
      </w:pPr>
      <w:r w:rsidRPr="000A7391">
        <w:t xml:space="preserve">Tevens maak ik gebruik van dit moment om u te informeren over een </w:t>
      </w:r>
      <w:r w:rsidRPr="000A7391" w:rsidR="2B96B4FE">
        <w:t xml:space="preserve">Nederlands </w:t>
      </w:r>
      <w:r w:rsidRPr="000A7391">
        <w:t xml:space="preserve">non-paper over </w:t>
      </w:r>
      <w:r w:rsidRPr="000A7391" w:rsidR="1B01F829">
        <w:t xml:space="preserve">de opvolger van </w:t>
      </w:r>
      <w:r w:rsidRPr="000A7391">
        <w:t>InvestEU</w:t>
      </w:r>
      <w:r w:rsidRPr="000A7391" w:rsidR="2E533B4C">
        <w:t xml:space="preserve"> </w:t>
      </w:r>
      <w:r w:rsidRPr="000A7391" w:rsidR="2E533B4C">
        <w:rPr>
          <w:rFonts w:eastAsia="Verdana" w:cs="Verdana"/>
        </w:rPr>
        <w:t>in het volgende Meerjarig Financieel Kader (MFK) voor de periode na 2027</w:t>
      </w:r>
      <w:r w:rsidRPr="000A7391" w:rsidR="4B1FF76E">
        <w:t xml:space="preserve">. </w:t>
      </w:r>
      <w:r w:rsidRPr="000A7391" w:rsidR="4B1FF76E">
        <w:rPr>
          <w:rFonts w:eastAsia="Verdana" w:cs="Verdana"/>
        </w:rPr>
        <w:t xml:space="preserve">Het huidige InvestEU programma biedt via de EU-begroting </w:t>
      </w:r>
      <w:r w:rsidRPr="000A7391" w:rsidR="3506F892">
        <w:rPr>
          <w:rFonts w:eastAsia="Verdana" w:cs="Verdana"/>
        </w:rPr>
        <w:t>garantie</w:t>
      </w:r>
      <w:r w:rsidRPr="000A7391" w:rsidR="1C118B6F">
        <w:rPr>
          <w:rFonts w:eastAsia="Verdana" w:cs="Verdana"/>
        </w:rPr>
        <w:t>s</w:t>
      </w:r>
      <w:r w:rsidRPr="000A7391" w:rsidR="4B1FF76E">
        <w:rPr>
          <w:rFonts w:eastAsia="Verdana" w:cs="Verdana"/>
        </w:rPr>
        <w:t xml:space="preserve"> en kan daarmee privaat en ander publiek kapitaal (van </w:t>
      </w:r>
      <w:r w:rsidRPr="000A7391" w:rsidR="321ABE03">
        <w:rPr>
          <w:rFonts w:eastAsia="Verdana" w:cs="Verdana"/>
        </w:rPr>
        <w:t xml:space="preserve">bijvoorbeeld </w:t>
      </w:r>
      <w:r w:rsidRPr="000A7391" w:rsidR="4B1FF76E">
        <w:rPr>
          <w:rFonts w:eastAsia="Verdana" w:cs="Verdana"/>
        </w:rPr>
        <w:t>de Europese Investeringsbank, EIB) aantrekken</w:t>
      </w:r>
      <w:r w:rsidRPr="000A7391" w:rsidR="3506F892">
        <w:rPr>
          <w:rFonts w:eastAsia="Verdana" w:cs="Verdana"/>
        </w:rPr>
        <w:t>.</w:t>
      </w:r>
      <w:r w:rsidRPr="000A7391" w:rsidR="4B1FF76E">
        <w:rPr>
          <w:rFonts w:eastAsia="Verdana" w:cs="Verdana"/>
        </w:rPr>
        <w:t xml:space="preserve"> In</w:t>
      </w:r>
      <w:r w:rsidRPr="000A7391" w:rsidR="39A92353">
        <w:rPr>
          <w:rFonts w:eastAsia="Verdana" w:cs="Verdana"/>
        </w:rPr>
        <w:t xml:space="preserve"> </w:t>
      </w:r>
      <w:r w:rsidRPr="000A7391" w:rsidR="07D0C2A7">
        <w:rPr>
          <w:rFonts w:eastAsia="Verdana" w:cs="Verdana"/>
        </w:rPr>
        <w:t>he</w:t>
      </w:r>
      <w:r w:rsidRPr="000A7391" w:rsidR="7ACBD39D">
        <w:rPr>
          <w:rFonts w:eastAsia="Verdana" w:cs="Verdana"/>
        </w:rPr>
        <w:t>t</w:t>
      </w:r>
      <w:r w:rsidRPr="000A7391" w:rsidR="3506F892">
        <w:rPr>
          <w:rFonts w:eastAsia="Verdana" w:cs="Verdana"/>
        </w:rPr>
        <w:t xml:space="preserve"> </w:t>
      </w:r>
      <w:r w:rsidRPr="000A7391" w:rsidR="4231E871">
        <w:rPr>
          <w:rFonts w:eastAsia="Verdana" w:cs="Verdana"/>
        </w:rPr>
        <w:t>non-</w:t>
      </w:r>
      <w:r w:rsidRPr="000A7391" w:rsidR="4B1FF76E">
        <w:rPr>
          <w:rFonts w:eastAsia="Verdana" w:cs="Verdana"/>
        </w:rPr>
        <w:t xml:space="preserve">paper roept het kabinet de </w:t>
      </w:r>
      <w:r w:rsidRPr="000A7391" w:rsidR="0A8CEE44">
        <w:rPr>
          <w:rFonts w:eastAsia="Verdana" w:cs="Verdana"/>
        </w:rPr>
        <w:t xml:space="preserve">Europese </w:t>
      </w:r>
      <w:r w:rsidRPr="000A7391" w:rsidR="4B1FF76E">
        <w:rPr>
          <w:rFonts w:eastAsia="Verdana" w:cs="Verdana"/>
        </w:rPr>
        <w:t xml:space="preserve">Commissie op om ook in het volgende MFK optimaal gebruik te maken van dergelijke innovatieve financieringsconstructies. </w:t>
      </w:r>
      <w:r w:rsidRPr="000A7391" w:rsidR="02C50178">
        <w:rPr>
          <w:rFonts w:eastAsia="Verdana" w:cs="Verdana"/>
        </w:rPr>
        <w:t>Zo</w:t>
      </w:r>
      <w:r w:rsidRPr="000A7391" w:rsidR="4B1FF76E">
        <w:rPr>
          <w:rFonts w:eastAsia="Verdana" w:cs="Verdana"/>
        </w:rPr>
        <w:t xml:space="preserve"> kan een bijdrage worden geleverd aan het dichten van het financieringsgat </w:t>
      </w:r>
      <w:r w:rsidRPr="000A7391" w:rsidR="3506F892">
        <w:rPr>
          <w:rFonts w:eastAsia="Verdana" w:cs="Verdana"/>
        </w:rPr>
        <w:t>voor</w:t>
      </w:r>
      <w:r w:rsidRPr="000A7391" w:rsidR="78E52907">
        <w:rPr>
          <w:rFonts w:eastAsia="Verdana" w:cs="Verdana"/>
        </w:rPr>
        <w:t xml:space="preserve"> </w:t>
      </w:r>
      <w:r w:rsidRPr="000A7391" w:rsidR="4B6B6A72">
        <w:rPr>
          <w:rFonts w:eastAsia="Verdana" w:cs="Verdana"/>
        </w:rPr>
        <w:t>innovati</w:t>
      </w:r>
      <w:r w:rsidRPr="000A7391" w:rsidR="277A5F8F">
        <w:rPr>
          <w:rFonts w:eastAsia="Verdana" w:cs="Verdana"/>
        </w:rPr>
        <w:t>e</w:t>
      </w:r>
      <w:r w:rsidRPr="000A7391" w:rsidR="4B6B6A72">
        <w:rPr>
          <w:rFonts w:eastAsia="Verdana" w:cs="Verdana"/>
        </w:rPr>
        <w:t>ve start</w:t>
      </w:r>
      <w:r w:rsidRPr="000A7391" w:rsidR="401DB368">
        <w:rPr>
          <w:rFonts w:eastAsia="Verdana" w:cs="Verdana"/>
        </w:rPr>
        <w:t>-</w:t>
      </w:r>
      <w:r w:rsidRPr="000A7391" w:rsidR="4B6B6A72">
        <w:rPr>
          <w:rFonts w:eastAsia="Verdana" w:cs="Verdana"/>
        </w:rPr>
        <w:t xml:space="preserve">ups </w:t>
      </w:r>
      <w:r w:rsidRPr="000A7391" w:rsidR="29EE0DCB">
        <w:rPr>
          <w:rFonts w:eastAsia="Verdana" w:cs="Verdana"/>
        </w:rPr>
        <w:t>en</w:t>
      </w:r>
      <w:r w:rsidRPr="000A7391" w:rsidR="4B6B6A72">
        <w:rPr>
          <w:rFonts w:eastAsia="Verdana" w:cs="Verdana"/>
        </w:rPr>
        <w:t xml:space="preserve"> scale</w:t>
      </w:r>
      <w:r w:rsidRPr="000A7391" w:rsidR="3AD09D4D">
        <w:rPr>
          <w:rFonts w:eastAsia="Verdana" w:cs="Verdana"/>
        </w:rPr>
        <w:t>-</w:t>
      </w:r>
      <w:r w:rsidRPr="000A7391" w:rsidR="4B6B6A72">
        <w:rPr>
          <w:rFonts w:eastAsia="Verdana" w:cs="Verdana"/>
        </w:rPr>
        <w:t>ups</w:t>
      </w:r>
      <w:r w:rsidRPr="000A7391" w:rsidR="65B1ED78">
        <w:rPr>
          <w:rFonts w:eastAsia="Verdana" w:cs="Verdana"/>
        </w:rPr>
        <w:t xml:space="preserve"> in de Europese Unie</w:t>
      </w:r>
      <w:r w:rsidRPr="000A7391" w:rsidR="59B74809">
        <w:rPr>
          <w:rFonts w:eastAsia="Verdana" w:cs="Verdana"/>
        </w:rPr>
        <w:t xml:space="preserve">, zoals </w:t>
      </w:r>
      <w:r w:rsidRPr="7D4F93DB" w:rsidR="59B74809">
        <w:rPr>
          <w:rFonts w:eastAsia="Verdana" w:cs="Verdana"/>
        </w:rPr>
        <w:t>ook</w:t>
      </w:r>
      <w:r w:rsidRPr="7D4F93DB" w:rsidR="7426FF9D">
        <w:rPr>
          <w:rFonts w:eastAsia="Verdana" w:cs="Verdana"/>
        </w:rPr>
        <w:t xml:space="preserve"> </w:t>
      </w:r>
      <w:r w:rsidRPr="7D4F93DB" w:rsidR="00A33CFD">
        <w:rPr>
          <w:rFonts w:eastAsia="Verdana" w:cs="Verdana"/>
        </w:rPr>
        <w:t>is</w:t>
      </w:r>
      <w:r w:rsidR="00A33CFD">
        <w:rPr>
          <w:rFonts w:eastAsia="Verdana" w:cs="Verdana"/>
        </w:rPr>
        <w:t xml:space="preserve"> </w:t>
      </w:r>
      <w:r w:rsidRPr="000A7391" w:rsidR="59B74809">
        <w:rPr>
          <w:rFonts w:eastAsia="Verdana" w:cs="Verdana"/>
        </w:rPr>
        <w:t>geïdentificeerd in het Draghi-rapport</w:t>
      </w:r>
      <w:r w:rsidR="008E2A57">
        <w:rPr>
          <w:rFonts w:eastAsia="Verdana" w:cs="Verdana"/>
        </w:rPr>
        <w:t xml:space="preserve">. </w:t>
      </w:r>
    </w:p>
    <w:p w:rsidR="001A6AF9" w:rsidP="001C39DC" w:rsidRDefault="001A6AF9" w14:paraId="70BC5FEA" w14:textId="194B2E9C">
      <w:pPr>
        <w:rPr>
          <w:rFonts w:asciiTheme="minorHAnsi" w:hAnsiTheme="minorHAnsi"/>
          <w:sz w:val="22"/>
          <w:szCs w:val="18"/>
        </w:rPr>
      </w:pPr>
    </w:p>
    <w:p w:rsidRPr="005C65B5" w:rsidR="00591E4A" w:rsidP="001C39DC" w:rsidRDefault="00591E4A" w14:paraId="2272C85D" w14:textId="77777777"/>
    <w:p w:rsidRPr="005C65B5" w:rsidR="00C90702" w:rsidP="001C39DC" w:rsidRDefault="00C90702" w14:paraId="667958BE" w14:textId="77777777"/>
    <w:p w:rsidRPr="005C65B5" w:rsidR="00C90702" w:rsidP="001C39DC" w:rsidRDefault="00C90702" w14:paraId="527A8557" w14:textId="77777777"/>
    <w:p w:rsidRPr="00591E4A" w:rsidR="00C90702" w:rsidP="001C39DC" w:rsidRDefault="00804156" w14:paraId="415A31AC" w14:textId="30093410">
      <w:pPr>
        <w:rPr>
          <w:szCs w:val="18"/>
        </w:rPr>
      </w:pPr>
      <w:r>
        <w:rPr>
          <w:szCs w:val="18"/>
        </w:rPr>
        <w:t>Dirk Beljaarts</w:t>
      </w:r>
    </w:p>
    <w:p w:rsidR="00D20831" w:rsidP="001C39DC" w:rsidRDefault="00804156" w14:paraId="2940966E" w14:textId="7D136853">
      <w:r w:rsidRPr="005C65B5">
        <w:t>Minister van Economische Zaken</w:t>
      </w:r>
    </w:p>
    <w:p w:rsidR="00D20831" w:rsidP="001C39DC" w:rsidRDefault="00D20831" w14:paraId="6C963F65" w14:textId="77777777">
      <w:r>
        <w:br w:type="page"/>
      </w:r>
    </w:p>
    <w:p w:rsidR="004E505E" w:rsidP="001C39DC" w:rsidRDefault="00D20831" w14:paraId="1E675422" w14:textId="7275FCE9">
      <w:pPr>
        <w:rPr>
          <w:b/>
          <w:bCs/>
        </w:rPr>
      </w:pPr>
      <w:r w:rsidRPr="00D20831">
        <w:rPr>
          <w:b/>
          <w:bCs/>
        </w:rPr>
        <w:lastRenderedPageBreak/>
        <w:t>Inleiding</w:t>
      </w:r>
    </w:p>
    <w:p w:rsidRPr="00FA7109" w:rsidR="00834CA3" w:rsidP="001C39DC" w:rsidRDefault="00834CA3" w14:paraId="7783BD06" w14:textId="079FAB3C">
      <w:pPr>
        <w:jc w:val="both"/>
      </w:pPr>
      <w:r>
        <w:t xml:space="preserve">De Raad voor Concurrentievermogen (hierna: Raad) op 22 en 23 mei a.s. staat in het teken van drie onderdelen: 1. Interne markt en Industrie, 2. Onderzoek en Innovatie en 3. Ruimtevaart. Deze indeling wordt ook aangehouden in de geannoteerde agenda. </w:t>
      </w:r>
    </w:p>
    <w:p w:rsidR="00D20831" w:rsidP="001C39DC" w:rsidRDefault="00D20831" w14:paraId="7E4D2F31" w14:textId="77777777">
      <w:pPr>
        <w:rPr>
          <w:b/>
          <w:bCs/>
        </w:rPr>
      </w:pPr>
    </w:p>
    <w:p w:rsidR="00967256" w:rsidP="001C39DC" w:rsidRDefault="00967256" w14:paraId="30E026D7" w14:textId="194D851E">
      <w:pPr>
        <w:jc w:val="both"/>
        <w:rPr>
          <w:b/>
          <w:u w:val="single"/>
        </w:rPr>
      </w:pPr>
      <w:r w:rsidRPr="4E475091">
        <w:rPr>
          <w:b/>
          <w:u w:val="single"/>
        </w:rPr>
        <w:t>Interne markt en industrie (2</w:t>
      </w:r>
      <w:r>
        <w:rPr>
          <w:b/>
          <w:u w:val="single"/>
        </w:rPr>
        <w:t>2 mei</w:t>
      </w:r>
      <w:r w:rsidRPr="4E475091">
        <w:rPr>
          <w:b/>
          <w:u w:val="single"/>
        </w:rPr>
        <w:t xml:space="preserve"> 202</w:t>
      </w:r>
      <w:r>
        <w:rPr>
          <w:b/>
          <w:u w:val="single"/>
        </w:rPr>
        <w:t>5</w:t>
      </w:r>
      <w:r w:rsidRPr="4E475091">
        <w:rPr>
          <w:b/>
          <w:u w:val="single"/>
        </w:rPr>
        <w:t xml:space="preserve">) </w:t>
      </w:r>
    </w:p>
    <w:p w:rsidRPr="006C0DED" w:rsidR="006C0DED" w:rsidP="001C39DC" w:rsidRDefault="006C0DED" w14:paraId="46758341" w14:textId="77777777">
      <w:pPr>
        <w:jc w:val="both"/>
        <w:rPr>
          <w:bCs/>
          <w:u w:val="single"/>
        </w:rPr>
      </w:pPr>
    </w:p>
    <w:p w:rsidR="00275F31" w:rsidP="001C39DC" w:rsidRDefault="00275F31" w14:paraId="79826B51" w14:textId="27ED8053">
      <w:pPr>
        <w:pStyle w:val="Spreekpunten"/>
        <w:numPr>
          <w:ilvl w:val="0"/>
          <w:numId w:val="0"/>
        </w:numPr>
        <w:spacing w:line="240" w:lineRule="atLeast"/>
        <w:rPr>
          <w:b/>
          <w:bCs/>
        </w:rPr>
      </w:pPr>
      <w:r w:rsidRPr="00275F31">
        <w:rPr>
          <w:b/>
          <w:bCs/>
        </w:rPr>
        <w:t xml:space="preserve">Het bevorderen van concurrentievermogen: hoe EU beleid beter aan te laten sluiten op traditioneel sterke industrieën </w:t>
      </w:r>
    </w:p>
    <w:p w:rsidR="00275F31" w:rsidP="001C39DC" w:rsidRDefault="00275F31" w14:paraId="0AA0E7FE" w14:textId="77777777">
      <w:pPr>
        <w:rPr>
          <w:i/>
          <w:iCs/>
        </w:rPr>
      </w:pPr>
      <w:r w:rsidRPr="00AD6952">
        <w:rPr>
          <w:i/>
          <w:iCs/>
        </w:rPr>
        <w:t>(Beleidsdebat)</w:t>
      </w:r>
    </w:p>
    <w:p w:rsidR="00275F31" w:rsidP="001C39DC" w:rsidRDefault="00275F31" w14:paraId="352DFD08" w14:textId="77777777">
      <w:pPr>
        <w:rPr>
          <w:szCs w:val="18"/>
        </w:rPr>
      </w:pPr>
    </w:p>
    <w:p w:rsidRPr="005540E5" w:rsidR="005540E5" w:rsidP="001C39DC" w:rsidRDefault="005540E5" w14:paraId="29833065" w14:textId="58348700">
      <w:pPr>
        <w:rPr>
          <w:i/>
          <w:iCs/>
          <w:szCs w:val="18"/>
        </w:rPr>
      </w:pPr>
      <w:r w:rsidRPr="005540E5">
        <w:rPr>
          <w:i/>
          <w:iCs/>
          <w:szCs w:val="18"/>
        </w:rPr>
        <w:t>Toelichting agendapunt</w:t>
      </w:r>
    </w:p>
    <w:p w:rsidR="00275F31" w:rsidP="001C39DC" w:rsidRDefault="00275F31" w14:paraId="4050DF7E" w14:textId="32245640">
      <w:r w:rsidRPr="7D4F93DB">
        <w:t xml:space="preserve">Tijdens de Raad voor Concurrentievermogen wordt gesproken over de Clean Industrial Deal </w:t>
      </w:r>
      <w:r w:rsidRPr="7D4F93DB" w:rsidR="008A236C">
        <w:t xml:space="preserve">(CID) </w:t>
      </w:r>
      <w:r w:rsidRPr="7D4F93DB">
        <w:t xml:space="preserve">en hoe deze kan bijdragen aan het versterken van de positie van de Europese industrie. Op het moment van schrijven is de exacte strekking van het agendapunt nog niet bekend. </w:t>
      </w:r>
      <w:r w:rsidRPr="7D4F93DB" w:rsidR="00EC10C9">
        <w:t xml:space="preserve">Nederland zal, </w:t>
      </w:r>
      <w:r w:rsidRPr="7D4F93DB" w:rsidR="003A7B5A">
        <w:t>conform</w:t>
      </w:r>
      <w:r w:rsidRPr="00D93217" w:rsidR="00D93217">
        <w:rPr>
          <w:szCs w:val="18"/>
        </w:rPr>
        <w:t xml:space="preserve"> </w:t>
      </w:r>
      <w:r w:rsidRPr="7D4F93DB">
        <w:t>de Kamerbrief EU concurrentievermogen</w:t>
      </w:r>
      <w:r w:rsidRPr="7D4F93DB">
        <w:rPr>
          <w:rStyle w:val="Voetnootmarkering"/>
        </w:rPr>
        <w:footnoteReference w:id="2"/>
      </w:r>
      <w:r w:rsidRPr="7D4F93DB">
        <w:t xml:space="preserve"> en het BNC fiche</w:t>
      </w:r>
      <w:r w:rsidRPr="7D4F93DB">
        <w:rPr>
          <w:rStyle w:val="Voetnootmarkering"/>
        </w:rPr>
        <w:footnoteReference w:id="3"/>
      </w:r>
      <w:r w:rsidRPr="7D4F93DB">
        <w:t xml:space="preserve"> over de CID-mededeling, het belang van het versterken van de concurrentiepositie, het vergroten van de weerbaarheid en het bevorderen van de verduurzaming van de Europese en Nederlandse (energie-intensieve) industrie</w:t>
      </w:r>
      <w:r w:rsidRPr="00D93217" w:rsidR="003A7B5A">
        <w:rPr>
          <w:szCs w:val="18"/>
        </w:rPr>
        <w:t xml:space="preserve"> </w:t>
      </w:r>
      <w:r w:rsidRPr="7D4F93DB" w:rsidR="003D24A3">
        <w:t>uitdragen</w:t>
      </w:r>
      <w:r w:rsidRPr="7D4F93DB">
        <w:t xml:space="preserve">. Tegen de achtergrond van toenemende geopolitieke spanningen is het daarbij essentieel om zowel de uitdagingen van de bestaande (energie-intensieve) industrie het hoofd te bieden als </w:t>
      </w:r>
      <w:r w:rsidRPr="7D4F93DB" w:rsidR="00446F0F">
        <w:t xml:space="preserve">om </w:t>
      </w:r>
      <w:r w:rsidRPr="7D4F93DB">
        <w:t xml:space="preserve">volop in te zetten op de kansen die de ontwikkeling en transitie naar nieuwe strategische industrieën biedt. Versterking van de Nederlandse en Europese industrie is noodzakelijk om strategische afhankelijkheden te verminderen, de leveringszekerheid van kritieke grondstoffen te borgen en sterke posities in strategische waardeketens te verankeren, </w:t>
      </w:r>
      <w:r w:rsidRPr="7D4F93DB" w:rsidR="00847E16">
        <w:t>om de</w:t>
      </w:r>
      <w:r w:rsidRPr="7D4F93DB">
        <w:t xml:space="preserve"> economische weerbaarheid van Nederland en de EU</w:t>
      </w:r>
      <w:r w:rsidRPr="7D4F93DB" w:rsidR="00847E16">
        <w:t xml:space="preserve"> te versterken.</w:t>
      </w:r>
    </w:p>
    <w:p w:rsidR="00275F31" w:rsidP="001C39DC" w:rsidRDefault="00275F31" w14:paraId="799AB877" w14:textId="77777777">
      <w:pPr>
        <w:rPr>
          <w:szCs w:val="18"/>
        </w:rPr>
      </w:pPr>
    </w:p>
    <w:p w:rsidRPr="005540E5" w:rsidR="005540E5" w:rsidP="001C39DC" w:rsidRDefault="005540E5" w14:paraId="6F816732" w14:textId="77777777">
      <w:pPr>
        <w:rPr>
          <w:i/>
        </w:rPr>
      </w:pPr>
      <w:r w:rsidRPr="5D73D61F">
        <w:rPr>
          <w:i/>
        </w:rPr>
        <w:t>Nederlandse positie</w:t>
      </w:r>
    </w:p>
    <w:p w:rsidR="00275F31" w:rsidP="001C39DC" w:rsidRDefault="00275F31" w14:paraId="3FA3A950" w14:textId="074600A2">
      <w:r w:rsidRPr="7D4F93DB">
        <w:t>Het kabinet onderschrijft de drie ambities van de EU voor 2050: klimaatneutraliteit, nul-vervuiling en een circulaire economie; met deze ambities maken we de industrie toekomstbestendig. Voor dit alles is een stevig uitvoeringspakket nodig om zowel knelpunten in de uitvoering op te lossen als om alles uitvoerbaar te houden voor bedrijven en medeoverheden (in lijn met de motie Erkens</w:t>
      </w:r>
      <w:r w:rsidRPr="7D4F93DB" w:rsidR="007038B9">
        <w:rPr>
          <w:rStyle w:val="Voetnootmarkering"/>
        </w:rPr>
        <w:footnoteReference w:id="4"/>
      </w:r>
      <w:r w:rsidRPr="007038B9">
        <w:rPr>
          <w:szCs w:val="18"/>
        </w:rPr>
        <w:t>).</w:t>
      </w:r>
    </w:p>
    <w:p w:rsidR="00275F31" w:rsidP="001C39DC" w:rsidRDefault="00275F31" w14:paraId="04A3341D" w14:textId="2452B4A5"/>
    <w:p w:rsidRPr="009A797C" w:rsidR="00275F31" w:rsidP="001C39DC" w:rsidRDefault="00275F31" w14:paraId="0412EC0B" w14:textId="1FB7A73F">
      <w:pPr>
        <w:rPr>
          <w:szCs w:val="18"/>
        </w:rPr>
      </w:pPr>
      <w:r>
        <w:rPr>
          <w:szCs w:val="18"/>
        </w:rPr>
        <w:t xml:space="preserve">Tijdens de Raad voor Concurrentievermogen zal </w:t>
      </w:r>
      <w:r w:rsidR="007812FA">
        <w:rPr>
          <w:szCs w:val="18"/>
        </w:rPr>
        <w:t>N</w:t>
      </w:r>
      <w:r w:rsidR="006968F6">
        <w:rPr>
          <w:szCs w:val="18"/>
        </w:rPr>
        <w:t>e</w:t>
      </w:r>
      <w:r w:rsidR="007812FA">
        <w:rPr>
          <w:szCs w:val="18"/>
        </w:rPr>
        <w:t>derland</w:t>
      </w:r>
      <w:r>
        <w:rPr>
          <w:szCs w:val="18"/>
        </w:rPr>
        <w:t xml:space="preserve"> het belang van een integrale benadering voor onze industrie</w:t>
      </w:r>
      <w:r w:rsidR="00B47169">
        <w:rPr>
          <w:szCs w:val="18"/>
        </w:rPr>
        <w:t xml:space="preserve"> </w:t>
      </w:r>
      <w:r w:rsidR="006968F6">
        <w:rPr>
          <w:szCs w:val="18"/>
        </w:rPr>
        <w:t>benadrukken</w:t>
      </w:r>
      <w:r>
        <w:rPr>
          <w:szCs w:val="18"/>
        </w:rPr>
        <w:t xml:space="preserve">: de focus moet liggen op </w:t>
      </w:r>
      <w:r w:rsidR="006968F6">
        <w:rPr>
          <w:szCs w:val="18"/>
        </w:rPr>
        <w:t xml:space="preserve">het </w:t>
      </w:r>
      <w:r>
        <w:rPr>
          <w:szCs w:val="18"/>
        </w:rPr>
        <w:t xml:space="preserve">versterken van concurrentievermogen en weerbaarheid van onze industrieën, maar ook </w:t>
      </w:r>
      <w:r w:rsidR="00B47169">
        <w:rPr>
          <w:szCs w:val="18"/>
        </w:rPr>
        <w:t>op</w:t>
      </w:r>
      <w:r>
        <w:rPr>
          <w:szCs w:val="18"/>
        </w:rPr>
        <w:t xml:space="preserve"> het versnellen van decarbonisatie.</w:t>
      </w:r>
      <w:r w:rsidR="00D93217">
        <w:rPr>
          <w:szCs w:val="18"/>
        </w:rPr>
        <w:t xml:space="preserve"> </w:t>
      </w:r>
      <w:r w:rsidR="0004004A">
        <w:rPr>
          <w:szCs w:val="18"/>
        </w:rPr>
        <w:t xml:space="preserve">Een </w:t>
      </w:r>
      <w:r>
        <w:rPr>
          <w:szCs w:val="18"/>
        </w:rPr>
        <w:t xml:space="preserve">aantal zaken </w:t>
      </w:r>
      <w:r w:rsidR="00D97BCA">
        <w:rPr>
          <w:szCs w:val="18"/>
        </w:rPr>
        <w:t>wor</w:t>
      </w:r>
      <w:r w:rsidR="00D93217">
        <w:rPr>
          <w:szCs w:val="18"/>
        </w:rPr>
        <w:t>dt</w:t>
      </w:r>
      <w:r w:rsidR="00D97BCA">
        <w:rPr>
          <w:szCs w:val="18"/>
        </w:rPr>
        <w:t xml:space="preserve"> </w:t>
      </w:r>
      <w:r w:rsidR="00B47169">
        <w:rPr>
          <w:szCs w:val="18"/>
        </w:rPr>
        <w:t>benadrukt</w:t>
      </w:r>
      <w:r>
        <w:rPr>
          <w:szCs w:val="18"/>
        </w:rPr>
        <w:t>, zoals</w:t>
      </w:r>
      <w:r w:rsidR="006C3836">
        <w:rPr>
          <w:szCs w:val="18"/>
        </w:rPr>
        <w:t xml:space="preserve"> het</w:t>
      </w:r>
      <w:r>
        <w:rPr>
          <w:szCs w:val="18"/>
        </w:rPr>
        <w:t xml:space="preserve"> versnellen en stroomlijnen </w:t>
      </w:r>
      <w:r w:rsidR="00764014">
        <w:rPr>
          <w:szCs w:val="18"/>
        </w:rPr>
        <w:t xml:space="preserve">van </w:t>
      </w:r>
      <w:r>
        <w:rPr>
          <w:szCs w:val="18"/>
        </w:rPr>
        <w:t xml:space="preserve">vergunningprocedures, beschikbaarheid </w:t>
      </w:r>
      <w:r w:rsidRPr="006901E8">
        <w:rPr>
          <w:szCs w:val="18"/>
        </w:rPr>
        <w:t xml:space="preserve">van publieke en private financiering, leveringszekerheid van kritieke grondstoffen, </w:t>
      </w:r>
      <w:r>
        <w:rPr>
          <w:szCs w:val="18"/>
        </w:rPr>
        <w:t xml:space="preserve">een gelijk speelveld voor energieprijzen, </w:t>
      </w:r>
      <w:r w:rsidRPr="006901E8">
        <w:rPr>
          <w:szCs w:val="18"/>
        </w:rPr>
        <w:t>het stimuleren van de vraag naar duurzame biogrondstoffen</w:t>
      </w:r>
      <w:r>
        <w:rPr>
          <w:szCs w:val="18"/>
        </w:rPr>
        <w:t xml:space="preserve"> en </w:t>
      </w:r>
      <w:r w:rsidRPr="006901E8">
        <w:rPr>
          <w:szCs w:val="18"/>
        </w:rPr>
        <w:t>groene marktcreatie</w:t>
      </w:r>
      <w:r>
        <w:rPr>
          <w:szCs w:val="18"/>
        </w:rPr>
        <w:t xml:space="preserve">. </w:t>
      </w:r>
      <w:r w:rsidR="00D97BCA">
        <w:rPr>
          <w:szCs w:val="18"/>
        </w:rPr>
        <w:t xml:space="preserve">Ook zal </w:t>
      </w:r>
      <w:r w:rsidR="008A75CD">
        <w:rPr>
          <w:szCs w:val="18"/>
        </w:rPr>
        <w:t>de</w:t>
      </w:r>
      <w:r>
        <w:rPr>
          <w:szCs w:val="18"/>
        </w:rPr>
        <w:t xml:space="preserve"> belangrijke rol van Nederland in industriële ecosystemen naar voren </w:t>
      </w:r>
      <w:r w:rsidR="008A75CD">
        <w:rPr>
          <w:szCs w:val="18"/>
        </w:rPr>
        <w:t xml:space="preserve">worden </w:t>
      </w:r>
      <w:r w:rsidR="00764014">
        <w:rPr>
          <w:szCs w:val="18"/>
        </w:rPr>
        <w:t>gebracht</w:t>
      </w:r>
      <w:r w:rsidR="008A75CD">
        <w:rPr>
          <w:szCs w:val="18"/>
        </w:rPr>
        <w:t>.</w:t>
      </w:r>
      <w:r>
        <w:rPr>
          <w:szCs w:val="18"/>
        </w:rPr>
        <w:t xml:space="preserve"> </w:t>
      </w:r>
      <w:r w:rsidRPr="006901E8">
        <w:rPr>
          <w:szCs w:val="18"/>
        </w:rPr>
        <w:t xml:space="preserve">Veel Nederlandse industrieën hebben specialistische productiekennis, </w:t>
      </w:r>
      <w:r>
        <w:rPr>
          <w:szCs w:val="18"/>
        </w:rPr>
        <w:t xml:space="preserve">en spelen een cruciale rol als toeleverancier binnen strategische waardeketens. </w:t>
      </w:r>
    </w:p>
    <w:p w:rsidR="00275F31" w:rsidP="001C39DC" w:rsidRDefault="00275F31" w14:paraId="64F61B9D" w14:textId="77777777">
      <w:pPr>
        <w:rPr>
          <w:szCs w:val="18"/>
        </w:rPr>
      </w:pPr>
    </w:p>
    <w:p w:rsidRPr="005540E5" w:rsidR="005540E5" w:rsidP="001C39DC" w:rsidRDefault="005540E5" w14:paraId="03995B5E" w14:textId="150C3F1A">
      <w:pPr>
        <w:rPr>
          <w:i/>
          <w:iCs/>
          <w:szCs w:val="18"/>
        </w:rPr>
      </w:pPr>
      <w:r w:rsidRPr="005540E5">
        <w:rPr>
          <w:i/>
          <w:iCs/>
          <w:szCs w:val="18"/>
        </w:rPr>
        <w:t>Krachtenveld</w:t>
      </w:r>
    </w:p>
    <w:p w:rsidRPr="009B52EC" w:rsidR="00275F31" w:rsidP="001C39DC" w:rsidRDefault="00275F31" w14:paraId="7DBAA8E9" w14:textId="75F6AC91">
      <w:pPr>
        <w:rPr>
          <w:szCs w:val="18"/>
        </w:rPr>
      </w:pPr>
      <w:r w:rsidRPr="009B52EC">
        <w:rPr>
          <w:szCs w:val="18"/>
        </w:rPr>
        <w:t xml:space="preserve">Er is consensus onder de lidstaten over de noodzaak om het Europees concurrentievermogen van de industrie actief te versterken. Verschillen tussen lidstaten zijn er met name in de mate waarin en manier waarop het concurrentievermogen versterkt </w:t>
      </w:r>
      <w:r w:rsidR="009F10B6">
        <w:rPr>
          <w:szCs w:val="18"/>
        </w:rPr>
        <w:t xml:space="preserve">moet </w:t>
      </w:r>
      <w:r w:rsidRPr="009B52EC">
        <w:rPr>
          <w:szCs w:val="18"/>
        </w:rPr>
        <w:t xml:space="preserve">worden. Ook leek er initieel </w:t>
      </w:r>
      <w:r w:rsidR="00FA3890">
        <w:rPr>
          <w:szCs w:val="18"/>
        </w:rPr>
        <w:t>een</w:t>
      </w:r>
      <w:r w:rsidRPr="009B52EC">
        <w:rPr>
          <w:szCs w:val="18"/>
        </w:rPr>
        <w:t xml:space="preserve"> tweedeling te ontstaan met betrekking tot de mate waarin klimaatambities en </w:t>
      </w:r>
    </w:p>
    <w:p w:rsidRPr="006901E8" w:rsidR="00275F31" w:rsidP="001C39DC" w:rsidRDefault="00275F31" w14:paraId="730481E3" w14:textId="34F850D3">
      <w:r>
        <w:t xml:space="preserve">concurrentiekracht elkaar zouden versterken dan wel tegenwerken. De Commissie houdt met </w:t>
      </w:r>
      <w:r w:rsidR="007A3C03">
        <w:t>de CID</w:t>
      </w:r>
      <w:r>
        <w:t xml:space="preserve">, net als het kabinet, </w:t>
      </w:r>
      <w:r w:rsidR="007D45E3">
        <w:t xml:space="preserve">vast aan de </w:t>
      </w:r>
      <w:r w:rsidR="007A3C03">
        <w:t>benadering dat klimaatambities en concurrentiekracht elkaar versterken</w:t>
      </w:r>
      <w:r>
        <w:t xml:space="preserve">. Tijdens de Raad hoopt het kabinet een </w:t>
      </w:r>
      <w:r w:rsidR="00580928">
        <w:t xml:space="preserve">(nog) </w:t>
      </w:r>
      <w:r>
        <w:t xml:space="preserve">beter beeld te krijgen van de prioriteiten van de verschillende lidstaten </w:t>
      </w:r>
      <w:r w:rsidR="00580928">
        <w:t>ove</w:t>
      </w:r>
      <w:r w:rsidR="00023244">
        <w:t xml:space="preserve">r </w:t>
      </w:r>
      <w:r>
        <w:t xml:space="preserve">de CID. </w:t>
      </w:r>
    </w:p>
    <w:p w:rsidRPr="00275F31" w:rsidR="00275F31" w:rsidP="001C39DC" w:rsidRDefault="00275F31" w14:paraId="61DC8B6D" w14:textId="77777777">
      <w:pPr>
        <w:rPr>
          <w:b/>
          <w:bCs/>
        </w:rPr>
      </w:pPr>
    </w:p>
    <w:p w:rsidRPr="00FF3E90" w:rsidR="00FF3E90" w:rsidP="001C39DC" w:rsidRDefault="00FF3E90" w14:paraId="2A6AECE6" w14:textId="009BAC67">
      <w:pPr>
        <w:pStyle w:val="Spreekpunten"/>
        <w:numPr>
          <w:ilvl w:val="0"/>
          <w:numId w:val="0"/>
        </w:numPr>
        <w:spacing w:line="240" w:lineRule="atLeast"/>
        <w:rPr>
          <w:b/>
          <w:bCs/>
        </w:rPr>
      </w:pPr>
      <w:r w:rsidRPr="00FF3E90">
        <w:rPr>
          <w:b/>
          <w:bCs/>
          <w:szCs w:val="18"/>
        </w:rPr>
        <w:t xml:space="preserve">De Raad als bureaucratische filter - hoe bedrijfsvriendelijke regelgeving te bereiken tijdens het wetgevingsproces vanaf het allereerste begin </w:t>
      </w:r>
    </w:p>
    <w:p w:rsidR="00D20831" w:rsidP="001C39DC" w:rsidRDefault="00AD6952" w14:paraId="241AD065" w14:textId="10E5D20D">
      <w:pPr>
        <w:rPr>
          <w:i/>
          <w:iCs/>
        </w:rPr>
      </w:pPr>
      <w:r w:rsidRPr="00AD6952">
        <w:rPr>
          <w:i/>
          <w:iCs/>
        </w:rPr>
        <w:t>(Beleidsdebat)</w:t>
      </w:r>
    </w:p>
    <w:p w:rsidR="009E6798" w:rsidP="001C39DC" w:rsidRDefault="009E6798" w14:paraId="44322394" w14:textId="77777777">
      <w:pPr>
        <w:rPr>
          <w:i/>
          <w:iCs/>
        </w:rPr>
      </w:pPr>
    </w:p>
    <w:p w:rsidRPr="00455CCA" w:rsidR="007E5758" w:rsidP="001C39DC" w:rsidRDefault="000A7391" w14:paraId="30B2FEBE" w14:textId="24769AE6">
      <w:r w:rsidRPr="12E66815">
        <w:rPr>
          <w:i/>
        </w:rPr>
        <w:t>Toelichting agendapunt</w:t>
      </w:r>
      <w:r w:rsidR="00724760">
        <w:br/>
      </w:r>
      <w:r w:rsidR="00ED0C8B">
        <w:t xml:space="preserve">De Europese Commissie voert onder de naam “Betere Regelgeving” beleid om regeldruk te verminderen en benadrukt al jaren dat ook de Raad als medewetgever op dit thema een belangrijke verantwoordelijkheid draagt. Concreet zou de Commissie graag zien dat de Raad de mogelijke effecten van substantiële amendementen die de Raad </w:t>
      </w:r>
      <w:r w:rsidRPr="0090385B" w:rsidR="00ED0C8B">
        <w:t xml:space="preserve">overweegt aan te nemen in kaart brengt en deze effecten meeweegt in de besluitvorming. Tot op heden heeft de Raad </w:t>
      </w:r>
      <w:r w:rsidRPr="007E5758" w:rsidR="035A3597">
        <w:t>die rol niet opgepakt</w:t>
      </w:r>
      <w:r w:rsidRPr="007E5758" w:rsidR="00ED0C8B">
        <w:t>.</w:t>
      </w:r>
      <w:r w:rsidRPr="0090385B" w:rsidR="00ED0C8B">
        <w:t xml:space="preserve"> Het Pools voorzitterschap</w:t>
      </w:r>
      <w:r w:rsidR="00ED0C8B">
        <w:t xml:space="preserve"> wil hier graag verandering in brengen en doet daartoe een aanzet met een gedachtewisseling over hoe de Raad in het wetgevingsproces een bijdrage kan leveren aan het verminderen van regeldruk.</w:t>
      </w:r>
    </w:p>
    <w:p w:rsidR="00ED0C8B" w:rsidP="001C39DC" w:rsidRDefault="00ED0C8B" w14:paraId="568E51E6" w14:textId="77777777">
      <w:pPr>
        <w:rPr>
          <w:szCs w:val="18"/>
          <w:u w:val="single"/>
        </w:rPr>
      </w:pPr>
    </w:p>
    <w:p w:rsidR="00ED0C8B" w:rsidP="001C39DC" w:rsidRDefault="00ED0C8B" w14:paraId="334E9578" w14:textId="70B8BF31">
      <w:pPr>
        <w:rPr>
          <w:szCs w:val="18"/>
        </w:rPr>
      </w:pPr>
      <w:r w:rsidRPr="00ED0C8B">
        <w:rPr>
          <w:i/>
          <w:iCs/>
          <w:szCs w:val="18"/>
        </w:rPr>
        <w:t>N</w:t>
      </w:r>
      <w:r>
        <w:rPr>
          <w:i/>
          <w:iCs/>
          <w:szCs w:val="18"/>
        </w:rPr>
        <w:t xml:space="preserve">ederlandse </w:t>
      </w:r>
      <w:r w:rsidRPr="00ED0C8B">
        <w:rPr>
          <w:i/>
          <w:iCs/>
          <w:szCs w:val="18"/>
        </w:rPr>
        <w:t>positie</w:t>
      </w:r>
    </w:p>
    <w:p w:rsidR="00ED0C8B" w:rsidP="001C39DC" w:rsidRDefault="00ED0C8B" w14:paraId="23301761" w14:textId="6C3D8A86">
      <w:r>
        <w:t xml:space="preserve">Het kabinet vindt dat </w:t>
      </w:r>
      <w:r w:rsidR="00E65ADE">
        <w:t>d</w:t>
      </w:r>
      <w:r>
        <w:t xml:space="preserve">e Raad </w:t>
      </w:r>
      <w:r w:rsidR="4F3210B8">
        <w:t>een</w:t>
      </w:r>
      <w:r>
        <w:t xml:space="preserve"> verantwoordelijkheid </w:t>
      </w:r>
      <w:r w:rsidR="669F5F0F">
        <w:t>heeft in het verminderen van regeldruk</w:t>
      </w:r>
      <w:r>
        <w:t xml:space="preserve"> en dat </w:t>
      </w:r>
      <w:r w:rsidR="4758F628">
        <w:t>het in kaart brengen van</w:t>
      </w:r>
      <w:r>
        <w:t xml:space="preserve"> regeldrukeffecten van voorgenomen amendementen </w:t>
      </w:r>
      <w:r w:rsidR="2E750162">
        <w:t>daaraan kan bijdragen</w:t>
      </w:r>
      <w:r>
        <w:t>.</w:t>
      </w:r>
      <w:r w:rsidR="0084383B">
        <w:t xml:space="preserve"> Hiervoor zal Nederland in bepleiten dat de Europese Commissie haar eerdere impact assessment actualiseert. Dit moet gebeuren in het licht van </w:t>
      </w:r>
      <w:r w:rsidR="7888572A">
        <w:t>een</w:t>
      </w:r>
      <w:r w:rsidR="00A07953">
        <w:t xml:space="preserve"> </w:t>
      </w:r>
      <w:r w:rsidR="00E65ADE">
        <w:t>amendement</w:t>
      </w:r>
      <w:r w:rsidR="00A07953">
        <w:t xml:space="preserve"> dat </w:t>
      </w:r>
      <w:r w:rsidR="0084383B">
        <w:t xml:space="preserve">de Raad overweegt aan te brengen in het oorspronkelijke voorstel. </w:t>
      </w:r>
      <w:r w:rsidR="0078353E">
        <w:t xml:space="preserve">Als er geen impact assessment is, is het </w:t>
      </w:r>
      <w:r w:rsidR="0084383B">
        <w:t>alternatief dat de Raad zelf onderzoek uitvoert naar één of meerdere aspecten van een voorgesteld</w:t>
      </w:r>
      <w:r w:rsidR="00423C98">
        <w:t xml:space="preserve"> amendement</w:t>
      </w:r>
      <w:r w:rsidR="0084383B">
        <w:t xml:space="preserve">. </w:t>
      </w:r>
      <w:r w:rsidR="00423C98">
        <w:t xml:space="preserve">Als het </w:t>
      </w:r>
      <w:r>
        <w:t>nodig</w:t>
      </w:r>
      <w:r w:rsidR="00423C98">
        <w:t xml:space="preserve"> is</w:t>
      </w:r>
      <w:r>
        <w:t xml:space="preserve"> om een beeld te krijgen van de regeldrukeffecten voor Nederland, zal </w:t>
      </w:r>
      <w:r w:rsidR="00E65ADE">
        <w:t xml:space="preserve">het kabinet </w:t>
      </w:r>
      <w:r>
        <w:t xml:space="preserve">zelf actie ondernemen in de vorm van bijvoorbeeld een </w:t>
      </w:r>
      <w:r w:rsidR="00571041">
        <w:t>mkb</w:t>
      </w:r>
      <w:r>
        <w:t xml:space="preserve">-toets of een onderzoek naar één of meerdere aspecten van een bepaald voorstel. </w:t>
      </w:r>
    </w:p>
    <w:p w:rsidR="002A64F2" w:rsidP="001C39DC" w:rsidRDefault="002A64F2" w14:paraId="1BB43079" w14:textId="77777777">
      <w:pPr>
        <w:rPr>
          <w:szCs w:val="18"/>
        </w:rPr>
      </w:pPr>
    </w:p>
    <w:p w:rsidR="002A64F2" w:rsidP="001C39DC" w:rsidRDefault="002A64F2" w14:paraId="6DF99213" w14:textId="4F0F5EC9">
      <w:pPr>
        <w:rPr>
          <w:szCs w:val="18"/>
        </w:rPr>
      </w:pPr>
      <w:r>
        <w:rPr>
          <w:szCs w:val="18"/>
        </w:rPr>
        <w:t>Zo is in het Actieprogramma Minder Druk Met Regels</w:t>
      </w:r>
      <w:r>
        <w:rPr>
          <w:rStyle w:val="Voetnootmarkering"/>
          <w:szCs w:val="18"/>
        </w:rPr>
        <w:footnoteReference w:id="5"/>
      </w:r>
      <w:r>
        <w:rPr>
          <w:szCs w:val="18"/>
        </w:rPr>
        <w:t xml:space="preserve"> aangekondigd dat het kabinet bij het beoordelen van voorstellen voor EU-regelgeving, nadrukkelijker wil stilstaan bij de regeldrukeffecten en die ook zwaarder wil laten meewegen in de standpuntbepalingen en onderhandelingen over EU-regelgeving. De beoogde nieuwe rol van het Adviescollege Toetsing Regeldruk bij de totstandkoming van BNC-fiches, zal hieraan een positieve bijdrage leveren.</w:t>
      </w:r>
    </w:p>
    <w:p w:rsidR="00ED0C8B" w:rsidP="001C39DC" w:rsidRDefault="00ED0C8B" w14:paraId="32FF512B" w14:textId="77777777">
      <w:pPr>
        <w:rPr>
          <w:szCs w:val="18"/>
          <w:u w:val="single"/>
        </w:rPr>
      </w:pPr>
    </w:p>
    <w:p w:rsidRPr="00ED0C8B" w:rsidR="00ED0C8B" w:rsidP="001C39DC" w:rsidRDefault="00ED0C8B" w14:paraId="06FDA368" w14:textId="01A85CDE">
      <w:pPr>
        <w:rPr>
          <w:i/>
          <w:iCs/>
          <w:szCs w:val="18"/>
        </w:rPr>
      </w:pPr>
      <w:r w:rsidRPr="00ED0C8B">
        <w:rPr>
          <w:i/>
          <w:iCs/>
          <w:szCs w:val="18"/>
        </w:rPr>
        <w:t>Krachtenveld</w:t>
      </w:r>
    </w:p>
    <w:p w:rsidR="00ED0C8B" w:rsidP="001C39DC" w:rsidRDefault="00ED0C8B" w14:paraId="4B7284FA" w14:textId="7CDD8315">
      <w:r w:rsidRPr="23B2565D">
        <w:t>In het Interinstitutioneel Akkoord Beter Wetgeven</w:t>
      </w:r>
      <w:r w:rsidRPr="23B2565D">
        <w:rPr>
          <w:rStyle w:val="Voetnootmarkering"/>
        </w:rPr>
        <w:footnoteReference w:id="6"/>
      </w:r>
      <w:r w:rsidRPr="23B2565D">
        <w:t xml:space="preserve"> heeft de Raad erkend een verantwoordelijkheid te dragen om “wanneer dit passend en noodzakelijk wordt geacht voor het wetgevingsproces” effecten in kaart te </w:t>
      </w:r>
      <w:r w:rsidRPr="23B2565D" w:rsidR="004B467D">
        <w:t xml:space="preserve">zullen </w:t>
      </w:r>
      <w:r w:rsidRPr="23B2565D">
        <w:t>brengen van substantiële amendementen. Dit voornemen is ook bekrachtigd in Raadsconclusies</w:t>
      </w:r>
      <w:r w:rsidRPr="23B2565D">
        <w:rPr>
          <w:rStyle w:val="Voetnootmarkering"/>
        </w:rPr>
        <w:footnoteReference w:id="7"/>
      </w:r>
      <w:r w:rsidRPr="23B2565D">
        <w:t xml:space="preserve"> en er is door de Raad via onder andere een pilot de afgelopen jaren geprobeerd om praktische ervaring op te doen. Dit heeft </w:t>
      </w:r>
      <w:r w:rsidRPr="23B2565D" w:rsidR="1CDA106F">
        <w:t>niet tot concrete resultaten geleid</w:t>
      </w:r>
      <w:r w:rsidRPr="23B2565D">
        <w:t>. Ook Letta</w:t>
      </w:r>
      <w:r w:rsidRPr="23B2565D">
        <w:rPr>
          <w:rStyle w:val="Voetnootmarkering"/>
        </w:rPr>
        <w:footnoteReference w:id="8"/>
      </w:r>
      <w:r w:rsidRPr="23B2565D">
        <w:t xml:space="preserve"> en Draghi</w:t>
      </w:r>
      <w:r w:rsidRPr="23B2565D">
        <w:rPr>
          <w:rStyle w:val="Voetnootmarkering"/>
        </w:rPr>
        <w:footnoteReference w:id="9"/>
      </w:r>
      <w:r w:rsidRPr="23B2565D">
        <w:t xml:space="preserve"> hebben in hun rapporten over de interne markt en het concurrentievermogen van de EU gewezen op het belang van het in kaart brengen van de regeldrukeffecten door de Raad.</w:t>
      </w:r>
      <w:r w:rsidR="00F54F52">
        <w:t xml:space="preserve"> </w:t>
      </w:r>
      <w:r w:rsidR="00D97925">
        <w:t xml:space="preserve">Het in kaart brengen van effecten lijkt </w:t>
      </w:r>
      <w:r w:rsidR="003E6016">
        <w:t xml:space="preserve">in de praktijk </w:t>
      </w:r>
      <w:r w:rsidRPr="00F54F52" w:rsidR="00D97925">
        <w:t xml:space="preserve">vaak </w:t>
      </w:r>
      <w:r w:rsidR="00D97925">
        <w:t>vooral te worden gezien als iets dat het wetgevingsproces vertraagt en de besluitvorming compliceert</w:t>
      </w:r>
      <w:r w:rsidR="00272240">
        <w:t>.</w:t>
      </w:r>
    </w:p>
    <w:p w:rsidR="009E6798" w:rsidP="001C39DC" w:rsidRDefault="009E6798" w14:paraId="7766C445" w14:textId="77777777">
      <w:pPr>
        <w:rPr>
          <w:b/>
          <w:bCs/>
        </w:rPr>
      </w:pPr>
    </w:p>
    <w:p w:rsidR="00277F9D" w:rsidP="001C39DC" w:rsidRDefault="00277F9D" w14:paraId="0095FD68" w14:textId="77777777">
      <w:pPr>
        <w:pStyle w:val="Spreekpunten"/>
        <w:numPr>
          <w:ilvl w:val="0"/>
          <w:numId w:val="0"/>
        </w:numPr>
        <w:spacing w:line="240" w:lineRule="atLeast"/>
        <w:rPr>
          <w:b/>
          <w:bCs/>
        </w:rPr>
      </w:pPr>
      <w:r w:rsidRPr="00277F9D">
        <w:rPr>
          <w:b/>
          <w:bCs/>
        </w:rPr>
        <w:t>Publiek aanbesteden: strategische doelen</w:t>
      </w:r>
    </w:p>
    <w:p w:rsidRPr="005C4397" w:rsidR="32688E19" w:rsidP="001C39DC" w:rsidRDefault="32688E19" w14:paraId="25E9A073" w14:textId="39D261CB">
      <w:pPr>
        <w:pStyle w:val="Spreekpunten"/>
        <w:numPr>
          <w:ilvl w:val="0"/>
          <w:numId w:val="0"/>
        </w:numPr>
        <w:spacing w:line="240" w:lineRule="atLeast"/>
        <w:rPr>
          <w:b/>
          <w:bCs/>
          <w:i/>
          <w:iCs/>
        </w:rPr>
      </w:pPr>
      <w:r w:rsidRPr="005C4397">
        <w:rPr>
          <w:rFonts w:eastAsia="Verdana" w:cs="Verdana"/>
          <w:i/>
          <w:iCs/>
          <w:szCs w:val="18"/>
        </w:rPr>
        <w:t>(</w:t>
      </w:r>
      <w:r w:rsidR="005C4397">
        <w:rPr>
          <w:rFonts w:eastAsia="Verdana" w:cs="Verdana"/>
          <w:i/>
          <w:iCs/>
          <w:szCs w:val="18"/>
        </w:rPr>
        <w:t>B</w:t>
      </w:r>
      <w:r w:rsidRPr="005C4397">
        <w:rPr>
          <w:rFonts w:eastAsia="Verdana" w:cs="Verdana"/>
          <w:i/>
          <w:iCs/>
          <w:szCs w:val="18"/>
        </w:rPr>
        <w:t xml:space="preserve">eleidsdebat) </w:t>
      </w:r>
    </w:p>
    <w:p w:rsidR="32688E19" w:rsidP="001C39DC" w:rsidRDefault="32688E19" w14:paraId="194ACE21" w14:textId="27A992F6">
      <w:r w:rsidRPr="45B79709">
        <w:rPr>
          <w:rFonts w:eastAsia="Verdana" w:cs="Verdana"/>
          <w:szCs w:val="18"/>
        </w:rPr>
        <w:t xml:space="preserve"> </w:t>
      </w:r>
    </w:p>
    <w:p w:rsidR="00957395" w:rsidP="001C39DC" w:rsidRDefault="32688E19" w14:paraId="22560CC7" w14:textId="77777777">
      <w:r w:rsidRPr="45B79709">
        <w:rPr>
          <w:rFonts w:eastAsia="Verdana" w:cs="Verdana"/>
          <w:i/>
          <w:iCs/>
          <w:szCs w:val="18"/>
        </w:rPr>
        <w:t>Toelichting agendapunt</w:t>
      </w:r>
      <w:r w:rsidRPr="45B79709">
        <w:rPr>
          <w:rFonts w:eastAsia="Verdana" w:cs="Verdana"/>
          <w:szCs w:val="18"/>
        </w:rPr>
        <w:t xml:space="preserve"> </w:t>
      </w:r>
    </w:p>
    <w:p w:rsidRPr="00957395" w:rsidR="32688E19" w:rsidP="001C39DC" w:rsidRDefault="00957395" w14:paraId="30DADCC2" w14:textId="79A03C53">
      <w:r>
        <w:t xml:space="preserve">Er zijn </w:t>
      </w:r>
      <w:r w:rsidRPr="23B2565D" w:rsidR="32688E19">
        <w:rPr>
          <w:rFonts w:eastAsia="Verdana" w:cs="Verdana"/>
        </w:rPr>
        <w:t xml:space="preserve">twee thema’s onderwerp van gesprek </w:t>
      </w:r>
      <w:r w:rsidRPr="23B2565D" w:rsidR="00F744F6">
        <w:rPr>
          <w:rFonts w:eastAsia="Verdana" w:cs="Verdana"/>
        </w:rPr>
        <w:t>in het aanbestedingsdebat</w:t>
      </w:r>
      <w:r w:rsidRPr="23B2565D" w:rsidR="32688E19">
        <w:rPr>
          <w:rFonts w:eastAsia="Verdana" w:cs="Verdana"/>
        </w:rPr>
        <w:t>,</w:t>
      </w:r>
      <w:r w:rsidRPr="23B2565D" w:rsidR="00F744F6">
        <w:rPr>
          <w:rFonts w:eastAsia="Verdana" w:cs="Verdana"/>
        </w:rPr>
        <w:t xml:space="preserve"> namelijk </w:t>
      </w:r>
      <w:r w:rsidRPr="23B2565D" w:rsidR="32688E19">
        <w:rPr>
          <w:rFonts w:eastAsia="Verdana" w:cs="Verdana"/>
        </w:rPr>
        <w:t xml:space="preserve">de evaluatie en herziening van de richtlijnen en een Europees voorkeursprincipe bij aanbesteden. </w:t>
      </w:r>
    </w:p>
    <w:p w:rsidR="32688E19" w:rsidP="001C39DC" w:rsidRDefault="32688E19" w14:paraId="0FC01D55" w14:textId="6F6AEF9D">
      <w:r w:rsidRPr="45B79709">
        <w:rPr>
          <w:rFonts w:eastAsia="Verdana" w:cs="Verdana"/>
          <w:szCs w:val="18"/>
        </w:rPr>
        <w:t xml:space="preserve"> </w:t>
      </w:r>
    </w:p>
    <w:p w:rsidR="32688E19" w:rsidP="001C39DC" w:rsidRDefault="32688E19" w14:paraId="46939364" w14:textId="7C7495A3">
      <w:r w:rsidRPr="45B79709">
        <w:rPr>
          <w:rFonts w:eastAsia="Verdana" w:cs="Verdana"/>
          <w:i/>
          <w:iCs/>
          <w:szCs w:val="18"/>
        </w:rPr>
        <w:t>N</w:t>
      </w:r>
      <w:r w:rsidR="00E31D31">
        <w:rPr>
          <w:rFonts w:eastAsia="Verdana" w:cs="Verdana"/>
          <w:i/>
          <w:iCs/>
          <w:szCs w:val="18"/>
        </w:rPr>
        <w:t>ederlandse</w:t>
      </w:r>
      <w:r w:rsidRPr="45B79709">
        <w:rPr>
          <w:rFonts w:eastAsia="Verdana" w:cs="Verdana"/>
          <w:i/>
          <w:iCs/>
          <w:szCs w:val="18"/>
        </w:rPr>
        <w:t xml:space="preserve"> positie</w:t>
      </w:r>
      <w:r w:rsidRPr="45B79709">
        <w:rPr>
          <w:rFonts w:eastAsia="Verdana" w:cs="Verdana"/>
          <w:szCs w:val="18"/>
        </w:rPr>
        <w:t xml:space="preserve"> </w:t>
      </w:r>
    </w:p>
    <w:p w:rsidR="32688E19" w:rsidP="001C39DC" w:rsidRDefault="32688E19" w14:paraId="653F8F45" w14:textId="04710350">
      <w:r w:rsidRPr="45B79709">
        <w:rPr>
          <w:rFonts w:eastAsia="Verdana" w:cs="Verdana"/>
          <w:szCs w:val="18"/>
        </w:rPr>
        <w:t>Voor de herziening zet ik in Europa in op een aantal belangrijke thema’s zoals</w:t>
      </w:r>
      <w:r w:rsidR="00EA03F2">
        <w:rPr>
          <w:rStyle w:val="Voetnootmarkering"/>
          <w:rFonts w:eastAsia="Verdana" w:cs="Verdana"/>
          <w:szCs w:val="18"/>
        </w:rPr>
        <w:footnoteReference w:id="10"/>
      </w:r>
      <w:r w:rsidRPr="45B79709">
        <w:rPr>
          <w:rFonts w:eastAsia="Verdana" w:cs="Verdana"/>
          <w:szCs w:val="18"/>
        </w:rPr>
        <w:t xml:space="preserve">:  </w:t>
      </w:r>
    </w:p>
    <w:p w:rsidRPr="0057197A" w:rsidR="32688E19" w:rsidP="001C39DC" w:rsidRDefault="0057197A" w14:paraId="349A2123" w14:textId="5613A4D7">
      <w:pPr>
        <w:rPr>
          <w:rFonts w:eastAsia="Verdana" w:cs="Verdana"/>
        </w:rPr>
      </w:pPr>
      <w:r w:rsidRPr="23B2565D">
        <w:rPr>
          <w:rFonts w:eastAsia="Verdana" w:cs="Verdana"/>
        </w:rPr>
        <w:t>1) v</w:t>
      </w:r>
      <w:r w:rsidRPr="23B2565D" w:rsidR="32688E19">
        <w:rPr>
          <w:rFonts w:eastAsia="Verdana" w:cs="Verdana"/>
        </w:rPr>
        <w:t>ersimpeling van het aanbestedingsstelsel en verlaging van administratieve lasten t</w:t>
      </w:r>
      <w:r w:rsidRPr="23B2565D">
        <w:rPr>
          <w:rFonts w:eastAsia="Verdana" w:cs="Verdana"/>
        </w:rPr>
        <w:t>.</w:t>
      </w:r>
      <w:r w:rsidRPr="23B2565D" w:rsidR="32688E19">
        <w:rPr>
          <w:rFonts w:eastAsia="Verdana" w:cs="Verdana"/>
        </w:rPr>
        <w:t>b</w:t>
      </w:r>
      <w:r w:rsidRPr="23B2565D">
        <w:rPr>
          <w:rFonts w:eastAsia="Verdana" w:cs="Verdana"/>
        </w:rPr>
        <w:t>.</w:t>
      </w:r>
      <w:r w:rsidRPr="23B2565D" w:rsidR="32688E19">
        <w:rPr>
          <w:rFonts w:eastAsia="Verdana" w:cs="Verdana"/>
        </w:rPr>
        <w:t>v</w:t>
      </w:r>
      <w:r w:rsidRPr="23B2565D">
        <w:rPr>
          <w:rFonts w:eastAsia="Verdana" w:cs="Verdana"/>
        </w:rPr>
        <w:t>.</w:t>
      </w:r>
      <w:r w:rsidRPr="23B2565D" w:rsidR="32688E19">
        <w:rPr>
          <w:rFonts w:eastAsia="Verdana" w:cs="Verdana"/>
        </w:rPr>
        <w:t xml:space="preserve"> overheden én ondernemers; </w:t>
      </w:r>
      <w:r w:rsidRPr="23B2565D">
        <w:rPr>
          <w:rFonts w:eastAsia="Verdana" w:cs="Verdana"/>
        </w:rPr>
        <w:t>2) ee</w:t>
      </w:r>
      <w:r w:rsidRPr="23B2565D" w:rsidR="32688E19">
        <w:rPr>
          <w:rFonts w:eastAsia="Verdana" w:cs="Verdana"/>
        </w:rPr>
        <w:t xml:space="preserve">n flexibeler aanbestedingsstelsel, die overheden meer in staat stelt om aan hun maatschappelijke </w:t>
      </w:r>
      <w:r w:rsidR="00272240">
        <w:rPr>
          <w:rFonts w:eastAsia="Verdana" w:cs="Verdana"/>
        </w:rPr>
        <w:t>opgaven</w:t>
      </w:r>
      <w:r w:rsidRPr="23B2565D" w:rsidR="32688E19">
        <w:rPr>
          <w:rFonts w:eastAsia="Verdana" w:cs="Verdana"/>
        </w:rPr>
        <w:t xml:space="preserve"> te kunnen voldoen;</w:t>
      </w:r>
      <w:r w:rsidRPr="23B2565D">
        <w:rPr>
          <w:rFonts w:eastAsia="Verdana" w:cs="Verdana"/>
        </w:rPr>
        <w:t xml:space="preserve"> 3) v</w:t>
      </w:r>
      <w:r w:rsidRPr="23B2565D" w:rsidR="32688E19">
        <w:rPr>
          <w:rFonts w:eastAsia="Verdana" w:cs="Verdana"/>
        </w:rPr>
        <w:t>erruiming voor mogelijkheden om innovatief in te kopen</w:t>
      </w:r>
      <w:r w:rsidR="009B65A9">
        <w:rPr>
          <w:rFonts w:eastAsia="Verdana" w:cs="Verdana"/>
        </w:rPr>
        <w:t>;</w:t>
      </w:r>
      <w:r w:rsidRPr="23B2565D">
        <w:rPr>
          <w:rFonts w:eastAsia="Verdana" w:cs="Verdana"/>
        </w:rPr>
        <w:t xml:space="preserve"> 4) v</w:t>
      </w:r>
      <w:r w:rsidRPr="23B2565D" w:rsidR="32688E19">
        <w:rPr>
          <w:rFonts w:eastAsia="Verdana" w:cs="Verdana"/>
        </w:rPr>
        <w:t>ia aanbestedingen de weerbaarheid</w:t>
      </w:r>
      <w:r w:rsidR="00393823">
        <w:rPr>
          <w:rFonts w:eastAsia="Verdana" w:cs="Verdana"/>
        </w:rPr>
        <w:t>, verduurzaming</w:t>
      </w:r>
      <w:r w:rsidRPr="23B2565D" w:rsidR="32688E19">
        <w:rPr>
          <w:rFonts w:eastAsia="Verdana" w:cs="Verdana"/>
        </w:rPr>
        <w:t xml:space="preserve"> en marktcreatie van Europese markten te kunnen vergroten;</w:t>
      </w:r>
      <w:r w:rsidRPr="23B2565D">
        <w:rPr>
          <w:rFonts w:eastAsia="Verdana" w:cs="Verdana"/>
        </w:rPr>
        <w:t xml:space="preserve"> 5) m</w:t>
      </w:r>
      <w:r w:rsidRPr="23B2565D" w:rsidR="32688E19">
        <w:rPr>
          <w:rFonts w:eastAsia="Verdana" w:cs="Verdana"/>
        </w:rPr>
        <w:t xml:space="preserve">eer mogelijkheden om risico’s voor (nationale) veiligheid bij aanbesteden te beperken of uit te sluiten; </w:t>
      </w:r>
      <w:r w:rsidRPr="23B2565D">
        <w:rPr>
          <w:rFonts w:eastAsia="Verdana" w:cs="Verdana"/>
        </w:rPr>
        <w:t>6) v</w:t>
      </w:r>
      <w:r w:rsidRPr="23B2565D" w:rsidR="32688E19">
        <w:rPr>
          <w:rFonts w:eastAsia="Verdana" w:cs="Verdana"/>
        </w:rPr>
        <w:t xml:space="preserve">erbetering van dataverzameling, datakwaliteit en transparantie bij aanbesteden. </w:t>
      </w:r>
    </w:p>
    <w:p w:rsidR="000D0154" w:rsidP="001C39DC" w:rsidRDefault="000D0154" w14:paraId="1F3173AF" w14:textId="77777777">
      <w:pPr>
        <w:rPr>
          <w:rFonts w:eastAsia="Verdana" w:cs="Verdana"/>
          <w:szCs w:val="18"/>
        </w:rPr>
      </w:pPr>
    </w:p>
    <w:p w:rsidR="32688E19" w:rsidP="001C39DC" w:rsidRDefault="00C71774" w14:paraId="2105EC16" w14:textId="5551352A">
      <w:r w:rsidRPr="100C34E2">
        <w:rPr>
          <w:rFonts w:eastAsia="Verdana" w:cs="Verdana"/>
        </w:rPr>
        <w:t>Tegelijkertijd maak</w:t>
      </w:r>
      <w:r w:rsidRPr="100C34E2" w:rsidR="004C3424">
        <w:rPr>
          <w:rFonts w:eastAsia="Verdana" w:cs="Verdana"/>
        </w:rPr>
        <w:t>t het kabinet zich</w:t>
      </w:r>
      <w:r w:rsidRPr="100C34E2">
        <w:rPr>
          <w:rFonts w:eastAsia="Verdana" w:cs="Verdana"/>
        </w:rPr>
        <w:t xml:space="preserve"> zorgen over de uitvoering van </w:t>
      </w:r>
      <w:r w:rsidR="00EC6F0D">
        <w:rPr>
          <w:rFonts w:eastAsia="Verdana" w:cs="Verdana"/>
        </w:rPr>
        <w:t>het herzieningsproces</w:t>
      </w:r>
      <w:r w:rsidRPr="100C34E2" w:rsidR="32688E19">
        <w:rPr>
          <w:rFonts w:eastAsia="Verdana" w:cs="Verdana"/>
        </w:rPr>
        <w:t>. De kwaliteit van de evaluatie en herziening</w:t>
      </w:r>
      <w:r w:rsidR="00B7602C">
        <w:rPr>
          <w:rFonts w:eastAsia="Verdana" w:cs="Verdana"/>
        </w:rPr>
        <w:t xml:space="preserve"> zelf</w:t>
      </w:r>
      <w:r w:rsidRPr="100C34E2" w:rsidR="32688E19">
        <w:rPr>
          <w:rFonts w:eastAsia="Verdana" w:cs="Verdana"/>
        </w:rPr>
        <w:t xml:space="preserve"> mag niet ten koste gaan</w:t>
      </w:r>
      <w:r w:rsidRPr="100C34E2">
        <w:rPr>
          <w:rFonts w:eastAsia="Verdana" w:cs="Verdana"/>
        </w:rPr>
        <w:t xml:space="preserve"> van het proces. Dit</w:t>
      </w:r>
      <w:r w:rsidRPr="100C34E2" w:rsidR="32688E19">
        <w:rPr>
          <w:rFonts w:eastAsia="Verdana" w:cs="Verdana"/>
        </w:rPr>
        <w:t xml:space="preserve"> omdat </w:t>
      </w:r>
      <w:r w:rsidR="0004362C">
        <w:rPr>
          <w:rFonts w:eastAsia="Verdana" w:cs="Verdana"/>
        </w:rPr>
        <w:t>een slechte uitvoering van het proces</w:t>
      </w:r>
      <w:r w:rsidRPr="100C34E2" w:rsidR="32688E19">
        <w:rPr>
          <w:rFonts w:eastAsia="Verdana" w:cs="Verdana"/>
        </w:rPr>
        <w:t xml:space="preserve"> naar alle waarschijnlijkheid ten koste zal gaan van versimpeling van het systeem en verlaging van de administratieve lasten. </w:t>
      </w:r>
      <w:r w:rsidRPr="002B29EF" w:rsidR="32688E19">
        <w:rPr>
          <w:rFonts w:eastAsia="Verdana" w:cs="Verdana"/>
        </w:rPr>
        <w:t xml:space="preserve">Daarom </w:t>
      </w:r>
      <w:r w:rsidRPr="002B29EF" w:rsidR="002B29EF">
        <w:rPr>
          <w:rFonts w:eastAsia="Verdana" w:cs="Verdana"/>
        </w:rPr>
        <w:t xml:space="preserve">stuur ik Eurocommissaris Séjourné een brief, waarin ik hem oproep </w:t>
      </w:r>
      <w:r w:rsidRPr="002B29EF" w:rsidR="32688E19">
        <w:rPr>
          <w:rFonts w:eastAsia="Verdana" w:cs="Verdana"/>
        </w:rPr>
        <w:t>een getrapt proces te organiseren.</w:t>
      </w:r>
    </w:p>
    <w:p w:rsidR="32688E19" w:rsidP="001C39DC" w:rsidRDefault="32688E19" w14:paraId="39556126" w14:textId="269AB89D">
      <w:r w:rsidRPr="45B79709">
        <w:rPr>
          <w:rFonts w:eastAsia="Verdana" w:cs="Verdana"/>
          <w:szCs w:val="18"/>
        </w:rPr>
        <w:t xml:space="preserve"> </w:t>
      </w:r>
    </w:p>
    <w:p w:rsidR="32688E19" w:rsidP="001C39DC" w:rsidRDefault="32688E19" w14:paraId="02D83794" w14:textId="25373B45">
      <w:pPr>
        <w:rPr>
          <w:rFonts w:eastAsia="Verdana" w:cs="Verdana"/>
        </w:rPr>
      </w:pPr>
      <w:r w:rsidRPr="0119D656">
        <w:rPr>
          <w:rFonts w:eastAsia="Verdana" w:cs="Verdana"/>
        </w:rPr>
        <w:t xml:space="preserve">Voor de kabinetspositie rondom het Europees voorkeursprincipe vindt momenteel nog interdepartementale afstemming plaats. Een Europees voorkeursprincipe kan in bepaalde gevallen wenselijk zijn, maar kan ook negatieve effecten met zich meebrengen. Zo </w:t>
      </w:r>
      <w:r w:rsidR="002B02FB">
        <w:rPr>
          <w:rFonts w:eastAsia="Verdana" w:cs="Verdana"/>
        </w:rPr>
        <w:t xml:space="preserve">is het belangrijk </w:t>
      </w:r>
      <w:r w:rsidRPr="0119D656">
        <w:rPr>
          <w:rFonts w:eastAsia="Verdana" w:cs="Verdana"/>
        </w:rPr>
        <w:t>de wederkerigheid van internationale markten</w:t>
      </w:r>
      <w:r w:rsidR="008E493C">
        <w:rPr>
          <w:rFonts w:eastAsia="Verdana" w:cs="Verdana"/>
        </w:rPr>
        <w:t xml:space="preserve"> </w:t>
      </w:r>
      <w:r w:rsidR="001653D3">
        <w:rPr>
          <w:rFonts w:eastAsia="Verdana" w:cs="Verdana"/>
        </w:rPr>
        <w:t>in acht te nemen</w:t>
      </w:r>
      <w:r w:rsidRPr="0119D656">
        <w:rPr>
          <w:rFonts w:eastAsia="Verdana" w:cs="Verdana"/>
        </w:rPr>
        <w:t>, kan er een kostenopdrijvend effect optreden, kan dit leiden tot gevolgen voor de uitvoering, en kan zo’n maatregel de Europese inzet op betere toegang tot aanbestedingsmarkten van derde landen ondermijnen.</w:t>
      </w:r>
      <w:r w:rsidRPr="0119D656" w:rsidR="00D23EAE">
        <w:rPr>
          <w:rFonts w:eastAsia="Verdana" w:cs="Verdana"/>
        </w:rPr>
        <w:t xml:space="preserve"> Deze </w:t>
      </w:r>
      <w:r w:rsidRPr="0119D656" w:rsidR="00E66C1D">
        <w:rPr>
          <w:rFonts w:eastAsia="Verdana" w:cs="Verdana"/>
        </w:rPr>
        <w:t xml:space="preserve">grondhouding zal ook tijdens het beleidsdebat in de Raad </w:t>
      </w:r>
      <w:r w:rsidR="00E87BC8">
        <w:rPr>
          <w:rFonts w:eastAsia="Verdana" w:cs="Verdana"/>
        </w:rPr>
        <w:t>uitgedragen</w:t>
      </w:r>
      <w:r w:rsidRPr="0119D656" w:rsidR="00E87BC8">
        <w:rPr>
          <w:rFonts w:eastAsia="Verdana" w:cs="Verdana"/>
        </w:rPr>
        <w:t xml:space="preserve"> </w:t>
      </w:r>
      <w:r w:rsidRPr="0119D656" w:rsidR="00E66C1D">
        <w:rPr>
          <w:rFonts w:eastAsia="Verdana" w:cs="Verdana"/>
        </w:rPr>
        <w:t xml:space="preserve">worden. </w:t>
      </w:r>
    </w:p>
    <w:p w:rsidR="32688E19" w:rsidP="001C39DC" w:rsidRDefault="32688E19" w14:paraId="54D6B94B" w14:textId="492C9916">
      <w:r w:rsidRPr="45B79709">
        <w:rPr>
          <w:rFonts w:eastAsia="Verdana" w:cs="Verdana"/>
          <w:szCs w:val="18"/>
        </w:rPr>
        <w:t xml:space="preserve"> </w:t>
      </w:r>
    </w:p>
    <w:p w:rsidR="32688E19" w:rsidP="001C39DC" w:rsidRDefault="32688E19" w14:paraId="33A0D77B" w14:textId="05D740E4">
      <w:r w:rsidRPr="45B79709">
        <w:rPr>
          <w:rFonts w:eastAsia="Verdana" w:cs="Verdana"/>
          <w:i/>
          <w:iCs/>
          <w:szCs w:val="18"/>
        </w:rPr>
        <w:t>Krachtenveld</w:t>
      </w:r>
    </w:p>
    <w:p w:rsidR="32688E19" w:rsidP="001C39DC" w:rsidRDefault="32688E19" w14:paraId="70180C75" w14:textId="20FE7700">
      <w:r w:rsidRPr="45B79709">
        <w:rPr>
          <w:rFonts w:eastAsia="Verdana" w:cs="Verdana"/>
          <w:szCs w:val="18"/>
        </w:rPr>
        <w:t>Versimpeling en verlaging van administratieve lasten is voor alle lidstaten een belangrijk thema tijdens de herziening van de richtlijnen. Ook doen veel lidstaten een oproep tot meer flexibiliteit in de nieuwe richtlijnen. Daarnaast is ook bij een groot aantal lidstaten de zorg over de uitvoering van dit proces, in gesprekken met lidstaten komt naar voren dat zij dit ook bij Eurocommissaris Séjourné onder de aandacht zullen brengen.</w:t>
      </w:r>
    </w:p>
    <w:p w:rsidR="00B5007E" w:rsidP="001C39DC" w:rsidRDefault="00B5007E" w14:paraId="4CEDD52D" w14:textId="77777777"/>
    <w:p w:rsidR="00575AD6" w:rsidP="001C39DC" w:rsidRDefault="00575AD6" w14:paraId="1303DB06" w14:textId="77777777">
      <w:pPr>
        <w:rPr>
          <w:szCs w:val="18"/>
        </w:rPr>
      </w:pPr>
      <w:r w:rsidRPr="00E20C57">
        <w:rPr>
          <w:b/>
          <w:bCs/>
          <w:szCs w:val="18"/>
        </w:rPr>
        <w:t xml:space="preserve">Horizontale interne-marktstrategie </w:t>
      </w:r>
    </w:p>
    <w:p w:rsidRPr="005C4397" w:rsidR="00B5007E" w:rsidP="001C39DC" w:rsidRDefault="00B5007E" w14:paraId="37BB2E64" w14:textId="7C332618">
      <w:pPr>
        <w:rPr>
          <w:i/>
          <w:iCs/>
          <w:szCs w:val="18"/>
        </w:rPr>
      </w:pPr>
      <w:r w:rsidRPr="005C4397">
        <w:rPr>
          <w:i/>
          <w:iCs/>
        </w:rPr>
        <w:t>(</w:t>
      </w:r>
      <w:r w:rsidRPr="005C4397" w:rsidR="00764FFD">
        <w:rPr>
          <w:i/>
          <w:iCs/>
        </w:rPr>
        <w:t xml:space="preserve">presentatie door de </w:t>
      </w:r>
      <w:r w:rsidR="005C4397">
        <w:rPr>
          <w:i/>
          <w:iCs/>
        </w:rPr>
        <w:t xml:space="preserve">Europese </w:t>
      </w:r>
      <w:r w:rsidRPr="005C4397" w:rsidR="00764FFD">
        <w:rPr>
          <w:i/>
          <w:iCs/>
        </w:rPr>
        <w:t>Commissie</w:t>
      </w:r>
      <w:r w:rsidRPr="005C4397">
        <w:rPr>
          <w:i/>
          <w:iCs/>
        </w:rPr>
        <w:t>)</w:t>
      </w:r>
    </w:p>
    <w:p w:rsidRPr="00086E72" w:rsidR="00B5007E" w:rsidP="001C39DC" w:rsidRDefault="00B5007E" w14:paraId="2104F9CC" w14:textId="77777777"/>
    <w:p w:rsidR="00575AD6" w:rsidP="001C39DC" w:rsidRDefault="00575AD6" w14:paraId="1E94ED1D" w14:textId="1928DD20">
      <w:pPr>
        <w:rPr>
          <w:szCs w:val="18"/>
        </w:rPr>
      </w:pPr>
      <w:r>
        <w:rPr>
          <w:szCs w:val="18"/>
        </w:rPr>
        <w:t>Op 21 mei a</w:t>
      </w:r>
      <w:r w:rsidR="005D206F">
        <w:rPr>
          <w:szCs w:val="18"/>
        </w:rPr>
        <w:t>anstaande</w:t>
      </w:r>
      <w:r>
        <w:rPr>
          <w:szCs w:val="18"/>
        </w:rPr>
        <w:t>, de dag voorafgaand aan de Raad, zal de Commissie haar horizontale interne-marktstrategie presenteren. Ook tijdens de Raad is een presentatie voorzien. Over de strategie en het kabinetsstandpunt wordt de Kamer geïnformeerd via een BNC-fiche binnen de gebruikelijke termijn. Het kabinet heeft eerder zelf en gezamenlijk concrete input geleverd voor de strategie, respectievelijk via een eigen tienpuntenplan en een gezamenlijk non-paper.</w:t>
      </w:r>
      <w:r>
        <w:rPr>
          <w:rStyle w:val="Voetnootmarkering"/>
        </w:rPr>
        <w:footnoteReference w:id="11"/>
      </w:r>
      <w:r>
        <w:rPr>
          <w:szCs w:val="18"/>
        </w:rPr>
        <w:t xml:space="preserve"> De strategie zou wat het kabinet betreft ambitieus en concreet moeten zijn. Politiek eigenaarschap is essentieel om op alle beleidsterreinen acties te kunnen nemen om belemmeringen voor ondernemers en burgers weg te nemen en te voorkomen. In genoemde input heeft het kabinet zelf diverse suggesties gedaan om belemmeringen weg te nemen, zoals het wegnemen van territoriale leveringsbeperkingen en belemmeringen rondom laadpalen, afval en etikettering.</w:t>
      </w:r>
    </w:p>
    <w:p w:rsidR="004D1E9B" w:rsidP="001C39DC" w:rsidRDefault="004D1E9B" w14:paraId="7535F9DC" w14:textId="77777777">
      <w:pPr>
        <w:rPr>
          <w:b/>
          <w:u w:val="single"/>
        </w:rPr>
      </w:pPr>
    </w:p>
    <w:p w:rsidR="001C39DC" w:rsidP="001C39DC" w:rsidRDefault="001C39DC" w14:paraId="058538B0" w14:textId="77777777">
      <w:pPr>
        <w:rPr>
          <w:b/>
        </w:rPr>
      </w:pPr>
      <w:bookmarkStart w:name="_Hlk197417844" w:id="0"/>
    </w:p>
    <w:p w:rsidR="001C39DC" w:rsidP="001C39DC" w:rsidRDefault="001C39DC" w14:paraId="0580CB52" w14:textId="77777777">
      <w:pPr>
        <w:rPr>
          <w:b/>
        </w:rPr>
      </w:pPr>
    </w:p>
    <w:p w:rsidR="00F46465" w:rsidP="001C39DC" w:rsidRDefault="00BF5B58" w14:paraId="744787E3" w14:textId="101EB7E0">
      <w:pPr>
        <w:rPr>
          <w:b/>
        </w:rPr>
      </w:pPr>
      <w:r w:rsidRPr="00BF5B58">
        <w:rPr>
          <w:b/>
        </w:rPr>
        <w:t>Diversenpunt</w:t>
      </w:r>
      <w:r w:rsidR="0038782B">
        <w:rPr>
          <w:b/>
        </w:rPr>
        <w:t>en</w:t>
      </w:r>
    </w:p>
    <w:p w:rsidR="00BF5B58" w:rsidP="001C39DC" w:rsidRDefault="00BF5B58" w14:paraId="5C740C44" w14:textId="2C881097">
      <w:pPr>
        <w:jc w:val="both"/>
        <w:rPr>
          <w:rFonts w:eastAsia="Verdana" w:cs="Verdana"/>
        </w:rPr>
      </w:pPr>
      <w:r w:rsidRPr="4E475091">
        <w:rPr>
          <w:rFonts w:eastAsia="Verdana" w:cs="Verdana"/>
        </w:rPr>
        <w:t xml:space="preserve">Er staat een diversenpunt op de agenda met betrekking tot het inkomend </w:t>
      </w:r>
      <w:r>
        <w:rPr>
          <w:rFonts w:eastAsia="Verdana" w:cs="Verdana"/>
        </w:rPr>
        <w:t>Deens</w:t>
      </w:r>
      <w:r w:rsidRPr="4E475091">
        <w:rPr>
          <w:rFonts w:eastAsia="Verdana" w:cs="Verdana"/>
        </w:rPr>
        <w:t xml:space="preserve"> voorzitterschap. De </w:t>
      </w:r>
      <w:r>
        <w:rPr>
          <w:rFonts w:eastAsia="Verdana" w:cs="Verdana"/>
        </w:rPr>
        <w:t>Deense</w:t>
      </w:r>
      <w:r w:rsidRPr="4E475091">
        <w:rPr>
          <w:rFonts w:eastAsia="Verdana" w:cs="Verdana"/>
        </w:rPr>
        <w:t xml:space="preserve"> delegatie zal een toelichting geven o</w:t>
      </w:r>
      <w:r>
        <w:rPr>
          <w:rFonts w:eastAsia="Verdana" w:cs="Verdana"/>
        </w:rPr>
        <w:t xml:space="preserve">ver </w:t>
      </w:r>
      <w:r w:rsidRPr="4E475091">
        <w:rPr>
          <w:rFonts w:eastAsia="Verdana" w:cs="Verdana"/>
        </w:rPr>
        <w:t>de prioriteiten van het voorzitterschap.</w:t>
      </w:r>
      <w:r w:rsidR="00393823">
        <w:rPr>
          <w:rFonts w:eastAsia="Verdana" w:cs="Verdana"/>
        </w:rPr>
        <w:t xml:space="preserve"> </w:t>
      </w:r>
      <w:r>
        <w:rPr>
          <w:rFonts w:eastAsia="Verdana" w:cs="Verdana"/>
        </w:rPr>
        <w:t xml:space="preserve">Ook zal </w:t>
      </w:r>
      <w:r w:rsidR="004A4A66">
        <w:rPr>
          <w:rFonts w:eastAsia="Verdana" w:cs="Verdana"/>
        </w:rPr>
        <w:t xml:space="preserve">het Voorzitterschap </w:t>
      </w:r>
      <w:r>
        <w:rPr>
          <w:rFonts w:eastAsia="Verdana" w:cs="Verdana"/>
        </w:rPr>
        <w:t>een update geven over lopende wetgevingstrajecten.</w:t>
      </w:r>
      <w:r w:rsidRPr="6D51D3EE">
        <w:rPr>
          <w:rFonts w:eastAsia="Verdana" w:cs="Verdana"/>
        </w:rPr>
        <w:t xml:space="preserve"> </w:t>
      </w:r>
    </w:p>
    <w:bookmarkEnd w:id="0"/>
    <w:p w:rsidRPr="00A41AF0" w:rsidR="00A7111A" w:rsidP="001C39DC" w:rsidRDefault="00A7111A" w14:paraId="627DD63D" w14:textId="5FF60B67">
      <w:pPr>
        <w:jc w:val="both"/>
        <w:rPr>
          <w:rFonts w:eastAsia="Verdana" w:cs="Verdana"/>
        </w:rPr>
      </w:pPr>
    </w:p>
    <w:p w:rsidRPr="00BF5B58" w:rsidR="00BF5B58" w:rsidP="001C39DC" w:rsidRDefault="00BF5B58" w14:paraId="7A23A7B3" w14:textId="77777777">
      <w:pPr>
        <w:rPr>
          <w:bCs/>
        </w:rPr>
      </w:pPr>
    </w:p>
    <w:p w:rsidRPr="00A13FAE" w:rsidR="007C75B5" w:rsidP="001C39DC" w:rsidRDefault="007C75B5" w14:paraId="4B95004C" w14:textId="7E6142AB">
      <w:pPr>
        <w:jc w:val="both"/>
        <w:rPr>
          <w:b/>
          <w:u w:val="single"/>
        </w:rPr>
      </w:pPr>
      <w:r w:rsidRPr="00A13FAE">
        <w:rPr>
          <w:b/>
          <w:u w:val="single"/>
        </w:rPr>
        <w:t xml:space="preserve">Onderzoek en innovatie (23 mei 2025) </w:t>
      </w:r>
    </w:p>
    <w:p w:rsidRPr="00A13FAE" w:rsidR="00B5007E" w:rsidP="001C39DC" w:rsidRDefault="00B5007E" w14:paraId="4CB9EF5A" w14:textId="77777777">
      <w:pPr>
        <w:jc w:val="both"/>
        <w:rPr>
          <w:b/>
          <w:u w:val="single"/>
        </w:rPr>
      </w:pPr>
    </w:p>
    <w:p w:rsidR="00570349" w:rsidP="001C39DC" w:rsidRDefault="00570349" w14:paraId="237B4836" w14:textId="77777777">
      <w:pPr>
        <w:rPr>
          <w:b/>
          <w:bCs/>
        </w:rPr>
      </w:pPr>
      <w:r>
        <w:rPr>
          <w:b/>
          <w:bCs/>
        </w:rPr>
        <w:t>Geannoteerde Agenda</w:t>
      </w:r>
      <w:r w:rsidRPr="00CC44AF">
        <w:rPr>
          <w:b/>
          <w:bCs/>
        </w:rPr>
        <w:t xml:space="preserve"> </w:t>
      </w:r>
      <w:r>
        <w:rPr>
          <w:b/>
          <w:bCs/>
        </w:rPr>
        <w:t xml:space="preserve">voor het </w:t>
      </w:r>
      <w:r w:rsidRPr="00CC44AF">
        <w:rPr>
          <w:b/>
          <w:bCs/>
        </w:rPr>
        <w:t>onderzoeks</w:t>
      </w:r>
      <w:r>
        <w:rPr>
          <w:b/>
          <w:bCs/>
        </w:rPr>
        <w:t>- en innovatie</w:t>
      </w:r>
      <w:r w:rsidRPr="00CC44AF">
        <w:rPr>
          <w:b/>
          <w:bCs/>
        </w:rPr>
        <w:t>deel</w:t>
      </w:r>
      <w:r>
        <w:rPr>
          <w:b/>
          <w:bCs/>
        </w:rPr>
        <w:t xml:space="preserve"> van de</w:t>
      </w:r>
      <w:r w:rsidRPr="00CC44AF">
        <w:rPr>
          <w:b/>
          <w:bCs/>
        </w:rPr>
        <w:t xml:space="preserve"> </w:t>
      </w:r>
      <w:r w:rsidRPr="00305F37">
        <w:rPr>
          <w:b/>
          <w:bCs/>
        </w:rPr>
        <w:t>formele</w:t>
      </w:r>
      <w:r w:rsidRPr="00CC44AF">
        <w:rPr>
          <w:b/>
          <w:bCs/>
        </w:rPr>
        <w:t xml:space="preserve"> </w:t>
      </w:r>
      <w:r>
        <w:rPr>
          <w:b/>
          <w:bCs/>
        </w:rPr>
        <w:t>Raad voor Concurrentievermogen op 23 mei 2025 te Brussel</w:t>
      </w:r>
    </w:p>
    <w:p w:rsidR="00570349" w:rsidP="001C39DC" w:rsidRDefault="00570349" w14:paraId="4B8E16D5" w14:textId="77777777">
      <w:pPr>
        <w:suppressAutoHyphens/>
      </w:pPr>
    </w:p>
    <w:p w:rsidRPr="005208B4" w:rsidR="00570349" w:rsidP="001C39DC" w:rsidRDefault="00570349" w14:paraId="250ED3B4" w14:textId="77777777">
      <w:pPr>
        <w:suppressAutoHyphens/>
      </w:pPr>
      <w:r w:rsidRPr="005208B4">
        <w:t>Dit deel van de Geannoteerde Agenda is mede namens de minister van Onderwijs, Cultuur en Wetenschap en gaat enkel over het onderzoeks</w:t>
      </w:r>
      <w:r>
        <w:t>- en innovatie</w:t>
      </w:r>
      <w:r w:rsidRPr="005208B4">
        <w:t xml:space="preserve">deel van de Raad. </w:t>
      </w:r>
    </w:p>
    <w:p w:rsidRPr="00B2779A" w:rsidR="00570349" w:rsidP="001C39DC" w:rsidRDefault="00570349" w14:paraId="44DC7090" w14:textId="77777777">
      <w:pPr>
        <w:suppressAutoHyphens/>
        <w:rPr>
          <w:b/>
          <w:bCs/>
          <w:szCs w:val="18"/>
        </w:rPr>
      </w:pPr>
    </w:p>
    <w:p w:rsidRPr="00D12D89" w:rsidR="00570349" w:rsidP="001C39DC" w:rsidRDefault="00570349" w14:paraId="57D72BCA" w14:textId="77777777">
      <w:pPr>
        <w:suppressAutoHyphens/>
        <w:rPr>
          <w:b/>
          <w:bCs/>
          <w:szCs w:val="18"/>
        </w:rPr>
      </w:pPr>
      <w:bookmarkStart w:name="_Hlk197016139" w:id="1"/>
      <w:r w:rsidRPr="00D12D89">
        <w:rPr>
          <w:rFonts w:eastAsia="Calibri" w:cs="Calibri"/>
          <w:b/>
          <w:bCs/>
          <w:szCs w:val="18"/>
          <w:lang w:eastAsia="en-US"/>
        </w:rPr>
        <w:t xml:space="preserve">Europese Onderzoeksruimte Beleidsagenda </w:t>
      </w:r>
      <w:r>
        <w:rPr>
          <w:rFonts w:eastAsia="Calibri" w:cs="Calibri"/>
          <w:b/>
          <w:bCs/>
          <w:szCs w:val="18"/>
          <w:lang w:eastAsia="en-US"/>
        </w:rPr>
        <w:t>(</w:t>
      </w:r>
      <w:r w:rsidRPr="00D12D89">
        <w:rPr>
          <w:rFonts w:eastAsia="Calibri" w:cs="Calibri"/>
          <w:b/>
          <w:bCs/>
          <w:szCs w:val="18"/>
          <w:lang w:eastAsia="en-US"/>
        </w:rPr>
        <w:t>2025 - 2027)</w:t>
      </w:r>
    </w:p>
    <w:bookmarkEnd w:id="1"/>
    <w:p w:rsidR="00570349" w:rsidP="001C39DC" w:rsidRDefault="00570349" w14:paraId="74B7B84D" w14:textId="77777777">
      <w:pPr>
        <w:suppressAutoHyphens/>
        <w:rPr>
          <w:i/>
          <w:iCs/>
          <w:szCs w:val="18"/>
        </w:rPr>
      </w:pPr>
    </w:p>
    <w:p w:rsidRPr="00D12D89" w:rsidR="00570349" w:rsidP="001C39DC" w:rsidRDefault="00570349" w14:paraId="47264C98" w14:textId="77777777">
      <w:pPr>
        <w:rPr>
          <w:i/>
          <w:iCs/>
          <w:szCs w:val="18"/>
        </w:rPr>
      </w:pPr>
      <w:r w:rsidRPr="00D12D89">
        <w:rPr>
          <w:i/>
          <w:iCs/>
          <w:szCs w:val="18"/>
        </w:rPr>
        <w:t>Aanname Raadsaanbeveling</w:t>
      </w:r>
    </w:p>
    <w:p w:rsidRPr="00D12D89" w:rsidR="00570349" w:rsidP="001C39DC" w:rsidRDefault="00570349" w14:paraId="23554F58" w14:textId="77777777">
      <w:pPr>
        <w:suppressAutoHyphens/>
        <w:rPr>
          <w:szCs w:val="18"/>
        </w:rPr>
      </w:pPr>
      <w:r w:rsidRPr="00D12D89">
        <w:rPr>
          <w:szCs w:val="18"/>
        </w:rPr>
        <w:t>De Raad is voornemens de Raadsaanbeveling over de Europese Onderzoeksruimte (ERA) Beleidsagenda (2025 - 2027) aan te nemen. Deze tweede ERA-beleidsagenda is een instrument waarmee de Europese Commissie, lidstaten, geassocieerde landen en stakeholders op vrijwillige basis samenwerken aan negentien geprioriteerde Europese beleidsuitdagingen.</w:t>
      </w:r>
    </w:p>
    <w:p w:rsidR="00570349" w:rsidP="001C39DC" w:rsidRDefault="00570349" w14:paraId="1AD19A91" w14:textId="77777777">
      <w:pPr>
        <w:suppressAutoHyphens/>
        <w:rPr>
          <w:szCs w:val="18"/>
        </w:rPr>
      </w:pPr>
    </w:p>
    <w:p w:rsidRPr="00D12D89" w:rsidR="00570349" w:rsidP="001C39DC" w:rsidRDefault="00570349" w14:paraId="76237DF8" w14:textId="77777777">
      <w:pPr>
        <w:suppressAutoHyphens/>
        <w:rPr>
          <w:szCs w:val="18"/>
        </w:rPr>
      </w:pPr>
      <w:r w:rsidRPr="00D12D89">
        <w:rPr>
          <w:szCs w:val="18"/>
        </w:rPr>
        <w:t xml:space="preserve">De voorgestelde ERA-acties en -beleidsthema’s </w:t>
      </w:r>
      <w:r>
        <w:rPr>
          <w:szCs w:val="18"/>
        </w:rPr>
        <w:t>zijn</w:t>
      </w:r>
      <w:r w:rsidRPr="00D12D89">
        <w:rPr>
          <w:szCs w:val="18"/>
        </w:rPr>
        <w:t>: open science</w:t>
      </w:r>
      <w:r>
        <w:rPr>
          <w:szCs w:val="18"/>
        </w:rPr>
        <w:t>;</w:t>
      </w:r>
      <w:r w:rsidRPr="00D12D89">
        <w:rPr>
          <w:szCs w:val="18"/>
        </w:rPr>
        <w:t xml:space="preserve"> onderzoeksinfrastructuren</w:t>
      </w:r>
      <w:r>
        <w:rPr>
          <w:szCs w:val="18"/>
        </w:rPr>
        <w:t>;</w:t>
      </w:r>
      <w:r w:rsidRPr="00D12D89">
        <w:rPr>
          <w:szCs w:val="18"/>
        </w:rPr>
        <w:t xml:space="preserve"> gendergelijkheid</w:t>
      </w:r>
      <w:r>
        <w:rPr>
          <w:szCs w:val="18"/>
        </w:rPr>
        <w:t>;</w:t>
      </w:r>
      <w:r w:rsidRPr="00D12D89">
        <w:rPr>
          <w:szCs w:val="18"/>
        </w:rPr>
        <w:t xml:space="preserve"> onderzoekscarrières</w:t>
      </w:r>
      <w:r>
        <w:rPr>
          <w:szCs w:val="18"/>
        </w:rPr>
        <w:t>;</w:t>
      </w:r>
      <w:r w:rsidRPr="00D12D89">
        <w:rPr>
          <w:szCs w:val="18"/>
        </w:rPr>
        <w:t xml:space="preserve"> erkennen en waarderen</w:t>
      </w:r>
      <w:r>
        <w:rPr>
          <w:szCs w:val="18"/>
        </w:rPr>
        <w:t>;</w:t>
      </w:r>
      <w:r w:rsidRPr="00D12D89">
        <w:rPr>
          <w:szCs w:val="18"/>
        </w:rPr>
        <w:t xml:space="preserve"> valorisatie en impact</w:t>
      </w:r>
      <w:r>
        <w:rPr>
          <w:szCs w:val="18"/>
        </w:rPr>
        <w:t>;</w:t>
      </w:r>
      <w:r w:rsidRPr="00D12D89">
        <w:rPr>
          <w:szCs w:val="18"/>
        </w:rPr>
        <w:t xml:space="preserve"> internationale samenwerking</w:t>
      </w:r>
      <w:r>
        <w:rPr>
          <w:szCs w:val="18"/>
        </w:rPr>
        <w:t>;</w:t>
      </w:r>
      <w:r w:rsidRPr="00D12D89">
        <w:rPr>
          <w:szCs w:val="18"/>
        </w:rPr>
        <w:t xml:space="preserve"> het strategisch energie-technologieplan (SET-plan)</w:t>
      </w:r>
      <w:r>
        <w:rPr>
          <w:szCs w:val="18"/>
        </w:rPr>
        <w:t>;</w:t>
      </w:r>
      <w:r w:rsidRPr="00D12D89">
        <w:rPr>
          <w:szCs w:val="18"/>
        </w:rPr>
        <w:t xml:space="preserve"> samenwerking met het hoger onderwijs</w:t>
      </w:r>
      <w:r>
        <w:rPr>
          <w:szCs w:val="18"/>
        </w:rPr>
        <w:t>;</w:t>
      </w:r>
      <w:r w:rsidRPr="00D12D89">
        <w:rPr>
          <w:szCs w:val="18"/>
        </w:rPr>
        <w:t xml:space="preserve"> wetenschapscommunicatie</w:t>
      </w:r>
      <w:r>
        <w:rPr>
          <w:szCs w:val="18"/>
        </w:rPr>
        <w:t>;</w:t>
      </w:r>
      <w:r w:rsidRPr="00D12D89">
        <w:rPr>
          <w:szCs w:val="18"/>
        </w:rPr>
        <w:t xml:space="preserve"> toegang tot excellentie</w:t>
      </w:r>
      <w:r>
        <w:rPr>
          <w:szCs w:val="18"/>
        </w:rPr>
        <w:t>;</w:t>
      </w:r>
      <w:r w:rsidRPr="00D12D89">
        <w:rPr>
          <w:szCs w:val="18"/>
        </w:rPr>
        <w:t xml:space="preserve"> de European Open Science Cloud (EOSC)</w:t>
      </w:r>
      <w:r>
        <w:rPr>
          <w:szCs w:val="18"/>
        </w:rPr>
        <w:t>;</w:t>
      </w:r>
      <w:r w:rsidRPr="00D12D89">
        <w:rPr>
          <w:szCs w:val="18"/>
        </w:rPr>
        <w:t xml:space="preserve"> Science for Policy (S4P)</w:t>
      </w:r>
      <w:r>
        <w:rPr>
          <w:szCs w:val="18"/>
        </w:rPr>
        <w:t>;</w:t>
      </w:r>
      <w:r w:rsidRPr="00D12D89">
        <w:rPr>
          <w:szCs w:val="18"/>
        </w:rPr>
        <w:t xml:space="preserve"> kunstmatige intelligentie in de wetenschap</w:t>
      </w:r>
      <w:r>
        <w:rPr>
          <w:szCs w:val="18"/>
        </w:rPr>
        <w:t>;</w:t>
      </w:r>
      <w:r w:rsidRPr="00D12D89">
        <w:rPr>
          <w:szCs w:val="18"/>
        </w:rPr>
        <w:t xml:space="preserve"> kennisveiligheid</w:t>
      </w:r>
      <w:r>
        <w:rPr>
          <w:szCs w:val="18"/>
        </w:rPr>
        <w:t>;</w:t>
      </w:r>
      <w:r w:rsidRPr="00D12D89">
        <w:rPr>
          <w:szCs w:val="18"/>
        </w:rPr>
        <w:t xml:space="preserve"> industriële transformatie</w:t>
      </w:r>
      <w:r>
        <w:rPr>
          <w:szCs w:val="18"/>
        </w:rPr>
        <w:t>;</w:t>
      </w:r>
      <w:r w:rsidRPr="00D12D89">
        <w:rPr>
          <w:szCs w:val="18"/>
        </w:rPr>
        <w:t xml:space="preserve"> nieuwe benadermethodologieën (NAMs) voor biomedisch onderzoek, geneesmiddelen en medische hulpmiddelen</w:t>
      </w:r>
      <w:r>
        <w:rPr>
          <w:szCs w:val="18"/>
        </w:rPr>
        <w:t>;</w:t>
      </w:r>
      <w:r w:rsidRPr="00D12D89">
        <w:rPr>
          <w:szCs w:val="18"/>
        </w:rPr>
        <w:t xml:space="preserve"> en integriteit en ethiek.</w:t>
      </w:r>
    </w:p>
    <w:p w:rsidR="00570349" w:rsidP="001C39DC" w:rsidRDefault="00570349" w14:paraId="4AA4965E" w14:textId="77777777">
      <w:pPr>
        <w:suppressAutoHyphens/>
        <w:rPr>
          <w:szCs w:val="18"/>
        </w:rPr>
      </w:pPr>
    </w:p>
    <w:p w:rsidRPr="00D12D89" w:rsidR="00570349" w:rsidP="001C39DC" w:rsidRDefault="00570349" w14:paraId="272976FB" w14:textId="77777777">
      <w:pPr>
        <w:suppressAutoHyphens/>
        <w:rPr>
          <w:i/>
          <w:iCs/>
          <w:szCs w:val="18"/>
        </w:rPr>
      </w:pPr>
      <w:r w:rsidRPr="00D12D89">
        <w:rPr>
          <w:i/>
          <w:iCs/>
          <w:szCs w:val="18"/>
        </w:rPr>
        <w:t>Nederlandse positie</w:t>
      </w:r>
    </w:p>
    <w:p w:rsidRPr="00D12D89" w:rsidR="00570349" w:rsidP="001C39DC" w:rsidRDefault="00570349" w14:paraId="7CC6450F" w14:textId="77777777">
      <w:pPr>
        <w:suppressAutoHyphens/>
        <w:rPr>
          <w:szCs w:val="18"/>
        </w:rPr>
      </w:pPr>
      <w:r w:rsidRPr="00D12D89">
        <w:rPr>
          <w:szCs w:val="18"/>
        </w:rPr>
        <w:t>Nederland verwelkomt de tweede ERA-beleidsagenda. Het is een belangrijk instrument om de ERA verder te ontwikkelen en de eengemaakte Europese markt voor onderzoek en innovatie (O&amp;I) te versterken. De agenda ondersteunt de Commissie, lidstaten, geassocieerde landen en stakeholders in het gezamenlijk en samenhangend vormgeven van de Europese en nationale O&amp;I-stelsels. Daarmee draagt zij bij aan een meer gelijk speelveld voor O&amp;I binnen Europa.</w:t>
      </w:r>
    </w:p>
    <w:p w:rsidRPr="00D12D89" w:rsidR="00570349" w:rsidP="001C39DC" w:rsidRDefault="00570349" w14:paraId="5D545465" w14:textId="77777777">
      <w:pPr>
        <w:suppressAutoHyphens/>
        <w:rPr>
          <w:szCs w:val="18"/>
        </w:rPr>
      </w:pPr>
      <w:r w:rsidRPr="00D12D89">
        <w:rPr>
          <w:szCs w:val="18"/>
        </w:rPr>
        <w:t xml:space="preserve">Nederland verwelkomt de beleidsagenda ook omdat de </w:t>
      </w:r>
      <w:r>
        <w:rPr>
          <w:szCs w:val="18"/>
        </w:rPr>
        <w:t>19</w:t>
      </w:r>
      <w:r w:rsidRPr="00D12D89">
        <w:rPr>
          <w:szCs w:val="18"/>
        </w:rPr>
        <w:t xml:space="preserve"> acties en thema’s goed aansluiten bij het Nederlandse beleid. Dit is mede te danken aan de actieve Nederlandse betrokkenheid bij de totstandkoming van de agenda, waardoor Nederlandse prioriteiten herkenbaar zijn terug te vinden in de uiteindelijke opzet.</w:t>
      </w:r>
    </w:p>
    <w:p w:rsidR="00570349" w:rsidP="001C39DC" w:rsidRDefault="00570349" w14:paraId="0736A1F4" w14:textId="77777777">
      <w:pPr>
        <w:suppressAutoHyphens/>
        <w:rPr>
          <w:i/>
          <w:iCs/>
          <w:szCs w:val="18"/>
        </w:rPr>
      </w:pPr>
    </w:p>
    <w:p w:rsidRPr="00F360DE" w:rsidR="00570349" w:rsidP="001C39DC" w:rsidRDefault="00570349" w14:paraId="55EFB966" w14:textId="77777777">
      <w:pPr>
        <w:suppressAutoHyphens/>
        <w:rPr>
          <w:i/>
          <w:iCs/>
          <w:szCs w:val="18"/>
        </w:rPr>
      </w:pPr>
      <w:r w:rsidRPr="00F360DE">
        <w:rPr>
          <w:i/>
          <w:iCs/>
          <w:szCs w:val="18"/>
        </w:rPr>
        <w:t xml:space="preserve">Krachtenveld </w:t>
      </w:r>
    </w:p>
    <w:p w:rsidR="00570349" w:rsidP="001C39DC" w:rsidRDefault="00570349" w14:paraId="68A85AE4" w14:textId="77777777">
      <w:pPr>
        <w:suppressAutoHyphens/>
      </w:pPr>
      <w:r w:rsidRPr="00D12D89">
        <w:rPr>
          <w:szCs w:val="18"/>
        </w:rPr>
        <w:t xml:space="preserve">De verwachting is dat er brede steun </w:t>
      </w:r>
      <w:r>
        <w:rPr>
          <w:szCs w:val="18"/>
        </w:rPr>
        <w:t>is</w:t>
      </w:r>
      <w:r w:rsidRPr="00D12D89">
        <w:rPr>
          <w:szCs w:val="18"/>
        </w:rPr>
        <w:t xml:space="preserve"> voor de Raadsaanbeveling, zowel onder de andere lidstaten als bij geassocieerde landen en stakeholders. Deze steun is het resultaat van een zorgvuldig proces dat de afgelopen tweeënhalf jaar is doorlopen. Gedurende dit traject hebben experts, beleidsmakers en andere betrokkenen op een bottom-up manier samengewerkt aan de inhoud van de agenda. </w:t>
      </w:r>
    </w:p>
    <w:p w:rsidR="00570349" w:rsidP="001C39DC" w:rsidRDefault="00570349" w14:paraId="1DB3B8B1" w14:textId="77777777">
      <w:pPr>
        <w:suppressAutoHyphens/>
      </w:pPr>
    </w:p>
    <w:p w:rsidRPr="006760F1" w:rsidR="00570349" w:rsidP="001C39DC" w:rsidRDefault="00570349" w14:paraId="12C12C4E" w14:textId="77777777">
      <w:pPr>
        <w:rPr>
          <w:b/>
          <w:bCs/>
          <w:kern w:val="2"/>
          <w14:ligatures w14:val="standardContextual"/>
        </w:rPr>
      </w:pPr>
      <w:bookmarkStart w:name="_Hlk197016396" w:id="2"/>
      <w:r w:rsidRPr="006760F1">
        <w:rPr>
          <w:b/>
          <w:bCs/>
          <w:kern w:val="2"/>
          <w14:ligatures w14:val="standardContextual"/>
        </w:rPr>
        <w:t>Een Europese strategie voor AI in de wetenschap</w:t>
      </w:r>
    </w:p>
    <w:bookmarkEnd w:id="2"/>
    <w:p w:rsidR="00570349" w:rsidP="001C39DC" w:rsidRDefault="00570349" w14:paraId="17CD6330" w14:textId="77777777">
      <w:pPr>
        <w:rPr>
          <w:i/>
          <w:iCs/>
          <w:kern w:val="2"/>
          <w14:ligatures w14:val="standardContextual"/>
        </w:rPr>
      </w:pPr>
    </w:p>
    <w:p w:rsidRPr="003C3F69" w:rsidR="00570349" w:rsidP="001C39DC" w:rsidRDefault="00570349" w14:paraId="3D62DA6A" w14:textId="77777777">
      <w:pPr>
        <w:suppressAutoHyphens/>
      </w:pPr>
      <w:r w:rsidRPr="003C3F69">
        <w:rPr>
          <w:i/>
          <w:iCs/>
        </w:rPr>
        <w:t>Aanname Raadsconclusies</w:t>
      </w:r>
      <w:r w:rsidRPr="003C3F69">
        <w:t xml:space="preserve"> </w:t>
      </w:r>
    </w:p>
    <w:p w:rsidR="00570349" w:rsidP="001C39DC" w:rsidRDefault="00570349" w14:paraId="1461F445" w14:textId="77777777">
      <w:pPr>
        <w:suppressAutoHyphens/>
      </w:pPr>
      <w:r w:rsidRPr="003C3F69">
        <w:t xml:space="preserve">De Raad neemt naar verwachting de Raadsconclusies aan over het ontwikkelingen van een Europese strategie voor artificiële intelligentie (AI) in de wetenschap. De Raadsconclusies beschrijven het belang </w:t>
      </w:r>
      <w:r>
        <w:t>van het bevorderen van</w:t>
      </w:r>
      <w:r w:rsidRPr="003C3F69">
        <w:t xml:space="preserve"> verantwoord gebruik van AI in de wetenschap. </w:t>
      </w:r>
    </w:p>
    <w:p w:rsidRPr="003C3F69" w:rsidR="00570349" w:rsidP="001C39DC" w:rsidRDefault="00570349" w14:paraId="0CE4B3CA" w14:textId="77777777">
      <w:pPr>
        <w:suppressAutoHyphens/>
      </w:pPr>
      <w:r w:rsidRPr="003C3F69">
        <w:t>De Raadsconclusies roepen op tot Europese coördinatie en steun voor AI in de wetenschap</w:t>
      </w:r>
      <w:r>
        <w:t>;</w:t>
      </w:r>
      <w:r w:rsidRPr="003C3F69">
        <w:t xml:space="preserve"> het verbeteren van vaardigheden</w:t>
      </w:r>
      <w:r>
        <w:t>;</w:t>
      </w:r>
      <w:r w:rsidRPr="003C3F69">
        <w:t xml:space="preserve"> een ethische, duurzame, inclusieve en mensgerichte aanpak bij het gebruik van AI</w:t>
      </w:r>
      <w:r>
        <w:t>;</w:t>
      </w:r>
      <w:r w:rsidRPr="003C3F69">
        <w:t xml:space="preserve"> en toegang tot</w:t>
      </w:r>
      <w:r>
        <w:t xml:space="preserve"> </w:t>
      </w:r>
      <w:r w:rsidRPr="003C3F69">
        <w:t>en synergie met relevante infrastructuren voor AI</w:t>
      </w:r>
      <w:r>
        <w:t>, m</w:t>
      </w:r>
      <w:r w:rsidRPr="003C3F69">
        <w:t>et aandacht voor interdisciplinair onderzoek, data en rekenkracht.</w:t>
      </w:r>
    </w:p>
    <w:p w:rsidRPr="003C3F69" w:rsidR="00570349" w:rsidP="001C39DC" w:rsidRDefault="00570349" w14:paraId="3CD2131E" w14:textId="77777777">
      <w:pPr>
        <w:suppressAutoHyphens/>
        <w:rPr>
          <w:i/>
          <w:iCs/>
        </w:rPr>
      </w:pPr>
    </w:p>
    <w:p w:rsidRPr="003C3F69" w:rsidR="00570349" w:rsidP="001C39DC" w:rsidRDefault="00570349" w14:paraId="62342B5B" w14:textId="77777777">
      <w:pPr>
        <w:suppressAutoHyphens/>
        <w:rPr>
          <w:i/>
          <w:iCs/>
        </w:rPr>
      </w:pPr>
      <w:r w:rsidRPr="003C3F69">
        <w:rPr>
          <w:i/>
          <w:iCs/>
        </w:rPr>
        <w:t>Nederlandse Positie</w:t>
      </w:r>
    </w:p>
    <w:p w:rsidRPr="003C3F69" w:rsidR="00570349" w:rsidP="001C39DC" w:rsidRDefault="00570349" w14:paraId="06702A83" w14:textId="77777777">
      <w:pPr>
        <w:suppressAutoHyphens/>
      </w:pPr>
      <w:r w:rsidRPr="003C3F69">
        <w:t xml:space="preserve">Nederland sluit zich aan bij de oproep voor een Europese AI-strategie voor de wetenschap en </w:t>
      </w:r>
      <w:r>
        <w:t xml:space="preserve">is </w:t>
      </w:r>
      <w:r w:rsidRPr="003C3F69">
        <w:t>voornemens in te stemmen met de Raadsconclusies. Nederland heeft tijdens de onderhandelingen aandacht gevraagd voor coördinatie en synergie tussen AI-gerelateerde initiatieven, verduidelijking over het plan van een European AI Research Council en het belang van transdisciplinair onderzoek.</w:t>
      </w:r>
    </w:p>
    <w:p w:rsidR="00570349" w:rsidP="001C39DC" w:rsidRDefault="00570349" w14:paraId="76AFEB23" w14:textId="77777777">
      <w:pPr>
        <w:suppressAutoHyphens/>
        <w:rPr>
          <w:i/>
          <w:iCs/>
        </w:rPr>
      </w:pPr>
    </w:p>
    <w:p w:rsidRPr="003C3F69" w:rsidR="00570349" w:rsidP="001C39DC" w:rsidRDefault="00570349" w14:paraId="55DC8EA1" w14:textId="77777777">
      <w:pPr>
        <w:suppressAutoHyphens/>
        <w:rPr>
          <w:i/>
          <w:iCs/>
        </w:rPr>
      </w:pPr>
      <w:r w:rsidRPr="003C3F69">
        <w:rPr>
          <w:i/>
          <w:iCs/>
        </w:rPr>
        <w:t>Krachtenveld</w:t>
      </w:r>
    </w:p>
    <w:p w:rsidRPr="003C3F69" w:rsidR="00570349" w:rsidP="001C39DC" w:rsidRDefault="00570349" w14:paraId="0958AC81" w14:textId="77777777">
      <w:pPr>
        <w:suppressAutoHyphens/>
      </w:pPr>
      <w:r w:rsidRPr="003C3F69">
        <w:t>Er is brede steun voor de aanname van Raadsconclusies over de Europese aanpak van AI in de wetenschap. De lidstaten benadrukken het belang van een gezamenlijke boodschap.</w:t>
      </w:r>
    </w:p>
    <w:p w:rsidR="00570349" w:rsidP="001C39DC" w:rsidRDefault="00570349" w14:paraId="29DE8790" w14:textId="77777777">
      <w:pPr>
        <w:suppressAutoHyphens/>
        <w:rPr>
          <w:b/>
          <w:bCs/>
        </w:rPr>
      </w:pPr>
    </w:p>
    <w:p w:rsidRPr="00F360DE" w:rsidR="00570349" w:rsidP="001C39DC" w:rsidRDefault="00570349" w14:paraId="590369B7" w14:textId="459FFC54">
      <w:pPr>
        <w:suppressAutoHyphens/>
        <w:rPr>
          <w:b/>
          <w:bCs/>
          <w:szCs w:val="18"/>
        </w:rPr>
      </w:pPr>
      <w:bookmarkStart w:name="_Hlk197013554" w:id="3"/>
      <w:r w:rsidRPr="00F360DE">
        <w:rPr>
          <w:b/>
          <w:bCs/>
          <w:szCs w:val="18"/>
        </w:rPr>
        <w:t>Tussentijdse evaluatie van Horizon Europe: getrokken lessen en vooruitblik richting het volgende kaderprogramma voor onderzoek en innovatie (KP10)</w:t>
      </w:r>
    </w:p>
    <w:bookmarkEnd w:id="3"/>
    <w:p w:rsidR="00570349" w:rsidP="001C39DC" w:rsidRDefault="00570349" w14:paraId="72FB797A" w14:textId="77777777">
      <w:pPr>
        <w:suppressAutoHyphens/>
        <w:rPr>
          <w:i/>
          <w:iCs/>
          <w:szCs w:val="18"/>
        </w:rPr>
      </w:pPr>
    </w:p>
    <w:p w:rsidRPr="00F360DE" w:rsidR="00570349" w:rsidP="001C39DC" w:rsidRDefault="00570349" w14:paraId="34704205" w14:textId="77777777">
      <w:pPr>
        <w:suppressAutoHyphens/>
        <w:rPr>
          <w:i/>
          <w:iCs/>
          <w:szCs w:val="18"/>
        </w:rPr>
      </w:pPr>
      <w:r w:rsidRPr="00F360DE">
        <w:rPr>
          <w:i/>
          <w:iCs/>
          <w:szCs w:val="18"/>
        </w:rPr>
        <w:t>Beleidsdebat</w:t>
      </w:r>
    </w:p>
    <w:p w:rsidRPr="00F360DE" w:rsidR="00570349" w:rsidP="001C39DC" w:rsidRDefault="00570349" w14:paraId="51A187AB" w14:textId="77777777">
      <w:pPr>
        <w:suppressAutoHyphens/>
        <w:rPr>
          <w:i/>
          <w:iCs/>
          <w:szCs w:val="18"/>
        </w:rPr>
      </w:pPr>
      <w:r w:rsidRPr="00F360DE">
        <w:rPr>
          <w:rFonts w:eastAsia="Aptos"/>
          <w:kern w:val="2"/>
          <w:szCs w:val="18"/>
          <w:lang w:eastAsia="en-US"/>
          <w14:ligatures w14:val="standardContextual"/>
        </w:rPr>
        <w:t>De Raad voert een debat over de tussentijdse evaluatie van Horizon Europe (KP9) en blikt daarbij vooruit op het volgende Europese kaderprogramma voor onderzoek en innovatie (KP10). Dit debat wordt gehouden op basis van het recent verschenen tussentijdse evaluatierapport, d.d. 30 april jl.</w:t>
      </w:r>
      <w:r w:rsidRPr="00F360DE">
        <w:rPr>
          <w:rFonts w:eastAsia="Aptos"/>
          <w:kern w:val="2"/>
          <w:szCs w:val="18"/>
          <w:vertAlign w:val="superscript"/>
          <w:lang w:eastAsia="en-US"/>
          <w14:ligatures w14:val="standardContextual"/>
        </w:rPr>
        <w:footnoteReference w:id="12"/>
      </w:r>
      <w:r w:rsidRPr="00F360DE">
        <w:rPr>
          <w:rFonts w:eastAsia="Aptos"/>
          <w:kern w:val="2"/>
          <w:szCs w:val="18"/>
          <w:lang w:eastAsia="en-US"/>
          <w14:ligatures w14:val="standardContextual"/>
        </w:rPr>
        <w:t xml:space="preserve"> Uit de evaluatie komt naar voren dat elke euro uitgegeven via Horizon Europe in 2045 met 11 euro bijdraagt aan economische groei. De aanpak waarbij ongebonden fundamenteel onderzoek, thematisch gedreven collaboratief</w:t>
      </w:r>
      <w:r w:rsidRPr="00F360DE">
        <w:rPr>
          <w:rFonts w:eastAsia="Aptos"/>
          <w:i/>
          <w:iCs/>
          <w:kern w:val="2"/>
          <w:szCs w:val="18"/>
          <w:lang w:eastAsia="en-US"/>
          <w14:ligatures w14:val="standardContextual"/>
        </w:rPr>
        <w:t xml:space="preserve"> </w:t>
      </w:r>
      <w:r w:rsidRPr="00F360DE">
        <w:rPr>
          <w:rFonts w:eastAsia="Aptos"/>
          <w:kern w:val="2"/>
          <w:szCs w:val="18"/>
          <w:lang w:eastAsia="en-US"/>
          <w14:ligatures w14:val="standardContextual"/>
        </w:rPr>
        <w:t>onderzoek en opschaling</w:t>
      </w:r>
      <w:r>
        <w:rPr>
          <w:rFonts w:eastAsia="Aptos"/>
          <w:kern w:val="2"/>
          <w:szCs w:val="18"/>
          <w:lang w:eastAsia="en-US"/>
          <w14:ligatures w14:val="standardContextual"/>
        </w:rPr>
        <w:t xml:space="preserve"> van innovaties</w:t>
      </w:r>
      <w:r w:rsidRPr="00F360DE">
        <w:rPr>
          <w:rFonts w:eastAsia="Aptos"/>
          <w:kern w:val="2"/>
          <w:szCs w:val="18"/>
          <w:lang w:eastAsia="en-US"/>
          <w14:ligatures w14:val="standardContextual"/>
        </w:rPr>
        <w:t xml:space="preserve"> zorgt voor mobilisatie van publieke en private investeringen, versterkt het concurrentievermogen van de EU. Ook komt uit de evaluatie naar voren dat van elke 10 excellent beoordeelde aanvragen slechts drie financiering konden ontvangen. Het is op het moment van schrijven nog niet bekend welke elementen van dit rapport het Poolse voorzitterschap met name zou willen bespreken. </w:t>
      </w:r>
    </w:p>
    <w:p w:rsidRPr="00F360DE" w:rsidR="00570349" w:rsidP="001C39DC" w:rsidRDefault="00570349" w14:paraId="3CDE7A65" w14:textId="77777777">
      <w:pPr>
        <w:suppressAutoHyphens/>
        <w:rPr>
          <w:i/>
          <w:iCs/>
          <w:szCs w:val="18"/>
        </w:rPr>
      </w:pPr>
    </w:p>
    <w:p w:rsidRPr="00F360DE" w:rsidR="00570349" w:rsidP="001C39DC" w:rsidRDefault="00570349" w14:paraId="3E0A5546" w14:textId="77777777">
      <w:pPr>
        <w:suppressAutoHyphens/>
        <w:rPr>
          <w:i/>
          <w:iCs/>
          <w:szCs w:val="18"/>
        </w:rPr>
      </w:pPr>
      <w:bookmarkStart w:name="_Hlk197016274" w:id="4"/>
      <w:r w:rsidRPr="00F360DE">
        <w:rPr>
          <w:i/>
          <w:iCs/>
          <w:szCs w:val="18"/>
        </w:rPr>
        <w:t>Nederlandse positie</w:t>
      </w:r>
    </w:p>
    <w:bookmarkEnd w:id="4"/>
    <w:p w:rsidRPr="00F360DE" w:rsidR="00570349" w:rsidP="001C39DC" w:rsidRDefault="00570349" w14:paraId="2D763D71" w14:textId="77777777">
      <w:pPr>
        <w:rPr>
          <w:rFonts w:eastAsia="Aptos"/>
          <w:kern w:val="2"/>
          <w:szCs w:val="18"/>
          <w:lang w:eastAsia="en-US"/>
          <w14:ligatures w14:val="standardContextual"/>
        </w:rPr>
      </w:pPr>
      <w:r w:rsidRPr="00F360DE">
        <w:rPr>
          <w:rFonts w:eastAsia="Aptos"/>
          <w:kern w:val="2"/>
          <w:szCs w:val="18"/>
          <w:lang w:eastAsia="en-US"/>
          <w14:ligatures w14:val="standardContextual"/>
        </w:rPr>
        <w:t xml:space="preserve">Het EU kaderprogramma voor onderzoek en innovatie (O&amp;I) is belangrijk voor Nederland. Nederlandse deelnemers, zoals universiteiten, hogescholen, onderzoeksinstellingen en bedrijven (industrie en mkb), doen zeer succesvol mee in het huidige kaderprogramma Horizon Europe (2021-2027). Het kaderprogramma stelt het Nederlandse kennisveld en het innovatieve bedrijfsleven onder meer in staat om wereldwijd aan de O&amp;I-top mee te doen, bij te dragen aan het oplossen van maatschappelijke uitdagingen en het versterken van het concurrentievermogen en de open strategische autonomie van Nederland en de EU. Het op 14 oktober 2024 aan u verzonden Nederlandse </w:t>
      </w:r>
      <w:r w:rsidRPr="00F360DE">
        <w:rPr>
          <w:rFonts w:eastAsia="Aptos"/>
          <w:i/>
          <w:iCs/>
          <w:kern w:val="2"/>
          <w:szCs w:val="18"/>
          <w:lang w:eastAsia="en-US"/>
          <w14:ligatures w14:val="standardContextual"/>
        </w:rPr>
        <w:t>vision paper</w:t>
      </w:r>
      <w:r w:rsidRPr="00F360DE">
        <w:rPr>
          <w:rFonts w:eastAsia="Aptos"/>
          <w:kern w:val="2"/>
          <w:szCs w:val="18"/>
          <w:lang w:eastAsia="en-US"/>
          <w14:ligatures w14:val="standardContextual"/>
        </w:rPr>
        <w:t xml:space="preserve"> over het volgende kaderprogramma</w:t>
      </w:r>
      <w:r w:rsidRPr="00F360DE">
        <w:rPr>
          <w:rFonts w:eastAsia="Aptos"/>
          <w:bCs/>
          <w:kern w:val="2"/>
          <w:szCs w:val="18"/>
          <w:vertAlign w:val="superscript"/>
          <w:lang w:eastAsia="en-US"/>
          <w14:ligatures w14:val="standardContextual"/>
        </w:rPr>
        <w:footnoteReference w:id="13"/>
      </w:r>
      <w:r w:rsidRPr="00F360DE">
        <w:rPr>
          <w:rFonts w:eastAsia="Aptos"/>
          <w:kern w:val="2"/>
          <w:szCs w:val="18"/>
          <w:lang w:eastAsia="en-US"/>
          <w14:ligatures w14:val="standardContextual"/>
        </w:rPr>
        <w:t xml:space="preserve"> beschrijft de noodzaak van voortzetting van het succes van Horizon Europe voor Nederland. De hoofdlijneninzet van het Nederlandse kabinet ter voorbereiding op de aanstaande onderhandelingen over het Meerjarig Financieel Kader van de EU voor de periode vanaf 2028, zet in op O&amp;I als fundament voor het versterken van het Europees concurrentievermogen. Een coherent kaderprogramma draagt hieraan bij. De uitkomsten van de tussentijdse evaluatie lijken goed aan te sluiten bij het </w:t>
      </w:r>
      <w:r w:rsidRPr="00F360DE">
        <w:rPr>
          <w:rFonts w:eastAsia="Aptos"/>
          <w:i/>
          <w:iCs/>
          <w:kern w:val="2"/>
          <w:szCs w:val="18"/>
          <w:lang w:eastAsia="en-US"/>
          <w14:ligatures w14:val="standardContextual"/>
        </w:rPr>
        <w:t>vision paper</w:t>
      </w:r>
      <w:r w:rsidRPr="00F360DE">
        <w:rPr>
          <w:rFonts w:eastAsia="Aptos"/>
          <w:kern w:val="2"/>
          <w:szCs w:val="18"/>
          <w:lang w:eastAsia="en-US"/>
          <w14:ligatures w14:val="standardContextual"/>
        </w:rPr>
        <w:t xml:space="preserve">. </w:t>
      </w:r>
    </w:p>
    <w:p w:rsidRPr="00F360DE" w:rsidR="00570349" w:rsidP="001C39DC" w:rsidRDefault="00570349" w14:paraId="2C1FD7D1" w14:textId="77777777">
      <w:pPr>
        <w:suppressAutoHyphens/>
        <w:rPr>
          <w:i/>
          <w:iCs/>
          <w:szCs w:val="18"/>
        </w:rPr>
      </w:pPr>
      <w:bookmarkStart w:name="_Hlk197016288" w:id="5"/>
      <w:r w:rsidRPr="00F360DE">
        <w:rPr>
          <w:i/>
          <w:iCs/>
          <w:szCs w:val="18"/>
        </w:rPr>
        <w:t xml:space="preserve">Krachtenveld </w:t>
      </w:r>
    </w:p>
    <w:bookmarkEnd w:id="5"/>
    <w:p w:rsidR="00570349" w:rsidP="001C39DC" w:rsidRDefault="00570349" w14:paraId="5CA73681" w14:textId="212A5E03">
      <w:pPr>
        <w:suppressAutoHyphens/>
        <w:rPr>
          <w:rFonts w:eastAsia="Calibri"/>
          <w:kern w:val="2"/>
          <w:lang w:eastAsia="en-US"/>
          <w14:ligatures w14:val="standardContextual"/>
        </w:rPr>
      </w:pPr>
      <w:r w:rsidRPr="23B2565D">
        <w:t xml:space="preserve">Tijdens de informele Raad voor </w:t>
      </w:r>
      <w:r w:rsidRPr="23B2565D">
        <w:rPr>
          <w:rFonts w:eastAsia="Aptos"/>
          <w:kern w:val="2"/>
          <w:lang w:eastAsia="en-US"/>
          <w14:ligatures w14:val="standardContextual"/>
        </w:rPr>
        <w:t xml:space="preserve">Concurrentievermogen van 10-11 maart 2025 jl. gingen alle lidstaten, vanwege de aanhoudende onduidelijkheid rondom het door de Commissie aangekondigde concurrentievermogenfonds, in op het belang van een samenhangend kaderprogramma, inclusief collaboratief onderzoek, en de noodzakelijke randvoorwaarden om O&amp;I als cruciale basis voor versterking van het concurrentievermogen te verankeren richting het volgende Meerjarig Financieel Kader (MFK). Dit is door het Poolse </w:t>
      </w:r>
      <w:r w:rsidRPr="23B2565D">
        <w:rPr>
          <w:rFonts w:eastAsia="Calibri"/>
          <w:kern w:val="2"/>
          <w:lang w:eastAsia="en-US"/>
          <w14:ligatures w14:val="standardContextual"/>
        </w:rPr>
        <w:t>voorzitterschap weergegeven in de ‘Warsaw Declaration’</w:t>
      </w:r>
      <w:r w:rsidRPr="23B2565D">
        <w:rPr>
          <w:rFonts w:eastAsia="Calibri"/>
          <w:kern w:val="2"/>
          <w:vertAlign w:val="superscript"/>
          <w:lang w:eastAsia="en-US"/>
          <w14:ligatures w14:val="standardContextual"/>
        </w:rPr>
        <w:footnoteReference w:id="14"/>
      </w:r>
      <w:r w:rsidRPr="23B2565D">
        <w:rPr>
          <w:rFonts w:eastAsia="Calibri"/>
          <w:kern w:val="2"/>
          <w:lang w:eastAsia="en-US"/>
          <w14:ligatures w14:val="standardContextual"/>
        </w:rPr>
        <w:t xml:space="preserve">, die door alle lidstaten is onderschreven. Naar verwachting zal de Warsaw </w:t>
      </w:r>
      <w:r w:rsidRPr="23B2565D" w:rsidR="00784F62">
        <w:rPr>
          <w:rFonts w:eastAsia="Calibri"/>
          <w:kern w:val="2"/>
          <w:lang w:eastAsia="en-US"/>
          <w14:ligatures w14:val="standardContextual"/>
        </w:rPr>
        <w:t xml:space="preserve">Verklaring </w:t>
      </w:r>
      <w:r w:rsidRPr="23B2565D">
        <w:rPr>
          <w:rFonts w:eastAsia="Calibri"/>
          <w:kern w:val="2"/>
          <w:lang w:eastAsia="en-US"/>
          <w14:ligatures w14:val="standardContextual"/>
        </w:rPr>
        <w:t>voor veel lidstaten het vertrekpunt zijn voor dit debat</w:t>
      </w:r>
      <w:r w:rsidR="00D54CF9">
        <w:rPr>
          <w:rFonts w:eastAsia="Calibri"/>
          <w:kern w:val="2"/>
          <w:lang w:eastAsia="en-US"/>
          <w14:ligatures w14:val="standardContextual"/>
        </w:rPr>
        <w:t>.</w:t>
      </w:r>
      <w:r w:rsidRPr="23B2565D">
        <w:rPr>
          <w:rFonts w:eastAsia="Calibri"/>
          <w:kern w:val="2"/>
          <w:vertAlign w:val="superscript"/>
          <w:lang w:eastAsia="en-US"/>
          <w14:ligatures w14:val="standardContextual"/>
        </w:rPr>
        <w:footnoteReference w:id="15"/>
      </w:r>
      <w:r w:rsidRPr="23B2565D">
        <w:rPr>
          <w:rFonts w:eastAsia="Calibri"/>
          <w:kern w:val="2"/>
          <w:lang w:eastAsia="en-US"/>
          <w14:ligatures w14:val="standardContextual"/>
        </w:rPr>
        <w:t xml:space="preserve"> </w:t>
      </w:r>
    </w:p>
    <w:p w:rsidR="00570349" w:rsidP="001C39DC" w:rsidRDefault="00570349" w14:paraId="15E2DAF1" w14:textId="77777777">
      <w:pPr>
        <w:suppressAutoHyphens/>
        <w:rPr>
          <w:rFonts w:eastAsia="Calibri"/>
          <w:kern w:val="2"/>
          <w:szCs w:val="18"/>
          <w:lang w:eastAsia="en-US"/>
          <w14:ligatures w14:val="standardContextual"/>
        </w:rPr>
      </w:pPr>
    </w:p>
    <w:p w:rsidR="00570349" w:rsidP="001C39DC" w:rsidRDefault="00570349" w14:paraId="3AF60E7E" w14:textId="77777777">
      <w:pPr>
        <w:suppressAutoHyphens/>
        <w:rPr>
          <w:b/>
          <w:bCs/>
        </w:rPr>
      </w:pPr>
      <w:r w:rsidRPr="00305F37">
        <w:rPr>
          <w:b/>
          <w:bCs/>
        </w:rPr>
        <w:t>Diversenpunt</w:t>
      </w:r>
    </w:p>
    <w:p w:rsidRPr="00784F62" w:rsidR="00570349" w:rsidP="001C39DC" w:rsidRDefault="00570349" w14:paraId="0C96C16E" w14:textId="77777777">
      <w:pPr>
        <w:pStyle w:val="Geenafstand"/>
        <w:suppressAutoHyphens/>
        <w:spacing w:line="240" w:lineRule="atLeast"/>
        <w:rPr>
          <w:rFonts w:ascii="Verdana" w:hAnsi="Verdana"/>
          <w:sz w:val="18"/>
          <w:szCs w:val="18"/>
        </w:rPr>
      </w:pPr>
      <w:r w:rsidRPr="00784F62">
        <w:rPr>
          <w:rFonts w:ascii="Verdana" w:hAnsi="Verdana"/>
          <w:sz w:val="18"/>
          <w:szCs w:val="18"/>
        </w:rPr>
        <w:t>Er staat een diversenpunt op de agenda met betrekking tot het inkomend Deens voorzitterschap. Denemarken zal een toelichting geven op de prioriteiten van het voorzitterschap.</w:t>
      </w:r>
    </w:p>
    <w:p w:rsidRPr="00784F62" w:rsidR="00570349" w:rsidP="001C39DC" w:rsidRDefault="00570349" w14:paraId="7D7596BB" w14:textId="77777777">
      <w:pPr>
        <w:jc w:val="both"/>
        <w:rPr>
          <w:b/>
        </w:rPr>
      </w:pPr>
    </w:p>
    <w:p w:rsidRPr="00D166AD" w:rsidR="006C0DED" w:rsidP="001C39DC" w:rsidRDefault="006C0DED" w14:paraId="24130A50" w14:textId="30BABBC5">
      <w:pPr>
        <w:jc w:val="both"/>
        <w:rPr>
          <w:b/>
          <w:u w:val="single"/>
        </w:rPr>
      </w:pPr>
      <w:r w:rsidRPr="00D166AD">
        <w:rPr>
          <w:b/>
          <w:u w:val="single"/>
        </w:rPr>
        <w:t xml:space="preserve">Ruimtevaart (23 mei 2025) </w:t>
      </w:r>
    </w:p>
    <w:p w:rsidRPr="00D166AD" w:rsidR="007C75B5" w:rsidP="001C39DC" w:rsidRDefault="007C75B5" w14:paraId="301ACF89" w14:textId="77777777">
      <w:pPr>
        <w:jc w:val="both"/>
        <w:rPr>
          <w:b/>
          <w:u w:val="single"/>
        </w:rPr>
      </w:pPr>
    </w:p>
    <w:p w:rsidRPr="00217E30" w:rsidR="007C75B5" w:rsidP="001C39DC" w:rsidRDefault="00217E30" w14:paraId="15781FF4" w14:textId="426BC322">
      <w:pPr>
        <w:rPr>
          <w:b/>
          <w:bCs/>
        </w:rPr>
      </w:pPr>
      <w:bookmarkStart w:name="OLE_LINK32" w:id="6"/>
      <w:r w:rsidRPr="00217E30">
        <w:rPr>
          <w:b/>
          <w:bCs/>
        </w:rPr>
        <w:t>Ruimtevaartdata voor meer veerkracht, veiligheid en crisisbeheer in de E</w:t>
      </w:r>
      <w:r>
        <w:rPr>
          <w:b/>
          <w:bCs/>
        </w:rPr>
        <w:t>uropese Unie</w:t>
      </w:r>
    </w:p>
    <w:p w:rsidR="00217E30" w:rsidP="001C39DC" w:rsidRDefault="00217E30" w14:paraId="235FD1F2" w14:textId="45879684">
      <w:pPr>
        <w:rPr>
          <w:bCs/>
          <w:i/>
          <w:iCs/>
        </w:rPr>
      </w:pPr>
      <w:r w:rsidRPr="00217E30">
        <w:rPr>
          <w:bCs/>
          <w:i/>
          <w:iCs/>
        </w:rPr>
        <w:t>(</w:t>
      </w:r>
      <w:r>
        <w:rPr>
          <w:bCs/>
          <w:i/>
          <w:iCs/>
        </w:rPr>
        <w:t>G</w:t>
      </w:r>
      <w:r w:rsidRPr="00217E30">
        <w:rPr>
          <w:bCs/>
          <w:i/>
          <w:iCs/>
        </w:rPr>
        <w:t>edachtewisseling)</w:t>
      </w:r>
    </w:p>
    <w:p w:rsidRPr="00217E30" w:rsidR="00217E30" w:rsidP="001C39DC" w:rsidRDefault="00217E30" w14:paraId="5A619FF7" w14:textId="77777777">
      <w:pPr>
        <w:rPr>
          <w:bCs/>
          <w:i/>
          <w:iCs/>
        </w:rPr>
      </w:pPr>
    </w:p>
    <w:p w:rsidRPr="003D315D" w:rsidR="002460C4" w:rsidP="001C39DC" w:rsidRDefault="002460C4" w14:paraId="585E2F92" w14:textId="77777777">
      <w:pPr>
        <w:pStyle w:val="Geenafstand"/>
        <w:spacing w:line="240" w:lineRule="atLeast"/>
        <w:rPr>
          <w:rFonts w:ascii="Verdana" w:hAnsi="Verdana"/>
          <w:i/>
          <w:iCs/>
          <w:sz w:val="18"/>
          <w:szCs w:val="18"/>
        </w:rPr>
      </w:pPr>
      <w:r w:rsidRPr="003D315D">
        <w:rPr>
          <w:rFonts w:ascii="Verdana" w:hAnsi="Verdana"/>
          <w:i/>
          <w:iCs/>
          <w:sz w:val="18"/>
          <w:szCs w:val="18"/>
        </w:rPr>
        <w:t>Toelichting agendapunt</w:t>
      </w:r>
    </w:p>
    <w:p w:rsidRPr="003D315D" w:rsidR="002460C4" w:rsidP="001C39DC" w:rsidRDefault="00FD6EB7" w14:paraId="1727194B" w14:textId="575F1F2E">
      <w:pPr>
        <w:pStyle w:val="Geenafstand"/>
        <w:spacing w:line="240" w:lineRule="atLeast"/>
        <w:rPr>
          <w:rFonts w:ascii="Verdana" w:hAnsi="Verdana"/>
          <w:sz w:val="18"/>
          <w:szCs w:val="18"/>
        </w:rPr>
      </w:pPr>
      <w:r>
        <w:rPr>
          <w:rFonts w:ascii="Verdana" w:hAnsi="Verdana"/>
          <w:sz w:val="18"/>
          <w:szCs w:val="18"/>
        </w:rPr>
        <w:t>De Raad zal spreken over</w:t>
      </w:r>
      <w:r w:rsidRPr="003D315D" w:rsidR="002460C4">
        <w:rPr>
          <w:rFonts w:ascii="Verdana" w:hAnsi="Verdana"/>
          <w:sz w:val="18"/>
          <w:szCs w:val="18"/>
        </w:rPr>
        <w:t xml:space="preserve"> het beter benutten van satellietdata uit aardobservatieconstellaties, zoals via Copernicus, voor civiele bescherming en crisisbeheer binnen de EU. De focus ligt op snellere detectie, analyse en respons bij natuur- en milieurampen, volksgezondheidsdreigingen, migratiestromen en bredere maatschappelijke ontwrichtingen. Er is bijzondere aandacht voor de rol van kunstmatige intelligentie (AI) om grote hoeveelheden satellietdata sneller en efficiënter te analyseren. De inzet is om bestaande en geplande infrastructuren beter te integreren, met interoperabiliteit, open data waar mogelijk, en</w:t>
      </w:r>
      <w:r w:rsidR="002460C4">
        <w:rPr>
          <w:rFonts w:ascii="Verdana" w:hAnsi="Verdana"/>
          <w:sz w:val="18"/>
          <w:szCs w:val="18"/>
        </w:rPr>
        <w:t xml:space="preserve"> </w:t>
      </w:r>
      <w:r w:rsidRPr="003D315D" w:rsidR="002460C4">
        <w:rPr>
          <w:rFonts w:ascii="Verdana" w:hAnsi="Verdana"/>
          <w:sz w:val="18"/>
          <w:szCs w:val="18"/>
        </w:rPr>
        <w:t>cybersecuritynormen als belangrijke randvoorwaarden.</w:t>
      </w:r>
    </w:p>
    <w:p w:rsidRPr="003D315D" w:rsidR="002460C4" w:rsidP="001C39DC" w:rsidRDefault="002460C4" w14:paraId="52021083" w14:textId="77777777">
      <w:pPr>
        <w:pStyle w:val="Geenafstand"/>
        <w:spacing w:line="240" w:lineRule="atLeast"/>
        <w:rPr>
          <w:rFonts w:ascii="Verdana" w:hAnsi="Verdana"/>
          <w:i/>
          <w:iCs/>
          <w:sz w:val="18"/>
          <w:szCs w:val="18"/>
        </w:rPr>
      </w:pPr>
    </w:p>
    <w:p w:rsidRPr="003D315D" w:rsidR="002460C4" w:rsidP="001C39DC" w:rsidRDefault="002460C4" w14:paraId="34404942" w14:textId="7806893D">
      <w:pPr>
        <w:pStyle w:val="Geenafstand"/>
        <w:spacing w:line="240" w:lineRule="atLeast"/>
        <w:rPr>
          <w:rFonts w:ascii="Verdana" w:hAnsi="Verdana"/>
          <w:i/>
          <w:iCs/>
          <w:sz w:val="18"/>
          <w:szCs w:val="18"/>
        </w:rPr>
      </w:pPr>
      <w:r w:rsidRPr="003D315D">
        <w:rPr>
          <w:rFonts w:ascii="Verdana" w:hAnsi="Verdana"/>
          <w:i/>
          <w:iCs/>
          <w:sz w:val="18"/>
          <w:szCs w:val="18"/>
        </w:rPr>
        <w:t>N</w:t>
      </w:r>
      <w:r>
        <w:rPr>
          <w:rFonts w:ascii="Verdana" w:hAnsi="Verdana"/>
          <w:i/>
          <w:iCs/>
          <w:sz w:val="18"/>
          <w:szCs w:val="18"/>
        </w:rPr>
        <w:t xml:space="preserve">ederlandse </w:t>
      </w:r>
      <w:r w:rsidRPr="003D315D">
        <w:rPr>
          <w:rFonts w:ascii="Verdana" w:hAnsi="Verdana"/>
          <w:i/>
          <w:iCs/>
          <w:sz w:val="18"/>
          <w:szCs w:val="18"/>
        </w:rPr>
        <w:t>positie</w:t>
      </w:r>
    </w:p>
    <w:p w:rsidRPr="005471B5" w:rsidR="002460C4" w:rsidP="001C39DC" w:rsidRDefault="002460C4" w14:paraId="0A618EDF" w14:textId="30B37571">
      <w:pPr>
        <w:pStyle w:val="Geenafstand"/>
        <w:spacing w:line="240" w:lineRule="atLeast"/>
        <w:rPr>
          <w:rFonts w:ascii="Verdana" w:hAnsi="Verdana"/>
          <w:sz w:val="18"/>
          <w:szCs w:val="18"/>
        </w:rPr>
      </w:pPr>
      <w:r w:rsidRPr="003D315D">
        <w:rPr>
          <w:rFonts w:ascii="Verdana" w:hAnsi="Verdana"/>
          <w:sz w:val="18"/>
          <w:szCs w:val="18"/>
        </w:rPr>
        <w:t>Nederland steunt het gebruik van satellietdata voor civiele bescherming, vooral waar dit bijdraagt aan snellere en effectievere crisisrespons. Daarbij is het belangrijk dat wordt voortgebouwd op bestaande programma’s zoals Copernicus en dat nieuwe initiatieven goed aansluiten op wat er al is.</w:t>
      </w:r>
      <w:r w:rsidR="00BA4D37">
        <w:rPr>
          <w:rFonts w:ascii="Verdana" w:hAnsi="Verdana"/>
          <w:sz w:val="18"/>
          <w:szCs w:val="18"/>
        </w:rPr>
        <w:t xml:space="preserve"> </w:t>
      </w:r>
      <w:r w:rsidRPr="003D315D">
        <w:rPr>
          <w:rFonts w:ascii="Verdana" w:hAnsi="Verdana"/>
          <w:sz w:val="18"/>
          <w:szCs w:val="18"/>
        </w:rPr>
        <w:t>Nederland benadrukt het belang van open en toegankelijke data</w:t>
      </w:r>
      <w:r>
        <w:rPr>
          <w:rFonts w:ascii="Verdana" w:hAnsi="Verdana"/>
          <w:sz w:val="18"/>
          <w:szCs w:val="18"/>
        </w:rPr>
        <w:t xml:space="preserve"> </w:t>
      </w:r>
      <w:r w:rsidRPr="003D315D">
        <w:rPr>
          <w:rFonts w:ascii="Verdana" w:hAnsi="Verdana"/>
          <w:sz w:val="18"/>
          <w:szCs w:val="18"/>
        </w:rPr>
        <w:t xml:space="preserve">waar mogelijk, </w:t>
      </w:r>
      <w:r>
        <w:rPr>
          <w:rFonts w:ascii="Verdana" w:hAnsi="Verdana"/>
          <w:sz w:val="18"/>
          <w:szCs w:val="18"/>
        </w:rPr>
        <w:t>e</w:t>
      </w:r>
      <w:r w:rsidRPr="003D315D">
        <w:rPr>
          <w:rFonts w:ascii="Verdana" w:hAnsi="Verdana"/>
          <w:sz w:val="18"/>
          <w:szCs w:val="18"/>
        </w:rPr>
        <w:t>n van duidelijke afspraken over wanneer toegang beperkt moet zijn</w:t>
      </w:r>
      <w:r>
        <w:rPr>
          <w:rFonts w:ascii="Verdana" w:hAnsi="Verdana"/>
          <w:sz w:val="18"/>
          <w:szCs w:val="18"/>
        </w:rPr>
        <w:t xml:space="preserve">, </w:t>
      </w:r>
      <w:r w:rsidRPr="003D315D">
        <w:rPr>
          <w:rFonts w:ascii="Verdana" w:hAnsi="Verdana"/>
          <w:sz w:val="18"/>
          <w:szCs w:val="18"/>
        </w:rPr>
        <w:t>bijvoorbeeld vanwege veiligheidsoverwegingen.</w:t>
      </w:r>
      <w:r w:rsidR="00BA4D37">
        <w:rPr>
          <w:rFonts w:ascii="Verdana" w:hAnsi="Verdana"/>
          <w:sz w:val="18"/>
          <w:szCs w:val="18"/>
        </w:rPr>
        <w:t xml:space="preserve"> Verder verwelkomt </w:t>
      </w:r>
      <w:r w:rsidRPr="003D315D">
        <w:rPr>
          <w:rFonts w:ascii="Verdana" w:hAnsi="Verdana"/>
          <w:sz w:val="18"/>
          <w:szCs w:val="18"/>
        </w:rPr>
        <w:t>Nederland de aandacht voor interoperabiliteit, zodat systemen op elkaar aansluiten en data-uitwisseling efficiënt en betrouwbaar verloopt.</w:t>
      </w:r>
      <w:r>
        <w:rPr>
          <w:rFonts w:ascii="Verdana" w:hAnsi="Verdana"/>
          <w:sz w:val="18"/>
          <w:szCs w:val="18"/>
        </w:rPr>
        <w:t xml:space="preserve"> Hierbij is samenwerking </w:t>
      </w:r>
      <w:r w:rsidRPr="005471B5">
        <w:rPr>
          <w:rFonts w:ascii="Verdana" w:hAnsi="Verdana"/>
          <w:sz w:val="18"/>
          <w:szCs w:val="18"/>
        </w:rPr>
        <w:t>met kennisinstellingen, het mkb en hulpdiensten</w:t>
      </w:r>
      <w:r>
        <w:rPr>
          <w:rFonts w:ascii="Verdana" w:hAnsi="Verdana"/>
          <w:sz w:val="18"/>
          <w:szCs w:val="18"/>
        </w:rPr>
        <w:t xml:space="preserve"> van belang.</w:t>
      </w:r>
    </w:p>
    <w:p w:rsidRPr="003D315D" w:rsidR="002460C4" w:rsidP="001C39DC" w:rsidRDefault="002460C4" w14:paraId="5BB2BFCD" w14:textId="77777777">
      <w:pPr>
        <w:pStyle w:val="Geenafstand"/>
        <w:spacing w:line="240" w:lineRule="atLeast"/>
        <w:rPr>
          <w:rFonts w:ascii="Verdana" w:hAnsi="Verdana"/>
          <w:i/>
          <w:iCs/>
          <w:sz w:val="18"/>
          <w:szCs w:val="18"/>
        </w:rPr>
      </w:pPr>
    </w:p>
    <w:p w:rsidRPr="003D315D" w:rsidR="002460C4" w:rsidP="001C39DC" w:rsidRDefault="002460C4" w14:paraId="7374FD8D" w14:textId="77777777">
      <w:pPr>
        <w:pStyle w:val="Geenafstand"/>
        <w:spacing w:line="240" w:lineRule="atLeast"/>
        <w:rPr>
          <w:rFonts w:ascii="Verdana" w:hAnsi="Verdana"/>
          <w:i/>
          <w:iCs/>
          <w:sz w:val="18"/>
          <w:szCs w:val="18"/>
        </w:rPr>
      </w:pPr>
      <w:r w:rsidRPr="003D315D">
        <w:rPr>
          <w:rFonts w:ascii="Verdana" w:hAnsi="Verdana"/>
          <w:i/>
          <w:iCs/>
          <w:sz w:val="18"/>
          <w:szCs w:val="18"/>
        </w:rPr>
        <w:t xml:space="preserve">Krachtenveld </w:t>
      </w:r>
    </w:p>
    <w:p w:rsidRPr="005471B5" w:rsidR="002460C4" w:rsidP="001C39DC" w:rsidRDefault="002460C4" w14:paraId="52D6FC77" w14:textId="3B80CA5E">
      <w:pPr>
        <w:pStyle w:val="Geenafstand"/>
        <w:spacing w:line="240" w:lineRule="atLeast"/>
        <w:rPr>
          <w:rFonts w:ascii="Verdana" w:hAnsi="Verdana"/>
          <w:sz w:val="18"/>
          <w:szCs w:val="18"/>
        </w:rPr>
      </w:pPr>
      <w:r w:rsidRPr="003D315D">
        <w:rPr>
          <w:rFonts w:ascii="Verdana" w:hAnsi="Verdana"/>
          <w:sz w:val="18"/>
          <w:szCs w:val="18"/>
        </w:rPr>
        <w:t>Er bestaat brede consensus onder lidstaten over het belang van satellietdata voor civiele bescherming en crisisbeheer.</w:t>
      </w:r>
      <w:r w:rsidR="00BA4D37">
        <w:rPr>
          <w:rFonts w:ascii="Verdana" w:hAnsi="Verdana"/>
          <w:sz w:val="18"/>
          <w:szCs w:val="18"/>
        </w:rPr>
        <w:t xml:space="preserve"> </w:t>
      </w:r>
      <w:r w:rsidRPr="003D315D">
        <w:rPr>
          <w:rFonts w:ascii="Verdana" w:hAnsi="Verdana"/>
          <w:sz w:val="18"/>
          <w:szCs w:val="18"/>
        </w:rPr>
        <w:t>Sommige landen beschikken al over sterke nationale systemen en zoeken vooral samenwerking en afstemming, terwijl andere juist behoefte hebben aan aanvullende Europese diensten.</w:t>
      </w:r>
      <w:r w:rsidR="00BA4D37">
        <w:rPr>
          <w:rFonts w:ascii="Verdana" w:hAnsi="Verdana"/>
          <w:sz w:val="18"/>
          <w:szCs w:val="18"/>
        </w:rPr>
        <w:t xml:space="preserve"> </w:t>
      </w:r>
      <w:r w:rsidRPr="003D315D">
        <w:rPr>
          <w:rFonts w:ascii="Verdana" w:hAnsi="Verdana"/>
          <w:sz w:val="18"/>
          <w:szCs w:val="18"/>
        </w:rPr>
        <w:t xml:space="preserve">Er is brede steun voor interoperabiliteit, het voorkomen van duplicatie met bestaande systemen, en voor duidelijke afspraken over eigenaarschap en toegang tot data, vooral in gevoelige veiligheidscontexten. </w:t>
      </w:r>
    </w:p>
    <w:p w:rsidRPr="002460C4" w:rsidR="23BBDA7B" w:rsidP="001C39DC" w:rsidRDefault="23BBDA7B" w14:paraId="2FE5B0BB" w14:textId="3339A2C0">
      <w:pPr>
        <w:rPr>
          <w:i/>
        </w:rPr>
      </w:pPr>
    </w:p>
    <w:p w:rsidR="00D93ADC" w:rsidP="001C39DC" w:rsidRDefault="00C505F1" w14:paraId="6E7F7A09" w14:textId="6A6953FD">
      <w:pPr>
        <w:rPr>
          <w:b/>
          <w:bCs/>
        </w:rPr>
      </w:pPr>
      <w:r w:rsidRPr="00C505F1">
        <w:rPr>
          <w:b/>
          <w:bCs/>
        </w:rPr>
        <w:t>Raadsconclusies over het gebruik van satellietdata, in het bijzonder aardobservatieconstellaties, voor civiele bescherming en crisisbeheer</w:t>
      </w:r>
    </w:p>
    <w:p w:rsidRPr="00C505F1" w:rsidR="00C505F1" w:rsidP="001C39DC" w:rsidRDefault="00C505F1" w14:paraId="5D5B703D" w14:textId="77777777">
      <w:pPr>
        <w:rPr>
          <w:i/>
          <w:iCs/>
        </w:rPr>
      </w:pPr>
    </w:p>
    <w:p w:rsidR="00590CA2" w:rsidP="001C39DC" w:rsidRDefault="00590CA2" w14:paraId="1A7C9A54" w14:textId="77777777">
      <w:pPr>
        <w:pStyle w:val="Geenafstand"/>
        <w:spacing w:line="240" w:lineRule="atLeast"/>
        <w:rPr>
          <w:rFonts w:ascii="Verdana" w:hAnsi="Verdana"/>
          <w:i/>
          <w:sz w:val="18"/>
          <w:szCs w:val="18"/>
        </w:rPr>
      </w:pPr>
      <w:r>
        <w:rPr>
          <w:rFonts w:ascii="Verdana" w:hAnsi="Verdana"/>
          <w:i/>
          <w:sz w:val="18"/>
          <w:szCs w:val="18"/>
        </w:rPr>
        <w:t>Toelichting agendapunt</w:t>
      </w:r>
    </w:p>
    <w:p w:rsidR="00590CA2" w:rsidP="001C39DC" w:rsidRDefault="00177770" w14:paraId="536AEC9C" w14:textId="2EAE683C">
      <w:pPr>
        <w:pStyle w:val="Geenafstand"/>
        <w:spacing w:line="240" w:lineRule="atLeast"/>
        <w:rPr>
          <w:rFonts w:ascii="Verdana" w:hAnsi="Verdana"/>
          <w:iCs/>
          <w:sz w:val="18"/>
          <w:szCs w:val="18"/>
        </w:rPr>
      </w:pPr>
      <w:r>
        <w:rPr>
          <w:rFonts w:ascii="Verdana" w:hAnsi="Verdana"/>
          <w:iCs/>
          <w:sz w:val="18"/>
          <w:szCs w:val="18"/>
        </w:rPr>
        <w:t>De Raad zal spreken over</w:t>
      </w:r>
      <w:r w:rsidR="00590CA2">
        <w:rPr>
          <w:rFonts w:ascii="Verdana" w:hAnsi="Verdana"/>
          <w:iCs/>
          <w:sz w:val="18"/>
          <w:szCs w:val="18"/>
        </w:rPr>
        <w:t xml:space="preserve"> het gebruik van satellietdata en ruimte-infrastructuur voor het versterken van de weerbaarheid, veiligheid en crisisrespons binnen de E</w:t>
      </w:r>
      <w:r>
        <w:rPr>
          <w:rFonts w:ascii="Verdana" w:hAnsi="Verdana"/>
          <w:iCs/>
          <w:sz w:val="18"/>
          <w:szCs w:val="18"/>
        </w:rPr>
        <w:t>U</w:t>
      </w:r>
      <w:r w:rsidR="00590CA2">
        <w:rPr>
          <w:rFonts w:ascii="Verdana" w:hAnsi="Verdana"/>
          <w:iCs/>
          <w:sz w:val="18"/>
          <w:szCs w:val="18"/>
        </w:rPr>
        <w:t xml:space="preserve">. Het kan hierbij gaan om aardobservatie (zoals via Copernicus), satellietnavigatie (Galileo) en communicatie-infrastructuren die cruciaal zijn bij natuurrampen, militaire dreigingen, cyberaanvallen of grote maatschappelijke verstoringen. Deze gegevens kunnen overheden helpen bij vroegtijdige waarschuwing, </w:t>
      </w:r>
      <w:r w:rsidR="00590CA2">
        <w:rPr>
          <w:rFonts w:ascii="Verdana" w:hAnsi="Verdana"/>
          <w:i/>
          <w:sz w:val="18"/>
          <w:szCs w:val="18"/>
        </w:rPr>
        <w:t>situational awareness</w:t>
      </w:r>
      <w:r w:rsidR="00590CA2">
        <w:rPr>
          <w:rFonts w:ascii="Verdana" w:hAnsi="Verdana"/>
          <w:iCs/>
          <w:sz w:val="18"/>
          <w:szCs w:val="18"/>
        </w:rPr>
        <w:t xml:space="preserve"> en gecoördineerde respons. De EU zet met name in op strategische autonomie en het verminderen van afhankelijkheden van niet-Europese partijen.</w:t>
      </w:r>
    </w:p>
    <w:p w:rsidR="00590CA2" w:rsidP="001C39DC" w:rsidRDefault="00590CA2" w14:paraId="48040D4A" w14:textId="77777777">
      <w:pPr>
        <w:pStyle w:val="Geenafstand"/>
        <w:spacing w:line="240" w:lineRule="atLeast"/>
        <w:rPr>
          <w:rFonts w:ascii="Verdana" w:hAnsi="Verdana"/>
          <w:iCs/>
          <w:sz w:val="18"/>
          <w:szCs w:val="18"/>
        </w:rPr>
      </w:pPr>
    </w:p>
    <w:p w:rsidR="00590CA2" w:rsidP="001C39DC" w:rsidRDefault="00590CA2" w14:paraId="5E7EA9F2" w14:textId="277508C2">
      <w:pPr>
        <w:pStyle w:val="Geenafstand"/>
        <w:spacing w:line="240" w:lineRule="atLeast"/>
        <w:rPr>
          <w:rFonts w:ascii="Verdana" w:hAnsi="Verdana"/>
          <w:i/>
          <w:sz w:val="18"/>
          <w:szCs w:val="18"/>
        </w:rPr>
      </w:pPr>
      <w:r>
        <w:rPr>
          <w:rFonts w:ascii="Verdana" w:hAnsi="Verdana"/>
          <w:i/>
          <w:sz w:val="18"/>
          <w:szCs w:val="18"/>
        </w:rPr>
        <w:t>N</w:t>
      </w:r>
      <w:r w:rsidR="00320E73">
        <w:rPr>
          <w:rFonts w:ascii="Verdana" w:hAnsi="Verdana"/>
          <w:i/>
          <w:sz w:val="18"/>
          <w:szCs w:val="18"/>
        </w:rPr>
        <w:t xml:space="preserve">ederlandse </w:t>
      </w:r>
      <w:r>
        <w:rPr>
          <w:rFonts w:ascii="Verdana" w:hAnsi="Verdana"/>
          <w:i/>
          <w:sz w:val="18"/>
          <w:szCs w:val="18"/>
        </w:rPr>
        <w:t>positie</w:t>
      </w:r>
    </w:p>
    <w:p w:rsidR="00590CA2" w:rsidP="001C39DC" w:rsidRDefault="00590CA2" w14:paraId="3C9F04D2" w14:textId="2D995729">
      <w:pPr>
        <w:pStyle w:val="Geenafstand"/>
        <w:spacing w:line="240" w:lineRule="atLeast"/>
        <w:rPr>
          <w:rFonts w:ascii="Verdana" w:hAnsi="Verdana"/>
          <w:iCs/>
          <w:sz w:val="18"/>
          <w:szCs w:val="18"/>
        </w:rPr>
      </w:pPr>
      <w:r>
        <w:rPr>
          <w:rFonts w:ascii="Verdana" w:hAnsi="Verdana"/>
          <w:iCs/>
          <w:sz w:val="18"/>
          <w:szCs w:val="18"/>
        </w:rPr>
        <w:t>Nederland erkent het toenemende strategische belang van ruimtevaartdata voor de Europese veiligheid, weerbaarheid, crisisbeheersing en open strategische autonomie. Geopolitieke ontwikkelingen onderstrepen de noodzaak om ruimtevaartcapaciteiten effectiever in te zetten, met name in militaire context.</w:t>
      </w:r>
      <w:r w:rsidR="00320E73">
        <w:rPr>
          <w:rFonts w:ascii="Verdana" w:hAnsi="Verdana"/>
          <w:iCs/>
          <w:sz w:val="18"/>
          <w:szCs w:val="18"/>
        </w:rPr>
        <w:t xml:space="preserve"> </w:t>
      </w:r>
      <w:r>
        <w:rPr>
          <w:rFonts w:ascii="Verdana" w:hAnsi="Verdana"/>
          <w:iCs/>
          <w:sz w:val="18"/>
          <w:szCs w:val="18"/>
        </w:rPr>
        <w:t>Nederland steunt een gecoördineerde Europese aanpak en gerichte investeringen die bijdragen aan stabiele, robuuste en betrouwbare ruimtevaartdiensten. De recente Defensie Strategie voor Industrie en Innovatie, opgesteld samen met kennisinstellingen en het bedrijfsleven, illustreert het belang van ruimtevaarttechnologie voor het versterken van strategische autonomie.</w:t>
      </w:r>
      <w:r w:rsidR="00320E73">
        <w:rPr>
          <w:rFonts w:ascii="Verdana" w:hAnsi="Verdana"/>
          <w:iCs/>
          <w:sz w:val="18"/>
          <w:szCs w:val="18"/>
        </w:rPr>
        <w:t xml:space="preserve"> </w:t>
      </w:r>
      <w:r>
        <w:rPr>
          <w:rFonts w:ascii="Verdana" w:hAnsi="Verdana"/>
          <w:sz w:val="18"/>
          <w:szCs w:val="18"/>
        </w:rPr>
        <w:t>Nederland hecht aan interoperabiliteit, civiel-militaire samenwerking en een zorgvuldige balans tussen openheid, eigenaarschap en veilige toegang tot data. Daar waar mogelijk</w:t>
      </w:r>
      <w:r w:rsidR="00230162">
        <w:rPr>
          <w:rFonts w:ascii="Verdana" w:hAnsi="Verdana"/>
          <w:sz w:val="18"/>
          <w:szCs w:val="18"/>
        </w:rPr>
        <w:t xml:space="preserve"> </w:t>
      </w:r>
      <w:r>
        <w:rPr>
          <w:rFonts w:ascii="Verdana" w:hAnsi="Verdana"/>
          <w:sz w:val="18"/>
          <w:szCs w:val="18"/>
        </w:rPr>
        <w:t xml:space="preserve">verdient synergie tussen civiele en militaire capaciteiten nadrukkelijke aandacht, met waarborging van databeveiliging en bescherming van kritieke infrastructuur. </w:t>
      </w:r>
      <w:r w:rsidR="00230162">
        <w:rPr>
          <w:rFonts w:ascii="Verdana" w:hAnsi="Verdana"/>
          <w:sz w:val="18"/>
          <w:szCs w:val="18"/>
        </w:rPr>
        <w:t>Verder wordt er indien mogelijk</w:t>
      </w:r>
      <w:r>
        <w:rPr>
          <w:rFonts w:ascii="Verdana" w:hAnsi="Verdana"/>
          <w:sz w:val="18"/>
          <w:szCs w:val="18"/>
        </w:rPr>
        <w:t xml:space="preserve"> gestreefd naar efficiënt duaal gebruik van systemen. Nederland draagt hieraan bij via onder meer het </w:t>
      </w:r>
      <w:r w:rsidRPr="00784F62">
        <w:rPr>
          <w:rFonts w:ascii="Verdana" w:hAnsi="Verdana"/>
          <w:i/>
          <w:iCs/>
          <w:sz w:val="18"/>
          <w:szCs w:val="18"/>
        </w:rPr>
        <w:t>EU Space Surveillance and Tracking</w:t>
      </w:r>
      <w:r>
        <w:rPr>
          <w:rFonts w:ascii="Verdana" w:hAnsi="Verdana"/>
          <w:sz w:val="18"/>
          <w:szCs w:val="18"/>
        </w:rPr>
        <w:t xml:space="preserve"> (EU SST)-partnerschap.</w:t>
      </w:r>
    </w:p>
    <w:p w:rsidR="00590CA2" w:rsidP="001C39DC" w:rsidRDefault="00590CA2" w14:paraId="3B88D3D7" w14:textId="77777777">
      <w:pPr>
        <w:pStyle w:val="Geenafstand"/>
        <w:spacing w:line="240" w:lineRule="atLeast"/>
        <w:rPr>
          <w:rFonts w:ascii="Verdana" w:hAnsi="Verdana"/>
          <w:i/>
          <w:sz w:val="18"/>
          <w:szCs w:val="18"/>
        </w:rPr>
      </w:pPr>
    </w:p>
    <w:p w:rsidR="00590CA2" w:rsidP="001C39DC" w:rsidRDefault="00590CA2" w14:paraId="0B33B9FF" w14:textId="77777777">
      <w:pPr>
        <w:pStyle w:val="Geenafstand"/>
        <w:spacing w:line="240" w:lineRule="atLeast"/>
        <w:rPr>
          <w:rFonts w:ascii="Verdana" w:hAnsi="Verdana"/>
          <w:i/>
          <w:sz w:val="18"/>
          <w:szCs w:val="18"/>
        </w:rPr>
      </w:pPr>
      <w:r>
        <w:rPr>
          <w:rFonts w:ascii="Verdana" w:hAnsi="Verdana"/>
          <w:i/>
          <w:sz w:val="18"/>
          <w:szCs w:val="18"/>
        </w:rPr>
        <w:t xml:space="preserve">Krachtenveld </w:t>
      </w:r>
    </w:p>
    <w:p w:rsidRPr="00B94853" w:rsidR="00590CA2" w:rsidP="001C39DC" w:rsidRDefault="00590CA2" w14:paraId="6C4F4B2A" w14:textId="0F41479B">
      <w:pPr>
        <w:pStyle w:val="Geenafstand"/>
        <w:spacing w:line="240" w:lineRule="atLeast"/>
        <w:rPr>
          <w:rFonts w:ascii="Verdana" w:hAnsi="Verdana"/>
          <w:iCs/>
          <w:sz w:val="18"/>
          <w:szCs w:val="18"/>
        </w:rPr>
      </w:pPr>
      <w:r>
        <w:rPr>
          <w:rFonts w:ascii="Verdana" w:hAnsi="Verdana"/>
          <w:iCs/>
          <w:sz w:val="18"/>
          <w:szCs w:val="18"/>
        </w:rPr>
        <w:t>Binnen de lidstaten bestaat brede steun voor het versterken van Europese ruimtecapaciteiten, vooral vanuit het oogpunt van strategische autonomie en technologische soevereiniteit.</w:t>
      </w:r>
      <w:r w:rsidR="00E43CA5">
        <w:rPr>
          <w:rFonts w:ascii="Verdana" w:hAnsi="Verdana"/>
          <w:iCs/>
          <w:sz w:val="18"/>
          <w:szCs w:val="18"/>
        </w:rPr>
        <w:t xml:space="preserve"> </w:t>
      </w:r>
      <w:r w:rsidRPr="00230162">
        <w:rPr>
          <w:rStyle w:val="Nadruk"/>
          <w:rFonts w:ascii="Verdana" w:hAnsi="Verdana"/>
          <w:i w:val="0"/>
          <w:iCs w:val="0"/>
          <w:sz w:val="18"/>
          <w:szCs w:val="18"/>
        </w:rPr>
        <w:t xml:space="preserve">EU-lidstaten leggen meer nadruk op Defensie en Europese autonomie, onafhankelijkheid van niet-Europese partijen, in navolging van </w:t>
      </w:r>
      <w:r w:rsidRPr="00784F62">
        <w:rPr>
          <w:rStyle w:val="Nadruk"/>
          <w:rFonts w:ascii="Verdana" w:hAnsi="Verdana"/>
          <w:sz w:val="18"/>
          <w:szCs w:val="18"/>
        </w:rPr>
        <w:t>Rearm Europe</w:t>
      </w:r>
      <w:r w:rsidRPr="00230162">
        <w:rPr>
          <w:rStyle w:val="Nadruk"/>
          <w:rFonts w:ascii="Verdana" w:hAnsi="Verdana"/>
          <w:i w:val="0"/>
          <w:iCs w:val="0"/>
          <w:sz w:val="18"/>
          <w:szCs w:val="18"/>
        </w:rPr>
        <w:t>.</w:t>
      </w:r>
      <w:r w:rsidR="00E43CA5">
        <w:rPr>
          <w:rFonts w:ascii="Verdana" w:hAnsi="Verdana"/>
          <w:iCs/>
          <w:sz w:val="18"/>
          <w:szCs w:val="18"/>
        </w:rPr>
        <w:t xml:space="preserve"> </w:t>
      </w:r>
      <w:r>
        <w:rPr>
          <w:rFonts w:ascii="Verdana" w:hAnsi="Verdana"/>
          <w:iCs/>
          <w:sz w:val="18"/>
          <w:szCs w:val="18"/>
        </w:rPr>
        <w:t>Verschillen ontstaan ook in de mate waarin lidstaten kunnen en willen investeren in gezamenlijke systemen of de voorkeur geven aan nationale initiatieven binnen een Europees kader.</w:t>
      </w:r>
    </w:p>
    <w:p w:rsidRPr="004D1E9B" w:rsidR="00DE03E5" w:rsidP="001C39DC" w:rsidRDefault="00DE03E5" w14:paraId="1615F831" w14:textId="0A9C05E6">
      <w:pPr>
        <w:rPr>
          <w:rFonts w:ascii="Segoe UI Symbol" w:hAnsi="Segoe UI Symbol" w:cs="Segoe UI Symbol"/>
        </w:rPr>
      </w:pPr>
    </w:p>
    <w:p w:rsidRPr="00D166AD" w:rsidR="00DE03E5" w:rsidP="001C39DC" w:rsidRDefault="00DE03E5" w14:paraId="1B801F7C" w14:textId="77777777">
      <w:pPr>
        <w:rPr>
          <w:b/>
        </w:rPr>
      </w:pPr>
      <w:r w:rsidRPr="00D166AD">
        <w:rPr>
          <w:b/>
        </w:rPr>
        <w:t xml:space="preserve">Diversenpunten </w:t>
      </w:r>
    </w:p>
    <w:p w:rsidR="008E0F2E" w:rsidP="001C39DC" w:rsidRDefault="00B30575" w14:paraId="6E8D924B" w14:textId="454CAE04">
      <w:r>
        <w:t xml:space="preserve">De </w:t>
      </w:r>
      <w:r>
        <w:rPr>
          <w:rFonts w:eastAsia="Verdana" w:cs="Verdana"/>
        </w:rPr>
        <w:t>Deense</w:t>
      </w:r>
      <w:r w:rsidRPr="4E475091">
        <w:rPr>
          <w:rFonts w:eastAsia="Verdana" w:cs="Verdana"/>
        </w:rPr>
        <w:t xml:space="preserve"> delegatie zal een toelichting geven o</w:t>
      </w:r>
      <w:r>
        <w:rPr>
          <w:rFonts w:eastAsia="Verdana" w:cs="Verdana"/>
        </w:rPr>
        <w:t xml:space="preserve">ver </w:t>
      </w:r>
      <w:r w:rsidRPr="4E475091">
        <w:rPr>
          <w:rFonts w:eastAsia="Verdana" w:cs="Verdana"/>
        </w:rPr>
        <w:t xml:space="preserve">de prioriteiten van het </w:t>
      </w:r>
      <w:r>
        <w:rPr>
          <w:rFonts w:eastAsia="Verdana" w:cs="Verdana"/>
        </w:rPr>
        <w:t xml:space="preserve">inkomend </w:t>
      </w:r>
      <w:r w:rsidRPr="4E475091">
        <w:rPr>
          <w:rFonts w:eastAsia="Verdana" w:cs="Verdana"/>
        </w:rPr>
        <w:t>voorzitterschap.</w:t>
      </w:r>
      <w:r>
        <w:rPr>
          <w:rFonts w:eastAsia="Verdana" w:cs="Verdana"/>
        </w:rPr>
        <w:t xml:space="preserve"> </w:t>
      </w:r>
      <w:r>
        <w:t xml:space="preserve">Verder </w:t>
      </w:r>
      <w:r w:rsidRPr="003E1CFA">
        <w:t>slot presenteert European Space Agency over ruimtevaart voor weerbaarheid, veiligheid en crisismanagement.</w:t>
      </w:r>
    </w:p>
    <w:bookmarkEnd w:id="6"/>
    <w:p w:rsidRPr="00D20831" w:rsidR="009E6798" w:rsidP="001C39DC" w:rsidRDefault="009E6798" w14:paraId="34340346" w14:textId="77777777">
      <w:pPr>
        <w:rPr>
          <w:b/>
          <w:bCs/>
        </w:rPr>
      </w:pPr>
    </w:p>
    <w:sectPr w:rsidRPr="00D20831" w:rsidR="009E6798"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81F1" w14:textId="77777777" w:rsidR="00477D26" w:rsidRDefault="00477D26">
      <w:r>
        <w:separator/>
      </w:r>
    </w:p>
    <w:p w14:paraId="3743DF7B" w14:textId="77777777" w:rsidR="00477D26" w:rsidRDefault="00477D26"/>
  </w:endnote>
  <w:endnote w:type="continuationSeparator" w:id="0">
    <w:p w14:paraId="79355B34" w14:textId="77777777" w:rsidR="00477D26" w:rsidRDefault="00477D26">
      <w:r>
        <w:continuationSeparator/>
      </w:r>
    </w:p>
    <w:p w14:paraId="0EF8DF91" w14:textId="77777777" w:rsidR="00477D26" w:rsidRDefault="00477D26"/>
  </w:endnote>
  <w:endnote w:type="continuationNotice" w:id="1">
    <w:p w14:paraId="7237B3BC" w14:textId="77777777" w:rsidR="00477D26" w:rsidRDefault="00477D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F46A" w14:textId="301D6A8F" w:rsidR="005C2538" w:rsidRDefault="00804156">
    <w:pPr>
      <w:pStyle w:val="Voettekst"/>
    </w:pPr>
    <w:r>
      <w:rPr>
        <w:noProof/>
      </w:rPr>
      <mc:AlternateContent>
        <mc:Choice Requires="wps">
          <w:drawing>
            <wp:anchor distT="0" distB="0" distL="0" distR="0" simplePos="0" relativeHeight="251658241" behindDoc="0" locked="0" layoutInCell="1" allowOverlap="1" wp14:anchorId="279C1D00" wp14:editId="2B114E89">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F3A2B" w14:textId="77777777" w:rsidR="005C2538" w:rsidRPr="005C2538" w:rsidRDefault="0080415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9C1D00"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AF3A2B" w14:textId="77777777" w:rsidR="005C2538" w:rsidRPr="005C2538" w:rsidRDefault="00804156"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7AE6" w14:textId="208834F7" w:rsidR="00527BD4" w:rsidRPr="00BC3B53" w:rsidRDefault="00804156" w:rsidP="008C356D">
    <w:pPr>
      <w:pStyle w:val="Voettekst"/>
      <w:spacing w:line="240" w:lineRule="auto"/>
      <w:rPr>
        <w:sz w:val="2"/>
        <w:szCs w:val="2"/>
      </w:rPr>
    </w:pPr>
    <w:r>
      <w:rPr>
        <w:noProof/>
        <w:sz w:val="2"/>
        <w:szCs w:val="2"/>
      </w:rPr>
      <mc:AlternateContent>
        <mc:Choice Requires="wps">
          <w:drawing>
            <wp:anchor distT="0" distB="0" distL="0" distR="0" simplePos="0" relativeHeight="251658242" behindDoc="0" locked="0" layoutInCell="1" allowOverlap="1" wp14:anchorId="51FEA6D3" wp14:editId="3152CA50">
              <wp:simplePos x="0" y="0"/>
              <wp:positionH relativeFrom="page">
                <wp:align>left</wp:align>
              </wp:positionH>
              <wp:positionV relativeFrom="page">
                <wp:align>bottom</wp:align>
              </wp:positionV>
              <wp:extent cx="443865" cy="443865"/>
              <wp:effectExtent l="0" t="0" r="4445" b="0"/>
              <wp:wrapNone/>
              <wp:docPr id="4" name="Tekstvak 18292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6AE3B" w14:textId="471C27FD"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EA6D3" id="_x0000_t202" coordsize="21600,21600" o:spt="202" path="m,l,21600r21600,l21600,xe">
              <v:stroke joinstyle="miter"/>
              <v:path gradientshapeok="t" o:connecttype="rect"/>
            </v:shapetype>
            <v:shape id="Tekstvak 182921" o:spid="_x0000_s1027" type="#_x0000_t202" alt="Intern gebruik"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0D6AE3B" w14:textId="471C27FD"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217A6" w14:paraId="3416FC05" w14:textId="77777777" w:rsidTr="006D1737">
      <w:trPr>
        <w:trHeight w:hRule="exact" w:val="240"/>
      </w:trPr>
      <w:tc>
        <w:tcPr>
          <w:tcW w:w="7601" w:type="dxa"/>
          <w:shd w:val="clear" w:color="auto" w:fill="auto"/>
        </w:tcPr>
        <w:p w14:paraId="7158A7A9" w14:textId="77777777" w:rsidR="006D1737" w:rsidRDefault="006D1737" w:rsidP="006D1737">
          <w:pPr>
            <w:pStyle w:val="Huisstijl-Rubricering"/>
          </w:pPr>
        </w:p>
      </w:tc>
      <w:tc>
        <w:tcPr>
          <w:tcW w:w="2156" w:type="dxa"/>
        </w:tcPr>
        <w:p w14:paraId="528D74FC" w14:textId="4E89CB0C" w:rsidR="006D1737" w:rsidRPr="00645414" w:rsidRDefault="00804156"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98756F">
            <w:t>10</w:t>
          </w:r>
          <w:r w:rsidR="00D72F45">
            <w:fldChar w:fldCharType="end"/>
          </w:r>
          <w:r w:rsidRPr="00ED539E">
            <w:t xml:space="preserve"> </w:t>
          </w:r>
        </w:p>
      </w:tc>
      <w:tc>
        <w:tcPr>
          <w:tcW w:w="2156" w:type="dxa"/>
        </w:tcPr>
        <w:p w14:paraId="712503FD" w14:textId="78904AAB" w:rsidR="006D1737" w:rsidRPr="00645414" w:rsidRDefault="00804156" w:rsidP="006D1737">
          <w:pPr>
            <w:pStyle w:val="Huisstijl-Paginanummering"/>
          </w:pPr>
          <w:r w:rsidRPr="00645414">
            <w:t xml:space="preserve"> </w:t>
          </w:r>
        </w:p>
      </w:tc>
    </w:tr>
  </w:tbl>
  <w:p w14:paraId="70CF101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17A6" w14:paraId="7943CD49" w14:textId="77777777" w:rsidTr="00CA6A25">
      <w:trPr>
        <w:trHeight w:hRule="exact" w:val="240"/>
      </w:trPr>
      <w:tc>
        <w:tcPr>
          <w:tcW w:w="7601" w:type="dxa"/>
          <w:shd w:val="clear" w:color="auto" w:fill="auto"/>
        </w:tcPr>
        <w:p w14:paraId="1D3A63A6" w14:textId="77B6420D" w:rsidR="00527BD4" w:rsidRDefault="00804156" w:rsidP="008C356D">
          <w:pPr>
            <w:pStyle w:val="Huisstijl-Rubricering"/>
          </w:pPr>
          <w:r>
            <mc:AlternateContent>
              <mc:Choice Requires="wps">
                <w:drawing>
                  <wp:anchor distT="0" distB="0" distL="0" distR="0" simplePos="0" relativeHeight="251658240" behindDoc="0" locked="0" layoutInCell="1" allowOverlap="1" wp14:anchorId="50283AD9" wp14:editId="3266843A">
                    <wp:simplePos x="0" y="0"/>
                    <wp:positionH relativeFrom="page">
                      <wp:align>left</wp:align>
                    </wp:positionH>
                    <wp:positionV relativeFrom="page">
                      <wp:align>bottom</wp:align>
                    </wp:positionV>
                    <wp:extent cx="443865" cy="443865"/>
                    <wp:effectExtent l="0" t="0" r="4445" b="0"/>
                    <wp:wrapNone/>
                    <wp:docPr id="3"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BF67E4" w14:textId="5621362C"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283AD9" id="_x0000_t202" coordsize="21600,21600" o:spt="202" path="m,l,21600r21600,l21600,xe">
                    <v:stroke joinstyle="miter"/>
                    <v:path gradientshapeok="t" o:connecttype="rect"/>
                  </v:shapetype>
                  <v:shape id="Tekstvak 182835"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BBF67E4" w14:textId="5621362C"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640D9CC3" w14:textId="0FDC443B" w:rsidR="00527BD4" w:rsidRPr="00ED539E" w:rsidRDefault="0080415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477D26">
            <w:t>1</w:t>
          </w:r>
          <w:r w:rsidR="00D72F45">
            <w:fldChar w:fldCharType="end"/>
          </w:r>
        </w:p>
      </w:tc>
    </w:tr>
  </w:tbl>
  <w:p w14:paraId="392771AA" w14:textId="77777777" w:rsidR="00527BD4" w:rsidRPr="00BC3B53" w:rsidRDefault="00527BD4" w:rsidP="008C356D">
    <w:pPr>
      <w:pStyle w:val="Voettekst"/>
      <w:spacing w:line="240" w:lineRule="auto"/>
      <w:rPr>
        <w:sz w:val="2"/>
        <w:szCs w:val="2"/>
      </w:rPr>
    </w:pPr>
  </w:p>
  <w:p w14:paraId="3940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97A3" w14:textId="77777777" w:rsidR="00477D26" w:rsidRDefault="00477D26">
      <w:r>
        <w:separator/>
      </w:r>
    </w:p>
    <w:p w14:paraId="1FB62C65" w14:textId="77777777" w:rsidR="00477D26" w:rsidRDefault="00477D26"/>
  </w:footnote>
  <w:footnote w:type="continuationSeparator" w:id="0">
    <w:p w14:paraId="5360B4C7" w14:textId="77777777" w:rsidR="00477D26" w:rsidRDefault="00477D26">
      <w:r>
        <w:continuationSeparator/>
      </w:r>
    </w:p>
    <w:p w14:paraId="400411DB" w14:textId="77777777" w:rsidR="00477D26" w:rsidRDefault="00477D26"/>
  </w:footnote>
  <w:footnote w:type="continuationNotice" w:id="1">
    <w:p w14:paraId="349FD50E" w14:textId="77777777" w:rsidR="00477D26" w:rsidRDefault="00477D26">
      <w:pPr>
        <w:spacing w:line="240" w:lineRule="auto"/>
      </w:pPr>
    </w:p>
  </w:footnote>
  <w:footnote w:id="2">
    <w:p w14:paraId="565FB174" w14:textId="2D0A0425" w:rsidR="00275F31" w:rsidRPr="007038B9" w:rsidRDefault="00275F31" w:rsidP="00275F31">
      <w:pPr>
        <w:pStyle w:val="Voetnoottekst"/>
      </w:pPr>
      <w:r>
        <w:rPr>
          <w:rStyle w:val="Voetnootmarkering"/>
        </w:rPr>
        <w:footnoteRef/>
      </w:r>
      <w:r>
        <w:t xml:space="preserve"> </w:t>
      </w:r>
      <w:hyperlink r:id="rId1" w:history="1">
        <w:r w:rsidR="00867038" w:rsidRPr="00867038">
          <w:rPr>
            <w:rStyle w:val="Hyperlink"/>
          </w:rPr>
          <w:t>Kamerbrief over kabinetsvisie EU-concurrentievermogen | Kamerstuk | Rijksoverheid.nl</w:t>
        </w:r>
      </w:hyperlink>
    </w:p>
  </w:footnote>
  <w:footnote w:id="3">
    <w:p w14:paraId="30279532" w14:textId="4DEDC00E" w:rsidR="00275F31" w:rsidRPr="007038B9" w:rsidRDefault="00275F31" w:rsidP="00275F31">
      <w:pPr>
        <w:pStyle w:val="Voetnoottekst"/>
      </w:pPr>
      <w:r>
        <w:rPr>
          <w:rStyle w:val="Voetnootmarkering"/>
        </w:rPr>
        <w:footnoteRef/>
      </w:r>
      <w:r>
        <w:t xml:space="preserve"> </w:t>
      </w:r>
      <w:hyperlink r:id="rId2" w:history="1">
        <w:r w:rsidR="00D148BF" w:rsidRPr="00D148BF">
          <w:rPr>
            <w:rStyle w:val="Hyperlink"/>
          </w:rPr>
          <w:t>Beoordeling Mededeling Clean Industrial Deal | Publicatie | Rijksoverheid.nl</w:t>
        </w:r>
      </w:hyperlink>
    </w:p>
  </w:footnote>
  <w:footnote w:id="4">
    <w:p w14:paraId="2BB82BE9" w14:textId="5EF523DE" w:rsidR="007038B9" w:rsidRDefault="007038B9">
      <w:pPr>
        <w:pStyle w:val="Voetnoottekst"/>
      </w:pPr>
      <w:r>
        <w:rPr>
          <w:rStyle w:val="Voetnootmarkering"/>
        </w:rPr>
        <w:footnoteRef/>
      </w:r>
      <w:r>
        <w:t xml:space="preserve"> </w:t>
      </w:r>
      <w:r w:rsidRPr="007038B9">
        <w:t>31 793 nr. 257</w:t>
      </w:r>
    </w:p>
  </w:footnote>
  <w:footnote w:id="5">
    <w:p w14:paraId="1A65E08F" w14:textId="77777777" w:rsidR="002A64F2" w:rsidRPr="00637BE1" w:rsidRDefault="002A64F2" w:rsidP="002A64F2">
      <w:pPr>
        <w:pStyle w:val="Voetnoottekst"/>
        <w:rPr>
          <w:sz w:val="18"/>
          <w:szCs w:val="18"/>
        </w:rPr>
      </w:pPr>
      <w:r>
        <w:rPr>
          <w:rStyle w:val="Voetnootmarkering"/>
        </w:rPr>
        <w:footnoteRef/>
      </w:r>
      <w:r>
        <w:t xml:space="preserve"> </w:t>
      </w:r>
      <w:r w:rsidRPr="00A13FAE">
        <w:rPr>
          <w:szCs w:val="13"/>
        </w:rPr>
        <w:t xml:space="preserve"> </w:t>
      </w:r>
      <w:hyperlink r:id="rId3" w:history="1">
        <w:r w:rsidRPr="00A13FAE">
          <w:rPr>
            <w:color w:val="0000FF"/>
            <w:szCs w:val="13"/>
            <w:u w:val="single"/>
          </w:rPr>
          <w:t>Kamerbrief over actieprogramma Minder Druk Met Regels | Kamerstuk | Rijksoverheid.nl</w:t>
        </w:r>
      </w:hyperlink>
    </w:p>
  </w:footnote>
  <w:footnote w:id="6">
    <w:p w14:paraId="453E92D4" w14:textId="77777777" w:rsidR="00ED0C8B" w:rsidRPr="00E976A3" w:rsidRDefault="00ED0C8B" w:rsidP="00ED0C8B">
      <w:pPr>
        <w:pStyle w:val="Voetnoottekst"/>
        <w:rPr>
          <w:szCs w:val="13"/>
        </w:rPr>
      </w:pPr>
      <w:r w:rsidRPr="00B209E6">
        <w:rPr>
          <w:rStyle w:val="Voetnootmarkering"/>
          <w:sz w:val="18"/>
          <w:szCs w:val="18"/>
        </w:rPr>
        <w:footnoteRef/>
      </w:r>
      <w:r w:rsidRPr="00B209E6">
        <w:rPr>
          <w:sz w:val="18"/>
          <w:szCs w:val="18"/>
        </w:rPr>
        <w:t xml:space="preserve"> </w:t>
      </w:r>
      <w:hyperlink r:id="rId4" w:history="1">
        <w:r w:rsidRPr="00E976A3">
          <w:rPr>
            <w:rStyle w:val="Hyperlink"/>
            <w:szCs w:val="13"/>
          </w:rPr>
          <w:t>Interinstitutioneel Akkoord tussen het Europees Parlement, de Raad van de Europese Unie en de Europese Commissie over beter wetgeven</w:t>
        </w:r>
      </w:hyperlink>
    </w:p>
  </w:footnote>
  <w:footnote w:id="7">
    <w:p w14:paraId="0C93A137" w14:textId="77777777" w:rsidR="00ED0C8B" w:rsidRPr="00E976A3" w:rsidRDefault="00ED0C8B" w:rsidP="00ED0C8B">
      <w:pPr>
        <w:pStyle w:val="Voetnoottekst"/>
        <w:rPr>
          <w:szCs w:val="13"/>
          <w:lang w:val="en-US"/>
        </w:rPr>
      </w:pPr>
      <w:r w:rsidRPr="00E976A3">
        <w:rPr>
          <w:rStyle w:val="Voetnootmarkering"/>
          <w:szCs w:val="13"/>
        </w:rPr>
        <w:footnoteRef/>
      </w:r>
      <w:r w:rsidRPr="00E976A3">
        <w:rPr>
          <w:szCs w:val="13"/>
          <w:lang w:val="en-US"/>
        </w:rPr>
        <w:t xml:space="preserve"> </w:t>
      </w:r>
      <w:hyperlink r:id="rId5" w:history="1">
        <w:r w:rsidRPr="00E976A3">
          <w:rPr>
            <w:rStyle w:val="Hyperlink"/>
            <w:szCs w:val="13"/>
            <w:lang w:val="en-US"/>
          </w:rPr>
          <w:t>Better regulation for competitiveness and sustainable, inclusive growth : Council adopts conclusions - Consilium</w:t>
        </w:r>
      </w:hyperlink>
    </w:p>
  </w:footnote>
  <w:footnote w:id="8">
    <w:p w14:paraId="169C786D" w14:textId="77777777" w:rsidR="00ED0C8B" w:rsidRPr="00E976A3" w:rsidRDefault="00ED0C8B" w:rsidP="00ED0C8B">
      <w:pPr>
        <w:pStyle w:val="Voetnoottekst"/>
        <w:rPr>
          <w:szCs w:val="13"/>
          <w:lang w:val="en-US"/>
        </w:rPr>
      </w:pPr>
      <w:r w:rsidRPr="00E976A3">
        <w:rPr>
          <w:rStyle w:val="Voetnootmarkering"/>
          <w:szCs w:val="13"/>
        </w:rPr>
        <w:footnoteRef/>
      </w:r>
      <w:r w:rsidRPr="00E976A3">
        <w:rPr>
          <w:szCs w:val="13"/>
          <w:lang w:val="en-US"/>
        </w:rPr>
        <w:t xml:space="preserve"> </w:t>
      </w:r>
      <w:hyperlink r:id="rId6" w:history="1">
        <w:r w:rsidRPr="00E976A3">
          <w:rPr>
            <w:rStyle w:val="Hyperlink"/>
            <w:szCs w:val="13"/>
            <w:lang w:val="en-US"/>
          </w:rPr>
          <w:t>Enrico Letta - Much more than a market (April 2024)</w:t>
        </w:r>
      </w:hyperlink>
    </w:p>
  </w:footnote>
  <w:footnote w:id="9">
    <w:p w14:paraId="0BC49EFB" w14:textId="77777777" w:rsidR="00ED0C8B" w:rsidRPr="00B209E6" w:rsidRDefault="00ED0C8B" w:rsidP="00ED0C8B">
      <w:pPr>
        <w:pStyle w:val="Voetnoottekst"/>
        <w:rPr>
          <w:sz w:val="18"/>
          <w:szCs w:val="18"/>
          <w:lang w:val="en-US"/>
        </w:rPr>
      </w:pPr>
      <w:r w:rsidRPr="00E976A3">
        <w:rPr>
          <w:rStyle w:val="Voetnootmarkering"/>
          <w:szCs w:val="13"/>
        </w:rPr>
        <w:footnoteRef/>
      </w:r>
      <w:r w:rsidRPr="00E976A3">
        <w:rPr>
          <w:szCs w:val="13"/>
          <w:lang w:val="en-US"/>
        </w:rPr>
        <w:t xml:space="preserve"> </w:t>
      </w:r>
      <w:hyperlink r:id="rId7" w:history="1">
        <w:r w:rsidRPr="00E976A3">
          <w:rPr>
            <w:rStyle w:val="Hyperlink"/>
            <w:szCs w:val="13"/>
            <w:lang w:val="en-US"/>
          </w:rPr>
          <w:t>The Draghi report on EU competitiveness</w:t>
        </w:r>
      </w:hyperlink>
    </w:p>
  </w:footnote>
  <w:footnote w:id="10">
    <w:p w14:paraId="7E98D193" w14:textId="36589BD7" w:rsidR="00EA03F2" w:rsidRDefault="00EA03F2">
      <w:pPr>
        <w:pStyle w:val="Voetnoottekst"/>
      </w:pPr>
      <w:r>
        <w:rPr>
          <w:rStyle w:val="Voetnootmarkering"/>
        </w:rPr>
        <w:footnoteRef/>
      </w:r>
      <w:r>
        <w:t xml:space="preserve"> </w:t>
      </w:r>
      <w:r w:rsidR="00E31D31">
        <w:t xml:space="preserve"> Zoals toegelicht in de </w:t>
      </w:r>
      <w:hyperlink r:id="rId8" w:history="1">
        <w:r w:rsidR="00E31D31" w:rsidRPr="00E31D31">
          <w:rPr>
            <w:rStyle w:val="Hyperlink"/>
          </w:rPr>
          <w:t>Kamerbrief diverse onderwerpen rond aanbesteden | Kamerstuk | Rijksoverheid.nl</w:t>
        </w:r>
      </w:hyperlink>
    </w:p>
  </w:footnote>
  <w:footnote w:id="11">
    <w:p w14:paraId="52592888" w14:textId="77777777" w:rsidR="00575AD6" w:rsidRDefault="00575AD6" w:rsidP="00575AD6">
      <w:pPr>
        <w:pStyle w:val="Voetnoottekst"/>
      </w:pPr>
      <w:r>
        <w:rPr>
          <w:rStyle w:val="Voetnootmarkering"/>
        </w:rPr>
        <w:footnoteRef/>
      </w:r>
      <w:r>
        <w:t xml:space="preserve"> Zie voor het tienpuntenplan Kamerstukken II 2024-2025 </w:t>
      </w:r>
      <w:r w:rsidRPr="00EC31D2">
        <w:t>21501-30 nr. 621</w:t>
      </w:r>
      <w:r>
        <w:t xml:space="preserve"> en voor het gezamenlijk non-paper Kamerstukken II 2024-2025 nr. 630.</w:t>
      </w:r>
    </w:p>
  </w:footnote>
  <w:footnote w:id="12">
    <w:p w14:paraId="0E8761A5" w14:textId="77777777" w:rsidR="00570349" w:rsidRPr="00F018CE" w:rsidRDefault="00570349" w:rsidP="00570349">
      <w:pPr>
        <w:pStyle w:val="Voetnoottekst"/>
        <w:rPr>
          <w:lang w:val="en-US"/>
        </w:rPr>
      </w:pPr>
      <w:r>
        <w:rPr>
          <w:rStyle w:val="Voetnootmarkering"/>
        </w:rPr>
        <w:footnoteRef/>
      </w:r>
      <w:r w:rsidRPr="00F018CE">
        <w:rPr>
          <w:lang w:val="en-US"/>
        </w:rPr>
        <w:t xml:space="preserve"> </w:t>
      </w:r>
      <w:hyperlink r:id="rId9" w:history="1">
        <w:r w:rsidRPr="00F018CE">
          <w:rPr>
            <w:rStyle w:val="Hyperlink"/>
            <w:lang w:val="en-US"/>
          </w:rPr>
          <w:t>For every euro invested Horizon Europe generates up to €11 in economic gains</w:t>
        </w:r>
      </w:hyperlink>
    </w:p>
  </w:footnote>
  <w:footnote w:id="13">
    <w:p w14:paraId="7AB9B1C2" w14:textId="414BC5D8" w:rsidR="00570349" w:rsidRPr="003A7E40" w:rsidRDefault="00570349" w:rsidP="00570349">
      <w:pPr>
        <w:pStyle w:val="Voetnoottekst"/>
        <w:rPr>
          <w:lang w:val="en-US"/>
        </w:rPr>
      </w:pPr>
      <w:r>
        <w:rPr>
          <w:rStyle w:val="Voetnootmarkering"/>
        </w:rPr>
        <w:footnoteRef/>
      </w:r>
      <w:r w:rsidRPr="003A7E40">
        <w:rPr>
          <w:lang w:val="en-US"/>
        </w:rPr>
        <w:t xml:space="preserve"> </w:t>
      </w:r>
      <w:hyperlink r:id="rId10" w:history="1">
        <w:r w:rsidR="00042B48" w:rsidRPr="00042B48">
          <w:rPr>
            <w:rStyle w:val="Hyperlink"/>
            <w:lang w:val="en-US"/>
          </w:rPr>
          <w:t>The Netherlands vision paper on the future EU Framework Programme for Research and Innovation FP10 | Rapport | Rijksoverheid.nl</w:t>
        </w:r>
      </w:hyperlink>
    </w:p>
  </w:footnote>
  <w:footnote w:id="14">
    <w:p w14:paraId="40E54FDF" w14:textId="77777777" w:rsidR="00570349" w:rsidRPr="00F018CE" w:rsidRDefault="00570349" w:rsidP="00570349">
      <w:pPr>
        <w:pStyle w:val="Voetnoottekst"/>
        <w:tabs>
          <w:tab w:val="left" w:pos="6946"/>
        </w:tabs>
        <w:rPr>
          <w:sz w:val="16"/>
          <w:szCs w:val="16"/>
        </w:rPr>
      </w:pPr>
      <w:r w:rsidRPr="00B73196">
        <w:rPr>
          <w:rStyle w:val="Voetnootmarkering"/>
          <w:sz w:val="16"/>
          <w:szCs w:val="16"/>
        </w:rPr>
        <w:footnoteRef/>
      </w:r>
      <w:r w:rsidRPr="00F018CE">
        <w:rPr>
          <w:sz w:val="16"/>
          <w:szCs w:val="16"/>
        </w:rPr>
        <w:t xml:space="preserve"> </w:t>
      </w:r>
      <w:hyperlink r:id="rId11" w:history="1">
        <w:r w:rsidRPr="00F018CE">
          <w:rPr>
            <w:color w:val="0000FF"/>
            <w:szCs w:val="13"/>
            <w:u w:val="single"/>
          </w:rPr>
          <w:t>warsaw-declaration_final.pdf</w:t>
        </w:r>
      </w:hyperlink>
    </w:p>
  </w:footnote>
  <w:footnote w:id="15">
    <w:p w14:paraId="3835E32C" w14:textId="77777777" w:rsidR="00570349" w:rsidRPr="00563464" w:rsidRDefault="00570349" w:rsidP="00570349">
      <w:pPr>
        <w:pStyle w:val="Voetnoottekst"/>
      </w:pPr>
      <w:r>
        <w:rPr>
          <w:rStyle w:val="Voetnootmarkering"/>
        </w:rPr>
        <w:footnoteRef/>
      </w:r>
      <w:r w:rsidRPr="00563464">
        <w:t xml:space="preserve"> </w:t>
      </w:r>
      <w:hyperlink r:id="rId12" w:history="1">
        <w:r w:rsidRPr="00563464">
          <w:rPr>
            <w:rStyle w:val="Hyperlink"/>
          </w:rPr>
          <w:t>Verslag onderzoeks- en innovatiedeel informele Raad voor Concurrentievermogen 10-11 maart te Warschau Polen - TK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17A6" w14:paraId="02B05E6B" w14:textId="77777777" w:rsidTr="00A50CF6">
      <w:tc>
        <w:tcPr>
          <w:tcW w:w="2156" w:type="dxa"/>
          <w:shd w:val="clear" w:color="auto" w:fill="auto"/>
        </w:tcPr>
        <w:p w14:paraId="6965D52F" w14:textId="0FA45351" w:rsidR="00527BD4" w:rsidRPr="00624D22" w:rsidRDefault="00804156" w:rsidP="00A50CF6">
          <w:pPr>
            <w:pStyle w:val="Huisstijl-Adres"/>
            <w:rPr>
              <w:b/>
            </w:rPr>
          </w:pPr>
          <w:r>
            <w:rPr>
              <w:b/>
            </w:rPr>
            <w:t>Directie Europese en Internationale Zaken</w:t>
          </w:r>
        </w:p>
      </w:tc>
    </w:tr>
    <w:tr w:rsidR="003217A6" w14:paraId="2D6075DA" w14:textId="77777777" w:rsidTr="00A50CF6">
      <w:trPr>
        <w:trHeight w:hRule="exact" w:val="200"/>
      </w:trPr>
      <w:tc>
        <w:tcPr>
          <w:tcW w:w="2156" w:type="dxa"/>
          <w:shd w:val="clear" w:color="auto" w:fill="auto"/>
        </w:tcPr>
        <w:p w14:paraId="4322E964" w14:textId="77777777" w:rsidR="00527BD4" w:rsidRPr="005819CE" w:rsidRDefault="00527BD4" w:rsidP="00A50CF6"/>
      </w:tc>
    </w:tr>
    <w:tr w:rsidR="003217A6" w14:paraId="1E6F9CDB" w14:textId="77777777" w:rsidTr="00502512">
      <w:trPr>
        <w:trHeight w:hRule="exact" w:val="774"/>
      </w:trPr>
      <w:tc>
        <w:tcPr>
          <w:tcW w:w="2156" w:type="dxa"/>
          <w:shd w:val="clear" w:color="auto" w:fill="auto"/>
        </w:tcPr>
        <w:p w14:paraId="6895F27A" w14:textId="42642873" w:rsidR="00527BD4" w:rsidRDefault="00527BD4" w:rsidP="003A5290">
          <w:pPr>
            <w:pStyle w:val="Huisstijl-Kopje"/>
          </w:pPr>
        </w:p>
        <w:p w14:paraId="5B841AB2" w14:textId="4B934B6F" w:rsidR="00502512" w:rsidRPr="00502512" w:rsidRDefault="00804156" w:rsidP="003A5290">
          <w:pPr>
            <w:pStyle w:val="Huisstijl-Kopje"/>
            <w:rPr>
              <w:b w:val="0"/>
            </w:rPr>
          </w:pPr>
          <w:r>
            <w:rPr>
              <w:b w:val="0"/>
            </w:rPr>
            <w:t>DEIZ</w:t>
          </w:r>
          <w:r w:rsidRPr="00502512">
            <w:rPr>
              <w:b w:val="0"/>
            </w:rPr>
            <w:t xml:space="preserve"> / </w:t>
          </w:r>
          <w:r w:rsidR="001C39DC" w:rsidRPr="001C39DC">
            <w:rPr>
              <w:b w:val="0"/>
            </w:rPr>
            <w:t>98671131</w:t>
          </w:r>
        </w:p>
        <w:p w14:paraId="7600F979" w14:textId="77777777" w:rsidR="00527BD4" w:rsidRPr="005819CE" w:rsidRDefault="00527BD4" w:rsidP="00361A56">
          <w:pPr>
            <w:pStyle w:val="Huisstijl-Kopje"/>
          </w:pPr>
        </w:p>
      </w:tc>
    </w:tr>
  </w:tbl>
  <w:p w14:paraId="3AE147D0" w14:textId="77777777" w:rsidR="00527BD4" w:rsidRDefault="00527BD4" w:rsidP="008C356D">
    <w:pPr>
      <w:pStyle w:val="Koptekst"/>
      <w:rPr>
        <w:rFonts w:cs="Verdana-Bold"/>
        <w:b/>
        <w:bCs/>
        <w:smallCaps/>
        <w:szCs w:val="18"/>
      </w:rPr>
    </w:pPr>
  </w:p>
  <w:p w14:paraId="6F8CD0A0" w14:textId="77777777" w:rsidR="00527BD4" w:rsidRDefault="00527BD4" w:rsidP="008C356D"/>
  <w:p w14:paraId="082C70B5" w14:textId="77777777" w:rsidR="00527BD4" w:rsidRPr="00740712" w:rsidRDefault="00527BD4" w:rsidP="008C356D"/>
  <w:p w14:paraId="2BEC767E" w14:textId="77777777" w:rsidR="00527BD4" w:rsidRPr="00217880" w:rsidRDefault="00527BD4" w:rsidP="008C356D">
    <w:pPr>
      <w:spacing w:line="0" w:lineRule="atLeast"/>
      <w:rPr>
        <w:sz w:val="2"/>
        <w:szCs w:val="2"/>
      </w:rPr>
    </w:pPr>
  </w:p>
  <w:p w14:paraId="298A9618" w14:textId="77777777" w:rsidR="00527BD4" w:rsidRDefault="00527BD4" w:rsidP="004F44C2">
    <w:pPr>
      <w:pStyle w:val="Koptekst"/>
      <w:rPr>
        <w:rFonts w:cs="Verdana-Bold"/>
        <w:b/>
        <w:bCs/>
        <w:smallCaps/>
        <w:szCs w:val="18"/>
      </w:rPr>
    </w:pPr>
  </w:p>
  <w:p w14:paraId="44ACD3C9" w14:textId="20B2C98B" w:rsidR="00527BD4" w:rsidRDefault="00527BD4" w:rsidP="004F44C2"/>
  <w:p w14:paraId="05EA95E4" w14:textId="13A63BE1" w:rsidR="00624D22" w:rsidRDefault="00624D22" w:rsidP="004F44C2"/>
  <w:p w14:paraId="6B53DD95" w14:textId="77777777" w:rsidR="00624D22" w:rsidRDefault="00624D22" w:rsidP="004F44C2"/>
  <w:p w14:paraId="3545A148" w14:textId="77777777" w:rsidR="00527BD4" w:rsidRPr="00740712" w:rsidRDefault="00527BD4" w:rsidP="004F44C2"/>
  <w:p w14:paraId="4B492A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17A6" w14:paraId="42332E5D" w14:textId="77777777" w:rsidTr="00751A6A">
      <w:trPr>
        <w:trHeight w:val="2636"/>
      </w:trPr>
      <w:tc>
        <w:tcPr>
          <w:tcW w:w="737" w:type="dxa"/>
          <w:shd w:val="clear" w:color="auto" w:fill="auto"/>
        </w:tcPr>
        <w:p w14:paraId="2867056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347BD3B" w14:textId="6E1A84E6" w:rsidR="00527BD4" w:rsidRDefault="0080415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32A949D" wp14:editId="4394340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0868CE3" w14:textId="77777777" w:rsidR="00527BD4" w:rsidRDefault="00527BD4" w:rsidP="00D0609E">
    <w:pPr>
      <w:framePr w:w="6340" w:h="2750" w:hRule="exact" w:hSpace="180" w:wrap="around" w:vAnchor="page" w:hAnchor="text" w:x="3873" w:y="-140"/>
    </w:pPr>
  </w:p>
  <w:p w14:paraId="04D7B7E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17A6" w14:paraId="28205A36" w14:textId="77777777" w:rsidTr="00A50CF6">
      <w:tc>
        <w:tcPr>
          <w:tcW w:w="2160" w:type="dxa"/>
          <w:shd w:val="clear" w:color="auto" w:fill="auto"/>
        </w:tcPr>
        <w:p w14:paraId="62B71825" w14:textId="61F963C7" w:rsidR="00527BD4" w:rsidRPr="00781DCA" w:rsidRDefault="00804156" w:rsidP="00A50CF6">
          <w:pPr>
            <w:pStyle w:val="Huisstijl-Adres"/>
            <w:rPr>
              <w:b/>
            </w:rPr>
          </w:pPr>
          <w:r>
            <w:rPr>
              <w:b/>
            </w:rPr>
            <w:t>Directie Europese en Internationale Zaken</w:t>
          </w:r>
          <w:r w:rsidRPr="005819CE">
            <w:rPr>
              <w:b/>
            </w:rPr>
            <w:br/>
          </w:r>
        </w:p>
        <w:p w14:paraId="25262D9E" w14:textId="27CA0048" w:rsidR="00527BD4" w:rsidRPr="00BE5ED9" w:rsidRDefault="00804156" w:rsidP="00A50CF6">
          <w:pPr>
            <w:pStyle w:val="Huisstijl-Adres"/>
          </w:pPr>
          <w:r>
            <w:rPr>
              <w:b/>
            </w:rPr>
            <w:t>Bezoekadres</w:t>
          </w:r>
          <w:r>
            <w:rPr>
              <w:b/>
            </w:rPr>
            <w:br/>
          </w:r>
          <w:r>
            <w:t>Bezuidenhoutseweg 73</w:t>
          </w:r>
          <w:r w:rsidRPr="005819CE">
            <w:br/>
          </w:r>
          <w:r>
            <w:t>2594 AC Den Haag</w:t>
          </w:r>
        </w:p>
        <w:p w14:paraId="1A58E0CA" w14:textId="77777777" w:rsidR="00EF495B" w:rsidRDefault="00804156" w:rsidP="0098788A">
          <w:pPr>
            <w:pStyle w:val="Huisstijl-Adres"/>
          </w:pPr>
          <w:r>
            <w:rPr>
              <w:b/>
            </w:rPr>
            <w:t>Postadres</w:t>
          </w:r>
          <w:r>
            <w:rPr>
              <w:b/>
            </w:rPr>
            <w:br/>
          </w:r>
          <w:r>
            <w:t>Postbus 20401</w:t>
          </w:r>
          <w:r w:rsidRPr="005819CE">
            <w:br/>
            <w:t>2500 E</w:t>
          </w:r>
          <w:r>
            <w:t>K</w:t>
          </w:r>
          <w:r w:rsidRPr="005819CE">
            <w:t xml:space="preserve"> Den Haag</w:t>
          </w:r>
        </w:p>
        <w:p w14:paraId="5EB46F1C" w14:textId="77777777" w:rsidR="00EF495B" w:rsidRPr="005B3814" w:rsidRDefault="00804156" w:rsidP="0098788A">
          <w:pPr>
            <w:pStyle w:val="Huisstijl-Adres"/>
          </w:pPr>
          <w:r>
            <w:rPr>
              <w:b/>
            </w:rPr>
            <w:t>Overheidsidentificatienr</w:t>
          </w:r>
          <w:r>
            <w:rPr>
              <w:b/>
            </w:rPr>
            <w:br/>
          </w:r>
          <w:r w:rsidRPr="005B3814">
            <w:t>00000001003214369000</w:t>
          </w:r>
        </w:p>
        <w:p w14:paraId="4D0DDE92" w14:textId="67CBD162" w:rsidR="00527BD4" w:rsidRPr="001C39DC" w:rsidRDefault="0080415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217A6" w14:paraId="152AEA45" w14:textId="77777777" w:rsidTr="00A50CF6">
      <w:trPr>
        <w:trHeight w:hRule="exact" w:val="200"/>
      </w:trPr>
      <w:tc>
        <w:tcPr>
          <w:tcW w:w="2160" w:type="dxa"/>
          <w:shd w:val="clear" w:color="auto" w:fill="auto"/>
        </w:tcPr>
        <w:p w14:paraId="7C3194EB" w14:textId="77777777" w:rsidR="00527BD4" w:rsidRPr="00D71182" w:rsidRDefault="00527BD4" w:rsidP="00A50CF6">
          <w:pPr>
            <w:rPr>
              <w:lang w:val="fr-FR"/>
            </w:rPr>
          </w:pPr>
        </w:p>
      </w:tc>
    </w:tr>
    <w:tr w:rsidR="003217A6" w14:paraId="7374243A" w14:textId="77777777" w:rsidTr="00A50CF6">
      <w:tc>
        <w:tcPr>
          <w:tcW w:w="2160" w:type="dxa"/>
          <w:shd w:val="clear" w:color="auto" w:fill="auto"/>
        </w:tcPr>
        <w:p w14:paraId="2A6A05F3" w14:textId="473319C5" w:rsidR="000C0163" w:rsidRPr="005819CE" w:rsidRDefault="00804156" w:rsidP="000C0163">
          <w:pPr>
            <w:pStyle w:val="Huisstijl-Kopje"/>
          </w:pPr>
          <w:r>
            <w:t>Ons kenmerk</w:t>
          </w:r>
        </w:p>
        <w:p w14:paraId="18DB9EA3" w14:textId="75C25AC0" w:rsidR="00527BD4" w:rsidRPr="005819CE" w:rsidRDefault="00804156" w:rsidP="001C39DC">
          <w:pPr>
            <w:pStyle w:val="Huisstijl-Gegeven"/>
          </w:pPr>
          <w:r>
            <w:t>DEIZ</w:t>
          </w:r>
          <w:r w:rsidR="00926AE2">
            <w:t xml:space="preserve"> / </w:t>
          </w:r>
          <w:r w:rsidR="001C39DC" w:rsidRPr="001C39DC">
            <w:t>98671131</w:t>
          </w:r>
        </w:p>
        <w:p w14:paraId="3C618079" w14:textId="3EB295B6" w:rsidR="00527BD4" w:rsidRPr="005819CE" w:rsidRDefault="00527BD4" w:rsidP="00A50CF6">
          <w:pPr>
            <w:pStyle w:val="Huisstijl-Gegeven"/>
          </w:pPr>
        </w:p>
        <w:p w14:paraId="038A70B6" w14:textId="13628D16" w:rsidR="00527BD4" w:rsidRPr="005819CE" w:rsidRDefault="00804156" w:rsidP="00A50CF6">
          <w:pPr>
            <w:pStyle w:val="Huisstijl-Kopje"/>
          </w:pPr>
          <w:r>
            <w:t>Bijlage(n)</w:t>
          </w:r>
        </w:p>
        <w:p w14:paraId="7112A5EB" w14:textId="350E6671" w:rsidR="00527BD4" w:rsidRPr="005819CE" w:rsidRDefault="001C39DC" w:rsidP="00A50CF6">
          <w:pPr>
            <w:pStyle w:val="Huisstijl-Gegeven"/>
          </w:pPr>
          <w:r>
            <w:t>1</w:t>
          </w:r>
        </w:p>
      </w:tc>
    </w:tr>
  </w:tbl>
  <w:p w14:paraId="499EA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217A6" w14:paraId="5B4CFC79" w14:textId="77777777" w:rsidTr="00C37826">
      <w:trPr>
        <w:trHeight w:val="400"/>
      </w:trPr>
      <w:tc>
        <w:tcPr>
          <w:tcW w:w="7371" w:type="dxa"/>
          <w:gridSpan w:val="2"/>
          <w:shd w:val="clear" w:color="auto" w:fill="auto"/>
        </w:tcPr>
        <w:p w14:paraId="66B8D194" w14:textId="3B76F740" w:rsidR="00527BD4" w:rsidRPr="00BC3B53" w:rsidRDefault="0080415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217A6" w14:paraId="175D7818" w14:textId="77777777" w:rsidTr="00C37826">
      <w:tc>
        <w:tcPr>
          <w:tcW w:w="7371" w:type="dxa"/>
          <w:gridSpan w:val="2"/>
          <w:shd w:val="clear" w:color="auto" w:fill="auto"/>
        </w:tcPr>
        <w:p w14:paraId="337E8267" w14:textId="05BFD091" w:rsidR="00527BD4" w:rsidRPr="00983E8F" w:rsidRDefault="00527BD4" w:rsidP="00A50CF6">
          <w:pPr>
            <w:pStyle w:val="Huisstijl-Rubricering"/>
          </w:pPr>
        </w:p>
      </w:tc>
    </w:tr>
    <w:tr w:rsidR="003217A6" w14:paraId="416AB3FC" w14:textId="77777777" w:rsidTr="00C37826">
      <w:trPr>
        <w:trHeight w:hRule="exact" w:val="2440"/>
      </w:trPr>
      <w:tc>
        <w:tcPr>
          <w:tcW w:w="7371" w:type="dxa"/>
          <w:gridSpan w:val="2"/>
          <w:shd w:val="clear" w:color="auto" w:fill="auto"/>
        </w:tcPr>
        <w:p w14:paraId="77D4FFEA" w14:textId="7A009454" w:rsidR="00527BD4" w:rsidRDefault="00804156" w:rsidP="00A50CF6">
          <w:pPr>
            <w:pStyle w:val="Huisstijl-NAW"/>
          </w:pPr>
          <w:r>
            <w:t xml:space="preserve">De Voorzitter van de Tweede Kamer </w:t>
          </w:r>
        </w:p>
        <w:p w14:paraId="6151D705" w14:textId="77777777" w:rsidR="00D87195" w:rsidRDefault="00804156" w:rsidP="00D87195">
          <w:pPr>
            <w:pStyle w:val="Huisstijl-NAW"/>
          </w:pPr>
          <w:r>
            <w:t>der Staten-Generaal</w:t>
          </w:r>
        </w:p>
        <w:p w14:paraId="78C68B87" w14:textId="77777777" w:rsidR="00EA0F13" w:rsidRDefault="00804156" w:rsidP="00EA0F13">
          <w:pPr>
            <w:rPr>
              <w:szCs w:val="18"/>
            </w:rPr>
          </w:pPr>
          <w:r>
            <w:rPr>
              <w:szCs w:val="18"/>
            </w:rPr>
            <w:t>Prinses Irenestraat 6</w:t>
          </w:r>
        </w:p>
        <w:p w14:paraId="35373C24" w14:textId="73E3B872" w:rsidR="00985E56" w:rsidRDefault="00804156" w:rsidP="00EA0F13">
          <w:r>
            <w:rPr>
              <w:szCs w:val="18"/>
            </w:rPr>
            <w:t>2595 BD  DEN HAAG</w:t>
          </w:r>
        </w:p>
      </w:tc>
    </w:tr>
    <w:tr w:rsidR="003217A6" w14:paraId="311EAB9A" w14:textId="77777777" w:rsidTr="00C37826">
      <w:trPr>
        <w:trHeight w:hRule="exact" w:val="400"/>
      </w:trPr>
      <w:tc>
        <w:tcPr>
          <w:tcW w:w="7371" w:type="dxa"/>
          <w:gridSpan w:val="2"/>
          <w:shd w:val="clear" w:color="auto" w:fill="auto"/>
        </w:tcPr>
        <w:p w14:paraId="3587AD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17A6" w14:paraId="22FDAA48" w14:textId="77777777" w:rsidTr="00C37826">
      <w:trPr>
        <w:trHeight w:val="240"/>
      </w:trPr>
      <w:tc>
        <w:tcPr>
          <w:tcW w:w="709" w:type="dxa"/>
          <w:shd w:val="clear" w:color="auto" w:fill="auto"/>
        </w:tcPr>
        <w:p w14:paraId="00AA000D" w14:textId="7FD1E373" w:rsidR="00527BD4" w:rsidRPr="00C37826" w:rsidRDefault="00804156" w:rsidP="00A50CF6">
          <w:pPr>
            <w:rPr>
              <w:szCs w:val="18"/>
            </w:rPr>
          </w:pPr>
          <w:r>
            <w:rPr>
              <w:szCs w:val="18"/>
            </w:rPr>
            <w:t>Datum</w:t>
          </w:r>
        </w:p>
      </w:tc>
      <w:tc>
        <w:tcPr>
          <w:tcW w:w="6662" w:type="dxa"/>
          <w:shd w:val="clear" w:color="auto" w:fill="auto"/>
        </w:tcPr>
        <w:p w14:paraId="14D0A2AE" w14:textId="11868B33" w:rsidR="00527BD4" w:rsidRPr="007709EF" w:rsidRDefault="00AD1C50" w:rsidP="00A50CF6">
          <w:r>
            <w:t>8 mei 2025</w:t>
          </w:r>
        </w:p>
      </w:tc>
    </w:tr>
    <w:tr w:rsidR="003217A6" w14:paraId="211B7753" w14:textId="77777777" w:rsidTr="00C37826">
      <w:trPr>
        <w:trHeight w:val="240"/>
      </w:trPr>
      <w:tc>
        <w:tcPr>
          <w:tcW w:w="709" w:type="dxa"/>
          <w:shd w:val="clear" w:color="auto" w:fill="auto"/>
        </w:tcPr>
        <w:p w14:paraId="787A4C8E" w14:textId="6B87EADD" w:rsidR="00527BD4" w:rsidRPr="00C37826" w:rsidRDefault="00804156" w:rsidP="00A50CF6">
          <w:pPr>
            <w:rPr>
              <w:szCs w:val="18"/>
            </w:rPr>
          </w:pPr>
          <w:r>
            <w:rPr>
              <w:szCs w:val="18"/>
            </w:rPr>
            <w:t>Betreft</w:t>
          </w:r>
        </w:p>
      </w:tc>
      <w:tc>
        <w:tcPr>
          <w:tcW w:w="6662" w:type="dxa"/>
          <w:shd w:val="clear" w:color="auto" w:fill="auto"/>
        </w:tcPr>
        <w:p w14:paraId="06D7D538" w14:textId="6FA81123" w:rsidR="00527BD4" w:rsidRPr="007709EF" w:rsidRDefault="00D20831" w:rsidP="00A50CF6">
          <w:r>
            <w:t>Geannoteerde Agenda Raad voor Concurrentievermogen 22-23 mei</w:t>
          </w:r>
          <w:r w:rsidR="00D166AD">
            <w:t xml:space="preserve"> 2025</w:t>
          </w:r>
        </w:p>
      </w:tc>
    </w:tr>
  </w:tbl>
  <w:p w14:paraId="35BD64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8638BA"/>
    <w:multiLevelType w:val="hybridMultilevel"/>
    <w:tmpl w:val="064CFE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4FA9F08"/>
    <w:multiLevelType w:val="hybridMultilevel"/>
    <w:tmpl w:val="FFFFFFFF"/>
    <w:lvl w:ilvl="0" w:tplc="5036B86A">
      <w:start w:val="1"/>
      <w:numFmt w:val="bullet"/>
      <w:lvlText w:val=""/>
      <w:lvlJc w:val="left"/>
      <w:pPr>
        <w:ind w:left="720" w:hanging="360"/>
      </w:pPr>
      <w:rPr>
        <w:rFonts w:ascii="Symbol" w:hAnsi="Symbol" w:hint="default"/>
      </w:rPr>
    </w:lvl>
    <w:lvl w:ilvl="1" w:tplc="2F5A1244">
      <w:start w:val="1"/>
      <w:numFmt w:val="bullet"/>
      <w:lvlText w:val="o"/>
      <w:lvlJc w:val="left"/>
      <w:pPr>
        <w:ind w:left="1440" w:hanging="360"/>
      </w:pPr>
      <w:rPr>
        <w:rFonts w:ascii="Courier New" w:hAnsi="Courier New" w:hint="default"/>
      </w:rPr>
    </w:lvl>
    <w:lvl w:ilvl="2" w:tplc="115A035C">
      <w:start w:val="1"/>
      <w:numFmt w:val="bullet"/>
      <w:lvlText w:val=""/>
      <w:lvlJc w:val="left"/>
      <w:pPr>
        <w:ind w:left="2160" w:hanging="360"/>
      </w:pPr>
      <w:rPr>
        <w:rFonts w:ascii="Wingdings" w:hAnsi="Wingdings" w:hint="default"/>
      </w:rPr>
    </w:lvl>
    <w:lvl w:ilvl="3" w:tplc="1B9EBD6E">
      <w:start w:val="1"/>
      <w:numFmt w:val="bullet"/>
      <w:lvlText w:val=""/>
      <w:lvlJc w:val="left"/>
      <w:pPr>
        <w:ind w:left="2880" w:hanging="360"/>
      </w:pPr>
      <w:rPr>
        <w:rFonts w:ascii="Symbol" w:hAnsi="Symbol" w:hint="default"/>
      </w:rPr>
    </w:lvl>
    <w:lvl w:ilvl="4" w:tplc="CF825A86">
      <w:start w:val="1"/>
      <w:numFmt w:val="bullet"/>
      <w:lvlText w:val="o"/>
      <w:lvlJc w:val="left"/>
      <w:pPr>
        <w:ind w:left="3600" w:hanging="360"/>
      </w:pPr>
      <w:rPr>
        <w:rFonts w:ascii="Courier New" w:hAnsi="Courier New" w:hint="default"/>
      </w:rPr>
    </w:lvl>
    <w:lvl w:ilvl="5" w:tplc="3F6EBDC0">
      <w:start w:val="1"/>
      <w:numFmt w:val="bullet"/>
      <w:lvlText w:val=""/>
      <w:lvlJc w:val="left"/>
      <w:pPr>
        <w:ind w:left="4320" w:hanging="360"/>
      </w:pPr>
      <w:rPr>
        <w:rFonts w:ascii="Wingdings" w:hAnsi="Wingdings" w:hint="default"/>
      </w:rPr>
    </w:lvl>
    <w:lvl w:ilvl="6" w:tplc="E68E50D2">
      <w:start w:val="1"/>
      <w:numFmt w:val="bullet"/>
      <w:lvlText w:val=""/>
      <w:lvlJc w:val="left"/>
      <w:pPr>
        <w:ind w:left="5040" w:hanging="360"/>
      </w:pPr>
      <w:rPr>
        <w:rFonts w:ascii="Symbol" w:hAnsi="Symbol" w:hint="default"/>
      </w:rPr>
    </w:lvl>
    <w:lvl w:ilvl="7" w:tplc="FCAE3F20">
      <w:start w:val="1"/>
      <w:numFmt w:val="bullet"/>
      <w:lvlText w:val="o"/>
      <w:lvlJc w:val="left"/>
      <w:pPr>
        <w:ind w:left="5760" w:hanging="360"/>
      </w:pPr>
      <w:rPr>
        <w:rFonts w:ascii="Courier New" w:hAnsi="Courier New" w:hint="default"/>
      </w:rPr>
    </w:lvl>
    <w:lvl w:ilvl="8" w:tplc="279C033C">
      <w:start w:val="1"/>
      <w:numFmt w:val="bullet"/>
      <w:lvlText w:val=""/>
      <w:lvlJc w:val="left"/>
      <w:pPr>
        <w:ind w:left="6480" w:hanging="360"/>
      </w:pPr>
      <w:rPr>
        <w:rFonts w:ascii="Wingdings" w:hAnsi="Wingdings" w:hint="default"/>
      </w:rPr>
    </w:lvl>
  </w:abstractNum>
  <w:abstractNum w:abstractNumId="11" w15:restartNumberingAfterBreak="0">
    <w:nsid w:val="07462997"/>
    <w:multiLevelType w:val="hybridMultilevel"/>
    <w:tmpl w:val="AE661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AE186A04">
      <w:start w:val="1"/>
      <w:numFmt w:val="bullet"/>
      <w:pStyle w:val="Lijstopsomteken"/>
      <w:lvlText w:val="•"/>
      <w:lvlJc w:val="left"/>
      <w:pPr>
        <w:tabs>
          <w:tab w:val="num" w:pos="227"/>
        </w:tabs>
        <w:ind w:left="227" w:hanging="227"/>
      </w:pPr>
      <w:rPr>
        <w:rFonts w:ascii="Verdana" w:hAnsi="Verdana" w:hint="default"/>
        <w:sz w:val="18"/>
        <w:szCs w:val="18"/>
      </w:rPr>
    </w:lvl>
    <w:lvl w:ilvl="1" w:tplc="7B70F8D6" w:tentative="1">
      <w:start w:val="1"/>
      <w:numFmt w:val="bullet"/>
      <w:lvlText w:val="o"/>
      <w:lvlJc w:val="left"/>
      <w:pPr>
        <w:tabs>
          <w:tab w:val="num" w:pos="1440"/>
        </w:tabs>
        <w:ind w:left="1440" w:hanging="360"/>
      </w:pPr>
      <w:rPr>
        <w:rFonts w:ascii="Courier New" w:hAnsi="Courier New" w:cs="Courier New" w:hint="default"/>
      </w:rPr>
    </w:lvl>
    <w:lvl w:ilvl="2" w:tplc="B546F37E" w:tentative="1">
      <w:start w:val="1"/>
      <w:numFmt w:val="bullet"/>
      <w:lvlText w:val=""/>
      <w:lvlJc w:val="left"/>
      <w:pPr>
        <w:tabs>
          <w:tab w:val="num" w:pos="2160"/>
        </w:tabs>
        <w:ind w:left="2160" w:hanging="360"/>
      </w:pPr>
      <w:rPr>
        <w:rFonts w:ascii="Wingdings" w:hAnsi="Wingdings" w:hint="default"/>
      </w:rPr>
    </w:lvl>
    <w:lvl w:ilvl="3" w:tplc="AB741664" w:tentative="1">
      <w:start w:val="1"/>
      <w:numFmt w:val="bullet"/>
      <w:lvlText w:val=""/>
      <w:lvlJc w:val="left"/>
      <w:pPr>
        <w:tabs>
          <w:tab w:val="num" w:pos="2880"/>
        </w:tabs>
        <w:ind w:left="2880" w:hanging="360"/>
      </w:pPr>
      <w:rPr>
        <w:rFonts w:ascii="Symbol" w:hAnsi="Symbol" w:hint="default"/>
      </w:rPr>
    </w:lvl>
    <w:lvl w:ilvl="4" w:tplc="4E7EBDA0" w:tentative="1">
      <w:start w:val="1"/>
      <w:numFmt w:val="bullet"/>
      <w:lvlText w:val="o"/>
      <w:lvlJc w:val="left"/>
      <w:pPr>
        <w:tabs>
          <w:tab w:val="num" w:pos="3600"/>
        </w:tabs>
        <w:ind w:left="3600" w:hanging="360"/>
      </w:pPr>
      <w:rPr>
        <w:rFonts w:ascii="Courier New" w:hAnsi="Courier New" w:cs="Courier New" w:hint="default"/>
      </w:rPr>
    </w:lvl>
    <w:lvl w:ilvl="5" w:tplc="17A80AB6" w:tentative="1">
      <w:start w:val="1"/>
      <w:numFmt w:val="bullet"/>
      <w:lvlText w:val=""/>
      <w:lvlJc w:val="left"/>
      <w:pPr>
        <w:tabs>
          <w:tab w:val="num" w:pos="4320"/>
        </w:tabs>
        <w:ind w:left="4320" w:hanging="360"/>
      </w:pPr>
      <w:rPr>
        <w:rFonts w:ascii="Wingdings" w:hAnsi="Wingdings" w:hint="default"/>
      </w:rPr>
    </w:lvl>
    <w:lvl w:ilvl="6" w:tplc="5E66C8AC" w:tentative="1">
      <w:start w:val="1"/>
      <w:numFmt w:val="bullet"/>
      <w:lvlText w:val=""/>
      <w:lvlJc w:val="left"/>
      <w:pPr>
        <w:tabs>
          <w:tab w:val="num" w:pos="5040"/>
        </w:tabs>
        <w:ind w:left="5040" w:hanging="360"/>
      </w:pPr>
      <w:rPr>
        <w:rFonts w:ascii="Symbol" w:hAnsi="Symbol" w:hint="default"/>
      </w:rPr>
    </w:lvl>
    <w:lvl w:ilvl="7" w:tplc="E8A8F488" w:tentative="1">
      <w:start w:val="1"/>
      <w:numFmt w:val="bullet"/>
      <w:lvlText w:val="o"/>
      <w:lvlJc w:val="left"/>
      <w:pPr>
        <w:tabs>
          <w:tab w:val="num" w:pos="5760"/>
        </w:tabs>
        <w:ind w:left="5760" w:hanging="360"/>
      </w:pPr>
      <w:rPr>
        <w:rFonts w:ascii="Courier New" w:hAnsi="Courier New" w:cs="Courier New" w:hint="default"/>
      </w:rPr>
    </w:lvl>
    <w:lvl w:ilvl="8" w:tplc="9A9828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F5C74"/>
    <w:multiLevelType w:val="hybridMultilevel"/>
    <w:tmpl w:val="793207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01299A"/>
    <w:multiLevelType w:val="hybridMultilevel"/>
    <w:tmpl w:val="FE965CE0"/>
    <w:lvl w:ilvl="0" w:tplc="70B652F4">
      <w:start w:val="1"/>
      <w:numFmt w:val="bullet"/>
      <w:lvlText w:val=""/>
      <w:lvlJc w:val="left"/>
      <w:pPr>
        <w:ind w:left="720" w:hanging="360"/>
      </w:pPr>
      <w:rPr>
        <w:rFonts w:ascii="Symbol" w:hAnsi="Symbol" w:hint="default"/>
      </w:rPr>
    </w:lvl>
    <w:lvl w:ilvl="1" w:tplc="D5060100">
      <w:start w:val="1"/>
      <w:numFmt w:val="bullet"/>
      <w:lvlText w:val="o"/>
      <w:lvlJc w:val="left"/>
      <w:pPr>
        <w:ind w:left="1440" w:hanging="360"/>
      </w:pPr>
      <w:rPr>
        <w:rFonts w:ascii="Courier New" w:hAnsi="Courier New" w:hint="default"/>
      </w:rPr>
    </w:lvl>
    <w:lvl w:ilvl="2" w:tplc="C8DAD5D4">
      <w:start w:val="1"/>
      <w:numFmt w:val="bullet"/>
      <w:lvlText w:val=""/>
      <w:lvlJc w:val="left"/>
      <w:pPr>
        <w:ind w:left="2160" w:hanging="360"/>
      </w:pPr>
      <w:rPr>
        <w:rFonts w:ascii="Wingdings" w:hAnsi="Wingdings" w:hint="default"/>
      </w:rPr>
    </w:lvl>
    <w:lvl w:ilvl="3" w:tplc="AC282DD4">
      <w:start w:val="1"/>
      <w:numFmt w:val="bullet"/>
      <w:lvlText w:val=""/>
      <w:lvlJc w:val="left"/>
      <w:pPr>
        <w:ind w:left="2880" w:hanging="360"/>
      </w:pPr>
      <w:rPr>
        <w:rFonts w:ascii="Symbol" w:hAnsi="Symbol" w:hint="default"/>
      </w:rPr>
    </w:lvl>
    <w:lvl w:ilvl="4" w:tplc="82266ECE">
      <w:start w:val="1"/>
      <w:numFmt w:val="bullet"/>
      <w:lvlText w:val="o"/>
      <w:lvlJc w:val="left"/>
      <w:pPr>
        <w:ind w:left="3600" w:hanging="360"/>
      </w:pPr>
      <w:rPr>
        <w:rFonts w:ascii="Courier New" w:hAnsi="Courier New" w:hint="default"/>
      </w:rPr>
    </w:lvl>
    <w:lvl w:ilvl="5" w:tplc="2CF665D0">
      <w:start w:val="1"/>
      <w:numFmt w:val="bullet"/>
      <w:lvlText w:val=""/>
      <w:lvlJc w:val="left"/>
      <w:pPr>
        <w:ind w:left="4320" w:hanging="360"/>
      </w:pPr>
      <w:rPr>
        <w:rFonts w:ascii="Wingdings" w:hAnsi="Wingdings" w:hint="default"/>
      </w:rPr>
    </w:lvl>
    <w:lvl w:ilvl="6" w:tplc="52CA698C">
      <w:start w:val="1"/>
      <w:numFmt w:val="bullet"/>
      <w:lvlText w:val=""/>
      <w:lvlJc w:val="left"/>
      <w:pPr>
        <w:ind w:left="5040" w:hanging="360"/>
      </w:pPr>
      <w:rPr>
        <w:rFonts w:ascii="Symbol" w:hAnsi="Symbol" w:hint="default"/>
      </w:rPr>
    </w:lvl>
    <w:lvl w:ilvl="7" w:tplc="79042E68">
      <w:start w:val="1"/>
      <w:numFmt w:val="bullet"/>
      <w:lvlText w:val="o"/>
      <w:lvlJc w:val="left"/>
      <w:pPr>
        <w:ind w:left="5760" w:hanging="360"/>
      </w:pPr>
      <w:rPr>
        <w:rFonts w:ascii="Courier New" w:hAnsi="Courier New" w:hint="default"/>
      </w:rPr>
    </w:lvl>
    <w:lvl w:ilvl="8" w:tplc="D3A05E82">
      <w:start w:val="1"/>
      <w:numFmt w:val="bullet"/>
      <w:lvlText w:val=""/>
      <w:lvlJc w:val="left"/>
      <w:pPr>
        <w:ind w:left="6480" w:hanging="360"/>
      </w:pPr>
      <w:rPr>
        <w:rFonts w:ascii="Wingdings" w:hAnsi="Wingdings" w:hint="default"/>
      </w:rPr>
    </w:lvl>
  </w:abstractNum>
  <w:abstractNum w:abstractNumId="18" w15:restartNumberingAfterBreak="0">
    <w:nsid w:val="1E555FEF"/>
    <w:multiLevelType w:val="hybridMultilevel"/>
    <w:tmpl w:val="50F0923E"/>
    <w:lvl w:ilvl="0" w:tplc="17C42164">
      <w:start w:val="1"/>
      <w:numFmt w:val="bullet"/>
      <w:pStyle w:val="Lijstopsomteken2"/>
      <w:lvlText w:val="–"/>
      <w:lvlJc w:val="left"/>
      <w:pPr>
        <w:tabs>
          <w:tab w:val="num" w:pos="227"/>
        </w:tabs>
        <w:ind w:left="227" w:firstLine="0"/>
      </w:pPr>
      <w:rPr>
        <w:rFonts w:ascii="Verdana" w:hAnsi="Verdana" w:hint="default"/>
      </w:rPr>
    </w:lvl>
    <w:lvl w:ilvl="1" w:tplc="5E821A78" w:tentative="1">
      <w:start w:val="1"/>
      <w:numFmt w:val="bullet"/>
      <w:lvlText w:val="o"/>
      <w:lvlJc w:val="left"/>
      <w:pPr>
        <w:tabs>
          <w:tab w:val="num" w:pos="1440"/>
        </w:tabs>
        <w:ind w:left="1440" w:hanging="360"/>
      </w:pPr>
      <w:rPr>
        <w:rFonts w:ascii="Courier New" w:hAnsi="Courier New" w:cs="Courier New" w:hint="default"/>
      </w:rPr>
    </w:lvl>
    <w:lvl w:ilvl="2" w:tplc="D3FE7932" w:tentative="1">
      <w:start w:val="1"/>
      <w:numFmt w:val="bullet"/>
      <w:lvlText w:val=""/>
      <w:lvlJc w:val="left"/>
      <w:pPr>
        <w:tabs>
          <w:tab w:val="num" w:pos="2160"/>
        </w:tabs>
        <w:ind w:left="2160" w:hanging="360"/>
      </w:pPr>
      <w:rPr>
        <w:rFonts w:ascii="Wingdings" w:hAnsi="Wingdings" w:hint="default"/>
      </w:rPr>
    </w:lvl>
    <w:lvl w:ilvl="3" w:tplc="CED07B2C" w:tentative="1">
      <w:start w:val="1"/>
      <w:numFmt w:val="bullet"/>
      <w:lvlText w:val=""/>
      <w:lvlJc w:val="left"/>
      <w:pPr>
        <w:tabs>
          <w:tab w:val="num" w:pos="2880"/>
        </w:tabs>
        <w:ind w:left="2880" w:hanging="360"/>
      </w:pPr>
      <w:rPr>
        <w:rFonts w:ascii="Symbol" w:hAnsi="Symbol" w:hint="default"/>
      </w:rPr>
    </w:lvl>
    <w:lvl w:ilvl="4" w:tplc="BD329E18" w:tentative="1">
      <w:start w:val="1"/>
      <w:numFmt w:val="bullet"/>
      <w:lvlText w:val="o"/>
      <w:lvlJc w:val="left"/>
      <w:pPr>
        <w:tabs>
          <w:tab w:val="num" w:pos="3600"/>
        </w:tabs>
        <w:ind w:left="3600" w:hanging="360"/>
      </w:pPr>
      <w:rPr>
        <w:rFonts w:ascii="Courier New" w:hAnsi="Courier New" w:cs="Courier New" w:hint="default"/>
      </w:rPr>
    </w:lvl>
    <w:lvl w:ilvl="5" w:tplc="95A0946E" w:tentative="1">
      <w:start w:val="1"/>
      <w:numFmt w:val="bullet"/>
      <w:lvlText w:val=""/>
      <w:lvlJc w:val="left"/>
      <w:pPr>
        <w:tabs>
          <w:tab w:val="num" w:pos="4320"/>
        </w:tabs>
        <w:ind w:left="4320" w:hanging="360"/>
      </w:pPr>
      <w:rPr>
        <w:rFonts w:ascii="Wingdings" w:hAnsi="Wingdings" w:hint="default"/>
      </w:rPr>
    </w:lvl>
    <w:lvl w:ilvl="6" w:tplc="A950E0E6" w:tentative="1">
      <w:start w:val="1"/>
      <w:numFmt w:val="bullet"/>
      <w:lvlText w:val=""/>
      <w:lvlJc w:val="left"/>
      <w:pPr>
        <w:tabs>
          <w:tab w:val="num" w:pos="5040"/>
        </w:tabs>
        <w:ind w:left="5040" w:hanging="360"/>
      </w:pPr>
      <w:rPr>
        <w:rFonts w:ascii="Symbol" w:hAnsi="Symbol" w:hint="default"/>
      </w:rPr>
    </w:lvl>
    <w:lvl w:ilvl="7" w:tplc="8646B874" w:tentative="1">
      <w:start w:val="1"/>
      <w:numFmt w:val="bullet"/>
      <w:lvlText w:val="o"/>
      <w:lvlJc w:val="left"/>
      <w:pPr>
        <w:tabs>
          <w:tab w:val="num" w:pos="5760"/>
        </w:tabs>
        <w:ind w:left="5760" w:hanging="360"/>
      </w:pPr>
      <w:rPr>
        <w:rFonts w:ascii="Courier New" w:hAnsi="Courier New" w:cs="Courier New" w:hint="default"/>
      </w:rPr>
    </w:lvl>
    <w:lvl w:ilvl="8" w:tplc="B492F9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B102F"/>
    <w:multiLevelType w:val="hybridMultilevel"/>
    <w:tmpl w:val="41B297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20453B5"/>
    <w:multiLevelType w:val="hybridMultilevel"/>
    <w:tmpl w:val="F46689A4"/>
    <w:lvl w:ilvl="0" w:tplc="C3B231BE">
      <w:start w:val="1"/>
      <w:numFmt w:val="bullet"/>
      <w:lvlText w:val=""/>
      <w:lvlJc w:val="left"/>
      <w:pPr>
        <w:ind w:left="720" w:hanging="360"/>
      </w:pPr>
      <w:rPr>
        <w:rFonts w:ascii="Symbol" w:hAnsi="Symbol" w:hint="default"/>
      </w:rPr>
    </w:lvl>
    <w:lvl w:ilvl="1" w:tplc="A70E6682">
      <w:start w:val="1"/>
      <w:numFmt w:val="bullet"/>
      <w:lvlText w:val="o"/>
      <w:lvlJc w:val="left"/>
      <w:pPr>
        <w:ind w:left="1440" w:hanging="360"/>
      </w:pPr>
      <w:rPr>
        <w:rFonts w:ascii="Courier New" w:hAnsi="Courier New" w:hint="default"/>
      </w:rPr>
    </w:lvl>
    <w:lvl w:ilvl="2" w:tplc="FF22817A">
      <w:start w:val="1"/>
      <w:numFmt w:val="bullet"/>
      <w:lvlText w:val=""/>
      <w:lvlJc w:val="left"/>
      <w:pPr>
        <w:ind w:left="2160" w:hanging="360"/>
      </w:pPr>
      <w:rPr>
        <w:rFonts w:ascii="Wingdings" w:hAnsi="Wingdings" w:hint="default"/>
      </w:rPr>
    </w:lvl>
    <w:lvl w:ilvl="3" w:tplc="A1F0DE4A">
      <w:start w:val="1"/>
      <w:numFmt w:val="bullet"/>
      <w:lvlText w:val=""/>
      <w:lvlJc w:val="left"/>
      <w:pPr>
        <w:ind w:left="2880" w:hanging="360"/>
      </w:pPr>
      <w:rPr>
        <w:rFonts w:ascii="Symbol" w:hAnsi="Symbol" w:hint="default"/>
      </w:rPr>
    </w:lvl>
    <w:lvl w:ilvl="4" w:tplc="4816D802">
      <w:start w:val="1"/>
      <w:numFmt w:val="bullet"/>
      <w:lvlText w:val="o"/>
      <w:lvlJc w:val="left"/>
      <w:pPr>
        <w:ind w:left="3600" w:hanging="360"/>
      </w:pPr>
      <w:rPr>
        <w:rFonts w:ascii="Courier New" w:hAnsi="Courier New" w:hint="default"/>
      </w:rPr>
    </w:lvl>
    <w:lvl w:ilvl="5" w:tplc="72C0B1D8">
      <w:start w:val="1"/>
      <w:numFmt w:val="bullet"/>
      <w:lvlText w:val=""/>
      <w:lvlJc w:val="left"/>
      <w:pPr>
        <w:ind w:left="4320" w:hanging="360"/>
      </w:pPr>
      <w:rPr>
        <w:rFonts w:ascii="Wingdings" w:hAnsi="Wingdings" w:hint="default"/>
      </w:rPr>
    </w:lvl>
    <w:lvl w:ilvl="6" w:tplc="417A7764">
      <w:start w:val="1"/>
      <w:numFmt w:val="bullet"/>
      <w:lvlText w:val=""/>
      <w:lvlJc w:val="left"/>
      <w:pPr>
        <w:ind w:left="5040" w:hanging="360"/>
      </w:pPr>
      <w:rPr>
        <w:rFonts w:ascii="Symbol" w:hAnsi="Symbol" w:hint="default"/>
      </w:rPr>
    </w:lvl>
    <w:lvl w:ilvl="7" w:tplc="D506D2DC">
      <w:start w:val="1"/>
      <w:numFmt w:val="bullet"/>
      <w:lvlText w:val="o"/>
      <w:lvlJc w:val="left"/>
      <w:pPr>
        <w:ind w:left="5760" w:hanging="360"/>
      </w:pPr>
      <w:rPr>
        <w:rFonts w:ascii="Courier New" w:hAnsi="Courier New" w:hint="default"/>
      </w:rPr>
    </w:lvl>
    <w:lvl w:ilvl="8" w:tplc="BA5C09CE">
      <w:start w:val="1"/>
      <w:numFmt w:val="bullet"/>
      <w:lvlText w:val=""/>
      <w:lvlJc w:val="left"/>
      <w:pPr>
        <w:ind w:left="6480" w:hanging="360"/>
      </w:pPr>
      <w:rPr>
        <w:rFonts w:ascii="Wingdings" w:hAnsi="Wingdings" w:hint="default"/>
      </w:rPr>
    </w:lvl>
  </w:abstractNum>
  <w:abstractNum w:abstractNumId="21" w15:restartNumberingAfterBreak="0">
    <w:nsid w:val="3CE908F5"/>
    <w:multiLevelType w:val="hybridMultilevel"/>
    <w:tmpl w:val="2BDACAD4"/>
    <w:lvl w:ilvl="0" w:tplc="272E61CC">
      <w:numFmt w:val="bullet"/>
      <w:lvlText w:val="-"/>
      <w:lvlJc w:val="left"/>
      <w:pPr>
        <w:ind w:left="720" w:hanging="360"/>
      </w:pPr>
      <w:rPr>
        <w:rFonts w:ascii="Calibri" w:eastAsia="Times New Roman" w:hAnsi="Calibri" w:cs="Calibri" w:hint="default"/>
      </w:rPr>
    </w:lvl>
    <w:lvl w:ilvl="1" w:tplc="3C90F492">
      <w:start w:val="1"/>
      <w:numFmt w:val="bullet"/>
      <w:lvlText w:val="o"/>
      <w:lvlJc w:val="left"/>
      <w:pPr>
        <w:ind w:left="1440" w:hanging="360"/>
      </w:pPr>
      <w:rPr>
        <w:rFonts w:ascii="Courier New" w:hAnsi="Courier New" w:cs="Courier New" w:hint="default"/>
      </w:rPr>
    </w:lvl>
    <w:lvl w:ilvl="2" w:tplc="203E5B8A">
      <w:start w:val="1"/>
      <w:numFmt w:val="bullet"/>
      <w:lvlText w:val=""/>
      <w:lvlJc w:val="left"/>
      <w:pPr>
        <w:ind w:left="2160" w:hanging="360"/>
      </w:pPr>
      <w:rPr>
        <w:rFonts w:ascii="Wingdings" w:hAnsi="Wingdings" w:hint="default"/>
      </w:rPr>
    </w:lvl>
    <w:lvl w:ilvl="3" w:tplc="146853D8">
      <w:start w:val="1"/>
      <w:numFmt w:val="bullet"/>
      <w:lvlText w:val=""/>
      <w:lvlJc w:val="left"/>
      <w:pPr>
        <w:ind w:left="2880" w:hanging="360"/>
      </w:pPr>
      <w:rPr>
        <w:rFonts w:ascii="Symbol" w:hAnsi="Symbol" w:hint="default"/>
      </w:rPr>
    </w:lvl>
    <w:lvl w:ilvl="4" w:tplc="FF4C9564">
      <w:start w:val="1"/>
      <w:numFmt w:val="bullet"/>
      <w:lvlText w:val="o"/>
      <w:lvlJc w:val="left"/>
      <w:pPr>
        <w:ind w:left="3600" w:hanging="360"/>
      </w:pPr>
      <w:rPr>
        <w:rFonts w:ascii="Courier New" w:hAnsi="Courier New" w:cs="Courier New" w:hint="default"/>
      </w:rPr>
    </w:lvl>
    <w:lvl w:ilvl="5" w:tplc="A7028AAA">
      <w:start w:val="1"/>
      <w:numFmt w:val="bullet"/>
      <w:lvlText w:val=""/>
      <w:lvlJc w:val="left"/>
      <w:pPr>
        <w:ind w:left="4320" w:hanging="360"/>
      </w:pPr>
      <w:rPr>
        <w:rFonts w:ascii="Wingdings" w:hAnsi="Wingdings" w:hint="default"/>
      </w:rPr>
    </w:lvl>
    <w:lvl w:ilvl="6" w:tplc="FE141416">
      <w:start w:val="1"/>
      <w:numFmt w:val="bullet"/>
      <w:lvlText w:val=""/>
      <w:lvlJc w:val="left"/>
      <w:pPr>
        <w:ind w:left="5040" w:hanging="360"/>
      </w:pPr>
      <w:rPr>
        <w:rFonts w:ascii="Symbol" w:hAnsi="Symbol" w:hint="default"/>
      </w:rPr>
    </w:lvl>
    <w:lvl w:ilvl="7" w:tplc="EFD084B6">
      <w:start w:val="1"/>
      <w:numFmt w:val="bullet"/>
      <w:lvlText w:val="o"/>
      <w:lvlJc w:val="left"/>
      <w:pPr>
        <w:ind w:left="5760" w:hanging="360"/>
      </w:pPr>
      <w:rPr>
        <w:rFonts w:ascii="Courier New" w:hAnsi="Courier New" w:cs="Courier New" w:hint="default"/>
      </w:rPr>
    </w:lvl>
    <w:lvl w:ilvl="8" w:tplc="BCB6129C">
      <w:start w:val="1"/>
      <w:numFmt w:val="bullet"/>
      <w:lvlText w:val=""/>
      <w:lvlJc w:val="left"/>
      <w:pPr>
        <w:ind w:left="6480" w:hanging="360"/>
      </w:pPr>
      <w:rPr>
        <w:rFonts w:ascii="Wingdings" w:hAnsi="Wingdings" w:hint="default"/>
      </w:rPr>
    </w:lvl>
  </w:abstractNum>
  <w:abstractNum w:abstractNumId="22" w15:restartNumberingAfterBreak="0">
    <w:nsid w:val="44E83E8B"/>
    <w:multiLevelType w:val="hybridMultilevel"/>
    <w:tmpl w:val="4CE6A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B1226D9"/>
    <w:multiLevelType w:val="multilevel"/>
    <w:tmpl w:val="0B54F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8D05C"/>
    <w:multiLevelType w:val="hybridMultilevel"/>
    <w:tmpl w:val="FB50D4F8"/>
    <w:lvl w:ilvl="0" w:tplc="F09E9FB6">
      <w:start w:val="1"/>
      <w:numFmt w:val="bullet"/>
      <w:lvlText w:val=""/>
      <w:lvlJc w:val="left"/>
      <w:pPr>
        <w:ind w:left="720" w:hanging="360"/>
      </w:pPr>
      <w:rPr>
        <w:rFonts w:ascii="Symbol" w:hAnsi="Symbol" w:hint="default"/>
      </w:rPr>
    </w:lvl>
    <w:lvl w:ilvl="1" w:tplc="AC107FA0">
      <w:start w:val="1"/>
      <w:numFmt w:val="bullet"/>
      <w:lvlText w:val="o"/>
      <w:lvlJc w:val="left"/>
      <w:pPr>
        <w:ind w:left="1440" w:hanging="360"/>
      </w:pPr>
      <w:rPr>
        <w:rFonts w:ascii="Courier New" w:hAnsi="Courier New" w:hint="default"/>
      </w:rPr>
    </w:lvl>
    <w:lvl w:ilvl="2" w:tplc="B0484152">
      <w:start w:val="1"/>
      <w:numFmt w:val="bullet"/>
      <w:lvlText w:val=""/>
      <w:lvlJc w:val="left"/>
      <w:pPr>
        <w:ind w:left="2160" w:hanging="360"/>
      </w:pPr>
      <w:rPr>
        <w:rFonts w:ascii="Wingdings" w:hAnsi="Wingdings" w:hint="default"/>
      </w:rPr>
    </w:lvl>
    <w:lvl w:ilvl="3" w:tplc="534A8DD0">
      <w:start w:val="1"/>
      <w:numFmt w:val="bullet"/>
      <w:lvlText w:val=""/>
      <w:lvlJc w:val="left"/>
      <w:pPr>
        <w:ind w:left="2880" w:hanging="360"/>
      </w:pPr>
      <w:rPr>
        <w:rFonts w:ascii="Symbol" w:hAnsi="Symbol" w:hint="default"/>
      </w:rPr>
    </w:lvl>
    <w:lvl w:ilvl="4" w:tplc="E1BA45A4">
      <w:start w:val="1"/>
      <w:numFmt w:val="bullet"/>
      <w:lvlText w:val="o"/>
      <w:lvlJc w:val="left"/>
      <w:pPr>
        <w:ind w:left="3600" w:hanging="360"/>
      </w:pPr>
      <w:rPr>
        <w:rFonts w:ascii="Courier New" w:hAnsi="Courier New" w:hint="default"/>
      </w:rPr>
    </w:lvl>
    <w:lvl w:ilvl="5" w:tplc="30D81BC6">
      <w:start w:val="1"/>
      <w:numFmt w:val="bullet"/>
      <w:lvlText w:val=""/>
      <w:lvlJc w:val="left"/>
      <w:pPr>
        <w:ind w:left="4320" w:hanging="360"/>
      </w:pPr>
      <w:rPr>
        <w:rFonts w:ascii="Wingdings" w:hAnsi="Wingdings" w:hint="default"/>
      </w:rPr>
    </w:lvl>
    <w:lvl w:ilvl="6" w:tplc="DE2CE866">
      <w:start w:val="1"/>
      <w:numFmt w:val="bullet"/>
      <w:lvlText w:val=""/>
      <w:lvlJc w:val="left"/>
      <w:pPr>
        <w:ind w:left="5040" w:hanging="360"/>
      </w:pPr>
      <w:rPr>
        <w:rFonts w:ascii="Symbol" w:hAnsi="Symbol" w:hint="default"/>
      </w:rPr>
    </w:lvl>
    <w:lvl w:ilvl="7" w:tplc="360A7084">
      <w:start w:val="1"/>
      <w:numFmt w:val="bullet"/>
      <w:lvlText w:val="o"/>
      <w:lvlJc w:val="left"/>
      <w:pPr>
        <w:ind w:left="5760" w:hanging="360"/>
      </w:pPr>
      <w:rPr>
        <w:rFonts w:ascii="Courier New" w:hAnsi="Courier New" w:hint="default"/>
      </w:rPr>
    </w:lvl>
    <w:lvl w:ilvl="8" w:tplc="F42E091E">
      <w:start w:val="1"/>
      <w:numFmt w:val="bullet"/>
      <w:lvlText w:val=""/>
      <w:lvlJc w:val="left"/>
      <w:pPr>
        <w:ind w:left="6480" w:hanging="360"/>
      </w:pPr>
      <w:rPr>
        <w:rFonts w:ascii="Wingdings" w:hAnsi="Wingdings" w:hint="default"/>
      </w:rPr>
    </w:lvl>
  </w:abstractNum>
  <w:abstractNum w:abstractNumId="26" w15:restartNumberingAfterBreak="0">
    <w:nsid w:val="541B46C6"/>
    <w:multiLevelType w:val="hybridMultilevel"/>
    <w:tmpl w:val="CD445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99E452"/>
    <w:multiLevelType w:val="hybridMultilevel"/>
    <w:tmpl w:val="215E6FB2"/>
    <w:lvl w:ilvl="0" w:tplc="677C8C2C">
      <w:start w:val="1"/>
      <w:numFmt w:val="bullet"/>
      <w:lvlText w:val=""/>
      <w:lvlJc w:val="left"/>
      <w:pPr>
        <w:ind w:left="720" w:hanging="360"/>
      </w:pPr>
      <w:rPr>
        <w:rFonts w:ascii="Symbol" w:hAnsi="Symbol" w:hint="default"/>
      </w:rPr>
    </w:lvl>
    <w:lvl w:ilvl="1" w:tplc="0F3CC5D0">
      <w:start w:val="1"/>
      <w:numFmt w:val="bullet"/>
      <w:lvlText w:val="o"/>
      <w:lvlJc w:val="left"/>
      <w:pPr>
        <w:ind w:left="1440" w:hanging="360"/>
      </w:pPr>
      <w:rPr>
        <w:rFonts w:ascii="Courier New" w:hAnsi="Courier New" w:hint="default"/>
      </w:rPr>
    </w:lvl>
    <w:lvl w:ilvl="2" w:tplc="4598469E">
      <w:start w:val="1"/>
      <w:numFmt w:val="bullet"/>
      <w:lvlText w:val=""/>
      <w:lvlJc w:val="left"/>
      <w:pPr>
        <w:ind w:left="2160" w:hanging="360"/>
      </w:pPr>
      <w:rPr>
        <w:rFonts w:ascii="Wingdings" w:hAnsi="Wingdings" w:hint="default"/>
      </w:rPr>
    </w:lvl>
    <w:lvl w:ilvl="3" w:tplc="67105BB8">
      <w:start w:val="1"/>
      <w:numFmt w:val="bullet"/>
      <w:lvlText w:val=""/>
      <w:lvlJc w:val="left"/>
      <w:pPr>
        <w:ind w:left="2880" w:hanging="360"/>
      </w:pPr>
      <w:rPr>
        <w:rFonts w:ascii="Symbol" w:hAnsi="Symbol" w:hint="default"/>
      </w:rPr>
    </w:lvl>
    <w:lvl w:ilvl="4" w:tplc="2B082024">
      <w:start w:val="1"/>
      <w:numFmt w:val="bullet"/>
      <w:lvlText w:val="o"/>
      <w:lvlJc w:val="left"/>
      <w:pPr>
        <w:ind w:left="3600" w:hanging="360"/>
      </w:pPr>
      <w:rPr>
        <w:rFonts w:ascii="Courier New" w:hAnsi="Courier New" w:hint="default"/>
      </w:rPr>
    </w:lvl>
    <w:lvl w:ilvl="5" w:tplc="86B8DBBE">
      <w:start w:val="1"/>
      <w:numFmt w:val="bullet"/>
      <w:lvlText w:val=""/>
      <w:lvlJc w:val="left"/>
      <w:pPr>
        <w:ind w:left="4320" w:hanging="360"/>
      </w:pPr>
      <w:rPr>
        <w:rFonts w:ascii="Wingdings" w:hAnsi="Wingdings" w:hint="default"/>
      </w:rPr>
    </w:lvl>
    <w:lvl w:ilvl="6" w:tplc="A3824B56">
      <w:start w:val="1"/>
      <w:numFmt w:val="bullet"/>
      <w:lvlText w:val=""/>
      <w:lvlJc w:val="left"/>
      <w:pPr>
        <w:ind w:left="5040" w:hanging="360"/>
      </w:pPr>
      <w:rPr>
        <w:rFonts w:ascii="Symbol" w:hAnsi="Symbol" w:hint="default"/>
      </w:rPr>
    </w:lvl>
    <w:lvl w:ilvl="7" w:tplc="80301B8A">
      <w:start w:val="1"/>
      <w:numFmt w:val="bullet"/>
      <w:lvlText w:val="o"/>
      <w:lvlJc w:val="left"/>
      <w:pPr>
        <w:ind w:left="5760" w:hanging="360"/>
      </w:pPr>
      <w:rPr>
        <w:rFonts w:ascii="Courier New" w:hAnsi="Courier New" w:hint="default"/>
      </w:rPr>
    </w:lvl>
    <w:lvl w:ilvl="8" w:tplc="FF52B6AA">
      <w:start w:val="1"/>
      <w:numFmt w:val="bullet"/>
      <w:lvlText w:val=""/>
      <w:lvlJc w:val="left"/>
      <w:pPr>
        <w:ind w:left="6480" w:hanging="360"/>
      </w:pPr>
      <w:rPr>
        <w:rFonts w:ascii="Wingdings" w:hAnsi="Wingdings" w:hint="default"/>
      </w:rPr>
    </w:lvl>
  </w:abstractNum>
  <w:abstractNum w:abstractNumId="28" w15:restartNumberingAfterBreak="0">
    <w:nsid w:val="65512B2A"/>
    <w:multiLevelType w:val="hybridMultilevel"/>
    <w:tmpl w:val="6F741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6C5C4B"/>
    <w:multiLevelType w:val="hybridMultilevel"/>
    <w:tmpl w:val="9DB82ECE"/>
    <w:lvl w:ilvl="0" w:tplc="119A7C8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483329"/>
    <w:multiLevelType w:val="hybridMultilevel"/>
    <w:tmpl w:val="E28CDA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F383EFD"/>
    <w:multiLevelType w:val="hybridMultilevel"/>
    <w:tmpl w:val="641840E6"/>
    <w:lvl w:ilvl="0" w:tplc="12AC8C32">
      <w:start w:val="1"/>
      <w:numFmt w:val="bullet"/>
      <w:lvlText w:val=""/>
      <w:lvlJc w:val="left"/>
      <w:pPr>
        <w:ind w:left="720" w:hanging="360"/>
      </w:pPr>
      <w:rPr>
        <w:rFonts w:ascii="Symbol" w:hAnsi="Symbol" w:hint="default"/>
      </w:rPr>
    </w:lvl>
    <w:lvl w:ilvl="1" w:tplc="EDEAC8F0">
      <w:start w:val="1"/>
      <w:numFmt w:val="bullet"/>
      <w:lvlText w:val="o"/>
      <w:lvlJc w:val="left"/>
      <w:pPr>
        <w:ind w:left="1440" w:hanging="360"/>
      </w:pPr>
      <w:rPr>
        <w:rFonts w:ascii="Courier New" w:hAnsi="Courier New" w:hint="default"/>
      </w:rPr>
    </w:lvl>
    <w:lvl w:ilvl="2" w:tplc="21EA5FA6">
      <w:start w:val="1"/>
      <w:numFmt w:val="bullet"/>
      <w:lvlText w:val=""/>
      <w:lvlJc w:val="left"/>
      <w:pPr>
        <w:ind w:left="2160" w:hanging="360"/>
      </w:pPr>
      <w:rPr>
        <w:rFonts w:ascii="Wingdings" w:hAnsi="Wingdings" w:hint="default"/>
      </w:rPr>
    </w:lvl>
    <w:lvl w:ilvl="3" w:tplc="BA7CC57E">
      <w:start w:val="1"/>
      <w:numFmt w:val="bullet"/>
      <w:lvlText w:val=""/>
      <w:lvlJc w:val="left"/>
      <w:pPr>
        <w:ind w:left="2880" w:hanging="360"/>
      </w:pPr>
      <w:rPr>
        <w:rFonts w:ascii="Symbol" w:hAnsi="Symbol" w:hint="default"/>
      </w:rPr>
    </w:lvl>
    <w:lvl w:ilvl="4" w:tplc="01348C96">
      <w:start w:val="1"/>
      <w:numFmt w:val="bullet"/>
      <w:lvlText w:val="o"/>
      <w:lvlJc w:val="left"/>
      <w:pPr>
        <w:ind w:left="3600" w:hanging="360"/>
      </w:pPr>
      <w:rPr>
        <w:rFonts w:ascii="Courier New" w:hAnsi="Courier New" w:hint="default"/>
      </w:rPr>
    </w:lvl>
    <w:lvl w:ilvl="5" w:tplc="D65C1CD4">
      <w:start w:val="1"/>
      <w:numFmt w:val="bullet"/>
      <w:lvlText w:val=""/>
      <w:lvlJc w:val="left"/>
      <w:pPr>
        <w:ind w:left="4320" w:hanging="360"/>
      </w:pPr>
      <w:rPr>
        <w:rFonts w:ascii="Wingdings" w:hAnsi="Wingdings" w:hint="default"/>
      </w:rPr>
    </w:lvl>
    <w:lvl w:ilvl="6" w:tplc="6D609AC0">
      <w:start w:val="1"/>
      <w:numFmt w:val="bullet"/>
      <w:lvlText w:val=""/>
      <w:lvlJc w:val="left"/>
      <w:pPr>
        <w:ind w:left="5040" w:hanging="360"/>
      </w:pPr>
      <w:rPr>
        <w:rFonts w:ascii="Symbol" w:hAnsi="Symbol" w:hint="default"/>
      </w:rPr>
    </w:lvl>
    <w:lvl w:ilvl="7" w:tplc="1E2E5378">
      <w:start w:val="1"/>
      <w:numFmt w:val="bullet"/>
      <w:lvlText w:val="o"/>
      <w:lvlJc w:val="left"/>
      <w:pPr>
        <w:ind w:left="5760" w:hanging="360"/>
      </w:pPr>
      <w:rPr>
        <w:rFonts w:ascii="Courier New" w:hAnsi="Courier New" w:hint="default"/>
      </w:rPr>
    </w:lvl>
    <w:lvl w:ilvl="8" w:tplc="91F4BA44">
      <w:start w:val="1"/>
      <w:numFmt w:val="bullet"/>
      <w:lvlText w:val=""/>
      <w:lvlJc w:val="left"/>
      <w:pPr>
        <w:ind w:left="6480" w:hanging="360"/>
      </w:pPr>
      <w:rPr>
        <w:rFonts w:ascii="Wingdings" w:hAnsi="Wingdings" w:hint="default"/>
      </w:rPr>
    </w:lvl>
  </w:abstractNum>
  <w:abstractNum w:abstractNumId="32" w15:restartNumberingAfterBreak="0">
    <w:nsid w:val="791907A9"/>
    <w:multiLevelType w:val="hybridMultilevel"/>
    <w:tmpl w:val="8EDC3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49455">
    <w:abstractNumId w:val="17"/>
  </w:num>
  <w:num w:numId="2" w16cid:durableId="2018463485">
    <w:abstractNumId w:val="31"/>
  </w:num>
  <w:num w:numId="3" w16cid:durableId="858660548">
    <w:abstractNumId w:val="20"/>
  </w:num>
  <w:num w:numId="4" w16cid:durableId="1242838563">
    <w:abstractNumId w:val="27"/>
  </w:num>
  <w:num w:numId="5" w16cid:durableId="763647117">
    <w:abstractNumId w:val="25"/>
  </w:num>
  <w:num w:numId="6" w16cid:durableId="1479763321">
    <w:abstractNumId w:val="14"/>
  </w:num>
  <w:num w:numId="7" w16cid:durableId="1031568111">
    <w:abstractNumId w:val="7"/>
  </w:num>
  <w:num w:numId="8" w16cid:durableId="628558457">
    <w:abstractNumId w:val="6"/>
  </w:num>
  <w:num w:numId="9" w16cid:durableId="552692615">
    <w:abstractNumId w:val="5"/>
  </w:num>
  <w:num w:numId="10" w16cid:durableId="1552229768">
    <w:abstractNumId w:val="4"/>
  </w:num>
  <w:num w:numId="11" w16cid:durableId="884413312">
    <w:abstractNumId w:val="8"/>
  </w:num>
  <w:num w:numId="12" w16cid:durableId="1191838801">
    <w:abstractNumId w:val="3"/>
  </w:num>
  <w:num w:numId="13" w16cid:durableId="599339343">
    <w:abstractNumId w:val="2"/>
  </w:num>
  <w:num w:numId="14" w16cid:durableId="1335914171">
    <w:abstractNumId w:val="1"/>
  </w:num>
  <w:num w:numId="15" w16cid:durableId="26570366">
    <w:abstractNumId w:val="0"/>
  </w:num>
  <w:num w:numId="16" w16cid:durableId="990400278">
    <w:abstractNumId w:val="13"/>
  </w:num>
  <w:num w:numId="17" w16cid:durableId="1056511251">
    <w:abstractNumId w:val="16"/>
  </w:num>
  <w:num w:numId="18" w16cid:durableId="1422488200">
    <w:abstractNumId w:val="24"/>
  </w:num>
  <w:num w:numId="19" w16cid:durableId="1090352996">
    <w:abstractNumId w:val="18"/>
  </w:num>
  <w:num w:numId="20" w16cid:durableId="747463132">
    <w:abstractNumId w:val="21"/>
  </w:num>
  <w:num w:numId="21" w16cid:durableId="1880513480">
    <w:abstractNumId w:val="23"/>
  </w:num>
  <w:num w:numId="22" w16cid:durableId="1183318327">
    <w:abstractNumId w:val="32"/>
  </w:num>
  <w:num w:numId="23" w16cid:durableId="133915918">
    <w:abstractNumId w:val="10"/>
  </w:num>
  <w:num w:numId="24" w16cid:durableId="1420369101">
    <w:abstractNumId w:val="12"/>
  </w:num>
  <w:num w:numId="25" w16cid:durableId="2119060913">
    <w:abstractNumId w:val="11"/>
  </w:num>
  <w:num w:numId="26" w16cid:durableId="718556146">
    <w:abstractNumId w:val="15"/>
  </w:num>
  <w:num w:numId="27" w16cid:durableId="905335468">
    <w:abstractNumId w:val="26"/>
  </w:num>
  <w:num w:numId="28" w16cid:durableId="1250769989">
    <w:abstractNumId w:val="28"/>
  </w:num>
  <w:num w:numId="29" w16cid:durableId="1647126657">
    <w:abstractNumId w:val="29"/>
  </w:num>
  <w:num w:numId="30" w16cid:durableId="272055602">
    <w:abstractNumId w:val="9"/>
  </w:num>
  <w:num w:numId="31" w16cid:durableId="747657599">
    <w:abstractNumId w:val="22"/>
  </w:num>
  <w:num w:numId="32" w16cid:durableId="1616643411">
    <w:abstractNumId w:val="30"/>
  </w:num>
  <w:num w:numId="33" w16cid:durableId="12642197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FB9"/>
    <w:rsid w:val="00002CB2"/>
    <w:rsid w:val="000042EC"/>
    <w:rsid w:val="000049FB"/>
    <w:rsid w:val="000067FB"/>
    <w:rsid w:val="00012B4F"/>
    <w:rsid w:val="00013862"/>
    <w:rsid w:val="00016012"/>
    <w:rsid w:val="0001743F"/>
    <w:rsid w:val="00020189"/>
    <w:rsid w:val="00020EE4"/>
    <w:rsid w:val="000227DF"/>
    <w:rsid w:val="00023244"/>
    <w:rsid w:val="00023E9A"/>
    <w:rsid w:val="000325B0"/>
    <w:rsid w:val="00033CDD"/>
    <w:rsid w:val="00034A84"/>
    <w:rsid w:val="00035523"/>
    <w:rsid w:val="00035E67"/>
    <w:rsid w:val="000366F3"/>
    <w:rsid w:val="00040022"/>
    <w:rsid w:val="0004004A"/>
    <w:rsid w:val="00042B48"/>
    <w:rsid w:val="0004362C"/>
    <w:rsid w:val="00045E94"/>
    <w:rsid w:val="00054807"/>
    <w:rsid w:val="0006024D"/>
    <w:rsid w:val="00060A1A"/>
    <w:rsid w:val="00071813"/>
    <w:rsid w:val="00071F28"/>
    <w:rsid w:val="00074079"/>
    <w:rsid w:val="00076BFB"/>
    <w:rsid w:val="0008111A"/>
    <w:rsid w:val="00083702"/>
    <w:rsid w:val="00083800"/>
    <w:rsid w:val="000860A0"/>
    <w:rsid w:val="00086E72"/>
    <w:rsid w:val="00092799"/>
    <w:rsid w:val="00092C5F"/>
    <w:rsid w:val="00096680"/>
    <w:rsid w:val="000A0F36"/>
    <w:rsid w:val="000A174A"/>
    <w:rsid w:val="000A3E0A"/>
    <w:rsid w:val="000A65AC"/>
    <w:rsid w:val="000A7391"/>
    <w:rsid w:val="000B7281"/>
    <w:rsid w:val="000B7FAB"/>
    <w:rsid w:val="000C0163"/>
    <w:rsid w:val="000C1BA1"/>
    <w:rsid w:val="000C3EA9"/>
    <w:rsid w:val="000D0154"/>
    <w:rsid w:val="000D0225"/>
    <w:rsid w:val="000D0AED"/>
    <w:rsid w:val="000D6CCE"/>
    <w:rsid w:val="000D7087"/>
    <w:rsid w:val="000E1E76"/>
    <w:rsid w:val="000E5C7B"/>
    <w:rsid w:val="000E7895"/>
    <w:rsid w:val="000F161D"/>
    <w:rsid w:val="000F3CAA"/>
    <w:rsid w:val="0010212F"/>
    <w:rsid w:val="00103D08"/>
    <w:rsid w:val="001124A3"/>
    <w:rsid w:val="00113CFF"/>
    <w:rsid w:val="00115448"/>
    <w:rsid w:val="001208C8"/>
    <w:rsid w:val="001214A4"/>
    <w:rsid w:val="00121BF0"/>
    <w:rsid w:val="00122655"/>
    <w:rsid w:val="00123704"/>
    <w:rsid w:val="001270C7"/>
    <w:rsid w:val="00132406"/>
    <w:rsid w:val="00132540"/>
    <w:rsid w:val="001357E3"/>
    <w:rsid w:val="00137AC8"/>
    <w:rsid w:val="001446A5"/>
    <w:rsid w:val="0014786A"/>
    <w:rsid w:val="00150D47"/>
    <w:rsid w:val="001516A4"/>
    <w:rsid w:val="00151E5F"/>
    <w:rsid w:val="00152A00"/>
    <w:rsid w:val="00153BC1"/>
    <w:rsid w:val="00153E28"/>
    <w:rsid w:val="00154908"/>
    <w:rsid w:val="00155D0E"/>
    <w:rsid w:val="001569AB"/>
    <w:rsid w:val="00164D63"/>
    <w:rsid w:val="001653D3"/>
    <w:rsid w:val="001664B3"/>
    <w:rsid w:val="0016725C"/>
    <w:rsid w:val="001720B4"/>
    <w:rsid w:val="001726F3"/>
    <w:rsid w:val="00173699"/>
    <w:rsid w:val="00173C51"/>
    <w:rsid w:val="00174CC2"/>
    <w:rsid w:val="00176CC6"/>
    <w:rsid w:val="00177770"/>
    <w:rsid w:val="00181BE4"/>
    <w:rsid w:val="00185576"/>
    <w:rsid w:val="00185951"/>
    <w:rsid w:val="0018651C"/>
    <w:rsid w:val="001925E8"/>
    <w:rsid w:val="00193B20"/>
    <w:rsid w:val="00196B8B"/>
    <w:rsid w:val="001A2BEA"/>
    <w:rsid w:val="001A6AF9"/>
    <w:rsid w:val="001A6D93"/>
    <w:rsid w:val="001B389D"/>
    <w:rsid w:val="001C32EC"/>
    <w:rsid w:val="001C38BD"/>
    <w:rsid w:val="001C39DC"/>
    <w:rsid w:val="001C4D5A"/>
    <w:rsid w:val="001D4071"/>
    <w:rsid w:val="001D4481"/>
    <w:rsid w:val="001E1058"/>
    <w:rsid w:val="001E2B5D"/>
    <w:rsid w:val="001E34C6"/>
    <w:rsid w:val="001E5581"/>
    <w:rsid w:val="001E5BBD"/>
    <w:rsid w:val="001F3C70"/>
    <w:rsid w:val="001F57CF"/>
    <w:rsid w:val="00200D88"/>
    <w:rsid w:val="00201F68"/>
    <w:rsid w:val="00210E81"/>
    <w:rsid w:val="00212D00"/>
    <w:rsid w:val="00212F2A"/>
    <w:rsid w:val="00214F2B"/>
    <w:rsid w:val="00217880"/>
    <w:rsid w:val="00217D24"/>
    <w:rsid w:val="00217E30"/>
    <w:rsid w:val="00222D66"/>
    <w:rsid w:val="00224A8A"/>
    <w:rsid w:val="0022504D"/>
    <w:rsid w:val="00230162"/>
    <w:rsid w:val="00230238"/>
    <w:rsid w:val="002309A8"/>
    <w:rsid w:val="00230B14"/>
    <w:rsid w:val="00231381"/>
    <w:rsid w:val="0023643F"/>
    <w:rsid w:val="00236CFE"/>
    <w:rsid w:val="002428E3"/>
    <w:rsid w:val="00243031"/>
    <w:rsid w:val="00244BFC"/>
    <w:rsid w:val="00245489"/>
    <w:rsid w:val="002460C4"/>
    <w:rsid w:val="00247831"/>
    <w:rsid w:val="002570B4"/>
    <w:rsid w:val="0025747D"/>
    <w:rsid w:val="00257F0E"/>
    <w:rsid w:val="00260BAF"/>
    <w:rsid w:val="002650F7"/>
    <w:rsid w:val="00270A03"/>
    <w:rsid w:val="0027206E"/>
    <w:rsid w:val="00272240"/>
    <w:rsid w:val="00272B85"/>
    <w:rsid w:val="00273F3B"/>
    <w:rsid w:val="00274DB7"/>
    <w:rsid w:val="00275984"/>
    <w:rsid w:val="00275F31"/>
    <w:rsid w:val="00277F9D"/>
    <w:rsid w:val="00280F74"/>
    <w:rsid w:val="002822CA"/>
    <w:rsid w:val="0028265A"/>
    <w:rsid w:val="00282C47"/>
    <w:rsid w:val="00282EF6"/>
    <w:rsid w:val="00286998"/>
    <w:rsid w:val="00291AB7"/>
    <w:rsid w:val="00292EB2"/>
    <w:rsid w:val="0029422B"/>
    <w:rsid w:val="002A0938"/>
    <w:rsid w:val="002A2001"/>
    <w:rsid w:val="002A64F2"/>
    <w:rsid w:val="002B02FB"/>
    <w:rsid w:val="002B153C"/>
    <w:rsid w:val="002B29EF"/>
    <w:rsid w:val="002B52FC"/>
    <w:rsid w:val="002C2830"/>
    <w:rsid w:val="002C3833"/>
    <w:rsid w:val="002D001A"/>
    <w:rsid w:val="002D28E2"/>
    <w:rsid w:val="002D317B"/>
    <w:rsid w:val="002D3587"/>
    <w:rsid w:val="002D3FF4"/>
    <w:rsid w:val="002D502D"/>
    <w:rsid w:val="002E0690"/>
    <w:rsid w:val="002E0F69"/>
    <w:rsid w:val="002E642A"/>
    <w:rsid w:val="002F5147"/>
    <w:rsid w:val="002F7ABD"/>
    <w:rsid w:val="0030029B"/>
    <w:rsid w:val="00301267"/>
    <w:rsid w:val="003015A8"/>
    <w:rsid w:val="00310476"/>
    <w:rsid w:val="00310682"/>
    <w:rsid w:val="00312597"/>
    <w:rsid w:val="00320E73"/>
    <w:rsid w:val="003217A6"/>
    <w:rsid w:val="00325C70"/>
    <w:rsid w:val="00327BA5"/>
    <w:rsid w:val="0033099D"/>
    <w:rsid w:val="00334154"/>
    <w:rsid w:val="003372C4"/>
    <w:rsid w:val="00337C65"/>
    <w:rsid w:val="00340ECA"/>
    <w:rsid w:val="00341FA0"/>
    <w:rsid w:val="00344F3D"/>
    <w:rsid w:val="00345299"/>
    <w:rsid w:val="00345660"/>
    <w:rsid w:val="00351A8D"/>
    <w:rsid w:val="003526BB"/>
    <w:rsid w:val="00352BCF"/>
    <w:rsid w:val="00352DFB"/>
    <w:rsid w:val="00353932"/>
    <w:rsid w:val="0035464B"/>
    <w:rsid w:val="00356CDE"/>
    <w:rsid w:val="00361A56"/>
    <w:rsid w:val="00361B23"/>
    <w:rsid w:val="0036252A"/>
    <w:rsid w:val="003631D8"/>
    <w:rsid w:val="0036448E"/>
    <w:rsid w:val="00364D9D"/>
    <w:rsid w:val="00371048"/>
    <w:rsid w:val="0037396C"/>
    <w:rsid w:val="0037421D"/>
    <w:rsid w:val="003759AC"/>
    <w:rsid w:val="00376046"/>
    <w:rsid w:val="00376093"/>
    <w:rsid w:val="00383DA1"/>
    <w:rsid w:val="00385247"/>
    <w:rsid w:val="00385F30"/>
    <w:rsid w:val="0038782B"/>
    <w:rsid w:val="00387A70"/>
    <w:rsid w:val="00392F98"/>
    <w:rsid w:val="00393696"/>
    <w:rsid w:val="00393823"/>
    <w:rsid w:val="00393963"/>
    <w:rsid w:val="0039493A"/>
    <w:rsid w:val="00395575"/>
    <w:rsid w:val="00395672"/>
    <w:rsid w:val="003A06C8"/>
    <w:rsid w:val="003A0D7C"/>
    <w:rsid w:val="003A12C4"/>
    <w:rsid w:val="003A5290"/>
    <w:rsid w:val="003A7B5A"/>
    <w:rsid w:val="003B0155"/>
    <w:rsid w:val="003B4AAE"/>
    <w:rsid w:val="003B7EE7"/>
    <w:rsid w:val="003C0CEB"/>
    <w:rsid w:val="003C2CCB"/>
    <w:rsid w:val="003C6868"/>
    <w:rsid w:val="003D24A3"/>
    <w:rsid w:val="003D39EC"/>
    <w:rsid w:val="003D5DED"/>
    <w:rsid w:val="003E3DD5"/>
    <w:rsid w:val="003E4281"/>
    <w:rsid w:val="003E5B68"/>
    <w:rsid w:val="003E6016"/>
    <w:rsid w:val="003E79BE"/>
    <w:rsid w:val="003F07C6"/>
    <w:rsid w:val="003F1E9C"/>
    <w:rsid w:val="003F1F6B"/>
    <w:rsid w:val="003F3757"/>
    <w:rsid w:val="003F38BD"/>
    <w:rsid w:val="003F44B7"/>
    <w:rsid w:val="003F6246"/>
    <w:rsid w:val="004008E9"/>
    <w:rsid w:val="004038B5"/>
    <w:rsid w:val="004060BE"/>
    <w:rsid w:val="00406E01"/>
    <w:rsid w:val="00413D48"/>
    <w:rsid w:val="00415755"/>
    <w:rsid w:val="00423C98"/>
    <w:rsid w:val="00426705"/>
    <w:rsid w:val="00431747"/>
    <w:rsid w:val="004379CF"/>
    <w:rsid w:val="00441AC2"/>
    <w:rsid w:val="0044249B"/>
    <w:rsid w:val="004437AA"/>
    <w:rsid w:val="004467DA"/>
    <w:rsid w:val="004468E9"/>
    <w:rsid w:val="00446F0F"/>
    <w:rsid w:val="0045023C"/>
    <w:rsid w:val="00450476"/>
    <w:rsid w:val="00451A5B"/>
    <w:rsid w:val="00452BCD"/>
    <w:rsid w:val="00452CEA"/>
    <w:rsid w:val="00457EA5"/>
    <w:rsid w:val="00460413"/>
    <w:rsid w:val="00465B52"/>
    <w:rsid w:val="0046708E"/>
    <w:rsid w:val="004679E9"/>
    <w:rsid w:val="004709ED"/>
    <w:rsid w:val="00471459"/>
    <w:rsid w:val="00472A65"/>
    <w:rsid w:val="00474463"/>
    <w:rsid w:val="00474B75"/>
    <w:rsid w:val="00477D26"/>
    <w:rsid w:val="00483F0B"/>
    <w:rsid w:val="004857A4"/>
    <w:rsid w:val="00490270"/>
    <w:rsid w:val="004915F4"/>
    <w:rsid w:val="00492E14"/>
    <w:rsid w:val="00496319"/>
    <w:rsid w:val="00496453"/>
    <w:rsid w:val="00497279"/>
    <w:rsid w:val="004A163B"/>
    <w:rsid w:val="004A4A66"/>
    <w:rsid w:val="004A670A"/>
    <w:rsid w:val="004B1BC3"/>
    <w:rsid w:val="004B467D"/>
    <w:rsid w:val="004B5465"/>
    <w:rsid w:val="004B70F0"/>
    <w:rsid w:val="004C03F0"/>
    <w:rsid w:val="004C29ED"/>
    <w:rsid w:val="004C3424"/>
    <w:rsid w:val="004D1E9B"/>
    <w:rsid w:val="004D3BE8"/>
    <w:rsid w:val="004D505E"/>
    <w:rsid w:val="004D5A41"/>
    <w:rsid w:val="004D638E"/>
    <w:rsid w:val="004D72CA"/>
    <w:rsid w:val="004E2242"/>
    <w:rsid w:val="004E3549"/>
    <w:rsid w:val="004E4776"/>
    <w:rsid w:val="004E505E"/>
    <w:rsid w:val="004E5D35"/>
    <w:rsid w:val="004E71E3"/>
    <w:rsid w:val="004F42FF"/>
    <w:rsid w:val="004F44C2"/>
    <w:rsid w:val="004F6930"/>
    <w:rsid w:val="00502512"/>
    <w:rsid w:val="00502953"/>
    <w:rsid w:val="00502D6F"/>
    <w:rsid w:val="00503FD2"/>
    <w:rsid w:val="00505262"/>
    <w:rsid w:val="005132E7"/>
    <w:rsid w:val="00516022"/>
    <w:rsid w:val="00521CEE"/>
    <w:rsid w:val="00524FB4"/>
    <w:rsid w:val="00526719"/>
    <w:rsid w:val="00527BD4"/>
    <w:rsid w:val="005342D6"/>
    <w:rsid w:val="00537095"/>
    <w:rsid w:val="005403C8"/>
    <w:rsid w:val="005429DC"/>
    <w:rsid w:val="00550271"/>
    <w:rsid w:val="00552F74"/>
    <w:rsid w:val="005540E5"/>
    <w:rsid w:val="0055460F"/>
    <w:rsid w:val="005565F9"/>
    <w:rsid w:val="00560005"/>
    <w:rsid w:val="00570349"/>
    <w:rsid w:val="00571041"/>
    <w:rsid w:val="0057197A"/>
    <w:rsid w:val="00573041"/>
    <w:rsid w:val="005739B8"/>
    <w:rsid w:val="00575AD6"/>
    <w:rsid w:val="00575B80"/>
    <w:rsid w:val="0057620F"/>
    <w:rsid w:val="00577A40"/>
    <w:rsid w:val="0058021C"/>
    <w:rsid w:val="00580928"/>
    <w:rsid w:val="005819CE"/>
    <w:rsid w:val="0058298D"/>
    <w:rsid w:val="00584C1A"/>
    <w:rsid w:val="00590CA2"/>
    <w:rsid w:val="00591DE5"/>
    <w:rsid w:val="00591E4A"/>
    <w:rsid w:val="00593C2B"/>
    <w:rsid w:val="00595231"/>
    <w:rsid w:val="005959C6"/>
    <w:rsid w:val="00596166"/>
    <w:rsid w:val="00597F64"/>
    <w:rsid w:val="005A207F"/>
    <w:rsid w:val="005A2F35"/>
    <w:rsid w:val="005A3C4D"/>
    <w:rsid w:val="005A772A"/>
    <w:rsid w:val="005B3814"/>
    <w:rsid w:val="005B463E"/>
    <w:rsid w:val="005C17EB"/>
    <w:rsid w:val="005C2538"/>
    <w:rsid w:val="005C2E8B"/>
    <w:rsid w:val="005C34E1"/>
    <w:rsid w:val="005C3FE0"/>
    <w:rsid w:val="005C4397"/>
    <w:rsid w:val="005C5751"/>
    <w:rsid w:val="005C65B5"/>
    <w:rsid w:val="005C740C"/>
    <w:rsid w:val="005D0C63"/>
    <w:rsid w:val="005D0D6A"/>
    <w:rsid w:val="005D206F"/>
    <w:rsid w:val="005D32D1"/>
    <w:rsid w:val="005D4359"/>
    <w:rsid w:val="005D6169"/>
    <w:rsid w:val="005D625B"/>
    <w:rsid w:val="005E5E2A"/>
    <w:rsid w:val="005F40B8"/>
    <w:rsid w:val="005F62D3"/>
    <w:rsid w:val="005F6D11"/>
    <w:rsid w:val="00600CF0"/>
    <w:rsid w:val="006048F4"/>
    <w:rsid w:val="0060660A"/>
    <w:rsid w:val="00606B99"/>
    <w:rsid w:val="00607288"/>
    <w:rsid w:val="00611168"/>
    <w:rsid w:val="00613B1D"/>
    <w:rsid w:val="00615BCB"/>
    <w:rsid w:val="00617A44"/>
    <w:rsid w:val="006202B6"/>
    <w:rsid w:val="00621DEC"/>
    <w:rsid w:val="00622231"/>
    <w:rsid w:val="00624D22"/>
    <w:rsid w:val="00625CD0"/>
    <w:rsid w:val="0062627D"/>
    <w:rsid w:val="00627432"/>
    <w:rsid w:val="00630F04"/>
    <w:rsid w:val="00632B4B"/>
    <w:rsid w:val="00633A46"/>
    <w:rsid w:val="006377BC"/>
    <w:rsid w:val="00637CA4"/>
    <w:rsid w:val="00640D48"/>
    <w:rsid w:val="0064484D"/>
    <w:rsid w:val="006448E4"/>
    <w:rsid w:val="00645414"/>
    <w:rsid w:val="00650F19"/>
    <w:rsid w:val="00651CEE"/>
    <w:rsid w:val="00653606"/>
    <w:rsid w:val="0065449F"/>
    <w:rsid w:val="00657E14"/>
    <w:rsid w:val="006610E9"/>
    <w:rsid w:val="00661591"/>
    <w:rsid w:val="00664678"/>
    <w:rsid w:val="0066632F"/>
    <w:rsid w:val="006678DB"/>
    <w:rsid w:val="00667A4C"/>
    <w:rsid w:val="00674A89"/>
    <w:rsid w:val="00674F3D"/>
    <w:rsid w:val="00685545"/>
    <w:rsid w:val="006864B3"/>
    <w:rsid w:val="00692D64"/>
    <w:rsid w:val="006968F6"/>
    <w:rsid w:val="006A07D5"/>
    <w:rsid w:val="006A10F8"/>
    <w:rsid w:val="006A1265"/>
    <w:rsid w:val="006A17EA"/>
    <w:rsid w:val="006A2100"/>
    <w:rsid w:val="006A4D8A"/>
    <w:rsid w:val="006A565C"/>
    <w:rsid w:val="006A5C3B"/>
    <w:rsid w:val="006A6D72"/>
    <w:rsid w:val="006A70A5"/>
    <w:rsid w:val="006A72E0"/>
    <w:rsid w:val="006B0BF3"/>
    <w:rsid w:val="006B261F"/>
    <w:rsid w:val="006B775E"/>
    <w:rsid w:val="006B7BC7"/>
    <w:rsid w:val="006C0DED"/>
    <w:rsid w:val="006C1653"/>
    <w:rsid w:val="006C2535"/>
    <w:rsid w:val="006C3836"/>
    <w:rsid w:val="006C441E"/>
    <w:rsid w:val="006C4B90"/>
    <w:rsid w:val="006D1016"/>
    <w:rsid w:val="006D1737"/>
    <w:rsid w:val="006D17F2"/>
    <w:rsid w:val="006E3546"/>
    <w:rsid w:val="006E3B83"/>
    <w:rsid w:val="006E3FA9"/>
    <w:rsid w:val="006E4703"/>
    <w:rsid w:val="006E7D82"/>
    <w:rsid w:val="006F038F"/>
    <w:rsid w:val="006F0F93"/>
    <w:rsid w:val="006F215A"/>
    <w:rsid w:val="006F31F2"/>
    <w:rsid w:val="006F3DFD"/>
    <w:rsid w:val="006F61AA"/>
    <w:rsid w:val="006F7494"/>
    <w:rsid w:val="006F751F"/>
    <w:rsid w:val="007008C0"/>
    <w:rsid w:val="00701B3A"/>
    <w:rsid w:val="007038B9"/>
    <w:rsid w:val="00713DB2"/>
    <w:rsid w:val="0071427E"/>
    <w:rsid w:val="00714DC5"/>
    <w:rsid w:val="00715237"/>
    <w:rsid w:val="00720604"/>
    <w:rsid w:val="00721AE1"/>
    <w:rsid w:val="00722B80"/>
    <w:rsid w:val="00724760"/>
    <w:rsid w:val="007254A5"/>
    <w:rsid w:val="00725748"/>
    <w:rsid w:val="00735D88"/>
    <w:rsid w:val="0073720D"/>
    <w:rsid w:val="00737507"/>
    <w:rsid w:val="00737E80"/>
    <w:rsid w:val="00740712"/>
    <w:rsid w:val="00740B59"/>
    <w:rsid w:val="00742AB9"/>
    <w:rsid w:val="00747A43"/>
    <w:rsid w:val="00751266"/>
    <w:rsid w:val="00751A6A"/>
    <w:rsid w:val="00754447"/>
    <w:rsid w:val="00754FBF"/>
    <w:rsid w:val="007610AA"/>
    <w:rsid w:val="00764014"/>
    <w:rsid w:val="00764FFD"/>
    <w:rsid w:val="00765345"/>
    <w:rsid w:val="007709EF"/>
    <w:rsid w:val="00772EB2"/>
    <w:rsid w:val="007812FA"/>
    <w:rsid w:val="00781DCA"/>
    <w:rsid w:val="00782701"/>
    <w:rsid w:val="0078353E"/>
    <w:rsid w:val="00783559"/>
    <w:rsid w:val="00784F62"/>
    <w:rsid w:val="007858E8"/>
    <w:rsid w:val="00791E43"/>
    <w:rsid w:val="0079551B"/>
    <w:rsid w:val="00797AA5"/>
    <w:rsid w:val="007A26BD"/>
    <w:rsid w:val="007A3C03"/>
    <w:rsid w:val="007A4105"/>
    <w:rsid w:val="007A5A15"/>
    <w:rsid w:val="007A7261"/>
    <w:rsid w:val="007B4503"/>
    <w:rsid w:val="007B6497"/>
    <w:rsid w:val="007B7905"/>
    <w:rsid w:val="007B7D2D"/>
    <w:rsid w:val="007C406E"/>
    <w:rsid w:val="007C5183"/>
    <w:rsid w:val="007C7573"/>
    <w:rsid w:val="007C75B5"/>
    <w:rsid w:val="007D00CC"/>
    <w:rsid w:val="007D45E3"/>
    <w:rsid w:val="007D6BEA"/>
    <w:rsid w:val="007E2B20"/>
    <w:rsid w:val="007E5758"/>
    <w:rsid w:val="007E6975"/>
    <w:rsid w:val="007F3856"/>
    <w:rsid w:val="007F439C"/>
    <w:rsid w:val="007F510A"/>
    <w:rsid w:val="007F5331"/>
    <w:rsid w:val="00800CCA"/>
    <w:rsid w:val="00804156"/>
    <w:rsid w:val="00806120"/>
    <w:rsid w:val="00806F63"/>
    <w:rsid w:val="00810C93"/>
    <w:rsid w:val="0081127D"/>
    <w:rsid w:val="00812028"/>
    <w:rsid w:val="0081274C"/>
    <w:rsid w:val="00812DD8"/>
    <w:rsid w:val="00813082"/>
    <w:rsid w:val="00814D03"/>
    <w:rsid w:val="00815122"/>
    <w:rsid w:val="008167B4"/>
    <w:rsid w:val="00820371"/>
    <w:rsid w:val="00821FC1"/>
    <w:rsid w:val="00823AE2"/>
    <w:rsid w:val="00823BE8"/>
    <w:rsid w:val="00830278"/>
    <w:rsid w:val="0083178B"/>
    <w:rsid w:val="008319E1"/>
    <w:rsid w:val="00831EE4"/>
    <w:rsid w:val="00833695"/>
    <w:rsid w:val="008336B7"/>
    <w:rsid w:val="00833A8E"/>
    <w:rsid w:val="00834CA3"/>
    <w:rsid w:val="00836ACA"/>
    <w:rsid w:val="0083730B"/>
    <w:rsid w:val="00842CD8"/>
    <w:rsid w:val="00842D91"/>
    <w:rsid w:val="008431FA"/>
    <w:rsid w:val="0084383B"/>
    <w:rsid w:val="00845505"/>
    <w:rsid w:val="00846309"/>
    <w:rsid w:val="00846E97"/>
    <w:rsid w:val="00847444"/>
    <w:rsid w:val="00847E16"/>
    <w:rsid w:val="008517C6"/>
    <w:rsid w:val="008521DE"/>
    <w:rsid w:val="008547BA"/>
    <w:rsid w:val="008553C7"/>
    <w:rsid w:val="00857FEB"/>
    <w:rsid w:val="008600D8"/>
    <w:rsid w:val="008601AF"/>
    <w:rsid w:val="00862ED3"/>
    <w:rsid w:val="00867038"/>
    <w:rsid w:val="00872271"/>
    <w:rsid w:val="00874316"/>
    <w:rsid w:val="00874632"/>
    <w:rsid w:val="0088034D"/>
    <w:rsid w:val="00883137"/>
    <w:rsid w:val="00883F4B"/>
    <w:rsid w:val="00887CA8"/>
    <w:rsid w:val="00893C9C"/>
    <w:rsid w:val="00894A3B"/>
    <w:rsid w:val="00894CDC"/>
    <w:rsid w:val="008960B1"/>
    <w:rsid w:val="00896E23"/>
    <w:rsid w:val="008A1F5D"/>
    <w:rsid w:val="008A236C"/>
    <w:rsid w:val="008A26FA"/>
    <w:rsid w:val="008A28F5"/>
    <w:rsid w:val="008A41D0"/>
    <w:rsid w:val="008A75CD"/>
    <w:rsid w:val="008B1198"/>
    <w:rsid w:val="008B3471"/>
    <w:rsid w:val="008B3929"/>
    <w:rsid w:val="008B4125"/>
    <w:rsid w:val="008B41AC"/>
    <w:rsid w:val="008B4CB3"/>
    <w:rsid w:val="008B567B"/>
    <w:rsid w:val="008B7B24"/>
    <w:rsid w:val="008C356D"/>
    <w:rsid w:val="008D267F"/>
    <w:rsid w:val="008D284D"/>
    <w:rsid w:val="008D43B5"/>
    <w:rsid w:val="008E0B3F"/>
    <w:rsid w:val="008E0C1B"/>
    <w:rsid w:val="008E0DED"/>
    <w:rsid w:val="008E0F2E"/>
    <w:rsid w:val="008E2A57"/>
    <w:rsid w:val="008E493C"/>
    <w:rsid w:val="008E49AD"/>
    <w:rsid w:val="008E5BAD"/>
    <w:rsid w:val="008E698E"/>
    <w:rsid w:val="008E7A41"/>
    <w:rsid w:val="008F2584"/>
    <w:rsid w:val="008F3246"/>
    <w:rsid w:val="008F33D3"/>
    <w:rsid w:val="008F3C1B"/>
    <w:rsid w:val="008F508C"/>
    <w:rsid w:val="0090271B"/>
    <w:rsid w:val="0090385B"/>
    <w:rsid w:val="00905F6F"/>
    <w:rsid w:val="00910642"/>
    <w:rsid w:val="00910DDF"/>
    <w:rsid w:val="00913C04"/>
    <w:rsid w:val="009168A6"/>
    <w:rsid w:val="00926AE2"/>
    <w:rsid w:val="00930B13"/>
    <w:rsid w:val="00930FB7"/>
    <w:rsid w:val="009311C8"/>
    <w:rsid w:val="009329BE"/>
    <w:rsid w:val="00933376"/>
    <w:rsid w:val="0093387B"/>
    <w:rsid w:val="00933A2F"/>
    <w:rsid w:val="00941804"/>
    <w:rsid w:val="00943B51"/>
    <w:rsid w:val="00952FDE"/>
    <w:rsid w:val="00957395"/>
    <w:rsid w:val="009608D3"/>
    <w:rsid w:val="00962521"/>
    <w:rsid w:val="00967256"/>
    <w:rsid w:val="00967600"/>
    <w:rsid w:val="009716D8"/>
    <w:rsid w:val="009718F9"/>
    <w:rsid w:val="00971F42"/>
    <w:rsid w:val="00972FB9"/>
    <w:rsid w:val="009733F9"/>
    <w:rsid w:val="00975112"/>
    <w:rsid w:val="00981768"/>
    <w:rsid w:val="00983E8F"/>
    <w:rsid w:val="00985555"/>
    <w:rsid w:val="0098581D"/>
    <w:rsid w:val="00985E56"/>
    <w:rsid w:val="0098756F"/>
    <w:rsid w:val="0098788A"/>
    <w:rsid w:val="009922D5"/>
    <w:rsid w:val="009946FC"/>
    <w:rsid w:val="00994FDA"/>
    <w:rsid w:val="009969F2"/>
    <w:rsid w:val="009A13A8"/>
    <w:rsid w:val="009A31BF"/>
    <w:rsid w:val="009A3B71"/>
    <w:rsid w:val="009A61BC"/>
    <w:rsid w:val="009A656C"/>
    <w:rsid w:val="009A7177"/>
    <w:rsid w:val="009B0138"/>
    <w:rsid w:val="009B0B7B"/>
    <w:rsid w:val="009B0FE9"/>
    <w:rsid w:val="009B173A"/>
    <w:rsid w:val="009B1C8E"/>
    <w:rsid w:val="009B354F"/>
    <w:rsid w:val="009B65A9"/>
    <w:rsid w:val="009C11DE"/>
    <w:rsid w:val="009C3F20"/>
    <w:rsid w:val="009C66E7"/>
    <w:rsid w:val="009C7CA1"/>
    <w:rsid w:val="009D043D"/>
    <w:rsid w:val="009D0B5A"/>
    <w:rsid w:val="009D4A9D"/>
    <w:rsid w:val="009E107A"/>
    <w:rsid w:val="009E3090"/>
    <w:rsid w:val="009E6114"/>
    <w:rsid w:val="009E6798"/>
    <w:rsid w:val="009F0445"/>
    <w:rsid w:val="009F10B6"/>
    <w:rsid w:val="009F278B"/>
    <w:rsid w:val="009F3259"/>
    <w:rsid w:val="009F5B1A"/>
    <w:rsid w:val="009F7338"/>
    <w:rsid w:val="00A056DE"/>
    <w:rsid w:val="00A05E78"/>
    <w:rsid w:val="00A07953"/>
    <w:rsid w:val="00A128AD"/>
    <w:rsid w:val="00A13FAE"/>
    <w:rsid w:val="00A21E76"/>
    <w:rsid w:val="00A23BC8"/>
    <w:rsid w:val="00A23CC7"/>
    <w:rsid w:val="00A240F5"/>
    <w:rsid w:val="00A245F8"/>
    <w:rsid w:val="00A30E68"/>
    <w:rsid w:val="00A31933"/>
    <w:rsid w:val="00A31FFF"/>
    <w:rsid w:val="00A329D2"/>
    <w:rsid w:val="00A33CFD"/>
    <w:rsid w:val="00A34AA0"/>
    <w:rsid w:val="00A3715C"/>
    <w:rsid w:val="00A41FE2"/>
    <w:rsid w:val="00A42D6E"/>
    <w:rsid w:val="00A4337B"/>
    <w:rsid w:val="00A46FEF"/>
    <w:rsid w:val="00A47948"/>
    <w:rsid w:val="00A47FB1"/>
    <w:rsid w:val="00A50CF6"/>
    <w:rsid w:val="00A531A5"/>
    <w:rsid w:val="00A537B5"/>
    <w:rsid w:val="00A56946"/>
    <w:rsid w:val="00A6170E"/>
    <w:rsid w:val="00A63B8C"/>
    <w:rsid w:val="00A671AA"/>
    <w:rsid w:val="00A7111A"/>
    <w:rsid w:val="00A715F8"/>
    <w:rsid w:val="00A75F89"/>
    <w:rsid w:val="00A77F6F"/>
    <w:rsid w:val="00A814A9"/>
    <w:rsid w:val="00A82433"/>
    <w:rsid w:val="00A831FD"/>
    <w:rsid w:val="00A83352"/>
    <w:rsid w:val="00A850A2"/>
    <w:rsid w:val="00A87323"/>
    <w:rsid w:val="00A90644"/>
    <w:rsid w:val="00A90BCB"/>
    <w:rsid w:val="00A91FA3"/>
    <w:rsid w:val="00A927D3"/>
    <w:rsid w:val="00A93087"/>
    <w:rsid w:val="00AA1890"/>
    <w:rsid w:val="00AA1964"/>
    <w:rsid w:val="00AA2FCE"/>
    <w:rsid w:val="00AA330F"/>
    <w:rsid w:val="00AA3F6B"/>
    <w:rsid w:val="00AA7FC9"/>
    <w:rsid w:val="00AB237D"/>
    <w:rsid w:val="00AB5933"/>
    <w:rsid w:val="00AB7613"/>
    <w:rsid w:val="00AC7579"/>
    <w:rsid w:val="00AD1C50"/>
    <w:rsid w:val="00AD46E4"/>
    <w:rsid w:val="00AD6228"/>
    <w:rsid w:val="00AD6952"/>
    <w:rsid w:val="00AD6C54"/>
    <w:rsid w:val="00AE013D"/>
    <w:rsid w:val="00AE11B7"/>
    <w:rsid w:val="00AE7F68"/>
    <w:rsid w:val="00AF2321"/>
    <w:rsid w:val="00AF48FD"/>
    <w:rsid w:val="00AF52F6"/>
    <w:rsid w:val="00AF54A8"/>
    <w:rsid w:val="00AF7237"/>
    <w:rsid w:val="00B0043A"/>
    <w:rsid w:val="00B00D75"/>
    <w:rsid w:val="00B010FA"/>
    <w:rsid w:val="00B070CB"/>
    <w:rsid w:val="00B1097A"/>
    <w:rsid w:val="00B12456"/>
    <w:rsid w:val="00B145F0"/>
    <w:rsid w:val="00B2239B"/>
    <w:rsid w:val="00B2597C"/>
    <w:rsid w:val="00B259C8"/>
    <w:rsid w:val="00B2646D"/>
    <w:rsid w:val="00B26CCF"/>
    <w:rsid w:val="00B30575"/>
    <w:rsid w:val="00B30FC2"/>
    <w:rsid w:val="00B331A2"/>
    <w:rsid w:val="00B35DD9"/>
    <w:rsid w:val="00B36988"/>
    <w:rsid w:val="00B425F0"/>
    <w:rsid w:val="00B428D9"/>
    <w:rsid w:val="00B42DFA"/>
    <w:rsid w:val="00B47169"/>
    <w:rsid w:val="00B5007E"/>
    <w:rsid w:val="00B531DD"/>
    <w:rsid w:val="00B55014"/>
    <w:rsid w:val="00B61EA9"/>
    <w:rsid w:val="00B62232"/>
    <w:rsid w:val="00B70808"/>
    <w:rsid w:val="00B70B8B"/>
    <w:rsid w:val="00B70BF3"/>
    <w:rsid w:val="00B70F48"/>
    <w:rsid w:val="00B71DC2"/>
    <w:rsid w:val="00B721A9"/>
    <w:rsid w:val="00B7602C"/>
    <w:rsid w:val="00B76529"/>
    <w:rsid w:val="00B76B86"/>
    <w:rsid w:val="00B80E8A"/>
    <w:rsid w:val="00B824BA"/>
    <w:rsid w:val="00B87B45"/>
    <w:rsid w:val="00B91CFC"/>
    <w:rsid w:val="00B9312A"/>
    <w:rsid w:val="00B93893"/>
    <w:rsid w:val="00BA1397"/>
    <w:rsid w:val="00BA4D37"/>
    <w:rsid w:val="00BA6F75"/>
    <w:rsid w:val="00BA7E0A"/>
    <w:rsid w:val="00BA7E88"/>
    <w:rsid w:val="00BB0F76"/>
    <w:rsid w:val="00BB5BC4"/>
    <w:rsid w:val="00BC10DF"/>
    <w:rsid w:val="00BC2769"/>
    <w:rsid w:val="00BC3652"/>
    <w:rsid w:val="00BC3B53"/>
    <w:rsid w:val="00BC3B96"/>
    <w:rsid w:val="00BC4AE3"/>
    <w:rsid w:val="00BC5390"/>
    <w:rsid w:val="00BC58E0"/>
    <w:rsid w:val="00BC5B28"/>
    <w:rsid w:val="00BD2370"/>
    <w:rsid w:val="00BE1059"/>
    <w:rsid w:val="00BE3F88"/>
    <w:rsid w:val="00BE4756"/>
    <w:rsid w:val="00BE4CC7"/>
    <w:rsid w:val="00BE59DC"/>
    <w:rsid w:val="00BE5ED9"/>
    <w:rsid w:val="00BE7B41"/>
    <w:rsid w:val="00BF20E2"/>
    <w:rsid w:val="00BF3114"/>
    <w:rsid w:val="00BF51C3"/>
    <w:rsid w:val="00BF5B58"/>
    <w:rsid w:val="00BF66D5"/>
    <w:rsid w:val="00C14A23"/>
    <w:rsid w:val="00C15A91"/>
    <w:rsid w:val="00C206F1"/>
    <w:rsid w:val="00C217E1"/>
    <w:rsid w:val="00C219B1"/>
    <w:rsid w:val="00C225DD"/>
    <w:rsid w:val="00C32308"/>
    <w:rsid w:val="00C343E3"/>
    <w:rsid w:val="00C37826"/>
    <w:rsid w:val="00C4015B"/>
    <w:rsid w:val="00C40268"/>
    <w:rsid w:val="00C40C60"/>
    <w:rsid w:val="00C469A4"/>
    <w:rsid w:val="00C505F1"/>
    <w:rsid w:val="00C5224E"/>
    <w:rsid w:val="00C5258E"/>
    <w:rsid w:val="00C530C9"/>
    <w:rsid w:val="00C5463D"/>
    <w:rsid w:val="00C56B2C"/>
    <w:rsid w:val="00C57BC1"/>
    <w:rsid w:val="00C57E24"/>
    <w:rsid w:val="00C619A7"/>
    <w:rsid w:val="00C658B0"/>
    <w:rsid w:val="00C713B6"/>
    <w:rsid w:val="00C71774"/>
    <w:rsid w:val="00C71A33"/>
    <w:rsid w:val="00C73392"/>
    <w:rsid w:val="00C73D5F"/>
    <w:rsid w:val="00C814DD"/>
    <w:rsid w:val="00C82AFE"/>
    <w:rsid w:val="00C83DBC"/>
    <w:rsid w:val="00C83EAD"/>
    <w:rsid w:val="00C8601B"/>
    <w:rsid w:val="00C90702"/>
    <w:rsid w:val="00C951A4"/>
    <w:rsid w:val="00C97C80"/>
    <w:rsid w:val="00CA24F6"/>
    <w:rsid w:val="00CA47D3"/>
    <w:rsid w:val="00CA6533"/>
    <w:rsid w:val="00CA6A25"/>
    <w:rsid w:val="00CA6A3F"/>
    <w:rsid w:val="00CA6D66"/>
    <w:rsid w:val="00CA7C99"/>
    <w:rsid w:val="00CB00A4"/>
    <w:rsid w:val="00CC6290"/>
    <w:rsid w:val="00CD0785"/>
    <w:rsid w:val="00CD233D"/>
    <w:rsid w:val="00CD2E23"/>
    <w:rsid w:val="00CD3499"/>
    <w:rsid w:val="00CD362D"/>
    <w:rsid w:val="00CD4A19"/>
    <w:rsid w:val="00CD5386"/>
    <w:rsid w:val="00CD79AF"/>
    <w:rsid w:val="00CE101D"/>
    <w:rsid w:val="00CE1814"/>
    <w:rsid w:val="00CE1A95"/>
    <w:rsid w:val="00CE1C84"/>
    <w:rsid w:val="00CE2E8D"/>
    <w:rsid w:val="00CE4CF5"/>
    <w:rsid w:val="00CE5055"/>
    <w:rsid w:val="00CE663C"/>
    <w:rsid w:val="00CE6796"/>
    <w:rsid w:val="00CE76E5"/>
    <w:rsid w:val="00CF053F"/>
    <w:rsid w:val="00CF1A17"/>
    <w:rsid w:val="00CF3405"/>
    <w:rsid w:val="00CF71AB"/>
    <w:rsid w:val="00D0375A"/>
    <w:rsid w:val="00D0609E"/>
    <w:rsid w:val="00D078E1"/>
    <w:rsid w:val="00D100E9"/>
    <w:rsid w:val="00D13420"/>
    <w:rsid w:val="00D147FF"/>
    <w:rsid w:val="00D148BF"/>
    <w:rsid w:val="00D15779"/>
    <w:rsid w:val="00D166AD"/>
    <w:rsid w:val="00D17942"/>
    <w:rsid w:val="00D20831"/>
    <w:rsid w:val="00D21E4B"/>
    <w:rsid w:val="00D2220C"/>
    <w:rsid w:val="00D22441"/>
    <w:rsid w:val="00D23522"/>
    <w:rsid w:val="00D23EAE"/>
    <w:rsid w:val="00D264D6"/>
    <w:rsid w:val="00D270AA"/>
    <w:rsid w:val="00D3335F"/>
    <w:rsid w:val="00D33BF0"/>
    <w:rsid w:val="00D33DE0"/>
    <w:rsid w:val="00D36447"/>
    <w:rsid w:val="00D37E0B"/>
    <w:rsid w:val="00D47B93"/>
    <w:rsid w:val="00D50EB4"/>
    <w:rsid w:val="00D516BE"/>
    <w:rsid w:val="00D5423B"/>
    <w:rsid w:val="00D54CF9"/>
    <w:rsid w:val="00D54E6A"/>
    <w:rsid w:val="00D54F4E"/>
    <w:rsid w:val="00D57A56"/>
    <w:rsid w:val="00D604B3"/>
    <w:rsid w:val="00D60BA4"/>
    <w:rsid w:val="00D61BB5"/>
    <w:rsid w:val="00D62419"/>
    <w:rsid w:val="00D624F7"/>
    <w:rsid w:val="00D625A7"/>
    <w:rsid w:val="00D62E3F"/>
    <w:rsid w:val="00D71182"/>
    <w:rsid w:val="00D72F45"/>
    <w:rsid w:val="00D762AD"/>
    <w:rsid w:val="00D77870"/>
    <w:rsid w:val="00D80977"/>
    <w:rsid w:val="00D80CCE"/>
    <w:rsid w:val="00D82009"/>
    <w:rsid w:val="00D82E67"/>
    <w:rsid w:val="00D86EEA"/>
    <w:rsid w:val="00D87195"/>
    <w:rsid w:val="00D87D03"/>
    <w:rsid w:val="00D9168C"/>
    <w:rsid w:val="00D93217"/>
    <w:rsid w:val="00D9360B"/>
    <w:rsid w:val="00D93ADC"/>
    <w:rsid w:val="00D95C88"/>
    <w:rsid w:val="00D97925"/>
    <w:rsid w:val="00D97B2E"/>
    <w:rsid w:val="00D97BCA"/>
    <w:rsid w:val="00DA241E"/>
    <w:rsid w:val="00DA4FF9"/>
    <w:rsid w:val="00DA544E"/>
    <w:rsid w:val="00DA5E93"/>
    <w:rsid w:val="00DB36FE"/>
    <w:rsid w:val="00DB533A"/>
    <w:rsid w:val="00DB60AE"/>
    <w:rsid w:val="00DB6307"/>
    <w:rsid w:val="00DB6D12"/>
    <w:rsid w:val="00DC0689"/>
    <w:rsid w:val="00DC7526"/>
    <w:rsid w:val="00DD1DCD"/>
    <w:rsid w:val="00DD338F"/>
    <w:rsid w:val="00DD4607"/>
    <w:rsid w:val="00DD66F2"/>
    <w:rsid w:val="00DD7E20"/>
    <w:rsid w:val="00DE00ED"/>
    <w:rsid w:val="00DE01FA"/>
    <w:rsid w:val="00DE03E5"/>
    <w:rsid w:val="00DE3FE0"/>
    <w:rsid w:val="00DE578A"/>
    <w:rsid w:val="00DF2583"/>
    <w:rsid w:val="00DF54D9"/>
    <w:rsid w:val="00DF7283"/>
    <w:rsid w:val="00DF753D"/>
    <w:rsid w:val="00E01A59"/>
    <w:rsid w:val="00E056D6"/>
    <w:rsid w:val="00E109CE"/>
    <w:rsid w:val="00E10DC6"/>
    <w:rsid w:val="00E11AFE"/>
    <w:rsid w:val="00E11F8E"/>
    <w:rsid w:val="00E1219F"/>
    <w:rsid w:val="00E12A18"/>
    <w:rsid w:val="00E13006"/>
    <w:rsid w:val="00E14C28"/>
    <w:rsid w:val="00E15881"/>
    <w:rsid w:val="00E16A8F"/>
    <w:rsid w:val="00E17EBF"/>
    <w:rsid w:val="00E21DE3"/>
    <w:rsid w:val="00E236E5"/>
    <w:rsid w:val="00E252EF"/>
    <w:rsid w:val="00E26115"/>
    <w:rsid w:val="00E26677"/>
    <w:rsid w:val="00E273C5"/>
    <w:rsid w:val="00E307D1"/>
    <w:rsid w:val="00E30E83"/>
    <w:rsid w:val="00E31903"/>
    <w:rsid w:val="00E31D31"/>
    <w:rsid w:val="00E320AA"/>
    <w:rsid w:val="00E32540"/>
    <w:rsid w:val="00E3731D"/>
    <w:rsid w:val="00E41066"/>
    <w:rsid w:val="00E42155"/>
    <w:rsid w:val="00E43CA5"/>
    <w:rsid w:val="00E44608"/>
    <w:rsid w:val="00E450A9"/>
    <w:rsid w:val="00E51469"/>
    <w:rsid w:val="00E54CE9"/>
    <w:rsid w:val="00E573A1"/>
    <w:rsid w:val="00E63017"/>
    <w:rsid w:val="00E634E3"/>
    <w:rsid w:val="00E63652"/>
    <w:rsid w:val="00E65ADE"/>
    <w:rsid w:val="00E66C1D"/>
    <w:rsid w:val="00E70197"/>
    <w:rsid w:val="00E717C4"/>
    <w:rsid w:val="00E76009"/>
    <w:rsid w:val="00E77E18"/>
    <w:rsid w:val="00E77F89"/>
    <w:rsid w:val="00E80330"/>
    <w:rsid w:val="00E806C5"/>
    <w:rsid w:val="00E80E71"/>
    <w:rsid w:val="00E850D3"/>
    <w:rsid w:val="00E853D6"/>
    <w:rsid w:val="00E8559D"/>
    <w:rsid w:val="00E85A1D"/>
    <w:rsid w:val="00E8709D"/>
    <w:rsid w:val="00E876B9"/>
    <w:rsid w:val="00E87BC8"/>
    <w:rsid w:val="00E91B32"/>
    <w:rsid w:val="00E96A24"/>
    <w:rsid w:val="00E976A3"/>
    <w:rsid w:val="00EA03F2"/>
    <w:rsid w:val="00EA0F13"/>
    <w:rsid w:val="00EA52B5"/>
    <w:rsid w:val="00EB4315"/>
    <w:rsid w:val="00EC0DFF"/>
    <w:rsid w:val="00EC10C9"/>
    <w:rsid w:val="00EC237D"/>
    <w:rsid w:val="00EC2918"/>
    <w:rsid w:val="00EC4D0E"/>
    <w:rsid w:val="00EC4E2B"/>
    <w:rsid w:val="00EC6F0D"/>
    <w:rsid w:val="00ED072A"/>
    <w:rsid w:val="00ED083C"/>
    <w:rsid w:val="00ED0C8B"/>
    <w:rsid w:val="00ED4D9A"/>
    <w:rsid w:val="00ED539E"/>
    <w:rsid w:val="00ED5A27"/>
    <w:rsid w:val="00EE1BE6"/>
    <w:rsid w:val="00EE22A3"/>
    <w:rsid w:val="00EE4A1F"/>
    <w:rsid w:val="00EE4C2D"/>
    <w:rsid w:val="00EF0F8D"/>
    <w:rsid w:val="00EF1B5A"/>
    <w:rsid w:val="00EF24FB"/>
    <w:rsid w:val="00EF2CCA"/>
    <w:rsid w:val="00EF2D9B"/>
    <w:rsid w:val="00EF495B"/>
    <w:rsid w:val="00EF60DC"/>
    <w:rsid w:val="00F00F54"/>
    <w:rsid w:val="00F015E7"/>
    <w:rsid w:val="00F01626"/>
    <w:rsid w:val="00F02409"/>
    <w:rsid w:val="00F02792"/>
    <w:rsid w:val="00F02F3A"/>
    <w:rsid w:val="00F03963"/>
    <w:rsid w:val="00F0479D"/>
    <w:rsid w:val="00F11068"/>
    <w:rsid w:val="00F1256D"/>
    <w:rsid w:val="00F12592"/>
    <w:rsid w:val="00F13A4E"/>
    <w:rsid w:val="00F172BB"/>
    <w:rsid w:val="00F17B10"/>
    <w:rsid w:val="00F21BEF"/>
    <w:rsid w:val="00F2315B"/>
    <w:rsid w:val="00F2325D"/>
    <w:rsid w:val="00F23C56"/>
    <w:rsid w:val="00F336A4"/>
    <w:rsid w:val="00F34ED6"/>
    <w:rsid w:val="00F41A6F"/>
    <w:rsid w:val="00F45A25"/>
    <w:rsid w:val="00F46465"/>
    <w:rsid w:val="00F500C7"/>
    <w:rsid w:val="00F50F86"/>
    <w:rsid w:val="00F51D9A"/>
    <w:rsid w:val="00F53F91"/>
    <w:rsid w:val="00F54F52"/>
    <w:rsid w:val="00F5573A"/>
    <w:rsid w:val="00F60D96"/>
    <w:rsid w:val="00F61569"/>
    <w:rsid w:val="00F61A72"/>
    <w:rsid w:val="00F61D7C"/>
    <w:rsid w:val="00F62B67"/>
    <w:rsid w:val="00F64AA6"/>
    <w:rsid w:val="00F66B29"/>
    <w:rsid w:val="00F66F13"/>
    <w:rsid w:val="00F71F3C"/>
    <w:rsid w:val="00F74073"/>
    <w:rsid w:val="00F744F6"/>
    <w:rsid w:val="00F748E6"/>
    <w:rsid w:val="00F75113"/>
    <w:rsid w:val="00F75603"/>
    <w:rsid w:val="00F8338A"/>
    <w:rsid w:val="00F83D7B"/>
    <w:rsid w:val="00F845B4"/>
    <w:rsid w:val="00F84606"/>
    <w:rsid w:val="00F86213"/>
    <w:rsid w:val="00F8713B"/>
    <w:rsid w:val="00F8774B"/>
    <w:rsid w:val="00F87CF6"/>
    <w:rsid w:val="00F93F9E"/>
    <w:rsid w:val="00F94C4E"/>
    <w:rsid w:val="00FA2861"/>
    <w:rsid w:val="00FA2CD7"/>
    <w:rsid w:val="00FA2E76"/>
    <w:rsid w:val="00FA3890"/>
    <w:rsid w:val="00FA5353"/>
    <w:rsid w:val="00FB06ED"/>
    <w:rsid w:val="00FB58F9"/>
    <w:rsid w:val="00FC2311"/>
    <w:rsid w:val="00FC3165"/>
    <w:rsid w:val="00FC36AB"/>
    <w:rsid w:val="00FC3AB0"/>
    <w:rsid w:val="00FC4300"/>
    <w:rsid w:val="00FC43C1"/>
    <w:rsid w:val="00FC4EEB"/>
    <w:rsid w:val="00FC65BA"/>
    <w:rsid w:val="00FC7F66"/>
    <w:rsid w:val="00FD2EB5"/>
    <w:rsid w:val="00FD5776"/>
    <w:rsid w:val="00FD6EB7"/>
    <w:rsid w:val="00FD6F48"/>
    <w:rsid w:val="00FE0F7C"/>
    <w:rsid w:val="00FE1CB6"/>
    <w:rsid w:val="00FE486B"/>
    <w:rsid w:val="00FE4F08"/>
    <w:rsid w:val="00FF0380"/>
    <w:rsid w:val="00FF15B7"/>
    <w:rsid w:val="00FF192E"/>
    <w:rsid w:val="00FF2F05"/>
    <w:rsid w:val="00FF3E90"/>
    <w:rsid w:val="0119D656"/>
    <w:rsid w:val="017F5DB6"/>
    <w:rsid w:val="01885A42"/>
    <w:rsid w:val="01DFBF1B"/>
    <w:rsid w:val="0265CFB7"/>
    <w:rsid w:val="02C50178"/>
    <w:rsid w:val="035A3597"/>
    <w:rsid w:val="0411E5D4"/>
    <w:rsid w:val="0507189B"/>
    <w:rsid w:val="05B6F195"/>
    <w:rsid w:val="064A2801"/>
    <w:rsid w:val="07D0C2A7"/>
    <w:rsid w:val="09EF026A"/>
    <w:rsid w:val="0A08AE46"/>
    <w:rsid w:val="0A8CEE44"/>
    <w:rsid w:val="0B4C6CD9"/>
    <w:rsid w:val="0C58BE40"/>
    <w:rsid w:val="0CECFFC6"/>
    <w:rsid w:val="100C34E2"/>
    <w:rsid w:val="12E66815"/>
    <w:rsid w:val="142143BF"/>
    <w:rsid w:val="1896D11F"/>
    <w:rsid w:val="1ADD4E86"/>
    <w:rsid w:val="1B01F829"/>
    <w:rsid w:val="1C118B6F"/>
    <w:rsid w:val="1CDA106F"/>
    <w:rsid w:val="1F7D7852"/>
    <w:rsid w:val="2191928B"/>
    <w:rsid w:val="21E3EE3F"/>
    <w:rsid w:val="2205EEA1"/>
    <w:rsid w:val="2225D672"/>
    <w:rsid w:val="23B2565D"/>
    <w:rsid w:val="23BBDA7B"/>
    <w:rsid w:val="242C5A11"/>
    <w:rsid w:val="25DBB1DB"/>
    <w:rsid w:val="277A5F8F"/>
    <w:rsid w:val="28C3EC40"/>
    <w:rsid w:val="28ED1CDB"/>
    <w:rsid w:val="290DC0BC"/>
    <w:rsid w:val="29EE0DCB"/>
    <w:rsid w:val="2B081DB7"/>
    <w:rsid w:val="2B31A07E"/>
    <w:rsid w:val="2B96B4FE"/>
    <w:rsid w:val="2B9A0407"/>
    <w:rsid w:val="2CAE9C26"/>
    <w:rsid w:val="2E533B4C"/>
    <w:rsid w:val="2E750162"/>
    <w:rsid w:val="2F4BD0AA"/>
    <w:rsid w:val="30380E1D"/>
    <w:rsid w:val="321ABE03"/>
    <w:rsid w:val="32688E19"/>
    <w:rsid w:val="33AAE205"/>
    <w:rsid w:val="34648807"/>
    <w:rsid w:val="3469F7B9"/>
    <w:rsid w:val="3506F892"/>
    <w:rsid w:val="37BA90C6"/>
    <w:rsid w:val="37EAA6AA"/>
    <w:rsid w:val="3842A44A"/>
    <w:rsid w:val="39A92353"/>
    <w:rsid w:val="39FC3863"/>
    <w:rsid w:val="3AD09D4D"/>
    <w:rsid w:val="3BB7CC7C"/>
    <w:rsid w:val="3D7ACDD2"/>
    <w:rsid w:val="3E18810B"/>
    <w:rsid w:val="3E6853D4"/>
    <w:rsid w:val="3FC0DBCE"/>
    <w:rsid w:val="3FFC4BE4"/>
    <w:rsid w:val="401DB368"/>
    <w:rsid w:val="40A01B24"/>
    <w:rsid w:val="41921E30"/>
    <w:rsid w:val="41B63675"/>
    <w:rsid w:val="42080BE3"/>
    <w:rsid w:val="4231E871"/>
    <w:rsid w:val="42429979"/>
    <w:rsid w:val="43043E71"/>
    <w:rsid w:val="438EA715"/>
    <w:rsid w:val="44E7A87F"/>
    <w:rsid w:val="45AD2B7D"/>
    <w:rsid w:val="45B79709"/>
    <w:rsid w:val="4758F628"/>
    <w:rsid w:val="4B1FF76E"/>
    <w:rsid w:val="4B6B6A72"/>
    <w:rsid w:val="4BA920E6"/>
    <w:rsid w:val="4C362401"/>
    <w:rsid w:val="4CA668D7"/>
    <w:rsid w:val="4EDDB6ED"/>
    <w:rsid w:val="4F093BD9"/>
    <w:rsid w:val="4F3210B8"/>
    <w:rsid w:val="512B708C"/>
    <w:rsid w:val="53CA74FE"/>
    <w:rsid w:val="53E72E47"/>
    <w:rsid w:val="543E9D5A"/>
    <w:rsid w:val="57F3E0A5"/>
    <w:rsid w:val="587209C4"/>
    <w:rsid w:val="59B727E1"/>
    <w:rsid w:val="59B74809"/>
    <w:rsid w:val="5AABE221"/>
    <w:rsid w:val="5AEDBDD6"/>
    <w:rsid w:val="5C815646"/>
    <w:rsid w:val="5D73D61F"/>
    <w:rsid w:val="5EEA7C26"/>
    <w:rsid w:val="5F053B65"/>
    <w:rsid w:val="5F8AC342"/>
    <w:rsid w:val="61D48499"/>
    <w:rsid w:val="62941411"/>
    <w:rsid w:val="64252186"/>
    <w:rsid w:val="65B1ED78"/>
    <w:rsid w:val="669F5F0F"/>
    <w:rsid w:val="679D0642"/>
    <w:rsid w:val="67EC5363"/>
    <w:rsid w:val="68E0FFB0"/>
    <w:rsid w:val="6A5F1E4F"/>
    <w:rsid w:val="6CCFC1E3"/>
    <w:rsid w:val="6D075E50"/>
    <w:rsid w:val="6DD7B733"/>
    <w:rsid w:val="6E1BF7C6"/>
    <w:rsid w:val="6E1D57B5"/>
    <w:rsid w:val="6FBC343B"/>
    <w:rsid w:val="71860279"/>
    <w:rsid w:val="72AA79EC"/>
    <w:rsid w:val="73ECB609"/>
    <w:rsid w:val="7426FF9D"/>
    <w:rsid w:val="74D64506"/>
    <w:rsid w:val="753EE482"/>
    <w:rsid w:val="75482CB7"/>
    <w:rsid w:val="76151E4F"/>
    <w:rsid w:val="7638CCA8"/>
    <w:rsid w:val="77D1810E"/>
    <w:rsid w:val="7888572A"/>
    <w:rsid w:val="78E52907"/>
    <w:rsid w:val="7907A70C"/>
    <w:rsid w:val="792270E4"/>
    <w:rsid w:val="7A6C813C"/>
    <w:rsid w:val="7ACBD39D"/>
    <w:rsid w:val="7D4F93DB"/>
    <w:rsid w:val="7E890A5E"/>
    <w:rsid w:val="7EF53AF5"/>
    <w:rsid w:val="7F2B3A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F46465"/>
    <w:rPr>
      <w:b/>
      <w:bCs/>
    </w:rPr>
  </w:style>
  <w:style w:type="character" w:customStyle="1" w:styleId="OnderwerpvanopmerkingChar">
    <w:name w:val="Onderwerp van opmerking Char"/>
    <w:basedOn w:val="TekstopmerkingChar"/>
    <w:link w:val="Onderwerpvanopmerking"/>
    <w:semiHidden/>
    <w:rsid w:val="00F46465"/>
    <w:rPr>
      <w:rFonts w:ascii="Verdana" w:hAnsi="Verdana"/>
      <w:b/>
      <w:bCs/>
      <w:lang w:val="nl-NL" w:eastAsia="nl-NL"/>
    </w:rPr>
  </w:style>
  <w:style w:type="paragraph" w:styleId="Lijstalinea">
    <w:name w:val="List Paragraph"/>
    <w:basedOn w:val="Standaard"/>
    <w:uiPriority w:val="34"/>
    <w:qFormat/>
    <w:rsid w:val="00DE03E5"/>
    <w:pPr>
      <w:ind w:left="720"/>
      <w:contextualSpacing/>
    </w:pPr>
  </w:style>
  <w:style w:type="character" w:styleId="Vermelding">
    <w:name w:val="Mention"/>
    <w:basedOn w:val="Standaardalinea-lettertype"/>
    <w:uiPriority w:val="99"/>
    <w:unhideWhenUsed/>
    <w:rsid w:val="005F40B8"/>
    <w:rPr>
      <w:color w:val="2B579A"/>
      <w:shd w:val="clear" w:color="auto" w:fill="E1DFDD"/>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A7391"/>
    <w:rPr>
      <w:vertAlign w:val="superscript"/>
    </w:rPr>
  </w:style>
  <w:style w:type="paragraph" w:customStyle="1" w:styleId="Spreekpunten">
    <w:name w:val="Spreekpunten"/>
    <w:basedOn w:val="Standaard"/>
    <w:rsid w:val="00F23C56"/>
    <w:pPr>
      <w:numPr>
        <w:numId w:val="24"/>
      </w:numPr>
      <w:spacing w:line="360" w:lineRule="auto"/>
    </w:pPr>
    <w:rPr>
      <w:lang w:eastAsia="zh-CN"/>
    </w:rPr>
  </w:style>
  <w:style w:type="character" w:styleId="Onopgelostemelding">
    <w:name w:val="Unresolved Mention"/>
    <w:basedOn w:val="Standaardalinea-lettertype"/>
    <w:uiPriority w:val="99"/>
    <w:semiHidden/>
    <w:unhideWhenUsed/>
    <w:rsid w:val="00EA03F2"/>
    <w:rPr>
      <w:color w:val="605E5C"/>
      <w:shd w:val="clear" w:color="auto" w:fill="E1DFDD"/>
    </w:rPr>
  </w:style>
  <w:style w:type="paragraph" w:styleId="Geenafstand">
    <w:name w:val="No Spacing"/>
    <w:uiPriority w:val="1"/>
    <w:qFormat/>
    <w:rsid w:val="002460C4"/>
    <w:rPr>
      <w:rFonts w:asciiTheme="minorHAnsi" w:eastAsiaTheme="minorHAnsi" w:hAnsiTheme="minorHAnsi" w:cstheme="minorBidi"/>
      <w:sz w:val="24"/>
      <w:szCs w:val="24"/>
      <w:lang w:val="nl-NL"/>
    </w:rPr>
  </w:style>
  <w:style w:type="paragraph" w:styleId="Revisie">
    <w:name w:val="Revision"/>
    <w:hidden/>
    <w:uiPriority w:val="99"/>
    <w:semiHidden/>
    <w:rsid w:val="000E1E7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3016">
      <w:bodyDiv w:val="1"/>
      <w:marLeft w:val="0"/>
      <w:marRight w:val="0"/>
      <w:marTop w:val="0"/>
      <w:marBottom w:val="0"/>
      <w:divBdr>
        <w:top w:val="none" w:sz="0" w:space="0" w:color="auto"/>
        <w:left w:val="none" w:sz="0" w:space="0" w:color="auto"/>
        <w:bottom w:val="none" w:sz="0" w:space="0" w:color="auto"/>
        <w:right w:val="none" w:sz="0" w:space="0" w:color="auto"/>
      </w:divBdr>
    </w:div>
    <w:div w:id="198323432">
      <w:bodyDiv w:val="1"/>
      <w:marLeft w:val="0"/>
      <w:marRight w:val="0"/>
      <w:marTop w:val="0"/>
      <w:marBottom w:val="0"/>
      <w:divBdr>
        <w:top w:val="none" w:sz="0" w:space="0" w:color="auto"/>
        <w:left w:val="none" w:sz="0" w:space="0" w:color="auto"/>
        <w:bottom w:val="none" w:sz="0" w:space="0" w:color="auto"/>
        <w:right w:val="none" w:sz="0" w:space="0" w:color="auto"/>
      </w:divBdr>
    </w:div>
    <w:div w:id="315038590">
      <w:bodyDiv w:val="1"/>
      <w:marLeft w:val="0"/>
      <w:marRight w:val="0"/>
      <w:marTop w:val="0"/>
      <w:marBottom w:val="0"/>
      <w:divBdr>
        <w:top w:val="none" w:sz="0" w:space="0" w:color="auto"/>
        <w:left w:val="none" w:sz="0" w:space="0" w:color="auto"/>
        <w:bottom w:val="none" w:sz="0" w:space="0" w:color="auto"/>
        <w:right w:val="none" w:sz="0" w:space="0" w:color="auto"/>
      </w:divBdr>
    </w:div>
    <w:div w:id="317618194">
      <w:bodyDiv w:val="1"/>
      <w:marLeft w:val="0"/>
      <w:marRight w:val="0"/>
      <w:marTop w:val="0"/>
      <w:marBottom w:val="0"/>
      <w:divBdr>
        <w:top w:val="none" w:sz="0" w:space="0" w:color="auto"/>
        <w:left w:val="none" w:sz="0" w:space="0" w:color="auto"/>
        <w:bottom w:val="none" w:sz="0" w:space="0" w:color="auto"/>
        <w:right w:val="none" w:sz="0" w:space="0" w:color="auto"/>
      </w:divBdr>
    </w:div>
    <w:div w:id="324818110">
      <w:bodyDiv w:val="1"/>
      <w:marLeft w:val="0"/>
      <w:marRight w:val="0"/>
      <w:marTop w:val="0"/>
      <w:marBottom w:val="0"/>
      <w:divBdr>
        <w:top w:val="none" w:sz="0" w:space="0" w:color="auto"/>
        <w:left w:val="none" w:sz="0" w:space="0" w:color="auto"/>
        <w:bottom w:val="none" w:sz="0" w:space="0" w:color="auto"/>
        <w:right w:val="none" w:sz="0" w:space="0" w:color="auto"/>
      </w:divBdr>
    </w:div>
    <w:div w:id="365840197">
      <w:bodyDiv w:val="1"/>
      <w:marLeft w:val="0"/>
      <w:marRight w:val="0"/>
      <w:marTop w:val="0"/>
      <w:marBottom w:val="0"/>
      <w:divBdr>
        <w:top w:val="none" w:sz="0" w:space="0" w:color="auto"/>
        <w:left w:val="none" w:sz="0" w:space="0" w:color="auto"/>
        <w:bottom w:val="none" w:sz="0" w:space="0" w:color="auto"/>
        <w:right w:val="none" w:sz="0" w:space="0" w:color="auto"/>
      </w:divBdr>
    </w:div>
    <w:div w:id="387996560">
      <w:bodyDiv w:val="1"/>
      <w:marLeft w:val="0"/>
      <w:marRight w:val="0"/>
      <w:marTop w:val="0"/>
      <w:marBottom w:val="0"/>
      <w:divBdr>
        <w:top w:val="none" w:sz="0" w:space="0" w:color="auto"/>
        <w:left w:val="none" w:sz="0" w:space="0" w:color="auto"/>
        <w:bottom w:val="none" w:sz="0" w:space="0" w:color="auto"/>
        <w:right w:val="none" w:sz="0" w:space="0" w:color="auto"/>
      </w:divBdr>
    </w:div>
    <w:div w:id="414980050">
      <w:bodyDiv w:val="1"/>
      <w:marLeft w:val="0"/>
      <w:marRight w:val="0"/>
      <w:marTop w:val="0"/>
      <w:marBottom w:val="0"/>
      <w:divBdr>
        <w:top w:val="none" w:sz="0" w:space="0" w:color="auto"/>
        <w:left w:val="none" w:sz="0" w:space="0" w:color="auto"/>
        <w:bottom w:val="none" w:sz="0" w:space="0" w:color="auto"/>
        <w:right w:val="none" w:sz="0" w:space="0" w:color="auto"/>
      </w:divBdr>
    </w:div>
    <w:div w:id="456796042">
      <w:bodyDiv w:val="1"/>
      <w:marLeft w:val="0"/>
      <w:marRight w:val="0"/>
      <w:marTop w:val="0"/>
      <w:marBottom w:val="0"/>
      <w:divBdr>
        <w:top w:val="none" w:sz="0" w:space="0" w:color="auto"/>
        <w:left w:val="none" w:sz="0" w:space="0" w:color="auto"/>
        <w:bottom w:val="none" w:sz="0" w:space="0" w:color="auto"/>
        <w:right w:val="none" w:sz="0" w:space="0" w:color="auto"/>
      </w:divBdr>
    </w:div>
    <w:div w:id="583074737">
      <w:bodyDiv w:val="1"/>
      <w:marLeft w:val="0"/>
      <w:marRight w:val="0"/>
      <w:marTop w:val="0"/>
      <w:marBottom w:val="0"/>
      <w:divBdr>
        <w:top w:val="none" w:sz="0" w:space="0" w:color="auto"/>
        <w:left w:val="none" w:sz="0" w:space="0" w:color="auto"/>
        <w:bottom w:val="none" w:sz="0" w:space="0" w:color="auto"/>
        <w:right w:val="none" w:sz="0" w:space="0" w:color="auto"/>
      </w:divBdr>
    </w:div>
    <w:div w:id="983117509">
      <w:bodyDiv w:val="1"/>
      <w:marLeft w:val="0"/>
      <w:marRight w:val="0"/>
      <w:marTop w:val="0"/>
      <w:marBottom w:val="0"/>
      <w:divBdr>
        <w:top w:val="none" w:sz="0" w:space="0" w:color="auto"/>
        <w:left w:val="none" w:sz="0" w:space="0" w:color="auto"/>
        <w:bottom w:val="none" w:sz="0" w:space="0" w:color="auto"/>
        <w:right w:val="none" w:sz="0" w:space="0" w:color="auto"/>
      </w:divBdr>
    </w:div>
    <w:div w:id="1047101304">
      <w:bodyDiv w:val="1"/>
      <w:marLeft w:val="0"/>
      <w:marRight w:val="0"/>
      <w:marTop w:val="0"/>
      <w:marBottom w:val="0"/>
      <w:divBdr>
        <w:top w:val="none" w:sz="0" w:space="0" w:color="auto"/>
        <w:left w:val="none" w:sz="0" w:space="0" w:color="auto"/>
        <w:bottom w:val="none" w:sz="0" w:space="0" w:color="auto"/>
        <w:right w:val="none" w:sz="0" w:space="0" w:color="auto"/>
      </w:divBdr>
    </w:div>
    <w:div w:id="1050230605">
      <w:bodyDiv w:val="1"/>
      <w:marLeft w:val="0"/>
      <w:marRight w:val="0"/>
      <w:marTop w:val="0"/>
      <w:marBottom w:val="0"/>
      <w:divBdr>
        <w:top w:val="none" w:sz="0" w:space="0" w:color="auto"/>
        <w:left w:val="none" w:sz="0" w:space="0" w:color="auto"/>
        <w:bottom w:val="none" w:sz="0" w:space="0" w:color="auto"/>
        <w:right w:val="none" w:sz="0" w:space="0" w:color="auto"/>
      </w:divBdr>
    </w:div>
    <w:div w:id="1063869303">
      <w:bodyDiv w:val="1"/>
      <w:marLeft w:val="0"/>
      <w:marRight w:val="0"/>
      <w:marTop w:val="0"/>
      <w:marBottom w:val="0"/>
      <w:divBdr>
        <w:top w:val="none" w:sz="0" w:space="0" w:color="auto"/>
        <w:left w:val="none" w:sz="0" w:space="0" w:color="auto"/>
        <w:bottom w:val="none" w:sz="0" w:space="0" w:color="auto"/>
        <w:right w:val="none" w:sz="0" w:space="0" w:color="auto"/>
      </w:divBdr>
    </w:div>
    <w:div w:id="1142382634">
      <w:bodyDiv w:val="1"/>
      <w:marLeft w:val="0"/>
      <w:marRight w:val="0"/>
      <w:marTop w:val="0"/>
      <w:marBottom w:val="0"/>
      <w:divBdr>
        <w:top w:val="none" w:sz="0" w:space="0" w:color="auto"/>
        <w:left w:val="none" w:sz="0" w:space="0" w:color="auto"/>
        <w:bottom w:val="none" w:sz="0" w:space="0" w:color="auto"/>
        <w:right w:val="none" w:sz="0" w:space="0" w:color="auto"/>
      </w:divBdr>
    </w:div>
    <w:div w:id="1232689667">
      <w:bodyDiv w:val="1"/>
      <w:marLeft w:val="0"/>
      <w:marRight w:val="0"/>
      <w:marTop w:val="0"/>
      <w:marBottom w:val="0"/>
      <w:divBdr>
        <w:top w:val="none" w:sz="0" w:space="0" w:color="auto"/>
        <w:left w:val="none" w:sz="0" w:space="0" w:color="auto"/>
        <w:bottom w:val="none" w:sz="0" w:space="0" w:color="auto"/>
        <w:right w:val="none" w:sz="0" w:space="0" w:color="auto"/>
      </w:divBdr>
    </w:div>
    <w:div w:id="1257203995">
      <w:bodyDiv w:val="1"/>
      <w:marLeft w:val="0"/>
      <w:marRight w:val="0"/>
      <w:marTop w:val="0"/>
      <w:marBottom w:val="0"/>
      <w:divBdr>
        <w:top w:val="none" w:sz="0" w:space="0" w:color="auto"/>
        <w:left w:val="none" w:sz="0" w:space="0" w:color="auto"/>
        <w:bottom w:val="none" w:sz="0" w:space="0" w:color="auto"/>
        <w:right w:val="none" w:sz="0" w:space="0" w:color="auto"/>
      </w:divBdr>
    </w:div>
    <w:div w:id="1337342958">
      <w:bodyDiv w:val="1"/>
      <w:marLeft w:val="0"/>
      <w:marRight w:val="0"/>
      <w:marTop w:val="0"/>
      <w:marBottom w:val="0"/>
      <w:divBdr>
        <w:top w:val="none" w:sz="0" w:space="0" w:color="auto"/>
        <w:left w:val="none" w:sz="0" w:space="0" w:color="auto"/>
        <w:bottom w:val="none" w:sz="0" w:space="0" w:color="auto"/>
        <w:right w:val="none" w:sz="0" w:space="0" w:color="auto"/>
      </w:divBdr>
    </w:div>
    <w:div w:id="1369183501">
      <w:bodyDiv w:val="1"/>
      <w:marLeft w:val="0"/>
      <w:marRight w:val="0"/>
      <w:marTop w:val="0"/>
      <w:marBottom w:val="0"/>
      <w:divBdr>
        <w:top w:val="none" w:sz="0" w:space="0" w:color="auto"/>
        <w:left w:val="none" w:sz="0" w:space="0" w:color="auto"/>
        <w:bottom w:val="none" w:sz="0" w:space="0" w:color="auto"/>
        <w:right w:val="none" w:sz="0" w:space="0" w:color="auto"/>
      </w:divBdr>
    </w:div>
    <w:div w:id="1440905049">
      <w:bodyDiv w:val="1"/>
      <w:marLeft w:val="0"/>
      <w:marRight w:val="0"/>
      <w:marTop w:val="0"/>
      <w:marBottom w:val="0"/>
      <w:divBdr>
        <w:top w:val="none" w:sz="0" w:space="0" w:color="auto"/>
        <w:left w:val="none" w:sz="0" w:space="0" w:color="auto"/>
        <w:bottom w:val="none" w:sz="0" w:space="0" w:color="auto"/>
        <w:right w:val="none" w:sz="0" w:space="0" w:color="auto"/>
      </w:divBdr>
    </w:div>
    <w:div w:id="1673794080">
      <w:bodyDiv w:val="1"/>
      <w:marLeft w:val="0"/>
      <w:marRight w:val="0"/>
      <w:marTop w:val="0"/>
      <w:marBottom w:val="0"/>
      <w:divBdr>
        <w:top w:val="none" w:sz="0" w:space="0" w:color="auto"/>
        <w:left w:val="none" w:sz="0" w:space="0" w:color="auto"/>
        <w:bottom w:val="none" w:sz="0" w:space="0" w:color="auto"/>
        <w:right w:val="none" w:sz="0" w:space="0" w:color="auto"/>
      </w:divBdr>
    </w:div>
    <w:div w:id="1673798436">
      <w:bodyDiv w:val="1"/>
      <w:marLeft w:val="0"/>
      <w:marRight w:val="0"/>
      <w:marTop w:val="0"/>
      <w:marBottom w:val="0"/>
      <w:divBdr>
        <w:top w:val="none" w:sz="0" w:space="0" w:color="auto"/>
        <w:left w:val="none" w:sz="0" w:space="0" w:color="auto"/>
        <w:bottom w:val="none" w:sz="0" w:space="0" w:color="auto"/>
        <w:right w:val="none" w:sz="0" w:space="0" w:color="auto"/>
      </w:divBdr>
    </w:div>
    <w:div w:id="1690330298">
      <w:bodyDiv w:val="1"/>
      <w:marLeft w:val="0"/>
      <w:marRight w:val="0"/>
      <w:marTop w:val="0"/>
      <w:marBottom w:val="0"/>
      <w:divBdr>
        <w:top w:val="none" w:sz="0" w:space="0" w:color="auto"/>
        <w:left w:val="none" w:sz="0" w:space="0" w:color="auto"/>
        <w:bottom w:val="none" w:sz="0" w:space="0" w:color="auto"/>
        <w:right w:val="none" w:sz="0" w:space="0" w:color="auto"/>
      </w:divBdr>
    </w:div>
    <w:div w:id="1705670817">
      <w:bodyDiv w:val="1"/>
      <w:marLeft w:val="0"/>
      <w:marRight w:val="0"/>
      <w:marTop w:val="0"/>
      <w:marBottom w:val="0"/>
      <w:divBdr>
        <w:top w:val="none" w:sz="0" w:space="0" w:color="auto"/>
        <w:left w:val="none" w:sz="0" w:space="0" w:color="auto"/>
        <w:bottom w:val="none" w:sz="0" w:space="0" w:color="auto"/>
        <w:right w:val="none" w:sz="0" w:space="0" w:color="auto"/>
      </w:divBdr>
    </w:div>
    <w:div w:id="1789665952">
      <w:bodyDiv w:val="1"/>
      <w:marLeft w:val="0"/>
      <w:marRight w:val="0"/>
      <w:marTop w:val="0"/>
      <w:marBottom w:val="0"/>
      <w:divBdr>
        <w:top w:val="none" w:sz="0" w:space="0" w:color="auto"/>
        <w:left w:val="none" w:sz="0" w:space="0" w:color="auto"/>
        <w:bottom w:val="none" w:sz="0" w:space="0" w:color="auto"/>
        <w:right w:val="none" w:sz="0" w:space="0" w:color="auto"/>
      </w:divBdr>
    </w:div>
    <w:div w:id="19542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2/19/verzamelbrief-aanbesteden" TargetMode="External"/><Relationship Id="rId3" Type="http://schemas.openxmlformats.org/officeDocument/2006/relationships/hyperlink" Target="https://www.rijksoverheid.nl/documenten/kamerstukken/2024/12/09/kamerbrief-actieprogramma-minder-druk-met-regels" TargetMode="External"/><Relationship Id="rId7" Type="http://schemas.openxmlformats.org/officeDocument/2006/relationships/hyperlink" Target="https://commission.europa.eu/topics/eu-competitiveness/draghi-report_en" TargetMode="External"/><Relationship Id="rId12" Type="http://schemas.openxmlformats.org/officeDocument/2006/relationships/hyperlink" Target="https://www.rijksoverheid.nl/documenten/kamerstukken/2025/04/14/verslag-onderzoeks-en-innovatiedeel-informele-raad-voor-concurrentievermogen-10-11-maart-te-warschau-polen-tk" TargetMode="External"/><Relationship Id="rId2" Type="http://schemas.openxmlformats.org/officeDocument/2006/relationships/hyperlink" Target="https://www.rijksoverheid.nl/documenten/publicaties/2025/02/26/fiche-3-mededeling-clean-industrial-deal" TargetMode="External"/><Relationship Id="rId1" Type="http://schemas.openxmlformats.org/officeDocument/2006/relationships/hyperlink" Target="https://www.rijksoverheid.nl/documenten/kamerstukken/2024/12/13/kamerbrief-kabinetsvisie-eu-concurrentievermogen" TargetMode="External"/><Relationship Id="rId6" Type="http://schemas.openxmlformats.org/officeDocument/2006/relationships/hyperlink" Target="https://www.consilium.europa.eu/media/ny3j24sm/much-more-than-a-market-report-by-enrico-letta.pdf" TargetMode="External"/><Relationship Id="rId11" Type="http://schemas.openxmlformats.org/officeDocument/2006/relationships/hyperlink" Target="https://polish-presidency.consilium.europa.eu/media/r5fa13v5/warsaw-declaration_final.pdf" TargetMode="External"/><Relationship Id="rId5" Type="http://schemas.openxmlformats.org/officeDocument/2006/relationships/hyperlink" Target="https://www.consilium.europa.eu/en/press/press-releases/2020/02/27/better-regulation-for-competitiveness-and-sustainable-inclusive-growth-council-adopts-conclusions/" TargetMode="External"/><Relationship Id="rId10" Type="http://schemas.openxmlformats.org/officeDocument/2006/relationships/hyperlink" Target="https://www.rijksoverheid.nl/documenten/rapporten/2024/10/14/the-netherlands-vision-paper-on-the-future-eu-framework-programme-for-research-and-innovation-fp10-rapport-oktober-2024" TargetMode="External"/><Relationship Id="rId4" Type="http://schemas.openxmlformats.org/officeDocument/2006/relationships/hyperlink" Target="https://eur-lex.europa.eu/legal-content/NL/TXT/PDF/?uri=CELEX:32016Q0512(01)" TargetMode="External"/><Relationship Id="rId9" Type="http://schemas.openxmlformats.org/officeDocument/2006/relationships/hyperlink" Target="https://ec.europa.eu/commission/presscorner/detail/en/ip_25_11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3639</ap:Words>
  <ap:Characters>20016</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2025-05-08T13:55:00.0000000Z</dcterms:created>
  <dcterms:modified xsi:type="dcterms:W3CDTF">2025-05-08T13:55:00.0000000Z</dcterms:modified>
  <dc:description>------------------------</dc:description>
  <version/>
  <category/>
</coreProperties>
</file>