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3DA2" w:rsidR="0095390B" w:rsidP="0095390B" w:rsidRDefault="0033476E" w14:paraId="779769B0" w14:textId="53CDB591">
      <w:pPr>
        <w:pStyle w:val="DatumSub"/>
        <w:rPr>
          <w:lang w:val="nl-NL"/>
        </w:rPr>
      </w:pPr>
      <w:bookmarkStart w:name="_Hlk49967908" w:id="0"/>
      <w:r>
        <w:t>8</w:t>
      </w:r>
      <w:r w:rsidR="00AA37B9">
        <w:t xml:space="preserve"> </w:t>
      </w:r>
      <w:proofErr w:type="spellStart"/>
      <w:r w:rsidR="00AA37B9">
        <w:t>mei</w:t>
      </w:r>
      <w:proofErr w:type="spellEnd"/>
      <w:r w:rsidR="00AA37B9">
        <w:t xml:space="preserve"> 2025</w:t>
      </w:r>
      <w:r w:rsidRPr="00DE3DA2" w:rsidR="0095390B">
        <w:rPr>
          <w:lang w:val="nl-NL"/>
        </w:rPr>
        <w:t xml:space="preserve"> </w:t>
      </w:r>
    </w:p>
    <w:p w:rsidRPr="00DE3DA2" w:rsidR="00FA77E3" w:rsidP="0095390B" w:rsidRDefault="00FA77E3" w14:paraId="360035D8" w14:textId="14B4CFDF">
      <w:pPr>
        <w:pStyle w:val="DatumSub"/>
        <w:rPr>
          <w:lang w:val="nl-NL"/>
        </w:rPr>
      </w:pPr>
      <w:r w:rsidRPr="00DE3DA2">
        <w:rPr>
          <w:lang w:val="nl-NL"/>
        </w:rPr>
        <w:t xml:space="preserve">Wetenschapstoets </w:t>
      </w:r>
      <w:r w:rsidRPr="00DE3DA2" w:rsidR="00EF6211">
        <w:rPr>
          <w:lang w:val="nl-NL"/>
        </w:rPr>
        <w:t>van voorgenomen beleid</w:t>
      </w:r>
      <w:r w:rsidRPr="00DE3DA2">
        <w:rPr>
          <w:lang w:val="nl-NL"/>
        </w:rPr>
        <w:t xml:space="preserv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22"/>
      </w:tblGrid>
      <w:tr w:rsidRPr="001625E0" w:rsidR="001625E0" w:rsidTr="001625E0" w14:paraId="50335ADB" w14:textId="77777777">
        <w:trPr>
          <w:trHeight w:val="10205"/>
        </w:trPr>
        <w:tc>
          <w:tcPr>
            <w:tcW w:w="8722" w:type="dxa"/>
            <w:shd w:val="clear" w:color="auto" w:fill="auto"/>
          </w:tcPr>
          <w:sdt>
            <w:sdtPr>
              <w:id w:val="1743055636"/>
              <w:placeholder>
                <w:docPart w:val="78D5C562FD2B4F0BB96DB584BD0A268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1625E0" w:rsidR="001625E0" w:rsidP="001625E0" w:rsidRDefault="00AA37B9" w14:paraId="596343F8" w14:textId="7B29FEE9">
                <w:pPr>
                  <w:pStyle w:val="Titel"/>
                </w:pPr>
                <w:r w:rsidRPr="00AA37B9">
                  <w:t xml:space="preserve">Wet </w:t>
                </w:r>
                <w:proofErr w:type="spellStart"/>
                <w:r w:rsidRPr="00AA37B9">
                  <w:t>collectieve</w:t>
                </w:r>
                <w:proofErr w:type="spellEnd"/>
                <w:r w:rsidRPr="00AA37B9">
                  <w:t xml:space="preserve"> </w:t>
                </w:r>
                <w:proofErr w:type="spellStart"/>
                <w:r w:rsidRPr="00AA37B9">
                  <w:t>warmte</w:t>
                </w:r>
                <w:proofErr w:type="spellEnd"/>
                <w:r w:rsidRPr="00AA37B9">
                  <w:t xml:space="preserve"> (36576)</w:t>
                </w:r>
              </w:p>
            </w:sdtContent>
          </w:sdt>
        </w:tc>
      </w:tr>
      <w:tr w:rsidRPr="001625E0" w:rsidR="001625E0" w:rsidTr="001625E0" w14:paraId="4D53FBA3" w14:textId="77777777">
        <w:trPr>
          <w:trHeight w:val="1162"/>
        </w:trPr>
        <w:tc>
          <w:tcPr>
            <w:tcW w:w="8722" w:type="dxa"/>
            <w:shd w:val="clear" w:color="auto" w:fill="auto"/>
          </w:tcPr>
          <w:p w:rsidRPr="00BD44E3" w:rsidR="00AA37B9" w:rsidP="00AA37B9" w:rsidRDefault="00AA37B9" w14:paraId="29FEF51B" w14:textId="77777777">
            <w:pPr>
              <w:pStyle w:val="Voorbladinfo"/>
              <w:rPr>
                <w:lang w:val="nl-NL"/>
              </w:rPr>
            </w:pPr>
            <w:r w:rsidRPr="001625E0">
              <w:rPr>
                <w:lang w:val="nl-NL"/>
              </w:rPr>
              <w:t>Wetenschappers:</w:t>
            </w:r>
            <w:r w:rsidRPr="001625E0">
              <w:rPr>
                <w:b w:val="0"/>
                <w:bCs/>
                <w:lang w:val="nl-NL"/>
              </w:rPr>
              <w:t xml:space="preserve"> </w:t>
            </w:r>
            <w:hyperlink w:history="1" r:id="rId12">
              <w:r w:rsidRPr="00BD44E3">
                <w:rPr>
                  <w:rStyle w:val="Hyperlink"/>
                  <w:b w:val="0"/>
                  <w:bCs/>
                  <w:lang w:val="nl-NL"/>
                </w:rPr>
                <w:t>prof. dr. Floor Alkemade</w:t>
              </w:r>
            </w:hyperlink>
            <w:r>
              <w:rPr>
                <w:b w:val="0"/>
                <w:bCs/>
                <w:lang w:val="nl-NL"/>
              </w:rPr>
              <w:t xml:space="preserve"> (Technische Universiteit Eindhoven)</w:t>
            </w:r>
            <w:r w:rsidRPr="00BD44E3">
              <w:rPr>
                <w:b w:val="0"/>
                <w:bCs/>
                <w:lang w:val="nl-NL"/>
              </w:rPr>
              <w:t xml:space="preserve">, </w:t>
            </w:r>
            <w:hyperlink w:history="1" r:id="rId13">
              <w:r w:rsidRPr="00BD44E3">
                <w:rPr>
                  <w:rStyle w:val="Hyperlink"/>
                  <w:b w:val="0"/>
                  <w:bCs/>
                  <w:lang w:val="nl-NL"/>
                </w:rPr>
                <w:t>prof. dr. mr. Annelies Huygen</w:t>
              </w:r>
            </w:hyperlink>
            <w:r w:rsidRPr="00BD44E3">
              <w:rPr>
                <w:b w:val="0"/>
                <w:bCs/>
                <w:lang w:val="nl-NL"/>
              </w:rPr>
              <w:t xml:space="preserve"> (TNO, Universiteit Utrecht), </w:t>
            </w:r>
            <w:hyperlink w:history="1" r:id="rId14">
              <w:r w:rsidRPr="00980499">
                <w:rPr>
                  <w:rStyle w:val="Hyperlink"/>
                  <w:b w:val="0"/>
                  <w:bCs/>
                  <w:lang w:val="nl-NL"/>
                </w:rPr>
                <w:t>dr. Jacob Janssen</w:t>
              </w:r>
            </w:hyperlink>
            <w:r w:rsidRPr="00BD44E3">
              <w:rPr>
                <w:b w:val="0"/>
                <w:bCs/>
                <w:lang w:val="nl-NL"/>
              </w:rPr>
              <w:t xml:space="preserve"> (TNO)</w:t>
            </w:r>
          </w:p>
          <w:p w:rsidRPr="009072D6" w:rsidR="00AA37B9" w:rsidP="00AA37B9" w:rsidRDefault="00AA37B9" w14:paraId="350DE1B4" w14:textId="77777777">
            <w:pPr>
              <w:pStyle w:val="Voorbladinfo"/>
              <w:rPr>
                <w:b w:val="0"/>
                <w:bCs/>
                <w:lang w:val="nl-NL"/>
              </w:rPr>
            </w:pPr>
            <w:r w:rsidRPr="001625E0">
              <w:rPr>
                <w:lang w:val="nl-NL"/>
              </w:rPr>
              <w:t>Rapporteurs Tweede Kamer:</w:t>
            </w:r>
            <w:r w:rsidRPr="001625E0">
              <w:rPr>
                <w:b w:val="0"/>
                <w:bCs/>
                <w:lang w:val="nl-NL"/>
              </w:rPr>
              <w:t xml:space="preserve"> </w:t>
            </w:r>
            <w:r w:rsidRPr="009072D6">
              <w:rPr>
                <w:b w:val="0"/>
                <w:bCs/>
                <w:lang w:val="nl-NL"/>
              </w:rPr>
              <w:t>S</w:t>
            </w:r>
            <w:r>
              <w:rPr>
                <w:b w:val="0"/>
                <w:bCs/>
                <w:lang w:val="nl-NL"/>
              </w:rPr>
              <w:t>ilvio Erkens (VVD), Wytske Postma (NSC) en Suzanne Kröger (GroenLinks-PvdA)</w:t>
            </w:r>
          </w:p>
          <w:p w:rsidRPr="001625E0" w:rsidR="00AA37B9" w:rsidP="00AA37B9" w:rsidRDefault="00AA37B9" w14:paraId="70988882" w14:textId="15BB5046">
            <w:pPr>
              <w:pStyle w:val="Voorbladinfo"/>
              <w:rPr>
                <w:b w:val="0"/>
                <w:bCs/>
                <w:lang w:val="nl-NL"/>
              </w:rPr>
            </w:pPr>
            <w:r w:rsidRPr="001625E0">
              <w:rPr>
                <w:lang w:val="nl-NL"/>
              </w:rPr>
              <w:t>Kenniscoördinator</w:t>
            </w:r>
            <w:r>
              <w:rPr>
                <w:lang w:val="nl-NL"/>
              </w:rPr>
              <w:t xml:space="preserve"> en wetgevingsadviseur</w:t>
            </w:r>
            <w:r w:rsidR="0033476E">
              <w:rPr>
                <w:lang w:val="nl-NL"/>
              </w:rPr>
              <w:t>:</w:t>
            </w:r>
            <w:r>
              <w:rPr>
                <w:lang w:val="nl-NL"/>
              </w:rPr>
              <w:t xml:space="preserve"> </w:t>
            </w:r>
            <w:r w:rsidRPr="009072D6">
              <w:rPr>
                <w:b w:val="0"/>
                <w:bCs/>
                <w:lang w:val="nl-NL"/>
              </w:rPr>
              <w:t>Vaste commissie voor Klimaat en Groene Groei</w:t>
            </w:r>
          </w:p>
          <w:p w:rsidRPr="001625E0" w:rsidR="001625E0" w:rsidP="00AA37B9" w:rsidRDefault="00AA37B9" w14:paraId="5D3174A0" w14:textId="24CA1CAE">
            <w:pPr>
              <w:pStyle w:val="Voorbladinfo"/>
              <w:rPr>
                <w:lang w:val="nl-NL"/>
              </w:rPr>
            </w:pPr>
            <w:r w:rsidRPr="001625E0">
              <w:rPr>
                <w:lang w:val="nl-NL"/>
              </w:rPr>
              <w:t xml:space="preserve">Beoordeelde documenten: </w:t>
            </w:r>
            <w:hyperlink w:history="1" r:id="rId15">
              <w:r w:rsidRPr="009072D6">
                <w:rPr>
                  <w:rStyle w:val="Hyperlink"/>
                  <w:b w:val="0"/>
                  <w:bCs/>
                  <w:lang w:val="nl-NL"/>
                </w:rPr>
                <w:t>Wetsvoorstel wet collectieve warmte</w:t>
              </w:r>
            </w:hyperlink>
            <w:r>
              <w:rPr>
                <w:b w:val="0"/>
                <w:bCs/>
                <w:lang w:val="nl-NL"/>
              </w:rPr>
              <w:t xml:space="preserve"> incl. </w:t>
            </w:r>
            <w:r w:rsidR="00070C9F">
              <w:rPr>
                <w:b w:val="0"/>
                <w:bCs/>
                <w:lang w:val="nl-NL"/>
              </w:rPr>
              <w:t xml:space="preserve">de eerste </w:t>
            </w:r>
            <w:r>
              <w:rPr>
                <w:b w:val="0"/>
                <w:bCs/>
                <w:lang w:val="nl-NL"/>
              </w:rPr>
              <w:t>nota van wijziging</w:t>
            </w:r>
            <w:r w:rsidR="00070C9F">
              <w:rPr>
                <w:b w:val="0"/>
                <w:bCs/>
                <w:lang w:val="nl-NL"/>
              </w:rPr>
              <w:t xml:space="preserve">. </w:t>
            </w:r>
          </w:p>
        </w:tc>
      </w:tr>
    </w:tbl>
    <w:p w:rsidRPr="00F038A9" w:rsidR="00F66DAC" w:rsidP="003E2A8F" w:rsidRDefault="00F66DAC" w14:paraId="5522A985" w14:textId="77777777">
      <w:pPr>
        <w:pStyle w:val="Voorbladinfo"/>
        <w:rPr>
          <w:b w:val="0"/>
          <w:bCs/>
        </w:rPr>
      </w:pPr>
    </w:p>
    <w:p w:rsidR="00ED65A9" w:rsidP="00CD3625" w:rsidRDefault="00ED65A9" w14:paraId="4A36B75D" w14:textId="77777777">
      <w:pPr>
        <w:spacing w:line="283" w:lineRule="exact"/>
        <w:rPr>
          <w:b/>
          <w:sz w:val="22"/>
        </w:rPr>
        <w:sectPr w:rsidR="00ED65A9" w:rsidSect="00120CA1">
          <w:headerReference w:type="first" r:id="rId16"/>
          <w:pgSz w:w="11907" w:h="16840" w:code="9"/>
          <w:pgMar w:top="850" w:right="1474" w:bottom="850" w:left="1701" w:header="709" w:footer="709" w:gutter="0"/>
          <w:cols w:space="708"/>
          <w:titlePg/>
          <w:docGrid w:linePitch="360"/>
        </w:sectPr>
      </w:pPr>
    </w:p>
    <w:p w:rsidR="00DB4993" w:rsidP="00F12670" w:rsidRDefault="00DB4993" w14:paraId="01A3E8E1" w14:textId="7466BE2B">
      <w:pPr>
        <w:ind w:left="-1134"/>
        <w:rPr>
          <w:b/>
          <w:sz w:val="20"/>
          <w:szCs w:val="20"/>
        </w:rPr>
      </w:pPr>
    </w:p>
    <w:sdt>
      <w:sdtPr>
        <w:rPr>
          <w:lang w:val="nl-NL"/>
        </w:rPr>
        <w:id w:val="-1697221283"/>
        <w:placeholder>
          <w:docPart w:val="E959A93D5E5C48C99E2C2E41D3CEF83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AA37B9" w:rsidR="00807A95" w:rsidP="001625E0" w:rsidRDefault="00AA37B9" w14:paraId="013475B2" w14:textId="4FC41B83">
          <w:pPr>
            <w:pStyle w:val="Kop"/>
            <w:rPr>
              <w:lang w:val="nl-NL"/>
            </w:rPr>
          </w:pPr>
          <w:r w:rsidRPr="00316244">
            <w:rPr>
              <w:lang w:val="nl-NL"/>
            </w:rPr>
            <w:t>Wet collectieve warmte (36576)</w:t>
          </w:r>
        </w:p>
      </w:sdtContent>
    </w:sdt>
    <w:sdt>
      <w:sdtPr>
        <w:rPr>
          <w:bCs/>
          <w:sz w:val="20"/>
          <w:szCs w:val="20"/>
        </w:rPr>
        <w:id w:val="-1648893892"/>
        <w:lock w:val="sdtContentLocked"/>
        <w:placeholder>
          <w:docPart w:val="DefaultPlaceholder_-1854013440"/>
        </w:placeholder>
        <w15:appearance w15:val="hidden"/>
      </w:sdtPr>
      <w:sdtEndPr/>
      <w:sdtContent>
        <w:p w:rsidRPr="00DB4993" w:rsidR="00DB4993" w:rsidP="00090976" w:rsidRDefault="00DB4993" w14:paraId="7C7E65CD" w14:textId="17004A70">
          <w:pPr>
            <w:tabs>
              <w:tab w:val="left" w:pos="0"/>
              <w:tab w:val="left" w:pos="1985"/>
              <w:tab w:val="left" w:pos="2410"/>
              <w:tab w:val="left" w:pos="4536"/>
              <w:tab w:val="left" w:pos="4961"/>
              <w:tab w:val="left" w:pos="7088"/>
              <w:tab w:val="left" w:pos="7513"/>
            </w:tabs>
            <w:rPr>
              <w:bCs/>
              <w:sz w:val="20"/>
              <w:szCs w:val="20"/>
            </w:rPr>
          </w:pPr>
          <w:r>
            <w:rPr>
              <w:bCs/>
              <w:sz w:val="20"/>
              <w:szCs w:val="20"/>
            </w:rPr>
            <w:t>Legenda:</w:t>
          </w:r>
          <w:r>
            <w:rPr>
              <w:bCs/>
              <w:sz w:val="20"/>
              <w:szCs w:val="20"/>
            </w:rPr>
            <w:tab/>
          </w:r>
          <w:bookmarkStart w:name="bmVoldoende" w:id="1"/>
          <w:r w:rsidRPr="00090976">
            <w:rPr>
              <w:bCs/>
              <w:noProof/>
              <w:position w:val="-4"/>
              <w:sz w:val="20"/>
              <w:szCs w:val="20"/>
              <w:lang w:eastAsia="nl-NL"/>
            </w:rPr>
            <w:drawing>
              <wp:inline distT="0" distB="0" distL="0" distR="0" wp14:anchorId="5F7222D6" wp14:editId="3D196882">
                <wp:extent cx="161925" cy="161925"/>
                <wp:effectExtent l="0" t="0" r="9525" b="9525"/>
                <wp:docPr id="8" name="icoonvoldo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onvoldoende"/>
                        <pic:cNvPicPr>
                          <a:picLocks noChangeAspect="1" noChangeArrowheads="1"/>
                        </pic:cNvPicPr>
                      </pic:nvPicPr>
                      <pic:blipFill>
                        <a:blip r:embed="rId17" cstate="print">
                          <a:extLst>
                            <a:ext uri="{28A0092B-C50C-407E-A947-70E740481C1C}">
                              <a14:useLocalDpi xmlns:a14="http://schemas.microsoft.com/office/drawing/2010/main" val="0"/>
                            </a:ext>
                          </a:extLst>
                        </a:blip>
                        <a:srcRect l="4169" t="22270" r="65022" b="15915"/>
                        <a:stretch>
                          <a:fillRect/>
                        </a:stretch>
                      </pic:blipFill>
                      <pic:spPr bwMode="auto">
                        <a:xfrm rot="10800000" flipV="1">
                          <a:off x="0" y="0"/>
                          <a:ext cx="161925" cy="161925"/>
                        </a:xfrm>
                        <a:prstGeom prst="rect">
                          <a:avLst/>
                        </a:prstGeom>
                        <a:noFill/>
                        <a:ln>
                          <a:noFill/>
                        </a:ln>
                      </pic:spPr>
                    </pic:pic>
                  </a:graphicData>
                </a:graphic>
              </wp:inline>
            </w:drawing>
          </w:r>
          <w:bookmarkEnd w:id="1"/>
          <w:r w:rsidRPr="00DB4993">
            <w:rPr>
              <w:bCs/>
              <w:sz w:val="20"/>
              <w:szCs w:val="20"/>
            </w:rPr>
            <w:tab/>
            <w:t>Voldoende</w:t>
          </w:r>
          <w:r>
            <w:rPr>
              <w:bCs/>
              <w:sz w:val="20"/>
              <w:szCs w:val="20"/>
            </w:rPr>
            <w:tab/>
          </w:r>
          <w:bookmarkStart w:name="bmAandacht" w:id="2"/>
          <w:r w:rsidRPr="00090976">
            <w:rPr>
              <w:bCs/>
              <w:noProof/>
              <w:position w:val="-4"/>
              <w:sz w:val="20"/>
              <w:szCs w:val="20"/>
              <w:lang w:eastAsia="nl-NL"/>
            </w:rPr>
            <w:drawing>
              <wp:inline distT="0" distB="0" distL="0" distR="0" wp14:anchorId="386EC6E5" wp14:editId="2BB0EA4D">
                <wp:extent cx="190500" cy="161925"/>
                <wp:effectExtent l="0" t="0" r="0" b="9525"/>
                <wp:docPr id="9" name="icoonaand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onaandacht"/>
                        <pic:cNvPicPr>
                          <a:picLocks noChangeAspect="1" noChangeArrowheads="1"/>
                        </pic:cNvPicPr>
                      </pic:nvPicPr>
                      <pic:blipFill>
                        <a:blip r:embed="rId18" cstate="print">
                          <a:extLst>
                            <a:ext uri="{28A0092B-C50C-407E-A947-70E740481C1C}">
                              <a14:useLocalDpi xmlns:a14="http://schemas.microsoft.com/office/drawing/2010/main" val="0"/>
                            </a:ext>
                          </a:extLst>
                        </a:blip>
                        <a:srcRect l="36702" t="26582" r="32397" b="20128"/>
                        <a:stretch>
                          <a:fillRect/>
                        </a:stretch>
                      </pic:blipFill>
                      <pic:spPr bwMode="auto">
                        <a:xfrm>
                          <a:off x="0" y="0"/>
                          <a:ext cx="190500" cy="161925"/>
                        </a:xfrm>
                        <a:prstGeom prst="rect">
                          <a:avLst/>
                        </a:prstGeom>
                        <a:noFill/>
                        <a:ln>
                          <a:noFill/>
                        </a:ln>
                      </pic:spPr>
                    </pic:pic>
                  </a:graphicData>
                </a:graphic>
              </wp:inline>
            </w:drawing>
          </w:r>
          <w:bookmarkEnd w:id="2"/>
          <w:r w:rsidRPr="00DB4993">
            <w:rPr>
              <w:bCs/>
              <w:sz w:val="20"/>
              <w:szCs w:val="20"/>
            </w:rPr>
            <w:tab/>
            <w:t>Verdient aandacht</w:t>
          </w:r>
          <w:r>
            <w:rPr>
              <w:bCs/>
              <w:sz w:val="20"/>
              <w:szCs w:val="20"/>
            </w:rPr>
            <w:tab/>
          </w:r>
          <w:bookmarkStart w:name="bmVerbeterpunt" w:id="3"/>
          <w:r w:rsidRPr="00090976">
            <w:rPr>
              <w:bCs/>
              <w:noProof/>
              <w:position w:val="-4"/>
              <w:sz w:val="20"/>
              <w:szCs w:val="20"/>
              <w:lang w:eastAsia="nl-NL"/>
            </w:rPr>
            <w:drawing>
              <wp:inline distT="0" distB="0" distL="0" distR="0" wp14:anchorId="4B6F8873" wp14:editId="33B1164A">
                <wp:extent cx="152400" cy="152400"/>
                <wp:effectExtent l="0" t="0" r="0" b="0"/>
                <wp:docPr id="10" name="icoonverbeterp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onverbeterpunt"/>
                        <pic:cNvPicPr/>
                      </pic:nvPicPr>
                      <pic:blipFill rotWithShape="1">
                        <a:blip r:embed="rId19"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bookmarkEnd w:id="3"/>
          <w:r>
            <w:rPr>
              <w:bCs/>
              <w:sz w:val="20"/>
              <w:szCs w:val="20"/>
            </w:rPr>
            <w:tab/>
          </w:r>
          <w:r w:rsidRPr="00DB4993">
            <w:rPr>
              <w:bCs/>
              <w:sz w:val="20"/>
              <w:szCs w:val="20"/>
            </w:rPr>
            <w:t>Verbeterpunt</w:t>
          </w:r>
        </w:p>
      </w:sdtContent>
    </w:sdt>
    <w:p w:rsidRPr="000F1B1B" w:rsidR="00E012EC" w:rsidP="000F1B1B" w:rsidRDefault="00E012EC" w14:paraId="234C619A" w14:textId="77777777">
      <w:pPr>
        <w:spacing w:line="240" w:lineRule="auto"/>
        <w:ind w:left="1418"/>
        <w:rPr>
          <w:color w:val="000000" w:themeColor="text1"/>
          <w:sz w:val="16"/>
          <w:szCs w:val="16"/>
        </w:rPr>
      </w:pPr>
    </w:p>
    <w:tbl>
      <w:tblPr>
        <w:tblStyle w:val="PWTabel"/>
        <w:tblW w:w="15871" w:type="dxa"/>
        <w:tblLayout w:type="fixed"/>
        <w:tblLook w:val="04A0" w:firstRow="1" w:lastRow="0" w:firstColumn="1" w:lastColumn="0" w:noHBand="0" w:noVBand="1"/>
      </w:tblPr>
      <w:tblGrid>
        <w:gridCol w:w="562"/>
        <w:gridCol w:w="2410"/>
        <w:gridCol w:w="851"/>
        <w:gridCol w:w="5528"/>
        <w:gridCol w:w="6520"/>
      </w:tblGrid>
      <w:tr w:rsidRPr="00BC5C43" w:rsidR="00120CA1" w:rsidTr="00CF6DEA" w14:paraId="5791F6F9" w14:textId="77777777">
        <w:trPr>
          <w:cnfStyle w:val="100000000000" w:firstRow="1" w:lastRow="0" w:firstColumn="0" w:lastColumn="0" w:oddVBand="0" w:evenVBand="0" w:oddHBand="0" w:evenHBand="0" w:firstRowFirstColumn="0" w:firstRowLastColumn="0" w:lastRowFirstColumn="0" w:lastRowLastColumn="0"/>
          <w:trHeight w:val="510"/>
        </w:trPr>
        <w:tc>
          <w:tcPr>
            <w:tcW w:w="562" w:type="dxa"/>
          </w:tcPr>
          <w:bookmarkEnd w:id="0"/>
          <w:p w:rsidRPr="00BC5C43" w:rsidR="0099324D" w:rsidP="00AE7D67" w:rsidRDefault="0099324D" w14:paraId="44490A0A" w14:textId="6F38D19D">
            <w:pPr>
              <w:spacing w:line="240" w:lineRule="auto"/>
            </w:pPr>
            <w:r w:rsidRPr="00BC5C43">
              <w:t>Nr.</w:t>
            </w:r>
          </w:p>
        </w:tc>
        <w:tc>
          <w:tcPr>
            <w:tcW w:w="2410" w:type="dxa"/>
          </w:tcPr>
          <w:p w:rsidRPr="00BC5C43" w:rsidR="0099324D" w:rsidP="00AE7D67" w:rsidRDefault="0099324D" w14:paraId="41130B35" w14:textId="0C87EA46">
            <w:pPr>
              <w:spacing w:line="240" w:lineRule="auto"/>
            </w:pPr>
            <w:r w:rsidRPr="00BC5C43">
              <w:t>Onderdeel</w:t>
            </w:r>
          </w:p>
        </w:tc>
        <w:tc>
          <w:tcPr>
            <w:tcW w:w="851" w:type="dxa"/>
          </w:tcPr>
          <w:p w:rsidRPr="00BC5C43" w:rsidR="0099324D" w:rsidP="00AE7D67" w:rsidRDefault="0099324D" w14:paraId="12A1C779" w14:textId="4F280110">
            <w:pPr>
              <w:spacing w:line="240" w:lineRule="auto"/>
            </w:pPr>
            <w:r w:rsidRPr="00BC5C43">
              <w:t>Oordeel</w:t>
            </w:r>
          </w:p>
        </w:tc>
        <w:tc>
          <w:tcPr>
            <w:tcW w:w="5528" w:type="dxa"/>
          </w:tcPr>
          <w:p w:rsidRPr="00BC5C43" w:rsidR="0099324D" w:rsidP="00AE7D67" w:rsidRDefault="0099324D" w14:paraId="636E30EA" w14:textId="55BF44C2">
            <w:pPr>
              <w:spacing w:line="240" w:lineRule="auto"/>
              <w:rPr>
                <w:b w:val="0"/>
              </w:rPr>
            </w:pPr>
            <w:r w:rsidRPr="00BC5C43">
              <w:t>3.1 CW-informatie in het voorstel</w:t>
            </w:r>
          </w:p>
        </w:tc>
        <w:tc>
          <w:tcPr>
            <w:tcW w:w="6520" w:type="dxa"/>
          </w:tcPr>
          <w:p w:rsidRPr="00BC5C43" w:rsidR="0099324D" w:rsidP="00AE7D67" w:rsidRDefault="00124F8D" w14:paraId="1557778C" w14:textId="47EADE1C">
            <w:pPr>
              <w:spacing w:line="240" w:lineRule="auto"/>
              <w:rPr>
                <w:b w:val="0"/>
                <w:bCs/>
              </w:rPr>
            </w:pPr>
            <w:r>
              <w:t>A</w:t>
            </w:r>
            <w:r w:rsidR="0045477B">
              <w:t>anbeveling</w:t>
            </w:r>
            <w:r w:rsidR="00910B10">
              <w:t>en</w:t>
            </w:r>
            <w:r w:rsidRPr="00BC5C43" w:rsidR="0099324D">
              <w:t xml:space="preserve"> o.b.v. wetenschappelijke kennis</w:t>
            </w:r>
          </w:p>
        </w:tc>
      </w:tr>
      <w:tr w:rsidRPr="00BC5C43" w:rsidR="0099324D" w:rsidTr="00CF6DEA" w14:paraId="6271D51A" w14:textId="77777777">
        <w:tc>
          <w:tcPr>
            <w:tcW w:w="562" w:type="dxa"/>
          </w:tcPr>
          <w:p w:rsidRPr="0099324D" w:rsidR="0099324D" w:rsidP="00AE7D67" w:rsidRDefault="0099324D" w14:paraId="15BC8261" w14:textId="4D15CA1E">
            <w:pPr>
              <w:pStyle w:val="Lijstalinea"/>
              <w:numPr>
                <w:ilvl w:val="0"/>
                <w:numId w:val="16"/>
              </w:numPr>
              <w:spacing w:line="240" w:lineRule="auto"/>
              <w:rPr>
                <w:color w:val="000000" w:themeColor="text1"/>
              </w:rPr>
            </w:pPr>
          </w:p>
        </w:tc>
        <w:tc>
          <w:tcPr>
            <w:tcW w:w="2410" w:type="dxa"/>
          </w:tcPr>
          <w:p w:rsidRPr="00BC5C43" w:rsidR="0099324D" w:rsidP="00AE7D67" w:rsidRDefault="0099324D" w14:paraId="7BE2877F" w14:textId="70EB84F1">
            <w:pPr>
              <w:spacing w:line="240" w:lineRule="auto"/>
              <w:rPr>
                <w:b/>
                <w:color w:val="000000" w:themeColor="text1"/>
              </w:rPr>
            </w:pPr>
            <w:r w:rsidRPr="00BC5C43">
              <w:rPr>
                <w:b/>
                <w:color w:val="000000" w:themeColor="text1"/>
              </w:rPr>
              <w:t xml:space="preserve">Vindbaarheid </w:t>
            </w:r>
          </w:p>
          <w:p w:rsidRPr="00BC5C43" w:rsidR="0099324D" w:rsidP="00AE7D67" w:rsidRDefault="0099324D" w14:paraId="3C74FF2F" w14:textId="53E204AB">
            <w:pPr>
              <w:spacing w:line="240" w:lineRule="auto"/>
              <w:rPr>
                <w:color w:val="000000" w:themeColor="text1"/>
              </w:rPr>
            </w:pPr>
            <w:r w:rsidRPr="00BC5C43">
              <w:rPr>
                <w:color w:val="000000" w:themeColor="text1"/>
              </w:rPr>
              <w:t>In hoeverre is de benodigde 3.1 CW-informatie te vinden in het voorstel?</w:t>
            </w:r>
          </w:p>
        </w:tc>
        <w:tc>
          <w:tcPr>
            <w:tcW w:w="851" w:type="dxa"/>
          </w:tcPr>
          <w:p w:rsidRPr="00BC5C43" w:rsidR="0099324D" w:rsidP="00AE7D67" w:rsidRDefault="00316244" w14:paraId="6F6E8537" w14:textId="1439E3DB">
            <w:pPr>
              <w:spacing w:before="120" w:line="240" w:lineRule="auto"/>
              <w:jc w:val="center"/>
            </w:pPr>
            <w:r w:rsidRPr="00090976">
              <w:rPr>
                <w:bCs/>
                <w:noProof/>
                <w:position w:val="-4"/>
                <w:sz w:val="20"/>
                <w:szCs w:val="20"/>
                <w:lang w:eastAsia="nl-NL"/>
              </w:rPr>
              <w:drawing>
                <wp:inline distT="0" distB="0" distL="0" distR="0" wp14:anchorId="0BE6FB10" wp14:editId="25A12FBC">
                  <wp:extent cx="190500" cy="161925"/>
                  <wp:effectExtent l="0" t="0" r="0" b="9525"/>
                  <wp:docPr id="1522900929" name="icoonaand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onaandacht"/>
                          <pic:cNvPicPr>
                            <a:picLocks noChangeAspect="1" noChangeArrowheads="1"/>
                          </pic:cNvPicPr>
                        </pic:nvPicPr>
                        <pic:blipFill>
                          <a:blip r:embed="rId18" cstate="print">
                            <a:extLst>
                              <a:ext uri="{28A0092B-C50C-407E-A947-70E740481C1C}">
                                <a14:useLocalDpi xmlns:a14="http://schemas.microsoft.com/office/drawing/2010/main" val="0"/>
                              </a:ext>
                            </a:extLst>
                          </a:blip>
                          <a:srcRect l="36702" t="26582" r="32397" b="20128"/>
                          <a:stretch>
                            <a:fillRect/>
                          </a:stretch>
                        </pic:blipFill>
                        <pic:spPr bwMode="auto">
                          <a:xfrm>
                            <a:off x="0" y="0"/>
                            <a:ext cx="190500" cy="161925"/>
                          </a:xfrm>
                          <a:prstGeom prst="rect">
                            <a:avLst/>
                          </a:prstGeom>
                          <a:noFill/>
                          <a:ln>
                            <a:noFill/>
                          </a:ln>
                        </pic:spPr>
                      </pic:pic>
                    </a:graphicData>
                  </a:graphic>
                </wp:inline>
              </w:drawing>
            </w:r>
          </w:p>
        </w:tc>
        <w:tc>
          <w:tcPr>
            <w:tcW w:w="5528" w:type="dxa"/>
          </w:tcPr>
          <w:p w:rsidRPr="00E67ABE" w:rsidR="00316244" w:rsidP="00E67ABE" w:rsidRDefault="00316244" w14:paraId="5D699B2F" w14:textId="77777777">
            <w:pPr>
              <w:pStyle w:val="Lijstalinea"/>
              <w:numPr>
                <w:ilvl w:val="0"/>
                <w:numId w:val="15"/>
              </w:numPr>
              <w:spacing w:line="240" w:lineRule="auto"/>
              <w:rPr>
                <w:szCs w:val="16"/>
              </w:rPr>
            </w:pPr>
            <w:r w:rsidRPr="00E67ABE">
              <w:rPr>
                <w:szCs w:val="16"/>
              </w:rPr>
              <w:t>De Memorie van Toelichting (</w:t>
            </w:r>
            <w:proofErr w:type="spellStart"/>
            <w:r w:rsidRPr="00E67ABE">
              <w:rPr>
                <w:szCs w:val="16"/>
              </w:rPr>
              <w:t>MvT</w:t>
            </w:r>
            <w:proofErr w:type="spellEnd"/>
            <w:r w:rsidRPr="00E67ABE">
              <w:rPr>
                <w:szCs w:val="16"/>
              </w:rPr>
              <w:t>) bij het wetsvoorstel bevat geen tabel ‘beleidskeuzes uitgelegd’ of een aparte bijlage met 3.1 CW-informatie.</w:t>
            </w:r>
          </w:p>
          <w:p w:rsidRPr="00E67ABE" w:rsidR="00316244" w:rsidP="00E67ABE" w:rsidRDefault="00316244" w14:paraId="37733364" w14:textId="77777777">
            <w:pPr>
              <w:pStyle w:val="Lijstalinea"/>
              <w:numPr>
                <w:ilvl w:val="0"/>
                <w:numId w:val="15"/>
              </w:numPr>
              <w:spacing w:line="240" w:lineRule="auto"/>
              <w:rPr>
                <w:szCs w:val="16"/>
              </w:rPr>
            </w:pPr>
            <w:r w:rsidRPr="00E67ABE">
              <w:rPr>
                <w:szCs w:val="16"/>
              </w:rPr>
              <w:t xml:space="preserve">De 3.1 CW-informatie is verspreid over de documenten terug te vinden. </w:t>
            </w:r>
          </w:p>
          <w:p w:rsidRPr="00E67ABE" w:rsidR="00316244" w:rsidP="00E67ABE" w:rsidRDefault="00316244" w14:paraId="59874A95" w14:textId="10A6BBA9">
            <w:pPr>
              <w:pStyle w:val="Lijstalinea"/>
              <w:numPr>
                <w:ilvl w:val="0"/>
                <w:numId w:val="15"/>
              </w:numPr>
              <w:spacing w:line="240" w:lineRule="auto"/>
              <w:rPr>
                <w:szCs w:val="16"/>
              </w:rPr>
            </w:pPr>
            <w:r w:rsidRPr="00E67ABE">
              <w:rPr>
                <w:szCs w:val="16"/>
              </w:rPr>
              <w:t xml:space="preserve">De doelen, instrumenten en overwegingen om tot instrumenten/regels te komen zijn uitgebreid beschreven in de </w:t>
            </w:r>
            <w:proofErr w:type="spellStart"/>
            <w:r w:rsidRPr="00E67ABE">
              <w:rPr>
                <w:szCs w:val="16"/>
              </w:rPr>
              <w:t>MvT</w:t>
            </w:r>
            <w:proofErr w:type="spellEnd"/>
            <w:r w:rsidRPr="00E67ABE">
              <w:rPr>
                <w:szCs w:val="16"/>
              </w:rPr>
              <w:t xml:space="preserve"> bij het wetsvoorstel en in de nota van wijziging (</w:t>
            </w:r>
            <w:proofErr w:type="spellStart"/>
            <w:r w:rsidRPr="00E67ABE">
              <w:rPr>
                <w:szCs w:val="16"/>
              </w:rPr>
              <w:t>NvW</w:t>
            </w:r>
            <w:proofErr w:type="spellEnd"/>
            <w:r w:rsidRPr="00E67ABE">
              <w:rPr>
                <w:szCs w:val="16"/>
              </w:rPr>
              <w:t>) van 8 oktober 2024. De nota naar aanleiding van het verslag van 3 april 2025 bevat aanvullende informatie over de onderbouwing van de voorgestelde instrumenten en regels.</w:t>
            </w:r>
          </w:p>
          <w:p w:rsidRPr="00E67ABE" w:rsidR="0099324D" w:rsidP="00E67ABE" w:rsidRDefault="00316244" w14:paraId="65A421AF" w14:textId="36452C5E">
            <w:pPr>
              <w:pStyle w:val="Lijstalinea"/>
              <w:numPr>
                <w:ilvl w:val="0"/>
                <w:numId w:val="15"/>
              </w:numPr>
              <w:spacing w:line="240" w:lineRule="auto"/>
              <w:rPr>
                <w:szCs w:val="16"/>
              </w:rPr>
            </w:pPr>
            <w:r w:rsidRPr="00E67ABE">
              <w:rPr>
                <w:szCs w:val="16"/>
              </w:rPr>
              <w:t>Informatie over de doelmatigheid, financiële gevolgen en evaluatie (leren, bijsturen, verantwoorden) is beperkt in de documenten aanwezig.</w:t>
            </w:r>
          </w:p>
        </w:tc>
        <w:tc>
          <w:tcPr>
            <w:tcW w:w="6520" w:type="dxa"/>
          </w:tcPr>
          <w:p w:rsidRPr="00E67ABE" w:rsidR="0099324D" w:rsidP="00E67ABE" w:rsidRDefault="0099324D" w14:paraId="014E9478" w14:textId="77777777">
            <w:pPr>
              <w:spacing w:line="240" w:lineRule="auto"/>
              <w:rPr>
                <w:szCs w:val="16"/>
              </w:rPr>
            </w:pPr>
            <w:r w:rsidRPr="00E67ABE">
              <w:rPr>
                <w:szCs w:val="16"/>
              </w:rPr>
              <w:t>n.v.t.</w:t>
            </w:r>
          </w:p>
          <w:p w:rsidRPr="00E67ABE" w:rsidR="00600FB8" w:rsidP="00E67ABE" w:rsidRDefault="00600FB8" w14:paraId="64AD2BAF" w14:textId="6328F870">
            <w:pPr>
              <w:spacing w:line="240" w:lineRule="auto"/>
              <w:rPr>
                <w:szCs w:val="16"/>
              </w:rPr>
            </w:pPr>
          </w:p>
        </w:tc>
      </w:tr>
      <w:tr w:rsidRPr="00BC5C43" w:rsidR="0099324D" w:rsidTr="00CF6DEA" w14:paraId="035A4BE0" w14:textId="77777777">
        <w:tc>
          <w:tcPr>
            <w:tcW w:w="562" w:type="dxa"/>
          </w:tcPr>
          <w:p w:rsidRPr="0099324D" w:rsidR="0099324D" w:rsidP="00AE7D67" w:rsidRDefault="0099324D" w14:paraId="4409424D" w14:textId="1FCD93F6">
            <w:pPr>
              <w:pStyle w:val="Lijstalinea"/>
              <w:numPr>
                <w:ilvl w:val="0"/>
                <w:numId w:val="16"/>
              </w:numPr>
              <w:spacing w:line="240" w:lineRule="auto"/>
              <w:rPr>
                <w:color w:val="000000" w:themeColor="text1"/>
              </w:rPr>
            </w:pPr>
          </w:p>
        </w:tc>
        <w:tc>
          <w:tcPr>
            <w:tcW w:w="2410" w:type="dxa"/>
          </w:tcPr>
          <w:p w:rsidRPr="00BC5C43" w:rsidR="0099324D" w:rsidP="00AE7D67" w:rsidRDefault="0099324D" w14:paraId="3241677B" w14:textId="05259996">
            <w:pPr>
              <w:spacing w:line="240" w:lineRule="auto"/>
              <w:rPr>
                <w:b/>
                <w:color w:val="000000" w:themeColor="text1"/>
              </w:rPr>
            </w:pPr>
            <w:r w:rsidRPr="00BC5C43">
              <w:rPr>
                <w:b/>
                <w:color w:val="000000" w:themeColor="text1"/>
              </w:rPr>
              <w:t>Doelen</w:t>
            </w:r>
          </w:p>
          <w:p w:rsidRPr="00BC5C43" w:rsidR="0099324D" w:rsidP="00AE7D67" w:rsidRDefault="0099324D" w14:paraId="122B958E" w14:textId="55D95C18">
            <w:pPr>
              <w:spacing w:line="240" w:lineRule="auto"/>
              <w:rPr>
                <w:color w:val="000000" w:themeColor="text1"/>
              </w:rPr>
            </w:pPr>
            <w:r w:rsidRPr="00BC5C43">
              <w:rPr>
                <w:color w:val="000000" w:themeColor="text1"/>
              </w:rPr>
              <w:t>Welke beleidsdoelen worden nagestreefd met het voorstel</w:t>
            </w:r>
            <w:r>
              <w:rPr>
                <w:color w:val="000000" w:themeColor="text1"/>
              </w:rPr>
              <w:t>?</w:t>
            </w:r>
          </w:p>
        </w:tc>
        <w:tc>
          <w:tcPr>
            <w:tcW w:w="851" w:type="dxa"/>
          </w:tcPr>
          <w:p w:rsidRPr="00BC5C43" w:rsidR="0099324D" w:rsidP="00AE7D67" w:rsidRDefault="008D2A6E" w14:paraId="2D152115" w14:textId="1F6D6564">
            <w:pPr>
              <w:spacing w:before="120" w:line="240" w:lineRule="auto"/>
              <w:jc w:val="center"/>
            </w:pPr>
            <w:r w:rsidRPr="00090976">
              <w:rPr>
                <w:bCs/>
                <w:noProof/>
                <w:position w:val="-4"/>
                <w:sz w:val="20"/>
                <w:szCs w:val="20"/>
                <w:lang w:eastAsia="nl-NL"/>
              </w:rPr>
              <w:drawing>
                <wp:inline distT="0" distB="0" distL="0" distR="0" wp14:anchorId="42D7653A" wp14:editId="2C03B771">
                  <wp:extent cx="190500" cy="161925"/>
                  <wp:effectExtent l="0" t="0" r="0" b="9525"/>
                  <wp:docPr id="1777376839" name="icoonaand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onaandacht"/>
                          <pic:cNvPicPr>
                            <a:picLocks noChangeAspect="1" noChangeArrowheads="1"/>
                          </pic:cNvPicPr>
                        </pic:nvPicPr>
                        <pic:blipFill>
                          <a:blip r:embed="rId18" cstate="print">
                            <a:extLst>
                              <a:ext uri="{28A0092B-C50C-407E-A947-70E740481C1C}">
                                <a14:useLocalDpi xmlns:a14="http://schemas.microsoft.com/office/drawing/2010/main" val="0"/>
                              </a:ext>
                            </a:extLst>
                          </a:blip>
                          <a:srcRect l="36702" t="26582" r="32397" b="20128"/>
                          <a:stretch>
                            <a:fillRect/>
                          </a:stretch>
                        </pic:blipFill>
                        <pic:spPr bwMode="auto">
                          <a:xfrm>
                            <a:off x="0" y="0"/>
                            <a:ext cx="190500" cy="161925"/>
                          </a:xfrm>
                          <a:prstGeom prst="rect">
                            <a:avLst/>
                          </a:prstGeom>
                          <a:noFill/>
                          <a:ln>
                            <a:noFill/>
                          </a:ln>
                        </pic:spPr>
                      </pic:pic>
                    </a:graphicData>
                  </a:graphic>
                </wp:inline>
              </w:drawing>
            </w:r>
          </w:p>
        </w:tc>
        <w:tc>
          <w:tcPr>
            <w:tcW w:w="5528" w:type="dxa"/>
          </w:tcPr>
          <w:p w:rsidRPr="00E67ABE" w:rsidR="00316244" w:rsidP="00E67ABE" w:rsidRDefault="00316244" w14:paraId="75CD1A9F" w14:textId="77777777">
            <w:pPr>
              <w:numPr>
                <w:ilvl w:val="0"/>
                <w:numId w:val="15"/>
              </w:numPr>
              <w:spacing w:line="240" w:lineRule="auto"/>
              <w:ind w:left="357" w:hanging="357"/>
              <w:rPr>
                <w:szCs w:val="16"/>
              </w:rPr>
            </w:pPr>
            <w:r w:rsidRPr="00E67ABE">
              <w:rPr>
                <w:szCs w:val="16"/>
              </w:rPr>
              <w:t xml:space="preserve">Met het wetsvoorstel wordt beoogd de inzet van collectieve warmte in de gebouwde omgeving te bevorderen en tegelijkertijd de publieke belangen duurzaamheid, leveringszekerheid en betaalbaarheid beter te borgen. Op pagina 5 van de </w:t>
            </w:r>
            <w:proofErr w:type="spellStart"/>
            <w:r w:rsidRPr="00E67ABE">
              <w:rPr>
                <w:szCs w:val="16"/>
              </w:rPr>
              <w:t>MvT</w:t>
            </w:r>
            <w:proofErr w:type="spellEnd"/>
            <w:r w:rsidRPr="00E67ABE">
              <w:rPr>
                <w:szCs w:val="16"/>
              </w:rPr>
              <w:t xml:space="preserve"> staan de volgende doelen:</w:t>
            </w:r>
          </w:p>
          <w:p w:rsidRPr="00E67ABE" w:rsidR="00316244" w:rsidP="00E67ABE" w:rsidRDefault="00316244" w14:paraId="5883310F" w14:textId="77777777">
            <w:pPr>
              <w:numPr>
                <w:ilvl w:val="1"/>
                <w:numId w:val="15"/>
              </w:numPr>
              <w:spacing w:line="240" w:lineRule="auto"/>
              <w:ind w:left="714" w:hanging="357"/>
              <w:rPr>
                <w:szCs w:val="16"/>
              </w:rPr>
            </w:pPr>
            <w:r w:rsidRPr="00E67ABE">
              <w:rPr>
                <w:szCs w:val="16"/>
              </w:rPr>
              <w:t xml:space="preserve">Vergroten van publieke sturing op (realisatie en exploitatie van) collectieve warmte, daar waar dat de gewenste verduurzamingsstrategie is voor de gebouwde omgeving. </w:t>
            </w:r>
          </w:p>
          <w:p w:rsidRPr="00E67ABE" w:rsidR="00316244" w:rsidP="00E67ABE" w:rsidRDefault="00316244" w14:paraId="3BFDEA7C" w14:textId="77777777">
            <w:pPr>
              <w:numPr>
                <w:ilvl w:val="1"/>
                <w:numId w:val="15"/>
              </w:numPr>
              <w:spacing w:line="240" w:lineRule="auto"/>
              <w:ind w:left="714" w:hanging="357"/>
              <w:rPr>
                <w:szCs w:val="16"/>
              </w:rPr>
            </w:pPr>
            <w:r w:rsidRPr="00E67ABE">
              <w:rPr>
                <w:szCs w:val="16"/>
              </w:rPr>
              <w:t xml:space="preserve">Ontwikkelen van collectieve warmte die geen broeikasgassen meer uitstoot in 2050. </w:t>
            </w:r>
          </w:p>
          <w:p w:rsidRPr="00E67ABE" w:rsidR="00316244" w:rsidP="00E67ABE" w:rsidRDefault="00316244" w14:paraId="17196F51" w14:textId="170E039A">
            <w:pPr>
              <w:numPr>
                <w:ilvl w:val="1"/>
                <w:numId w:val="15"/>
              </w:numPr>
              <w:spacing w:line="240" w:lineRule="auto"/>
              <w:ind w:left="714" w:hanging="357"/>
              <w:rPr>
                <w:szCs w:val="16"/>
              </w:rPr>
            </w:pPr>
            <w:r w:rsidRPr="00E67ABE">
              <w:rPr>
                <w:szCs w:val="16"/>
              </w:rPr>
              <w:t>Aanscherping van de consumentenbescherming en</w:t>
            </w:r>
            <w:r w:rsidRPr="00E67ABE" w:rsidR="003B215F">
              <w:rPr>
                <w:szCs w:val="16"/>
              </w:rPr>
              <w:t xml:space="preserve"> </w:t>
            </w:r>
            <w:r w:rsidRPr="00E67ABE">
              <w:rPr>
                <w:szCs w:val="16"/>
              </w:rPr>
              <w:t xml:space="preserve">betere borging van de leveringszekerheid van collectieve warmte. </w:t>
            </w:r>
          </w:p>
          <w:p w:rsidRPr="00E67ABE" w:rsidR="00316244" w:rsidP="00E67ABE" w:rsidRDefault="00316244" w14:paraId="7B1F69F2" w14:textId="1360D550">
            <w:pPr>
              <w:numPr>
                <w:ilvl w:val="1"/>
                <w:numId w:val="15"/>
              </w:numPr>
              <w:spacing w:line="240" w:lineRule="auto"/>
              <w:ind w:left="714" w:hanging="357"/>
              <w:rPr>
                <w:szCs w:val="16"/>
              </w:rPr>
            </w:pPr>
            <w:r w:rsidRPr="00E67ABE">
              <w:rPr>
                <w:szCs w:val="16"/>
              </w:rPr>
              <w:t xml:space="preserve">Introduceren van transparante en </w:t>
            </w:r>
            <w:proofErr w:type="spellStart"/>
            <w:r w:rsidRPr="00E67ABE">
              <w:rPr>
                <w:szCs w:val="16"/>
              </w:rPr>
              <w:t>kostengebaseerde</w:t>
            </w:r>
            <w:proofErr w:type="spellEnd"/>
            <w:r w:rsidRPr="00E67ABE">
              <w:rPr>
                <w:szCs w:val="16"/>
              </w:rPr>
              <w:t xml:space="preserve"> tariefregulering voor de gebonden verbruikers van collectieve warmte.</w:t>
            </w:r>
          </w:p>
          <w:p w:rsidRPr="00E67ABE" w:rsidR="0099324D" w:rsidP="00E67ABE" w:rsidRDefault="00316244" w14:paraId="32F3058F" w14:textId="4B619F0C">
            <w:pPr>
              <w:pStyle w:val="Lijstalinea"/>
              <w:numPr>
                <w:ilvl w:val="0"/>
                <w:numId w:val="15"/>
              </w:numPr>
              <w:spacing w:line="240" w:lineRule="auto"/>
              <w:rPr>
                <w:szCs w:val="16"/>
              </w:rPr>
            </w:pPr>
            <w:r w:rsidRPr="00E67ABE">
              <w:rPr>
                <w:szCs w:val="16"/>
              </w:rPr>
              <w:t xml:space="preserve">Collectieve warmtevoorzieningen (warmtenetten) moeten een belangrijke bijdrage gaan leveren aan de warmtetransitie in de gebouwde omgeving. De ambitie is dat de gebouwde omgeving voor de ruimte- en tapwaterverwarming en kookvoorziening aardgasvrij is in 2050. In paragraaf 3.2 van de </w:t>
            </w:r>
            <w:proofErr w:type="spellStart"/>
            <w:r w:rsidRPr="00E67ABE">
              <w:rPr>
                <w:szCs w:val="16"/>
              </w:rPr>
              <w:t>MvT</w:t>
            </w:r>
            <w:proofErr w:type="spellEnd"/>
            <w:r w:rsidRPr="00E67ABE">
              <w:rPr>
                <w:szCs w:val="16"/>
              </w:rPr>
              <w:t xml:space="preserve"> wordt de link met deze ambitie gelegd.</w:t>
            </w:r>
          </w:p>
        </w:tc>
        <w:tc>
          <w:tcPr>
            <w:tcW w:w="6520" w:type="dxa"/>
          </w:tcPr>
          <w:p w:rsidRPr="00E67ABE" w:rsidR="008277FA" w:rsidP="00E67ABE" w:rsidRDefault="00D21324" w14:paraId="1CCE12CC" w14:textId="0F075815">
            <w:pPr>
              <w:spacing w:line="240" w:lineRule="auto"/>
              <w:rPr>
                <w:szCs w:val="16"/>
              </w:rPr>
            </w:pPr>
            <w:r w:rsidRPr="00E67ABE">
              <w:rPr>
                <w:szCs w:val="16"/>
              </w:rPr>
              <w:t xml:space="preserve">Het is niet duidelijk welke problemen </w:t>
            </w:r>
            <w:r w:rsidRPr="00E67ABE" w:rsidR="00A95B58">
              <w:rPr>
                <w:szCs w:val="16"/>
              </w:rPr>
              <w:t xml:space="preserve">van de </w:t>
            </w:r>
            <w:r w:rsidRPr="00E67ABE" w:rsidR="00357313">
              <w:rPr>
                <w:szCs w:val="16"/>
              </w:rPr>
              <w:t xml:space="preserve">huidige </w:t>
            </w:r>
            <w:r w:rsidRPr="00E67ABE" w:rsidR="00A95B58">
              <w:rPr>
                <w:szCs w:val="16"/>
              </w:rPr>
              <w:t xml:space="preserve">Warmtewet </w:t>
            </w:r>
            <w:r w:rsidRPr="00E67ABE" w:rsidR="00070C9F">
              <w:rPr>
                <w:szCs w:val="16"/>
              </w:rPr>
              <w:t xml:space="preserve">deze </w:t>
            </w:r>
            <w:r w:rsidRPr="00E67ABE">
              <w:rPr>
                <w:szCs w:val="16"/>
              </w:rPr>
              <w:t xml:space="preserve">wet moet oplossen. </w:t>
            </w:r>
            <w:r w:rsidRPr="00E67ABE" w:rsidR="008277FA">
              <w:rPr>
                <w:szCs w:val="16"/>
              </w:rPr>
              <w:t xml:space="preserve">Een gedegen probleemanalyse </w:t>
            </w:r>
            <w:r w:rsidRPr="00E67ABE" w:rsidR="00EB19AF">
              <w:rPr>
                <w:szCs w:val="16"/>
              </w:rPr>
              <w:t xml:space="preserve">van deze </w:t>
            </w:r>
            <w:r w:rsidRPr="00E67ABE" w:rsidR="00070C9F">
              <w:rPr>
                <w:szCs w:val="16"/>
              </w:rPr>
              <w:t>w</w:t>
            </w:r>
            <w:r w:rsidRPr="00E67ABE" w:rsidR="00EB19AF">
              <w:rPr>
                <w:szCs w:val="16"/>
              </w:rPr>
              <w:t xml:space="preserve">et </w:t>
            </w:r>
            <w:r w:rsidRPr="00E67ABE" w:rsidR="008277FA">
              <w:rPr>
                <w:szCs w:val="16"/>
              </w:rPr>
              <w:t xml:space="preserve">ontbreekt. </w:t>
            </w:r>
            <w:r w:rsidRPr="00E67ABE" w:rsidR="000C48F6">
              <w:rPr>
                <w:szCs w:val="16"/>
              </w:rPr>
              <w:t>Het hoofddoel</w:t>
            </w:r>
            <w:r w:rsidRPr="00E67ABE" w:rsidR="00163960">
              <w:rPr>
                <w:szCs w:val="16"/>
              </w:rPr>
              <w:t>, zoals wij dat begrijpen, is</w:t>
            </w:r>
            <w:r w:rsidRPr="00E67ABE" w:rsidR="000C48F6">
              <w:rPr>
                <w:szCs w:val="16"/>
              </w:rPr>
              <w:t xml:space="preserve"> </w:t>
            </w:r>
            <w:r w:rsidRPr="00E67ABE" w:rsidR="00163960">
              <w:rPr>
                <w:szCs w:val="16"/>
              </w:rPr>
              <w:t xml:space="preserve">het bevorderen van </w:t>
            </w:r>
            <w:r w:rsidRPr="00E67ABE" w:rsidR="000C48F6">
              <w:rPr>
                <w:szCs w:val="16"/>
              </w:rPr>
              <w:t xml:space="preserve">de inzet van </w:t>
            </w:r>
            <w:r w:rsidRPr="00E67ABE" w:rsidR="009711C3">
              <w:rPr>
                <w:szCs w:val="16"/>
              </w:rPr>
              <w:t xml:space="preserve">uitstootvrije </w:t>
            </w:r>
            <w:r w:rsidRPr="00E67ABE" w:rsidR="000C48F6">
              <w:rPr>
                <w:szCs w:val="16"/>
              </w:rPr>
              <w:t>collectieve warmte</w:t>
            </w:r>
            <w:r w:rsidRPr="00E67ABE" w:rsidR="00163960">
              <w:rPr>
                <w:szCs w:val="16"/>
              </w:rPr>
              <w:t xml:space="preserve">. Andere doelen die er genoemd staan, zijn voor een deel instrumenten om het doel te bereiken (publieke sturing, </w:t>
            </w:r>
            <w:proofErr w:type="spellStart"/>
            <w:r w:rsidRPr="00E67ABE" w:rsidR="00FA49EF">
              <w:rPr>
                <w:szCs w:val="16"/>
              </w:rPr>
              <w:t>kostengebaseerde</w:t>
            </w:r>
            <w:proofErr w:type="spellEnd"/>
            <w:r w:rsidRPr="00E67ABE" w:rsidR="00FA49EF">
              <w:rPr>
                <w:szCs w:val="16"/>
              </w:rPr>
              <w:t xml:space="preserve"> tarieven)</w:t>
            </w:r>
            <w:r w:rsidRPr="00E67ABE" w:rsidR="000C48F6">
              <w:rPr>
                <w:szCs w:val="16"/>
              </w:rPr>
              <w:t>.</w:t>
            </w:r>
          </w:p>
          <w:p w:rsidRPr="00F7691B" w:rsidR="008277FA" w:rsidP="00E67ABE" w:rsidRDefault="008277FA" w14:paraId="6974DE4B" w14:textId="77777777">
            <w:pPr>
              <w:spacing w:line="240" w:lineRule="auto"/>
              <w:rPr>
                <w:szCs w:val="16"/>
              </w:rPr>
            </w:pPr>
          </w:p>
          <w:p w:rsidRPr="00E67ABE" w:rsidR="009711C3" w:rsidP="00E67ABE" w:rsidRDefault="008277FA" w14:paraId="2CBA708D" w14:textId="293FD3D3">
            <w:pPr>
              <w:spacing w:line="240" w:lineRule="auto"/>
              <w:rPr>
                <w:szCs w:val="16"/>
              </w:rPr>
            </w:pPr>
            <w:r w:rsidRPr="00E67ABE">
              <w:rPr>
                <w:b/>
                <w:bCs/>
                <w:szCs w:val="16"/>
                <w:u w:val="single"/>
              </w:rPr>
              <w:t>Onze verkorte probleemanalyse</w:t>
            </w:r>
            <w:r w:rsidRPr="00E67ABE">
              <w:rPr>
                <w:szCs w:val="16"/>
              </w:rPr>
              <w:t>: De knelpunten in de warmtetransitie zijn volgens de literatuur: het gaat te langzaam, het is te duur, Nederlandse consumenten betalen meestal honderden euro’s meer dan elders gebruikelijk, en het draagvlak is kleiner dan in andere landen.</w:t>
            </w:r>
          </w:p>
          <w:p w:rsidRPr="00E67ABE" w:rsidR="009711C3" w:rsidP="00E67ABE" w:rsidRDefault="009711C3" w14:paraId="380CDAB2" w14:textId="77777777">
            <w:pPr>
              <w:spacing w:line="240" w:lineRule="auto"/>
              <w:rPr>
                <w:szCs w:val="16"/>
              </w:rPr>
            </w:pPr>
          </w:p>
          <w:p w:rsidRPr="00E67ABE" w:rsidR="008277FA" w:rsidP="00E67ABE" w:rsidRDefault="008277FA" w14:paraId="01557EBA" w14:textId="27CAE2B7">
            <w:pPr>
              <w:spacing w:line="240" w:lineRule="auto"/>
              <w:rPr>
                <w:szCs w:val="16"/>
              </w:rPr>
            </w:pPr>
            <w:r w:rsidRPr="00E67ABE">
              <w:rPr>
                <w:szCs w:val="16"/>
              </w:rPr>
              <w:t>Een verandering in regulering kan bijdragen aan de oplossing. We kunnen daarbij ook leren van gemeenten in landen om ons heen: zij slagen er</w:t>
            </w:r>
            <w:r w:rsidRPr="00E67ABE" w:rsidR="00070C9F">
              <w:rPr>
                <w:szCs w:val="16"/>
              </w:rPr>
              <w:t xml:space="preserve"> </w:t>
            </w:r>
            <w:r w:rsidRPr="00E67ABE">
              <w:rPr>
                <w:szCs w:val="16"/>
              </w:rPr>
              <w:t xml:space="preserve">in om aantrekkelijke warmtenetten te ontwikkelen waarop burgers zich graag aansluiten, ook omdat ze dan goedkoper uit zijn. </w:t>
            </w:r>
            <w:r w:rsidRPr="00E67ABE" w:rsidR="00932127">
              <w:rPr>
                <w:szCs w:val="16"/>
              </w:rPr>
              <w:t xml:space="preserve">De bijbehorende regulering is </w:t>
            </w:r>
            <w:r w:rsidRPr="00E67ABE" w:rsidR="0087146E">
              <w:rPr>
                <w:szCs w:val="16"/>
              </w:rPr>
              <w:t xml:space="preserve">daar </w:t>
            </w:r>
            <w:r w:rsidRPr="00E67ABE" w:rsidR="00932127">
              <w:rPr>
                <w:szCs w:val="16"/>
              </w:rPr>
              <w:t>meestal vrij eenvoudig, het gaat alleen om het strikt noodzakelijke.</w:t>
            </w:r>
            <w:r w:rsidRPr="00E67ABE" w:rsidR="00E6512F">
              <w:rPr>
                <w:szCs w:val="16"/>
              </w:rPr>
              <w:t xml:space="preserve"> </w:t>
            </w:r>
            <w:r w:rsidRPr="00E67ABE" w:rsidR="00442A09">
              <w:rPr>
                <w:szCs w:val="16"/>
              </w:rPr>
              <w:t xml:space="preserve">Onder 3. en in de bijlage lichten we onze bevinding </w:t>
            </w:r>
            <w:r w:rsidRPr="00E67ABE" w:rsidR="00AA2C17">
              <w:rPr>
                <w:szCs w:val="16"/>
              </w:rPr>
              <w:t xml:space="preserve">toe </w:t>
            </w:r>
            <w:r w:rsidRPr="00E67ABE" w:rsidR="00442A09">
              <w:rPr>
                <w:szCs w:val="16"/>
              </w:rPr>
              <w:t xml:space="preserve">dat er in het </w:t>
            </w:r>
            <w:r w:rsidRPr="00E67ABE" w:rsidR="00AA2C17">
              <w:rPr>
                <w:szCs w:val="16"/>
              </w:rPr>
              <w:t>huidige</w:t>
            </w:r>
            <w:r w:rsidRPr="00E67ABE" w:rsidR="00442A09">
              <w:rPr>
                <w:szCs w:val="16"/>
              </w:rPr>
              <w:t xml:space="preserve"> wetsvoorstel onvoldoende prikkels zijn om de kosten van warmtenetten omlaag te brengen en betaalbaarheid te garanderen.</w:t>
            </w:r>
          </w:p>
          <w:p w:rsidRPr="00E67ABE" w:rsidR="008277FA" w:rsidP="00E67ABE" w:rsidRDefault="008277FA" w14:paraId="47EB65DC" w14:textId="77777777">
            <w:pPr>
              <w:spacing w:line="240" w:lineRule="auto"/>
              <w:rPr>
                <w:szCs w:val="16"/>
              </w:rPr>
            </w:pPr>
          </w:p>
          <w:p w:rsidRPr="00E67ABE" w:rsidR="00C70598" w:rsidP="00E67ABE" w:rsidRDefault="008277FA" w14:paraId="1076842C" w14:textId="7F2D615C">
            <w:pPr>
              <w:spacing w:line="240" w:lineRule="auto"/>
              <w:rPr>
                <w:szCs w:val="16"/>
              </w:rPr>
            </w:pPr>
            <w:r w:rsidRPr="00E67ABE">
              <w:rPr>
                <w:szCs w:val="16"/>
              </w:rPr>
              <w:t xml:space="preserve">Warmtenetten worden gereguleerd omdat zij een </w:t>
            </w:r>
            <w:proofErr w:type="spellStart"/>
            <w:r w:rsidRPr="00E67ABE">
              <w:rPr>
                <w:szCs w:val="16"/>
              </w:rPr>
              <w:t>monopoliepositie</w:t>
            </w:r>
            <w:proofErr w:type="spellEnd"/>
            <w:r w:rsidRPr="00E67ABE">
              <w:rPr>
                <w:szCs w:val="16"/>
              </w:rPr>
              <w:t xml:space="preserve"> hebben ten opzichte van de gebruikers</w:t>
            </w:r>
            <w:r w:rsidRPr="00E67ABE">
              <w:rPr>
                <w:rStyle w:val="Voetnootmarkering"/>
                <w:szCs w:val="16"/>
              </w:rPr>
              <w:footnoteReference w:id="2"/>
            </w:r>
            <w:r w:rsidRPr="00E67ABE">
              <w:rPr>
                <w:szCs w:val="16"/>
              </w:rPr>
              <w:t>. Dat geldt ook voor de regulering van een aantal andere sectoren, zoals drinkwater, aardgas of elektriciteit. In de stukken wordt daar ook wel naar verwezen. Maar de kenmerken van de warmtesector zijn anders, en da</w:t>
            </w:r>
            <w:r w:rsidRPr="00E67ABE" w:rsidR="00AD1A81">
              <w:rPr>
                <w:szCs w:val="16"/>
              </w:rPr>
              <w:t xml:space="preserve">t heeft gevolgen voor </w:t>
            </w:r>
            <w:r w:rsidRPr="00E67ABE">
              <w:rPr>
                <w:szCs w:val="16"/>
              </w:rPr>
              <w:t>regulering</w:t>
            </w:r>
            <w:r w:rsidRPr="00E67ABE" w:rsidR="00AD1A81">
              <w:rPr>
                <w:szCs w:val="16"/>
              </w:rPr>
              <w:t>.</w:t>
            </w:r>
            <w:r w:rsidRPr="00E67ABE" w:rsidR="004A351B">
              <w:rPr>
                <w:szCs w:val="16"/>
              </w:rPr>
              <w:t xml:space="preserve"> </w:t>
            </w:r>
            <w:r w:rsidRPr="00E67ABE" w:rsidR="00A87E9B">
              <w:rPr>
                <w:szCs w:val="16"/>
              </w:rPr>
              <w:t xml:space="preserve">De warmtevoorziening is sterk verbonden met lokale bronnen en lokaal gebruik. In een wijk zijn vaak verschillende </w:t>
            </w:r>
            <w:r w:rsidRPr="00E67ABE" w:rsidR="00A87E9B">
              <w:rPr>
                <w:szCs w:val="16"/>
              </w:rPr>
              <w:lastRenderedPageBreak/>
              <w:t xml:space="preserve">warmtevoorzieningen mogelijk, </w:t>
            </w:r>
            <w:r w:rsidRPr="00E67ABE" w:rsidR="00AD1A81">
              <w:rPr>
                <w:szCs w:val="16"/>
              </w:rPr>
              <w:t>ieder met andere gevolgen voor de gebruikers, en ook voor het ruimtegebruik in de wijk.</w:t>
            </w:r>
          </w:p>
          <w:p w:rsidRPr="00E67ABE" w:rsidR="00C70598" w:rsidP="00E67ABE" w:rsidRDefault="00C70598" w14:paraId="0B86A7C3" w14:textId="77777777">
            <w:pPr>
              <w:spacing w:line="240" w:lineRule="auto"/>
              <w:rPr>
                <w:szCs w:val="16"/>
              </w:rPr>
            </w:pPr>
          </w:p>
          <w:p w:rsidRPr="00E67ABE" w:rsidR="005F4F70" w:rsidP="00E67ABE" w:rsidRDefault="00AD1A81" w14:paraId="243BD495" w14:textId="2D684C17">
            <w:pPr>
              <w:spacing w:line="240" w:lineRule="auto"/>
              <w:rPr>
                <w:szCs w:val="16"/>
              </w:rPr>
            </w:pPr>
            <w:r w:rsidRPr="00E67ABE">
              <w:rPr>
                <w:szCs w:val="16"/>
              </w:rPr>
              <w:t>B</w:t>
            </w:r>
            <w:r w:rsidRPr="00E67ABE" w:rsidR="00A87E9B">
              <w:rPr>
                <w:szCs w:val="16"/>
              </w:rPr>
              <w:t xml:space="preserve">ovendien hebben gebruikers een alternatief voor het warmtenet: ze kunnen ook elektrisch verwarmen. </w:t>
            </w:r>
            <w:r w:rsidRPr="00E67ABE" w:rsidR="005F4F70">
              <w:rPr>
                <w:szCs w:val="16"/>
              </w:rPr>
              <w:t>Voorts gaan de innovaties in de warmtevoorziening snel. Slimme, integrale voorzieningen, waarbij warmte, elektriciteit en koeling zijn geïntegreerd, winnen snel terrein. Ze zijn volgens de literatuur goedkoper en aantrekkelijker voor burgers</w:t>
            </w:r>
            <w:r w:rsidRPr="00E67ABE" w:rsidR="00A615B4">
              <w:rPr>
                <w:rStyle w:val="Voetnootmarkering"/>
                <w:szCs w:val="16"/>
              </w:rPr>
              <w:footnoteReference w:id="3"/>
            </w:r>
            <w:r w:rsidRPr="00E67ABE" w:rsidR="00462571">
              <w:rPr>
                <w:rStyle w:val="Voetnootmarkering"/>
                <w:szCs w:val="16"/>
              </w:rPr>
              <w:footnoteReference w:id="4"/>
            </w:r>
            <w:r w:rsidRPr="00E67ABE" w:rsidR="00DA72A7">
              <w:rPr>
                <w:rStyle w:val="Voetnootmarkering"/>
                <w:szCs w:val="16"/>
              </w:rPr>
              <w:footnoteReference w:id="5"/>
            </w:r>
            <w:r w:rsidRPr="00E67ABE" w:rsidR="005F4F70">
              <w:rPr>
                <w:szCs w:val="16"/>
              </w:rPr>
              <w:t xml:space="preserve">. </w:t>
            </w:r>
            <w:r w:rsidRPr="00E67ABE" w:rsidR="00910B10">
              <w:rPr>
                <w:szCs w:val="16"/>
              </w:rPr>
              <w:t>Een integratie van warmte, koeling en elektriciteit leidt tot kostenvoordelen en kwalitatief hogere voorzieningen (zie bijlage innovatie)</w:t>
            </w:r>
            <w:r w:rsidRPr="00E67ABE" w:rsidR="00DD0A47">
              <w:rPr>
                <w:szCs w:val="16"/>
              </w:rPr>
              <w:t xml:space="preserve">. </w:t>
            </w:r>
            <w:r w:rsidRPr="00E67ABE" w:rsidR="007A5467">
              <w:rPr>
                <w:szCs w:val="16"/>
              </w:rPr>
              <w:t xml:space="preserve">Ook dat is anders dan bij bijvoorbeeld aardgas en drinkwater, </w:t>
            </w:r>
            <w:r w:rsidRPr="00E67ABE" w:rsidR="009711C3">
              <w:rPr>
                <w:szCs w:val="16"/>
              </w:rPr>
              <w:t>volwassen</w:t>
            </w:r>
            <w:r w:rsidRPr="00E67ABE" w:rsidR="007A5467">
              <w:rPr>
                <w:szCs w:val="16"/>
              </w:rPr>
              <w:t xml:space="preserve"> techn</w:t>
            </w:r>
            <w:r w:rsidRPr="00E67ABE" w:rsidR="009711C3">
              <w:rPr>
                <w:szCs w:val="16"/>
              </w:rPr>
              <w:t>ologieën die</w:t>
            </w:r>
            <w:r w:rsidRPr="00E67ABE" w:rsidR="007A5467">
              <w:rPr>
                <w:szCs w:val="16"/>
              </w:rPr>
              <w:t xml:space="preserve"> weinig </w:t>
            </w:r>
            <w:r w:rsidRPr="00E67ABE" w:rsidR="009711C3">
              <w:rPr>
                <w:szCs w:val="16"/>
              </w:rPr>
              <w:t xml:space="preserve">meer </w:t>
            </w:r>
            <w:r w:rsidRPr="00E67ABE" w:rsidR="007A5467">
              <w:rPr>
                <w:szCs w:val="16"/>
              </w:rPr>
              <w:t>veranderen.</w:t>
            </w:r>
          </w:p>
          <w:p w:rsidRPr="00E67ABE" w:rsidR="005F4F70" w:rsidP="00E67ABE" w:rsidRDefault="005F4F70" w14:paraId="192108FC" w14:textId="77777777">
            <w:pPr>
              <w:spacing w:line="240" w:lineRule="auto"/>
              <w:rPr>
                <w:szCs w:val="16"/>
              </w:rPr>
            </w:pPr>
          </w:p>
          <w:p w:rsidRPr="00E67ABE" w:rsidR="00A87E9B" w:rsidP="00E67ABE" w:rsidRDefault="00AD1A81" w14:paraId="6DEBCF75" w14:textId="4D03B2D2">
            <w:pPr>
              <w:spacing w:line="240" w:lineRule="auto"/>
              <w:rPr>
                <w:szCs w:val="16"/>
              </w:rPr>
            </w:pPr>
            <w:r w:rsidRPr="00E67ABE">
              <w:rPr>
                <w:szCs w:val="16"/>
              </w:rPr>
              <w:t>De</w:t>
            </w:r>
            <w:r w:rsidRPr="00E67ABE" w:rsidR="00452B98">
              <w:rPr>
                <w:szCs w:val="16"/>
              </w:rPr>
              <w:t xml:space="preserve"> specifieke kenmerken van de warmtesector en de snelle innovatie </w:t>
            </w:r>
            <w:r w:rsidRPr="00E67ABE">
              <w:rPr>
                <w:szCs w:val="16"/>
              </w:rPr>
              <w:t xml:space="preserve">zorgen </w:t>
            </w:r>
            <w:r w:rsidRPr="00E67ABE" w:rsidR="00A87E9B">
              <w:rPr>
                <w:szCs w:val="16"/>
              </w:rPr>
              <w:t xml:space="preserve">ervoor dat de ontwikkeling </w:t>
            </w:r>
            <w:r w:rsidRPr="00E67ABE" w:rsidR="00B75061">
              <w:rPr>
                <w:szCs w:val="16"/>
              </w:rPr>
              <w:t xml:space="preserve">en exploitatie </w:t>
            </w:r>
            <w:r w:rsidRPr="00E67ABE">
              <w:rPr>
                <w:szCs w:val="16"/>
              </w:rPr>
              <w:t xml:space="preserve">van warmtenetten </w:t>
            </w:r>
            <w:r w:rsidRPr="00E67ABE" w:rsidR="00A87E9B">
              <w:rPr>
                <w:szCs w:val="16"/>
              </w:rPr>
              <w:t>vooral lokaal moet plaatsvinden, in overleg met in ieder geval de grote producenten en gebruikers van warmte in de wijk, maar ook met burgers.</w:t>
            </w:r>
            <w:r w:rsidRPr="00E67ABE">
              <w:rPr>
                <w:szCs w:val="16"/>
              </w:rPr>
              <w:t xml:space="preserve"> </w:t>
            </w:r>
            <w:r w:rsidRPr="00E67ABE" w:rsidR="00A87E9B">
              <w:rPr>
                <w:szCs w:val="16"/>
              </w:rPr>
              <w:t>Gemeenten en burgercoöperaties zijn daar bij uitstek toe in staat.</w:t>
            </w:r>
            <w:r w:rsidRPr="00E67ABE" w:rsidR="00932127">
              <w:rPr>
                <w:szCs w:val="16"/>
              </w:rPr>
              <w:t xml:space="preserve"> </w:t>
            </w:r>
            <w:r w:rsidRPr="00E67ABE">
              <w:rPr>
                <w:szCs w:val="16"/>
              </w:rPr>
              <w:t>De wet dient hierom</w:t>
            </w:r>
            <w:r w:rsidRPr="00E67ABE" w:rsidR="00E72344">
              <w:rPr>
                <w:szCs w:val="16"/>
              </w:rPr>
              <w:t xml:space="preserve"> -anders dan bijvoorbeeld bij aardgas of drinkwater- </w:t>
            </w:r>
            <w:r w:rsidRPr="00E67ABE">
              <w:rPr>
                <w:szCs w:val="16"/>
              </w:rPr>
              <w:t>lokale inbreng, samenwerking en lokale verankering te garanderen.</w:t>
            </w:r>
            <w:r w:rsidRPr="00E67ABE" w:rsidR="007564AE">
              <w:rPr>
                <w:szCs w:val="16"/>
              </w:rPr>
              <w:t xml:space="preserve"> Het Rijk kan daarbij helpen door hen een goede gereedschapskist te bieden. </w:t>
            </w:r>
            <w:r w:rsidRPr="00E67ABE" w:rsidR="005F4F70">
              <w:rPr>
                <w:szCs w:val="16"/>
              </w:rPr>
              <w:t>Daarnaast is tariefregulering noodzakelijk om de burgers te beschermen tegen een monopolie.</w:t>
            </w:r>
          </w:p>
          <w:p w:rsidRPr="00E67ABE" w:rsidR="002F493B" w:rsidP="00E67ABE" w:rsidRDefault="002F493B" w14:paraId="6D7197FC" w14:textId="77777777">
            <w:pPr>
              <w:spacing w:line="240" w:lineRule="auto"/>
              <w:rPr>
                <w:szCs w:val="16"/>
              </w:rPr>
            </w:pPr>
          </w:p>
          <w:p w:rsidRPr="00E67ABE" w:rsidR="005F4F70" w:rsidP="00E67ABE" w:rsidRDefault="002F493B" w14:paraId="59973CBD" w14:textId="14E980D6">
            <w:pPr>
              <w:spacing w:line="240" w:lineRule="auto"/>
              <w:rPr>
                <w:szCs w:val="16"/>
              </w:rPr>
            </w:pPr>
            <w:r w:rsidRPr="00E67ABE">
              <w:rPr>
                <w:szCs w:val="16"/>
              </w:rPr>
              <w:t xml:space="preserve">De doelen, zoals genoemd in de </w:t>
            </w:r>
            <w:proofErr w:type="spellStart"/>
            <w:r w:rsidRPr="00E67ABE">
              <w:rPr>
                <w:szCs w:val="16"/>
              </w:rPr>
              <w:t>MvT</w:t>
            </w:r>
            <w:proofErr w:type="spellEnd"/>
            <w:r w:rsidRPr="00E67ABE">
              <w:rPr>
                <w:szCs w:val="16"/>
              </w:rPr>
              <w:t xml:space="preserve"> op pagina 5, lijken voor een deel instrumenten </w:t>
            </w:r>
            <w:r w:rsidRPr="00E67ABE" w:rsidR="005406A0">
              <w:rPr>
                <w:szCs w:val="16"/>
              </w:rPr>
              <w:t>om het hoofddoel</w:t>
            </w:r>
            <w:r w:rsidRPr="00E67ABE" w:rsidR="00023966">
              <w:rPr>
                <w:szCs w:val="16"/>
              </w:rPr>
              <w:t xml:space="preserve">, </w:t>
            </w:r>
            <w:r w:rsidRPr="00E67ABE" w:rsidR="00B77155">
              <w:rPr>
                <w:szCs w:val="16"/>
              </w:rPr>
              <w:t xml:space="preserve">de ontwikkeling van warmtenetten, </w:t>
            </w:r>
            <w:r w:rsidRPr="00E67ABE" w:rsidR="005406A0">
              <w:rPr>
                <w:szCs w:val="16"/>
              </w:rPr>
              <w:t xml:space="preserve">te bereiken (publieke sturing, </w:t>
            </w:r>
            <w:proofErr w:type="spellStart"/>
            <w:r w:rsidRPr="00E67ABE" w:rsidR="005406A0">
              <w:rPr>
                <w:szCs w:val="16"/>
              </w:rPr>
              <w:t>kostengebaseerde</w:t>
            </w:r>
            <w:proofErr w:type="spellEnd"/>
            <w:r w:rsidRPr="00E67ABE" w:rsidR="005406A0">
              <w:rPr>
                <w:szCs w:val="16"/>
              </w:rPr>
              <w:t xml:space="preserve"> tarieven). Aanscherping van consumentenbescherming kan het draagvlak vergroten. Tegelijkertijd wordt de consument </w:t>
            </w:r>
            <w:r w:rsidRPr="00E67ABE" w:rsidR="00B77155">
              <w:rPr>
                <w:szCs w:val="16"/>
              </w:rPr>
              <w:t>bij deze doelen</w:t>
            </w:r>
            <w:r w:rsidRPr="00E67ABE" w:rsidR="005406A0">
              <w:rPr>
                <w:szCs w:val="16"/>
              </w:rPr>
              <w:t xml:space="preserve"> als zuiver passief gezien, terwijl het Europese recht juist pleit voor Energy </w:t>
            </w:r>
            <w:proofErr w:type="spellStart"/>
            <w:r w:rsidRPr="00E67ABE" w:rsidR="005406A0">
              <w:rPr>
                <w:szCs w:val="16"/>
              </w:rPr>
              <w:t>Citizenship</w:t>
            </w:r>
            <w:proofErr w:type="spellEnd"/>
            <w:r w:rsidRPr="00E67ABE" w:rsidR="005406A0">
              <w:rPr>
                <w:szCs w:val="16"/>
              </w:rPr>
              <w:t>, waarbij consumenten een actieve rol spelen.</w:t>
            </w:r>
            <w:r w:rsidRPr="00E67ABE" w:rsidR="0060028E">
              <w:rPr>
                <w:szCs w:val="16"/>
              </w:rPr>
              <w:t xml:space="preserve"> </w:t>
            </w:r>
            <w:r w:rsidRPr="00E67ABE" w:rsidR="00DB0AEA">
              <w:rPr>
                <w:szCs w:val="16"/>
              </w:rPr>
              <w:t xml:space="preserve">Een integrale aanpak van warmte, elektriciteit en koeling, </w:t>
            </w:r>
            <w:r w:rsidRPr="00E67ABE" w:rsidR="00E22709">
              <w:rPr>
                <w:szCs w:val="16"/>
              </w:rPr>
              <w:t>l</w:t>
            </w:r>
            <w:r w:rsidRPr="00E67ABE" w:rsidR="0060028E">
              <w:rPr>
                <w:szCs w:val="16"/>
              </w:rPr>
              <w:t xml:space="preserve">okale gebondenheid, actieve participatie </w:t>
            </w:r>
            <w:r w:rsidRPr="00E67ABE" w:rsidR="00DB0AEA">
              <w:rPr>
                <w:szCs w:val="16"/>
              </w:rPr>
              <w:t xml:space="preserve">van burgers </w:t>
            </w:r>
            <w:r w:rsidRPr="00E67ABE" w:rsidR="00E22709">
              <w:rPr>
                <w:szCs w:val="16"/>
              </w:rPr>
              <w:t xml:space="preserve">is niet opgenomen in de (sub)doelen van het wetsvoorstel. </w:t>
            </w:r>
          </w:p>
          <w:p w:rsidRPr="00E67ABE" w:rsidR="005406A0" w:rsidP="00E67ABE" w:rsidRDefault="005406A0" w14:paraId="5810627B" w14:textId="77777777">
            <w:pPr>
              <w:spacing w:line="240" w:lineRule="auto"/>
              <w:rPr>
                <w:szCs w:val="16"/>
              </w:rPr>
            </w:pPr>
          </w:p>
          <w:p w:rsidRPr="00E67ABE" w:rsidR="00E870E8" w:rsidP="00E67ABE" w:rsidRDefault="004A6A75" w14:paraId="3E47DA24" w14:textId="78CAE215">
            <w:pPr>
              <w:spacing w:line="240" w:lineRule="auto"/>
              <w:rPr>
                <w:szCs w:val="16"/>
              </w:rPr>
            </w:pPr>
            <w:r w:rsidRPr="00E67ABE">
              <w:rPr>
                <w:b/>
                <w:bCs/>
                <w:szCs w:val="16"/>
                <w:u w:val="single"/>
              </w:rPr>
              <w:t>Onze verkorte conclusie</w:t>
            </w:r>
            <w:r w:rsidRPr="00E67ABE" w:rsidR="00B72A92">
              <w:rPr>
                <w:b/>
                <w:bCs/>
                <w:szCs w:val="16"/>
                <w:u w:val="single"/>
              </w:rPr>
              <w:t xml:space="preserve">: </w:t>
            </w:r>
            <w:r w:rsidRPr="00E67ABE">
              <w:rPr>
                <w:szCs w:val="16"/>
              </w:rPr>
              <w:t xml:space="preserve">Het </w:t>
            </w:r>
            <w:r w:rsidRPr="00E67ABE" w:rsidR="00B216D1">
              <w:rPr>
                <w:szCs w:val="16"/>
              </w:rPr>
              <w:t xml:space="preserve">wetsvoorstel, zoals het nu is, biedt weinig </w:t>
            </w:r>
            <w:r w:rsidRPr="00E67ABE" w:rsidR="004958E8">
              <w:rPr>
                <w:szCs w:val="16"/>
              </w:rPr>
              <w:t>garanties voor een versnelling van de warmtetransitie</w:t>
            </w:r>
            <w:r w:rsidRPr="00E67ABE" w:rsidR="00A74F37">
              <w:rPr>
                <w:szCs w:val="16"/>
              </w:rPr>
              <w:t xml:space="preserve"> of de ontwikkeling van aantrekkelijke warmtenetten voor burgers</w:t>
            </w:r>
            <w:r w:rsidRPr="00E67ABE" w:rsidR="00551D3A">
              <w:rPr>
                <w:szCs w:val="16"/>
              </w:rPr>
              <w:t xml:space="preserve">, die </w:t>
            </w:r>
            <w:r w:rsidRPr="00E67ABE" w:rsidR="00DA39F0">
              <w:rPr>
                <w:szCs w:val="16"/>
              </w:rPr>
              <w:t xml:space="preserve">ook </w:t>
            </w:r>
            <w:r w:rsidRPr="00E67ABE" w:rsidR="00551D3A">
              <w:rPr>
                <w:szCs w:val="16"/>
              </w:rPr>
              <w:t>betaalbaar zijn.</w:t>
            </w:r>
          </w:p>
          <w:p w:rsidRPr="00E67ABE" w:rsidR="00C63763" w:rsidP="00E67ABE" w:rsidRDefault="00C63763" w14:paraId="2B1481FC" w14:textId="77777777">
            <w:pPr>
              <w:spacing w:line="240" w:lineRule="auto"/>
              <w:rPr>
                <w:szCs w:val="16"/>
              </w:rPr>
            </w:pPr>
          </w:p>
          <w:p w:rsidRPr="00E67ABE" w:rsidR="00E870E8" w:rsidP="00E67ABE" w:rsidRDefault="00E870E8" w14:paraId="65887509" w14:textId="585C70BB">
            <w:pPr>
              <w:spacing w:line="240" w:lineRule="auto"/>
              <w:rPr>
                <w:szCs w:val="16"/>
              </w:rPr>
            </w:pPr>
            <w:r w:rsidRPr="00E67ABE">
              <w:rPr>
                <w:szCs w:val="16"/>
              </w:rPr>
              <w:t>De tarieven voor warmte zijn hier veel hoger dan in de landen om ons heen. Deze hoge tarieven zijn ook een reden voor het gebrek aan dra</w:t>
            </w:r>
            <w:r w:rsidRPr="00E67ABE" w:rsidR="00BE3FCD">
              <w:rPr>
                <w:szCs w:val="16"/>
              </w:rPr>
              <w:t>a</w:t>
            </w:r>
            <w:r w:rsidRPr="00E67ABE">
              <w:rPr>
                <w:szCs w:val="16"/>
              </w:rPr>
              <w:t xml:space="preserve">gvlak. Verlaging van kosten en tarieven zou daarom een speerpunt moeten zijn. In dit opzicht zijn goede voorbeelden essentieel, ze vormen een inspiratie voor burgers en bedrijven. Het is een groot goed dat het wetsvoorstel </w:t>
            </w:r>
            <w:proofErr w:type="spellStart"/>
            <w:r w:rsidRPr="00E67ABE">
              <w:rPr>
                <w:szCs w:val="16"/>
              </w:rPr>
              <w:t>kostengebaseerde</w:t>
            </w:r>
            <w:proofErr w:type="spellEnd"/>
            <w:r w:rsidRPr="00E67ABE">
              <w:rPr>
                <w:szCs w:val="16"/>
              </w:rPr>
              <w:t xml:space="preserve"> tarieven introduceert. Maar het voorgestelde systeem dient ook sterk vereenvoudigd te worden (zie bijlage </w:t>
            </w:r>
            <w:proofErr w:type="spellStart"/>
            <w:r w:rsidRPr="00E67ABE">
              <w:rPr>
                <w:szCs w:val="16"/>
              </w:rPr>
              <w:t>kostengebaseerde</w:t>
            </w:r>
            <w:proofErr w:type="spellEnd"/>
            <w:r w:rsidRPr="00E67ABE">
              <w:rPr>
                <w:szCs w:val="16"/>
              </w:rPr>
              <w:t xml:space="preserve"> tarieven). Het wetsvoorstel introduceert een zeer gecompliceerd systeem van </w:t>
            </w:r>
            <w:proofErr w:type="spellStart"/>
            <w:r w:rsidRPr="00E67ABE">
              <w:rPr>
                <w:szCs w:val="16"/>
              </w:rPr>
              <w:t>kostengebaseerde</w:t>
            </w:r>
            <w:proofErr w:type="spellEnd"/>
            <w:r w:rsidRPr="00E67ABE">
              <w:rPr>
                <w:szCs w:val="16"/>
              </w:rPr>
              <w:t xml:space="preserve"> tarieven. De voordelen die het systeem van </w:t>
            </w:r>
            <w:proofErr w:type="spellStart"/>
            <w:r w:rsidRPr="00E67ABE">
              <w:rPr>
                <w:szCs w:val="16"/>
              </w:rPr>
              <w:t>kostengebaseerde</w:t>
            </w:r>
            <w:proofErr w:type="spellEnd"/>
            <w:r w:rsidRPr="00E67ABE">
              <w:rPr>
                <w:szCs w:val="16"/>
              </w:rPr>
              <w:t xml:space="preserve"> tarieven in het algemeen kan bieden voor transparantie en kostenverlaging, worden hierdoor teniet gedaan. Uiteindelijk zijn er hierdoor nauwelijks prikkels om de tarieven te verlagen.</w:t>
            </w:r>
          </w:p>
          <w:p w:rsidRPr="00E67ABE" w:rsidR="00E870E8" w:rsidP="00E67ABE" w:rsidRDefault="00E870E8" w14:paraId="3EFED1EE" w14:textId="77777777">
            <w:pPr>
              <w:spacing w:line="240" w:lineRule="auto"/>
              <w:rPr>
                <w:szCs w:val="16"/>
              </w:rPr>
            </w:pPr>
          </w:p>
          <w:p w:rsidRPr="00E67ABE" w:rsidR="00E870E8" w:rsidP="00E67ABE" w:rsidRDefault="00E870E8" w14:paraId="50C8745F" w14:textId="16E8CA04">
            <w:pPr>
              <w:spacing w:line="240" w:lineRule="auto"/>
              <w:rPr>
                <w:szCs w:val="16"/>
              </w:rPr>
            </w:pPr>
            <w:r w:rsidRPr="00E67ABE">
              <w:rPr>
                <w:szCs w:val="16"/>
              </w:rPr>
              <w:t>De innovaties op het gebied van verduurzaming van wijken gaan nu snel. Internationaal is er een trend naar integrale, slimme energiesystemen voor warmte, koeling en elektriciteit, die modulair, stap voor stap, aangelegd kunnen worden. Volgens de literatuur zorgen deze voor de duurzaamste oplossingen in wijken tegen de laagste kosten. De kleinschaligheid van deze systemen maakt ook dat ze sneller worden ontwikkeld, met lagere kosten en risico’s,</w:t>
            </w:r>
            <w:r w:rsidRPr="00E67ABE" w:rsidR="00EC6F22">
              <w:rPr>
                <w:szCs w:val="16"/>
              </w:rPr>
              <w:t xml:space="preserve"> </w:t>
            </w:r>
            <w:r w:rsidRPr="00E67ABE">
              <w:rPr>
                <w:szCs w:val="16"/>
              </w:rPr>
              <w:t xml:space="preserve">ze zijn transparanter, het maakt innoveren gemakkelijker en de bijbehorende organisaties staan dichter </w:t>
            </w:r>
            <w:r w:rsidRPr="00E67ABE">
              <w:rPr>
                <w:szCs w:val="16"/>
              </w:rPr>
              <w:lastRenderedPageBreak/>
              <w:t>bij de burger, hetgeen het draagvlak kan vergroten. Het wetsvoorstel stimuleert deze innovaties niet. Integendeel, het gaat uit van traditionele systemen en schaalvoordelen en bevoordeelt deze ook, onder meer door te sturen op grootschalige, regionale warmtebedrijven. De wet kan beter techniekneutraal zijn en</w:t>
            </w:r>
            <w:r w:rsidRPr="00E67ABE" w:rsidR="00EC6F22">
              <w:rPr>
                <w:szCs w:val="16"/>
              </w:rPr>
              <w:t xml:space="preserve"> </w:t>
            </w:r>
            <w:r w:rsidRPr="00E67ABE">
              <w:rPr>
                <w:szCs w:val="16"/>
              </w:rPr>
              <w:t>(zeer) kleine en grote warmtebedrijven dezelfde kansen geven.</w:t>
            </w:r>
            <w:r w:rsidRPr="00E67ABE" w:rsidR="00EC6F22">
              <w:rPr>
                <w:szCs w:val="16"/>
              </w:rPr>
              <w:t xml:space="preserve"> </w:t>
            </w:r>
            <w:r w:rsidRPr="00E67ABE">
              <w:rPr>
                <w:szCs w:val="16"/>
              </w:rPr>
              <w:t xml:space="preserve">(zie bijlage innovatie). Sturen op grote, regionale warmtebedrijven ontneemt kansen om daarvan te profiteren. Als grote en kleine systemen onder dezelfde voorwaarden de markt kunnen betreden, wijst de praktijk uit wat het beste werkt. Het wetsvoorstel bevoordeelt echter grote systemen en is dus niet technologieneutraal. </w:t>
            </w:r>
          </w:p>
          <w:p w:rsidRPr="00E67ABE" w:rsidR="00E870E8" w:rsidP="00E67ABE" w:rsidRDefault="00E870E8" w14:paraId="35254358" w14:textId="77777777">
            <w:pPr>
              <w:spacing w:line="240" w:lineRule="auto"/>
              <w:rPr>
                <w:szCs w:val="16"/>
              </w:rPr>
            </w:pPr>
          </w:p>
          <w:p w:rsidRPr="00E67ABE" w:rsidR="000439D1" w:rsidP="00E67ABE" w:rsidRDefault="00E870E8" w14:paraId="3C54269E" w14:textId="40DB4931">
            <w:pPr>
              <w:spacing w:line="240" w:lineRule="auto"/>
              <w:rPr>
                <w:szCs w:val="16"/>
              </w:rPr>
            </w:pPr>
            <w:r w:rsidRPr="00E67ABE">
              <w:rPr>
                <w:szCs w:val="16"/>
              </w:rPr>
              <w:t xml:space="preserve">Om deze doelen wel te bereiken, zijn veranderingen noodzakelijk. Allereerst is het wetsvoorstel </w:t>
            </w:r>
            <w:r w:rsidRPr="00E67ABE">
              <w:rPr>
                <w:b/>
                <w:bCs/>
                <w:szCs w:val="16"/>
              </w:rPr>
              <w:t>te gecompliceerd en gedetailleerd</w:t>
            </w:r>
            <w:r w:rsidRPr="00E67ABE">
              <w:rPr>
                <w:szCs w:val="16"/>
              </w:rPr>
              <w:t xml:space="preserve">. Teveel </w:t>
            </w:r>
            <w:r w:rsidRPr="00E67ABE" w:rsidR="00C914D5">
              <w:rPr>
                <w:szCs w:val="16"/>
              </w:rPr>
              <w:t xml:space="preserve">wettelijk vastleggen </w:t>
            </w:r>
            <w:r w:rsidRPr="00E67ABE">
              <w:rPr>
                <w:szCs w:val="16"/>
              </w:rPr>
              <w:t>heeft nadelen</w:t>
            </w:r>
            <w:r w:rsidRPr="00E67ABE" w:rsidR="00C914D5">
              <w:rPr>
                <w:szCs w:val="16"/>
              </w:rPr>
              <w:t>:</w:t>
            </w:r>
            <w:r w:rsidRPr="00E67ABE">
              <w:rPr>
                <w:szCs w:val="16"/>
              </w:rPr>
              <w:t xml:space="preserve"> </w:t>
            </w:r>
            <w:r w:rsidRPr="00E67ABE" w:rsidR="00692B9A">
              <w:rPr>
                <w:szCs w:val="16"/>
              </w:rPr>
              <w:t>h</w:t>
            </w:r>
            <w:r w:rsidRPr="00E67ABE">
              <w:rPr>
                <w:szCs w:val="16"/>
              </w:rPr>
              <w:t xml:space="preserve">et </w:t>
            </w:r>
            <w:r w:rsidRPr="00E67ABE" w:rsidR="00C914D5">
              <w:rPr>
                <w:szCs w:val="16"/>
              </w:rPr>
              <w:t xml:space="preserve">kan </w:t>
            </w:r>
            <w:r w:rsidRPr="00E67ABE">
              <w:rPr>
                <w:szCs w:val="16"/>
              </w:rPr>
              <w:t>leid</w:t>
            </w:r>
            <w:r w:rsidRPr="00E67ABE" w:rsidR="00C914D5">
              <w:rPr>
                <w:szCs w:val="16"/>
              </w:rPr>
              <w:t>en</w:t>
            </w:r>
            <w:r w:rsidRPr="00E67ABE">
              <w:rPr>
                <w:szCs w:val="16"/>
              </w:rPr>
              <w:t xml:space="preserve"> tot bureaucratie, schrikt investeringen af, belemmert vernieuwingen omdat ze vaak niet binnen de regels passen, is onnodig duur en heeft vrijwel steeds onverwachte bijeffecten. </w:t>
            </w:r>
            <w:r w:rsidRPr="00E67ABE">
              <w:rPr>
                <w:b/>
                <w:bCs/>
                <w:szCs w:val="16"/>
              </w:rPr>
              <w:t>De kavelsystematiek kan flink vereenvoudigd worden</w:t>
            </w:r>
            <w:r w:rsidRPr="00E67ABE">
              <w:rPr>
                <w:szCs w:val="16"/>
              </w:rPr>
              <w:t xml:space="preserve">, zodat gemeenten – en ook hun burgers- daadwerkelijk de zeggenschap krijgen over de warmtevoorziening in hun wijk. Nu is de regeling in het voorstel te complex. Bovendien worden belangrijke bevoegdheden weggenomen bij gemeenten, </w:t>
            </w:r>
            <w:r w:rsidRPr="00E67ABE">
              <w:rPr>
                <w:b/>
                <w:bCs/>
                <w:szCs w:val="16"/>
              </w:rPr>
              <w:t>waardoor ook burgers buiten spel worden gezet</w:t>
            </w:r>
            <w:r w:rsidRPr="00E67ABE">
              <w:rPr>
                <w:szCs w:val="16"/>
              </w:rPr>
              <w:t xml:space="preserve"> bij belangrijke beslissingen voor hun eigen wijk, woning of bedrijf. Voorts leidt de gedetailleerde regeling tot </w:t>
            </w:r>
            <w:r w:rsidRPr="00E67ABE">
              <w:rPr>
                <w:b/>
                <w:bCs/>
                <w:szCs w:val="16"/>
              </w:rPr>
              <w:t>vertraging en extra kosten</w:t>
            </w:r>
            <w:r w:rsidRPr="00E67ABE">
              <w:rPr>
                <w:szCs w:val="16"/>
              </w:rPr>
              <w:t>.</w:t>
            </w:r>
          </w:p>
        </w:tc>
      </w:tr>
      <w:tr w:rsidRPr="00BC5C43" w:rsidR="0099324D" w:rsidTr="00CF6DEA" w14:paraId="265D7E22" w14:textId="77777777">
        <w:tc>
          <w:tcPr>
            <w:tcW w:w="562" w:type="dxa"/>
          </w:tcPr>
          <w:p w:rsidRPr="0099324D" w:rsidR="0099324D" w:rsidP="00AE7D67" w:rsidRDefault="0099324D" w14:paraId="3A1D8700" w14:textId="0D9EEDAF">
            <w:pPr>
              <w:pStyle w:val="Lijstalinea"/>
              <w:numPr>
                <w:ilvl w:val="0"/>
                <w:numId w:val="16"/>
              </w:numPr>
              <w:spacing w:line="240" w:lineRule="auto"/>
              <w:rPr>
                <w:color w:val="000000" w:themeColor="text1"/>
              </w:rPr>
            </w:pPr>
          </w:p>
        </w:tc>
        <w:tc>
          <w:tcPr>
            <w:tcW w:w="2410" w:type="dxa"/>
          </w:tcPr>
          <w:p w:rsidRPr="00BC5C43" w:rsidR="0099324D" w:rsidP="00AE7D67" w:rsidRDefault="0099324D" w14:paraId="19D0CE70" w14:textId="2384636E">
            <w:pPr>
              <w:spacing w:line="240" w:lineRule="auto"/>
              <w:rPr>
                <w:b/>
                <w:color w:val="000000" w:themeColor="text1"/>
              </w:rPr>
            </w:pPr>
            <w:r w:rsidRPr="00BC5C43">
              <w:rPr>
                <w:b/>
                <w:color w:val="000000" w:themeColor="text1"/>
              </w:rPr>
              <w:t>Ingezette beleidsinstrumenten</w:t>
            </w:r>
          </w:p>
          <w:p w:rsidRPr="00BC5C43" w:rsidR="0099324D" w:rsidP="00AE7D67" w:rsidRDefault="0099324D" w14:paraId="7A8C6471" w14:textId="77777777">
            <w:pPr>
              <w:spacing w:line="240" w:lineRule="auto"/>
              <w:rPr>
                <w:color w:val="000000" w:themeColor="text1"/>
              </w:rPr>
            </w:pPr>
            <w:r w:rsidRPr="00BC5C43">
              <w:rPr>
                <w:color w:val="000000" w:themeColor="text1"/>
              </w:rPr>
              <w:t>Welke beleidsinstrumenten worden ingezet om de beleidsdoelen te realiseren?</w:t>
            </w:r>
          </w:p>
        </w:tc>
        <w:tc>
          <w:tcPr>
            <w:tcW w:w="851" w:type="dxa"/>
          </w:tcPr>
          <w:p w:rsidRPr="00BC5C43" w:rsidR="0099324D" w:rsidP="00AE7D67" w:rsidRDefault="008D2A6E" w14:paraId="76F6475F" w14:textId="5E20EFBF">
            <w:pPr>
              <w:spacing w:before="120" w:line="240" w:lineRule="auto"/>
              <w:jc w:val="center"/>
              <w:rPr>
                <w:color w:val="000000" w:themeColor="text1"/>
              </w:rPr>
            </w:pPr>
            <w:r w:rsidRPr="00090976">
              <w:rPr>
                <w:bCs/>
                <w:noProof/>
                <w:position w:val="-4"/>
                <w:sz w:val="20"/>
                <w:szCs w:val="20"/>
                <w:lang w:eastAsia="nl-NL"/>
              </w:rPr>
              <w:drawing>
                <wp:inline distT="0" distB="0" distL="0" distR="0" wp14:anchorId="309A55D1" wp14:editId="11B37106">
                  <wp:extent cx="152400" cy="152400"/>
                  <wp:effectExtent l="0" t="0" r="0" b="0"/>
                  <wp:docPr id="661220517" name="icoonverbeterp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onverbeterpunt"/>
                          <pic:cNvPicPr/>
                        </pic:nvPicPr>
                        <pic:blipFill rotWithShape="1">
                          <a:blip r:embed="rId19"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5528" w:type="dxa"/>
          </w:tcPr>
          <w:p w:rsidRPr="00E67ABE" w:rsidR="00316244" w:rsidP="00E67ABE" w:rsidRDefault="00316244" w14:paraId="34CAF9FF" w14:textId="271566E2">
            <w:pPr>
              <w:pStyle w:val="Lijstalinea"/>
              <w:numPr>
                <w:ilvl w:val="0"/>
                <w:numId w:val="15"/>
              </w:numPr>
              <w:spacing w:line="240" w:lineRule="auto"/>
              <w:ind w:left="357" w:hanging="357"/>
              <w:rPr>
                <w:szCs w:val="16"/>
              </w:rPr>
            </w:pPr>
            <w:r w:rsidRPr="00E67ABE">
              <w:rPr>
                <w:szCs w:val="16"/>
              </w:rPr>
              <w:t xml:space="preserve">Het wetsvoorstel bevat een veelheid aan regels voor de realisatie en exploitatie van collectieve warmtevoorzieningen. In paragraaf 1.2 van de </w:t>
            </w:r>
            <w:proofErr w:type="spellStart"/>
            <w:r w:rsidRPr="00E67ABE">
              <w:rPr>
                <w:szCs w:val="16"/>
              </w:rPr>
              <w:t>MvT</w:t>
            </w:r>
            <w:proofErr w:type="spellEnd"/>
            <w:r w:rsidRPr="00E67ABE">
              <w:rPr>
                <w:szCs w:val="16"/>
              </w:rPr>
              <w:t xml:space="preserve"> zijn de belangrijkste instrumenten van het wetsvoorstel om de beleidsdoelen te realiseren toegelicht. In de hoofdstukken 3 t/m 8 van de </w:t>
            </w:r>
            <w:proofErr w:type="spellStart"/>
            <w:r w:rsidRPr="00E67ABE">
              <w:rPr>
                <w:szCs w:val="16"/>
              </w:rPr>
              <w:t>MvT</w:t>
            </w:r>
            <w:proofErr w:type="spellEnd"/>
            <w:r w:rsidRPr="00E67ABE">
              <w:rPr>
                <w:szCs w:val="16"/>
              </w:rPr>
              <w:t xml:space="preserve"> is meer informatie opgenomen.</w:t>
            </w:r>
            <w:r w:rsidRPr="00E67ABE" w:rsidR="003B215F">
              <w:rPr>
                <w:szCs w:val="16"/>
              </w:rPr>
              <w:t xml:space="preserve"> </w:t>
            </w:r>
            <w:r w:rsidRPr="00E67ABE">
              <w:rPr>
                <w:szCs w:val="16"/>
              </w:rPr>
              <w:t xml:space="preserve">Met de </w:t>
            </w:r>
            <w:proofErr w:type="spellStart"/>
            <w:r w:rsidRPr="00E67ABE">
              <w:rPr>
                <w:szCs w:val="16"/>
              </w:rPr>
              <w:t>NvW</w:t>
            </w:r>
            <w:proofErr w:type="spellEnd"/>
            <w:r w:rsidRPr="00E67ABE">
              <w:rPr>
                <w:szCs w:val="16"/>
              </w:rPr>
              <w:t xml:space="preserve"> van 8 oktober 2024 zijn enkele instrumenten toegevoegd. De belangrijkste instrumenten zijn:</w:t>
            </w:r>
          </w:p>
          <w:p w:rsidRPr="00E67ABE" w:rsidR="00316244" w:rsidP="00E67ABE" w:rsidRDefault="00316244" w14:paraId="69E56DF2" w14:textId="1F810879">
            <w:pPr>
              <w:pStyle w:val="Lijstalinea"/>
              <w:numPr>
                <w:ilvl w:val="1"/>
                <w:numId w:val="2"/>
              </w:numPr>
              <w:spacing w:line="240" w:lineRule="auto"/>
              <w:ind w:left="714" w:hanging="357"/>
              <w:rPr>
                <w:szCs w:val="16"/>
              </w:rPr>
            </w:pPr>
            <w:bookmarkStart w:name="_Hlk195016496" w:id="4"/>
            <w:r w:rsidRPr="00E67ABE">
              <w:rPr>
                <w:szCs w:val="16"/>
                <w:u w:val="single"/>
              </w:rPr>
              <w:t>Bevoegdheid gemeente tot vaststellen warmtekavel en aanwijzen warmtebedrijf voor een warmtekavel</w:t>
            </w:r>
            <w:r w:rsidRPr="00E67ABE" w:rsidR="0052549E">
              <w:rPr>
                <w:szCs w:val="16"/>
                <w:u w:val="single"/>
              </w:rPr>
              <w:t xml:space="preserve">. </w:t>
            </w:r>
            <w:r w:rsidRPr="00E67ABE">
              <w:rPr>
                <w:szCs w:val="16"/>
              </w:rPr>
              <w:t xml:space="preserve">De omvang van een warmtekavel is zodanig dat een warmtebedrijf binnen de warmtekavel een collectieve warmtevoorziening op een doelmatige wijze kan aanleggen en exploiteren en dat de leveringszekerheid binnen de warmtekavel voldoende kan worden verzekerd (paragraaf 3.4 </w:t>
            </w:r>
            <w:proofErr w:type="spellStart"/>
            <w:r w:rsidRPr="00E67ABE">
              <w:rPr>
                <w:szCs w:val="16"/>
              </w:rPr>
              <w:t>MvT</w:t>
            </w:r>
            <w:proofErr w:type="spellEnd"/>
            <w:r w:rsidRPr="00E67ABE">
              <w:rPr>
                <w:szCs w:val="16"/>
              </w:rPr>
              <w:t xml:space="preserve">). Aanwijzen van een warmtebedrijf kan alleen als het warmtebedrijf in staat is de integrale verantwoordelijkheid voor de collectieve warmtevoorziening in het gebied te dragen. De gemeente kan ook een warmtegemeenschap aanwijzen (paragraaf 3.5 </w:t>
            </w:r>
            <w:proofErr w:type="spellStart"/>
            <w:r w:rsidRPr="00E67ABE">
              <w:rPr>
                <w:szCs w:val="16"/>
              </w:rPr>
              <w:t>MvT</w:t>
            </w:r>
            <w:proofErr w:type="spellEnd"/>
            <w:r w:rsidRPr="00E67ABE">
              <w:rPr>
                <w:szCs w:val="16"/>
              </w:rPr>
              <w:t>).</w:t>
            </w:r>
          </w:p>
          <w:bookmarkEnd w:id="4"/>
          <w:p w:rsidRPr="00E67ABE" w:rsidR="00316244" w:rsidP="00E67ABE" w:rsidRDefault="00316244" w14:paraId="21B7D39A" w14:textId="7D94CA88">
            <w:pPr>
              <w:pStyle w:val="Lijstalinea"/>
              <w:numPr>
                <w:ilvl w:val="1"/>
                <w:numId w:val="2"/>
              </w:numPr>
              <w:spacing w:line="240" w:lineRule="auto"/>
              <w:ind w:left="714" w:hanging="357"/>
              <w:rPr>
                <w:szCs w:val="16"/>
              </w:rPr>
            </w:pPr>
            <w:r w:rsidRPr="00E67ABE">
              <w:rPr>
                <w:szCs w:val="16"/>
                <w:u w:val="single"/>
              </w:rPr>
              <w:t>Vereiste van een publiek meerderheidsbelang van een warmtebedrijf of sprake van een warmtegemeenschap:</w:t>
            </w:r>
            <w:r w:rsidRPr="00E67ABE">
              <w:rPr>
                <w:szCs w:val="16"/>
              </w:rPr>
              <w:t xml:space="preserve"> </w:t>
            </w:r>
            <w:r w:rsidRPr="00E67ABE" w:rsidR="0052549E">
              <w:rPr>
                <w:szCs w:val="16"/>
              </w:rPr>
              <w:t>h</w:t>
            </w:r>
            <w:r w:rsidRPr="00E67ABE">
              <w:rPr>
                <w:szCs w:val="16"/>
              </w:rPr>
              <w:t xml:space="preserve">et wetsvoorstel regelt dat meer dan 50% van de aandelen van het warmtebedrijf in handen moet zijn van één of meerdere publieke partijen. </w:t>
            </w:r>
            <w:r w:rsidRPr="00E67ABE" w:rsidR="0052549E">
              <w:rPr>
                <w:szCs w:val="16"/>
              </w:rPr>
              <w:t>Ook kan</w:t>
            </w:r>
            <w:r w:rsidRPr="00E67ABE">
              <w:rPr>
                <w:szCs w:val="16"/>
              </w:rPr>
              <w:t xml:space="preserve"> het college een warmtegemeenschap aanwijzen. De ontwikkeling van voldoende publieke realisatiekracht vergt tijd. Het wetsvoorstel voorziet daarom in een ingroeiperiode van zeven jaar (met de mogelijkheid tot verlenging met maximaal drie jaar wanneer uit evaluatie volgt dat nog onvoldoende warmtebedrijven met een publiek meerderheidsbelang of warmtegemeenschappen beschikbaar zijn). (paragraaf 3.5.4 </w:t>
            </w:r>
            <w:proofErr w:type="spellStart"/>
            <w:r w:rsidRPr="00E67ABE">
              <w:rPr>
                <w:szCs w:val="16"/>
              </w:rPr>
              <w:t>MvT</w:t>
            </w:r>
            <w:proofErr w:type="spellEnd"/>
            <w:r w:rsidRPr="00E67ABE">
              <w:rPr>
                <w:szCs w:val="16"/>
              </w:rPr>
              <w:t>).</w:t>
            </w:r>
          </w:p>
          <w:p w:rsidRPr="00E67ABE" w:rsidR="00316244" w:rsidP="00E67ABE" w:rsidRDefault="00316244" w14:paraId="243D89FF" w14:textId="6D35D84E">
            <w:pPr>
              <w:pStyle w:val="Lijstalinea"/>
              <w:numPr>
                <w:ilvl w:val="1"/>
                <w:numId w:val="2"/>
              </w:numPr>
              <w:spacing w:line="240" w:lineRule="auto"/>
              <w:ind w:left="714" w:hanging="357"/>
              <w:rPr>
                <w:szCs w:val="16"/>
              </w:rPr>
            </w:pPr>
            <w:r w:rsidRPr="00E67ABE">
              <w:rPr>
                <w:rFonts w:cs="Calibri Light"/>
                <w:szCs w:val="16"/>
                <w:u w:val="single"/>
              </w:rPr>
              <w:t>Aanwijzingsprocedure</w:t>
            </w:r>
            <w:r w:rsidRPr="00E67ABE">
              <w:rPr>
                <w:rFonts w:cs="Calibri Light"/>
                <w:szCs w:val="16"/>
              </w:rPr>
              <w:t xml:space="preserve">: </w:t>
            </w:r>
            <w:r w:rsidRPr="00E67ABE" w:rsidR="00091ABE">
              <w:rPr>
                <w:rFonts w:cs="Calibri Light"/>
                <w:szCs w:val="16"/>
              </w:rPr>
              <w:t>v</w:t>
            </w:r>
            <w:r w:rsidRPr="00E67ABE">
              <w:rPr>
                <w:rFonts w:cs="Calibri Light"/>
                <w:szCs w:val="16"/>
              </w:rPr>
              <w:t xml:space="preserve">oor de vaststelling van een warmtekavel en aanwijzing van een warmtebedrijf regelt het wetsvoorstel de procedures en te hanteren criteria (paragrafen 3.2 t/m 3.5 </w:t>
            </w:r>
            <w:proofErr w:type="spellStart"/>
            <w:r w:rsidRPr="00E67ABE">
              <w:rPr>
                <w:rFonts w:cs="Calibri Light"/>
                <w:szCs w:val="16"/>
              </w:rPr>
              <w:t>MvT</w:t>
            </w:r>
            <w:proofErr w:type="spellEnd"/>
            <w:r w:rsidRPr="00E67ABE">
              <w:rPr>
                <w:rFonts w:cs="Calibri Light"/>
                <w:szCs w:val="16"/>
              </w:rPr>
              <w:t>).</w:t>
            </w:r>
          </w:p>
          <w:p w:rsidRPr="00E67ABE" w:rsidR="00316244" w:rsidP="00E67ABE" w:rsidRDefault="00316244" w14:paraId="67E3C750" w14:textId="456B02B5">
            <w:pPr>
              <w:pStyle w:val="Lijstalinea"/>
              <w:numPr>
                <w:ilvl w:val="1"/>
                <w:numId w:val="2"/>
              </w:numPr>
              <w:spacing w:line="240" w:lineRule="auto"/>
              <w:ind w:left="714" w:hanging="357"/>
              <w:rPr>
                <w:szCs w:val="16"/>
              </w:rPr>
            </w:pPr>
            <w:r w:rsidRPr="00E67ABE">
              <w:rPr>
                <w:szCs w:val="16"/>
                <w:u w:val="single"/>
              </w:rPr>
              <w:t xml:space="preserve">Gefaseerde overgang naar een </w:t>
            </w:r>
            <w:proofErr w:type="spellStart"/>
            <w:r w:rsidRPr="00E67ABE">
              <w:rPr>
                <w:szCs w:val="16"/>
                <w:u w:val="single"/>
              </w:rPr>
              <w:t>kostengebaseerde</w:t>
            </w:r>
            <w:proofErr w:type="spellEnd"/>
            <w:r w:rsidRPr="00E67ABE">
              <w:rPr>
                <w:szCs w:val="16"/>
                <w:u w:val="single"/>
              </w:rPr>
              <w:t xml:space="preserve"> tariefsystematiek:</w:t>
            </w:r>
            <w:r w:rsidRPr="00E67ABE">
              <w:rPr>
                <w:szCs w:val="16"/>
              </w:rPr>
              <w:t xml:space="preserve"> </w:t>
            </w:r>
            <w:r w:rsidRPr="00E67ABE" w:rsidR="00091ABE">
              <w:rPr>
                <w:rFonts w:eastAsiaTheme="minorEastAsia"/>
                <w:szCs w:val="16"/>
              </w:rPr>
              <w:t>m</w:t>
            </w:r>
            <w:r w:rsidRPr="00E67ABE">
              <w:rPr>
                <w:rFonts w:eastAsiaTheme="minorEastAsia"/>
                <w:szCs w:val="16"/>
              </w:rPr>
              <w:t xml:space="preserve">et het wetsvoorstel wordt stapsgewijs (in drie fasen) een </w:t>
            </w:r>
            <w:proofErr w:type="spellStart"/>
            <w:r w:rsidRPr="00E67ABE">
              <w:rPr>
                <w:rFonts w:eastAsiaTheme="minorEastAsia"/>
                <w:szCs w:val="16"/>
              </w:rPr>
              <w:t>kostengebaseerde</w:t>
            </w:r>
            <w:proofErr w:type="spellEnd"/>
            <w:r w:rsidRPr="00E67ABE">
              <w:rPr>
                <w:rFonts w:eastAsiaTheme="minorEastAsia"/>
                <w:szCs w:val="16"/>
              </w:rPr>
              <w:t xml:space="preserve"> tariefregulering ingevoerd ter vervanging van de </w:t>
            </w:r>
            <w:r w:rsidRPr="00E67ABE">
              <w:rPr>
                <w:rFonts w:eastAsiaTheme="minorEastAsia"/>
                <w:szCs w:val="16"/>
              </w:rPr>
              <w:lastRenderedPageBreak/>
              <w:t xml:space="preserve">bestaande tariefregulering op basis van de gasreferentie. (hoofdstuk 8 </w:t>
            </w:r>
            <w:proofErr w:type="spellStart"/>
            <w:r w:rsidRPr="00E67ABE">
              <w:rPr>
                <w:rFonts w:eastAsiaTheme="minorEastAsia"/>
                <w:szCs w:val="16"/>
              </w:rPr>
              <w:t>MvT</w:t>
            </w:r>
            <w:proofErr w:type="spellEnd"/>
            <w:r w:rsidRPr="00E67ABE">
              <w:rPr>
                <w:rFonts w:eastAsiaTheme="minorEastAsia"/>
                <w:szCs w:val="16"/>
              </w:rPr>
              <w:t xml:space="preserve">). </w:t>
            </w:r>
          </w:p>
          <w:p w:rsidRPr="00E67ABE" w:rsidR="00316244" w:rsidP="00E67ABE" w:rsidRDefault="00316244" w14:paraId="28623370" w14:textId="459C0FDC">
            <w:pPr>
              <w:pStyle w:val="Lijstalinea"/>
              <w:numPr>
                <w:ilvl w:val="1"/>
                <w:numId w:val="2"/>
              </w:numPr>
              <w:spacing w:line="240" w:lineRule="auto"/>
              <w:ind w:left="714" w:hanging="357"/>
              <w:rPr>
                <w:szCs w:val="16"/>
              </w:rPr>
            </w:pPr>
            <w:r w:rsidRPr="00E67ABE">
              <w:rPr>
                <w:szCs w:val="16"/>
                <w:u w:val="single"/>
              </w:rPr>
              <w:t>Bevoegdheid minister tot het stellen van een tarieflimiet</w:t>
            </w:r>
            <w:r w:rsidRPr="00E67ABE">
              <w:rPr>
                <w:szCs w:val="16"/>
              </w:rPr>
              <w:t xml:space="preserve">: </w:t>
            </w:r>
            <w:r w:rsidRPr="00E67ABE" w:rsidR="00091ABE">
              <w:rPr>
                <w:szCs w:val="16"/>
              </w:rPr>
              <w:t>d</w:t>
            </w:r>
            <w:r w:rsidRPr="00E67ABE">
              <w:rPr>
                <w:szCs w:val="16"/>
              </w:rPr>
              <w:t xml:space="preserve">e </w:t>
            </w:r>
            <w:proofErr w:type="spellStart"/>
            <w:r w:rsidRPr="00E67ABE">
              <w:rPr>
                <w:szCs w:val="16"/>
              </w:rPr>
              <w:t>NvW</w:t>
            </w:r>
            <w:proofErr w:type="spellEnd"/>
            <w:r w:rsidRPr="00E67ABE">
              <w:rPr>
                <w:szCs w:val="16"/>
              </w:rPr>
              <w:t xml:space="preserve"> introduceert de bevoegdheid voor de minister om een tarieflimiet te stellen wanneer onaanvaardbaar hoge leveringstarieven worden verwacht (t</w:t>
            </w:r>
            <w:r w:rsidRPr="00E67ABE" w:rsidR="00091ABE">
              <w:rPr>
                <w:szCs w:val="16"/>
              </w:rPr>
              <w:t>.</w:t>
            </w:r>
            <w:r w:rsidRPr="00E67ABE">
              <w:rPr>
                <w:szCs w:val="16"/>
              </w:rPr>
              <w:t>o</w:t>
            </w:r>
            <w:r w:rsidRPr="00E67ABE" w:rsidR="00091ABE">
              <w:rPr>
                <w:szCs w:val="16"/>
              </w:rPr>
              <w:t>.</w:t>
            </w:r>
            <w:r w:rsidRPr="00E67ABE">
              <w:rPr>
                <w:szCs w:val="16"/>
              </w:rPr>
              <w:t>v</w:t>
            </w:r>
            <w:r w:rsidRPr="00E67ABE" w:rsidR="00091ABE">
              <w:rPr>
                <w:szCs w:val="16"/>
              </w:rPr>
              <w:t>.</w:t>
            </w:r>
            <w:r w:rsidRPr="00E67ABE">
              <w:rPr>
                <w:szCs w:val="16"/>
              </w:rPr>
              <w:t xml:space="preserve"> het gemiddelde van alle maximumleveringstarieven). </w:t>
            </w:r>
            <w:r w:rsidRPr="00E67ABE" w:rsidR="00091ABE">
              <w:rPr>
                <w:szCs w:val="16"/>
              </w:rPr>
              <w:t>Wanneer</w:t>
            </w:r>
            <w:r w:rsidRPr="00E67ABE">
              <w:rPr>
                <w:szCs w:val="16"/>
              </w:rPr>
              <w:t xml:space="preserve"> er een tarieflimiet geldt, mogen warmtebedrijven niet meer dan de tarieflimiet bij consumenten in rekening brengen. </w:t>
            </w:r>
          </w:p>
          <w:p w:rsidRPr="00E67ABE" w:rsidR="00316244" w:rsidP="00E67ABE" w:rsidRDefault="00316244" w14:paraId="5A5C0E54" w14:textId="66631C7B">
            <w:pPr>
              <w:pStyle w:val="Lijstalinea"/>
              <w:numPr>
                <w:ilvl w:val="1"/>
                <w:numId w:val="2"/>
              </w:numPr>
              <w:spacing w:line="240" w:lineRule="auto"/>
              <w:ind w:left="714" w:hanging="357"/>
              <w:rPr>
                <w:szCs w:val="16"/>
              </w:rPr>
            </w:pPr>
            <w:r w:rsidRPr="00E67ABE">
              <w:rPr>
                <w:szCs w:val="16"/>
                <w:u w:val="single"/>
              </w:rPr>
              <w:t>Vereveningssysteem:</w:t>
            </w:r>
            <w:r w:rsidRPr="00E67ABE">
              <w:rPr>
                <w:szCs w:val="16"/>
              </w:rPr>
              <w:t xml:space="preserve"> </w:t>
            </w:r>
            <w:r w:rsidRPr="00E67ABE" w:rsidR="00091ABE">
              <w:rPr>
                <w:szCs w:val="16"/>
              </w:rPr>
              <w:t>i</w:t>
            </w:r>
            <w:r w:rsidRPr="00E67ABE">
              <w:rPr>
                <w:szCs w:val="16"/>
              </w:rPr>
              <w:t xml:space="preserve">n samenhang met de tarieflimiet wordt met de </w:t>
            </w:r>
            <w:proofErr w:type="spellStart"/>
            <w:r w:rsidRPr="00E67ABE">
              <w:rPr>
                <w:szCs w:val="16"/>
              </w:rPr>
              <w:t>NvW</w:t>
            </w:r>
            <w:proofErr w:type="spellEnd"/>
            <w:r w:rsidRPr="00E67ABE">
              <w:rPr>
                <w:szCs w:val="16"/>
              </w:rPr>
              <w:t xml:space="preserve"> de mogelijkheid ingevoerd dat warmtebedrijven</w:t>
            </w:r>
            <w:r w:rsidRPr="00E67ABE" w:rsidR="00091ABE">
              <w:rPr>
                <w:szCs w:val="16"/>
              </w:rPr>
              <w:t>,</w:t>
            </w:r>
            <w:r w:rsidRPr="00E67ABE">
              <w:rPr>
                <w:szCs w:val="16"/>
              </w:rPr>
              <w:t xml:space="preserve"> waarvan de kosten plus een redelijk rendement boven de limiet uitkomen</w:t>
            </w:r>
            <w:r w:rsidRPr="00E67ABE" w:rsidR="00091ABE">
              <w:rPr>
                <w:szCs w:val="16"/>
              </w:rPr>
              <w:t>,</w:t>
            </w:r>
            <w:r w:rsidRPr="00E67ABE">
              <w:rPr>
                <w:szCs w:val="16"/>
              </w:rPr>
              <w:t xml:space="preserve"> een vergoeding uit een vereveningsfonds kunnen aanvragen ter compensatie van het financieel tekort. Het fonds wordt gevuld met een vereveningstoeslag die de warmtebedrijven betalen. </w:t>
            </w:r>
          </w:p>
          <w:p w:rsidRPr="00E67ABE" w:rsidR="00316244" w:rsidP="00E67ABE" w:rsidRDefault="00316244" w14:paraId="189E80AA" w14:textId="36680771">
            <w:pPr>
              <w:pStyle w:val="Lijstalinea"/>
              <w:numPr>
                <w:ilvl w:val="1"/>
                <w:numId w:val="2"/>
              </w:numPr>
              <w:spacing w:line="240" w:lineRule="auto"/>
              <w:ind w:left="714" w:hanging="357"/>
              <w:rPr>
                <w:szCs w:val="16"/>
              </w:rPr>
            </w:pPr>
            <w:r w:rsidRPr="00E67ABE">
              <w:rPr>
                <w:szCs w:val="16"/>
                <w:u w:val="single"/>
              </w:rPr>
              <w:t>Waarborgen rond leveringszekerheid</w:t>
            </w:r>
            <w:r w:rsidRPr="00E67ABE">
              <w:rPr>
                <w:szCs w:val="16"/>
              </w:rPr>
              <w:t>:</w:t>
            </w:r>
            <w:r w:rsidRPr="00E67ABE" w:rsidR="00091ABE">
              <w:rPr>
                <w:szCs w:val="16"/>
              </w:rPr>
              <w:t xml:space="preserve"> d</w:t>
            </w:r>
            <w:r w:rsidRPr="00E67ABE">
              <w:rPr>
                <w:szCs w:val="16"/>
              </w:rPr>
              <w:t xml:space="preserve">it betreft onder meer de interventiebevoegdheid van de ACM om direct in te grijpen bij leveringsproblemen (paragraaf 3.7.5 en 10.4 </w:t>
            </w:r>
            <w:proofErr w:type="spellStart"/>
            <w:r w:rsidRPr="00E67ABE">
              <w:rPr>
                <w:szCs w:val="16"/>
              </w:rPr>
              <w:t>MvT</w:t>
            </w:r>
            <w:proofErr w:type="spellEnd"/>
            <w:r w:rsidRPr="00E67ABE">
              <w:rPr>
                <w:szCs w:val="16"/>
              </w:rPr>
              <w:t>).</w:t>
            </w:r>
          </w:p>
          <w:p w:rsidRPr="00E67ABE" w:rsidR="00316244" w:rsidP="00E67ABE" w:rsidRDefault="00316244" w14:paraId="13BAAC90" w14:textId="69B100F8">
            <w:pPr>
              <w:pStyle w:val="Lijstalinea"/>
              <w:numPr>
                <w:ilvl w:val="1"/>
                <w:numId w:val="2"/>
              </w:numPr>
              <w:spacing w:line="240" w:lineRule="auto"/>
              <w:ind w:left="714" w:hanging="357"/>
              <w:rPr>
                <w:szCs w:val="16"/>
              </w:rPr>
            </w:pPr>
            <w:r w:rsidRPr="00E67ABE">
              <w:rPr>
                <w:szCs w:val="16"/>
                <w:u w:val="single"/>
              </w:rPr>
              <w:t>Duurzaamheidsnorm:</w:t>
            </w:r>
            <w:r w:rsidRPr="00E67ABE">
              <w:rPr>
                <w:szCs w:val="16"/>
              </w:rPr>
              <w:t xml:space="preserve"> </w:t>
            </w:r>
            <w:r w:rsidRPr="00E67ABE" w:rsidR="00091ABE">
              <w:rPr>
                <w:szCs w:val="16"/>
              </w:rPr>
              <w:t>d</w:t>
            </w:r>
            <w:r w:rsidRPr="00E67ABE">
              <w:rPr>
                <w:szCs w:val="16"/>
              </w:rPr>
              <w:t>e wet voorziet in een grondslag om prestatienormen op te leggen aan warmtebedrijven voor de maximale uitstoot van broeikasgassen per warmtekavel. De normen zullen in lagere regelgeving worden uitgewerkt.</w:t>
            </w:r>
            <w:r w:rsidRPr="00E67ABE" w:rsidR="00EC6F22">
              <w:rPr>
                <w:szCs w:val="16"/>
              </w:rPr>
              <w:t xml:space="preserve"> </w:t>
            </w:r>
            <w:r w:rsidRPr="00E67ABE">
              <w:rPr>
                <w:rFonts w:cs="Calibri Light"/>
                <w:szCs w:val="16"/>
              </w:rPr>
              <w:t>De normen hebben betrekking op de uitstoot van alle activiteiten</w:t>
            </w:r>
            <w:r w:rsidRPr="00E67ABE" w:rsidR="00091ABE">
              <w:rPr>
                <w:rFonts w:cs="Calibri Light"/>
                <w:szCs w:val="16"/>
              </w:rPr>
              <w:t xml:space="preserve">, </w:t>
            </w:r>
            <w:r w:rsidRPr="00E67ABE">
              <w:rPr>
                <w:rFonts w:cs="Calibri Light"/>
                <w:szCs w:val="16"/>
              </w:rPr>
              <w:t>noodzakelijk om de warmte te leveren.</w:t>
            </w:r>
            <w:r w:rsidRPr="00E67ABE">
              <w:rPr>
                <w:szCs w:val="16"/>
              </w:rPr>
              <w:t xml:space="preserve"> </w:t>
            </w:r>
          </w:p>
          <w:p w:rsidRPr="00E67ABE" w:rsidR="00316244" w:rsidP="00E67ABE" w:rsidRDefault="00316244" w14:paraId="7B7AC9A1" w14:textId="3AC4A3C9">
            <w:pPr>
              <w:pStyle w:val="Lijstalinea"/>
              <w:numPr>
                <w:ilvl w:val="1"/>
                <w:numId w:val="2"/>
              </w:numPr>
              <w:spacing w:line="240" w:lineRule="auto"/>
              <w:ind w:left="714" w:hanging="357"/>
              <w:rPr>
                <w:szCs w:val="16"/>
              </w:rPr>
            </w:pPr>
            <w:bookmarkStart w:name="_Hlk195016431" w:id="5"/>
            <w:r w:rsidRPr="00E67ABE">
              <w:rPr>
                <w:szCs w:val="16"/>
                <w:u w:val="single"/>
              </w:rPr>
              <w:t xml:space="preserve">Aparte spelregels voor kleine collectieve warmtesystemen (&lt;1500 aansluitingen), verhuurders en </w:t>
            </w:r>
            <w:proofErr w:type="spellStart"/>
            <w:r w:rsidRPr="00E67ABE">
              <w:rPr>
                <w:szCs w:val="16"/>
                <w:u w:val="single"/>
              </w:rPr>
              <w:t>VVE’s</w:t>
            </w:r>
            <w:proofErr w:type="spellEnd"/>
            <w:r w:rsidRPr="00E67ABE">
              <w:rPr>
                <w:szCs w:val="16"/>
              </w:rPr>
              <w:t xml:space="preserve">: </w:t>
            </w:r>
            <w:r w:rsidRPr="00E67ABE" w:rsidR="00091ABE">
              <w:rPr>
                <w:szCs w:val="16"/>
              </w:rPr>
              <w:t>h</w:t>
            </w:r>
            <w:r w:rsidRPr="00E67ABE">
              <w:rPr>
                <w:szCs w:val="16"/>
              </w:rPr>
              <w:t xml:space="preserve">et college kan voor deze </w:t>
            </w:r>
            <w:r w:rsidRPr="00E67ABE" w:rsidR="00091ABE">
              <w:rPr>
                <w:szCs w:val="16"/>
              </w:rPr>
              <w:t>categorieën</w:t>
            </w:r>
            <w:r w:rsidRPr="00E67ABE">
              <w:rPr>
                <w:szCs w:val="16"/>
              </w:rPr>
              <w:t xml:space="preserve"> ontheffing verlenen voor het verbod om zonder aanwijzing warmte te transporteren of te leveren. (hoofdstuk 4 en hoofdstuk 5 </w:t>
            </w:r>
            <w:proofErr w:type="spellStart"/>
            <w:r w:rsidRPr="00E67ABE">
              <w:rPr>
                <w:szCs w:val="16"/>
              </w:rPr>
              <w:t>MvT</w:t>
            </w:r>
            <w:proofErr w:type="spellEnd"/>
            <w:r w:rsidRPr="00E67ABE">
              <w:rPr>
                <w:szCs w:val="16"/>
              </w:rPr>
              <w:t xml:space="preserve">). </w:t>
            </w:r>
          </w:p>
          <w:bookmarkEnd w:id="5"/>
          <w:p w:rsidRPr="00E67ABE" w:rsidR="00316244" w:rsidP="00E67ABE" w:rsidRDefault="00316244" w14:paraId="309623F8" w14:textId="0EBB521C">
            <w:pPr>
              <w:pStyle w:val="Lijstalinea"/>
              <w:numPr>
                <w:ilvl w:val="1"/>
                <w:numId w:val="2"/>
              </w:numPr>
              <w:spacing w:line="240" w:lineRule="auto"/>
              <w:ind w:left="714" w:hanging="357"/>
              <w:rPr>
                <w:szCs w:val="16"/>
              </w:rPr>
            </w:pPr>
            <w:r w:rsidRPr="00E67ABE">
              <w:rPr>
                <w:szCs w:val="16"/>
                <w:u w:val="single"/>
              </w:rPr>
              <w:t>Consumentenbescherming</w:t>
            </w:r>
            <w:r w:rsidRPr="00E67ABE">
              <w:rPr>
                <w:szCs w:val="16"/>
              </w:rPr>
              <w:t xml:space="preserve">: het wetsvoorstel </w:t>
            </w:r>
            <w:r w:rsidRPr="00E67ABE" w:rsidR="00091ABE">
              <w:rPr>
                <w:szCs w:val="16"/>
              </w:rPr>
              <w:t>scherpt</w:t>
            </w:r>
            <w:r w:rsidRPr="00E67ABE">
              <w:rPr>
                <w:szCs w:val="16"/>
              </w:rPr>
              <w:t xml:space="preserve"> de rechtspositie van consumenten ten opzichte van de warmtebedrijven aan </w:t>
            </w:r>
            <w:r w:rsidRPr="00E67ABE">
              <w:rPr>
                <w:rFonts w:cs="Calibri Light"/>
                <w:szCs w:val="16"/>
              </w:rPr>
              <w:t xml:space="preserve">(paragrafen 3.7.6 en 3.7.9 </w:t>
            </w:r>
            <w:proofErr w:type="spellStart"/>
            <w:r w:rsidRPr="00E67ABE">
              <w:rPr>
                <w:rFonts w:cs="Calibri Light"/>
                <w:szCs w:val="16"/>
              </w:rPr>
              <w:t>MvT</w:t>
            </w:r>
            <w:proofErr w:type="spellEnd"/>
            <w:r w:rsidRPr="00E67ABE">
              <w:rPr>
                <w:rFonts w:cs="Calibri Light"/>
                <w:szCs w:val="16"/>
              </w:rPr>
              <w:t>).</w:t>
            </w:r>
          </w:p>
          <w:p w:rsidRPr="00E67ABE" w:rsidR="00316244" w:rsidP="00E67ABE" w:rsidRDefault="00316244" w14:paraId="0AEEABF3" w14:textId="1EF23D33">
            <w:pPr>
              <w:pStyle w:val="Lijstalinea"/>
              <w:numPr>
                <w:ilvl w:val="1"/>
                <w:numId w:val="2"/>
              </w:numPr>
              <w:spacing w:line="240" w:lineRule="auto"/>
              <w:ind w:left="714" w:hanging="357"/>
              <w:rPr>
                <w:szCs w:val="16"/>
              </w:rPr>
            </w:pPr>
            <w:r w:rsidRPr="00E67ABE">
              <w:rPr>
                <w:szCs w:val="16"/>
                <w:u w:val="single"/>
              </w:rPr>
              <w:t>Bevoegdheid minister tot aanwijzen van een onafhankelijke warmtetransportbeheerder</w:t>
            </w:r>
            <w:r w:rsidRPr="00E67ABE">
              <w:rPr>
                <w:szCs w:val="16"/>
              </w:rPr>
              <w:t xml:space="preserve">: </w:t>
            </w:r>
            <w:r w:rsidRPr="00E67ABE" w:rsidR="00091ABE">
              <w:rPr>
                <w:szCs w:val="16"/>
              </w:rPr>
              <w:t>d</w:t>
            </w:r>
            <w:r w:rsidRPr="00E67ABE">
              <w:rPr>
                <w:szCs w:val="16"/>
              </w:rPr>
              <w:t xml:space="preserve">it </w:t>
            </w:r>
            <w:r w:rsidRPr="00E67ABE" w:rsidR="00091ABE">
              <w:rPr>
                <w:szCs w:val="16"/>
              </w:rPr>
              <w:t>is</w:t>
            </w:r>
            <w:r w:rsidRPr="00E67ABE">
              <w:rPr>
                <w:szCs w:val="16"/>
              </w:rPr>
              <w:t xml:space="preserve"> een uitzondering op het model van integrale verantwoordelijkheid. (paragraaf 6.1 </w:t>
            </w:r>
            <w:proofErr w:type="spellStart"/>
            <w:r w:rsidRPr="00E67ABE">
              <w:rPr>
                <w:szCs w:val="16"/>
              </w:rPr>
              <w:t>MvT</w:t>
            </w:r>
            <w:proofErr w:type="spellEnd"/>
            <w:r w:rsidRPr="00E67ABE">
              <w:rPr>
                <w:szCs w:val="16"/>
              </w:rPr>
              <w:t xml:space="preserve">) </w:t>
            </w:r>
            <w:r w:rsidRPr="00E67ABE">
              <w:rPr>
                <w:rFonts w:cs="Calibri Light"/>
                <w:szCs w:val="16"/>
              </w:rPr>
              <w:t>Deze bevoegdheid kan alleen worden ingezet bij een specifieke grootschalige regionale uitdaging.</w:t>
            </w:r>
          </w:p>
          <w:p w:rsidRPr="00E67ABE" w:rsidR="0099324D" w:rsidP="00E67ABE" w:rsidRDefault="0099324D" w14:paraId="2E7052FA" w14:textId="797A651A">
            <w:pPr>
              <w:pStyle w:val="Lijstalinea"/>
              <w:spacing w:line="240" w:lineRule="auto"/>
              <w:ind w:left="360"/>
              <w:rPr>
                <w:szCs w:val="16"/>
              </w:rPr>
            </w:pPr>
          </w:p>
        </w:tc>
        <w:tc>
          <w:tcPr>
            <w:tcW w:w="6520" w:type="dxa"/>
          </w:tcPr>
          <w:p w:rsidRPr="00E67ABE" w:rsidR="001C1F84" w:rsidP="00E67ABE" w:rsidRDefault="001C1F84" w14:paraId="6B3707FA" w14:textId="6FE40898">
            <w:pPr>
              <w:pStyle w:val="Lijstalinea"/>
              <w:numPr>
                <w:ilvl w:val="0"/>
                <w:numId w:val="51"/>
              </w:numPr>
              <w:spacing w:line="240" w:lineRule="auto"/>
              <w:rPr>
                <w:szCs w:val="16"/>
              </w:rPr>
            </w:pPr>
            <w:r w:rsidRPr="00E67ABE">
              <w:rPr>
                <w:b/>
                <w:bCs/>
                <w:szCs w:val="16"/>
              </w:rPr>
              <w:lastRenderedPageBreak/>
              <w:t>Bevoegdheid om kavels vast te stellen</w:t>
            </w:r>
            <w:r w:rsidRPr="00E67ABE" w:rsidR="00E154B4">
              <w:rPr>
                <w:b/>
                <w:bCs/>
                <w:szCs w:val="16"/>
              </w:rPr>
              <w:t xml:space="preserve"> en een warmtebedrijf aan te wijzen</w:t>
            </w:r>
          </w:p>
          <w:p w:rsidRPr="00E67ABE" w:rsidR="00C433E7" w:rsidP="00E67ABE" w:rsidRDefault="00F25C2B" w14:paraId="7FE405F7" w14:textId="467F0A87">
            <w:pPr>
              <w:pStyle w:val="Lijstalinea"/>
              <w:spacing w:line="240" w:lineRule="auto"/>
              <w:ind w:left="360"/>
              <w:rPr>
                <w:szCs w:val="16"/>
              </w:rPr>
            </w:pPr>
            <w:r w:rsidRPr="00E67ABE">
              <w:rPr>
                <w:szCs w:val="16"/>
              </w:rPr>
              <w:t xml:space="preserve">Het </w:t>
            </w:r>
            <w:r w:rsidRPr="00E67ABE" w:rsidR="00E154B4">
              <w:rPr>
                <w:szCs w:val="16"/>
              </w:rPr>
              <w:t>wetsvoorstel beperkt de bevoegdheden van gemeenten om kavels vast te stellen en een warmtebedrijf aan te wijzen (zie bijlage kavels</w:t>
            </w:r>
            <w:r w:rsidRPr="00E67ABE" w:rsidR="00B529F8">
              <w:rPr>
                <w:szCs w:val="16"/>
              </w:rPr>
              <w:t>)</w:t>
            </w:r>
            <w:r w:rsidRPr="00E67ABE" w:rsidR="00863CCE">
              <w:rPr>
                <w:szCs w:val="16"/>
              </w:rPr>
              <w:t xml:space="preserve">. </w:t>
            </w:r>
            <w:r w:rsidRPr="00E67ABE" w:rsidR="00FC04F5">
              <w:rPr>
                <w:szCs w:val="16"/>
              </w:rPr>
              <w:t>De voorgeschreven procedure voor gemeenten is gecompliceerd</w:t>
            </w:r>
            <w:r w:rsidRPr="00E67ABE" w:rsidR="00080D1B">
              <w:rPr>
                <w:szCs w:val="16"/>
              </w:rPr>
              <w:t xml:space="preserve"> en legt de gemeente allerlei beperkingen op. </w:t>
            </w:r>
            <w:r w:rsidRPr="00E67ABE" w:rsidR="0038179F">
              <w:rPr>
                <w:szCs w:val="16"/>
              </w:rPr>
              <w:t xml:space="preserve">Ons zijn geen andere landen bekend waar </w:t>
            </w:r>
            <w:r w:rsidRPr="00E67ABE" w:rsidR="009F5860">
              <w:rPr>
                <w:szCs w:val="16"/>
              </w:rPr>
              <w:t>het op een vergelijkbare manier wordt geregeld.</w:t>
            </w:r>
            <w:r w:rsidRPr="00E67ABE" w:rsidR="00EC6F22">
              <w:rPr>
                <w:szCs w:val="16"/>
              </w:rPr>
              <w:t xml:space="preserve"> </w:t>
            </w:r>
            <w:r w:rsidRPr="00E67ABE" w:rsidR="009F5860">
              <w:rPr>
                <w:szCs w:val="16"/>
              </w:rPr>
              <w:t>Integendeel, in andere landen hebben gemeenten juist een grote vrijheid bij het bepalen van kavels en het aanwijzen van warmtebedrijven.</w:t>
            </w:r>
          </w:p>
          <w:p w:rsidRPr="00E67ABE" w:rsidR="0038179F" w:rsidP="00E67ABE" w:rsidRDefault="0038179F" w14:paraId="11DE9C50" w14:textId="331F3A3A">
            <w:pPr>
              <w:pStyle w:val="Lijstalinea"/>
              <w:spacing w:line="240" w:lineRule="auto"/>
              <w:ind w:left="360"/>
              <w:rPr>
                <w:szCs w:val="16"/>
              </w:rPr>
            </w:pPr>
          </w:p>
          <w:p w:rsidRPr="00E67ABE" w:rsidR="00C433E7" w:rsidP="00E67ABE" w:rsidRDefault="009F5860" w14:paraId="419408E7" w14:textId="31E903A9">
            <w:pPr>
              <w:pStyle w:val="Lijstalinea"/>
              <w:spacing w:line="240" w:lineRule="auto"/>
              <w:ind w:left="360"/>
              <w:rPr>
                <w:szCs w:val="16"/>
              </w:rPr>
            </w:pPr>
            <w:r w:rsidRPr="00E67ABE">
              <w:rPr>
                <w:szCs w:val="16"/>
              </w:rPr>
              <w:t xml:space="preserve">De gedetailleerde regeling leidt </w:t>
            </w:r>
            <w:r w:rsidRPr="00E67ABE" w:rsidR="00326298">
              <w:rPr>
                <w:szCs w:val="16"/>
              </w:rPr>
              <w:t>tot extra kosten, rechtsonzekerheid</w:t>
            </w:r>
            <w:r w:rsidRPr="00E67ABE" w:rsidR="00A16D42">
              <w:rPr>
                <w:szCs w:val="16"/>
              </w:rPr>
              <w:t xml:space="preserve"> en kan de ontwikkeling van warmtenetten belemmeren. </w:t>
            </w:r>
            <w:r w:rsidRPr="00E67ABE" w:rsidR="00313E56">
              <w:rPr>
                <w:szCs w:val="16"/>
              </w:rPr>
              <w:t xml:space="preserve">De procedure is opgedeeld in twee fasen, dit vergroot de complexiteit. De procedure is </w:t>
            </w:r>
            <w:r w:rsidRPr="00E67ABE" w:rsidR="00057393">
              <w:rPr>
                <w:szCs w:val="16"/>
              </w:rPr>
              <w:t>niet afgeste</w:t>
            </w:r>
            <w:r w:rsidRPr="00E67ABE" w:rsidR="00A47178">
              <w:rPr>
                <w:szCs w:val="16"/>
              </w:rPr>
              <w:t>l</w:t>
            </w:r>
            <w:r w:rsidRPr="00E67ABE" w:rsidR="00057393">
              <w:rPr>
                <w:szCs w:val="16"/>
              </w:rPr>
              <w:t xml:space="preserve">d op de ontwikkeling van </w:t>
            </w:r>
            <w:r w:rsidRPr="00E67ABE" w:rsidR="004C256C">
              <w:rPr>
                <w:szCs w:val="16"/>
              </w:rPr>
              <w:t xml:space="preserve">moderne, integrale systemen voor elektriciteit, warmte en koeling, die modulair kunnen groeien. </w:t>
            </w:r>
            <w:r w:rsidRPr="00E67ABE" w:rsidR="00C55204">
              <w:rPr>
                <w:szCs w:val="16"/>
              </w:rPr>
              <w:t xml:space="preserve">Gemeenten kunnen </w:t>
            </w:r>
            <w:r w:rsidRPr="00E67ABE" w:rsidR="0019714A">
              <w:rPr>
                <w:szCs w:val="16"/>
              </w:rPr>
              <w:t xml:space="preserve">een </w:t>
            </w:r>
            <w:r w:rsidRPr="00E67ABE" w:rsidR="00481B0D">
              <w:rPr>
                <w:szCs w:val="16"/>
              </w:rPr>
              <w:t xml:space="preserve">aanbod </w:t>
            </w:r>
            <w:r w:rsidRPr="00E67ABE" w:rsidR="0019714A">
              <w:rPr>
                <w:szCs w:val="16"/>
              </w:rPr>
              <w:t>ook niet afwijzen omdat de tarieven te hoog zijn</w:t>
            </w:r>
            <w:r w:rsidRPr="00E67ABE" w:rsidR="006E74E9">
              <w:rPr>
                <w:szCs w:val="16"/>
              </w:rPr>
              <w:t>.</w:t>
            </w:r>
            <w:r w:rsidRPr="00E67ABE" w:rsidR="00F22141">
              <w:rPr>
                <w:szCs w:val="16"/>
              </w:rPr>
              <w:t xml:space="preserve"> Hierdoor wordt een eerste controle op de tarieven gemist (zie ook bijlage </w:t>
            </w:r>
            <w:proofErr w:type="spellStart"/>
            <w:r w:rsidRPr="00E67ABE" w:rsidR="00F22141">
              <w:rPr>
                <w:szCs w:val="16"/>
              </w:rPr>
              <w:t>kostengebaseerde</w:t>
            </w:r>
            <w:proofErr w:type="spellEnd"/>
            <w:r w:rsidRPr="00E67ABE" w:rsidR="00F22141">
              <w:rPr>
                <w:szCs w:val="16"/>
              </w:rPr>
              <w:t xml:space="preserve"> tarieven). </w:t>
            </w:r>
            <w:r w:rsidRPr="00E67ABE" w:rsidR="001861D2">
              <w:rPr>
                <w:szCs w:val="16"/>
              </w:rPr>
              <w:t xml:space="preserve">Ze hebben evenmin zeggenschap over de bronnen, terwijl lokale bronnen juist belangrijk kunnen zijn. Nu gemeenten deze bevoegdheden niet hebben, </w:t>
            </w:r>
            <w:r w:rsidRPr="00E67ABE" w:rsidR="00294C66">
              <w:rPr>
                <w:szCs w:val="16"/>
              </w:rPr>
              <w:t>kunnen burgers daar ook niet op inspreken.</w:t>
            </w:r>
          </w:p>
          <w:p w:rsidRPr="00E67ABE" w:rsidR="00294C66" w:rsidP="00E67ABE" w:rsidRDefault="00294C66" w14:paraId="1BEEF434" w14:textId="533E2EE1">
            <w:pPr>
              <w:pStyle w:val="Lijstalinea"/>
              <w:spacing w:line="240" w:lineRule="auto"/>
              <w:ind w:left="360"/>
              <w:rPr>
                <w:szCs w:val="16"/>
              </w:rPr>
            </w:pPr>
          </w:p>
          <w:p w:rsidRPr="00E67ABE" w:rsidR="00F02C97" w:rsidP="00E67ABE" w:rsidRDefault="00F02C97" w14:paraId="02A52937" w14:textId="12C3AE1E">
            <w:pPr>
              <w:pStyle w:val="Lijstalinea"/>
              <w:spacing w:line="240" w:lineRule="auto"/>
              <w:ind w:left="360"/>
              <w:rPr>
                <w:szCs w:val="16"/>
              </w:rPr>
            </w:pPr>
            <w:r w:rsidRPr="00E67ABE">
              <w:rPr>
                <w:szCs w:val="16"/>
              </w:rPr>
              <w:t xml:space="preserve">Het levert veel obstakels op dat in een heel vroeg stadium een partij een </w:t>
            </w:r>
            <w:proofErr w:type="spellStart"/>
            <w:r w:rsidRPr="00E67ABE">
              <w:rPr>
                <w:szCs w:val="16"/>
              </w:rPr>
              <w:t>monopoliepositie</w:t>
            </w:r>
            <w:proofErr w:type="spellEnd"/>
            <w:r w:rsidRPr="00E67ABE">
              <w:rPr>
                <w:szCs w:val="16"/>
              </w:rPr>
              <w:t xml:space="preserve"> toegewezen krijgt op basis van een heel erg globaal kavelplan zonder garanties ten aanzien van betaalbaarheid. </w:t>
            </w:r>
            <w:r w:rsidRPr="00E67ABE" w:rsidR="00A47178">
              <w:rPr>
                <w:szCs w:val="16"/>
              </w:rPr>
              <w:t xml:space="preserve">In de landen om ons heen </w:t>
            </w:r>
            <w:r w:rsidRPr="00E67ABE" w:rsidR="000741B4">
              <w:rPr>
                <w:szCs w:val="16"/>
              </w:rPr>
              <w:t xml:space="preserve">is er meestal eerst een gedetailleerd kavelplan en de gemeente beslist dan of het wordt toegewezen, afgewezen of dat het veranderd moet worden. </w:t>
            </w:r>
            <w:r w:rsidRPr="00E67ABE" w:rsidR="00B04587">
              <w:rPr>
                <w:szCs w:val="16"/>
              </w:rPr>
              <w:t xml:space="preserve">Dat biedt ook duidelijkheid voor iedereen. </w:t>
            </w:r>
            <w:r w:rsidRPr="00E67ABE" w:rsidR="000E39C4">
              <w:rPr>
                <w:szCs w:val="16"/>
              </w:rPr>
              <w:t>Gemeenten</w:t>
            </w:r>
            <w:r w:rsidRPr="00E67ABE" w:rsidR="002456E6">
              <w:rPr>
                <w:szCs w:val="16"/>
              </w:rPr>
              <w:t xml:space="preserve"> (en hun adviseurs)</w:t>
            </w:r>
            <w:r w:rsidRPr="00E67ABE" w:rsidR="000E39C4">
              <w:rPr>
                <w:szCs w:val="16"/>
              </w:rPr>
              <w:t xml:space="preserve"> zijn goed in staat om een verstandige beslissing te nemen, </w:t>
            </w:r>
            <w:r w:rsidRPr="00E67ABE" w:rsidR="00B04587">
              <w:rPr>
                <w:szCs w:val="16"/>
              </w:rPr>
              <w:t xml:space="preserve">met een afweging van alle lokale belangen, </w:t>
            </w:r>
            <w:r w:rsidRPr="00E67ABE" w:rsidR="000E39C4">
              <w:rPr>
                <w:szCs w:val="16"/>
              </w:rPr>
              <w:t xml:space="preserve">zeker als de </w:t>
            </w:r>
            <w:r w:rsidRPr="00E67ABE" w:rsidR="00B04587">
              <w:rPr>
                <w:szCs w:val="16"/>
              </w:rPr>
              <w:t xml:space="preserve">centrale </w:t>
            </w:r>
            <w:r w:rsidRPr="00E67ABE" w:rsidR="000E39C4">
              <w:rPr>
                <w:szCs w:val="16"/>
              </w:rPr>
              <w:t>overheid een goede gereedschapskist heeft ontwikkeld</w:t>
            </w:r>
            <w:r w:rsidRPr="00E67ABE" w:rsidR="002456E6">
              <w:rPr>
                <w:szCs w:val="16"/>
              </w:rPr>
              <w:t xml:space="preserve"> (zie bijlagen kavelsystematiek en </w:t>
            </w:r>
            <w:proofErr w:type="spellStart"/>
            <w:r w:rsidRPr="00E67ABE" w:rsidR="002456E6">
              <w:rPr>
                <w:szCs w:val="16"/>
              </w:rPr>
              <w:t>kostengebaseerde</w:t>
            </w:r>
            <w:proofErr w:type="spellEnd"/>
            <w:r w:rsidRPr="00E67ABE" w:rsidR="002456E6">
              <w:rPr>
                <w:szCs w:val="16"/>
              </w:rPr>
              <w:t xml:space="preserve"> tarieven).</w:t>
            </w:r>
          </w:p>
          <w:p w:rsidRPr="00E67ABE" w:rsidR="0024756E" w:rsidP="00E67ABE" w:rsidRDefault="00376AA5" w14:paraId="5B3712F5" w14:textId="7D3226FB">
            <w:pPr>
              <w:pStyle w:val="Lijstalinea"/>
              <w:spacing w:line="240" w:lineRule="auto"/>
              <w:ind w:left="360"/>
              <w:rPr>
                <w:szCs w:val="16"/>
              </w:rPr>
            </w:pPr>
            <w:r w:rsidRPr="00E67ABE">
              <w:rPr>
                <w:i/>
                <w:iCs/>
                <w:szCs w:val="16"/>
              </w:rPr>
              <w:t xml:space="preserve">Aanbeveling: </w:t>
            </w:r>
            <w:r w:rsidRPr="00E67ABE" w:rsidR="0024756E">
              <w:rPr>
                <w:i/>
                <w:iCs/>
                <w:szCs w:val="16"/>
              </w:rPr>
              <w:t>Vereenvoudig het systeem van toewijzing van kavels in het wetsvoorstel. Het definitieve kavelplan dient daarbij de leidraad te zijn</w:t>
            </w:r>
            <w:r w:rsidRPr="00E67ABE" w:rsidR="00E76E03">
              <w:rPr>
                <w:i/>
                <w:iCs/>
                <w:szCs w:val="16"/>
              </w:rPr>
              <w:t xml:space="preserve"> voor toewijzing van het kavel.</w:t>
            </w:r>
            <w:r w:rsidRPr="00E67ABE" w:rsidR="0024756E">
              <w:rPr>
                <w:i/>
                <w:iCs/>
                <w:szCs w:val="16"/>
              </w:rPr>
              <w:t xml:space="preserve"> Baseer d</w:t>
            </w:r>
            <w:r w:rsidRPr="00E67ABE" w:rsidR="00E76E03">
              <w:rPr>
                <w:i/>
                <w:iCs/>
                <w:szCs w:val="16"/>
              </w:rPr>
              <w:t>eze toewijzing</w:t>
            </w:r>
            <w:r w:rsidRPr="00E67ABE" w:rsidR="0024756E">
              <w:rPr>
                <w:i/>
                <w:iCs/>
                <w:szCs w:val="16"/>
              </w:rPr>
              <w:t xml:space="preserve"> op een concreet en transparant plan, met indicatieve tarieven, een maatschappelijke kosten-batenanalyse en een beschrijving van de</w:t>
            </w:r>
            <w:r w:rsidRPr="00E67ABE" w:rsidR="003404C8">
              <w:rPr>
                <w:i/>
                <w:iCs/>
                <w:szCs w:val="16"/>
              </w:rPr>
              <w:t xml:space="preserve"> bronnen en hun</w:t>
            </w:r>
            <w:r w:rsidRPr="00E67ABE" w:rsidR="0024756E">
              <w:rPr>
                <w:i/>
                <w:iCs/>
                <w:szCs w:val="16"/>
              </w:rPr>
              <w:t xml:space="preserve"> duurzaamheid</w:t>
            </w:r>
            <w:r w:rsidRPr="00E67ABE" w:rsidR="003404C8">
              <w:rPr>
                <w:i/>
                <w:iCs/>
                <w:szCs w:val="16"/>
              </w:rPr>
              <w:t>.</w:t>
            </w:r>
            <w:r w:rsidRPr="00E67ABE" w:rsidR="0024756E">
              <w:rPr>
                <w:i/>
                <w:iCs/>
                <w:szCs w:val="16"/>
              </w:rPr>
              <w:t xml:space="preserve"> Geef gemeenten de ruime vrijheid om (delen van) dit plan toe of af te wijzen</w:t>
            </w:r>
            <w:r w:rsidRPr="00E67ABE" w:rsidR="0044257C">
              <w:rPr>
                <w:i/>
                <w:iCs/>
                <w:szCs w:val="16"/>
              </w:rPr>
              <w:t xml:space="preserve">, dan wel er regels aan te verbinden die </w:t>
            </w:r>
            <w:r w:rsidRPr="00E67ABE" w:rsidR="004515F4">
              <w:rPr>
                <w:i/>
                <w:iCs/>
                <w:szCs w:val="16"/>
              </w:rPr>
              <w:t>zij wensen.</w:t>
            </w:r>
          </w:p>
          <w:p w:rsidRPr="00E67ABE" w:rsidR="00F02C97" w:rsidP="00E67ABE" w:rsidRDefault="00F02C97" w14:paraId="5DC30AF0" w14:textId="77777777">
            <w:pPr>
              <w:pStyle w:val="Lijstalinea"/>
              <w:spacing w:line="240" w:lineRule="auto"/>
              <w:ind w:left="360"/>
              <w:rPr>
                <w:i/>
                <w:iCs/>
                <w:szCs w:val="16"/>
              </w:rPr>
            </w:pPr>
          </w:p>
          <w:p w:rsidRPr="00E67ABE" w:rsidR="004A2BC6" w:rsidP="00E67ABE" w:rsidRDefault="0045477B" w14:paraId="04D03071" w14:textId="266F1D09">
            <w:pPr>
              <w:pStyle w:val="Lijstalinea"/>
              <w:spacing w:line="240" w:lineRule="auto"/>
              <w:ind w:left="360"/>
              <w:rPr>
                <w:i/>
                <w:iCs/>
                <w:szCs w:val="16"/>
              </w:rPr>
            </w:pPr>
            <w:r w:rsidRPr="00E67ABE">
              <w:rPr>
                <w:i/>
                <w:iCs/>
                <w:szCs w:val="16"/>
              </w:rPr>
              <w:lastRenderedPageBreak/>
              <w:t>Aanbeveling</w:t>
            </w:r>
            <w:r w:rsidRPr="00E67ABE" w:rsidR="004A2BC6">
              <w:rPr>
                <w:i/>
                <w:iCs/>
                <w:szCs w:val="16"/>
              </w:rPr>
              <w:t xml:space="preserve">: Zorg dat </w:t>
            </w:r>
            <w:r w:rsidRPr="00E67ABE" w:rsidR="00B64264">
              <w:rPr>
                <w:i/>
                <w:iCs/>
                <w:szCs w:val="16"/>
              </w:rPr>
              <w:t xml:space="preserve">de </w:t>
            </w:r>
            <w:r w:rsidRPr="00E67ABE" w:rsidR="004A2BC6">
              <w:rPr>
                <w:i/>
                <w:iCs/>
                <w:szCs w:val="16"/>
              </w:rPr>
              <w:t>ondersteunende instrumenten</w:t>
            </w:r>
            <w:r w:rsidRPr="00E67ABE" w:rsidR="00B64264">
              <w:rPr>
                <w:i/>
                <w:iCs/>
                <w:szCs w:val="16"/>
              </w:rPr>
              <w:t xml:space="preserve"> tijdig, dus voorafgaand aan </w:t>
            </w:r>
            <w:r w:rsidRPr="00E67ABE" w:rsidR="00C614CA">
              <w:rPr>
                <w:i/>
                <w:iCs/>
                <w:szCs w:val="16"/>
              </w:rPr>
              <w:t xml:space="preserve">de toewijzingen, worden </w:t>
            </w:r>
            <w:r w:rsidRPr="00E67ABE" w:rsidR="004A2BC6">
              <w:rPr>
                <w:i/>
                <w:iCs/>
                <w:szCs w:val="16"/>
              </w:rPr>
              <w:t xml:space="preserve">ontwikkeld </w:t>
            </w:r>
            <w:r w:rsidRPr="00E67ABE" w:rsidR="00EE44C8">
              <w:rPr>
                <w:i/>
                <w:iCs/>
                <w:szCs w:val="16"/>
              </w:rPr>
              <w:t>om de taken van gemeenten</w:t>
            </w:r>
            <w:r w:rsidRPr="00E67ABE" w:rsidR="00EC6F22">
              <w:rPr>
                <w:i/>
                <w:iCs/>
                <w:szCs w:val="16"/>
              </w:rPr>
              <w:t xml:space="preserve"> </w:t>
            </w:r>
            <w:r w:rsidRPr="00E67ABE" w:rsidR="00EE44C8">
              <w:rPr>
                <w:i/>
                <w:iCs/>
                <w:szCs w:val="16"/>
              </w:rPr>
              <w:t>te vergemakkelijken.</w:t>
            </w:r>
            <w:r w:rsidRPr="00E67ABE" w:rsidR="00913215">
              <w:rPr>
                <w:i/>
                <w:iCs/>
                <w:szCs w:val="16"/>
              </w:rPr>
              <w:t xml:space="preserve"> </w:t>
            </w:r>
            <w:r w:rsidRPr="00E67ABE" w:rsidR="008D785F">
              <w:rPr>
                <w:i/>
                <w:iCs/>
                <w:szCs w:val="16"/>
              </w:rPr>
              <w:t>Daarbij gaat het om boekhoudregels,</w:t>
            </w:r>
            <w:r w:rsidRPr="00E67ABE" w:rsidR="00B75CCE">
              <w:rPr>
                <w:i/>
                <w:iCs/>
                <w:szCs w:val="16"/>
              </w:rPr>
              <w:t xml:space="preserve"> een gestandaardiseerde socio-economische analyse en een techniekcatalogus. </w:t>
            </w:r>
          </w:p>
          <w:p w:rsidRPr="00E67ABE" w:rsidR="00913215" w:rsidP="00E67ABE" w:rsidRDefault="00913215" w14:paraId="467AB4E9" w14:textId="77777777">
            <w:pPr>
              <w:pStyle w:val="Lijstalinea"/>
              <w:spacing w:line="240" w:lineRule="auto"/>
              <w:ind w:left="360"/>
              <w:rPr>
                <w:i/>
                <w:iCs/>
                <w:szCs w:val="16"/>
              </w:rPr>
            </w:pPr>
          </w:p>
          <w:p w:rsidRPr="00E67ABE" w:rsidR="0031428B" w:rsidP="00F7691B" w:rsidRDefault="008F50FD" w14:paraId="0DE1FE9E" w14:textId="3425129E">
            <w:pPr>
              <w:pStyle w:val="Lijstalinea"/>
              <w:numPr>
                <w:ilvl w:val="0"/>
                <w:numId w:val="51"/>
              </w:numPr>
              <w:spacing w:line="240" w:lineRule="auto"/>
              <w:ind w:left="341" w:hanging="284"/>
              <w:rPr>
                <w:i/>
                <w:iCs/>
                <w:szCs w:val="16"/>
              </w:rPr>
            </w:pPr>
            <w:r w:rsidRPr="00E67ABE">
              <w:rPr>
                <w:b/>
                <w:bCs/>
                <w:szCs w:val="16"/>
              </w:rPr>
              <w:t>Vereiste van publiek meerderheidsbelang of warmtegemeenschap</w:t>
            </w:r>
            <w:r w:rsidRPr="00E67ABE" w:rsidR="0031428B">
              <w:rPr>
                <w:b/>
                <w:bCs/>
                <w:szCs w:val="16"/>
              </w:rPr>
              <w:t>: voordelen en beperkingen</w:t>
            </w:r>
            <w:r w:rsidRPr="00E67ABE" w:rsidR="0031428B">
              <w:rPr>
                <w:szCs w:val="16"/>
              </w:rPr>
              <w:t xml:space="preserve">. Publiek eigendom heeft voordelen: publieke financiering kan bijvoorbeeld goedkoper zijn dan private financiering, en ze heeft een langere tijdshorizon, wat goed past bij warmtenetten. Een keerzijde hiervan is dat ook het financiële risico </w:t>
            </w:r>
            <w:r w:rsidRPr="00E67ABE" w:rsidR="00BE3FCD">
              <w:rPr>
                <w:szCs w:val="16"/>
              </w:rPr>
              <w:t xml:space="preserve">bij de publieke partij komt te liggen </w:t>
            </w:r>
            <w:r w:rsidRPr="00E67ABE" w:rsidR="0031428B">
              <w:rPr>
                <w:szCs w:val="16"/>
              </w:rPr>
              <w:t>als warmte te duur blijkt.</w:t>
            </w:r>
            <w:r w:rsidRPr="00E67ABE" w:rsidR="00EC6F22">
              <w:rPr>
                <w:szCs w:val="16"/>
              </w:rPr>
              <w:t xml:space="preserve"> </w:t>
            </w:r>
          </w:p>
          <w:p w:rsidRPr="00E67ABE" w:rsidR="0031428B" w:rsidP="00E67ABE" w:rsidRDefault="0031428B" w14:paraId="31F1A1C8" w14:textId="77777777">
            <w:pPr>
              <w:pStyle w:val="Lijstalinea"/>
              <w:spacing w:line="240" w:lineRule="auto"/>
              <w:ind w:left="360"/>
              <w:rPr>
                <w:b/>
                <w:bCs/>
                <w:szCs w:val="16"/>
              </w:rPr>
            </w:pPr>
          </w:p>
          <w:p w:rsidRPr="00E67ABE" w:rsidR="00B817EA" w:rsidP="00E67ABE" w:rsidRDefault="0031428B" w14:paraId="20862F15" w14:textId="27081657">
            <w:pPr>
              <w:pStyle w:val="Lijstalinea"/>
              <w:spacing w:line="240" w:lineRule="auto"/>
              <w:ind w:left="360"/>
              <w:rPr>
                <w:szCs w:val="16"/>
              </w:rPr>
            </w:pPr>
            <w:r w:rsidRPr="00E67ABE">
              <w:rPr>
                <w:szCs w:val="16"/>
              </w:rPr>
              <w:t xml:space="preserve">Volgens de </w:t>
            </w:r>
            <w:proofErr w:type="spellStart"/>
            <w:r w:rsidRPr="00E67ABE">
              <w:rPr>
                <w:szCs w:val="16"/>
              </w:rPr>
              <w:t>MvT</w:t>
            </w:r>
            <w:proofErr w:type="spellEnd"/>
            <w:r w:rsidRPr="00E67ABE">
              <w:rPr>
                <w:szCs w:val="16"/>
              </w:rPr>
              <w:t xml:space="preserve"> is publiek eigendom nodig voor borging van publieke belangen en het vergroten van publieke sturing. </w:t>
            </w:r>
            <w:r w:rsidRPr="00E67ABE" w:rsidR="00F91860">
              <w:rPr>
                <w:szCs w:val="16"/>
              </w:rPr>
              <w:t xml:space="preserve">Een belangrijk publiek belang is dat </w:t>
            </w:r>
            <w:r w:rsidRPr="00E67ABE">
              <w:rPr>
                <w:szCs w:val="16"/>
              </w:rPr>
              <w:t xml:space="preserve">afnemers </w:t>
            </w:r>
            <w:r w:rsidRPr="00E67ABE" w:rsidR="00F91860">
              <w:rPr>
                <w:szCs w:val="16"/>
              </w:rPr>
              <w:t xml:space="preserve">beschermd worden </w:t>
            </w:r>
            <w:r w:rsidRPr="00E67ABE">
              <w:rPr>
                <w:szCs w:val="16"/>
              </w:rPr>
              <w:t xml:space="preserve">zodat de afhankelijkheid van het monopolie van de exploitant wordt verminderd. </w:t>
            </w:r>
          </w:p>
          <w:p w:rsidRPr="00E67ABE" w:rsidR="0031428B" w:rsidP="00E67ABE" w:rsidRDefault="0031428B" w14:paraId="1DD839D8" w14:textId="1341B930">
            <w:pPr>
              <w:pStyle w:val="Lijstalinea"/>
              <w:spacing w:line="240" w:lineRule="auto"/>
              <w:ind w:left="360"/>
              <w:rPr>
                <w:szCs w:val="16"/>
              </w:rPr>
            </w:pPr>
            <w:r w:rsidRPr="00E67ABE">
              <w:rPr>
                <w:szCs w:val="16"/>
              </w:rPr>
              <w:t xml:space="preserve">In de huidige private marktordening lukt </w:t>
            </w:r>
            <w:r w:rsidRPr="00E67ABE" w:rsidR="00B817EA">
              <w:rPr>
                <w:szCs w:val="16"/>
              </w:rPr>
              <w:t xml:space="preserve">het </w:t>
            </w:r>
            <w:r w:rsidRPr="00E67ABE">
              <w:rPr>
                <w:szCs w:val="16"/>
              </w:rPr>
              <w:t xml:space="preserve">onvoldoende, </w:t>
            </w:r>
            <w:r w:rsidRPr="00E67ABE" w:rsidR="00B817EA">
              <w:rPr>
                <w:szCs w:val="16"/>
              </w:rPr>
              <w:t xml:space="preserve">maar ook met </w:t>
            </w:r>
            <w:r w:rsidRPr="00E67ABE">
              <w:rPr>
                <w:szCs w:val="16"/>
              </w:rPr>
              <w:t xml:space="preserve">publiek </w:t>
            </w:r>
            <w:r w:rsidRPr="00E67ABE" w:rsidR="00B817EA">
              <w:rPr>
                <w:szCs w:val="16"/>
              </w:rPr>
              <w:t xml:space="preserve">eigendom is er </w:t>
            </w:r>
            <w:r w:rsidRPr="00E67ABE" w:rsidR="00C27427">
              <w:rPr>
                <w:szCs w:val="16"/>
              </w:rPr>
              <w:t xml:space="preserve">geen zekerheid dat </w:t>
            </w:r>
            <w:r w:rsidRPr="00E67ABE" w:rsidR="00B817EA">
              <w:rPr>
                <w:szCs w:val="16"/>
              </w:rPr>
              <w:t xml:space="preserve">op dit </w:t>
            </w:r>
            <w:r w:rsidRPr="00E67ABE" w:rsidR="008E75C8">
              <w:rPr>
                <w:szCs w:val="16"/>
              </w:rPr>
              <w:t>lokale</w:t>
            </w:r>
            <w:r w:rsidRPr="00E67ABE" w:rsidR="00793737">
              <w:rPr>
                <w:szCs w:val="16"/>
              </w:rPr>
              <w:t xml:space="preserve"> publieke </w:t>
            </w:r>
            <w:r w:rsidRPr="00E67ABE" w:rsidR="00B817EA">
              <w:rPr>
                <w:szCs w:val="16"/>
              </w:rPr>
              <w:t xml:space="preserve">belang </w:t>
            </w:r>
            <w:r w:rsidRPr="00E67ABE" w:rsidR="00C27427">
              <w:rPr>
                <w:szCs w:val="16"/>
              </w:rPr>
              <w:t>gestuurd wordt</w:t>
            </w:r>
            <w:r w:rsidRPr="00E67ABE" w:rsidR="00B817EA">
              <w:rPr>
                <w:szCs w:val="16"/>
              </w:rPr>
              <w:t>.</w:t>
            </w:r>
            <w:r w:rsidRPr="00E67ABE">
              <w:rPr>
                <w:szCs w:val="16"/>
              </w:rPr>
              <w:t xml:space="preserve"> </w:t>
            </w:r>
            <w:r w:rsidRPr="00E67ABE">
              <w:rPr>
                <w:i/>
                <w:iCs/>
                <w:szCs w:val="16"/>
              </w:rPr>
              <w:t>Een voorbeeld</w:t>
            </w:r>
            <w:r w:rsidRPr="00E67ABE">
              <w:rPr>
                <w:szCs w:val="16"/>
              </w:rPr>
              <w:t>: Als gemeenten een minderheidsbelang hebben in een groot warmtenet met een versplinterd aandeelhouderschap, kunnen zij maar weinig sturen op de lokale publieke belangen. Burgers zijn dan afhankelijk van de koers van het (publieke) warmtebedrijf, zonder dat duidelijk is of deze besluiten zal nemen in diens belang.</w:t>
            </w:r>
            <w:r w:rsidRPr="00E67ABE">
              <w:rPr>
                <w:szCs w:val="16"/>
                <w:vertAlign w:val="superscript"/>
              </w:rPr>
              <w:footnoteReference w:id="6"/>
            </w:r>
          </w:p>
          <w:p w:rsidRPr="00E67ABE" w:rsidR="00C70598" w:rsidP="00E67ABE" w:rsidRDefault="00C70598" w14:paraId="0DF95462" w14:textId="77777777">
            <w:pPr>
              <w:pStyle w:val="Lijstalinea"/>
              <w:spacing w:line="240" w:lineRule="auto"/>
              <w:ind w:left="360"/>
              <w:rPr>
                <w:i/>
                <w:iCs/>
                <w:szCs w:val="16"/>
              </w:rPr>
            </w:pPr>
          </w:p>
          <w:p w:rsidRPr="00E67ABE" w:rsidR="0031428B" w:rsidP="00E67ABE" w:rsidRDefault="0031428B" w14:paraId="449F3030" w14:textId="45A60ACE">
            <w:pPr>
              <w:pStyle w:val="Lijstalinea"/>
              <w:spacing w:line="240" w:lineRule="auto"/>
              <w:ind w:left="360"/>
              <w:rPr>
                <w:i/>
                <w:iCs/>
                <w:szCs w:val="16"/>
              </w:rPr>
            </w:pPr>
            <w:r w:rsidRPr="00E67ABE">
              <w:rPr>
                <w:i/>
                <w:iCs/>
                <w:szCs w:val="16"/>
              </w:rPr>
              <w:t xml:space="preserve">Aanbeveling: Zorg dat de gekozen eigendomsstructuur aansluit op </w:t>
            </w:r>
            <w:r w:rsidRPr="00E67ABE" w:rsidR="008E75C8">
              <w:rPr>
                <w:i/>
                <w:iCs/>
                <w:szCs w:val="16"/>
              </w:rPr>
              <w:t xml:space="preserve">de </w:t>
            </w:r>
            <w:r w:rsidRPr="00E67ABE">
              <w:rPr>
                <w:i/>
                <w:iCs/>
                <w:szCs w:val="16"/>
              </w:rPr>
              <w:t>lokale belangen.</w:t>
            </w:r>
          </w:p>
          <w:p w:rsidRPr="00E67ABE" w:rsidR="00793737" w:rsidP="00E67ABE" w:rsidRDefault="00793737" w14:paraId="13F1CF55" w14:textId="77777777">
            <w:pPr>
              <w:pStyle w:val="Lijstalinea"/>
              <w:spacing w:line="240" w:lineRule="auto"/>
              <w:ind w:left="360"/>
              <w:rPr>
                <w:i/>
                <w:iCs/>
                <w:szCs w:val="16"/>
              </w:rPr>
            </w:pPr>
          </w:p>
          <w:p w:rsidRPr="00E67ABE" w:rsidR="00793737" w:rsidP="00E67ABE" w:rsidRDefault="006B3928" w14:paraId="5C5E4C6F" w14:textId="0D480C25">
            <w:pPr>
              <w:pStyle w:val="Lijstalinea"/>
              <w:spacing w:line="240" w:lineRule="auto"/>
              <w:ind w:left="360"/>
              <w:rPr>
                <w:szCs w:val="16"/>
              </w:rPr>
            </w:pPr>
            <w:r w:rsidRPr="00E67ABE">
              <w:rPr>
                <w:szCs w:val="16"/>
              </w:rPr>
              <w:t>Een positief onderdeel van deze wet is de volwaardige positie van</w:t>
            </w:r>
            <w:r w:rsidRPr="00E67ABE" w:rsidR="00BE3FCD">
              <w:rPr>
                <w:szCs w:val="16"/>
              </w:rPr>
              <w:t xml:space="preserve"> </w:t>
            </w:r>
            <w:r w:rsidRPr="00E67ABE">
              <w:rPr>
                <w:szCs w:val="16"/>
              </w:rPr>
              <w:t xml:space="preserve">warmtegemeenschappen. </w:t>
            </w:r>
            <w:r w:rsidRPr="00E67ABE" w:rsidR="00F0789A">
              <w:rPr>
                <w:szCs w:val="16"/>
              </w:rPr>
              <w:t xml:space="preserve">Zij kunnen een ontheffing krijgen als het om minder dan 1500 aansluitingen gaat. Daarbij is echter bepaald dat groot gaat voor klein: deze ontheffing ontvangen zij niet als het eventueel ten koste kan gaan van grootschalige plannen. </w:t>
            </w:r>
            <w:r w:rsidRPr="00E67ABE" w:rsidR="00737295">
              <w:rPr>
                <w:szCs w:val="16"/>
              </w:rPr>
              <w:t xml:space="preserve">Het weigeren van een ontheffing van een door de wijk gedragen warmtegemeenschap </w:t>
            </w:r>
            <w:r w:rsidRPr="00E67ABE" w:rsidR="0075378D">
              <w:rPr>
                <w:szCs w:val="16"/>
              </w:rPr>
              <w:t xml:space="preserve">is schadelijk voor het draagvlak en de actieve participatie van </w:t>
            </w:r>
            <w:r w:rsidRPr="00E67ABE" w:rsidR="00AC018F">
              <w:rPr>
                <w:szCs w:val="16"/>
              </w:rPr>
              <w:t xml:space="preserve">bewoners. </w:t>
            </w:r>
            <w:r w:rsidRPr="00E67ABE" w:rsidR="009B57B8">
              <w:rPr>
                <w:szCs w:val="16"/>
              </w:rPr>
              <w:t>De voorkeur van de gebruikers van een energiesysteem zou voorop moeten staan</w:t>
            </w:r>
            <w:r w:rsidRPr="00E67ABE" w:rsidR="00F23973">
              <w:rPr>
                <w:szCs w:val="16"/>
              </w:rPr>
              <w:t xml:space="preserve"> bij de toewijzing van een ontheffing. </w:t>
            </w:r>
          </w:p>
          <w:p w:rsidRPr="00E67ABE" w:rsidR="00C70598" w:rsidP="00E67ABE" w:rsidRDefault="00C70598" w14:paraId="5CBB430E" w14:textId="77777777">
            <w:pPr>
              <w:pStyle w:val="Lijstalinea"/>
              <w:spacing w:line="240" w:lineRule="auto"/>
              <w:ind w:left="360"/>
              <w:rPr>
                <w:i/>
                <w:iCs/>
                <w:szCs w:val="16"/>
              </w:rPr>
            </w:pPr>
          </w:p>
          <w:p w:rsidRPr="00E67ABE" w:rsidR="00F23973" w:rsidP="00E67ABE" w:rsidRDefault="00F23973" w14:paraId="4E354E93" w14:textId="37EB662B">
            <w:pPr>
              <w:pStyle w:val="Lijstalinea"/>
              <w:spacing w:line="240" w:lineRule="auto"/>
              <w:ind w:left="360"/>
              <w:rPr>
                <w:i/>
                <w:iCs/>
                <w:szCs w:val="16"/>
              </w:rPr>
            </w:pPr>
            <w:r w:rsidRPr="00E67ABE">
              <w:rPr>
                <w:i/>
                <w:iCs/>
                <w:szCs w:val="16"/>
              </w:rPr>
              <w:t xml:space="preserve">Aanbeveling: </w:t>
            </w:r>
            <w:r w:rsidRPr="00E67ABE" w:rsidR="00EF2C5E">
              <w:rPr>
                <w:i/>
                <w:iCs/>
                <w:szCs w:val="16"/>
              </w:rPr>
              <w:t xml:space="preserve">geef warmtegemeenschappen een voorkeursrecht, als zij gedragen worden door de gebruikers in een wijk. </w:t>
            </w:r>
          </w:p>
          <w:p w:rsidRPr="00E67ABE" w:rsidR="008E75C8" w:rsidP="00E67ABE" w:rsidRDefault="008E75C8" w14:paraId="76065C24" w14:textId="28D2478E">
            <w:pPr>
              <w:spacing w:line="240" w:lineRule="auto"/>
              <w:rPr>
                <w:szCs w:val="16"/>
                <w:highlight w:val="yellow"/>
              </w:rPr>
            </w:pPr>
          </w:p>
          <w:p w:rsidRPr="00E67ABE" w:rsidR="00B3312B" w:rsidP="00F7691B" w:rsidRDefault="00BA2785" w14:paraId="211A774D" w14:textId="5E6A839C">
            <w:pPr>
              <w:pStyle w:val="Lijstalinea"/>
              <w:numPr>
                <w:ilvl w:val="0"/>
                <w:numId w:val="51"/>
              </w:numPr>
              <w:spacing w:line="240" w:lineRule="auto"/>
              <w:ind w:left="341" w:hanging="284"/>
              <w:rPr>
                <w:szCs w:val="16"/>
              </w:rPr>
            </w:pPr>
            <w:r w:rsidRPr="00E67ABE">
              <w:rPr>
                <w:b/>
                <w:bCs/>
                <w:szCs w:val="16"/>
              </w:rPr>
              <w:t>Gefaseerde overgang naar</w:t>
            </w:r>
            <w:r w:rsidRPr="00E67ABE" w:rsidR="00B3312B">
              <w:rPr>
                <w:b/>
                <w:bCs/>
                <w:szCs w:val="16"/>
              </w:rPr>
              <w:t xml:space="preserve"> een</w:t>
            </w:r>
            <w:r w:rsidRPr="00E67ABE">
              <w:rPr>
                <w:b/>
                <w:bCs/>
                <w:szCs w:val="16"/>
              </w:rPr>
              <w:t xml:space="preserve"> </w:t>
            </w:r>
            <w:proofErr w:type="spellStart"/>
            <w:r w:rsidRPr="00E67ABE">
              <w:rPr>
                <w:b/>
                <w:bCs/>
                <w:szCs w:val="16"/>
              </w:rPr>
              <w:t>kostengebaseerde</w:t>
            </w:r>
            <w:proofErr w:type="spellEnd"/>
            <w:r w:rsidRPr="00E67ABE">
              <w:rPr>
                <w:b/>
                <w:bCs/>
                <w:szCs w:val="16"/>
              </w:rPr>
              <w:t xml:space="preserve"> tarie</w:t>
            </w:r>
            <w:r w:rsidRPr="00E67ABE" w:rsidR="00B3312B">
              <w:rPr>
                <w:b/>
                <w:bCs/>
                <w:szCs w:val="16"/>
              </w:rPr>
              <w:t>fsystematiek</w:t>
            </w:r>
            <w:r w:rsidRPr="00E67ABE">
              <w:rPr>
                <w:b/>
                <w:bCs/>
                <w:szCs w:val="16"/>
              </w:rPr>
              <w:t xml:space="preserve">. </w:t>
            </w:r>
          </w:p>
          <w:p w:rsidRPr="00E67ABE" w:rsidR="00844A14" w:rsidP="00E67ABE" w:rsidRDefault="00242EBB" w14:paraId="31479549" w14:textId="3AF2FE34">
            <w:pPr>
              <w:pStyle w:val="Lijstalinea"/>
              <w:spacing w:line="240" w:lineRule="auto"/>
              <w:ind w:left="360"/>
              <w:rPr>
                <w:szCs w:val="16"/>
              </w:rPr>
            </w:pPr>
            <w:r w:rsidRPr="00E67ABE">
              <w:rPr>
                <w:szCs w:val="16"/>
              </w:rPr>
              <w:t xml:space="preserve">Het is goed dat het </w:t>
            </w:r>
            <w:r w:rsidRPr="00E67ABE" w:rsidR="007452E0">
              <w:rPr>
                <w:szCs w:val="16"/>
              </w:rPr>
              <w:t xml:space="preserve">wetsvoorstel </w:t>
            </w:r>
            <w:proofErr w:type="spellStart"/>
            <w:r w:rsidRPr="00E67ABE" w:rsidR="007452E0">
              <w:rPr>
                <w:szCs w:val="16"/>
              </w:rPr>
              <w:t>kostengebaseerde</w:t>
            </w:r>
            <w:proofErr w:type="spellEnd"/>
            <w:r w:rsidRPr="00E67ABE" w:rsidR="007452E0">
              <w:rPr>
                <w:szCs w:val="16"/>
              </w:rPr>
              <w:t xml:space="preserve"> tarieven introduceert</w:t>
            </w:r>
            <w:r w:rsidRPr="00E67ABE">
              <w:rPr>
                <w:szCs w:val="16"/>
              </w:rPr>
              <w:t xml:space="preserve">. In veel landen werkt een dergelijk systeem goed. </w:t>
            </w:r>
            <w:r w:rsidRPr="00E67ABE" w:rsidR="00844A14">
              <w:rPr>
                <w:szCs w:val="16"/>
              </w:rPr>
              <w:t xml:space="preserve">Echter, in zijn algemeenheid is het een eenvoudig systeem, terwijl </w:t>
            </w:r>
            <w:r w:rsidRPr="00E67ABE" w:rsidR="007452E0">
              <w:rPr>
                <w:szCs w:val="16"/>
              </w:rPr>
              <w:t xml:space="preserve">het voorgestelde systeem </w:t>
            </w:r>
            <w:r w:rsidRPr="00E67ABE" w:rsidR="00844A14">
              <w:rPr>
                <w:szCs w:val="16"/>
              </w:rPr>
              <w:t>onnodig complex is, waardoor veel voordelen wegvallen</w:t>
            </w:r>
            <w:r w:rsidRPr="00E67ABE" w:rsidR="00EC6F22">
              <w:rPr>
                <w:szCs w:val="16"/>
              </w:rPr>
              <w:t xml:space="preserve"> </w:t>
            </w:r>
            <w:r w:rsidRPr="00E67ABE" w:rsidR="007452E0">
              <w:rPr>
                <w:szCs w:val="16"/>
              </w:rPr>
              <w:t xml:space="preserve">(zie bijlage </w:t>
            </w:r>
            <w:proofErr w:type="spellStart"/>
            <w:r w:rsidRPr="00E67ABE" w:rsidR="007452E0">
              <w:rPr>
                <w:i/>
                <w:iCs/>
                <w:szCs w:val="16"/>
              </w:rPr>
              <w:t>kostengebaseerde</w:t>
            </w:r>
            <w:proofErr w:type="spellEnd"/>
            <w:r w:rsidRPr="00E67ABE" w:rsidR="007452E0">
              <w:rPr>
                <w:i/>
                <w:iCs/>
                <w:szCs w:val="16"/>
              </w:rPr>
              <w:t xml:space="preserve"> tarieven</w:t>
            </w:r>
            <w:r w:rsidRPr="00E67ABE" w:rsidR="007452E0">
              <w:rPr>
                <w:szCs w:val="16"/>
              </w:rPr>
              <w:t>).</w:t>
            </w:r>
          </w:p>
          <w:p w:rsidRPr="00E67ABE" w:rsidR="004C3270" w:rsidP="00E67ABE" w:rsidRDefault="004C3270" w14:paraId="29CE4F08" w14:textId="650C3CB3">
            <w:pPr>
              <w:pStyle w:val="Lijstalinea"/>
              <w:spacing w:line="240" w:lineRule="auto"/>
              <w:ind w:left="360"/>
              <w:rPr>
                <w:szCs w:val="16"/>
              </w:rPr>
            </w:pPr>
            <w:r w:rsidRPr="00E67ABE">
              <w:rPr>
                <w:szCs w:val="16"/>
              </w:rPr>
              <w:t>De kern van het systeem is dat bedrijven de kosten noteren volgens vastgestelde boekhoudregels, die voor alle bedrijven gelijk zijn.</w:t>
            </w:r>
            <w:r w:rsidRPr="00E67ABE" w:rsidR="00EC6F22">
              <w:rPr>
                <w:szCs w:val="16"/>
              </w:rPr>
              <w:t xml:space="preserve"> </w:t>
            </w:r>
            <w:r w:rsidRPr="00E67ABE">
              <w:rPr>
                <w:szCs w:val="16"/>
              </w:rPr>
              <w:t xml:space="preserve">Hierdoor kunnen kosten ook goed onderling worden vergeleken. </w:t>
            </w:r>
            <w:r w:rsidRPr="00E67ABE" w:rsidR="005A21EE">
              <w:rPr>
                <w:szCs w:val="16"/>
              </w:rPr>
              <w:t>Vervolgens verdelen deze bedrijven deze vastgestelde kosten over de verbruikers (via de tariefstructuren).</w:t>
            </w:r>
            <w:r w:rsidRPr="00E67ABE" w:rsidR="00EC6F22">
              <w:rPr>
                <w:szCs w:val="16"/>
              </w:rPr>
              <w:t xml:space="preserve"> </w:t>
            </w:r>
            <w:r w:rsidRPr="00E67ABE" w:rsidR="005A21EE">
              <w:rPr>
                <w:szCs w:val="16"/>
              </w:rPr>
              <w:t>Meestal kunnen zij zelf bepalen op welke manier zij dat doen, en er bestaan internationaal dan ook vele verschillende manieren.</w:t>
            </w:r>
            <w:r w:rsidRPr="00E67ABE" w:rsidR="00EC6F22">
              <w:rPr>
                <w:szCs w:val="16"/>
              </w:rPr>
              <w:t xml:space="preserve"> </w:t>
            </w:r>
            <w:r w:rsidRPr="00E67ABE" w:rsidR="005A21EE">
              <w:rPr>
                <w:szCs w:val="16"/>
              </w:rPr>
              <w:t>Zo kunnen zij de tariefstructuren zodanig inrichten dat er prikkels vanuit gaan om de totale kosten van het desbetreffende warmtenet omlaag te brengen.</w:t>
            </w:r>
            <w:r w:rsidRPr="00E67ABE" w:rsidR="00EC6F22">
              <w:rPr>
                <w:szCs w:val="16"/>
              </w:rPr>
              <w:t xml:space="preserve"> </w:t>
            </w:r>
            <w:r w:rsidRPr="00E67ABE" w:rsidR="005A21EE">
              <w:rPr>
                <w:szCs w:val="16"/>
              </w:rPr>
              <w:t>Vele verschillende tariefstructuren zijn mogelijk.</w:t>
            </w:r>
          </w:p>
          <w:p w:rsidRPr="00E67ABE" w:rsidR="00F632C4" w:rsidP="00E67ABE" w:rsidRDefault="005A21EE" w14:paraId="29617655" w14:textId="279A9C0C">
            <w:pPr>
              <w:pStyle w:val="Lijstalinea"/>
              <w:spacing w:line="240" w:lineRule="auto"/>
              <w:ind w:left="360"/>
              <w:rPr>
                <w:szCs w:val="16"/>
              </w:rPr>
            </w:pPr>
            <w:r w:rsidRPr="00E67ABE">
              <w:rPr>
                <w:szCs w:val="16"/>
              </w:rPr>
              <w:t>Het systeem van het wetsvoorstel is zeer gecompliceerd.</w:t>
            </w:r>
            <w:r w:rsidRPr="00E67ABE" w:rsidR="00EC6F22">
              <w:rPr>
                <w:szCs w:val="16"/>
              </w:rPr>
              <w:t xml:space="preserve"> </w:t>
            </w:r>
            <w:r w:rsidRPr="00E67ABE">
              <w:rPr>
                <w:szCs w:val="16"/>
              </w:rPr>
              <w:t>Dat geldt zeker voor de verschillende fasen om het te introduceren.</w:t>
            </w:r>
            <w:r w:rsidRPr="00E67ABE" w:rsidR="00EC6F22">
              <w:rPr>
                <w:szCs w:val="16"/>
              </w:rPr>
              <w:t xml:space="preserve"> </w:t>
            </w:r>
            <w:r w:rsidRPr="00E67ABE">
              <w:rPr>
                <w:szCs w:val="16"/>
              </w:rPr>
              <w:t xml:space="preserve">Daar gaat veel tijd overheen en dat zorgt ook </w:t>
            </w:r>
            <w:r w:rsidRPr="00E67ABE">
              <w:rPr>
                <w:szCs w:val="16"/>
              </w:rPr>
              <w:lastRenderedPageBreak/>
              <w:t xml:space="preserve">voor </w:t>
            </w:r>
            <w:r w:rsidRPr="00E67ABE" w:rsidR="00813318">
              <w:rPr>
                <w:szCs w:val="16"/>
              </w:rPr>
              <w:t>complexiteit en rechtsonzekerheid.</w:t>
            </w:r>
            <w:r w:rsidRPr="00E67ABE" w:rsidR="00EC6F22">
              <w:rPr>
                <w:szCs w:val="16"/>
              </w:rPr>
              <w:t xml:space="preserve"> </w:t>
            </w:r>
            <w:r w:rsidRPr="00E67ABE" w:rsidR="00813318">
              <w:rPr>
                <w:szCs w:val="16"/>
              </w:rPr>
              <w:t xml:space="preserve">Bij nieuwe netten zou </w:t>
            </w:r>
            <w:r w:rsidRPr="00E67ABE" w:rsidR="00540D8C">
              <w:rPr>
                <w:szCs w:val="16"/>
              </w:rPr>
              <w:t xml:space="preserve">de </w:t>
            </w:r>
            <w:proofErr w:type="spellStart"/>
            <w:r w:rsidRPr="00E67ABE" w:rsidR="00540D8C">
              <w:rPr>
                <w:szCs w:val="16"/>
              </w:rPr>
              <w:t>kostengebaseerde</w:t>
            </w:r>
            <w:proofErr w:type="spellEnd"/>
            <w:r w:rsidRPr="00E67ABE" w:rsidR="00540D8C">
              <w:rPr>
                <w:szCs w:val="16"/>
              </w:rPr>
              <w:t xml:space="preserve"> tariefsystematiek meteen ingevoerd </w:t>
            </w:r>
            <w:r w:rsidRPr="00E67ABE" w:rsidR="000C5E44">
              <w:rPr>
                <w:szCs w:val="16"/>
              </w:rPr>
              <w:t>kunnen</w:t>
            </w:r>
            <w:r w:rsidRPr="00E67ABE" w:rsidR="00540D8C">
              <w:rPr>
                <w:szCs w:val="16"/>
              </w:rPr>
              <w:t xml:space="preserve"> worden.</w:t>
            </w:r>
            <w:r w:rsidRPr="00E67ABE" w:rsidR="00EC6F22">
              <w:rPr>
                <w:szCs w:val="16"/>
              </w:rPr>
              <w:t xml:space="preserve"> </w:t>
            </w:r>
            <w:r w:rsidRPr="00E67ABE" w:rsidR="00540D8C">
              <w:rPr>
                <w:szCs w:val="16"/>
              </w:rPr>
              <w:t>Dan weet iedereen waar</w:t>
            </w:r>
            <w:r w:rsidRPr="00E67ABE" w:rsidR="006239FE">
              <w:rPr>
                <w:szCs w:val="16"/>
              </w:rPr>
              <w:t xml:space="preserve"> </w:t>
            </w:r>
            <w:r w:rsidRPr="00E67ABE" w:rsidR="00540D8C">
              <w:rPr>
                <w:szCs w:val="16"/>
              </w:rPr>
              <w:t xml:space="preserve">hij </w:t>
            </w:r>
            <w:r w:rsidRPr="00E67ABE" w:rsidR="006239FE">
              <w:rPr>
                <w:szCs w:val="16"/>
              </w:rPr>
              <w:t xml:space="preserve">aan </w:t>
            </w:r>
            <w:r w:rsidRPr="00E67ABE" w:rsidR="00540D8C">
              <w:rPr>
                <w:szCs w:val="16"/>
              </w:rPr>
              <w:t xml:space="preserve">toe is. Als gemeenten </w:t>
            </w:r>
            <w:r w:rsidRPr="00E67ABE" w:rsidR="00DE7FA5">
              <w:rPr>
                <w:szCs w:val="16"/>
              </w:rPr>
              <w:t xml:space="preserve">(ondersteund door nationale instrumenten) </w:t>
            </w:r>
            <w:r w:rsidRPr="00E67ABE" w:rsidR="00540D8C">
              <w:rPr>
                <w:szCs w:val="16"/>
              </w:rPr>
              <w:t>in eerste instantie</w:t>
            </w:r>
            <w:r w:rsidRPr="00E67ABE" w:rsidR="00EC6F22">
              <w:rPr>
                <w:szCs w:val="16"/>
              </w:rPr>
              <w:t xml:space="preserve"> </w:t>
            </w:r>
            <w:r w:rsidRPr="00E67ABE" w:rsidR="003F5463">
              <w:rPr>
                <w:szCs w:val="16"/>
              </w:rPr>
              <w:t xml:space="preserve">nagaan </w:t>
            </w:r>
            <w:r w:rsidRPr="00E67ABE" w:rsidR="006B6807">
              <w:rPr>
                <w:szCs w:val="16"/>
              </w:rPr>
              <w:t>of de tarieven acceptabel zijn</w:t>
            </w:r>
            <w:r w:rsidRPr="00E67ABE" w:rsidR="00540D8C">
              <w:rPr>
                <w:szCs w:val="16"/>
              </w:rPr>
              <w:t xml:space="preserve">, wordt de last van de </w:t>
            </w:r>
            <w:r w:rsidRPr="00E67ABE" w:rsidR="007C25F8">
              <w:rPr>
                <w:szCs w:val="16"/>
              </w:rPr>
              <w:t xml:space="preserve">toezichthouder </w:t>
            </w:r>
            <w:r w:rsidRPr="00E67ABE" w:rsidR="00DE7FA5">
              <w:rPr>
                <w:szCs w:val="16"/>
              </w:rPr>
              <w:t>verlicht</w:t>
            </w:r>
            <w:r w:rsidRPr="00E67ABE" w:rsidR="002658F7">
              <w:rPr>
                <w:rStyle w:val="Voetnootmarkering"/>
                <w:szCs w:val="16"/>
              </w:rPr>
              <w:footnoteReference w:id="7"/>
            </w:r>
            <w:r w:rsidRPr="00E67ABE" w:rsidR="007C25F8">
              <w:rPr>
                <w:szCs w:val="16"/>
              </w:rPr>
              <w:t xml:space="preserve">. </w:t>
            </w:r>
            <w:r w:rsidRPr="00E67ABE" w:rsidR="007D356E">
              <w:rPr>
                <w:szCs w:val="16"/>
              </w:rPr>
              <w:t>E</w:t>
            </w:r>
            <w:r w:rsidRPr="00E67ABE" w:rsidR="007C25F8">
              <w:rPr>
                <w:szCs w:val="16"/>
              </w:rPr>
              <w:t xml:space="preserve">en overgang in drie fasen </w:t>
            </w:r>
            <w:r w:rsidRPr="00E67ABE" w:rsidR="007D356E">
              <w:rPr>
                <w:szCs w:val="16"/>
              </w:rPr>
              <w:t xml:space="preserve">is </w:t>
            </w:r>
            <w:r w:rsidRPr="00E67ABE" w:rsidR="007C25F8">
              <w:rPr>
                <w:szCs w:val="16"/>
              </w:rPr>
              <w:t>dan onnodig.</w:t>
            </w:r>
          </w:p>
          <w:p w:rsidRPr="00E67ABE" w:rsidR="0036227C" w:rsidP="00E67ABE" w:rsidRDefault="0036227C" w14:paraId="75727A81" w14:textId="77777777">
            <w:pPr>
              <w:spacing w:line="240" w:lineRule="auto"/>
              <w:rPr>
                <w:szCs w:val="16"/>
              </w:rPr>
            </w:pPr>
          </w:p>
          <w:p w:rsidRPr="00E67ABE" w:rsidR="0036227C" w:rsidP="00E67ABE" w:rsidRDefault="0045477B" w14:paraId="7B07AA33" w14:textId="0FB3CFD9">
            <w:pPr>
              <w:pStyle w:val="Lijstalinea"/>
              <w:spacing w:line="240" w:lineRule="auto"/>
              <w:ind w:left="360"/>
              <w:rPr>
                <w:i/>
                <w:iCs/>
                <w:szCs w:val="16"/>
              </w:rPr>
            </w:pPr>
            <w:r w:rsidRPr="00E67ABE">
              <w:rPr>
                <w:i/>
                <w:iCs/>
                <w:szCs w:val="16"/>
              </w:rPr>
              <w:t>Aanbeveling</w:t>
            </w:r>
            <w:r w:rsidRPr="00E67ABE" w:rsidR="0036227C">
              <w:rPr>
                <w:i/>
                <w:iCs/>
                <w:szCs w:val="16"/>
              </w:rPr>
              <w:t xml:space="preserve">: nieuwe netten kunnen meteen </w:t>
            </w:r>
            <w:proofErr w:type="spellStart"/>
            <w:r w:rsidRPr="00E67ABE" w:rsidR="0036227C">
              <w:rPr>
                <w:i/>
                <w:iCs/>
                <w:szCs w:val="16"/>
              </w:rPr>
              <w:t>kostengebaseerde</w:t>
            </w:r>
            <w:proofErr w:type="spellEnd"/>
            <w:r w:rsidRPr="00E67ABE" w:rsidR="0036227C">
              <w:rPr>
                <w:i/>
                <w:iCs/>
                <w:szCs w:val="16"/>
              </w:rPr>
              <w:t xml:space="preserve"> tarieven hanteren</w:t>
            </w:r>
            <w:r w:rsidRPr="00E67ABE" w:rsidR="00F02C97">
              <w:rPr>
                <w:rFonts w:eastAsia="Times New Roman" w:cs="Segoe UI"/>
                <w:szCs w:val="16"/>
                <w:lang w:eastAsia="nl-NL"/>
              </w:rPr>
              <w:t xml:space="preserve"> </w:t>
            </w:r>
            <w:r w:rsidRPr="00E67ABE" w:rsidR="00F02C97">
              <w:rPr>
                <w:i/>
                <w:iCs/>
                <w:szCs w:val="16"/>
              </w:rPr>
              <w:t>en direct uniforme boekhoudregels volgen.</w:t>
            </w:r>
            <w:r w:rsidRPr="00E67ABE" w:rsidR="0036227C">
              <w:rPr>
                <w:i/>
                <w:iCs/>
                <w:szCs w:val="16"/>
              </w:rPr>
              <w:t xml:space="preserve"> Als gemeenten toezicht vooraf uitoefenen en het kavel pas toewijzen als de indicatieve tarieven laag genoeg zijn, geeft dit voldoende garantie voor de gebruikers.</w:t>
            </w:r>
          </w:p>
          <w:p w:rsidRPr="00E67ABE" w:rsidR="00C70598" w:rsidP="00E67ABE" w:rsidRDefault="00C70598" w14:paraId="6582C8DF" w14:textId="77777777">
            <w:pPr>
              <w:pStyle w:val="Lijstalinea"/>
              <w:spacing w:line="240" w:lineRule="auto"/>
              <w:ind w:left="360"/>
              <w:rPr>
                <w:i/>
                <w:iCs/>
                <w:szCs w:val="16"/>
              </w:rPr>
            </w:pPr>
          </w:p>
          <w:p w:rsidRPr="00E67ABE" w:rsidR="005C3140" w:rsidP="00E67ABE" w:rsidRDefault="0045477B" w14:paraId="510378A6" w14:textId="6C2CC5E2">
            <w:pPr>
              <w:pStyle w:val="Lijstalinea"/>
              <w:spacing w:line="240" w:lineRule="auto"/>
              <w:ind w:left="360"/>
              <w:rPr>
                <w:i/>
                <w:iCs/>
                <w:szCs w:val="16"/>
              </w:rPr>
            </w:pPr>
            <w:r w:rsidRPr="00E67ABE">
              <w:rPr>
                <w:i/>
                <w:iCs/>
                <w:szCs w:val="16"/>
              </w:rPr>
              <w:t>Aanbeveling</w:t>
            </w:r>
            <w:r w:rsidRPr="00E67ABE" w:rsidR="005C3140">
              <w:rPr>
                <w:i/>
                <w:iCs/>
                <w:szCs w:val="16"/>
              </w:rPr>
              <w:t>: Geef warmtebedrijven bij nieuwe netten de vrijheid zelf te bepalen hoe de totale kosten van de voorziening worden doorberekend aan gebruikers, dus om de tariefstructuren te bepalen.</w:t>
            </w:r>
            <w:r w:rsidRPr="00E67ABE" w:rsidR="00001919">
              <w:rPr>
                <w:i/>
                <w:iCs/>
                <w:szCs w:val="16"/>
              </w:rPr>
              <w:t xml:space="preserve"> </w:t>
            </w:r>
          </w:p>
          <w:p w:rsidRPr="00E67ABE" w:rsidR="004136C3" w:rsidP="00E67ABE" w:rsidRDefault="004136C3" w14:paraId="5F0538FF" w14:textId="77777777">
            <w:pPr>
              <w:pStyle w:val="Lijstalinea"/>
              <w:spacing w:line="240" w:lineRule="auto"/>
              <w:ind w:left="360"/>
              <w:rPr>
                <w:i/>
                <w:iCs/>
                <w:szCs w:val="16"/>
              </w:rPr>
            </w:pPr>
          </w:p>
          <w:p w:rsidRPr="00E67ABE" w:rsidR="0064081F" w:rsidP="00F7691B" w:rsidRDefault="00704160" w14:paraId="3389EEEB" w14:textId="3BDAD460">
            <w:pPr>
              <w:pStyle w:val="Lijstalinea"/>
              <w:numPr>
                <w:ilvl w:val="0"/>
                <w:numId w:val="51"/>
              </w:numPr>
              <w:spacing w:line="240" w:lineRule="auto"/>
              <w:ind w:left="341" w:hanging="284"/>
              <w:rPr>
                <w:szCs w:val="16"/>
              </w:rPr>
            </w:pPr>
            <w:r w:rsidRPr="00E67ABE">
              <w:rPr>
                <w:b/>
                <w:bCs/>
                <w:szCs w:val="16"/>
              </w:rPr>
              <w:t>M</w:t>
            </w:r>
            <w:r w:rsidRPr="00E67ABE" w:rsidR="00545A19">
              <w:rPr>
                <w:b/>
                <w:bCs/>
                <w:szCs w:val="16"/>
              </w:rPr>
              <w:t>aximumtarieven</w:t>
            </w:r>
            <w:r w:rsidRPr="00E67ABE" w:rsidR="00D249BA">
              <w:rPr>
                <w:b/>
                <w:bCs/>
                <w:szCs w:val="16"/>
              </w:rPr>
              <w:t xml:space="preserve"> en vereveningssysteem</w:t>
            </w:r>
            <w:r w:rsidRPr="00E67ABE" w:rsidR="00545A19">
              <w:rPr>
                <w:b/>
                <w:bCs/>
                <w:szCs w:val="16"/>
              </w:rPr>
              <w:t xml:space="preserve">. </w:t>
            </w:r>
            <w:r w:rsidRPr="00E67ABE" w:rsidR="00316244">
              <w:rPr>
                <w:szCs w:val="16"/>
              </w:rPr>
              <w:t>Uit de praktijk met NMDA</w:t>
            </w:r>
            <w:r w:rsidRPr="00E67ABE" w:rsidR="0022079C">
              <w:rPr>
                <w:rStyle w:val="Voetnootmarkering"/>
                <w:szCs w:val="16"/>
              </w:rPr>
              <w:footnoteReference w:id="8"/>
            </w:r>
            <w:r w:rsidRPr="00E67ABE" w:rsidR="00316244">
              <w:rPr>
                <w:szCs w:val="16"/>
              </w:rPr>
              <w:t xml:space="preserve">, en ook in andere </w:t>
            </w:r>
            <w:r w:rsidRPr="00E67ABE" w:rsidR="00815DFC">
              <w:rPr>
                <w:szCs w:val="16"/>
              </w:rPr>
              <w:t>sectoren</w:t>
            </w:r>
            <w:r w:rsidRPr="00E67ABE" w:rsidR="00316244">
              <w:rPr>
                <w:szCs w:val="16"/>
              </w:rPr>
              <w:t>, blijkt dat maximumtarieven een belemmering kunnen vormen om kosten te verlagen. In de praktijk wordt het maximumtarief de norm</w:t>
            </w:r>
            <w:r w:rsidRPr="00E67ABE" w:rsidR="002C7286">
              <w:rPr>
                <w:szCs w:val="16"/>
              </w:rPr>
              <w:t>, waar de bedrijven zich op richten.</w:t>
            </w:r>
            <w:r w:rsidRPr="00E67ABE" w:rsidR="00815DFC">
              <w:rPr>
                <w:szCs w:val="16"/>
              </w:rPr>
              <w:t xml:space="preserve"> Juist nu de tarieven hier zoveel hoger zijn da</w:t>
            </w:r>
            <w:r w:rsidRPr="00E67ABE" w:rsidR="000461CA">
              <w:rPr>
                <w:szCs w:val="16"/>
              </w:rPr>
              <w:t>n</w:t>
            </w:r>
            <w:r w:rsidRPr="00E67ABE" w:rsidR="00815DFC">
              <w:rPr>
                <w:szCs w:val="16"/>
              </w:rPr>
              <w:t xml:space="preserve"> elders, </w:t>
            </w:r>
            <w:r w:rsidRPr="00E67ABE" w:rsidR="00010C97">
              <w:rPr>
                <w:szCs w:val="16"/>
              </w:rPr>
              <w:t xml:space="preserve">is </w:t>
            </w:r>
            <w:r w:rsidRPr="00E67ABE" w:rsidR="00815DFC">
              <w:rPr>
                <w:szCs w:val="16"/>
              </w:rPr>
              <w:t xml:space="preserve">kostenverlaging </w:t>
            </w:r>
            <w:r w:rsidRPr="00E67ABE" w:rsidR="00010C97">
              <w:rPr>
                <w:szCs w:val="16"/>
              </w:rPr>
              <w:t>belangrijk</w:t>
            </w:r>
            <w:r w:rsidRPr="00E67ABE" w:rsidR="00815DFC">
              <w:rPr>
                <w:szCs w:val="16"/>
              </w:rPr>
              <w:t xml:space="preserve">. </w:t>
            </w:r>
            <w:r w:rsidRPr="00E67ABE" w:rsidR="00316244">
              <w:rPr>
                <w:szCs w:val="16"/>
              </w:rPr>
              <w:t>Bovendien is het lastig om, met een maximum, innovatieve</w:t>
            </w:r>
            <w:r w:rsidRPr="00E67ABE" w:rsidR="00C952BD">
              <w:rPr>
                <w:szCs w:val="16"/>
              </w:rPr>
              <w:t>re</w:t>
            </w:r>
            <w:r w:rsidRPr="00E67ABE" w:rsidR="00316244">
              <w:rPr>
                <w:szCs w:val="16"/>
              </w:rPr>
              <w:t xml:space="preserve"> tariefstructuren in te voeren.</w:t>
            </w:r>
            <w:r w:rsidRPr="00E67ABE" w:rsidR="00EC6F22">
              <w:rPr>
                <w:szCs w:val="16"/>
              </w:rPr>
              <w:t xml:space="preserve"> </w:t>
            </w:r>
            <w:r w:rsidRPr="00E67ABE" w:rsidR="004136C3">
              <w:rPr>
                <w:szCs w:val="16"/>
              </w:rPr>
              <w:t xml:space="preserve">Het maximum bepaalt immers meestal een maximum voor de vaste en de variabele kosten. </w:t>
            </w:r>
            <w:r w:rsidRPr="00E67ABE" w:rsidR="00316244">
              <w:rPr>
                <w:szCs w:val="16"/>
              </w:rPr>
              <w:t>In landen om ons heen zien we dat veel geëxperimenteerd wordt met de tariefstructuren, bijvoorbeeld heel lage aansluitkosten en een hoger vastrecht</w:t>
            </w:r>
            <w:r w:rsidRPr="00E67ABE" w:rsidR="000461CA">
              <w:rPr>
                <w:szCs w:val="16"/>
              </w:rPr>
              <w:t>. Of</w:t>
            </w:r>
            <w:r w:rsidRPr="00E67ABE" w:rsidR="00951D70">
              <w:rPr>
                <w:szCs w:val="16"/>
              </w:rPr>
              <w:t xml:space="preserve"> hogere piektarieven om de systeemkosten te verlagen, waardoor de tarieven ook weer kunnen dalen.</w:t>
            </w:r>
          </w:p>
          <w:p w:rsidRPr="00E67ABE" w:rsidR="00C70598" w:rsidP="00E67ABE" w:rsidRDefault="00C70598" w14:paraId="59A90851" w14:textId="77777777">
            <w:pPr>
              <w:pStyle w:val="Lijstalinea"/>
              <w:spacing w:line="240" w:lineRule="auto"/>
              <w:ind w:left="360"/>
              <w:rPr>
                <w:szCs w:val="16"/>
              </w:rPr>
            </w:pPr>
          </w:p>
          <w:p w:rsidRPr="00E67ABE" w:rsidR="0064081F" w:rsidP="00E67ABE" w:rsidRDefault="00425640" w14:paraId="6C116AD9" w14:textId="00398157">
            <w:pPr>
              <w:pStyle w:val="Lijstalinea"/>
              <w:spacing w:line="240" w:lineRule="auto"/>
              <w:ind w:left="360"/>
              <w:rPr>
                <w:szCs w:val="16"/>
              </w:rPr>
            </w:pPr>
            <w:r w:rsidRPr="00E67ABE">
              <w:rPr>
                <w:szCs w:val="16"/>
              </w:rPr>
              <w:t xml:space="preserve">Er is hier een grote behoefte aan goede voorbeelden, met aantrekkelijke warmtenetten </w:t>
            </w:r>
            <w:r w:rsidRPr="00E67ABE" w:rsidR="001B6B39">
              <w:rPr>
                <w:szCs w:val="16"/>
              </w:rPr>
              <w:t xml:space="preserve">met lage tarieven. Dat vormt vervolgens een </w:t>
            </w:r>
            <w:r w:rsidRPr="00E67ABE" w:rsidR="0045242F">
              <w:rPr>
                <w:szCs w:val="16"/>
              </w:rPr>
              <w:t>voorbeeld en inspiratiebron voor de hele sector.</w:t>
            </w:r>
            <w:r w:rsidRPr="00E67ABE" w:rsidR="00C174C0">
              <w:rPr>
                <w:szCs w:val="16"/>
              </w:rPr>
              <w:t xml:space="preserve"> Het is essentieel om draagkracht te winnen. </w:t>
            </w:r>
            <w:r w:rsidRPr="00E67ABE" w:rsidR="0045242F">
              <w:rPr>
                <w:szCs w:val="16"/>
              </w:rPr>
              <w:t xml:space="preserve">Dit wordt doorkruist als </w:t>
            </w:r>
            <w:r w:rsidRPr="00E67ABE" w:rsidR="00371195">
              <w:rPr>
                <w:szCs w:val="16"/>
              </w:rPr>
              <w:t xml:space="preserve">projecten met lage tarieven moeten meebetalen aan projecten met hoge tarieven. Partijen, die hun uiterste best doen om de kosten en tarieven te verlagen, worden dan </w:t>
            </w:r>
            <w:r w:rsidRPr="00E67ABE" w:rsidR="00C174C0">
              <w:rPr>
                <w:szCs w:val="16"/>
              </w:rPr>
              <w:t xml:space="preserve">als het ware bestraft. </w:t>
            </w:r>
          </w:p>
          <w:p w:rsidRPr="00E67ABE" w:rsidR="00B83B3E" w:rsidP="00E67ABE" w:rsidRDefault="00B83B3E" w14:paraId="43706948" w14:textId="3923A15A">
            <w:pPr>
              <w:pStyle w:val="Lijstalinea"/>
              <w:spacing w:line="240" w:lineRule="auto"/>
              <w:ind w:left="360"/>
              <w:rPr>
                <w:szCs w:val="16"/>
              </w:rPr>
            </w:pPr>
            <w:r w:rsidRPr="00E67ABE">
              <w:rPr>
                <w:szCs w:val="16"/>
              </w:rPr>
              <w:t xml:space="preserve">Bij </w:t>
            </w:r>
            <w:proofErr w:type="spellStart"/>
            <w:r w:rsidRPr="00E67ABE">
              <w:rPr>
                <w:szCs w:val="16"/>
              </w:rPr>
              <w:t>kostengebaseerde</w:t>
            </w:r>
            <w:proofErr w:type="spellEnd"/>
            <w:r w:rsidRPr="00E67ABE">
              <w:rPr>
                <w:szCs w:val="16"/>
              </w:rPr>
              <w:t xml:space="preserve"> tarieven hoort een benchmark: een instelling die ieder jaar de tarieven van alle warmtebedrijven </w:t>
            </w:r>
            <w:r w:rsidRPr="00E67ABE" w:rsidR="008003B5">
              <w:rPr>
                <w:szCs w:val="16"/>
              </w:rPr>
              <w:t xml:space="preserve">op een rij zet en zo </w:t>
            </w:r>
            <w:r w:rsidRPr="00E67ABE" w:rsidR="0032593E">
              <w:rPr>
                <w:szCs w:val="16"/>
              </w:rPr>
              <w:t xml:space="preserve">openbaar maakt </w:t>
            </w:r>
            <w:r w:rsidRPr="00E67ABE" w:rsidR="008003B5">
              <w:rPr>
                <w:szCs w:val="16"/>
              </w:rPr>
              <w:t>welke bedrijven la</w:t>
            </w:r>
            <w:r w:rsidRPr="00E67ABE" w:rsidR="0053747D">
              <w:rPr>
                <w:szCs w:val="16"/>
              </w:rPr>
              <w:t xml:space="preserve">ge en hoge tarieven </w:t>
            </w:r>
            <w:r w:rsidRPr="00E67ABE" w:rsidR="0032593E">
              <w:rPr>
                <w:szCs w:val="16"/>
              </w:rPr>
              <w:t>hebben</w:t>
            </w:r>
            <w:r w:rsidRPr="00E67ABE" w:rsidR="0053747D">
              <w:rPr>
                <w:szCs w:val="16"/>
              </w:rPr>
              <w:t xml:space="preserve">. </w:t>
            </w:r>
            <w:r w:rsidRPr="00E67ABE" w:rsidR="000E52AE">
              <w:rPr>
                <w:szCs w:val="16"/>
              </w:rPr>
              <w:t>Dit kan de ACM zijn.</w:t>
            </w:r>
          </w:p>
          <w:p w:rsidRPr="00E67ABE" w:rsidR="00545A19" w:rsidP="00E67ABE" w:rsidRDefault="00545A19" w14:paraId="2010F93D" w14:textId="77777777">
            <w:pPr>
              <w:pStyle w:val="Lijstalinea"/>
              <w:spacing w:line="240" w:lineRule="auto"/>
              <w:ind w:left="360"/>
              <w:rPr>
                <w:szCs w:val="16"/>
              </w:rPr>
            </w:pPr>
          </w:p>
          <w:p w:rsidRPr="00E67ABE" w:rsidR="00F632C4" w:rsidP="00E67ABE" w:rsidRDefault="0045477B" w14:paraId="374F0891" w14:textId="26F1BCC2">
            <w:pPr>
              <w:pStyle w:val="Lijstalinea"/>
              <w:spacing w:line="240" w:lineRule="auto"/>
              <w:ind w:left="360"/>
              <w:rPr>
                <w:i/>
                <w:iCs/>
                <w:szCs w:val="16"/>
              </w:rPr>
            </w:pPr>
            <w:r w:rsidRPr="00E67ABE">
              <w:rPr>
                <w:i/>
                <w:iCs/>
                <w:szCs w:val="16"/>
              </w:rPr>
              <w:t>Aanbeveling</w:t>
            </w:r>
            <w:r w:rsidRPr="00E67ABE" w:rsidR="00DE5B84">
              <w:rPr>
                <w:i/>
                <w:iCs/>
                <w:szCs w:val="16"/>
              </w:rPr>
              <w:t>: stel geen tarieflimiet in voor nieuwe netten. Zorg dat de gemeente een kavel pas toedeelt als de indicatieve tarieven bekend en betaalbaar voor de burger zijn, en de burger de voorgestelde warmteoplossing aantrekkelijk vindt. Hierbij wegen voor de burger naast tarieven ook comfort en andere persoonlijke voorkeuren mee.</w:t>
            </w:r>
            <w:r w:rsidRPr="00E67ABE" w:rsidR="00300C94">
              <w:rPr>
                <w:i/>
                <w:iCs/>
                <w:szCs w:val="16"/>
              </w:rPr>
              <w:t xml:space="preserve"> Ontwikkel de instrumenten</w:t>
            </w:r>
            <w:r w:rsidRPr="00E67ABE" w:rsidR="003F37B9">
              <w:rPr>
                <w:i/>
                <w:iCs/>
                <w:szCs w:val="16"/>
              </w:rPr>
              <w:t xml:space="preserve"> om de taken van gemeenten te verlichten, zoals hierboven genoemd.</w:t>
            </w:r>
          </w:p>
          <w:p w:rsidRPr="00E67ABE" w:rsidR="00B518C8" w:rsidP="00E67ABE" w:rsidRDefault="00B518C8" w14:paraId="2B2EA89C" w14:textId="77777777">
            <w:pPr>
              <w:pStyle w:val="Lijstalinea"/>
              <w:spacing w:line="240" w:lineRule="auto"/>
              <w:ind w:left="360"/>
              <w:rPr>
                <w:i/>
                <w:iCs/>
                <w:szCs w:val="16"/>
              </w:rPr>
            </w:pPr>
          </w:p>
          <w:p w:rsidRPr="00E67ABE" w:rsidR="004E3D6B" w:rsidP="00E67ABE" w:rsidRDefault="0045477B" w14:paraId="6BA3BDA2" w14:textId="5512371F">
            <w:pPr>
              <w:pStyle w:val="Lijstalinea"/>
              <w:spacing w:line="240" w:lineRule="auto"/>
              <w:ind w:left="360"/>
              <w:rPr>
                <w:bCs/>
                <w:i/>
                <w:iCs/>
                <w:szCs w:val="16"/>
              </w:rPr>
            </w:pPr>
            <w:r w:rsidRPr="00E67ABE">
              <w:rPr>
                <w:i/>
                <w:iCs/>
                <w:szCs w:val="16"/>
              </w:rPr>
              <w:t>Aanbeveling</w:t>
            </w:r>
            <w:r w:rsidRPr="00E67ABE" w:rsidR="00F632C4">
              <w:rPr>
                <w:i/>
                <w:iCs/>
                <w:szCs w:val="16"/>
              </w:rPr>
              <w:t xml:space="preserve">: </w:t>
            </w:r>
            <w:r w:rsidRPr="00E67ABE" w:rsidR="004E3D6B">
              <w:rPr>
                <w:bCs/>
                <w:i/>
                <w:iCs/>
                <w:szCs w:val="16"/>
              </w:rPr>
              <w:t>Vervang het vereveningsfonds door een calamiteitenfonds. Een vereveningsfonds heeft als doel om goedkope en dure netten te balanceren, een calamiteitenfonds heeft als doel om de tarieven te dempen bij een calamiteit. Hiervoor zouden dan heldere beschrijvingen moeten komen over wat een calamiteit is (zoals bij verzekeringen, want feitelijk is dit gewoon een verzekering binnen de warmtesector).</w:t>
            </w:r>
          </w:p>
          <w:p w:rsidRPr="00E67ABE" w:rsidR="00B0365D" w:rsidP="00E67ABE" w:rsidRDefault="00B0365D" w14:paraId="7FD0D06C" w14:textId="77777777">
            <w:pPr>
              <w:pStyle w:val="Lijstalinea"/>
              <w:spacing w:line="240" w:lineRule="auto"/>
              <w:ind w:left="360"/>
              <w:rPr>
                <w:bCs/>
                <w:i/>
                <w:iCs/>
                <w:szCs w:val="16"/>
              </w:rPr>
            </w:pPr>
          </w:p>
          <w:p w:rsidRPr="00E67ABE" w:rsidR="00382925" w:rsidP="00E67ABE" w:rsidRDefault="00382925" w14:paraId="47AE3CE3" w14:textId="36D98EB5">
            <w:pPr>
              <w:pStyle w:val="Lijstalinea"/>
              <w:spacing w:line="240" w:lineRule="auto"/>
              <w:ind w:left="360"/>
              <w:rPr>
                <w:bCs/>
                <w:i/>
                <w:iCs/>
                <w:szCs w:val="16"/>
              </w:rPr>
            </w:pPr>
            <w:r w:rsidRPr="00E67ABE">
              <w:rPr>
                <w:bCs/>
                <w:i/>
                <w:iCs/>
                <w:szCs w:val="16"/>
              </w:rPr>
              <w:t xml:space="preserve">Aanbeveling: </w:t>
            </w:r>
            <w:r w:rsidRPr="00E67ABE" w:rsidR="00AC10A8">
              <w:rPr>
                <w:bCs/>
                <w:i/>
                <w:iCs/>
                <w:szCs w:val="16"/>
              </w:rPr>
              <w:t>zorg dat er ieder jaar de tarieven van alle warmtebedrijven</w:t>
            </w:r>
            <w:r w:rsidRPr="00E67ABE" w:rsidR="00B0365D">
              <w:rPr>
                <w:bCs/>
                <w:i/>
                <w:iCs/>
                <w:szCs w:val="16"/>
              </w:rPr>
              <w:t xml:space="preserve"> openbaar worden gemaakt</w:t>
            </w:r>
            <w:r w:rsidRPr="00E67ABE" w:rsidR="00AC10A8">
              <w:rPr>
                <w:bCs/>
                <w:i/>
                <w:iCs/>
                <w:szCs w:val="16"/>
              </w:rPr>
              <w:t>.</w:t>
            </w:r>
            <w:r w:rsidRPr="00E67ABE" w:rsidR="00EC6F22">
              <w:rPr>
                <w:bCs/>
                <w:i/>
                <w:iCs/>
                <w:szCs w:val="16"/>
              </w:rPr>
              <w:t xml:space="preserve"> </w:t>
            </w:r>
          </w:p>
          <w:p w:rsidRPr="00E67ABE" w:rsidR="00DC7D60" w:rsidP="00E67ABE" w:rsidRDefault="00DC7D60" w14:paraId="5B3529A9" w14:textId="77777777">
            <w:pPr>
              <w:pStyle w:val="Lijstalinea"/>
              <w:spacing w:line="240" w:lineRule="auto"/>
              <w:ind w:left="360"/>
              <w:rPr>
                <w:szCs w:val="16"/>
              </w:rPr>
            </w:pPr>
          </w:p>
          <w:p w:rsidRPr="00E67ABE" w:rsidR="00DC7D60" w:rsidP="00F7691B" w:rsidRDefault="00DC7D60" w14:paraId="77232625" w14:textId="4708CE66">
            <w:pPr>
              <w:pStyle w:val="Lijstalinea"/>
              <w:numPr>
                <w:ilvl w:val="0"/>
                <w:numId w:val="51"/>
              </w:numPr>
              <w:spacing w:line="240" w:lineRule="auto"/>
              <w:ind w:left="341" w:hanging="284"/>
              <w:rPr>
                <w:b/>
                <w:bCs/>
                <w:szCs w:val="16"/>
              </w:rPr>
            </w:pPr>
            <w:r w:rsidRPr="00E67ABE">
              <w:rPr>
                <w:b/>
                <w:bCs/>
                <w:szCs w:val="16"/>
              </w:rPr>
              <w:lastRenderedPageBreak/>
              <w:t xml:space="preserve">Duurzaamheidsnorm. </w:t>
            </w:r>
            <w:r w:rsidRPr="00E67ABE">
              <w:rPr>
                <w:szCs w:val="16"/>
              </w:rPr>
              <w:t>De regulering ten aanzien van de duurzaamheidsnorm is nog niet uitgewerkt in lagere regelgeving</w:t>
            </w:r>
            <w:r w:rsidRPr="00E67ABE" w:rsidR="005F22CB">
              <w:rPr>
                <w:szCs w:val="16"/>
              </w:rPr>
              <w:t>.</w:t>
            </w:r>
            <w:r w:rsidRPr="00E67ABE" w:rsidR="00EC6F22">
              <w:rPr>
                <w:szCs w:val="16"/>
              </w:rPr>
              <w:t xml:space="preserve"> </w:t>
            </w:r>
            <w:r w:rsidRPr="00E67ABE" w:rsidR="005F22CB">
              <w:rPr>
                <w:szCs w:val="16"/>
              </w:rPr>
              <w:t>Een algemene duurzaamheidsnorm dient rekening te houden met bestaande netwerken die slecht scoren op duurzaamheid.</w:t>
            </w:r>
            <w:r w:rsidRPr="00E67ABE" w:rsidR="00EC6F22">
              <w:rPr>
                <w:szCs w:val="16"/>
              </w:rPr>
              <w:t xml:space="preserve"> </w:t>
            </w:r>
            <w:r w:rsidRPr="00E67ABE" w:rsidR="005F22CB">
              <w:rPr>
                <w:szCs w:val="16"/>
              </w:rPr>
              <w:t>Nieuwe netten kunnen echter veel duurzamer zijn.</w:t>
            </w:r>
            <w:r w:rsidRPr="00E67ABE" w:rsidR="00EC6F22">
              <w:rPr>
                <w:szCs w:val="16"/>
              </w:rPr>
              <w:t xml:space="preserve"> </w:t>
            </w:r>
            <w:r w:rsidRPr="00E67ABE" w:rsidR="003D7B4D">
              <w:rPr>
                <w:szCs w:val="16"/>
              </w:rPr>
              <w:t>Bij nieuwe netten zou</w:t>
            </w:r>
            <w:r w:rsidRPr="00E67ABE" w:rsidR="00406140">
              <w:rPr>
                <w:szCs w:val="16"/>
              </w:rPr>
              <w:t xml:space="preserve"> bovendien </w:t>
            </w:r>
            <w:r w:rsidRPr="00E67ABE" w:rsidR="003D7B4D">
              <w:rPr>
                <w:szCs w:val="16"/>
              </w:rPr>
              <w:t>inzicht gegeven moeten worden in de toekomstvastheid van de bronnen, of de mogelijkheden om eindige bronnen te vervangen.</w:t>
            </w:r>
          </w:p>
          <w:p w:rsidRPr="00E67ABE" w:rsidR="000C39D5" w:rsidP="00E67ABE" w:rsidRDefault="000C39D5" w14:paraId="47E8866B" w14:textId="77777777">
            <w:pPr>
              <w:pStyle w:val="Lijstalinea"/>
              <w:spacing w:line="240" w:lineRule="auto"/>
              <w:ind w:left="360"/>
              <w:rPr>
                <w:b/>
                <w:bCs/>
                <w:szCs w:val="16"/>
              </w:rPr>
            </w:pPr>
          </w:p>
          <w:p w:rsidRPr="00E67ABE" w:rsidR="00DC7D60" w:rsidP="00E67ABE" w:rsidRDefault="00DC7D60" w14:paraId="1A7B46D7" w14:textId="19117F43">
            <w:pPr>
              <w:pStyle w:val="Lijstalinea"/>
              <w:spacing w:line="240" w:lineRule="auto"/>
              <w:ind w:left="360"/>
              <w:rPr>
                <w:i/>
                <w:iCs/>
                <w:szCs w:val="16"/>
              </w:rPr>
            </w:pPr>
            <w:r w:rsidRPr="00E67ABE">
              <w:rPr>
                <w:i/>
                <w:iCs/>
                <w:szCs w:val="16"/>
              </w:rPr>
              <w:t>Aanbeveling: Stel voor nieuwe netten strengere duurzaamheidseisen op basis van de best beschikbare technologie</w:t>
            </w:r>
            <w:r w:rsidRPr="00E67ABE" w:rsidR="00F609C6">
              <w:rPr>
                <w:i/>
                <w:iCs/>
                <w:szCs w:val="16"/>
              </w:rPr>
              <w:t>, of geef gemeenten de vrijheid om strengere eisen te stellen bij nieuwe netten.</w:t>
            </w:r>
            <w:r w:rsidRPr="00E67ABE" w:rsidR="00EC6F22">
              <w:rPr>
                <w:i/>
                <w:iCs/>
                <w:szCs w:val="16"/>
              </w:rPr>
              <w:t xml:space="preserve"> </w:t>
            </w:r>
            <w:r w:rsidRPr="00E67ABE" w:rsidR="00897407">
              <w:rPr>
                <w:i/>
                <w:iCs/>
                <w:szCs w:val="16"/>
              </w:rPr>
              <w:t xml:space="preserve">Bepaal daarbij dat het plan inzicht geeft in de toekomstvastheid van de bronnen en de eventuele mogelijkheid om deze te vervangen, </w:t>
            </w:r>
            <w:r w:rsidRPr="00E67ABE" w:rsidR="004D1EC1">
              <w:rPr>
                <w:i/>
                <w:iCs/>
                <w:szCs w:val="16"/>
              </w:rPr>
              <w:t xml:space="preserve">als ze niet meer beschikbaar zijn. </w:t>
            </w:r>
          </w:p>
          <w:p w:rsidRPr="00E67ABE" w:rsidR="00C70598" w:rsidP="00E67ABE" w:rsidRDefault="00C70598" w14:paraId="52EC9EDC" w14:textId="77777777">
            <w:pPr>
              <w:pStyle w:val="Lijstalinea"/>
              <w:spacing w:line="240" w:lineRule="auto"/>
              <w:ind w:left="360"/>
              <w:rPr>
                <w:i/>
                <w:iCs/>
                <w:szCs w:val="16"/>
              </w:rPr>
            </w:pPr>
          </w:p>
          <w:p w:rsidRPr="00E67ABE" w:rsidR="00DC7D60" w:rsidP="00E67ABE" w:rsidRDefault="00DC7D60" w14:paraId="53840B48" w14:textId="487DF596">
            <w:pPr>
              <w:pStyle w:val="Lijstalinea"/>
              <w:spacing w:line="240" w:lineRule="auto"/>
              <w:ind w:left="360"/>
              <w:rPr>
                <w:i/>
                <w:iCs/>
                <w:szCs w:val="16"/>
              </w:rPr>
            </w:pPr>
            <w:r w:rsidRPr="00E67ABE">
              <w:rPr>
                <w:i/>
                <w:iCs/>
                <w:szCs w:val="16"/>
              </w:rPr>
              <w:t>Aanbeveling: Overweeg of, en onder welke voorwaarden, de classificering van restwarmte van de industrie als duurzaam geclassificeerd kan worden.</w:t>
            </w:r>
          </w:p>
          <w:p w:rsidRPr="00E67ABE" w:rsidR="00F609C6" w:rsidP="00E67ABE" w:rsidRDefault="00F609C6" w14:paraId="6ED5D38A" w14:textId="77777777">
            <w:pPr>
              <w:pStyle w:val="Lijstalinea"/>
              <w:spacing w:line="240" w:lineRule="auto"/>
              <w:ind w:left="360"/>
              <w:rPr>
                <w:i/>
                <w:iCs/>
                <w:szCs w:val="16"/>
              </w:rPr>
            </w:pPr>
          </w:p>
          <w:p w:rsidRPr="00E67ABE" w:rsidR="00A42E92" w:rsidP="00F7691B" w:rsidRDefault="00010C97" w14:paraId="625E8110" w14:textId="77777777">
            <w:pPr>
              <w:pStyle w:val="Lijstalinea"/>
              <w:numPr>
                <w:ilvl w:val="0"/>
                <w:numId w:val="51"/>
              </w:numPr>
              <w:spacing w:line="240" w:lineRule="auto"/>
              <w:ind w:left="341" w:hanging="284"/>
              <w:rPr>
                <w:szCs w:val="16"/>
              </w:rPr>
            </w:pPr>
            <w:r w:rsidRPr="00E67ABE">
              <w:rPr>
                <w:b/>
                <w:bCs/>
                <w:szCs w:val="16"/>
              </w:rPr>
              <w:t xml:space="preserve">Aparte spelregels voor kleine </w:t>
            </w:r>
            <w:r w:rsidRPr="00E67ABE" w:rsidR="007354F9">
              <w:rPr>
                <w:b/>
                <w:bCs/>
                <w:szCs w:val="16"/>
              </w:rPr>
              <w:t>collectieve warmte</w:t>
            </w:r>
            <w:r w:rsidRPr="00E67ABE">
              <w:rPr>
                <w:b/>
                <w:bCs/>
                <w:szCs w:val="16"/>
              </w:rPr>
              <w:t>systemen</w:t>
            </w:r>
            <w:r w:rsidRPr="00E67ABE" w:rsidR="007354F9">
              <w:rPr>
                <w:b/>
                <w:bCs/>
                <w:szCs w:val="16"/>
              </w:rPr>
              <w:t xml:space="preserve"> (&lt;1500 aansluitingen), verhuurders en VvE’s</w:t>
            </w:r>
            <w:r w:rsidRPr="00E67ABE" w:rsidR="00A05D82">
              <w:rPr>
                <w:b/>
                <w:bCs/>
                <w:szCs w:val="16"/>
              </w:rPr>
              <w:t>.</w:t>
            </w:r>
            <w:r w:rsidRPr="00E67ABE" w:rsidR="00A05D82">
              <w:rPr>
                <w:szCs w:val="16"/>
              </w:rPr>
              <w:t xml:space="preserve"> </w:t>
            </w:r>
          </w:p>
          <w:p w:rsidRPr="00E67ABE" w:rsidR="00280F86" w:rsidP="00E67ABE" w:rsidRDefault="00A42E92" w14:paraId="4CD5CF49" w14:textId="1C13DF44">
            <w:pPr>
              <w:pStyle w:val="Lijstalinea"/>
              <w:spacing w:line="240" w:lineRule="auto"/>
              <w:ind w:left="360"/>
              <w:rPr>
                <w:szCs w:val="16"/>
              </w:rPr>
            </w:pPr>
            <w:r w:rsidRPr="00E67ABE">
              <w:rPr>
                <w:szCs w:val="16"/>
              </w:rPr>
              <w:t>H</w:t>
            </w:r>
            <w:r w:rsidRPr="00E67ABE" w:rsidR="00CA12E4">
              <w:rPr>
                <w:szCs w:val="16"/>
              </w:rPr>
              <w:t xml:space="preserve">et is goed dat </w:t>
            </w:r>
            <w:r w:rsidRPr="00E67ABE" w:rsidR="00386903">
              <w:rPr>
                <w:szCs w:val="16"/>
              </w:rPr>
              <w:t>kleine systemen een ontheffing kunnen krijgen.</w:t>
            </w:r>
            <w:r w:rsidRPr="00E67ABE" w:rsidR="00EC6F22">
              <w:rPr>
                <w:szCs w:val="16"/>
              </w:rPr>
              <w:t xml:space="preserve"> </w:t>
            </w:r>
            <w:r w:rsidRPr="00E67ABE" w:rsidR="00386903">
              <w:rPr>
                <w:szCs w:val="16"/>
              </w:rPr>
              <w:t>De grens van 1500 is arbitrair, het is ook mogelijk deze omhoog te halen.</w:t>
            </w:r>
            <w:r w:rsidRPr="00E67ABE" w:rsidR="00EC6F22">
              <w:rPr>
                <w:szCs w:val="16"/>
              </w:rPr>
              <w:t xml:space="preserve"> </w:t>
            </w:r>
            <w:r w:rsidRPr="00E67ABE" w:rsidR="00F511F0">
              <w:rPr>
                <w:szCs w:val="16"/>
              </w:rPr>
              <w:t>Moderne, integrale systemen beginnen vaak klein en kunnen daarna al snel modulair worden uitgebreid.</w:t>
            </w:r>
            <w:r w:rsidRPr="00E67ABE" w:rsidR="00EC6F22">
              <w:rPr>
                <w:szCs w:val="16"/>
              </w:rPr>
              <w:t xml:space="preserve"> </w:t>
            </w:r>
            <w:r w:rsidRPr="00E67ABE" w:rsidR="00F511F0">
              <w:rPr>
                <w:szCs w:val="16"/>
              </w:rPr>
              <w:t>Deze kunnen beginnen met een ontheffing.</w:t>
            </w:r>
            <w:r w:rsidRPr="00E67ABE" w:rsidR="00EC6F22">
              <w:rPr>
                <w:szCs w:val="16"/>
              </w:rPr>
              <w:t xml:space="preserve"> </w:t>
            </w:r>
            <w:r w:rsidRPr="00E67ABE" w:rsidR="00A227B3">
              <w:rPr>
                <w:szCs w:val="16"/>
              </w:rPr>
              <w:t>Het is complex dat uitbreiding nauwelijks organisch kan, maar aan vele regels is verbonden.</w:t>
            </w:r>
            <w:r w:rsidRPr="00E67ABE" w:rsidR="00EC6F22">
              <w:rPr>
                <w:szCs w:val="16"/>
              </w:rPr>
              <w:t xml:space="preserve"> </w:t>
            </w:r>
            <w:r w:rsidRPr="00E67ABE" w:rsidR="00A227B3">
              <w:rPr>
                <w:szCs w:val="16"/>
              </w:rPr>
              <w:t>Dat remt de innovatie</w:t>
            </w:r>
            <w:r w:rsidRPr="00E67ABE" w:rsidR="001D66BC">
              <w:rPr>
                <w:szCs w:val="16"/>
              </w:rPr>
              <w:t xml:space="preserve"> en de ontwikkeling van</w:t>
            </w:r>
            <w:r w:rsidRPr="00E67ABE" w:rsidR="00185DE8">
              <w:rPr>
                <w:szCs w:val="16"/>
              </w:rPr>
              <w:t xml:space="preserve"> integrale</w:t>
            </w:r>
            <w:r w:rsidRPr="00E67ABE" w:rsidR="001D66BC">
              <w:rPr>
                <w:szCs w:val="16"/>
              </w:rPr>
              <w:t xml:space="preserve"> systemen, die volgens de literatuur goedkoop en aantrekkelijk zijn.</w:t>
            </w:r>
            <w:r w:rsidRPr="00E67ABE" w:rsidR="00EC6F22">
              <w:rPr>
                <w:szCs w:val="16"/>
              </w:rPr>
              <w:t xml:space="preserve"> </w:t>
            </w:r>
            <w:r w:rsidRPr="00E67ABE" w:rsidR="001D66BC">
              <w:rPr>
                <w:szCs w:val="16"/>
              </w:rPr>
              <w:t xml:space="preserve">Daarnaast weigeren gemeenten een ontheffing als er een groter kavelplan is/kan komen en de ontheffing nadelige gevolgen daarvoor heeft. </w:t>
            </w:r>
            <w:r w:rsidRPr="00E67ABE" w:rsidR="00500496">
              <w:rPr>
                <w:szCs w:val="16"/>
              </w:rPr>
              <w:t>Deze weigeringsgrond zou geschrapt moeten worden. Het bevoordeelt grootschalige system</w:t>
            </w:r>
            <w:r w:rsidRPr="00E67ABE" w:rsidR="00280F86">
              <w:rPr>
                <w:szCs w:val="16"/>
              </w:rPr>
              <w:t>en boven de kleine.</w:t>
            </w:r>
          </w:p>
          <w:p w:rsidRPr="00E67ABE" w:rsidR="00C70598" w:rsidP="00E67ABE" w:rsidRDefault="00C70598" w14:paraId="297C7EF8" w14:textId="77777777">
            <w:pPr>
              <w:pStyle w:val="Lijstalinea"/>
              <w:spacing w:line="240" w:lineRule="auto"/>
              <w:ind w:left="360"/>
              <w:rPr>
                <w:szCs w:val="16"/>
              </w:rPr>
            </w:pPr>
          </w:p>
          <w:p w:rsidRPr="00E67ABE" w:rsidR="00F723A0" w:rsidP="00E67ABE" w:rsidRDefault="00E4254A" w14:paraId="1F8192A0" w14:textId="2FC3F7AF">
            <w:pPr>
              <w:pStyle w:val="Lijstalinea"/>
              <w:spacing w:line="240" w:lineRule="auto"/>
              <w:ind w:left="360"/>
              <w:rPr>
                <w:szCs w:val="16"/>
              </w:rPr>
            </w:pPr>
            <w:r w:rsidRPr="00E67ABE">
              <w:rPr>
                <w:szCs w:val="16"/>
              </w:rPr>
              <w:t xml:space="preserve">Grootschalige warmtebedrijven zijn volgens het wetsvoorstel aantrekkelijk omdat ze ook voorkomen bij bijvoorbeeld de drinkwatersector, bij afvalverwerking of het infrastructuurbedrijf. Maar daar gaat het om eenvormige essentiële voorzieningen, met passieve gebruikers die geen alternatief hebben. </w:t>
            </w:r>
            <w:r w:rsidRPr="00E67ABE" w:rsidR="00A118AC">
              <w:rPr>
                <w:szCs w:val="16"/>
              </w:rPr>
              <w:t xml:space="preserve">Bij warmte hebben burgers ook andere opties </w:t>
            </w:r>
            <w:r w:rsidRPr="00E67ABE" w:rsidR="008E0997">
              <w:rPr>
                <w:szCs w:val="16"/>
              </w:rPr>
              <w:t xml:space="preserve">zoals </w:t>
            </w:r>
            <w:r w:rsidRPr="00E67ABE" w:rsidR="005948ED">
              <w:rPr>
                <w:szCs w:val="16"/>
              </w:rPr>
              <w:t xml:space="preserve">individuele oplossingen als </w:t>
            </w:r>
            <w:r w:rsidRPr="00E67ABE" w:rsidR="00A118AC">
              <w:rPr>
                <w:szCs w:val="16"/>
              </w:rPr>
              <w:t>warmtepompen</w:t>
            </w:r>
            <w:r w:rsidRPr="00E67ABE" w:rsidR="005948ED">
              <w:rPr>
                <w:szCs w:val="16"/>
              </w:rPr>
              <w:t xml:space="preserve">, airconditioners of panelen, </w:t>
            </w:r>
            <w:r w:rsidRPr="00E67ABE" w:rsidR="00A118AC">
              <w:rPr>
                <w:szCs w:val="16"/>
              </w:rPr>
              <w:t xml:space="preserve">of lokale systemen. </w:t>
            </w:r>
            <w:r w:rsidRPr="00E67ABE" w:rsidR="008E0997">
              <w:rPr>
                <w:szCs w:val="16"/>
              </w:rPr>
              <w:t>D</w:t>
            </w:r>
            <w:r w:rsidRPr="00E67ABE" w:rsidR="002D562B">
              <w:rPr>
                <w:szCs w:val="16"/>
              </w:rPr>
              <w:t>e warmtevoorziening</w:t>
            </w:r>
            <w:r w:rsidRPr="00E67ABE" w:rsidR="008E0997">
              <w:rPr>
                <w:szCs w:val="16"/>
              </w:rPr>
              <w:t xml:space="preserve"> heeft juist een lokaal karakter,</w:t>
            </w:r>
            <w:r w:rsidRPr="00E67ABE" w:rsidR="005948ED">
              <w:rPr>
                <w:szCs w:val="16"/>
              </w:rPr>
              <w:t xml:space="preserve"> </w:t>
            </w:r>
            <w:r w:rsidRPr="00E67ABE" w:rsidR="008E0997">
              <w:rPr>
                <w:szCs w:val="16"/>
              </w:rPr>
              <w:t xml:space="preserve">en </w:t>
            </w:r>
            <w:r w:rsidRPr="00E67ABE" w:rsidR="005948ED">
              <w:rPr>
                <w:szCs w:val="16"/>
              </w:rPr>
              <w:t xml:space="preserve">dat geldt </w:t>
            </w:r>
            <w:r w:rsidRPr="00E67ABE" w:rsidR="008E0997">
              <w:rPr>
                <w:szCs w:val="16"/>
              </w:rPr>
              <w:t xml:space="preserve">temeer </w:t>
            </w:r>
            <w:r w:rsidRPr="00E67ABE" w:rsidR="00711001">
              <w:rPr>
                <w:szCs w:val="16"/>
              </w:rPr>
              <w:t>bij integratie van koeling, warmte en elektriciteit</w:t>
            </w:r>
            <w:r w:rsidRPr="00E67ABE" w:rsidR="002D562B">
              <w:rPr>
                <w:szCs w:val="16"/>
              </w:rPr>
              <w:t xml:space="preserve">. </w:t>
            </w:r>
            <w:r w:rsidRPr="00E67ABE" w:rsidR="00711001">
              <w:rPr>
                <w:szCs w:val="16"/>
              </w:rPr>
              <w:t xml:space="preserve">In landen als Zweden, Denemarken en Duitsland zien we dan ook vooral publieke warmtebedrijven die in handen zijn van één gemeente. In </w:t>
            </w:r>
            <w:r w:rsidRPr="00E67ABE" w:rsidR="00683436">
              <w:rPr>
                <w:szCs w:val="16"/>
              </w:rPr>
              <w:t>Groot-</w:t>
            </w:r>
            <w:r w:rsidRPr="00E67ABE" w:rsidR="00711001">
              <w:rPr>
                <w:szCs w:val="16"/>
              </w:rPr>
              <w:t xml:space="preserve">Kopenhagen zijn er bijvoorbeeld negentien </w:t>
            </w:r>
            <w:r w:rsidRPr="00E67ABE" w:rsidR="002D562B">
              <w:rPr>
                <w:szCs w:val="16"/>
              </w:rPr>
              <w:t>zelfstandige warmte</w:t>
            </w:r>
            <w:r w:rsidRPr="00E67ABE" w:rsidR="00711001">
              <w:rPr>
                <w:szCs w:val="16"/>
              </w:rPr>
              <w:t>distributiebedrijven actief</w:t>
            </w:r>
            <w:r w:rsidRPr="00E67ABE" w:rsidR="002D562B">
              <w:rPr>
                <w:szCs w:val="16"/>
              </w:rPr>
              <w:t>, die met elkaar verbonden zijn met een transportnet</w:t>
            </w:r>
            <w:r w:rsidRPr="00E67ABE" w:rsidR="008E0997">
              <w:rPr>
                <w:szCs w:val="16"/>
              </w:rPr>
              <w:t>:</w:t>
            </w:r>
            <w:r w:rsidRPr="00E67ABE" w:rsidR="00EC6F22">
              <w:rPr>
                <w:szCs w:val="16"/>
              </w:rPr>
              <w:t xml:space="preserve"> </w:t>
            </w:r>
            <w:r w:rsidRPr="00E67ABE" w:rsidR="00F95D4E">
              <w:rPr>
                <w:szCs w:val="16"/>
              </w:rPr>
              <w:t>niet een groot regionaal systeem, maar kleine systemen die stapsgewijs met elkaar verbonden zijn</w:t>
            </w:r>
            <w:r w:rsidRPr="00E67ABE" w:rsidR="008E0997">
              <w:rPr>
                <w:szCs w:val="16"/>
              </w:rPr>
              <w:t xml:space="preserve"> geraakt en grotendeels autonoom functioneert</w:t>
            </w:r>
            <w:r w:rsidRPr="00E67ABE" w:rsidR="00F95D4E">
              <w:rPr>
                <w:szCs w:val="16"/>
              </w:rPr>
              <w:t xml:space="preserve">. </w:t>
            </w:r>
            <w:r w:rsidRPr="00E67ABE">
              <w:rPr>
                <w:szCs w:val="16"/>
              </w:rPr>
              <w:t xml:space="preserve">Ons zijn geen landen bekend waar expliciet wordt gestuurd op </w:t>
            </w:r>
            <w:r w:rsidRPr="00E67ABE" w:rsidR="00316244">
              <w:rPr>
                <w:szCs w:val="16"/>
              </w:rPr>
              <w:t>grootschalige warmte</w:t>
            </w:r>
            <w:r w:rsidRPr="00E67ABE">
              <w:rPr>
                <w:szCs w:val="16"/>
              </w:rPr>
              <w:t>bedrijven</w:t>
            </w:r>
            <w:r w:rsidRPr="00E67ABE" w:rsidR="00316244">
              <w:rPr>
                <w:szCs w:val="16"/>
              </w:rPr>
              <w:t>. Integendeel</w:t>
            </w:r>
            <w:r w:rsidRPr="00E67ABE" w:rsidR="00500F84">
              <w:rPr>
                <w:szCs w:val="16"/>
              </w:rPr>
              <w:t>:</w:t>
            </w:r>
            <w:r w:rsidRPr="00E67ABE" w:rsidR="00316244">
              <w:rPr>
                <w:szCs w:val="16"/>
              </w:rPr>
              <w:t xml:space="preserve"> in landen waar de netten grootschalig zijn geworden is er juist een tendens naar verkleining, </w:t>
            </w:r>
            <w:r w:rsidRPr="00E67ABE" w:rsidR="002C7286">
              <w:rPr>
                <w:szCs w:val="16"/>
              </w:rPr>
              <w:t xml:space="preserve">zoals in Duitsland </w:t>
            </w:r>
            <w:r w:rsidRPr="00E67ABE" w:rsidR="00316244">
              <w:rPr>
                <w:szCs w:val="16"/>
              </w:rPr>
              <w:t xml:space="preserve">de zogenaamde </w:t>
            </w:r>
            <w:proofErr w:type="spellStart"/>
            <w:r w:rsidRPr="00E67ABE" w:rsidR="00316244">
              <w:rPr>
                <w:i/>
                <w:iCs/>
                <w:szCs w:val="16"/>
              </w:rPr>
              <w:t>remunicipalisation</w:t>
            </w:r>
            <w:proofErr w:type="spellEnd"/>
            <w:r w:rsidRPr="00E67ABE" w:rsidR="0022079C">
              <w:rPr>
                <w:rStyle w:val="Voetnootmarkering"/>
                <w:i/>
                <w:iCs/>
                <w:szCs w:val="16"/>
              </w:rPr>
              <w:footnoteReference w:id="9"/>
            </w:r>
            <w:r w:rsidRPr="00E67ABE" w:rsidR="00316244">
              <w:rPr>
                <w:szCs w:val="16"/>
              </w:rPr>
              <w:t xml:space="preserve">. </w:t>
            </w:r>
            <w:r w:rsidRPr="00E67ABE" w:rsidR="00500F84">
              <w:rPr>
                <w:szCs w:val="16"/>
              </w:rPr>
              <w:t>G</w:t>
            </w:r>
            <w:r w:rsidRPr="00E67ABE" w:rsidR="00316244">
              <w:rPr>
                <w:szCs w:val="16"/>
              </w:rPr>
              <w:t xml:space="preserve">emeenten </w:t>
            </w:r>
            <w:r w:rsidRPr="00E67ABE">
              <w:rPr>
                <w:szCs w:val="16"/>
              </w:rPr>
              <w:t xml:space="preserve">en/of coöperaties </w:t>
            </w:r>
            <w:r w:rsidRPr="00E67ABE" w:rsidR="00500F84">
              <w:rPr>
                <w:szCs w:val="16"/>
              </w:rPr>
              <w:t xml:space="preserve">nemen </w:t>
            </w:r>
            <w:r w:rsidRPr="00E67ABE" w:rsidR="00316244">
              <w:rPr>
                <w:szCs w:val="16"/>
              </w:rPr>
              <w:t xml:space="preserve">de </w:t>
            </w:r>
            <w:r w:rsidRPr="00E67ABE">
              <w:rPr>
                <w:szCs w:val="16"/>
              </w:rPr>
              <w:t>lokale energievoorziening</w:t>
            </w:r>
            <w:r w:rsidRPr="00E67ABE" w:rsidR="00EC6F22">
              <w:rPr>
                <w:szCs w:val="16"/>
              </w:rPr>
              <w:t xml:space="preserve"> </w:t>
            </w:r>
            <w:r w:rsidRPr="00E67ABE" w:rsidR="00316244">
              <w:rPr>
                <w:szCs w:val="16"/>
              </w:rPr>
              <w:t>in eigen hand.</w:t>
            </w:r>
          </w:p>
          <w:p w:rsidRPr="00E67ABE" w:rsidR="008E0997" w:rsidP="00E67ABE" w:rsidRDefault="008E0997" w14:paraId="4D842BD2" w14:textId="77777777">
            <w:pPr>
              <w:pStyle w:val="Lijstalinea"/>
              <w:spacing w:line="240" w:lineRule="auto"/>
              <w:ind w:left="360"/>
              <w:rPr>
                <w:szCs w:val="16"/>
              </w:rPr>
            </w:pPr>
          </w:p>
          <w:p w:rsidRPr="00E67ABE" w:rsidR="00ED296E" w:rsidP="00E67ABE" w:rsidRDefault="0045477B" w14:paraId="21C2C4CC" w14:textId="0C01C4FA">
            <w:pPr>
              <w:pStyle w:val="Lijstalinea"/>
              <w:spacing w:line="240" w:lineRule="auto"/>
              <w:ind w:left="360"/>
              <w:rPr>
                <w:i/>
                <w:iCs/>
                <w:szCs w:val="16"/>
              </w:rPr>
            </w:pPr>
            <w:r w:rsidRPr="00E67ABE">
              <w:rPr>
                <w:i/>
                <w:iCs/>
                <w:szCs w:val="16"/>
              </w:rPr>
              <w:t>Aanbeveling</w:t>
            </w:r>
            <w:r w:rsidRPr="00E67ABE" w:rsidR="00A40DD2">
              <w:rPr>
                <w:i/>
                <w:iCs/>
                <w:szCs w:val="16"/>
              </w:rPr>
              <w:t>: geef gemeenten maximale vrijheid om lokale, integrale systemen, vaak van burgers, te ondersteunen. Breid de ontheffing uit, bijvoorbeeld tot 2500 aansluitingen.</w:t>
            </w:r>
          </w:p>
          <w:p w:rsidRPr="00E67ABE" w:rsidR="00941480" w:rsidP="00E67ABE" w:rsidRDefault="00A40DD2" w14:paraId="17E01EED" w14:textId="4120C8C3">
            <w:pPr>
              <w:pStyle w:val="Lijstalinea"/>
              <w:spacing w:line="240" w:lineRule="auto"/>
              <w:ind w:left="360"/>
              <w:rPr>
                <w:i/>
                <w:iCs/>
                <w:szCs w:val="16"/>
              </w:rPr>
            </w:pPr>
            <w:r w:rsidRPr="00E67ABE">
              <w:rPr>
                <w:i/>
                <w:iCs/>
                <w:szCs w:val="16"/>
              </w:rPr>
              <w:t xml:space="preserve"> </w:t>
            </w:r>
          </w:p>
          <w:p w:rsidRPr="00E67ABE" w:rsidR="007354F9" w:rsidP="00F7691B" w:rsidRDefault="00941480" w14:paraId="1B304897" w14:textId="3AEE5A7A">
            <w:pPr>
              <w:pStyle w:val="Lijstalinea"/>
              <w:spacing w:line="240" w:lineRule="auto"/>
              <w:ind w:left="360"/>
              <w:rPr>
                <w:i/>
                <w:iCs/>
                <w:szCs w:val="16"/>
              </w:rPr>
            </w:pPr>
            <w:r w:rsidRPr="00E67ABE">
              <w:rPr>
                <w:i/>
                <w:iCs/>
                <w:szCs w:val="16"/>
              </w:rPr>
              <w:t xml:space="preserve">Aanbeveling: </w:t>
            </w:r>
            <w:r w:rsidRPr="00E67ABE" w:rsidR="00A40DD2">
              <w:rPr>
                <w:i/>
                <w:iCs/>
                <w:szCs w:val="16"/>
              </w:rPr>
              <w:t>Schrap de bepaling dat een ontheffing niet gegeven wordt als ze ten koste zou gaa</w:t>
            </w:r>
            <w:r w:rsidRPr="00E67ABE" w:rsidR="006239FE">
              <w:rPr>
                <w:i/>
                <w:iCs/>
                <w:szCs w:val="16"/>
              </w:rPr>
              <w:t>t</w:t>
            </w:r>
            <w:r w:rsidRPr="00E67ABE" w:rsidR="00A40DD2">
              <w:rPr>
                <w:i/>
                <w:iCs/>
                <w:szCs w:val="16"/>
              </w:rPr>
              <w:t xml:space="preserve"> van een groter systeem, laat gemeenten daarin vrij bij het verlenen van de ontheffing.</w:t>
            </w:r>
          </w:p>
        </w:tc>
      </w:tr>
      <w:tr w:rsidRPr="00BC5C43" w:rsidR="0099324D" w:rsidTr="00CF6DEA" w14:paraId="6BA8F31C" w14:textId="77777777">
        <w:tc>
          <w:tcPr>
            <w:tcW w:w="562" w:type="dxa"/>
          </w:tcPr>
          <w:p w:rsidRPr="00BC5C43" w:rsidR="0099324D" w:rsidP="006D004F" w:rsidRDefault="0099324D" w14:paraId="6BBC9772" w14:textId="30779648">
            <w:pPr>
              <w:pStyle w:val="Lijstalinea"/>
              <w:numPr>
                <w:ilvl w:val="0"/>
                <w:numId w:val="46"/>
              </w:numPr>
              <w:spacing w:line="240" w:lineRule="auto"/>
              <w:rPr>
                <w:color w:val="000000" w:themeColor="text1"/>
              </w:rPr>
            </w:pPr>
          </w:p>
        </w:tc>
        <w:tc>
          <w:tcPr>
            <w:tcW w:w="2410" w:type="dxa"/>
          </w:tcPr>
          <w:p w:rsidRPr="00BC5C43" w:rsidR="0099324D" w:rsidP="00AE7D67" w:rsidRDefault="0099324D" w14:paraId="3D0AD9FD" w14:textId="748685CF">
            <w:pPr>
              <w:spacing w:line="240" w:lineRule="auto"/>
              <w:rPr>
                <w:b/>
                <w:color w:val="000000" w:themeColor="text1"/>
              </w:rPr>
            </w:pPr>
            <w:r w:rsidRPr="00BC5C43">
              <w:rPr>
                <w:b/>
                <w:color w:val="000000" w:themeColor="text1"/>
              </w:rPr>
              <w:t>Doeltreffendheid</w:t>
            </w:r>
          </w:p>
          <w:p w:rsidRPr="00BC5C43" w:rsidR="0099324D" w:rsidP="00AE7D67" w:rsidRDefault="008B4CD3" w14:paraId="64599633" w14:textId="1093F9D0">
            <w:pPr>
              <w:spacing w:line="240" w:lineRule="auto"/>
              <w:rPr>
                <w:color w:val="000000" w:themeColor="text1"/>
              </w:rPr>
            </w:pPr>
            <w:r w:rsidRPr="00BC5C43">
              <w:rPr>
                <w:color w:val="000000" w:themeColor="text1"/>
              </w:rPr>
              <w:t xml:space="preserve">Op welke wijze en in welke mate wordt verwacht dat het beleidsinstrumentarium </w:t>
            </w:r>
            <w:r>
              <w:t xml:space="preserve">met zo min mogelijk ongewenste neveneffecten </w:t>
            </w:r>
            <w:r w:rsidRPr="00BC5C43">
              <w:rPr>
                <w:color w:val="000000" w:themeColor="text1"/>
              </w:rPr>
              <w:t>gaat bijdragen aan de beoogde prestaties en effecten?</w:t>
            </w:r>
          </w:p>
        </w:tc>
        <w:tc>
          <w:tcPr>
            <w:tcW w:w="851" w:type="dxa"/>
          </w:tcPr>
          <w:p w:rsidRPr="00BC5C43" w:rsidR="0099324D" w:rsidP="00AE7D67" w:rsidRDefault="008D2A6E" w14:paraId="5BE413D1" w14:textId="03859FA0">
            <w:pPr>
              <w:pStyle w:val="Tekstopmerking"/>
              <w:spacing w:before="120"/>
              <w:jc w:val="center"/>
              <w:rPr>
                <w:sz w:val="18"/>
                <w:szCs w:val="18"/>
              </w:rPr>
            </w:pPr>
            <w:r w:rsidRPr="00090976">
              <w:rPr>
                <w:bCs/>
                <w:noProof/>
                <w:position w:val="-4"/>
                <w:lang w:eastAsia="nl-NL"/>
              </w:rPr>
              <w:drawing>
                <wp:inline distT="0" distB="0" distL="0" distR="0" wp14:anchorId="384973E6" wp14:editId="64EDCBE1">
                  <wp:extent cx="152400" cy="152400"/>
                  <wp:effectExtent l="0" t="0" r="0" b="0"/>
                  <wp:docPr id="503711356" name="icoonverbeterp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onverbeterpunt"/>
                          <pic:cNvPicPr/>
                        </pic:nvPicPr>
                        <pic:blipFill rotWithShape="1">
                          <a:blip r:embed="rId19"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5528" w:type="dxa"/>
          </w:tcPr>
          <w:p w:rsidRPr="00E67ABE" w:rsidR="00316244" w:rsidP="00E67ABE" w:rsidRDefault="00316244" w14:paraId="63098660" w14:textId="3A08F0D0">
            <w:pPr>
              <w:pStyle w:val="Lijstalinea"/>
              <w:numPr>
                <w:ilvl w:val="0"/>
                <w:numId w:val="47"/>
              </w:numPr>
              <w:spacing w:line="240" w:lineRule="auto"/>
              <w:rPr>
                <w:szCs w:val="16"/>
              </w:rPr>
            </w:pPr>
            <w:r w:rsidRPr="00E67ABE">
              <w:rPr>
                <w:szCs w:val="16"/>
                <w:u w:val="single"/>
              </w:rPr>
              <w:t>Overwegingen</w:t>
            </w:r>
            <w:r w:rsidRPr="00E67ABE">
              <w:rPr>
                <w:szCs w:val="16"/>
              </w:rPr>
              <w:t xml:space="preserve">: In de </w:t>
            </w:r>
            <w:proofErr w:type="spellStart"/>
            <w:r w:rsidRPr="00E67ABE">
              <w:rPr>
                <w:szCs w:val="16"/>
              </w:rPr>
              <w:t>MvT</w:t>
            </w:r>
            <w:proofErr w:type="spellEnd"/>
            <w:r w:rsidRPr="00E67ABE">
              <w:rPr>
                <w:szCs w:val="16"/>
              </w:rPr>
              <w:t xml:space="preserve"> wordt uitgebreid ingegaan op de overwegingen om te kiezen voor </w:t>
            </w:r>
            <w:r w:rsidRPr="00E67ABE" w:rsidR="004E6B85">
              <w:rPr>
                <w:szCs w:val="16"/>
              </w:rPr>
              <w:t>dit</w:t>
            </w:r>
            <w:r w:rsidRPr="00E67ABE">
              <w:rPr>
                <w:szCs w:val="16"/>
              </w:rPr>
              <w:t xml:space="preserve"> instrumentarium (in algemene zin in de hoofdstukken 1 en 2, en meer specifiek in de hoofdstukken 3 t/m 8 van de </w:t>
            </w:r>
            <w:proofErr w:type="spellStart"/>
            <w:r w:rsidRPr="00E67ABE">
              <w:rPr>
                <w:szCs w:val="16"/>
              </w:rPr>
              <w:t>MvT</w:t>
            </w:r>
            <w:proofErr w:type="spellEnd"/>
            <w:r w:rsidRPr="00E67ABE">
              <w:rPr>
                <w:szCs w:val="16"/>
              </w:rPr>
              <w:t xml:space="preserve">). Daarbij wordt </w:t>
            </w:r>
            <w:r w:rsidRPr="00E67ABE" w:rsidR="004E6B85">
              <w:rPr>
                <w:szCs w:val="16"/>
              </w:rPr>
              <w:t>een</w:t>
            </w:r>
            <w:r w:rsidRPr="00E67ABE">
              <w:rPr>
                <w:szCs w:val="16"/>
              </w:rPr>
              <w:t xml:space="preserve"> koppeling gelegd met de beleidsdoelen. In de argumentatie komen onder meer de volgende elementen terug:</w:t>
            </w:r>
          </w:p>
          <w:p w:rsidRPr="00E67ABE" w:rsidR="00316244" w:rsidP="00E67ABE" w:rsidRDefault="00316244" w14:paraId="7F74FD5E" w14:textId="47391A39">
            <w:pPr>
              <w:numPr>
                <w:ilvl w:val="0"/>
                <w:numId w:val="48"/>
              </w:numPr>
              <w:spacing w:line="240" w:lineRule="auto"/>
              <w:ind w:left="714" w:hanging="357"/>
              <w:rPr>
                <w:szCs w:val="16"/>
              </w:rPr>
            </w:pPr>
            <w:r w:rsidRPr="00E67ABE">
              <w:rPr>
                <w:szCs w:val="16"/>
              </w:rPr>
              <w:t xml:space="preserve">Om de warmtetransitie in de gebouwde omgeving te realiseren hebben burgers en bedrijven zekerheden en coördinatie nodig. De gemeente is de logische partij om regie te voeren. </w:t>
            </w:r>
            <w:r w:rsidRPr="00E67ABE" w:rsidR="004E6B85">
              <w:rPr>
                <w:szCs w:val="16"/>
              </w:rPr>
              <w:t>Gekozen</w:t>
            </w:r>
            <w:r w:rsidRPr="00E67ABE">
              <w:rPr>
                <w:szCs w:val="16"/>
              </w:rPr>
              <w:t xml:space="preserve"> is voor de aanwijzing </w:t>
            </w:r>
            <w:r w:rsidRPr="00E67ABE" w:rsidR="004E6B85">
              <w:rPr>
                <w:szCs w:val="16"/>
              </w:rPr>
              <w:t xml:space="preserve">als vorm, </w:t>
            </w:r>
            <w:r w:rsidRPr="00E67ABE">
              <w:rPr>
                <w:szCs w:val="16"/>
              </w:rPr>
              <w:t xml:space="preserve">omdat dit </w:t>
            </w:r>
            <w:r w:rsidRPr="00E67ABE" w:rsidR="004E6B85">
              <w:rPr>
                <w:szCs w:val="16"/>
              </w:rPr>
              <w:t xml:space="preserve">voor gemeenten </w:t>
            </w:r>
            <w:r w:rsidRPr="00E67ABE">
              <w:rPr>
                <w:szCs w:val="16"/>
              </w:rPr>
              <w:t xml:space="preserve">de beste sturingsmogelijkheden creëert (paragraaf 3.5.1 </w:t>
            </w:r>
            <w:proofErr w:type="spellStart"/>
            <w:r w:rsidRPr="00E67ABE">
              <w:rPr>
                <w:szCs w:val="16"/>
              </w:rPr>
              <w:t>MvT</w:t>
            </w:r>
            <w:proofErr w:type="spellEnd"/>
            <w:r w:rsidRPr="00E67ABE">
              <w:rPr>
                <w:szCs w:val="16"/>
              </w:rPr>
              <w:t>)</w:t>
            </w:r>
          </w:p>
          <w:p w:rsidRPr="00E67ABE" w:rsidR="00316244" w:rsidP="00E67ABE" w:rsidRDefault="00316244" w14:paraId="4628FFF3" w14:textId="263FE4F7">
            <w:pPr>
              <w:numPr>
                <w:ilvl w:val="0"/>
                <w:numId w:val="48"/>
              </w:numPr>
              <w:spacing w:line="240" w:lineRule="auto"/>
              <w:ind w:left="714" w:hanging="357"/>
              <w:rPr>
                <w:szCs w:val="16"/>
              </w:rPr>
            </w:pPr>
            <w:r w:rsidRPr="00E67ABE">
              <w:rPr>
                <w:szCs w:val="16"/>
              </w:rPr>
              <w:t xml:space="preserve">De overweging om een publiek meerderheidsbelang te eisen is dat een warmtebedrijf met een publiek meerderheidsbelang, </w:t>
            </w:r>
            <w:r w:rsidRPr="00E67ABE" w:rsidR="00B650AD">
              <w:rPr>
                <w:szCs w:val="16"/>
              </w:rPr>
              <w:t>anders</w:t>
            </w:r>
            <w:r w:rsidRPr="00E67ABE">
              <w:rPr>
                <w:szCs w:val="16"/>
              </w:rPr>
              <w:t xml:space="preserve"> </w:t>
            </w:r>
            <w:r w:rsidRPr="00E67ABE" w:rsidR="00B650AD">
              <w:rPr>
                <w:szCs w:val="16"/>
              </w:rPr>
              <w:t>dan</w:t>
            </w:r>
            <w:r w:rsidRPr="00E67ABE">
              <w:rPr>
                <w:szCs w:val="16"/>
              </w:rPr>
              <w:t xml:space="preserve"> zuiver financiële investeerders, uit eigen beweging publieke belangen als consumentenbescherming, duurzaamheid of betaalbaarheid zwaarder </w:t>
            </w:r>
            <w:r w:rsidR="0033476E">
              <w:rPr>
                <w:szCs w:val="16"/>
              </w:rPr>
              <w:t>laat</w:t>
            </w:r>
            <w:r w:rsidRPr="00E67ABE">
              <w:rPr>
                <w:szCs w:val="16"/>
              </w:rPr>
              <w:t xml:space="preserve"> wegen dan commerciële belangen (p. 8 t/m 13 </w:t>
            </w:r>
            <w:proofErr w:type="spellStart"/>
            <w:r w:rsidRPr="00E67ABE">
              <w:rPr>
                <w:szCs w:val="16"/>
              </w:rPr>
              <w:t>MvT</w:t>
            </w:r>
            <w:proofErr w:type="spellEnd"/>
            <w:r w:rsidRPr="00E67ABE">
              <w:rPr>
                <w:szCs w:val="16"/>
              </w:rPr>
              <w:t xml:space="preserve">). </w:t>
            </w:r>
          </w:p>
          <w:p w:rsidRPr="00E67ABE" w:rsidR="00316244" w:rsidP="00E67ABE" w:rsidRDefault="00316244" w14:paraId="2DEFF069" w14:textId="0DCE7D8F">
            <w:pPr>
              <w:numPr>
                <w:ilvl w:val="0"/>
                <w:numId w:val="48"/>
              </w:numPr>
              <w:spacing w:line="240" w:lineRule="auto"/>
              <w:ind w:left="714" w:hanging="357"/>
              <w:rPr>
                <w:szCs w:val="16"/>
              </w:rPr>
            </w:pPr>
            <w:r w:rsidRPr="00E67ABE">
              <w:rPr>
                <w:szCs w:val="16"/>
              </w:rPr>
              <w:t xml:space="preserve">Het kabinet streeft naar publieke warmtebedrijven met een bepaalde schaalgrootte. </w:t>
            </w:r>
            <w:r w:rsidRPr="00E67ABE" w:rsidR="00B650AD">
              <w:rPr>
                <w:szCs w:val="16"/>
              </w:rPr>
              <w:t>I</w:t>
            </w:r>
            <w:r w:rsidRPr="00E67ABE">
              <w:rPr>
                <w:szCs w:val="16"/>
              </w:rPr>
              <w:t xml:space="preserve">n de </w:t>
            </w:r>
            <w:proofErr w:type="spellStart"/>
            <w:r w:rsidRPr="00E67ABE">
              <w:rPr>
                <w:szCs w:val="16"/>
              </w:rPr>
              <w:t>MvT</w:t>
            </w:r>
            <w:proofErr w:type="spellEnd"/>
            <w:r w:rsidRPr="00E67ABE">
              <w:rPr>
                <w:szCs w:val="16"/>
              </w:rPr>
              <w:t xml:space="preserve"> staat dat </w:t>
            </w:r>
            <w:r w:rsidRPr="00E67ABE" w:rsidR="00696EF1">
              <w:rPr>
                <w:szCs w:val="16"/>
              </w:rPr>
              <w:t xml:space="preserve">het, </w:t>
            </w:r>
            <w:r w:rsidRPr="00E67ABE">
              <w:rPr>
                <w:szCs w:val="16"/>
              </w:rPr>
              <w:t>voor het bundelen van expertise, het delen van risico’s en opbouwen van uitvoeringskracht</w:t>
            </w:r>
            <w:r w:rsidRPr="00E67ABE" w:rsidR="00B650AD">
              <w:rPr>
                <w:szCs w:val="16"/>
              </w:rPr>
              <w:t>,</w:t>
            </w:r>
            <w:r w:rsidRPr="00E67ABE">
              <w:rPr>
                <w:szCs w:val="16"/>
              </w:rPr>
              <w:t xml:space="preserve"> voor de hand ligt dat nieuwe publieke warmtebedrijven op regionale of provinciale schaal ontstaan. Deze schaalgrootte sluit aan bij andere publieke deelnemingen zoals het waterbedrijf, het infrastructuurbedrijf en de afvalverwerker. In Kamerstuk 30196, nr. 845 staat bovendien dat het kabinet voornemens is om de gewenste schaalgrootte in de wet op te nemen via de tweede nota van wijziging.</w:t>
            </w:r>
          </w:p>
          <w:p w:rsidRPr="00E67ABE" w:rsidR="00316244" w:rsidP="00E67ABE" w:rsidRDefault="00316244" w14:paraId="68E6AB88" w14:textId="46F15532">
            <w:pPr>
              <w:numPr>
                <w:ilvl w:val="0"/>
                <w:numId w:val="48"/>
              </w:numPr>
              <w:spacing w:line="240" w:lineRule="auto"/>
              <w:ind w:left="714" w:hanging="357"/>
              <w:rPr>
                <w:szCs w:val="16"/>
              </w:rPr>
            </w:pPr>
            <w:r w:rsidRPr="00E67ABE">
              <w:rPr>
                <w:szCs w:val="16"/>
              </w:rPr>
              <w:t>D</w:t>
            </w:r>
            <w:r w:rsidRPr="00E67ABE" w:rsidR="00696EF1">
              <w:rPr>
                <w:szCs w:val="16"/>
              </w:rPr>
              <w:t xml:space="preserve">e </w:t>
            </w:r>
            <w:proofErr w:type="spellStart"/>
            <w:r w:rsidRPr="00E67ABE">
              <w:rPr>
                <w:szCs w:val="16"/>
              </w:rPr>
              <w:t>monopoliepositie</w:t>
            </w:r>
            <w:proofErr w:type="spellEnd"/>
            <w:r w:rsidRPr="00E67ABE">
              <w:rPr>
                <w:szCs w:val="16"/>
              </w:rPr>
              <w:t xml:space="preserve"> van het warmtebedrijf </w:t>
            </w:r>
            <w:r w:rsidRPr="00E67ABE" w:rsidR="00696EF1">
              <w:rPr>
                <w:szCs w:val="16"/>
              </w:rPr>
              <w:t>maakt</w:t>
            </w:r>
            <w:r w:rsidRPr="00E67ABE">
              <w:rPr>
                <w:szCs w:val="16"/>
              </w:rPr>
              <w:t xml:space="preserve"> het van belang de tarieven voor warmte te reguleren. </w:t>
            </w:r>
            <w:proofErr w:type="spellStart"/>
            <w:r w:rsidRPr="00E67ABE">
              <w:rPr>
                <w:szCs w:val="16"/>
              </w:rPr>
              <w:t>Kostengebaseerde</w:t>
            </w:r>
            <w:proofErr w:type="spellEnd"/>
            <w:r w:rsidRPr="00E67ABE">
              <w:rPr>
                <w:szCs w:val="16"/>
              </w:rPr>
              <w:t xml:space="preserve"> tarieven moeten zorgen dat gebruikers niet meer betalen voor warmte dan de kosten die redelijkerwijs worden gemaakt voor warmtelevering. </w:t>
            </w:r>
            <w:proofErr w:type="spellStart"/>
            <w:r w:rsidRPr="00E67ABE">
              <w:rPr>
                <w:szCs w:val="16"/>
              </w:rPr>
              <w:t>Kostengebaseerde</w:t>
            </w:r>
            <w:proofErr w:type="spellEnd"/>
            <w:r w:rsidRPr="00E67ABE">
              <w:rPr>
                <w:szCs w:val="16"/>
              </w:rPr>
              <w:t xml:space="preserve"> tarieven zijn uitlegbaar aan consumenten (hoofdstuk 8 </w:t>
            </w:r>
            <w:proofErr w:type="spellStart"/>
            <w:r w:rsidRPr="00E67ABE">
              <w:rPr>
                <w:szCs w:val="16"/>
              </w:rPr>
              <w:t>MvT</w:t>
            </w:r>
            <w:proofErr w:type="spellEnd"/>
            <w:r w:rsidRPr="00E67ABE">
              <w:rPr>
                <w:szCs w:val="16"/>
              </w:rPr>
              <w:t xml:space="preserve">). Omdat warmtebedrijven niet meer in rekening kunnen brengen dan wat nodig is om de efficiënte kosten </w:t>
            </w:r>
            <w:r w:rsidRPr="00E67ABE" w:rsidR="00696EF1">
              <w:rPr>
                <w:szCs w:val="16"/>
              </w:rPr>
              <w:t>plus</w:t>
            </w:r>
            <w:r w:rsidRPr="00E67ABE">
              <w:rPr>
                <w:szCs w:val="16"/>
              </w:rPr>
              <w:t xml:space="preserve"> een redelijk rendement terug te verdienen, worden over- en </w:t>
            </w:r>
            <w:proofErr w:type="spellStart"/>
            <w:r w:rsidRPr="00E67ABE">
              <w:rPr>
                <w:szCs w:val="16"/>
              </w:rPr>
              <w:t>onderrendementen</w:t>
            </w:r>
            <w:proofErr w:type="spellEnd"/>
            <w:r w:rsidRPr="00E67ABE">
              <w:rPr>
                <w:szCs w:val="16"/>
              </w:rPr>
              <w:t xml:space="preserve"> beperkt.</w:t>
            </w:r>
            <w:r w:rsidRPr="00E67ABE" w:rsidR="003B215F">
              <w:rPr>
                <w:szCs w:val="16"/>
              </w:rPr>
              <w:t xml:space="preserve"> </w:t>
            </w:r>
            <w:r w:rsidRPr="00E67ABE">
              <w:rPr>
                <w:szCs w:val="16"/>
              </w:rPr>
              <w:t xml:space="preserve">De optie van een tarieflimiet moet consumenten </w:t>
            </w:r>
            <w:r w:rsidRPr="00E67ABE" w:rsidR="00696EF1">
              <w:rPr>
                <w:szCs w:val="16"/>
              </w:rPr>
              <w:t>ook</w:t>
            </w:r>
            <w:r w:rsidRPr="00E67ABE">
              <w:rPr>
                <w:szCs w:val="16"/>
              </w:rPr>
              <w:t xml:space="preserve"> beschermen tegen excessief hoge tarieven (paragraaf 4 van de toelichting bij de </w:t>
            </w:r>
            <w:proofErr w:type="spellStart"/>
            <w:r w:rsidRPr="00E67ABE">
              <w:rPr>
                <w:szCs w:val="16"/>
              </w:rPr>
              <w:t>NvW</w:t>
            </w:r>
            <w:proofErr w:type="spellEnd"/>
            <w:r w:rsidRPr="00E67ABE">
              <w:rPr>
                <w:szCs w:val="16"/>
              </w:rPr>
              <w:t>).</w:t>
            </w:r>
          </w:p>
          <w:p w:rsidRPr="00E67ABE" w:rsidR="00316244" w:rsidP="00E67ABE" w:rsidRDefault="00316244" w14:paraId="271D0855" w14:textId="0D8B1EB6">
            <w:pPr>
              <w:numPr>
                <w:ilvl w:val="0"/>
                <w:numId w:val="48"/>
              </w:numPr>
              <w:spacing w:line="240" w:lineRule="auto"/>
              <w:ind w:left="714" w:hanging="357"/>
              <w:rPr>
                <w:szCs w:val="16"/>
              </w:rPr>
            </w:pPr>
            <w:r w:rsidRPr="00E67ABE">
              <w:rPr>
                <w:szCs w:val="16"/>
              </w:rPr>
              <w:t>Met een duurzaamheidsnorm wordt de uitstoot van broeikasgassen per warmtekavel gemaximeerd. De norm heeft betrekking op de uitstoot van alle activiteiten</w:t>
            </w:r>
            <w:r w:rsidRPr="00E67ABE" w:rsidR="00696EF1">
              <w:rPr>
                <w:szCs w:val="16"/>
              </w:rPr>
              <w:t xml:space="preserve">, </w:t>
            </w:r>
            <w:r w:rsidRPr="00E67ABE">
              <w:rPr>
                <w:szCs w:val="16"/>
              </w:rPr>
              <w:t xml:space="preserve">noodzakelijk om de warmte te kunnen leveren. De duurzaamheidsnorm fungeert volgens de </w:t>
            </w:r>
            <w:proofErr w:type="spellStart"/>
            <w:r w:rsidRPr="00E67ABE">
              <w:rPr>
                <w:szCs w:val="16"/>
              </w:rPr>
              <w:t>MvT</w:t>
            </w:r>
            <w:proofErr w:type="spellEnd"/>
            <w:r w:rsidRPr="00E67ABE">
              <w:rPr>
                <w:szCs w:val="16"/>
              </w:rPr>
              <w:t xml:space="preserve"> als prikkel voor warmtebedrijven om over te stappen naar </w:t>
            </w:r>
            <w:proofErr w:type="spellStart"/>
            <w:r w:rsidRPr="00E67ABE">
              <w:rPr>
                <w:szCs w:val="16"/>
              </w:rPr>
              <w:t>broeikasgasneutrale</w:t>
            </w:r>
            <w:proofErr w:type="spellEnd"/>
            <w:r w:rsidRPr="00E67ABE">
              <w:rPr>
                <w:szCs w:val="16"/>
              </w:rPr>
              <w:t xml:space="preserve"> en hernieuwbare warmtebronnen (p. 14 </w:t>
            </w:r>
            <w:proofErr w:type="spellStart"/>
            <w:r w:rsidRPr="00E67ABE">
              <w:rPr>
                <w:szCs w:val="16"/>
              </w:rPr>
              <w:t>MvT</w:t>
            </w:r>
            <w:proofErr w:type="spellEnd"/>
            <w:r w:rsidRPr="00E67ABE">
              <w:rPr>
                <w:szCs w:val="16"/>
              </w:rPr>
              <w:t>). Het doel is dat er in 2050 geen broeikasgassen meer worden uitgestoten voor warmtelevering aan de gebouwde omgeving.</w:t>
            </w:r>
          </w:p>
          <w:p w:rsidRPr="00E67ABE" w:rsidR="00316244" w:rsidP="00E67ABE" w:rsidRDefault="00316244" w14:paraId="1FD561F3" w14:textId="2D25E836">
            <w:pPr>
              <w:numPr>
                <w:ilvl w:val="0"/>
                <w:numId w:val="43"/>
              </w:numPr>
              <w:spacing w:line="240" w:lineRule="auto"/>
              <w:rPr>
                <w:szCs w:val="16"/>
              </w:rPr>
            </w:pPr>
            <w:r w:rsidRPr="00E67ABE">
              <w:rPr>
                <w:szCs w:val="16"/>
                <w:u w:val="single"/>
              </w:rPr>
              <w:t>Alternatieven</w:t>
            </w:r>
            <w:r w:rsidRPr="00E67ABE">
              <w:rPr>
                <w:szCs w:val="16"/>
              </w:rPr>
              <w:t xml:space="preserve">: In de voorbereiding van het wetsvoorstel is onderzoek gedaan naar alternatieven voor de marktordening van collectieve warmtevoorzieningen. In de </w:t>
            </w:r>
            <w:proofErr w:type="spellStart"/>
            <w:r w:rsidRPr="00E67ABE">
              <w:rPr>
                <w:szCs w:val="16"/>
              </w:rPr>
              <w:t>MvT</w:t>
            </w:r>
            <w:proofErr w:type="spellEnd"/>
            <w:r w:rsidRPr="00E67ABE">
              <w:rPr>
                <w:szCs w:val="16"/>
              </w:rPr>
              <w:t xml:space="preserve"> staat waarom is gekozen voor:</w:t>
            </w:r>
          </w:p>
          <w:p w:rsidRPr="00E67ABE" w:rsidR="00316244" w:rsidP="00E67ABE" w:rsidRDefault="00696EF1" w14:paraId="581B5C2D" w14:textId="1A161B09">
            <w:pPr>
              <w:numPr>
                <w:ilvl w:val="2"/>
                <w:numId w:val="41"/>
              </w:numPr>
              <w:spacing w:line="240" w:lineRule="auto"/>
              <w:rPr>
                <w:szCs w:val="16"/>
              </w:rPr>
            </w:pPr>
            <w:r w:rsidRPr="00E67ABE">
              <w:rPr>
                <w:szCs w:val="16"/>
              </w:rPr>
              <w:t>D</w:t>
            </w:r>
            <w:r w:rsidRPr="00E67ABE" w:rsidR="00316244">
              <w:rPr>
                <w:szCs w:val="16"/>
              </w:rPr>
              <w:t xml:space="preserve">e figuur van een aanwijzing en waarom een aanwijzing gemeenten de beste sturingsmogelijkheden geeft (paragraaf 15.2 </w:t>
            </w:r>
            <w:proofErr w:type="spellStart"/>
            <w:r w:rsidRPr="00E67ABE" w:rsidR="00316244">
              <w:rPr>
                <w:szCs w:val="16"/>
              </w:rPr>
              <w:t>MvT</w:t>
            </w:r>
            <w:proofErr w:type="spellEnd"/>
            <w:r w:rsidRPr="00E67ABE" w:rsidR="00316244">
              <w:rPr>
                <w:szCs w:val="16"/>
              </w:rPr>
              <w:t>)</w:t>
            </w:r>
            <w:r w:rsidRPr="00E67ABE">
              <w:rPr>
                <w:szCs w:val="16"/>
              </w:rPr>
              <w:t>.</w:t>
            </w:r>
          </w:p>
          <w:p w:rsidRPr="00E67ABE" w:rsidR="00316244" w:rsidP="00E67ABE" w:rsidRDefault="00696EF1" w14:paraId="2CAC0D54" w14:textId="68E48C6D">
            <w:pPr>
              <w:numPr>
                <w:ilvl w:val="2"/>
                <w:numId w:val="41"/>
              </w:numPr>
              <w:spacing w:line="240" w:lineRule="auto"/>
              <w:rPr>
                <w:szCs w:val="16"/>
              </w:rPr>
            </w:pPr>
            <w:r w:rsidRPr="00E67ABE">
              <w:rPr>
                <w:szCs w:val="16"/>
              </w:rPr>
              <w:t>Een</w:t>
            </w:r>
            <w:r w:rsidRPr="00E67ABE" w:rsidR="00316244">
              <w:rPr>
                <w:szCs w:val="16"/>
              </w:rPr>
              <w:t xml:space="preserve"> integraal warmtebedrijf </w:t>
            </w:r>
            <w:r w:rsidRPr="00E67ABE">
              <w:rPr>
                <w:szCs w:val="16"/>
              </w:rPr>
              <w:t>– versus</w:t>
            </w:r>
            <w:r w:rsidRPr="00E67ABE" w:rsidR="00316244">
              <w:rPr>
                <w:szCs w:val="16"/>
              </w:rPr>
              <w:t xml:space="preserve"> splitsing van netbeheer en levering (paragraaf 15.3 </w:t>
            </w:r>
            <w:proofErr w:type="spellStart"/>
            <w:r w:rsidRPr="00E67ABE" w:rsidR="00316244">
              <w:rPr>
                <w:szCs w:val="16"/>
              </w:rPr>
              <w:t>MvT</w:t>
            </w:r>
            <w:proofErr w:type="spellEnd"/>
            <w:r w:rsidRPr="00E67ABE" w:rsidR="00316244">
              <w:rPr>
                <w:szCs w:val="16"/>
              </w:rPr>
              <w:t>)</w:t>
            </w:r>
            <w:r w:rsidRPr="00E67ABE">
              <w:rPr>
                <w:szCs w:val="16"/>
              </w:rPr>
              <w:t>.</w:t>
            </w:r>
          </w:p>
          <w:p w:rsidRPr="00E67ABE" w:rsidR="00316244" w:rsidP="00E67ABE" w:rsidRDefault="00696EF1" w14:paraId="0559BD3A" w14:textId="18A85084">
            <w:pPr>
              <w:numPr>
                <w:ilvl w:val="2"/>
                <w:numId w:val="41"/>
              </w:numPr>
              <w:spacing w:line="240" w:lineRule="auto"/>
              <w:rPr>
                <w:szCs w:val="16"/>
              </w:rPr>
            </w:pPr>
            <w:r w:rsidRPr="00E67ABE">
              <w:rPr>
                <w:szCs w:val="16"/>
              </w:rPr>
              <w:t>D</w:t>
            </w:r>
            <w:r w:rsidRPr="00E67ABE" w:rsidR="00316244">
              <w:rPr>
                <w:szCs w:val="16"/>
              </w:rPr>
              <w:t xml:space="preserve">e eis van een publiek meerderheidsbelang </w:t>
            </w:r>
            <w:r w:rsidRPr="00E67ABE">
              <w:rPr>
                <w:szCs w:val="16"/>
              </w:rPr>
              <w:t>(</w:t>
            </w:r>
            <w:r w:rsidRPr="00E67ABE" w:rsidR="00316244">
              <w:rPr>
                <w:szCs w:val="16"/>
              </w:rPr>
              <w:t>en de onderzochte alternatieven</w:t>
            </w:r>
            <w:r w:rsidRPr="00E67ABE">
              <w:rPr>
                <w:szCs w:val="16"/>
              </w:rPr>
              <w:t xml:space="preserve">; </w:t>
            </w:r>
            <w:r w:rsidRPr="00E67ABE" w:rsidR="00316244">
              <w:rPr>
                <w:szCs w:val="16"/>
              </w:rPr>
              <w:t xml:space="preserve">paragraaf 15.4 en 15.5 </w:t>
            </w:r>
            <w:proofErr w:type="spellStart"/>
            <w:r w:rsidRPr="00E67ABE" w:rsidR="00316244">
              <w:rPr>
                <w:szCs w:val="16"/>
              </w:rPr>
              <w:t>MvT</w:t>
            </w:r>
            <w:proofErr w:type="spellEnd"/>
            <w:r w:rsidRPr="00E67ABE" w:rsidR="00316244">
              <w:rPr>
                <w:szCs w:val="16"/>
              </w:rPr>
              <w:t>).</w:t>
            </w:r>
          </w:p>
          <w:p w:rsidRPr="00E67ABE" w:rsidR="00316244" w:rsidP="00E67ABE" w:rsidRDefault="00316244" w14:paraId="5EBD0946" w14:textId="77777777">
            <w:pPr>
              <w:numPr>
                <w:ilvl w:val="0"/>
                <w:numId w:val="43"/>
              </w:numPr>
              <w:spacing w:line="240" w:lineRule="auto"/>
              <w:rPr>
                <w:szCs w:val="16"/>
              </w:rPr>
            </w:pPr>
            <w:r w:rsidRPr="00E67ABE">
              <w:rPr>
                <w:szCs w:val="16"/>
                <w:u w:val="single"/>
              </w:rPr>
              <w:lastRenderedPageBreak/>
              <w:t>(Neven)gevolgen</w:t>
            </w:r>
            <w:r w:rsidRPr="00E67ABE">
              <w:rPr>
                <w:szCs w:val="16"/>
              </w:rPr>
              <w:t>:</w:t>
            </w:r>
          </w:p>
          <w:p w:rsidRPr="00E67ABE" w:rsidR="00316244" w:rsidP="00E67ABE" w:rsidRDefault="00316244" w14:paraId="1519ACE8" w14:textId="22209BCE">
            <w:pPr>
              <w:numPr>
                <w:ilvl w:val="2"/>
                <w:numId w:val="41"/>
              </w:numPr>
              <w:spacing w:line="240" w:lineRule="auto"/>
              <w:rPr>
                <w:szCs w:val="16"/>
              </w:rPr>
            </w:pPr>
            <w:r w:rsidRPr="00E67ABE">
              <w:rPr>
                <w:szCs w:val="16"/>
              </w:rPr>
              <w:t xml:space="preserve">De collectieve warmtemarkt is nu nog grotendeels </w:t>
            </w:r>
            <w:r w:rsidRPr="00E67ABE" w:rsidR="00696EF1">
              <w:rPr>
                <w:szCs w:val="16"/>
              </w:rPr>
              <w:t>privaat</w:t>
            </w:r>
            <w:r w:rsidRPr="00E67ABE">
              <w:rPr>
                <w:szCs w:val="16"/>
              </w:rPr>
              <w:t>. Private bedrijven zullen uiteindelijk het warmtenet moeten overdragen aan een aangewezen warmtebedrijf met een publiek meerderheidsbelang (of aan een warmtegemeenschap). Zij worden niet gedwongen hun aandelen over te dragen om zo alsnog een publiek meerderheidsbelang te realiseren.</w:t>
            </w:r>
          </w:p>
          <w:p w:rsidRPr="00E67ABE" w:rsidR="00316244" w:rsidP="00E67ABE" w:rsidRDefault="00316244" w14:paraId="150AF808" w14:textId="13705E3C">
            <w:pPr>
              <w:numPr>
                <w:ilvl w:val="2"/>
                <w:numId w:val="41"/>
              </w:numPr>
              <w:spacing w:line="240" w:lineRule="auto"/>
              <w:rPr>
                <w:szCs w:val="16"/>
              </w:rPr>
            </w:pPr>
            <w:r w:rsidRPr="00E67ABE">
              <w:rPr>
                <w:szCs w:val="16"/>
              </w:rPr>
              <w:t xml:space="preserve">Het ontbreken van voldoende publieke realisatiekracht in combinatie met het verplicht stellen van een publiek meerderheidsbelang kan </w:t>
            </w:r>
            <w:r w:rsidRPr="00E67ABE" w:rsidR="00696EF1">
              <w:rPr>
                <w:szCs w:val="16"/>
              </w:rPr>
              <w:t xml:space="preserve">de warmtetransitie </w:t>
            </w:r>
            <w:r w:rsidRPr="00E67ABE">
              <w:rPr>
                <w:szCs w:val="16"/>
              </w:rPr>
              <w:t>vertragen.</w:t>
            </w:r>
          </w:p>
          <w:p w:rsidRPr="00E67ABE" w:rsidR="00316244" w:rsidP="00E67ABE" w:rsidRDefault="00316244" w14:paraId="60DA03C6" w14:textId="6999EE2E">
            <w:pPr>
              <w:numPr>
                <w:ilvl w:val="2"/>
                <w:numId w:val="41"/>
              </w:numPr>
              <w:spacing w:line="240" w:lineRule="auto"/>
              <w:rPr>
                <w:szCs w:val="16"/>
              </w:rPr>
            </w:pPr>
            <w:r w:rsidRPr="00E67ABE">
              <w:rPr>
                <w:szCs w:val="16"/>
              </w:rPr>
              <w:t xml:space="preserve">Bij een tarieflimiet kunnen consumenten te maken krijgen met </w:t>
            </w:r>
            <w:r w:rsidRPr="00E67ABE" w:rsidR="00696EF1">
              <w:rPr>
                <w:szCs w:val="16"/>
              </w:rPr>
              <w:t>hogere</w:t>
            </w:r>
            <w:r w:rsidRPr="00E67ABE">
              <w:rPr>
                <w:szCs w:val="16"/>
              </w:rPr>
              <w:t xml:space="preserve"> kosten</w:t>
            </w:r>
            <w:r w:rsidRPr="00E67ABE" w:rsidR="00696EF1">
              <w:rPr>
                <w:szCs w:val="16"/>
              </w:rPr>
              <w:t>,</w:t>
            </w:r>
            <w:r w:rsidRPr="00E67ABE">
              <w:rPr>
                <w:szCs w:val="16"/>
              </w:rPr>
              <w:t xml:space="preserve"> doordat de vereveningstoeslag kan worden doorberekend (pagina 18 van de toelichting bij de </w:t>
            </w:r>
            <w:proofErr w:type="spellStart"/>
            <w:r w:rsidRPr="00E67ABE">
              <w:rPr>
                <w:szCs w:val="16"/>
              </w:rPr>
              <w:t>NvW</w:t>
            </w:r>
            <w:proofErr w:type="spellEnd"/>
            <w:r w:rsidRPr="00E67ABE">
              <w:rPr>
                <w:szCs w:val="16"/>
              </w:rPr>
              <w:t xml:space="preserve">). </w:t>
            </w:r>
          </w:p>
          <w:p w:rsidRPr="00E67ABE" w:rsidR="00316244" w:rsidP="00E67ABE" w:rsidRDefault="00316244" w14:paraId="26CFBDF7" w14:textId="58E922BD">
            <w:pPr>
              <w:numPr>
                <w:ilvl w:val="2"/>
                <w:numId w:val="41"/>
              </w:numPr>
              <w:spacing w:line="240" w:lineRule="auto"/>
              <w:rPr>
                <w:szCs w:val="16"/>
              </w:rPr>
            </w:pPr>
            <w:r w:rsidRPr="00E67ABE">
              <w:rPr>
                <w:szCs w:val="16"/>
              </w:rPr>
              <w:t xml:space="preserve">De </w:t>
            </w:r>
            <w:proofErr w:type="spellStart"/>
            <w:r w:rsidRPr="00E67ABE">
              <w:rPr>
                <w:szCs w:val="16"/>
              </w:rPr>
              <w:t>kostengebaseerd</w:t>
            </w:r>
            <w:r w:rsidRPr="00E67ABE" w:rsidR="00696EF1">
              <w:rPr>
                <w:szCs w:val="16"/>
              </w:rPr>
              <w:t>e</w:t>
            </w:r>
            <w:proofErr w:type="spellEnd"/>
            <w:r w:rsidRPr="00E67ABE">
              <w:rPr>
                <w:szCs w:val="16"/>
              </w:rPr>
              <w:t xml:space="preserve"> tariefsystematiek kan zonder aanvullend beleid de relatieve betaalbaarheid van warmte niet garanderen (</w:t>
            </w:r>
            <w:r w:rsidRPr="00E67ABE" w:rsidR="00696EF1">
              <w:rPr>
                <w:szCs w:val="16"/>
              </w:rPr>
              <w:t>n</w:t>
            </w:r>
            <w:r w:rsidRPr="00E67ABE">
              <w:rPr>
                <w:szCs w:val="16"/>
              </w:rPr>
              <w:t xml:space="preserve">ota naar aanleiding van het verslag). </w:t>
            </w:r>
          </w:p>
          <w:p w:rsidRPr="00E67ABE" w:rsidR="00316244" w:rsidP="00E67ABE" w:rsidRDefault="00316244" w14:paraId="0AB769F3" w14:textId="75479A1E">
            <w:pPr>
              <w:numPr>
                <w:ilvl w:val="2"/>
                <w:numId w:val="41"/>
              </w:numPr>
              <w:spacing w:line="240" w:lineRule="auto"/>
              <w:rPr>
                <w:szCs w:val="16"/>
              </w:rPr>
            </w:pPr>
            <w:r w:rsidRPr="00E67ABE">
              <w:rPr>
                <w:szCs w:val="16"/>
              </w:rPr>
              <w:t xml:space="preserve">De overgang naar de nieuwe tariefsystematiek vergt jaren. Volgens de </w:t>
            </w:r>
            <w:r w:rsidRPr="00E67ABE" w:rsidR="00696EF1">
              <w:rPr>
                <w:szCs w:val="16"/>
              </w:rPr>
              <w:t>n</w:t>
            </w:r>
            <w:r w:rsidRPr="00E67ABE">
              <w:rPr>
                <w:szCs w:val="16"/>
              </w:rPr>
              <w:t xml:space="preserve">ota naar aanleiding van het verslag vindt de overstap naar </w:t>
            </w:r>
            <w:proofErr w:type="spellStart"/>
            <w:r w:rsidRPr="00E67ABE">
              <w:rPr>
                <w:szCs w:val="16"/>
              </w:rPr>
              <w:t>kostengebaseerde</w:t>
            </w:r>
            <w:proofErr w:type="spellEnd"/>
            <w:r w:rsidRPr="00E67ABE">
              <w:rPr>
                <w:szCs w:val="16"/>
              </w:rPr>
              <w:t xml:space="preserve"> tariefregulering (fase 2) naar verwachting 2 - 4 jaar na inwerkingtreding van het wetsvoorstel plaats en </w:t>
            </w:r>
            <w:r w:rsidRPr="00E67ABE" w:rsidR="00696EF1">
              <w:rPr>
                <w:szCs w:val="16"/>
              </w:rPr>
              <w:t>moet daarover nog worden besloten</w:t>
            </w:r>
            <w:r w:rsidRPr="00E67ABE">
              <w:rPr>
                <w:szCs w:val="16"/>
              </w:rPr>
              <w:t>. Na</w:t>
            </w:r>
            <w:r w:rsidRPr="00E67ABE" w:rsidR="00696EF1">
              <w:rPr>
                <w:szCs w:val="16"/>
              </w:rPr>
              <w:t>dat fase 2</w:t>
            </w:r>
            <w:r w:rsidRPr="00E67ABE" w:rsidR="00EC6F22">
              <w:rPr>
                <w:szCs w:val="16"/>
              </w:rPr>
              <w:t xml:space="preserve"> </w:t>
            </w:r>
            <w:r w:rsidRPr="00E67ABE" w:rsidR="00696EF1">
              <w:rPr>
                <w:szCs w:val="16"/>
              </w:rPr>
              <w:t>in werking treedt,</w:t>
            </w:r>
            <w:r w:rsidRPr="00E67ABE">
              <w:rPr>
                <w:szCs w:val="16"/>
              </w:rPr>
              <w:t xml:space="preserve"> is waarschijnlijk nog minimaal </w:t>
            </w:r>
            <w:r w:rsidRPr="00E67ABE" w:rsidR="00696EF1">
              <w:rPr>
                <w:szCs w:val="16"/>
              </w:rPr>
              <w:t>zes</w:t>
            </w:r>
            <w:r w:rsidRPr="00E67ABE">
              <w:rPr>
                <w:szCs w:val="16"/>
              </w:rPr>
              <w:t xml:space="preserve"> jaar nodig voor fase 3.</w:t>
            </w:r>
          </w:p>
          <w:p w:rsidRPr="00E67ABE" w:rsidR="00316244" w:rsidP="00E67ABE" w:rsidRDefault="00316244" w14:paraId="3968521D" w14:textId="77777777">
            <w:pPr>
              <w:numPr>
                <w:ilvl w:val="0"/>
                <w:numId w:val="51"/>
              </w:numPr>
              <w:spacing w:line="240" w:lineRule="auto"/>
              <w:rPr>
                <w:szCs w:val="16"/>
              </w:rPr>
            </w:pPr>
            <w:r w:rsidRPr="00E67ABE">
              <w:rPr>
                <w:szCs w:val="16"/>
                <w:u w:val="single"/>
              </w:rPr>
              <w:t>Juridische toetsing</w:t>
            </w:r>
            <w:r w:rsidRPr="00E67ABE">
              <w:rPr>
                <w:szCs w:val="16"/>
              </w:rPr>
              <w:t xml:space="preserve">: </w:t>
            </w:r>
          </w:p>
          <w:p w:rsidRPr="00E67ABE" w:rsidR="00696EF1" w:rsidP="00E67ABE" w:rsidRDefault="00696EF1" w14:paraId="53F21D43" w14:textId="0AF13976">
            <w:pPr>
              <w:numPr>
                <w:ilvl w:val="1"/>
                <w:numId w:val="51"/>
              </w:numPr>
              <w:spacing w:line="240" w:lineRule="auto"/>
              <w:ind w:left="714" w:hanging="357"/>
              <w:rPr>
                <w:szCs w:val="16"/>
              </w:rPr>
            </w:pPr>
            <w:r w:rsidRPr="00E67ABE">
              <w:rPr>
                <w:szCs w:val="16"/>
              </w:rPr>
              <w:t>Nagegaan is</w:t>
            </w:r>
            <w:r w:rsidRPr="00E67ABE" w:rsidR="00316244">
              <w:rPr>
                <w:szCs w:val="16"/>
              </w:rPr>
              <w:t xml:space="preserve"> of de regels in het wetsvoorstel Europeesrechtelijk zijn toegestaan (</w:t>
            </w:r>
            <w:r w:rsidRPr="00E67ABE">
              <w:rPr>
                <w:szCs w:val="16"/>
              </w:rPr>
              <w:t>uitkomsten</w:t>
            </w:r>
            <w:r w:rsidRPr="00E67ABE" w:rsidR="00316244">
              <w:rPr>
                <w:szCs w:val="16"/>
              </w:rPr>
              <w:t xml:space="preserve"> in paragraaf 18 van de </w:t>
            </w:r>
            <w:proofErr w:type="spellStart"/>
            <w:r w:rsidRPr="00E67ABE" w:rsidR="00316244">
              <w:rPr>
                <w:szCs w:val="16"/>
              </w:rPr>
              <w:t>MvT</w:t>
            </w:r>
            <w:proofErr w:type="spellEnd"/>
            <w:r w:rsidRPr="00E67ABE" w:rsidR="00316244">
              <w:rPr>
                <w:szCs w:val="16"/>
              </w:rPr>
              <w:t xml:space="preserve">). </w:t>
            </w:r>
          </w:p>
          <w:p w:rsidRPr="00E67ABE" w:rsidR="0099324D" w:rsidP="00E67ABE" w:rsidRDefault="00316244" w14:paraId="47AD6DBE" w14:textId="5F27220B">
            <w:pPr>
              <w:numPr>
                <w:ilvl w:val="1"/>
                <w:numId w:val="51"/>
              </w:numPr>
              <w:spacing w:line="240" w:lineRule="auto"/>
              <w:ind w:left="714" w:hanging="357"/>
              <w:rPr>
                <w:szCs w:val="16"/>
              </w:rPr>
            </w:pPr>
            <w:r w:rsidRPr="00E67ABE">
              <w:rPr>
                <w:szCs w:val="16"/>
              </w:rPr>
              <w:t xml:space="preserve">Voor een aantal aspecten heeft het kabinet advies bij de </w:t>
            </w:r>
            <w:r w:rsidRPr="00E67ABE" w:rsidR="00696EF1">
              <w:rPr>
                <w:szCs w:val="16"/>
              </w:rPr>
              <w:t>l</w:t>
            </w:r>
            <w:r w:rsidRPr="00E67ABE">
              <w:rPr>
                <w:szCs w:val="16"/>
              </w:rPr>
              <w:t>andsadvocaat ingewonnen</w:t>
            </w:r>
            <w:r w:rsidRPr="00E67ABE" w:rsidR="00696EF1">
              <w:rPr>
                <w:szCs w:val="16"/>
              </w:rPr>
              <w:t xml:space="preserve">: de </w:t>
            </w:r>
            <w:r w:rsidRPr="00E67ABE">
              <w:rPr>
                <w:szCs w:val="16"/>
              </w:rPr>
              <w:t xml:space="preserve">verplichting van een publiek meerderheidsbelang, het eigendomsrecht en de Europese houdbaarheid van alternatieven. In de </w:t>
            </w:r>
            <w:r w:rsidRPr="00E67ABE" w:rsidR="00696EF1">
              <w:rPr>
                <w:szCs w:val="16"/>
              </w:rPr>
              <w:t>n</w:t>
            </w:r>
            <w:r w:rsidRPr="00E67ABE">
              <w:rPr>
                <w:szCs w:val="16"/>
              </w:rPr>
              <w:t>ota naar aanleiding van het verslag gaat de minister hier ook op in.</w:t>
            </w:r>
          </w:p>
        </w:tc>
        <w:tc>
          <w:tcPr>
            <w:tcW w:w="6520" w:type="dxa"/>
          </w:tcPr>
          <w:p w:rsidRPr="00E67ABE" w:rsidR="003771FA" w:rsidP="00E67ABE" w:rsidRDefault="00331F45" w14:paraId="60CF351D" w14:textId="6254F700">
            <w:pPr>
              <w:spacing w:line="240" w:lineRule="auto"/>
              <w:rPr>
                <w:szCs w:val="16"/>
              </w:rPr>
            </w:pPr>
            <w:r w:rsidRPr="00E67ABE">
              <w:rPr>
                <w:szCs w:val="16"/>
              </w:rPr>
              <w:lastRenderedPageBreak/>
              <w:t xml:space="preserve">Om ervoor te zorgen dat warmtenetten daadwerkelijk aantrekkelijke en betaalbare opties worden voor burgers, dient het voorgestelde beleidsinstrumentarium aangepast te worden. </w:t>
            </w:r>
            <w:r w:rsidRPr="00E67ABE" w:rsidR="00A27FE2">
              <w:rPr>
                <w:szCs w:val="16"/>
              </w:rPr>
              <w:t>Zonder deze aanpassingen zijn er te weinig prikkels om kosten en tarieven omlaag te krijgen. Bovendien remt het wetsvoorstel innovatie, door</w:t>
            </w:r>
            <w:r w:rsidRPr="00E67ABE" w:rsidR="00615B28">
              <w:rPr>
                <w:szCs w:val="16"/>
              </w:rPr>
              <w:t xml:space="preserve">dat het vooral gericht is op </w:t>
            </w:r>
            <w:r w:rsidRPr="00E67ABE" w:rsidR="0096137A">
              <w:rPr>
                <w:szCs w:val="16"/>
              </w:rPr>
              <w:t xml:space="preserve">de uitrol van </w:t>
            </w:r>
            <w:r w:rsidRPr="00E67ABE" w:rsidR="00615B28">
              <w:rPr>
                <w:szCs w:val="16"/>
              </w:rPr>
              <w:t>grootschalige, traditionele systemen</w:t>
            </w:r>
            <w:r w:rsidRPr="00E67ABE" w:rsidR="0096137A">
              <w:rPr>
                <w:szCs w:val="16"/>
              </w:rPr>
              <w:t xml:space="preserve">, die volgens de literatuur tot extra kosten leiden. </w:t>
            </w:r>
            <w:r w:rsidRPr="00E67ABE" w:rsidR="00BC7DDB">
              <w:rPr>
                <w:szCs w:val="16"/>
              </w:rPr>
              <w:t xml:space="preserve">Het wetsvoorstel geeft </w:t>
            </w:r>
            <w:r w:rsidRPr="00E67ABE" w:rsidR="00185DE8">
              <w:rPr>
                <w:szCs w:val="16"/>
              </w:rPr>
              <w:t>weinig invloed aan lokale partijen.</w:t>
            </w:r>
            <w:r w:rsidRPr="00E67ABE" w:rsidR="00EC6F22">
              <w:rPr>
                <w:szCs w:val="16"/>
              </w:rPr>
              <w:t xml:space="preserve"> </w:t>
            </w:r>
            <w:r w:rsidRPr="00E67ABE" w:rsidR="00185DE8">
              <w:rPr>
                <w:szCs w:val="16"/>
              </w:rPr>
              <w:t xml:space="preserve">Dat kan ten koste gaan van het draagvlak. </w:t>
            </w:r>
          </w:p>
          <w:p w:rsidRPr="00E67ABE" w:rsidR="003771FA" w:rsidP="00E67ABE" w:rsidRDefault="003771FA" w14:paraId="077805F4" w14:textId="461221C6">
            <w:pPr>
              <w:spacing w:line="240" w:lineRule="auto"/>
              <w:rPr>
                <w:szCs w:val="16"/>
              </w:rPr>
            </w:pPr>
            <w:r w:rsidRPr="00E67ABE">
              <w:rPr>
                <w:szCs w:val="16"/>
              </w:rPr>
              <w:t>Aan de ene kant stelt het voorstel dat de gemeente de logische partij is om te coördineren.</w:t>
            </w:r>
            <w:r w:rsidRPr="00E67ABE" w:rsidR="00EC6F22">
              <w:rPr>
                <w:szCs w:val="16"/>
              </w:rPr>
              <w:t xml:space="preserve"> </w:t>
            </w:r>
            <w:r w:rsidRPr="00E67ABE">
              <w:rPr>
                <w:szCs w:val="16"/>
              </w:rPr>
              <w:t>Dat is in andere landen ook zo.</w:t>
            </w:r>
            <w:r w:rsidRPr="00E67ABE" w:rsidR="00EC6F22">
              <w:rPr>
                <w:szCs w:val="16"/>
              </w:rPr>
              <w:t xml:space="preserve"> </w:t>
            </w:r>
            <w:r w:rsidRPr="00E67ABE">
              <w:rPr>
                <w:szCs w:val="16"/>
              </w:rPr>
              <w:t>Maar het wetsvoorstel neemt juist veel mogelijkheden weg bij gemeenten en legt die bij anderen. Dit betekent dat burgers eveneens relatief weinig invloed kunnen hebben.</w:t>
            </w:r>
            <w:r w:rsidRPr="00E67ABE" w:rsidR="00EC6F22">
              <w:rPr>
                <w:szCs w:val="16"/>
              </w:rPr>
              <w:t xml:space="preserve"> </w:t>
            </w:r>
            <w:r w:rsidRPr="00E67ABE" w:rsidR="00811736">
              <w:rPr>
                <w:szCs w:val="16"/>
              </w:rPr>
              <w:t xml:space="preserve">Dit kan betekenen dat er – met veel subsidies- warmtenetten worden ontwikkeld die uiteindelijk niet aanslaan bij de burgers. </w:t>
            </w:r>
          </w:p>
          <w:p w:rsidRPr="00E67ABE" w:rsidR="00811736" w:rsidP="00E67ABE" w:rsidRDefault="00811736" w14:paraId="73D665E6" w14:textId="77777777">
            <w:pPr>
              <w:spacing w:line="240" w:lineRule="auto"/>
              <w:rPr>
                <w:szCs w:val="16"/>
              </w:rPr>
            </w:pPr>
          </w:p>
          <w:p w:rsidRPr="00E67ABE" w:rsidR="003C6060" w:rsidP="00E67ABE" w:rsidRDefault="00D15B31" w14:paraId="3975E6F9" w14:textId="08A19F92">
            <w:pPr>
              <w:spacing w:line="240" w:lineRule="auto"/>
              <w:rPr>
                <w:szCs w:val="16"/>
              </w:rPr>
            </w:pPr>
            <w:r w:rsidRPr="00E67ABE">
              <w:rPr>
                <w:szCs w:val="16"/>
              </w:rPr>
              <w:t xml:space="preserve">Volgens het wetsvoorstel leidt een publiek meerderheidsbelang </w:t>
            </w:r>
            <w:r w:rsidRPr="00E67ABE" w:rsidR="004F3196">
              <w:rPr>
                <w:szCs w:val="16"/>
              </w:rPr>
              <w:t xml:space="preserve">tot méér aandacht voor publieke belangen. Echter, het wetsvoorstel stuurt op grote, regionale bedrijven, op afstand van de burgers </w:t>
            </w:r>
            <w:r w:rsidRPr="00E67ABE" w:rsidR="00076D2D">
              <w:rPr>
                <w:szCs w:val="16"/>
              </w:rPr>
              <w:t xml:space="preserve">die er gebruik van moeten maken. </w:t>
            </w:r>
            <w:r w:rsidRPr="00E67ABE" w:rsidR="004B1ADF">
              <w:rPr>
                <w:szCs w:val="16"/>
              </w:rPr>
              <w:t>Dit betekent dat de lokale belangen van die burgers en bedrijven niet automatisch worden meegewogen.</w:t>
            </w:r>
            <w:r w:rsidRPr="00E67ABE" w:rsidR="00EC6F22">
              <w:rPr>
                <w:szCs w:val="16"/>
              </w:rPr>
              <w:t xml:space="preserve"> </w:t>
            </w:r>
            <w:r w:rsidRPr="00E67ABE" w:rsidR="007C503A">
              <w:rPr>
                <w:szCs w:val="16"/>
              </w:rPr>
              <w:t>Warmtenetten zijn lokaal, ze kunnen in iedere wijk anders zijn, en bovendien hebben burgers een alternatief.</w:t>
            </w:r>
            <w:r w:rsidRPr="00E67ABE" w:rsidR="00EC6F22">
              <w:rPr>
                <w:szCs w:val="16"/>
              </w:rPr>
              <w:t xml:space="preserve"> </w:t>
            </w:r>
            <w:r w:rsidRPr="00E67ABE" w:rsidR="007C503A">
              <w:rPr>
                <w:szCs w:val="16"/>
              </w:rPr>
              <w:t xml:space="preserve">Ze kunnen daarom niet worden vergeleken met andere publieke </w:t>
            </w:r>
            <w:r w:rsidRPr="00E67ABE" w:rsidR="00D11293">
              <w:rPr>
                <w:szCs w:val="16"/>
              </w:rPr>
              <w:t xml:space="preserve">deelnemingen, zoals de </w:t>
            </w:r>
            <w:proofErr w:type="spellStart"/>
            <w:r w:rsidRPr="00E67ABE" w:rsidR="00D11293">
              <w:rPr>
                <w:szCs w:val="16"/>
              </w:rPr>
              <w:t>MvT</w:t>
            </w:r>
            <w:proofErr w:type="spellEnd"/>
            <w:r w:rsidRPr="00E67ABE" w:rsidR="00D11293">
              <w:rPr>
                <w:szCs w:val="16"/>
              </w:rPr>
              <w:t xml:space="preserve"> wel aangeeft. </w:t>
            </w:r>
            <w:r w:rsidRPr="00E67ABE" w:rsidR="00766345">
              <w:rPr>
                <w:szCs w:val="16"/>
              </w:rPr>
              <w:t xml:space="preserve">Daarbij komt dat de moderne, slimme integrale energiesystemen </w:t>
            </w:r>
            <w:r w:rsidRPr="00E67ABE" w:rsidR="003C6060">
              <w:rPr>
                <w:szCs w:val="16"/>
              </w:rPr>
              <w:t>vaak kleinschaliger zijn, zeker in de beginfase.</w:t>
            </w:r>
            <w:r w:rsidRPr="00E67ABE" w:rsidR="00EC6F22">
              <w:rPr>
                <w:szCs w:val="16"/>
              </w:rPr>
              <w:t xml:space="preserve"> </w:t>
            </w:r>
            <w:r w:rsidRPr="00E67ABE" w:rsidR="003C6060">
              <w:rPr>
                <w:szCs w:val="16"/>
              </w:rPr>
              <w:t xml:space="preserve">Het streven naar </w:t>
            </w:r>
            <w:r w:rsidRPr="00E67ABE" w:rsidR="0033747D">
              <w:rPr>
                <w:szCs w:val="16"/>
              </w:rPr>
              <w:t xml:space="preserve">schaalgrootte kan ertoe leiden dat warmtenetten worden ontwikkeld die niet passen bij de voorkeuren en de behoeften </w:t>
            </w:r>
            <w:r w:rsidRPr="00E67ABE" w:rsidR="001F1785">
              <w:rPr>
                <w:szCs w:val="16"/>
              </w:rPr>
              <w:t>in</w:t>
            </w:r>
            <w:r w:rsidRPr="00E67ABE" w:rsidR="0033747D">
              <w:rPr>
                <w:szCs w:val="16"/>
              </w:rPr>
              <w:t xml:space="preserve"> de wijken, waar ze voor bestemd zijn. </w:t>
            </w:r>
          </w:p>
          <w:p w:rsidRPr="00E67ABE" w:rsidR="001E7871" w:rsidP="00E67ABE" w:rsidRDefault="001E7871" w14:paraId="5B29D7C0" w14:textId="77777777">
            <w:pPr>
              <w:spacing w:line="240" w:lineRule="auto"/>
              <w:rPr>
                <w:szCs w:val="16"/>
              </w:rPr>
            </w:pPr>
          </w:p>
          <w:p w:rsidRPr="00E67ABE" w:rsidR="00785432" w:rsidP="00E67ABE" w:rsidRDefault="00316244" w14:paraId="3FFEF1E9" w14:textId="3B735FE8">
            <w:pPr>
              <w:spacing w:line="240" w:lineRule="auto"/>
              <w:rPr>
                <w:szCs w:val="16"/>
              </w:rPr>
            </w:pPr>
            <w:r w:rsidRPr="00E67ABE">
              <w:rPr>
                <w:szCs w:val="16"/>
              </w:rPr>
              <w:t xml:space="preserve">Er zijn te weinig prikkels om de tarieven te verlagen, zodat deze meer in lijn </w:t>
            </w:r>
            <w:r w:rsidRPr="00E67ABE" w:rsidR="00CF6DEA">
              <w:rPr>
                <w:szCs w:val="16"/>
              </w:rPr>
              <w:t xml:space="preserve">zouden </w:t>
            </w:r>
            <w:r w:rsidRPr="00E67ABE">
              <w:rPr>
                <w:szCs w:val="16"/>
              </w:rPr>
              <w:t>komen met de tarieven in de landen om ons heen.</w:t>
            </w:r>
            <w:r w:rsidRPr="00E67ABE" w:rsidR="00A745AF">
              <w:rPr>
                <w:szCs w:val="16"/>
              </w:rPr>
              <w:t xml:space="preserve"> </w:t>
            </w:r>
            <w:proofErr w:type="spellStart"/>
            <w:r w:rsidRPr="00E67ABE" w:rsidR="00A745AF">
              <w:rPr>
                <w:szCs w:val="16"/>
              </w:rPr>
              <w:t>Kostengebaseerde</w:t>
            </w:r>
            <w:proofErr w:type="spellEnd"/>
            <w:r w:rsidRPr="00E67ABE" w:rsidR="00A745AF">
              <w:rPr>
                <w:szCs w:val="16"/>
              </w:rPr>
              <w:t xml:space="preserve"> tarieven kunnen er wel aan bijdragen, </w:t>
            </w:r>
            <w:r w:rsidRPr="00E67ABE" w:rsidR="00141882">
              <w:rPr>
                <w:szCs w:val="16"/>
              </w:rPr>
              <w:t>maar bij nieuwe netten dienen ze meteen toegepast te worden.</w:t>
            </w:r>
            <w:r w:rsidRPr="00E67ABE" w:rsidR="00EC6F22">
              <w:rPr>
                <w:szCs w:val="16"/>
              </w:rPr>
              <w:t xml:space="preserve"> </w:t>
            </w:r>
            <w:r w:rsidRPr="00E67ABE" w:rsidR="00141882">
              <w:rPr>
                <w:szCs w:val="16"/>
              </w:rPr>
              <w:t xml:space="preserve">Maximum tarieven en een vereveningsbijdrage doen de voordelen van </w:t>
            </w:r>
            <w:proofErr w:type="spellStart"/>
            <w:r w:rsidRPr="00E67ABE" w:rsidR="00141882">
              <w:rPr>
                <w:szCs w:val="16"/>
              </w:rPr>
              <w:t>kostengebaseerde</w:t>
            </w:r>
            <w:proofErr w:type="spellEnd"/>
            <w:r w:rsidRPr="00E67ABE" w:rsidR="00141882">
              <w:rPr>
                <w:szCs w:val="16"/>
              </w:rPr>
              <w:t xml:space="preserve"> tarieven weer teniet. </w:t>
            </w:r>
          </w:p>
          <w:p w:rsidRPr="00E67ABE" w:rsidR="00991C0E" w:rsidP="00E67ABE" w:rsidRDefault="00991C0E" w14:paraId="592C9592" w14:textId="77777777">
            <w:pPr>
              <w:spacing w:line="240" w:lineRule="auto"/>
              <w:rPr>
                <w:szCs w:val="16"/>
              </w:rPr>
            </w:pPr>
          </w:p>
          <w:p w:rsidRPr="00E67ABE" w:rsidR="00991C0E" w:rsidP="00E67ABE" w:rsidRDefault="00785432" w14:paraId="1235EDA3" w14:textId="54332624">
            <w:pPr>
              <w:pStyle w:val="Lijstalinea"/>
              <w:numPr>
                <w:ilvl w:val="0"/>
                <w:numId w:val="43"/>
              </w:numPr>
              <w:spacing w:line="240" w:lineRule="auto"/>
              <w:rPr>
                <w:szCs w:val="16"/>
              </w:rPr>
            </w:pPr>
            <w:r w:rsidRPr="00E67ABE">
              <w:rPr>
                <w:b/>
                <w:bCs/>
                <w:szCs w:val="16"/>
              </w:rPr>
              <w:t xml:space="preserve">Tempo. </w:t>
            </w:r>
            <w:r w:rsidRPr="00E67ABE">
              <w:rPr>
                <w:szCs w:val="16"/>
              </w:rPr>
              <w:t xml:space="preserve">Het wetsvoorstel is gecompliceerd. Dat kan leiden tot rechtsonzekerheid en procedures. De details kunnen onbedoeld fungeren als </w:t>
            </w:r>
            <w:r w:rsidRPr="00E67ABE" w:rsidR="00E67ABE">
              <w:rPr>
                <w:szCs w:val="16"/>
              </w:rPr>
              <w:t>toetredingsbarrière</w:t>
            </w:r>
            <w:r w:rsidRPr="00E67ABE">
              <w:rPr>
                <w:szCs w:val="16"/>
              </w:rPr>
              <w:t xml:space="preserve"> voor nieuwe technieken, hetgeen ook vertraagt. De tariefregulering kent drie fasen, wat voor veel onzekerheid zal zorgen. Dit kan een belemmering zijn voor het realiseren van kostenvoordelen die voorvloeien uit systeemintegratie en innovatie (zie bijlage </w:t>
            </w:r>
            <w:r w:rsidRPr="00E67ABE">
              <w:rPr>
                <w:i/>
                <w:iCs/>
                <w:szCs w:val="16"/>
              </w:rPr>
              <w:t>innovatie</w:t>
            </w:r>
            <w:r w:rsidRPr="00E67ABE">
              <w:rPr>
                <w:szCs w:val="16"/>
              </w:rPr>
              <w:t xml:space="preserve">) doordat er te weinig focus is op warmte als onderdeel van een integraal systeem met elektriciteit en koeling. </w:t>
            </w:r>
          </w:p>
          <w:p w:rsidRPr="00E67ABE" w:rsidR="00991C0E" w:rsidP="00E67ABE" w:rsidRDefault="00991C0E" w14:paraId="4E11FF76" w14:textId="77777777">
            <w:pPr>
              <w:pStyle w:val="Lijstalinea"/>
              <w:spacing w:line="240" w:lineRule="auto"/>
              <w:ind w:left="360"/>
              <w:rPr>
                <w:b/>
                <w:bCs/>
                <w:szCs w:val="16"/>
              </w:rPr>
            </w:pPr>
          </w:p>
          <w:p w:rsidRPr="00E67ABE" w:rsidR="00FB5D97" w:rsidP="00E67ABE" w:rsidRDefault="0045477B" w14:paraId="65DC139D" w14:textId="77777777">
            <w:pPr>
              <w:pStyle w:val="Lijstalinea"/>
              <w:spacing w:line="240" w:lineRule="auto"/>
              <w:ind w:left="360"/>
              <w:rPr>
                <w:i/>
                <w:iCs/>
                <w:szCs w:val="16"/>
              </w:rPr>
            </w:pPr>
            <w:r w:rsidRPr="00E67ABE">
              <w:rPr>
                <w:i/>
                <w:iCs/>
                <w:szCs w:val="16"/>
              </w:rPr>
              <w:t>Aanbeveling</w:t>
            </w:r>
            <w:r w:rsidRPr="00E67ABE" w:rsidR="00991C0E">
              <w:rPr>
                <w:i/>
                <w:iCs/>
                <w:szCs w:val="16"/>
              </w:rPr>
              <w:t xml:space="preserve">: overeenkomstig met aanbeveling 3, versimpel het wetsvoorstel sterk. Ten aanzien van mogelijke versnelling, heeft dit vooral betrekking op de </w:t>
            </w:r>
            <w:r w:rsidRPr="00E67ABE" w:rsidR="00730D80">
              <w:rPr>
                <w:i/>
                <w:iCs/>
                <w:szCs w:val="16"/>
              </w:rPr>
              <w:t xml:space="preserve">kavelprocedure (i) en de overgang naar </w:t>
            </w:r>
            <w:proofErr w:type="spellStart"/>
            <w:r w:rsidRPr="00E67ABE" w:rsidR="00730D80">
              <w:rPr>
                <w:i/>
                <w:iCs/>
                <w:szCs w:val="16"/>
              </w:rPr>
              <w:t>kostengebaseerde</w:t>
            </w:r>
            <w:proofErr w:type="spellEnd"/>
            <w:r w:rsidRPr="00E67ABE" w:rsidR="00730D80">
              <w:rPr>
                <w:i/>
                <w:iCs/>
                <w:szCs w:val="16"/>
              </w:rPr>
              <w:t xml:space="preserve"> </w:t>
            </w:r>
            <w:r w:rsidRPr="00E67ABE" w:rsidR="00991C0E">
              <w:rPr>
                <w:i/>
                <w:iCs/>
                <w:szCs w:val="16"/>
              </w:rPr>
              <w:t>tariefregulering voor nieuwe netten</w:t>
            </w:r>
            <w:r w:rsidRPr="00E67ABE" w:rsidR="00730D80">
              <w:rPr>
                <w:i/>
                <w:iCs/>
                <w:szCs w:val="16"/>
              </w:rPr>
              <w:t xml:space="preserve"> (iii)</w:t>
            </w:r>
            <w:r w:rsidRPr="00E67ABE" w:rsidR="00991C0E">
              <w:rPr>
                <w:i/>
                <w:iCs/>
                <w:szCs w:val="16"/>
              </w:rPr>
              <w:t>.</w:t>
            </w:r>
          </w:p>
          <w:p w:rsidRPr="00E67ABE" w:rsidR="00F02C97" w:rsidP="00E67ABE" w:rsidRDefault="00F02C97" w14:paraId="57F21A00" w14:textId="77777777">
            <w:pPr>
              <w:pStyle w:val="Lijstalinea"/>
              <w:spacing w:line="240" w:lineRule="auto"/>
              <w:ind w:left="360"/>
              <w:rPr>
                <w:i/>
                <w:iCs/>
                <w:szCs w:val="16"/>
              </w:rPr>
            </w:pPr>
          </w:p>
          <w:p w:rsidRPr="00F7691B" w:rsidR="00F02C97" w:rsidP="00E67ABE" w:rsidRDefault="00F02C97" w14:paraId="6D4ADA63" w14:textId="6844DF91">
            <w:pPr>
              <w:pStyle w:val="Titel"/>
              <w:spacing w:before="0" w:line="240" w:lineRule="auto"/>
              <w:rPr>
                <w:sz w:val="16"/>
                <w:szCs w:val="16"/>
                <w:lang w:val="nl-NL"/>
              </w:rPr>
            </w:pPr>
          </w:p>
        </w:tc>
      </w:tr>
      <w:tr w:rsidRPr="00BC5C43" w:rsidR="0099324D" w:rsidTr="00CF6DEA" w14:paraId="580A3F0E" w14:textId="77777777">
        <w:tc>
          <w:tcPr>
            <w:tcW w:w="562" w:type="dxa"/>
          </w:tcPr>
          <w:p w:rsidRPr="00BC5C43" w:rsidR="0099324D" w:rsidP="0052549E" w:rsidRDefault="0099324D" w14:paraId="4B836FC8" w14:textId="2044870F">
            <w:pPr>
              <w:pStyle w:val="Lijstalinea"/>
              <w:numPr>
                <w:ilvl w:val="0"/>
                <w:numId w:val="46"/>
              </w:numPr>
              <w:spacing w:line="240" w:lineRule="auto"/>
              <w:rPr>
                <w:color w:val="000000" w:themeColor="text1"/>
              </w:rPr>
            </w:pPr>
          </w:p>
        </w:tc>
        <w:tc>
          <w:tcPr>
            <w:tcW w:w="2410" w:type="dxa"/>
          </w:tcPr>
          <w:p w:rsidRPr="00BC5C43" w:rsidR="0099324D" w:rsidP="00AE7D67" w:rsidRDefault="0099324D" w14:paraId="0C643A2E" w14:textId="3BD67884">
            <w:pPr>
              <w:spacing w:line="240" w:lineRule="auto"/>
              <w:rPr>
                <w:b/>
                <w:color w:val="000000" w:themeColor="text1"/>
              </w:rPr>
            </w:pPr>
            <w:r w:rsidRPr="00BC5C43">
              <w:rPr>
                <w:b/>
                <w:color w:val="000000" w:themeColor="text1"/>
              </w:rPr>
              <w:t>Doelmatigheid</w:t>
            </w:r>
          </w:p>
          <w:p w:rsidRPr="008B1206" w:rsidR="0099324D" w:rsidP="00AE7D67" w:rsidRDefault="008B4CD3" w14:paraId="7C18A71C" w14:textId="7BB9752A">
            <w:pPr>
              <w:spacing w:line="240" w:lineRule="auto"/>
              <w:rPr>
                <w:color w:val="000000" w:themeColor="text1"/>
              </w:rPr>
            </w:pPr>
            <w:r>
              <w:rPr>
                <w:color w:val="000000" w:themeColor="text1"/>
              </w:rPr>
              <w:t xml:space="preserve">In welke </w:t>
            </w:r>
            <w:r w:rsidRPr="00377864">
              <w:rPr>
                <w:color w:val="000000" w:themeColor="text1"/>
              </w:rPr>
              <w:t xml:space="preserve">mate </w:t>
            </w:r>
            <w:r>
              <w:rPr>
                <w:color w:val="000000" w:themeColor="text1"/>
              </w:rPr>
              <w:t xml:space="preserve">worden </w:t>
            </w:r>
            <w:r w:rsidRPr="00377864">
              <w:rPr>
                <w:color w:val="000000" w:themeColor="text1"/>
              </w:rPr>
              <w:t xml:space="preserve">de prestaties en effecten van beleid tegen de laagst mogelijke inzet van (financiële) middelen en ongewenste neveneffecten </w:t>
            </w:r>
            <w:r>
              <w:rPr>
                <w:color w:val="000000" w:themeColor="text1"/>
              </w:rPr>
              <w:t>bewerkstelligd?</w:t>
            </w:r>
          </w:p>
        </w:tc>
        <w:tc>
          <w:tcPr>
            <w:tcW w:w="851" w:type="dxa"/>
          </w:tcPr>
          <w:p w:rsidRPr="00BC5C43" w:rsidR="0099324D" w:rsidP="00AE7D67" w:rsidRDefault="008D2A6E" w14:paraId="58CFEA69" w14:textId="6687180A">
            <w:pPr>
              <w:spacing w:before="120" w:line="240" w:lineRule="auto"/>
              <w:jc w:val="center"/>
              <w:rPr>
                <w:color w:val="000000" w:themeColor="text1"/>
              </w:rPr>
            </w:pPr>
            <w:r w:rsidRPr="00090976">
              <w:rPr>
                <w:bCs/>
                <w:noProof/>
                <w:position w:val="-4"/>
                <w:sz w:val="20"/>
                <w:szCs w:val="20"/>
                <w:lang w:eastAsia="nl-NL"/>
              </w:rPr>
              <w:drawing>
                <wp:inline distT="0" distB="0" distL="0" distR="0" wp14:anchorId="67B22626" wp14:editId="50D05F88">
                  <wp:extent cx="190500" cy="161925"/>
                  <wp:effectExtent l="0" t="0" r="0" b="9525"/>
                  <wp:docPr id="1053412902" name="icoonaand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onaandacht"/>
                          <pic:cNvPicPr>
                            <a:picLocks noChangeAspect="1" noChangeArrowheads="1"/>
                          </pic:cNvPicPr>
                        </pic:nvPicPr>
                        <pic:blipFill>
                          <a:blip r:embed="rId18" cstate="print">
                            <a:extLst>
                              <a:ext uri="{28A0092B-C50C-407E-A947-70E740481C1C}">
                                <a14:useLocalDpi xmlns:a14="http://schemas.microsoft.com/office/drawing/2010/main" val="0"/>
                              </a:ext>
                            </a:extLst>
                          </a:blip>
                          <a:srcRect l="36702" t="26582" r="32397" b="20128"/>
                          <a:stretch>
                            <a:fillRect/>
                          </a:stretch>
                        </pic:blipFill>
                        <pic:spPr bwMode="auto">
                          <a:xfrm>
                            <a:off x="0" y="0"/>
                            <a:ext cx="190500" cy="161925"/>
                          </a:xfrm>
                          <a:prstGeom prst="rect">
                            <a:avLst/>
                          </a:prstGeom>
                          <a:noFill/>
                          <a:ln>
                            <a:noFill/>
                          </a:ln>
                        </pic:spPr>
                      </pic:pic>
                    </a:graphicData>
                  </a:graphic>
                </wp:inline>
              </w:drawing>
            </w:r>
          </w:p>
        </w:tc>
        <w:tc>
          <w:tcPr>
            <w:tcW w:w="5528" w:type="dxa"/>
          </w:tcPr>
          <w:p w:rsidRPr="00E67ABE" w:rsidR="00316244" w:rsidP="00E67ABE" w:rsidRDefault="00316244" w14:paraId="05F81619" w14:textId="4DA37621">
            <w:pPr>
              <w:pStyle w:val="Lijstalinea"/>
              <w:numPr>
                <w:ilvl w:val="0"/>
                <w:numId w:val="49"/>
              </w:numPr>
              <w:spacing w:line="240" w:lineRule="auto"/>
              <w:rPr>
                <w:szCs w:val="16"/>
              </w:rPr>
            </w:pPr>
            <w:r w:rsidRPr="00E67ABE">
              <w:rPr>
                <w:szCs w:val="16"/>
              </w:rPr>
              <w:t>In de stukken is weinig terug te vinden over de doelmatigheid van de keuzes die worden gemaakt in het wetsvoorstel.</w:t>
            </w:r>
          </w:p>
        </w:tc>
        <w:tc>
          <w:tcPr>
            <w:tcW w:w="6520" w:type="dxa"/>
          </w:tcPr>
          <w:p w:rsidRPr="00E67ABE" w:rsidR="0099324D" w:rsidP="00E67ABE" w:rsidRDefault="004C6844" w14:paraId="2F5E8467" w14:textId="7BD07D4D">
            <w:pPr>
              <w:spacing w:line="240" w:lineRule="auto"/>
              <w:rPr>
                <w:szCs w:val="16"/>
              </w:rPr>
            </w:pPr>
            <w:r w:rsidRPr="00E67ABE">
              <w:rPr>
                <w:szCs w:val="16"/>
              </w:rPr>
              <w:t xml:space="preserve">Door de hoeveelheid regels en de </w:t>
            </w:r>
            <w:r w:rsidRPr="00E67ABE" w:rsidR="002E074E">
              <w:rPr>
                <w:szCs w:val="16"/>
              </w:rPr>
              <w:t>daaruit volgende</w:t>
            </w:r>
            <w:r w:rsidRPr="00E67ABE">
              <w:rPr>
                <w:szCs w:val="16"/>
              </w:rPr>
              <w:t xml:space="preserve"> complexiteit ontstaan ongewenste neveneffecten ten aanzien van kosten, tempo, </w:t>
            </w:r>
            <w:r w:rsidRPr="00E67ABE" w:rsidR="00BB20B2">
              <w:rPr>
                <w:szCs w:val="16"/>
              </w:rPr>
              <w:t xml:space="preserve">innovaties, </w:t>
            </w:r>
            <w:r w:rsidRPr="00E67ABE">
              <w:rPr>
                <w:szCs w:val="16"/>
              </w:rPr>
              <w:t xml:space="preserve">duurzaamheid en draagvlak. </w:t>
            </w:r>
            <w:r w:rsidRPr="00E67ABE" w:rsidR="00EE48A1">
              <w:rPr>
                <w:szCs w:val="16"/>
              </w:rPr>
              <w:t xml:space="preserve">Omwille van de leesbaarheid zijn </w:t>
            </w:r>
            <w:r w:rsidRPr="00E67ABE">
              <w:rPr>
                <w:szCs w:val="16"/>
              </w:rPr>
              <w:t xml:space="preserve">deze </w:t>
            </w:r>
            <w:r w:rsidRPr="00E67ABE" w:rsidR="00EE48A1">
              <w:rPr>
                <w:szCs w:val="16"/>
              </w:rPr>
              <w:t>ondergebracht bij de beschrijving van de instrument</w:t>
            </w:r>
            <w:r w:rsidRPr="00E67ABE" w:rsidR="00862CDB">
              <w:rPr>
                <w:szCs w:val="16"/>
              </w:rPr>
              <w:t>en</w:t>
            </w:r>
            <w:r w:rsidRPr="00E67ABE" w:rsidR="00EE48A1">
              <w:rPr>
                <w:szCs w:val="16"/>
              </w:rPr>
              <w:t xml:space="preserve"> in 3.</w:t>
            </w:r>
            <w:r w:rsidRPr="00E67ABE" w:rsidR="00862CDB">
              <w:rPr>
                <w:szCs w:val="16"/>
              </w:rPr>
              <w:t xml:space="preserve"> Apart wordt stilgestaan bij de </w:t>
            </w:r>
            <w:r w:rsidRPr="00E67ABE" w:rsidR="001C7D73">
              <w:rPr>
                <w:szCs w:val="16"/>
              </w:rPr>
              <w:t>financiële</w:t>
            </w:r>
            <w:r w:rsidRPr="00E67ABE" w:rsidR="00862CDB">
              <w:rPr>
                <w:szCs w:val="16"/>
              </w:rPr>
              <w:t xml:space="preserve"> gevolgen in 6. en 7.</w:t>
            </w:r>
          </w:p>
        </w:tc>
      </w:tr>
      <w:tr w:rsidRPr="00BC5C43" w:rsidR="0099324D" w:rsidTr="00CF6DEA" w14:paraId="6B6BD3A8" w14:textId="77777777">
        <w:tc>
          <w:tcPr>
            <w:tcW w:w="562" w:type="dxa"/>
          </w:tcPr>
          <w:p w:rsidRPr="00BC5C43" w:rsidR="0099324D" w:rsidP="0052549E" w:rsidRDefault="0099324D" w14:paraId="1C21DB8C" w14:textId="0523FAF1">
            <w:pPr>
              <w:pStyle w:val="Lijstalinea"/>
              <w:numPr>
                <w:ilvl w:val="0"/>
                <w:numId w:val="46"/>
              </w:numPr>
              <w:spacing w:line="240" w:lineRule="auto"/>
              <w:rPr>
                <w:color w:val="000000" w:themeColor="text1"/>
              </w:rPr>
            </w:pPr>
          </w:p>
        </w:tc>
        <w:tc>
          <w:tcPr>
            <w:tcW w:w="2410" w:type="dxa"/>
          </w:tcPr>
          <w:p w:rsidRPr="00BC5C43" w:rsidR="0099324D" w:rsidP="00AE7D67" w:rsidRDefault="0099324D" w14:paraId="59F04D12" w14:textId="77777777">
            <w:pPr>
              <w:spacing w:line="240" w:lineRule="auto"/>
              <w:rPr>
                <w:b/>
                <w:color w:val="000000" w:themeColor="text1"/>
              </w:rPr>
            </w:pPr>
            <w:r w:rsidRPr="00BC5C43">
              <w:rPr>
                <w:b/>
                <w:color w:val="000000" w:themeColor="text1"/>
              </w:rPr>
              <w:t>Financiële gevolgen voor het Rijk</w:t>
            </w:r>
          </w:p>
          <w:p w:rsidRPr="008B1206" w:rsidR="0099324D" w:rsidP="00AE7D67" w:rsidRDefault="008B4CD3" w14:paraId="72C982C1" w14:textId="15F090B4">
            <w:pPr>
              <w:spacing w:line="240" w:lineRule="auto"/>
              <w:rPr>
                <w:color w:val="000000" w:themeColor="text1"/>
              </w:rPr>
            </w:pPr>
            <w:r w:rsidRPr="00BC5C43">
              <w:rPr>
                <w:color w:val="000000" w:themeColor="text1"/>
              </w:rPr>
              <w:t xml:space="preserve">Welke </w:t>
            </w:r>
            <w:r>
              <w:rPr>
                <w:color w:val="000000" w:themeColor="text1"/>
              </w:rPr>
              <w:t xml:space="preserve">(positieve en negatieve) </w:t>
            </w:r>
            <w:r w:rsidRPr="00BC5C43">
              <w:rPr>
                <w:color w:val="000000" w:themeColor="text1"/>
              </w:rPr>
              <w:t>financiële gevolgen heeft het voorstel voor de rijksbegroting</w:t>
            </w:r>
            <w:r>
              <w:rPr>
                <w:color w:val="000000" w:themeColor="text1"/>
              </w:rPr>
              <w:t xml:space="preserve"> op korte en langere termijn</w:t>
            </w:r>
            <w:r w:rsidRPr="00BC5C43">
              <w:rPr>
                <w:color w:val="000000" w:themeColor="text1"/>
              </w:rPr>
              <w:t>?</w:t>
            </w:r>
          </w:p>
        </w:tc>
        <w:tc>
          <w:tcPr>
            <w:tcW w:w="851" w:type="dxa"/>
          </w:tcPr>
          <w:p w:rsidRPr="00BC5C43" w:rsidR="0099324D" w:rsidP="00AE7D67" w:rsidRDefault="008D2A6E" w14:paraId="37AA1070" w14:textId="66D625FD">
            <w:pPr>
              <w:spacing w:before="120" w:line="240" w:lineRule="auto"/>
              <w:jc w:val="center"/>
              <w:rPr>
                <w:color w:val="000000" w:themeColor="text1"/>
              </w:rPr>
            </w:pPr>
            <w:r w:rsidRPr="00090976">
              <w:rPr>
                <w:bCs/>
                <w:noProof/>
                <w:position w:val="-4"/>
                <w:sz w:val="20"/>
                <w:szCs w:val="20"/>
                <w:lang w:eastAsia="nl-NL"/>
              </w:rPr>
              <w:drawing>
                <wp:inline distT="0" distB="0" distL="0" distR="0" wp14:anchorId="407C47A2" wp14:editId="1AC69F0C">
                  <wp:extent cx="190500" cy="161925"/>
                  <wp:effectExtent l="0" t="0" r="0" b="9525"/>
                  <wp:docPr id="775931345" name="icoonaand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onaandacht"/>
                          <pic:cNvPicPr>
                            <a:picLocks noChangeAspect="1" noChangeArrowheads="1"/>
                          </pic:cNvPicPr>
                        </pic:nvPicPr>
                        <pic:blipFill>
                          <a:blip r:embed="rId18" cstate="print">
                            <a:extLst>
                              <a:ext uri="{28A0092B-C50C-407E-A947-70E740481C1C}">
                                <a14:useLocalDpi xmlns:a14="http://schemas.microsoft.com/office/drawing/2010/main" val="0"/>
                              </a:ext>
                            </a:extLst>
                          </a:blip>
                          <a:srcRect l="36702" t="26582" r="32397" b="20128"/>
                          <a:stretch>
                            <a:fillRect/>
                          </a:stretch>
                        </pic:blipFill>
                        <pic:spPr bwMode="auto">
                          <a:xfrm>
                            <a:off x="0" y="0"/>
                            <a:ext cx="190500" cy="161925"/>
                          </a:xfrm>
                          <a:prstGeom prst="rect">
                            <a:avLst/>
                          </a:prstGeom>
                          <a:noFill/>
                          <a:ln>
                            <a:noFill/>
                          </a:ln>
                        </pic:spPr>
                      </pic:pic>
                    </a:graphicData>
                  </a:graphic>
                </wp:inline>
              </w:drawing>
            </w:r>
          </w:p>
        </w:tc>
        <w:tc>
          <w:tcPr>
            <w:tcW w:w="5528" w:type="dxa"/>
          </w:tcPr>
          <w:p w:rsidRPr="00E67ABE" w:rsidR="00316244" w:rsidP="00E67ABE" w:rsidRDefault="00565FA6" w14:paraId="30DEF65B" w14:textId="7E860B1C">
            <w:pPr>
              <w:numPr>
                <w:ilvl w:val="0"/>
                <w:numId w:val="3"/>
              </w:numPr>
              <w:spacing w:line="240" w:lineRule="auto"/>
              <w:rPr>
                <w:szCs w:val="16"/>
              </w:rPr>
            </w:pPr>
            <w:r w:rsidRPr="00E67ABE">
              <w:rPr>
                <w:szCs w:val="16"/>
              </w:rPr>
              <w:t xml:space="preserve">De verwachting is dat de apparaatskosten van het </w:t>
            </w:r>
            <w:r w:rsidRPr="00E67ABE" w:rsidR="00316244">
              <w:rPr>
                <w:szCs w:val="16"/>
              </w:rPr>
              <w:t>verantwoordelijk departement zullen toenemen</w:t>
            </w:r>
            <w:r w:rsidRPr="00E67ABE">
              <w:rPr>
                <w:szCs w:val="16"/>
              </w:rPr>
              <w:t xml:space="preserve"> (</w:t>
            </w:r>
            <w:r w:rsidRPr="00E67ABE" w:rsidR="00316244">
              <w:rPr>
                <w:szCs w:val="16"/>
              </w:rPr>
              <w:t xml:space="preserve">paragraaf 12.3 van de </w:t>
            </w:r>
            <w:proofErr w:type="spellStart"/>
            <w:r w:rsidRPr="00E67ABE" w:rsidR="00316244">
              <w:rPr>
                <w:szCs w:val="16"/>
              </w:rPr>
              <w:t>MvT</w:t>
            </w:r>
            <w:proofErr w:type="spellEnd"/>
            <w:r w:rsidRPr="00E67ABE">
              <w:rPr>
                <w:szCs w:val="16"/>
              </w:rPr>
              <w:t>).</w:t>
            </w:r>
          </w:p>
          <w:p w:rsidRPr="00E67ABE" w:rsidR="00316244" w:rsidP="00E67ABE" w:rsidRDefault="00565FA6" w14:paraId="749DDBCB" w14:textId="494B0B45">
            <w:pPr>
              <w:numPr>
                <w:ilvl w:val="0"/>
                <w:numId w:val="3"/>
              </w:numPr>
              <w:spacing w:line="240" w:lineRule="auto"/>
              <w:rPr>
                <w:szCs w:val="16"/>
              </w:rPr>
            </w:pPr>
            <w:r w:rsidRPr="00E67ABE">
              <w:rPr>
                <w:szCs w:val="16"/>
              </w:rPr>
              <w:t>Ook</w:t>
            </w:r>
            <w:r w:rsidRPr="00E67ABE" w:rsidR="00316244">
              <w:rPr>
                <w:szCs w:val="16"/>
              </w:rPr>
              <w:t xml:space="preserve"> de overgangsbepalingen</w:t>
            </w:r>
            <w:r w:rsidRPr="00E67ABE">
              <w:rPr>
                <w:szCs w:val="16"/>
              </w:rPr>
              <w:t xml:space="preserve"> hebben financiële gevolgen</w:t>
            </w:r>
            <w:r w:rsidRPr="00E67ABE" w:rsidR="00316244">
              <w:rPr>
                <w:szCs w:val="16"/>
              </w:rPr>
              <w:t xml:space="preserve">. Op grond van het overgangsrecht </w:t>
            </w:r>
            <w:r w:rsidRPr="00E67ABE">
              <w:rPr>
                <w:szCs w:val="16"/>
              </w:rPr>
              <w:t>krijgen</w:t>
            </w:r>
            <w:r w:rsidRPr="00E67ABE" w:rsidR="00316244">
              <w:rPr>
                <w:szCs w:val="16"/>
              </w:rPr>
              <w:t xml:space="preserve"> bestaande warmtebedrijven een aanwijzing voor een warmtekavel</w:t>
            </w:r>
            <w:r w:rsidRPr="00E67ABE" w:rsidR="00EC6F22">
              <w:rPr>
                <w:szCs w:val="16"/>
              </w:rPr>
              <w:t xml:space="preserve"> </w:t>
            </w:r>
            <w:r w:rsidRPr="00E67ABE" w:rsidR="00316244">
              <w:rPr>
                <w:szCs w:val="16"/>
              </w:rPr>
              <w:t xml:space="preserve">voor minimaal 14 en maximaal 30 jaar. Bestaande warmtebedrijven met een privaat meerderheidsbelang ontvangen een vergoeding van de marktwaarde van het warmtenet als zij dit na de overgangstermijn verplicht moeten overdragen, </w:t>
            </w:r>
            <w:r w:rsidRPr="00E67ABE">
              <w:rPr>
                <w:szCs w:val="16"/>
              </w:rPr>
              <w:t>als</w:t>
            </w:r>
            <w:r w:rsidRPr="00E67ABE" w:rsidR="00316244">
              <w:rPr>
                <w:szCs w:val="16"/>
              </w:rPr>
              <w:t xml:space="preserve"> zij bijvoorbeeld niet de keuze maken om als minderheidsaandeelhouder door te gaan.</w:t>
            </w:r>
          </w:p>
          <w:p w:rsidRPr="00E67ABE" w:rsidR="00565FA6" w:rsidP="00E67ABE" w:rsidRDefault="00316244" w14:paraId="091B9661" w14:textId="0264AF67">
            <w:pPr>
              <w:numPr>
                <w:ilvl w:val="0"/>
                <w:numId w:val="3"/>
              </w:numPr>
              <w:spacing w:line="240" w:lineRule="auto"/>
              <w:rPr>
                <w:szCs w:val="16"/>
              </w:rPr>
            </w:pPr>
            <w:r w:rsidRPr="00E67ABE">
              <w:rPr>
                <w:szCs w:val="16"/>
              </w:rPr>
              <w:t xml:space="preserve">Voor een Waarborgfonds Warmtenetten is in het Klimaatfonds 2025 </w:t>
            </w:r>
            <w:r w:rsidRPr="00E67ABE" w:rsidR="00565FA6">
              <w:rPr>
                <w:szCs w:val="16"/>
              </w:rPr>
              <w:t xml:space="preserve">onder voorwaarden </w:t>
            </w:r>
            <w:r w:rsidRPr="00E67ABE">
              <w:rPr>
                <w:szCs w:val="16"/>
              </w:rPr>
              <w:t xml:space="preserve">215,5 miljoen euro gereserveerd. Met een garantstelling kunnen warmtebedrijven tegen gunstige voorwaarden vreemd vermogen aantrekken (paragraaf 26.5 </w:t>
            </w:r>
            <w:proofErr w:type="spellStart"/>
            <w:r w:rsidRPr="00E67ABE">
              <w:rPr>
                <w:szCs w:val="16"/>
              </w:rPr>
              <w:t>MvT</w:t>
            </w:r>
            <w:proofErr w:type="spellEnd"/>
            <w:r w:rsidRPr="00E67ABE">
              <w:rPr>
                <w:szCs w:val="16"/>
              </w:rPr>
              <w:t xml:space="preserve"> en </w:t>
            </w:r>
            <w:r w:rsidRPr="00E67ABE" w:rsidR="00565FA6">
              <w:rPr>
                <w:szCs w:val="16"/>
              </w:rPr>
              <w:t>n</w:t>
            </w:r>
            <w:r w:rsidRPr="00E67ABE">
              <w:rPr>
                <w:szCs w:val="16"/>
              </w:rPr>
              <w:t>ota n</w:t>
            </w:r>
            <w:r w:rsidRPr="00E67ABE" w:rsidR="00565FA6">
              <w:rPr>
                <w:szCs w:val="16"/>
              </w:rPr>
              <w:t>.</w:t>
            </w:r>
            <w:r w:rsidRPr="00E67ABE">
              <w:rPr>
                <w:szCs w:val="16"/>
              </w:rPr>
              <w:t>a</w:t>
            </w:r>
            <w:r w:rsidRPr="00E67ABE" w:rsidR="00565FA6">
              <w:rPr>
                <w:szCs w:val="16"/>
              </w:rPr>
              <w:t>.</w:t>
            </w:r>
            <w:r w:rsidRPr="00E67ABE">
              <w:rPr>
                <w:szCs w:val="16"/>
              </w:rPr>
              <w:t>v</w:t>
            </w:r>
            <w:r w:rsidRPr="00E67ABE" w:rsidR="00565FA6">
              <w:rPr>
                <w:szCs w:val="16"/>
              </w:rPr>
              <w:t>.</w:t>
            </w:r>
            <w:r w:rsidRPr="00E67ABE">
              <w:rPr>
                <w:szCs w:val="16"/>
              </w:rPr>
              <w:t xml:space="preserve"> het verslag) </w:t>
            </w:r>
          </w:p>
          <w:p w:rsidRPr="00E67ABE" w:rsidR="0099324D" w:rsidP="00E67ABE" w:rsidRDefault="00316244" w14:paraId="061ED649" w14:textId="67642CE7">
            <w:pPr>
              <w:numPr>
                <w:ilvl w:val="0"/>
                <w:numId w:val="3"/>
              </w:numPr>
              <w:spacing w:line="240" w:lineRule="auto"/>
              <w:rPr>
                <w:szCs w:val="16"/>
              </w:rPr>
            </w:pPr>
            <w:r w:rsidRPr="00E67ABE">
              <w:rPr>
                <w:szCs w:val="16"/>
              </w:rPr>
              <w:lastRenderedPageBreak/>
              <w:t>Diverse financieringsinstrumenten zijn beschikbaar voor de (aanleg van) collectieve warmtevoorzieningen, zoals de investeringssubsidie WIS. Deze staan los van dit wetsvoorstel.</w:t>
            </w:r>
          </w:p>
        </w:tc>
        <w:tc>
          <w:tcPr>
            <w:tcW w:w="6520" w:type="dxa"/>
          </w:tcPr>
          <w:p w:rsidRPr="00E67ABE" w:rsidR="00D24922" w:rsidP="00E67ABE" w:rsidRDefault="00961C0A" w14:paraId="0BF6082F" w14:textId="19370D11">
            <w:pPr>
              <w:spacing w:line="240" w:lineRule="auto"/>
              <w:rPr>
                <w:szCs w:val="16"/>
              </w:rPr>
            </w:pPr>
            <w:r w:rsidRPr="00E67ABE">
              <w:rPr>
                <w:b/>
                <w:bCs/>
                <w:szCs w:val="16"/>
              </w:rPr>
              <w:lastRenderedPageBreak/>
              <w:t xml:space="preserve">Belastinginkomsten. </w:t>
            </w:r>
            <w:r w:rsidRPr="00E67ABE" w:rsidR="005F3848">
              <w:rPr>
                <w:szCs w:val="16"/>
              </w:rPr>
              <w:t xml:space="preserve">Op warmte wordt op dit moment geen </w:t>
            </w:r>
            <w:r w:rsidRPr="00E67ABE" w:rsidR="000B780C">
              <w:rPr>
                <w:szCs w:val="16"/>
              </w:rPr>
              <w:t>energie</w:t>
            </w:r>
            <w:r w:rsidRPr="00E67ABE" w:rsidR="005F3848">
              <w:rPr>
                <w:szCs w:val="16"/>
              </w:rPr>
              <w:t xml:space="preserve">belasting geheven. Op </w:t>
            </w:r>
            <w:r w:rsidRPr="00E67ABE" w:rsidR="0000776B">
              <w:rPr>
                <w:szCs w:val="16"/>
              </w:rPr>
              <w:t xml:space="preserve">het gebruik </w:t>
            </w:r>
            <w:r w:rsidRPr="00E67ABE" w:rsidR="00EC6F22">
              <w:rPr>
                <w:szCs w:val="16"/>
              </w:rPr>
              <w:t xml:space="preserve">van </w:t>
            </w:r>
            <w:r w:rsidRPr="00E67ABE" w:rsidR="005F3848">
              <w:rPr>
                <w:szCs w:val="16"/>
              </w:rPr>
              <w:t xml:space="preserve">aardgas en </w:t>
            </w:r>
            <w:r w:rsidRPr="00E67ABE" w:rsidR="0000776B">
              <w:rPr>
                <w:szCs w:val="16"/>
              </w:rPr>
              <w:t xml:space="preserve">warmtepompen (via de elektriciteitsbelasting) </w:t>
            </w:r>
            <w:r w:rsidRPr="00E67ABE" w:rsidR="005F3848">
              <w:rPr>
                <w:szCs w:val="16"/>
              </w:rPr>
              <w:t xml:space="preserve">wel. </w:t>
            </w:r>
            <w:r w:rsidRPr="00E67ABE" w:rsidR="0000776B">
              <w:rPr>
                <w:szCs w:val="16"/>
              </w:rPr>
              <w:t xml:space="preserve">Een </w:t>
            </w:r>
            <w:r w:rsidRPr="00E67ABE" w:rsidR="005F3848">
              <w:rPr>
                <w:szCs w:val="16"/>
              </w:rPr>
              <w:t>overgang naar warmtenetten</w:t>
            </w:r>
            <w:r w:rsidRPr="00E67ABE" w:rsidR="0000776B">
              <w:rPr>
                <w:szCs w:val="16"/>
              </w:rPr>
              <w:t xml:space="preserve"> </w:t>
            </w:r>
            <w:r w:rsidRPr="00E67ABE">
              <w:rPr>
                <w:szCs w:val="16"/>
              </w:rPr>
              <w:t xml:space="preserve">zou </w:t>
            </w:r>
            <w:r w:rsidRPr="00E67ABE" w:rsidR="0000776B">
              <w:rPr>
                <w:szCs w:val="16"/>
              </w:rPr>
              <w:t xml:space="preserve">dus negatieve gevolgen </w:t>
            </w:r>
            <w:r w:rsidRPr="00E67ABE">
              <w:rPr>
                <w:szCs w:val="16"/>
              </w:rPr>
              <w:t xml:space="preserve">kunnen </w:t>
            </w:r>
            <w:r w:rsidRPr="00E67ABE" w:rsidR="0000776B">
              <w:rPr>
                <w:szCs w:val="16"/>
              </w:rPr>
              <w:t>hebben voor de Rijksbegroting.</w:t>
            </w:r>
          </w:p>
          <w:p w:rsidRPr="00E67ABE" w:rsidR="005F3848" w:rsidP="00E67ABE" w:rsidRDefault="005F3848" w14:paraId="48220D9C" w14:textId="77777777">
            <w:pPr>
              <w:spacing w:line="240" w:lineRule="auto"/>
              <w:rPr>
                <w:b/>
                <w:bCs/>
                <w:szCs w:val="16"/>
              </w:rPr>
            </w:pPr>
          </w:p>
          <w:p w:rsidRPr="00E67ABE" w:rsidR="00326F19" w:rsidP="00E67ABE" w:rsidRDefault="00881629" w14:paraId="21266C07" w14:textId="7C3FA919">
            <w:pPr>
              <w:spacing w:line="240" w:lineRule="auto"/>
              <w:rPr>
                <w:szCs w:val="16"/>
              </w:rPr>
            </w:pPr>
            <w:r w:rsidRPr="00E67ABE">
              <w:rPr>
                <w:b/>
                <w:bCs/>
                <w:szCs w:val="16"/>
              </w:rPr>
              <w:t>Subsidie</w:t>
            </w:r>
            <w:r w:rsidRPr="00E67ABE" w:rsidR="00E144C7">
              <w:rPr>
                <w:b/>
                <w:bCs/>
                <w:szCs w:val="16"/>
              </w:rPr>
              <w:t xml:space="preserve">s </w:t>
            </w:r>
            <w:r w:rsidRPr="00E67ABE" w:rsidR="00E144C7">
              <w:rPr>
                <w:szCs w:val="16"/>
              </w:rPr>
              <w:t xml:space="preserve">drukken op de Rijksbegroting. </w:t>
            </w:r>
            <w:r w:rsidRPr="00E67ABE" w:rsidR="009B2B7A">
              <w:rPr>
                <w:szCs w:val="16"/>
              </w:rPr>
              <w:t xml:space="preserve">De hoop is dat subsidies </w:t>
            </w:r>
            <w:r w:rsidRPr="00E67ABE">
              <w:rPr>
                <w:szCs w:val="16"/>
              </w:rPr>
              <w:t xml:space="preserve">voor kostenverlagingen </w:t>
            </w:r>
            <w:r w:rsidRPr="00E67ABE" w:rsidR="009B2B7A">
              <w:rPr>
                <w:szCs w:val="16"/>
              </w:rPr>
              <w:t xml:space="preserve">zorgen </w:t>
            </w:r>
            <w:r w:rsidRPr="00E67ABE">
              <w:rPr>
                <w:szCs w:val="16"/>
              </w:rPr>
              <w:t xml:space="preserve">zodat in de toekomst warmtenetten zonder subsidie aangelegd kunnen worden. </w:t>
            </w:r>
            <w:r w:rsidRPr="00E67ABE" w:rsidR="009B2B7A">
              <w:rPr>
                <w:szCs w:val="16"/>
              </w:rPr>
              <w:t>Tot nu toe is dat niet de ervaring.</w:t>
            </w:r>
            <w:r w:rsidRPr="00E67ABE" w:rsidR="004867FA">
              <w:rPr>
                <w:szCs w:val="16"/>
              </w:rPr>
              <w:t xml:space="preserve"> </w:t>
            </w:r>
          </w:p>
          <w:p w:rsidRPr="00E67ABE" w:rsidR="00881629" w:rsidP="00E67ABE" w:rsidRDefault="00881629" w14:paraId="32D844E6" w14:textId="77777777">
            <w:pPr>
              <w:spacing w:line="240" w:lineRule="auto"/>
              <w:rPr>
                <w:b/>
                <w:bCs/>
                <w:szCs w:val="16"/>
              </w:rPr>
            </w:pPr>
          </w:p>
          <w:p w:rsidRPr="00E67ABE" w:rsidR="0092226B" w:rsidP="00E67ABE" w:rsidRDefault="00F433D5" w14:paraId="5EA6431E" w14:textId="0C015AF2">
            <w:pPr>
              <w:spacing w:line="240" w:lineRule="auto"/>
              <w:rPr>
                <w:szCs w:val="16"/>
              </w:rPr>
            </w:pPr>
            <w:r w:rsidRPr="00E67ABE">
              <w:rPr>
                <w:b/>
                <w:bCs/>
                <w:szCs w:val="16"/>
              </w:rPr>
              <w:t xml:space="preserve">Onteigening. </w:t>
            </w:r>
            <w:r w:rsidRPr="00E67ABE" w:rsidR="00961C0A">
              <w:rPr>
                <w:szCs w:val="16"/>
              </w:rPr>
              <w:t>Er lijkt nog niet nagedacht over de onteigening van de huidige warmtenetten</w:t>
            </w:r>
            <w:r w:rsidRPr="00E67ABE" w:rsidR="00941480">
              <w:rPr>
                <w:szCs w:val="16"/>
              </w:rPr>
              <w:t xml:space="preserve">. </w:t>
            </w:r>
            <w:r w:rsidRPr="00E67ABE" w:rsidR="00961C0A">
              <w:rPr>
                <w:szCs w:val="16"/>
              </w:rPr>
              <w:t>Er is een risico dat de onteigening grote kosten met zich meebrengt.</w:t>
            </w:r>
            <w:r w:rsidRPr="00E67ABE" w:rsidR="00397CC7">
              <w:rPr>
                <w:szCs w:val="16"/>
              </w:rPr>
              <w:t xml:space="preserve"> </w:t>
            </w:r>
            <w:r w:rsidRPr="00E67ABE" w:rsidR="00961C0A">
              <w:rPr>
                <w:szCs w:val="16"/>
              </w:rPr>
              <w:t xml:space="preserve">Voor bestaande netten </w:t>
            </w:r>
            <w:r w:rsidRPr="00E67ABE" w:rsidR="00CA786A">
              <w:rPr>
                <w:szCs w:val="16"/>
              </w:rPr>
              <w:t xml:space="preserve">zal de overgang </w:t>
            </w:r>
            <w:r w:rsidRPr="00E67ABE" w:rsidR="00961C0A">
              <w:rPr>
                <w:szCs w:val="16"/>
              </w:rPr>
              <w:t xml:space="preserve">naar publiek eigendom en naar </w:t>
            </w:r>
            <w:proofErr w:type="spellStart"/>
            <w:r w:rsidRPr="00E67ABE" w:rsidR="00961C0A">
              <w:rPr>
                <w:szCs w:val="16"/>
              </w:rPr>
              <w:t>kostengebaseerde</w:t>
            </w:r>
            <w:proofErr w:type="spellEnd"/>
            <w:r w:rsidRPr="00E67ABE" w:rsidR="00961C0A">
              <w:rPr>
                <w:szCs w:val="16"/>
              </w:rPr>
              <w:t xml:space="preserve"> tarieven </w:t>
            </w:r>
            <w:r w:rsidRPr="00E67ABE" w:rsidR="00CA786A">
              <w:rPr>
                <w:szCs w:val="16"/>
              </w:rPr>
              <w:t xml:space="preserve">vragen om een </w:t>
            </w:r>
            <w:r w:rsidRPr="00E67ABE" w:rsidR="00961C0A">
              <w:rPr>
                <w:szCs w:val="16"/>
              </w:rPr>
              <w:t>transparante waard</w:t>
            </w:r>
            <w:r w:rsidRPr="00E67ABE" w:rsidR="00397CC7">
              <w:rPr>
                <w:szCs w:val="16"/>
              </w:rPr>
              <w:t>ering</w:t>
            </w:r>
            <w:r w:rsidRPr="00E67ABE" w:rsidR="00961C0A">
              <w:rPr>
                <w:szCs w:val="16"/>
              </w:rPr>
              <w:t xml:space="preserve"> van de huidige netten. Dit kan tot vertraging leiden. </w:t>
            </w:r>
          </w:p>
          <w:p w:rsidRPr="00E67ABE" w:rsidR="0092226B" w:rsidP="00E67ABE" w:rsidRDefault="0092226B" w14:paraId="7FE0AD47" w14:textId="77777777">
            <w:pPr>
              <w:spacing w:line="240" w:lineRule="auto"/>
              <w:rPr>
                <w:szCs w:val="16"/>
              </w:rPr>
            </w:pPr>
          </w:p>
          <w:p w:rsidRPr="00E67ABE" w:rsidR="00961C0A" w:rsidP="00E67ABE" w:rsidRDefault="0045477B" w14:paraId="61CEBD5D" w14:textId="28FD349C">
            <w:pPr>
              <w:spacing w:line="240" w:lineRule="auto"/>
              <w:rPr>
                <w:i/>
                <w:iCs/>
                <w:szCs w:val="16"/>
              </w:rPr>
            </w:pPr>
            <w:r w:rsidRPr="00E67ABE">
              <w:rPr>
                <w:i/>
                <w:iCs/>
                <w:szCs w:val="16"/>
              </w:rPr>
              <w:t>Aanbeveling</w:t>
            </w:r>
            <w:r w:rsidRPr="00E67ABE" w:rsidR="0092226B">
              <w:rPr>
                <w:i/>
                <w:iCs/>
                <w:szCs w:val="16"/>
              </w:rPr>
              <w:t xml:space="preserve">: </w:t>
            </w:r>
            <w:r w:rsidRPr="00E67ABE" w:rsidR="00961C0A">
              <w:rPr>
                <w:i/>
                <w:iCs/>
                <w:szCs w:val="16"/>
              </w:rPr>
              <w:t>Het apart behandelen van nieuwe en bestaande netten kan deels voorkomen</w:t>
            </w:r>
            <w:r w:rsidRPr="00E67ABE" w:rsidR="002E074E">
              <w:rPr>
                <w:i/>
                <w:iCs/>
                <w:szCs w:val="16"/>
              </w:rPr>
              <w:t xml:space="preserve"> </w:t>
            </w:r>
            <w:r w:rsidRPr="00E67ABE" w:rsidR="004112D9">
              <w:rPr>
                <w:i/>
                <w:iCs/>
                <w:szCs w:val="16"/>
              </w:rPr>
              <w:t>dat de onteigeningsprocedure bij bestaande netten de voortgang van nieuwe netten in de weg zit</w:t>
            </w:r>
            <w:r w:rsidRPr="00E67ABE" w:rsidR="00961C0A">
              <w:rPr>
                <w:i/>
                <w:iCs/>
                <w:szCs w:val="16"/>
              </w:rPr>
              <w:t>.</w:t>
            </w:r>
          </w:p>
          <w:p w:rsidRPr="00E67ABE" w:rsidR="0021643C" w:rsidP="00E67ABE" w:rsidRDefault="0021643C" w14:paraId="0E38C394" w14:textId="77777777">
            <w:pPr>
              <w:spacing w:line="240" w:lineRule="auto"/>
              <w:rPr>
                <w:b/>
                <w:bCs/>
                <w:szCs w:val="16"/>
              </w:rPr>
            </w:pPr>
          </w:p>
          <w:p w:rsidRPr="00E67ABE" w:rsidR="0099324D" w:rsidP="00E67ABE" w:rsidRDefault="0021643C" w14:paraId="65F81B87" w14:textId="5EFC27E3">
            <w:pPr>
              <w:spacing w:line="240" w:lineRule="auto"/>
              <w:rPr>
                <w:szCs w:val="16"/>
              </w:rPr>
            </w:pPr>
            <w:r w:rsidRPr="00E67ABE">
              <w:rPr>
                <w:b/>
                <w:bCs/>
                <w:szCs w:val="16"/>
              </w:rPr>
              <w:t xml:space="preserve">Toezicht. </w:t>
            </w:r>
            <w:r w:rsidRPr="00E67ABE">
              <w:rPr>
                <w:szCs w:val="16"/>
              </w:rPr>
              <w:t xml:space="preserve">De extra taken die bij de ACM worden neergelegd brengen kosten voor het </w:t>
            </w:r>
            <w:r w:rsidRPr="00E67ABE" w:rsidR="00E67ABE">
              <w:rPr>
                <w:szCs w:val="16"/>
              </w:rPr>
              <w:t>R</w:t>
            </w:r>
            <w:r w:rsidRPr="00E67ABE">
              <w:rPr>
                <w:szCs w:val="16"/>
              </w:rPr>
              <w:t>ijk met zich mee. De toezichthouder krijgt veel meer taken dan toezichthouders in andere landen, zoals in Denemarken, Zweden en Duitsland.</w:t>
            </w:r>
            <w:r w:rsidRPr="00E67ABE" w:rsidR="007B24D9">
              <w:rPr>
                <w:szCs w:val="16"/>
              </w:rPr>
              <w:t xml:space="preserve"> Door de </w:t>
            </w:r>
            <w:proofErr w:type="spellStart"/>
            <w:r w:rsidRPr="00E67ABE" w:rsidR="007B24D9">
              <w:rPr>
                <w:szCs w:val="16"/>
              </w:rPr>
              <w:t>kostengebaseerde</w:t>
            </w:r>
            <w:proofErr w:type="spellEnd"/>
            <w:r w:rsidRPr="00E67ABE" w:rsidR="007B24D9">
              <w:rPr>
                <w:szCs w:val="16"/>
              </w:rPr>
              <w:t xml:space="preserve"> tariefsystematiek te vereenvoudigen via vergaande standaardisatie in boekhoudregels en benchmarking en niet werken met tarieflimieten zal de rol van de toezichthouder ook verminderd worden (overeenkomstig aanbevelingen ten aanzien van </w:t>
            </w:r>
            <w:proofErr w:type="spellStart"/>
            <w:r w:rsidRPr="00E67ABE" w:rsidR="007B24D9">
              <w:rPr>
                <w:szCs w:val="16"/>
              </w:rPr>
              <w:t>kostengebaseerde</w:t>
            </w:r>
            <w:proofErr w:type="spellEnd"/>
            <w:r w:rsidRPr="00E67ABE" w:rsidR="007B24D9">
              <w:rPr>
                <w:szCs w:val="16"/>
              </w:rPr>
              <w:t xml:space="preserve"> tarieven).</w:t>
            </w:r>
          </w:p>
          <w:p w:rsidRPr="00E67ABE" w:rsidR="00910B10" w:rsidP="00E67ABE" w:rsidRDefault="00910B10" w14:paraId="41CFD0CA" w14:textId="77777777">
            <w:pPr>
              <w:spacing w:line="240" w:lineRule="auto"/>
              <w:rPr>
                <w:szCs w:val="16"/>
              </w:rPr>
            </w:pPr>
          </w:p>
          <w:p w:rsidRPr="00E67ABE" w:rsidR="00FC1D3A" w:rsidP="00E67ABE" w:rsidRDefault="00FC1D3A" w14:paraId="3362ABF6" w14:textId="31112085">
            <w:pPr>
              <w:spacing w:line="240" w:lineRule="auto"/>
              <w:rPr>
                <w:b/>
                <w:bCs/>
                <w:szCs w:val="16"/>
              </w:rPr>
            </w:pPr>
            <w:r w:rsidRPr="00E67ABE">
              <w:rPr>
                <w:b/>
                <w:bCs/>
                <w:szCs w:val="16"/>
              </w:rPr>
              <w:t xml:space="preserve">Kosten van gebrek aan systeemintegratie, innovatie en van een focus op schaal. </w:t>
            </w:r>
            <w:r w:rsidRPr="00E67ABE">
              <w:rPr>
                <w:szCs w:val="16"/>
              </w:rPr>
              <w:t>Een integratie van warmte, koeling en elektriciteit leidt tot kostenvoordelen en kwalitatief hogere voorzieningen (Zie bi</w:t>
            </w:r>
            <w:r w:rsidRPr="00E67ABE" w:rsidR="00A41179">
              <w:rPr>
                <w:szCs w:val="16"/>
              </w:rPr>
              <w:t>j</w:t>
            </w:r>
            <w:r w:rsidRPr="00E67ABE">
              <w:rPr>
                <w:szCs w:val="16"/>
              </w:rPr>
              <w:t>lage innovatie).</w:t>
            </w:r>
            <w:r w:rsidRPr="00E67ABE" w:rsidR="007B24D9">
              <w:rPr>
                <w:szCs w:val="16"/>
              </w:rPr>
              <w:t xml:space="preserve"> Dit is des te meer actueel gezien de problemen met de belasting van het elektriciteitsnet.</w:t>
            </w:r>
          </w:p>
        </w:tc>
      </w:tr>
      <w:tr w:rsidRPr="00BC5C43" w:rsidR="0099324D" w:rsidTr="00CF6DEA" w14:paraId="1F4E73E1" w14:textId="77777777">
        <w:trPr>
          <w:trHeight w:val="1102"/>
        </w:trPr>
        <w:tc>
          <w:tcPr>
            <w:tcW w:w="562" w:type="dxa"/>
          </w:tcPr>
          <w:p w:rsidRPr="00BC5C43" w:rsidR="0099324D" w:rsidP="0052549E" w:rsidRDefault="0099324D" w14:paraId="22A3C553" w14:textId="2A7FC32C">
            <w:pPr>
              <w:pStyle w:val="Lijstalinea"/>
              <w:numPr>
                <w:ilvl w:val="0"/>
                <w:numId w:val="46"/>
              </w:numPr>
              <w:spacing w:line="240" w:lineRule="auto"/>
              <w:rPr>
                <w:color w:val="000000" w:themeColor="text1"/>
              </w:rPr>
            </w:pPr>
          </w:p>
        </w:tc>
        <w:tc>
          <w:tcPr>
            <w:tcW w:w="2410" w:type="dxa"/>
          </w:tcPr>
          <w:p w:rsidRPr="00BC5C43" w:rsidR="0099324D" w:rsidP="00AE7D67" w:rsidRDefault="0099324D" w14:paraId="7FD5CD33" w14:textId="26A938D5">
            <w:pPr>
              <w:spacing w:line="240" w:lineRule="auto"/>
              <w:rPr>
                <w:b/>
                <w:color w:val="000000" w:themeColor="text1"/>
              </w:rPr>
            </w:pPr>
            <w:r w:rsidRPr="00BC5C43">
              <w:rPr>
                <w:b/>
                <w:color w:val="000000" w:themeColor="text1"/>
              </w:rPr>
              <w:t>Financiële gevolgen voor maatschappelijke sectoren en derden</w:t>
            </w:r>
          </w:p>
          <w:p w:rsidRPr="00BC5C43" w:rsidR="0099324D" w:rsidP="00AE7D67" w:rsidRDefault="008B4CD3" w14:paraId="482E2BBE" w14:textId="19B95D4B">
            <w:pPr>
              <w:spacing w:line="240" w:lineRule="auto"/>
              <w:rPr>
                <w:color w:val="000000" w:themeColor="text1"/>
              </w:rPr>
            </w:pPr>
            <w:r w:rsidRPr="00BC5C43">
              <w:rPr>
                <w:color w:val="000000" w:themeColor="text1"/>
              </w:rPr>
              <w:t>Welke financiële gevolgen heeft het voorstel voor maatschappelijke sectoren en derden (publiek/privaat</w:t>
            </w:r>
            <w:r>
              <w:rPr>
                <w:color w:val="000000" w:themeColor="text1"/>
              </w:rPr>
              <w:t>, inclusief individuele burgers</w:t>
            </w:r>
            <w:r w:rsidRPr="00BC5C43">
              <w:rPr>
                <w:color w:val="000000" w:themeColor="text1"/>
              </w:rPr>
              <w:t>)?</w:t>
            </w:r>
          </w:p>
        </w:tc>
        <w:tc>
          <w:tcPr>
            <w:tcW w:w="851" w:type="dxa"/>
          </w:tcPr>
          <w:p w:rsidRPr="00BC5C43" w:rsidR="0099324D" w:rsidP="00AE7D67" w:rsidRDefault="008D2A6E" w14:paraId="2E50E893" w14:textId="680F257F">
            <w:pPr>
              <w:spacing w:before="120" w:line="240" w:lineRule="auto"/>
              <w:jc w:val="center"/>
              <w:rPr>
                <w:color w:val="000000" w:themeColor="text1"/>
              </w:rPr>
            </w:pPr>
            <w:r w:rsidRPr="00090976">
              <w:rPr>
                <w:bCs/>
                <w:noProof/>
                <w:position w:val="-4"/>
                <w:sz w:val="20"/>
                <w:szCs w:val="20"/>
                <w:lang w:eastAsia="nl-NL"/>
              </w:rPr>
              <w:drawing>
                <wp:inline distT="0" distB="0" distL="0" distR="0" wp14:anchorId="281E55FA" wp14:editId="5F56AA0D">
                  <wp:extent cx="190500" cy="161925"/>
                  <wp:effectExtent l="0" t="0" r="0" b="9525"/>
                  <wp:docPr id="1006331049" name="icoonaand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onaandacht"/>
                          <pic:cNvPicPr>
                            <a:picLocks noChangeAspect="1" noChangeArrowheads="1"/>
                          </pic:cNvPicPr>
                        </pic:nvPicPr>
                        <pic:blipFill>
                          <a:blip r:embed="rId18" cstate="print">
                            <a:extLst>
                              <a:ext uri="{28A0092B-C50C-407E-A947-70E740481C1C}">
                                <a14:useLocalDpi xmlns:a14="http://schemas.microsoft.com/office/drawing/2010/main" val="0"/>
                              </a:ext>
                            </a:extLst>
                          </a:blip>
                          <a:srcRect l="36702" t="26582" r="32397" b="20128"/>
                          <a:stretch>
                            <a:fillRect/>
                          </a:stretch>
                        </pic:blipFill>
                        <pic:spPr bwMode="auto">
                          <a:xfrm>
                            <a:off x="0" y="0"/>
                            <a:ext cx="190500" cy="161925"/>
                          </a:xfrm>
                          <a:prstGeom prst="rect">
                            <a:avLst/>
                          </a:prstGeom>
                          <a:noFill/>
                          <a:ln>
                            <a:noFill/>
                          </a:ln>
                        </pic:spPr>
                      </pic:pic>
                    </a:graphicData>
                  </a:graphic>
                </wp:inline>
              </w:drawing>
            </w:r>
          </w:p>
        </w:tc>
        <w:tc>
          <w:tcPr>
            <w:tcW w:w="5528" w:type="dxa"/>
          </w:tcPr>
          <w:sdt>
            <w:sdtPr>
              <w:rPr>
                <w:color w:val="000000" w:themeColor="text1"/>
                <w:szCs w:val="16"/>
              </w:rPr>
              <w:tag w:val="cwshowinfo7"/>
              <w:id w:val="-1619907975"/>
              <w:placeholder>
                <w:docPart w:val="31AA4E2FD2318942BD3C2CE58D4B6C84"/>
              </w:placeholder>
              <w15:appearance w15:val="hidden"/>
            </w:sdtPr>
            <w:sdtEndPr>
              <w:rPr>
                <w:color w:val="auto"/>
              </w:rPr>
            </w:sdtEndPr>
            <w:sdtContent>
              <w:p w:rsidRPr="00E67ABE" w:rsidR="00316244" w:rsidP="00E67ABE" w:rsidRDefault="00316244" w14:paraId="5BA28933" w14:textId="4F500A97">
                <w:pPr>
                  <w:pStyle w:val="Lijstalinea"/>
                  <w:numPr>
                    <w:ilvl w:val="0"/>
                    <w:numId w:val="3"/>
                  </w:numPr>
                  <w:spacing w:line="240" w:lineRule="auto"/>
                  <w:rPr>
                    <w:color w:val="000000" w:themeColor="text1"/>
                    <w:szCs w:val="16"/>
                  </w:rPr>
                </w:pPr>
                <w:r w:rsidRPr="00E67ABE">
                  <w:rPr>
                    <w:szCs w:val="16"/>
                  </w:rPr>
                  <w:t xml:space="preserve">De gevolgen van het wetsvoorstel voor Rijk, decentrale overheden, burgers en bedrijven zijn beschreven in de paragrafen 19.1 en 19.2 van de </w:t>
                </w:r>
                <w:proofErr w:type="spellStart"/>
                <w:r w:rsidRPr="00E67ABE">
                  <w:rPr>
                    <w:szCs w:val="16"/>
                  </w:rPr>
                  <w:t>MvT</w:t>
                </w:r>
                <w:proofErr w:type="spellEnd"/>
                <w:r w:rsidRPr="00E67ABE">
                  <w:rPr>
                    <w:szCs w:val="16"/>
                  </w:rPr>
                  <w:t xml:space="preserve">. </w:t>
                </w:r>
              </w:p>
              <w:p w:rsidRPr="00E67ABE" w:rsidR="00316244" w:rsidP="00E67ABE" w:rsidRDefault="00316244" w14:paraId="05764FA9" w14:textId="77777777">
                <w:pPr>
                  <w:pStyle w:val="Lijstalinea"/>
                  <w:numPr>
                    <w:ilvl w:val="0"/>
                    <w:numId w:val="3"/>
                  </w:numPr>
                  <w:spacing w:line="240" w:lineRule="auto"/>
                  <w:rPr>
                    <w:szCs w:val="16"/>
                  </w:rPr>
                </w:pPr>
                <w:r w:rsidRPr="00E67ABE">
                  <w:rPr>
                    <w:szCs w:val="16"/>
                  </w:rPr>
                  <w:t xml:space="preserve">In paragraaf 12.3 </w:t>
                </w:r>
                <w:proofErr w:type="spellStart"/>
                <w:r w:rsidRPr="00E67ABE">
                  <w:rPr>
                    <w:szCs w:val="16"/>
                  </w:rPr>
                  <w:t>MvT</w:t>
                </w:r>
                <w:proofErr w:type="spellEnd"/>
                <w:r w:rsidRPr="00E67ABE">
                  <w:rPr>
                    <w:szCs w:val="16"/>
                  </w:rPr>
                  <w:t xml:space="preserve"> staat dat een toename van de werklast van de rechterlijke organisatie wordt verwacht. </w:t>
                </w:r>
              </w:p>
              <w:p w:rsidRPr="00E67ABE" w:rsidR="00316244" w:rsidP="00E67ABE" w:rsidRDefault="00316244" w14:paraId="40ED6C87" w14:textId="77777777">
                <w:pPr>
                  <w:pStyle w:val="Lijstalinea"/>
                  <w:numPr>
                    <w:ilvl w:val="0"/>
                    <w:numId w:val="3"/>
                  </w:numPr>
                  <w:spacing w:line="240" w:lineRule="auto"/>
                  <w:rPr>
                    <w:szCs w:val="16"/>
                  </w:rPr>
                </w:pPr>
                <w:r w:rsidRPr="00E67ABE">
                  <w:rPr>
                    <w:color w:val="000000" w:themeColor="text1"/>
                    <w:szCs w:val="16"/>
                  </w:rPr>
                  <w:t xml:space="preserve">In opdracht van de Raad voor het Openbaar Bestuur is onderzoek gedaan naar de kosten voor decentrale overheden voor uitvoering van het klimaat- en energiebeleid. De uitvoering van de warmtetransitie in de gebouwde omgeving door gemeenten maakt hier onderdeel van uit. Op 22 februari 2024 is het </w:t>
                </w:r>
                <w:hyperlink r:id="rId20">
                  <w:r w:rsidRPr="00E67ABE">
                    <w:rPr>
                      <w:rStyle w:val="Hyperlink"/>
                      <w:szCs w:val="16"/>
                    </w:rPr>
                    <w:t>onderzoeksrapport</w:t>
                  </w:r>
                </w:hyperlink>
                <w:r w:rsidRPr="00E67ABE">
                  <w:rPr>
                    <w:color w:val="000000" w:themeColor="text1"/>
                    <w:szCs w:val="16"/>
                  </w:rPr>
                  <w:t xml:space="preserve"> gepubliceerd. </w:t>
                </w:r>
              </w:p>
              <w:p w:rsidRPr="00E67ABE" w:rsidR="0099324D" w:rsidP="00E67ABE" w:rsidRDefault="00316244" w14:paraId="16E6C3DA" w14:textId="06B48326">
                <w:pPr>
                  <w:pStyle w:val="Lijstalinea"/>
                  <w:numPr>
                    <w:ilvl w:val="0"/>
                    <w:numId w:val="3"/>
                  </w:numPr>
                  <w:spacing w:line="240" w:lineRule="auto"/>
                  <w:rPr>
                    <w:szCs w:val="16"/>
                  </w:rPr>
                </w:pPr>
                <w:r w:rsidRPr="00E67ABE">
                  <w:rPr>
                    <w:color w:val="000000" w:themeColor="text1"/>
                    <w:szCs w:val="16"/>
                  </w:rPr>
                  <w:t>Over de financiële doorwerking van de wet is verder geen andere informatie beschikbaar.</w:t>
                </w:r>
              </w:p>
            </w:sdtContent>
          </w:sdt>
        </w:tc>
        <w:tc>
          <w:tcPr>
            <w:tcW w:w="6520" w:type="dxa"/>
          </w:tcPr>
          <w:p w:rsidRPr="00E67ABE" w:rsidR="00196FAF" w:rsidP="00E67ABE" w:rsidRDefault="00196FAF" w14:paraId="63CAC637" w14:textId="683508D8">
            <w:pPr>
              <w:spacing w:line="240" w:lineRule="auto"/>
              <w:rPr>
                <w:szCs w:val="16"/>
              </w:rPr>
            </w:pPr>
            <w:r w:rsidRPr="00E67ABE">
              <w:rPr>
                <w:szCs w:val="16"/>
              </w:rPr>
              <w:t>Op het moment dat er onvoldoende prikkels zijn om de kosten van warmtenetten omlaag te brengen, zijn de negatieve financiële gevolgen voor burgers en de maatschappij groter dan nodig.</w:t>
            </w:r>
            <w:r w:rsidRPr="00E67ABE" w:rsidR="009D55F1">
              <w:rPr>
                <w:szCs w:val="16"/>
              </w:rPr>
              <w:t xml:space="preserve"> </w:t>
            </w:r>
            <w:r w:rsidRPr="00E67ABE" w:rsidR="00C15C27">
              <w:rPr>
                <w:szCs w:val="16"/>
              </w:rPr>
              <w:t>Omwille van de leesbaarheid zijn de</w:t>
            </w:r>
            <w:r w:rsidRPr="00E67ABE" w:rsidR="004F2D7F">
              <w:rPr>
                <w:szCs w:val="16"/>
              </w:rPr>
              <w:t xml:space="preserve"> manieren waarop dit gebeurt en verbetersuggesties</w:t>
            </w:r>
            <w:r w:rsidRPr="00E67ABE" w:rsidR="00C15C27">
              <w:rPr>
                <w:szCs w:val="16"/>
              </w:rPr>
              <w:t xml:space="preserve"> ondergebracht </w:t>
            </w:r>
            <w:r w:rsidRPr="00E67ABE" w:rsidR="004F2D7F">
              <w:rPr>
                <w:szCs w:val="16"/>
              </w:rPr>
              <w:t>onder 3</w:t>
            </w:r>
            <w:r w:rsidRPr="00E67ABE" w:rsidR="00B9350B">
              <w:rPr>
                <w:szCs w:val="16"/>
              </w:rPr>
              <w:t xml:space="preserve">, en worden </w:t>
            </w:r>
            <w:r w:rsidRPr="00E67ABE" w:rsidR="00E67ABE">
              <w:rPr>
                <w:szCs w:val="16"/>
              </w:rPr>
              <w:t xml:space="preserve">deze </w:t>
            </w:r>
            <w:r w:rsidRPr="00E67ABE" w:rsidR="00B9350B">
              <w:rPr>
                <w:szCs w:val="16"/>
              </w:rPr>
              <w:t xml:space="preserve">per onderwerp in de bijlage </w:t>
            </w:r>
            <w:r w:rsidRPr="00E67ABE" w:rsidR="004F2D7F">
              <w:rPr>
                <w:szCs w:val="16"/>
              </w:rPr>
              <w:t>verdiept</w:t>
            </w:r>
            <w:r w:rsidRPr="00E67ABE" w:rsidR="00B9350B">
              <w:rPr>
                <w:szCs w:val="16"/>
              </w:rPr>
              <w:t>.</w:t>
            </w:r>
          </w:p>
          <w:p w:rsidRPr="00E67ABE" w:rsidR="00196FAF" w:rsidP="00E67ABE" w:rsidRDefault="00196FAF" w14:paraId="57ADA4CB" w14:textId="77777777">
            <w:pPr>
              <w:spacing w:line="240" w:lineRule="auto"/>
              <w:rPr>
                <w:szCs w:val="16"/>
              </w:rPr>
            </w:pPr>
          </w:p>
          <w:p w:rsidRPr="00E67ABE" w:rsidR="00BD7589" w:rsidP="00E67ABE" w:rsidRDefault="009D1A7B" w14:paraId="5C60F112" w14:textId="10955E29">
            <w:pPr>
              <w:spacing w:line="240" w:lineRule="auto"/>
              <w:rPr>
                <w:szCs w:val="16"/>
              </w:rPr>
            </w:pPr>
            <w:r w:rsidRPr="00E67ABE">
              <w:rPr>
                <w:b/>
                <w:bCs/>
                <w:szCs w:val="16"/>
              </w:rPr>
              <w:t xml:space="preserve">Nationale kosten. </w:t>
            </w:r>
            <w:r w:rsidRPr="00E67ABE" w:rsidR="00397CC7">
              <w:rPr>
                <w:szCs w:val="16"/>
              </w:rPr>
              <w:t>Het Klimaatakkoord noemt in de Leidraad gebouwde omgeving dat kosten voor</w:t>
            </w:r>
            <w:r w:rsidRPr="00E67ABE" w:rsidR="00EC6F22">
              <w:rPr>
                <w:szCs w:val="16"/>
              </w:rPr>
              <w:t xml:space="preserve"> </w:t>
            </w:r>
            <w:r w:rsidRPr="00E67ABE" w:rsidR="00397CC7">
              <w:rPr>
                <w:szCs w:val="16"/>
              </w:rPr>
              <w:t xml:space="preserve">eindgebruikers en de maatschappelijke kosten in kaart gebracht moeten worden. Bij de operationalisering van zowel de transitievisie (nu warmteprogramma) als de Startanalyse </w:t>
            </w:r>
            <w:r w:rsidRPr="00E67ABE" w:rsidR="007B24D9">
              <w:rPr>
                <w:szCs w:val="16"/>
              </w:rPr>
              <w:t xml:space="preserve">wordt gewerkt met </w:t>
            </w:r>
            <w:r w:rsidRPr="00E67ABE" w:rsidR="00397CC7">
              <w:rPr>
                <w:szCs w:val="16"/>
              </w:rPr>
              <w:t xml:space="preserve">het nauwer gedefinieerde begrip ‘nationale kosten’. Deze vormen ook een belangrijk ingrediënt in de onderbouwing van de kavelkeuze in het huidige wetsvoorstel. </w:t>
            </w:r>
            <w:r w:rsidRPr="00E67ABE" w:rsidR="0081320F">
              <w:rPr>
                <w:szCs w:val="16"/>
              </w:rPr>
              <w:t>In de berekening van dit begrip zit</w:t>
            </w:r>
            <w:r w:rsidRPr="00E67ABE" w:rsidR="00AB5456">
              <w:rPr>
                <w:szCs w:val="16"/>
              </w:rPr>
              <w:t>ten</w:t>
            </w:r>
            <w:r w:rsidRPr="00E67ABE" w:rsidR="0081320F">
              <w:rPr>
                <w:szCs w:val="16"/>
              </w:rPr>
              <w:t xml:space="preserve"> niet</w:t>
            </w:r>
            <w:r w:rsidRPr="00E67ABE" w:rsidR="00AB5456">
              <w:rPr>
                <w:szCs w:val="16"/>
              </w:rPr>
              <w:t>:</w:t>
            </w:r>
            <w:r w:rsidRPr="00E67ABE" w:rsidR="0081320F">
              <w:rPr>
                <w:szCs w:val="16"/>
              </w:rPr>
              <w:t xml:space="preserve"> </w:t>
            </w:r>
            <w:r w:rsidRPr="00E67ABE" w:rsidR="00397CC7">
              <w:rPr>
                <w:szCs w:val="16"/>
              </w:rPr>
              <w:t xml:space="preserve">comfort, </w:t>
            </w:r>
            <w:r w:rsidRPr="00E67ABE" w:rsidR="00AB5456">
              <w:rPr>
                <w:szCs w:val="16"/>
              </w:rPr>
              <w:t>uitstoot</w:t>
            </w:r>
            <w:r w:rsidRPr="00E67ABE" w:rsidR="00397CC7">
              <w:rPr>
                <w:szCs w:val="16"/>
              </w:rPr>
              <w:t xml:space="preserve">, </w:t>
            </w:r>
            <w:r w:rsidRPr="00E67ABE" w:rsidR="00A41179">
              <w:rPr>
                <w:szCs w:val="16"/>
              </w:rPr>
              <w:t xml:space="preserve">consumentenvoorkeuren, </w:t>
            </w:r>
            <w:r w:rsidRPr="00E67ABE" w:rsidR="00397CC7">
              <w:rPr>
                <w:szCs w:val="16"/>
              </w:rPr>
              <w:t>gezondheidseffecten van bijvoorbeeld isolatie of indirecte effecten van belastingen of netcongestie.</w:t>
            </w:r>
          </w:p>
          <w:p w:rsidRPr="00E67ABE" w:rsidR="004B1B69" w:rsidP="00E67ABE" w:rsidRDefault="004B1B69" w14:paraId="3C8A077C" w14:textId="77777777">
            <w:pPr>
              <w:spacing w:line="240" w:lineRule="auto"/>
              <w:rPr>
                <w:szCs w:val="16"/>
              </w:rPr>
            </w:pPr>
          </w:p>
          <w:p w:rsidRPr="00E67ABE" w:rsidR="00A41179" w:rsidP="00E67ABE" w:rsidRDefault="00A41179" w14:paraId="4622458F" w14:textId="4D49FE38">
            <w:pPr>
              <w:spacing w:line="240" w:lineRule="auto"/>
              <w:rPr>
                <w:szCs w:val="16"/>
              </w:rPr>
            </w:pPr>
            <w:r w:rsidRPr="00E67ABE">
              <w:rPr>
                <w:i/>
                <w:iCs/>
                <w:szCs w:val="16"/>
                <w:u w:val="single"/>
              </w:rPr>
              <w:t>V</w:t>
            </w:r>
            <w:r w:rsidRPr="00E67ABE" w:rsidR="00397CC7">
              <w:rPr>
                <w:i/>
                <w:iCs/>
                <w:szCs w:val="16"/>
                <w:u w:val="single"/>
              </w:rPr>
              <w:t>oorbeeld</w:t>
            </w:r>
            <w:r w:rsidRPr="00E67ABE" w:rsidR="00397CC7">
              <w:rPr>
                <w:szCs w:val="16"/>
              </w:rPr>
              <w:t xml:space="preserve">: </w:t>
            </w:r>
            <w:r w:rsidRPr="00E67ABE" w:rsidR="00194789">
              <w:rPr>
                <w:szCs w:val="16"/>
              </w:rPr>
              <w:t>D</w:t>
            </w:r>
            <w:r w:rsidRPr="00E67ABE" w:rsidR="00397CC7">
              <w:rPr>
                <w:szCs w:val="16"/>
              </w:rPr>
              <w:t xml:space="preserve">e nationale kosten van warmtenetten bij een bepaalde isolatiegraad van woningen kunnen in een wijk lager uitvallen ten opzichte van warmtepompen. </w:t>
            </w:r>
            <w:r w:rsidRPr="00E67ABE">
              <w:rPr>
                <w:szCs w:val="16"/>
              </w:rPr>
              <w:t xml:space="preserve">Isolatie gaat gewoon door, wat voor waardevermeerdering zorgt door </w:t>
            </w:r>
            <w:r w:rsidRPr="00E67ABE" w:rsidR="00397CC7">
              <w:rPr>
                <w:szCs w:val="16"/>
              </w:rPr>
              <w:t xml:space="preserve">gezondheidswinst en </w:t>
            </w:r>
            <w:r w:rsidRPr="00E67ABE">
              <w:rPr>
                <w:szCs w:val="16"/>
              </w:rPr>
              <w:t xml:space="preserve">verbeteringen in </w:t>
            </w:r>
            <w:r w:rsidRPr="00E67ABE" w:rsidR="00397CC7">
              <w:rPr>
                <w:szCs w:val="16"/>
              </w:rPr>
              <w:t>wooncomfort</w:t>
            </w:r>
            <w:r w:rsidRPr="00E67ABE">
              <w:rPr>
                <w:szCs w:val="16"/>
              </w:rPr>
              <w:t xml:space="preserve">. Dat wordt niet </w:t>
            </w:r>
            <w:r w:rsidRPr="00E67ABE" w:rsidR="00397CC7">
              <w:rPr>
                <w:szCs w:val="16"/>
              </w:rPr>
              <w:t xml:space="preserve">in de vergelijking meegenomen </w:t>
            </w:r>
            <w:r w:rsidRPr="00E67ABE">
              <w:rPr>
                <w:szCs w:val="16"/>
              </w:rPr>
              <w:t xml:space="preserve">en leidt </w:t>
            </w:r>
            <w:r w:rsidRPr="00E67ABE" w:rsidR="00397CC7">
              <w:rPr>
                <w:szCs w:val="16"/>
              </w:rPr>
              <w:t xml:space="preserve">tot de </w:t>
            </w:r>
            <w:r w:rsidRPr="00E67ABE" w:rsidR="007B24D9">
              <w:rPr>
                <w:szCs w:val="16"/>
              </w:rPr>
              <w:t xml:space="preserve">mogelijk </w:t>
            </w:r>
            <w:r w:rsidRPr="00E67ABE" w:rsidR="00397CC7">
              <w:rPr>
                <w:szCs w:val="16"/>
              </w:rPr>
              <w:t>verkeerde conclusie dat warmtenetten de voorkeursoplossing zijn.</w:t>
            </w:r>
          </w:p>
          <w:p w:rsidRPr="00E67ABE" w:rsidR="00A41179" w:rsidP="00E67ABE" w:rsidRDefault="00A41179" w14:paraId="65A05373" w14:textId="77777777">
            <w:pPr>
              <w:spacing w:line="240" w:lineRule="auto"/>
              <w:rPr>
                <w:szCs w:val="16"/>
              </w:rPr>
            </w:pPr>
          </w:p>
          <w:p w:rsidRPr="00E67ABE" w:rsidR="00A41179" w:rsidP="00E67ABE" w:rsidRDefault="00A41179" w14:paraId="0DDE2C19" w14:textId="027E031C">
            <w:pPr>
              <w:spacing w:line="240" w:lineRule="auto"/>
              <w:rPr>
                <w:szCs w:val="16"/>
              </w:rPr>
            </w:pPr>
            <w:r w:rsidRPr="00E67ABE">
              <w:rPr>
                <w:szCs w:val="16"/>
              </w:rPr>
              <w:t>In andere landen wordt er niet met dergelijke nationale modellen of maatstaven gewerkt.</w:t>
            </w:r>
          </w:p>
        </w:tc>
      </w:tr>
      <w:tr w:rsidRPr="00BC5C43" w:rsidR="0099324D" w:rsidTr="00CF6DEA" w14:paraId="003AF049" w14:textId="77777777">
        <w:tc>
          <w:tcPr>
            <w:tcW w:w="562" w:type="dxa"/>
          </w:tcPr>
          <w:p w:rsidRPr="00BC5C43" w:rsidR="0099324D" w:rsidP="0052549E" w:rsidRDefault="0099324D" w14:paraId="1FC04C71" w14:textId="7DB4CD16">
            <w:pPr>
              <w:pStyle w:val="Lijstalinea"/>
              <w:numPr>
                <w:ilvl w:val="0"/>
                <w:numId w:val="46"/>
              </w:numPr>
              <w:spacing w:line="240" w:lineRule="auto"/>
              <w:rPr>
                <w:color w:val="000000" w:themeColor="text1"/>
              </w:rPr>
            </w:pPr>
            <w:bookmarkStart w:name="bmTemp" w:colFirst="2" w:colLast="2" w:id="6"/>
          </w:p>
        </w:tc>
        <w:tc>
          <w:tcPr>
            <w:tcW w:w="2410" w:type="dxa"/>
          </w:tcPr>
          <w:p w:rsidRPr="00BC5C43" w:rsidR="0099324D" w:rsidP="00AE7D67" w:rsidRDefault="0099324D" w14:paraId="2F414C64" w14:textId="34151284">
            <w:pPr>
              <w:spacing w:line="240" w:lineRule="auto"/>
              <w:rPr>
                <w:b/>
                <w:color w:val="000000" w:themeColor="text1"/>
              </w:rPr>
            </w:pPr>
            <w:r w:rsidRPr="00BC5C43">
              <w:rPr>
                <w:b/>
                <w:color w:val="000000" w:themeColor="text1"/>
              </w:rPr>
              <w:t>Evaluatieparagraaf: leren, bijsturen, verantwoorden</w:t>
            </w:r>
          </w:p>
          <w:p w:rsidRPr="008B4CD3" w:rsidR="0099324D" w:rsidP="00AE7D67" w:rsidRDefault="008B4CD3" w14:paraId="771C5AC9" w14:textId="29755346">
            <w:pPr>
              <w:spacing w:line="240" w:lineRule="auto"/>
              <w:rPr>
                <w:color w:val="000000" w:themeColor="text1"/>
              </w:rPr>
            </w:pPr>
            <w:r w:rsidRPr="00BC5C43">
              <w:rPr>
                <w:color w:val="000000" w:themeColor="text1"/>
              </w:rPr>
              <w:t>Hoe wordt het voorstel gemonitord (doelmatigheid, doeltreffendheid) en ingezet voor leren, bijsturen en verantwoorden?</w:t>
            </w:r>
          </w:p>
        </w:tc>
        <w:tc>
          <w:tcPr>
            <w:tcW w:w="851" w:type="dxa"/>
          </w:tcPr>
          <w:p w:rsidRPr="00BC5C43" w:rsidR="0099324D" w:rsidP="00AE7D67" w:rsidRDefault="008D2A6E" w14:paraId="15D3D5A5" w14:textId="61DF91E7">
            <w:pPr>
              <w:spacing w:before="120" w:line="240" w:lineRule="auto"/>
              <w:jc w:val="center"/>
              <w:rPr>
                <w:color w:val="000000" w:themeColor="text1"/>
              </w:rPr>
            </w:pPr>
            <w:r w:rsidRPr="00090976">
              <w:rPr>
                <w:bCs/>
                <w:noProof/>
                <w:position w:val="-4"/>
                <w:sz w:val="20"/>
                <w:szCs w:val="20"/>
                <w:lang w:eastAsia="nl-NL"/>
              </w:rPr>
              <w:drawing>
                <wp:inline distT="0" distB="0" distL="0" distR="0" wp14:anchorId="58ED402E" wp14:editId="45BF84CE">
                  <wp:extent cx="152400" cy="152400"/>
                  <wp:effectExtent l="0" t="0" r="0" b="0"/>
                  <wp:docPr id="1280927405" name="icoonverbeterp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onverbeterpunt"/>
                          <pic:cNvPicPr/>
                        </pic:nvPicPr>
                        <pic:blipFill rotWithShape="1">
                          <a:blip r:embed="rId19"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5528" w:type="dxa"/>
          </w:tcPr>
          <w:p w:rsidRPr="00E67ABE" w:rsidR="00316244" w:rsidP="00E67ABE" w:rsidRDefault="00316244" w14:paraId="2A328A57" w14:textId="77777777">
            <w:pPr>
              <w:numPr>
                <w:ilvl w:val="0"/>
                <w:numId w:val="6"/>
              </w:numPr>
              <w:spacing w:line="240" w:lineRule="auto"/>
              <w:rPr>
                <w:szCs w:val="16"/>
              </w:rPr>
            </w:pPr>
            <w:r w:rsidRPr="00E67ABE">
              <w:rPr>
                <w:szCs w:val="16"/>
              </w:rPr>
              <w:t>Er is een evaluatiebepaling opgenomen om te wet na 7 jaar te evalueren (artikel 12.1, tweede lid).</w:t>
            </w:r>
          </w:p>
          <w:p w:rsidRPr="00E67ABE" w:rsidR="00316244" w:rsidP="00E67ABE" w:rsidRDefault="00316244" w14:paraId="6FF1F45C" w14:textId="77777777">
            <w:pPr>
              <w:numPr>
                <w:ilvl w:val="0"/>
                <w:numId w:val="6"/>
              </w:numPr>
              <w:spacing w:line="240" w:lineRule="auto"/>
              <w:rPr>
                <w:szCs w:val="16"/>
              </w:rPr>
            </w:pPr>
            <w:r w:rsidRPr="00E67ABE">
              <w:rPr>
                <w:szCs w:val="16"/>
              </w:rPr>
              <w:t xml:space="preserve">Voor de vraag of er voldoende warmtebedrijven met publiek meerderheidsbelang zijn, is een specifieke evaluatiebepaling opgenomen in het eerste lid van artikel 12.1. De regering voorziet niet in een invoeringstoets (nota </w:t>
            </w:r>
            <w:proofErr w:type="spellStart"/>
            <w:r w:rsidRPr="00E67ABE">
              <w:rPr>
                <w:szCs w:val="16"/>
              </w:rPr>
              <w:t>nav</w:t>
            </w:r>
            <w:proofErr w:type="spellEnd"/>
            <w:r w:rsidRPr="00E67ABE">
              <w:rPr>
                <w:szCs w:val="16"/>
              </w:rPr>
              <w:t xml:space="preserve"> verslag). </w:t>
            </w:r>
          </w:p>
          <w:p w:rsidRPr="00E67ABE" w:rsidR="00316244" w:rsidP="00E67ABE" w:rsidRDefault="00316244" w14:paraId="788E7E6D" w14:textId="77777777">
            <w:pPr>
              <w:numPr>
                <w:ilvl w:val="0"/>
                <w:numId w:val="6"/>
              </w:numPr>
              <w:spacing w:line="240" w:lineRule="auto"/>
              <w:rPr>
                <w:szCs w:val="16"/>
              </w:rPr>
            </w:pPr>
            <w:r w:rsidRPr="00E67ABE">
              <w:rPr>
                <w:szCs w:val="16"/>
              </w:rPr>
              <w:t xml:space="preserve">De duurzaamheidsnormen zullen eens in de vijf jaren worden geëvalueerd op doeltreffendheid en effecten. Indien noodzakelijk zullen de normen dan kunnen worden aangepast (p 230 </w:t>
            </w:r>
            <w:proofErr w:type="spellStart"/>
            <w:r w:rsidRPr="00E67ABE">
              <w:rPr>
                <w:szCs w:val="16"/>
              </w:rPr>
              <w:t>MvT</w:t>
            </w:r>
            <w:proofErr w:type="spellEnd"/>
            <w:r w:rsidRPr="00E67ABE">
              <w:rPr>
                <w:szCs w:val="16"/>
              </w:rPr>
              <w:t>).</w:t>
            </w:r>
          </w:p>
          <w:p w:rsidRPr="00E67ABE" w:rsidR="00EC05D6" w:rsidP="00E67ABE" w:rsidRDefault="00316244" w14:paraId="69947FE7" w14:textId="3542A814">
            <w:pPr>
              <w:numPr>
                <w:ilvl w:val="0"/>
                <w:numId w:val="6"/>
              </w:numPr>
              <w:spacing w:line="240" w:lineRule="auto"/>
              <w:rPr>
                <w:szCs w:val="16"/>
              </w:rPr>
            </w:pPr>
            <w:r w:rsidRPr="00E67ABE">
              <w:rPr>
                <w:szCs w:val="16"/>
              </w:rPr>
              <w:t>In het algemeen geldt dat het kabinet elk jaar in de Klimaatnota en de Energienota verantwoording aflegt over het gevoerde klimaat- en energiebeleid. In de stukken wordt hier niet naar verwezen.</w:t>
            </w:r>
          </w:p>
        </w:tc>
        <w:tc>
          <w:tcPr>
            <w:tcW w:w="6520" w:type="dxa"/>
          </w:tcPr>
          <w:p w:rsidRPr="00E67ABE" w:rsidR="00DC2327" w:rsidP="00E67ABE" w:rsidRDefault="00DC2327" w14:paraId="0770DBDE" w14:textId="2AAA9472">
            <w:pPr>
              <w:spacing w:line="240" w:lineRule="auto"/>
              <w:rPr>
                <w:szCs w:val="16"/>
              </w:rPr>
            </w:pPr>
            <w:r w:rsidRPr="00E67ABE">
              <w:rPr>
                <w:szCs w:val="16"/>
              </w:rPr>
              <w:t>De monitoring en evaluatie zou op de volgende manieren kunnen worden ingevuld:</w:t>
            </w:r>
          </w:p>
          <w:p w:rsidRPr="00E67ABE" w:rsidR="00DC2327" w:rsidP="00E67ABE" w:rsidRDefault="00E75998" w14:paraId="6DBFA48B" w14:textId="6D0D94AE">
            <w:pPr>
              <w:pStyle w:val="Lijstalinea"/>
              <w:numPr>
                <w:ilvl w:val="0"/>
                <w:numId w:val="6"/>
              </w:numPr>
              <w:spacing w:line="240" w:lineRule="auto"/>
              <w:rPr>
                <w:szCs w:val="16"/>
              </w:rPr>
            </w:pPr>
            <w:r w:rsidRPr="00E67ABE">
              <w:rPr>
                <w:b/>
                <w:bCs/>
                <w:szCs w:val="16"/>
              </w:rPr>
              <w:t>Transparantie</w:t>
            </w:r>
            <w:r w:rsidRPr="00E67ABE" w:rsidR="00E1277F">
              <w:rPr>
                <w:b/>
                <w:bCs/>
                <w:szCs w:val="16"/>
              </w:rPr>
              <w:t>.</w:t>
            </w:r>
            <w:r w:rsidRPr="00E67ABE">
              <w:rPr>
                <w:b/>
                <w:bCs/>
                <w:szCs w:val="16"/>
              </w:rPr>
              <w:t xml:space="preserve"> </w:t>
            </w:r>
            <w:r w:rsidRPr="00E67ABE">
              <w:rPr>
                <w:szCs w:val="16"/>
              </w:rPr>
              <w:t xml:space="preserve">Voor ieder warmtebedrijf kunnen </w:t>
            </w:r>
            <w:r w:rsidRPr="00E67ABE" w:rsidR="00DC2327">
              <w:rPr>
                <w:szCs w:val="16"/>
              </w:rPr>
              <w:t xml:space="preserve">jaarlijks </w:t>
            </w:r>
            <w:r w:rsidRPr="00E67ABE">
              <w:rPr>
                <w:szCs w:val="16"/>
              </w:rPr>
              <w:t>de kosten en de duurzaamheid door de keten heen (bij de opwek, transport, bij de woning) op een gestandaardiseerde manier worden uitgevraagd. Voor elk ketenelement kunnen de investeringen, operationele kosten, afschrijvingen en rendementen worden bijgehouden. Boekhoudregels moeten voorschrijven wat precies bedoeld wordt met elk van deze kostencomponenten.</w:t>
            </w:r>
          </w:p>
          <w:p w:rsidRPr="00E67ABE" w:rsidR="00565FA6" w:rsidP="00E67ABE" w:rsidRDefault="00E75998" w14:paraId="500CE23B" w14:textId="39A74482">
            <w:pPr>
              <w:pStyle w:val="Lijstalinea"/>
              <w:numPr>
                <w:ilvl w:val="0"/>
                <w:numId w:val="6"/>
              </w:numPr>
              <w:spacing w:line="240" w:lineRule="auto"/>
              <w:rPr>
                <w:szCs w:val="16"/>
              </w:rPr>
            </w:pPr>
            <w:r w:rsidRPr="00E67ABE">
              <w:rPr>
                <w:b/>
                <w:bCs/>
                <w:szCs w:val="16"/>
              </w:rPr>
              <w:t>Tarieven</w:t>
            </w:r>
            <w:r w:rsidRPr="00E67ABE" w:rsidR="00E1277F">
              <w:rPr>
                <w:szCs w:val="16"/>
              </w:rPr>
              <w:t xml:space="preserve">. </w:t>
            </w:r>
            <w:r w:rsidRPr="00E67ABE" w:rsidR="00316244">
              <w:rPr>
                <w:szCs w:val="16"/>
              </w:rPr>
              <w:t>Omdat betaalbaarheid voor de burger een belangrijk vertrekpunt van de wet is, is het goed om de tarieven bij te houden en de wet aan te passen als de verwachte convergentie naar internationale tarieven niet wordt gerealiseerd.</w:t>
            </w:r>
          </w:p>
          <w:p w:rsidRPr="00E67ABE" w:rsidR="00E1277F" w:rsidP="00E67ABE" w:rsidRDefault="008C7F1B" w14:paraId="0ED9FBE1" w14:textId="507ACEE3">
            <w:pPr>
              <w:pStyle w:val="Lijstalinea"/>
              <w:numPr>
                <w:ilvl w:val="0"/>
                <w:numId w:val="6"/>
              </w:numPr>
              <w:spacing w:line="240" w:lineRule="auto"/>
              <w:rPr>
                <w:szCs w:val="16"/>
              </w:rPr>
            </w:pPr>
            <w:r w:rsidRPr="00E67ABE">
              <w:rPr>
                <w:b/>
                <w:bCs/>
                <w:szCs w:val="16"/>
              </w:rPr>
              <w:t>Afstemming beleidsontwikkeling</w:t>
            </w:r>
            <w:r w:rsidRPr="00E67ABE" w:rsidR="00E1277F">
              <w:rPr>
                <w:b/>
                <w:bCs/>
                <w:szCs w:val="16"/>
              </w:rPr>
              <w:t>.</w:t>
            </w:r>
            <w:r w:rsidRPr="00E67ABE">
              <w:rPr>
                <w:szCs w:val="16"/>
              </w:rPr>
              <w:t xml:space="preserve"> </w:t>
            </w:r>
            <w:r w:rsidRPr="00E67ABE" w:rsidR="00316244">
              <w:rPr>
                <w:szCs w:val="16"/>
              </w:rPr>
              <w:t xml:space="preserve">Ook zou moeten worden </w:t>
            </w:r>
            <w:r w:rsidRPr="00E67ABE" w:rsidR="00565FA6">
              <w:rPr>
                <w:szCs w:val="16"/>
              </w:rPr>
              <w:t>mee</w:t>
            </w:r>
            <w:r w:rsidRPr="00E67ABE" w:rsidR="00316244">
              <w:rPr>
                <w:szCs w:val="16"/>
              </w:rPr>
              <w:t>genomen hoe de instrumenten</w:t>
            </w:r>
            <w:r w:rsidRPr="00E67ABE" w:rsidR="00565FA6">
              <w:rPr>
                <w:szCs w:val="16"/>
              </w:rPr>
              <w:t xml:space="preserve"> worden</w:t>
            </w:r>
            <w:r w:rsidRPr="00E67ABE" w:rsidR="00316244">
              <w:rPr>
                <w:szCs w:val="16"/>
              </w:rPr>
              <w:t xml:space="preserve"> afgestemd op andere wetgeving en subsidiewetgeving, zoals onder meer de WIS</w:t>
            </w:r>
            <w:r w:rsidRPr="00E67ABE" w:rsidR="00E1277F">
              <w:rPr>
                <w:szCs w:val="16"/>
              </w:rPr>
              <w:t xml:space="preserve"> en Europees beleid ten aanzien van collectieve warmte</w:t>
            </w:r>
            <w:r w:rsidRPr="00E67ABE" w:rsidR="00316244">
              <w:rPr>
                <w:szCs w:val="16"/>
              </w:rPr>
              <w:t>.</w:t>
            </w:r>
            <w:r w:rsidRPr="00E67ABE" w:rsidR="00414FED">
              <w:rPr>
                <w:szCs w:val="16"/>
              </w:rPr>
              <w:t xml:space="preserve"> </w:t>
            </w:r>
            <w:r w:rsidRPr="00E67ABE" w:rsidR="00E1277F">
              <w:rPr>
                <w:szCs w:val="16"/>
              </w:rPr>
              <w:t xml:space="preserve">In het bijzonder is afstemming nodig op beleid dat relevant is voor </w:t>
            </w:r>
            <w:r w:rsidRPr="00E67ABE" w:rsidR="00A41179">
              <w:rPr>
                <w:szCs w:val="16"/>
              </w:rPr>
              <w:t xml:space="preserve">slimme </w:t>
            </w:r>
            <w:r w:rsidRPr="00E67ABE" w:rsidR="00910B10">
              <w:rPr>
                <w:szCs w:val="16"/>
              </w:rPr>
              <w:t>geïntegreerde</w:t>
            </w:r>
            <w:r w:rsidRPr="00E67ABE" w:rsidR="00E1277F">
              <w:rPr>
                <w:szCs w:val="16"/>
              </w:rPr>
              <w:t xml:space="preserve"> systemen met elektric</w:t>
            </w:r>
            <w:r w:rsidRPr="00E67ABE" w:rsidR="00E67ABE">
              <w:rPr>
                <w:szCs w:val="16"/>
              </w:rPr>
              <w:t>i</w:t>
            </w:r>
            <w:r w:rsidRPr="00E67ABE" w:rsidR="00E1277F">
              <w:rPr>
                <w:szCs w:val="16"/>
              </w:rPr>
              <w:t>teit en koeling.</w:t>
            </w:r>
          </w:p>
          <w:p w:rsidRPr="00E67ABE" w:rsidR="003B320F" w:rsidP="00E67ABE" w:rsidRDefault="00E1277F" w14:paraId="031CBAE7" w14:textId="3D0DCB0D">
            <w:pPr>
              <w:pStyle w:val="Lijstalinea"/>
              <w:numPr>
                <w:ilvl w:val="0"/>
                <w:numId w:val="6"/>
              </w:numPr>
              <w:spacing w:line="240" w:lineRule="auto"/>
              <w:rPr>
                <w:szCs w:val="16"/>
              </w:rPr>
            </w:pPr>
            <w:r w:rsidRPr="00E67ABE">
              <w:rPr>
                <w:b/>
                <w:bCs/>
                <w:szCs w:val="16"/>
              </w:rPr>
              <w:t>Ontwikkeling flankerend beleid</w:t>
            </w:r>
            <w:r w:rsidRPr="00E67ABE">
              <w:rPr>
                <w:szCs w:val="16"/>
              </w:rPr>
              <w:t xml:space="preserve">. </w:t>
            </w:r>
            <w:r w:rsidRPr="00E67ABE" w:rsidR="00C9266D">
              <w:rPr>
                <w:szCs w:val="16"/>
              </w:rPr>
              <w:t xml:space="preserve">In aansluiting op (ii), hou bij of het </w:t>
            </w:r>
            <w:r w:rsidRPr="00E67ABE" w:rsidR="00C353C5">
              <w:rPr>
                <w:szCs w:val="16"/>
              </w:rPr>
              <w:t xml:space="preserve">flankerend beleid </w:t>
            </w:r>
            <w:r w:rsidRPr="00E67ABE" w:rsidR="00C9266D">
              <w:rPr>
                <w:szCs w:val="16"/>
              </w:rPr>
              <w:t xml:space="preserve">dat </w:t>
            </w:r>
            <w:r w:rsidRPr="00E67ABE" w:rsidR="00C353C5">
              <w:rPr>
                <w:szCs w:val="16"/>
              </w:rPr>
              <w:t xml:space="preserve">ontwikkeld </w:t>
            </w:r>
            <w:r w:rsidRPr="00E67ABE" w:rsidR="00C9266D">
              <w:rPr>
                <w:szCs w:val="16"/>
              </w:rPr>
              <w:t xml:space="preserve">moet worden volgens planning verloopt en voldoende is voor gemeentes om </w:t>
            </w:r>
            <w:r w:rsidRPr="00E67ABE" w:rsidR="00AE6970">
              <w:rPr>
                <w:szCs w:val="16"/>
              </w:rPr>
              <w:t xml:space="preserve">hun taken uit </w:t>
            </w:r>
            <w:r w:rsidRPr="00E67ABE" w:rsidR="00C9266D">
              <w:rPr>
                <w:szCs w:val="16"/>
              </w:rPr>
              <w:t>te kunnen</w:t>
            </w:r>
            <w:r w:rsidRPr="00E67ABE" w:rsidR="00AE6970">
              <w:rPr>
                <w:szCs w:val="16"/>
              </w:rPr>
              <w:t xml:space="preserve"> voeren.</w:t>
            </w:r>
            <w:r w:rsidRPr="00E67ABE" w:rsidR="00A41179">
              <w:rPr>
                <w:szCs w:val="16"/>
              </w:rPr>
              <w:t xml:space="preserve"> </w:t>
            </w:r>
            <w:r w:rsidRPr="00E67ABE" w:rsidR="00AE6970">
              <w:rPr>
                <w:szCs w:val="16"/>
              </w:rPr>
              <w:t xml:space="preserve">Sta daarbij expliciet stil of het voldoende gemeentes </w:t>
            </w:r>
            <w:r w:rsidRPr="00E67ABE" w:rsidR="00AE6970">
              <w:rPr>
                <w:szCs w:val="16"/>
              </w:rPr>
              <w:lastRenderedPageBreak/>
              <w:t>ondersteun</w:t>
            </w:r>
            <w:r w:rsidRPr="00E67ABE" w:rsidR="00E67ABE">
              <w:rPr>
                <w:szCs w:val="16"/>
              </w:rPr>
              <w:t>t</w:t>
            </w:r>
            <w:r w:rsidRPr="00E67ABE" w:rsidR="00AE6970">
              <w:rPr>
                <w:szCs w:val="16"/>
              </w:rPr>
              <w:t xml:space="preserve"> in een </w:t>
            </w:r>
            <w:proofErr w:type="spellStart"/>
            <w:r w:rsidRPr="00E67ABE" w:rsidR="00AE6970">
              <w:rPr>
                <w:szCs w:val="16"/>
              </w:rPr>
              <w:t>toezichtsfunctie</w:t>
            </w:r>
            <w:proofErr w:type="spellEnd"/>
            <w:r w:rsidRPr="00E67ABE" w:rsidR="00AE6970">
              <w:rPr>
                <w:szCs w:val="16"/>
              </w:rPr>
              <w:t xml:space="preserve"> aan de voorkant en daarmee de resterende toezichtstaken achteraf door de ACM voldoende verlicht</w:t>
            </w:r>
            <w:r w:rsidRPr="00E67ABE" w:rsidR="00C9266D">
              <w:rPr>
                <w:szCs w:val="16"/>
              </w:rPr>
              <w:t>.</w:t>
            </w:r>
          </w:p>
        </w:tc>
      </w:tr>
      <w:bookmarkEnd w:id="6"/>
    </w:tbl>
    <w:p w:rsidR="00120CA1" w:rsidRDefault="00120CA1" w14:paraId="6F5EE805" w14:textId="77777777"/>
    <w:p w:rsidRPr="000B780C" w:rsidR="00F044E2" w:rsidP="00F044E2" w:rsidRDefault="00F044E2" w14:paraId="3C97C707" w14:textId="4FD826DC">
      <w:pPr>
        <w:rPr>
          <w:u w:val="single"/>
        </w:rPr>
      </w:pPr>
      <w:r w:rsidRPr="000B780C">
        <w:rPr>
          <w:b/>
          <w:bCs/>
          <w:u w:val="single"/>
        </w:rPr>
        <w:t>Bijlage</w:t>
      </w:r>
      <w:r w:rsidRPr="000B780C" w:rsidR="000B780C">
        <w:rPr>
          <w:b/>
          <w:bCs/>
          <w:u w:val="single"/>
        </w:rPr>
        <w:t xml:space="preserve"> 1:</w:t>
      </w:r>
      <w:r w:rsidRPr="000B780C">
        <w:rPr>
          <w:b/>
          <w:bCs/>
          <w:u w:val="single"/>
        </w:rPr>
        <w:t xml:space="preserve"> </w:t>
      </w:r>
      <w:r w:rsidRPr="000B780C" w:rsidR="000B780C">
        <w:rPr>
          <w:i/>
          <w:iCs/>
          <w:u w:val="single"/>
        </w:rPr>
        <w:t>In</w:t>
      </w:r>
      <w:r w:rsidRPr="000B780C">
        <w:rPr>
          <w:i/>
          <w:iCs/>
          <w:u w:val="single"/>
        </w:rPr>
        <w:t>novatie</w:t>
      </w:r>
    </w:p>
    <w:p w:rsidR="00F044E2" w:rsidP="00F044E2" w:rsidRDefault="00F044E2" w14:paraId="25BB3701" w14:textId="77777777">
      <w:pPr>
        <w:spacing w:line="240" w:lineRule="auto"/>
      </w:pPr>
      <w:r>
        <w:t xml:space="preserve">Op dit moment gaan de innovaties voor energiesystemen in de gebouwde omgeving snel. </w:t>
      </w:r>
    </w:p>
    <w:p w:rsidR="00F044E2" w:rsidP="00F044E2" w:rsidRDefault="00F044E2" w14:paraId="1A39E494" w14:textId="77777777">
      <w:pPr>
        <w:spacing w:line="240" w:lineRule="auto"/>
      </w:pPr>
    </w:p>
    <w:p w:rsidR="00F044E2" w:rsidP="00F044E2" w:rsidRDefault="00F044E2" w14:paraId="3A02B29F" w14:textId="0E28BE39">
      <w:pPr>
        <w:spacing w:line="240" w:lineRule="auto"/>
      </w:pPr>
      <w:r w:rsidRPr="00A72354">
        <w:rPr>
          <w:b/>
          <w:bCs/>
        </w:rPr>
        <w:t>Integratie.</w:t>
      </w:r>
      <w:r>
        <w:t xml:space="preserve"> Internationaal zien we een trend naar systemen die zowel warmte als koeling leveren, en waarin warmte, elektriciteit en opslag geïntegreerd worden.</w:t>
      </w:r>
      <w:r w:rsidRPr="00A72354">
        <w:rPr>
          <w:vertAlign w:val="superscript"/>
        </w:rPr>
        <w:t xml:space="preserve"> </w:t>
      </w:r>
      <w:r w:rsidR="0089228C">
        <w:rPr>
          <w:rStyle w:val="Voetnootmarkering"/>
        </w:rPr>
        <w:footnoteReference w:id="10"/>
      </w:r>
      <w:r>
        <w:t xml:space="preserve"> Deze systemen opereren op lagere temperaturen ((Z)LT) voor warmte en maken gebruik van diverse lokale bronnen, zoals zonne-energie van daken, warmte uit de bodem en restwarmte van lokale bronnen. Daardoor kunnen ze robuuster worden, en toekomstbestendiger. Het lokaal afstemmen van vraag en aanbod van energie voorkomt ook belasting van het elektriciteitsnet. Omdat de meeste energie van dichtbij komt, zijn de wijken nog slechts losjes verbonden met het centrale elektriciteitsnet.</w:t>
      </w:r>
      <w:r w:rsidRPr="00A72354">
        <w:rPr>
          <w:rStyle w:val="Eindnootmarkering"/>
        </w:rPr>
        <w:t xml:space="preserve"> </w:t>
      </w:r>
      <w:r>
        <w:t xml:space="preserve">Zie bijvoorbeeld ook het Europese programma voor Energy </w:t>
      </w:r>
      <w:proofErr w:type="spellStart"/>
      <w:r>
        <w:t>Positive</w:t>
      </w:r>
      <w:proofErr w:type="spellEnd"/>
      <w:r>
        <w:t xml:space="preserve"> </w:t>
      </w:r>
      <w:proofErr w:type="spellStart"/>
      <w:r>
        <w:t>Districts</w:t>
      </w:r>
      <w:proofErr w:type="spellEnd"/>
      <w:r>
        <w:t xml:space="preserve"> (</w:t>
      </w:r>
      <w:proofErr w:type="spellStart"/>
      <w:r>
        <w:t>PEDs</w:t>
      </w:r>
      <w:proofErr w:type="spellEnd"/>
      <w:r>
        <w:t>), waarbij in wijken meer energie wordt geproduceerd dan gebruikt.</w:t>
      </w:r>
      <w:r w:rsidR="0089228C">
        <w:rPr>
          <w:rStyle w:val="Voetnootmarkering"/>
        </w:rPr>
        <w:footnoteReference w:id="11"/>
      </w:r>
      <w:r>
        <w:t xml:space="preserve"> </w:t>
      </w:r>
      <w:r w:rsidRPr="003B215F">
        <w:t>De wetenschappelijke literatuur ziet de nieuwere (Z)LT</w:t>
      </w:r>
      <w:r>
        <w:t>-</w:t>
      </w:r>
      <w:r w:rsidRPr="003B215F">
        <w:t>netten</w:t>
      </w:r>
      <w:r w:rsidR="0022079C">
        <w:rPr>
          <w:rStyle w:val="Voetnootmarkering"/>
        </w:rPr>
        <w:footnoteReference w:id="12"/>
      </w:r>
      <w:r w:rsidRPr="003B215F">
        <w:t xml:space="preserve"> als de voor de burger voordeligste optie</w:t>
      </w:r>
      <w:r>
        <w:t>.</w:t>
      </w:r>
      <w:r w:rsidR="0022079C">
        <w:rPr>
          <w:rStyle w:val="Voetnootmarkering"/>
        </w:rPr>
        <w:footnoteReference w:id="13"/>
      </w:r>
      <w:r w:rsidR="0089228C">
        <w:rPr>
          <w:rStyle w:val="Voetnootmarkering"/>
        </w:rPr>
        <w:footnoteReference w:id="14"/>
      </w:r>
      <w:r w:rsidR="0089228C">
        <w:rPr>
          <w:rStyle w:val="Voetnootmarkering"/>
        </w:rPr>
        <w:footnoteReference w:id="15"/>
      </w:r>
      <w:r w:rsidRPr="00316244">
        <w:rPr>
          <w:vertAlign w:val="superscript"/>
          <w:lang w:val="en-US"/>
        </w:rPr>
        <w:footnoteReference w:id="16"/>
      </w:r>
      <w:r w:rsidRPr="003B215F">
        <w:t xml:space="preserve"> Zij zijn daarnaast robuuster bij calamiteiten of aanvallen op de infrastructuur dan</w:t>
      </w:r>
      <w:r>
        <w:t xml:space="preserve"> </w:t>
      </w:r>
      <w:r w:rsidRPr="003B215F">
        <w:t>gecentraliseerde systemen</w:t>
      </w:r>
      <w:r>
        <w:t>.</w:t>
      </w:r>
    </w:p>
    <w:p w:rsidR="000711D2" w:rsidP="00F044E2" w:rsidRDefault="000711D2" w14:paraId="5B99CAD3" w14:textId="77777777">
      <w:pPr>
        <w:spacing w:line="240" w:lineRule="auto"/>
      </w:pPr>
    </w:p>
    <w:p w:rsidR="000711D2" w:rsidP="000711D2" w:rsidRDefault="000711D2" w14:paraId="7941228F" w14:textId="4CF6460E">
      <w:pPr>
        <w:spacing w:line="240" w:lineRule="auto"/>
      </w:pPr>
      <w:r>
        <w:t>D</w:t>
      </w:r>
      <w:r w:rsidRPr="00C952BD">
        <w:t>oordat het wetsvoorstel warmte als een aparte, opzichzelfstaande silo beschouwt, is het lastiger om voordelen</w:t>
      </w:r>
      <w:r>
        <w:t xml:space="preserve"> van systeemintegratie</w:t>
      </w:r>
      <w:r w:rsidRPr="00C952BD">
        <w:t xml:space="preserve"> te realiseren. </w:t>
      </w:r>
      <w:r>
        <w:t>Er worden alleen oplossingen gezocht voor de behoefte aan warmte. Oplossingen voor overschotten aan zonne-energie in de wijken of voor de grote toekomstige vraag naar koeling worden vooruitgeschoven.</w:t>
      </w:r>
      <w:r w:rsidR="0089228C">
        <w:rPr>
          <w:rStyle w:val="Voetnootmarkering"/>
        </w:rPr>
        <w:footnoteReference w:id="17"/>
      </w:r>
      <w:r>
        <w:rPr>
          <w:rStyle w:val="Eindnootmarkering"/>
        </w:rPr>
        <w:endnoteReference w:id="2"/>
      </w:r>
      <w:r w:rsidR="00EC6F22">
        <w:t xml:space="preserve"> </w:t>
      </w:r>
      <w:r>
        <w:t xml:space="preserve">Airconditioners, die burgers aanschaffen, kunnen ook verwarmen en vormen zo voor bepaalde groepen burgers een alternatief voor het warmtenet, terwijl geïntegreerde collectieve systemen ook kunnen helpen congestie te verlichten. Dergelijke uitdagingen worden vooruitgeschoven en kunnen in een later stadium extra kosten veroorzaken. </w:t>
      </w:r>
    </w:p>
    <w:p w:rsidR="00EC151E" w:rsidP="000711D2" w:rsidRDefault="00EC151E" w14:paraId="10DAB3F4" w14:textId="77777777">
      <w:pPr>
        <w:spacing w:line="240" w:lineRule="auto"/>
      </w:pPr>
    </w:p>
    <w:p w:rsidRPr="00EC38E2" w:rsidR="00E62AEF" w:rsidP="00E62AEF" w:rsidRDefault="000711D2" w14:paraId="37859068" w14:textId="76449431">
      <w:pPr>
        <w:spacing w:line="240" w:lineRule="auto"/>
        <w:rPr>
          <w:b/>
          <w:bCs/>
        </w:rPr>
      </w:pPr>
      <w:r w:rsidRPr="00C952BD">
        <w:t xml:space="preserve">Als het salderen wordt afgeschaft krijgen </w:t>
      </w:r>
      <w:r>
        <w:t>veel</w:t>
      </w:r>
      <w:r w:rsidRPr="00C952BD">
        <w:t xml:space="preserve"> gebruikers met zonnepanelen (een op de drie) een fiks hogere rekening, </w:t>
      </w:r>
      <w:r>
        <w:t>tenzij ze</w:t>
      </w:r>
      <w:r w:rsidRPr="00C952BD">
        <w:t xml:space="preserve"> maatregelen nemen om zelf of samen de eigen energie te gebruiken. Integratie van elektriciteit, koeling en warmte brengt hun kosten omlaag.</w:t>
      </w:r>
      <w:r w:rsidR="00931303">
        <w:t xml:space="preserve"> Dit kan </w:t>
      </w:r>
      <w:r w:rsidR="009C0576">
        <w:t xml:space="preserve">ook </w:t>
      </w:r>
      <w:r w:rsidR="00931303">
        <w:t xml:space="preserve">een grote </w:t>
      </w:r>
      <w:r w:rsidR="009C0576">
        <w:t>barrière</w:t>
      </w:r>
      <w:r w:rsidR="00DD593D">
        <w:t xml:space="preserve"> zijn voor traditionele netten </w:t>
      </w:r>
      <w:r w:rsidR="009C0576">
        <w:t>zonder integratie.</w:t>
      </w:r>
    </w:p>
    <w:p w:rsidR="00E62AEF" w:rsidP="00F044E2" w:rsidRDefault="00E62AEF" w14:paraId="070DA792" w14:textId="77777777">
      <w:pPr>
        <w:spacing w:line="240" w:lineRule="auto"/>
      </w:pPr>
    </w:p>
    <w:p w:rsidR="00F044E2" w:rsidP="00F044E2" w:rsidRDefault="00F044E2" w14:paraId="3D652661" w14:textId="21950A43">
      <w:pPr>
        <w:spacing w:line="240" w:lineRule="auto"/>
      </w:pPr>
      <w:r>
        <w:rPr>
          <w:b/>
          <w:bCs/>
        </w:rPr>
        <w:t>Van schaalvergroting naar r</w:t>
      </w:r>
      <w:r w:rsidRPr="00A72354">
        <w:rPr>
          <w:b/>
          <w:bCs/>
        </w:rPr>
        <w:t xml:space="preserve">epliceerbaarheid. </w:t>
      </w:r>
      <w:r>
        <w:t xml:space="preserve">Bij deze systemen worden veel kleinschalige technieken toegepast, zoals lokale opslag van elektriciteit en warmte, warmtepompen, zonnepanelen en technieken om vraag en aanbod op elkaar aan te passen. </w:t>
      </w:r>
      <w:r w:rsidRPr="003B215F">
        <w:t>In het algemeen worden juist deze kleine modulaire technologieën gekenmerkt door snelle kostenreductie</w:t>
      </w:r>
      <w:r w:rsidRPr="00316244">
        <w:rPr>
          <w:vertAlign w:val="superscript"/>
          <w:lang w:val="en-US"/>
        </w:rPr>
        <w:footnoteReference w:id="18"/>
      </w:r>
      <w:r w:rsidRPr="003B215F">
        <w:t>.</w:t>
      </w:r>
      <w:r>
        <w:t xml:space="preserve"> Over vijf jaar ziet een (Z)LT-net er anders uit dan nu, vanwege de technologische vooruitgang, bijvoorbeeld doordat zonnepanelen en opslag van warmte goedkoper zijn geworden en het beter mogelijk is vraag en aanbod op elkaar aan te passen. Ook bestaande (Z)LT netten kunnen voor een deel van de kostenverlaging profiteren. </w:t>
      </w:r>
      <w:r w:rsidRPr="003B215F">
        <w:t>Bij transities</w:t>
      </w:r>
      <w:r>
        <w:t xml:space="preserve"> als deze</w:t>
      </w:r>
      <w:r w:rsidRPr="003B215F">
        <w:t xml:space="preserve"> is experimenteren en innoveren in veelbelovende niches, </w:t>
      </w:r>
      <w:proofErr w:type="spellStart"/>
      <w:r w:rsidRPr="00C53DF4">
        <w:rPr>
          <w:i/>
          <w:iCs/>
        </w:rPr>
        <w:t>cherry</w:t>
      </w:r>
      <w:proofErr w:type="spellEnd"/>
      <w:r w:rsidRPr="00C53DF4">
        <w:rPr>
          <w:i/>
          <w:iCs/>
        </w:rPr>
        <w:t xml:space="preserve"> </w:t>
      </w:r>
      <w:proofErr w:type="spellStart"/>
      <w:r w:rsidRPr="00C53DF4">
        <w:rPr>
          <w:i/>
          <w:iCs/>
        </w:rPr>
        <w:t>picking</w:t>
      </w:r>
      <w:proofErr w:type="spellEnd"/>
      <w:r w:rsidRPr="00C53DF4">
        <w:rPr>
          <w:i/>
          <w:iCs/>
        </w:rPr>
        <w:t xml:space="preserve">, </w:t>
      </w:r>
      <w:r w:rsidRPr="003B215F">
        <w:t>een belangrijke eerste fase. De nieuwe technieken worden eerst uitgetest waar het gemakkelijk kan. Door eerste leerervaringen in niches wordt de technologie beter en goedkope</w:t>
      </w:r>
      <w:r>
        <w:t>r</w:t>
      </w:r>
      <w:r w:rsidRPr="003B215F">
        <w:t xml:space="preserve"> en kan</w:t>
      </w:r>
      <w:r>
        <w:t xml:space="preserve"> vervolgens</w:t>
      </w:r>
      <w:r w:rsidRPr="003B215F">
        <w:t xml:space="preserve"> ook elders worden toegepast (replicatie).</w:t>
      </w:r>
      <w:r w:rsidR="00EC6F22">
        <w:t xml:space="preserve"> </w:t>
      </w:r>
      <w:r>
        <w:t xml:space="preserve">Een additioneel voordeel van deze systemen is dat ze modulair opgezet kunnen worden: eerst is er een begin, en als dat goed werkt wordt het systeem in stappen verder uitgebreid. Omdat de infrastructuur goedkoper is, kunnen consumenten worden aangesloten op het moment dat zij wensen. Dit alles vermindert de risico’s en daarmee ook de kosten. </w:t>
      </w:r>
      <w:r w:rsidRPr="006B4E75">
        <w:t>Om te zorgen dat deze innovaties ook hun weg naar de markt vinden en burgers en bedrijven kunnen profiteren is een bloeiende, concurrerende warmtesector nodig</w:t>
      </w:r>
      <w:r w:rsidRPr="00316244">
        <w:rPr>
          <w:vertAlign w:val="superscript"/>
          <w:lang w:val="en-US"/>
        </w:rPr>
        <w:footnoteReference w:id="19"/>
      </w:r>
      <w:r w:rsidRPr="006B4E75">
        <w:rPr>
          <w:vertAlign w:val="superscript"/>
        </w:rPr>
        <w:t>,</w:t>
      </w:r>
      <w:r w:rsidRPr="00316244">
        <w:rPr>
          <w:vertAlign w:val="superscript"/>
          <w:lang w:val="en-US"/>
        </w:rPr>
        <w:footnoteReference w:id="20"/>
      </w:r>
      <w:r w:rsidRPr="006B4E75">
        <w:t>.</w:t>
      </w:r>
    </w:p>
    <w:p w:rsidR="00F044E2" w:rsidP="00F044E2" w:rsidRDefault="00F044E2" w14:paraId="6C7E3EB6" w14:textId="77777777">
      <w:pPr>
        <w:spacing w:line="240" w:lineRule="auto"/>
      </w:pPr>
    </w:p>
    <w:p w:rsidR="00F044E2" w:rsidP="00F044E2" w:rsidRDefault="00F044E2" w14:paraId="172021AE" w14:textId="10FB1510">
      <w:pPr>
        <w:spacing w:line="240" w:lineRule="auto"/>
      </w:pPr>
      <w:r w:rsidRPr="00851917">
        <w:rPr>
          <w:b/>
          <w:bCs/>
        </w:rPr>
        <w:t>Lokaal.</w:t>
      </w:r>
      <w:r w:rsidR="00FB043C">
        <w:rPr>
          <w:b/>
          <w:bCs/>
        </w:rPr>
        <w:t xml:space="preserve"> </w:t>
      </w:r>
      <w:r w:rsidRPr="00B678D3">
        <w:t xml:space="preserve">De doelen van het wetsvoorstel en de ingezette instrumenten dienen ook beoordeeld </w:t>
      </w:r>
      <w:r>
        <w:t xml:space="preserve">te worden </w:t>
      </w:r>
      <w:r w:rsidRPr="00B678D3">
        <w:t>tegen de achtergrond van de</w:t>
      </w:r>
      <w:r>
        <w:t>ze</w:t>
      </w:r>
      <w:r w:rsidRPr="00B678D3">
        <w:t xml:space="preserve"> ontwikkelingen</w:t>
      </w:r>
      <w:r>
        <w:t>. Het wetvoorstel dient techniekneutraal te zijn en moderne systemen dienen in ieder geval dezelfde kansen te krijgen als de systemen die wij kennen.</w:t>
      </w:r>
      <w:r w:rsidRPr="003B215F">
        <w:t xml:space="preserve"> </w:t>
      </w:r>
    </w:p>
    <w:p w:rsidR="00F044E2" w:rsidP="00F044E2" w:rsidRDefault="00F044E2" w14:paraId="46B8D5E5" w14:textId="77777777">
      <w:pPr>
        <w:spacing w:line="240" w:lineRule="auto"/>
      </w:pPr>
    </w:p>
    <w:p w:rsidR="00F044E2" w:rsidP="00F044E2" w:rsidRDefault="00F044E2" w14:paraId="3BF2892F" w14:textId="44B7AB1A">
      <w:pPr>
        <w:spacing w:line="240" w:lineRule="auto"/>
        <w:rPr>
          <w:rStyle w:val="Verwijzingopmerking"/>
          <w:sz w:val="18"/>
          <w:szCs w:val="18"/>
        </w:rPr>
      </w:pPr>
      <w:r>
        <w:t xml:space="preserve">Warmtesystemen zullen naar verwachting steeds sterker variëren per regio, afgestemd op lokale omstandigheden. Deze systemen worden vaak opgezet in lokale samenwerkingsverbanden. Als er grote gebruikers van energie in de wijk zijn en grote producenten, dan worden ze bij elkaar gebracht om een passend energiesysteem te ontwerpen. Ook als het om (louter) woonwijken gaat, is een zekere inbreng van bewoners nodig. Iedereen kan </w:t>
      </w:r>
      <w:proofErr w:type="spellStart"/>
      <w:r w:rsidRPr="003B215F">
        <w:t>prosument</w:t>
      </w:r>
      <w:proofErr w:type="spellEnd"/>
      <w:r w:rsidR="0089228C">
        <w:rPr>
          <w:rStyle w:val="Voetnootmarkering"/>
        </w:rPr>
        <w:footnoteReference w:id="21"/>
      </w:r>
      <w:r>
        <w:rPr>
          <w:rStyle w:val="Eindnootmarkering"/>
        </w:rPr>
        <w:endnoteReference w:id="3"/>
      </w:r>
      <w:r w:rsidRPr="003B215F">
        <w:t xml:space="preserve"> </w:t>
      </w:r>
      <w:r>
        <w:t>worden, energie uitwisselen met anderen of samen energie opslaan.</w:t>
      </w:r>
      <w:r w:rsidR="00EC6F22">
        <w:t xml:space="preserve"> </w:t>
      </w:r>
      <w:r>
        <w:t xml:space="preserve">Coöperaties zijn een goede organisatievorm. Maar de systemen komen ook vaak tot stand in een samenwerking tussen de gemeente, de bewoners in de wijk en een energiebedrijf. Het is voorstelbaar dat er op den duur standaarden komen voor de ontwikkeling van deze </w:t>
      </w:r>
      <w:r>
        <w:lastRenderedPageBreak/>
        <w:t>systemen voor verschillende soorten wijken. Maar in dit stadium gaat het vooral om innoveren, uitproberen, leren, toepassen van steeds nieuwe technieken</w:t>
      </w:r>
      <w:r w:rsidR="00EC6F22">
        <w:t xml:space="preserve"> </w:t>
      </w:r>
      <w:r>
        <w:t>en verder ontwikkelen.</w:t>
      </w:r>
      <w:r w:rsidRPr="00851917">
        <w:rPr>
          <w:rStyle w:val="Verwijzingopmerking"/>
          <w:sz w:val="18"/>
          <w:szCs w:val="18"/>
        </w:rPr>
        <w:t xml:space="preserve"> Daarvoor is een vrije toegang tot de markt nodig en een variëteit van aanbieders van energie.</w:t>
      </w:r>
      <w:r w:rsidR="00EC6F22">
        <w:rPr>
          <w:rStyle w:val="Verwijzingopmerking"/>
          <w:sz w:val="18"/>
          <w:szCs w:val="18"/>
        </w:rPr>
        <w:t xml:space="preserve"> </w:t>
      </w:r>
      <w:r w:rsidRPr="00851917">
        <w:rPr>
          <w:rStyle w:val="Verwijzingopmerking"/>
          <w:sz w:val="18"/>
          <w:szCs w:val="18"/>
        </w:rPr>
        <w:t xml:space="preserve">Bij een </w:t>
      </w:r>
      <w:proofErr w:type="spellStart"/>
      <w:r w:rsidRPr="00851917">
        <w:rPr>
          <w:rStyle w:val="Verwijzingopmerking"/>
          <w:sz w:val="18"/>
          <w:szCs w:val="18"/>
        </w:rPr>
        <w:t>techniekneutrale</w:t>
      </w:r>
      <w:proofErr w:type="spellEnd"/>
      <w:r w:rsidRPr="00851917">
        <w:rPr>
          <w:rStyle w:val="Verwijzingopmerking"/>
          <w:sz w:val="18"/>
          <w:szCs w:val="18"/>
        </w:rPr>
        <w:t xml:space="preserve"> wet krijgen moderne, lokale systemen dezelfde kansen als centrale systemen. </w:t>
      </w:r>
    </w:p>
    <w:p w:rsidR="00FB5D97" w:rsidP="00F044E2" w:rsidRDefault="00FB5D97" w14:paraId="3BFAF9EB" w14:textId="77777777">
      <w:pPr>
        <w:spacing w:line="240" w:lineRule="auto"/>
        <w:rPr>
          <w:rStyle w:val="Verwijzingopmerking"/>
          <w:sz w:val="18"/>
          <w:szCs w:val="18"/>
        </w:rPr>
      </w:pPr>
    </w:p>
    <w:p w:rsidRPr="007D5B01" w:rsidR="00FB5D97" w:rsidP="00FB5D97" w:rsidRDefault="00FB5D97" w14:paraId="05262EF4" w14:textId="1F19AE32">
      <w:pPr>
        <w:spacing w:line="240" w:lineRule="auto"/>
        <w:rPr>
          <w:b/>
          <w:bCs/>
        </w:rPr>
      </w:pPr>
      <w:r w:rsidRPr="007D5B01">
        <w:rPr>
          <w:b/>
          <w:bCs/>
        </w:rPr>
        <w:t>Conclusies</w:t>
      </w:r>
      <w:r w:rsidRPr="00197E03">
        <w:rPr>
          <w:b/>
          <w:bCs/>
        </w:rPr>
        <w:t xml:space="preserve"> over </w:t>
      </w:r>
      <w:r>
        <w:rPr>
          <w:b/>
          <w:bCs/>
        </w:rPr>
        <w:t>innovatie</w:t>
      </w:r>
      <w:r w:rsidRPr="00197E03">
        <w:rPr>
          <w:b/>
          <w:bCs/>
        </w:rPr>
        <w:t>:</w:t>
      </w:r>
    </w:p>
    <w:p w:rsidRPr="00380985" w:rsidR="00FB5D97" w:rsidP="00380985" w:rsidRDefault="00FB5D97" w14:paraId="5E0E6847" w14:textId="278F0EFF">
      <w:pPr>
        <w:pStyle w:val="Titel"/>
        <w:numPr>
          <w:ilvl w:val="0"/>
          <w:numId w:val="52"/>
        </w:numPr>
        <w:spacing w:before="0" w:line="240" w:lineRule="auto"/>
        <w:rPr>
          <w:b w:val="0"/>
          <w:sz w:val="18"/>
          <w:szCs w:val="18"/>
          <w:lang w:val="nl-NL"/>
        </w:rPr>
      </w:pPr>
      <w:r w:rsidRPr="00380985">
        <w:rPr>
          <w:rFonts w:asciiTheme="minorHAnsi" w:hAnsiTheme="minorHAnsi"/>
          <w:b w:val="0"/>
          <w:color w:val="auto"/>
          <w:sz w:val="18"/>
          <w:szCs w:val="18"/>
          <w:lang w:val="nl-NL"/>
        </w:rPr>
        <w:t>Systeemintegratie is essentieel voor robuuste, toekomstbestendige energiesystemen</w:t>
      </w:r>
    </w:p>
    <w:p w:rsidRPr="00380985" w:rsidR="00FB5D97" w:rsidP="00380985" w:rsidRDefault="00FB5D97" w14:paraId="415C227B" w14:textId="77777777">
      <w:pPr>
        <w:pStyle w:val="Titel"/>
        <w:numPr>
          <w:ilvl w:val="0"/>
          <w:numId w:val="52"/>
        </w:numPr>
        <w:spacing w:before="0" w:line="240" w:lineRule="auto"/>
        <w:rPr>
          <w:b w:val="0"/>
          <w:sz w:val="18"/>
          <w:szCs w:val="18"/>
          <w:lang w:val="nl-NL"/>
        </w:rPr>
      </w:pPr>
      <w:r w:rsidRPr="00380985">
        <w:rPr>
          <w:rFonts w:asciiTheme="minorHAnsi" w:hAnsiTheme="minorHAnsi"/>
          <w:b w:val="0"/>
          <w:color w:val="auto"/>
          <w:sz w:val="18"/>
          <w:szCs w:val="18"/>
          <w:lang w:val="nl-NL"/>
        </w:rPr>
        <w:t>Het wetsvoorstel mist aansluiting bij deze ontwikkeling door warmte geïsoleerd te benaderen</w:t>
      </w:r>
    </w:p>
    <w:p w:rsidRPr="00380985" w:rsidR="00FB5D97" w:rsidP="00380985" w:rsidRDefault="00FB5D97" w14:paraId="6442BA83" w14:textId="0F154708">
      <w:pPr>
        <w:pStyle w:val="Titel"/>
        <w:numPr>
          <w:ilvl w:val="0"/>
          <w:numId w:val="52"/>
        </w:numPr>
        <w:spacing w:before="0" w:line="240" w:lineRule="auto"/>
        <w:rPr>
          <w:b w:val="0"/>
          <w:sz w:val="18"/>
          <w:szCs w:val="18"/>
          <w:lang w:val="nl-NL"/>
        </w:rPr>
      </w:pPr>
      <w:r w:rsidRPr="00380985">
        <w:rPr>
          <w:rFonts w:asciiTheme="minorHAnsi" w:hAnsiTheme="minorHAnsi"/>
          <w:b w:val="0"/>
          <w:color w:val="auto"/>
          <w:sz w:val="18"/>
          <w:szCs w:val="18"/>
          <w:lang w:val="nl-NL"/>
        </w:rPr>
        <w:t xml:space="preserve">Innovatie, </w:t>
      </w:r>
      <w:proofErr w:type="spellStart"/>
      <w:r w:rsidRPr="00380985">
        <w:rPr>
          <w:rFonts w:asciiTheme="minorHAnsi" w:hAnsiTheme="minorHAnsi"/>
          <w:b w:val="0"/>
          <w:color w:val="auto"/>
          <w:sz w:val="18"/>
          <w:szCs w:val="18"/>
          <w:lang w:val="nl-NL"/>
        </w:rPr>
        <w:t>modulariteit</w:t>
      </w:r>
      <w:proofErr w:type="spellEnd"/>
      <w:r w:rsidRPr="00380985">
        <w:rPr>
          <w:rFonts w:asciiTheme="minorHAnsi" w:hAnsiTheme="minorHAnsi"/>
          <w:b w:val="0"/>
          <w:color w:val="auto"/>
          <w:sz w:val="18"/>
          <w:szCs w:val="18"/>
          <w:lang w:val="nl-NL"/>
        </w:rPr>
        <w:t xml:space="preserve"> en repliceerbaarheid vragen om experimenteerruimte</w:t>
      </w:r>
      <w:r w:rsidRPr="00380985" w:rsidR="00C44D68">
        <w:rPr>
          <w:rFonts w:asciiTheme="minorHAnsi" w:hAnsiTheme="minorHAnsi"/>
          <w:b w:val="0"/>
          <w:color w:val="auto"/>
          <w:sz w:val="18"/>
          <w:szCs w:val="18"/>
          <w:lang w:val="nl-NL"/>
        </w:rPr>
        <w:t>,</w:t>
      </w:r>
      <w:r w:rsidR="00EC6F22">
        <w:rPr>
          <w:rFonts w:asciiTheme="minorHAnsi" w:hAnsiTheme="minorHAnsi"/>
          <w:b w:val="0"/>
          <w:color w:val="auto"/>
          <w:sz w:val="18"/>
          <w:szCs w:val="18"/>
          <w:lang w:val="nl-NL"/>
        </w:rPr>
        <w:t xml:space="preserve"> </w:t>
      </w:r>
      <w:r w:rsidRPr="00380985">
        <w:rPr>
          <w:rFonts w:asciiTheme="minorHAnsi" w:hAnsiTheme="minorHAnsi"/>
          <w:b w:val="0"/>
          <w:color w:val="auto"/>
          <w:sz w:val="18"/>
          <w:szCs w:val="18"/>
          <w:lang w:val="nl-NL"/>
        </w:rPr>
        <w:t>markttoegang</w:t>
      </w:r>
      <w:r w:rsidRPr="00380985" w:rsidR="00226179">
        <w:rPr>
          <w:rFonts w:asciiTheme="minorHAnsi" w:hAnsiTheme="minorHAnsi"/>
          <w:b w:val="0"/>
          <w:color w:val="auto"/>
          <w:sz w:val="18"/>
          <w:szCs w:val="18"/>
          <w:lang w:val="nl-NL"/>
        </w:rPr>
        <w:t xml:space="preserve"> en goede regels om projecten in ieder geval administratief vergelijkbaar te maken.</w:t>
      </w:r>
    </w:p>
    <w:p w:rsidRPr="00380985" w:rsidR="00FB5D97" w:rsidP="00380985" w:rsidRDefault="00FB5D97" w14:paraId="6B247EA2" w14:textId="77777777">
      <w:pPr>
        <w:pStyle w:val="Titel"/>
        <w:numPr>
          <w:ilvl w:val="0"/>
          <w:numId w:val="52"/>
        </w:numPr>
        <w:spacing w:before="0" w:line="240" w:lineRule="auto"/>
        <w:rPr>
          <w:b w:val="0"/>
          <w:sz w:val="18"/>
          <w:szCs w:val="18"/>
          <w:lang w:val="nl-NL"/>
        </w:rPr>
      </w:pPr>
      <w:r w:rsidRPr="00380985">
        <w:rPr>
          <w:rFonts w:asciiTheme="minorHAnsi" w:hAnsiTheme="minorHAnsi"/>
          <w:b w:val="0"/>
          <w:color w:val="auto"/>
          <w:sz w:val="18"/>
          <w:szCs w:val="18"/>
          <w:lang w:val="nl-NL"/>
        </w:rPr>
        <w:t>Wetgeving moet techniekneutraal zijn en moderne, lokale systemen een eerlijke kans geven</w:t>
      </w:r>
    </w:p>
    <w:p w:rsidRPr="00380985" w:rsidR="00FB5D97" w:rsidP="00380985" w:rsidRDefault="00FB5D97" w14:paraId="0AC3043E" w14:textId="2E5CBB1A">
      <w:pPr>
        <w:pStyle w:val="Titel"/>
        <w:numPr>
          <w:ilvl w:val="0"/>
          <w:numId w:val="52"/>
        </w:numPr>
        <w:spacing w:before="0" w:line="240" w:lineRule="auto"/>
        <w:rPr>
          <w:b w:val="0"/>
          <w:sz w:val="18"/>
          <w:szCs w:val="18"/>
          <w:lang w:val="nl-NL"/>
        </w:rPr>
      </w:pPr>
      <w:r w:rsidRPr="00380985">
        <w:rPr>
          <w:rFonts w:asciiTheme="minorHAnsi" w:hAnsiTheme="minorHAnsi"/>
          <w:b w:val="0"/>
          <w:color w:val="auto"/>
          <w:sz w:val="18"/>
          <w:szCs w:val="18"/>
          <w:lang w:val="nl-NL"/>
        </w:rPr>
        <w:t>Lokale context bepaalt het optimale systeem</w:t>
      </w:r>
    </w:p>
    <w:p w:rsidR="00297A6A" w:rsidRDefault="00297A6A" w14:paraId="02A5D030" w14:textId="77777777"/>
    <w:p w:rsidRPr="007D5B01" w:rsidR="000B780C" w:rsidP="000B780C" w:rsidRDefault="000B780C" w14:paraId="36E26A0A" w14:textId="5706D0C3">
      <w:pPr>
        <w:spacing w:line="240" w:lineRule="auto"/>
        <w:rPr>
          <w:i/>
          <w:iCs/>
          <w:u w:val="single"/>
        </w:rPr>
      </w:pPr>
      <w:r w:rsidRPr="007D5B01">
        <w:rPr>
          <w:b/>
          <w:bCs/>
          <w:u w:val="single"/>
        </w:rPr>
        <w:t xml:space="preserve">Bijlage 2: </w:t>
      </w:r>
      <w:proofErr w:type="spellStart"/>
      <w:r w:rsidR="00380985">
        <w:rPr>
          <w:i/>
          <w:iCs/>
          <w:u w:val="single"/>
        </w:rPr>
        <w:t>Kostengebaseerde</w:t>
      </w:r>
      <w:proofErr w:type="spellEnd"/>
      <w:r w:rsidR="00380985">
        <w:rPr>
          <w:i/>
          <w:iCs/>
          <w:u w:val="single"/>
        </w:rPr>
        <w:t xml:space="preserve"> tarieven</w:t>
      </w:r>
    </w:p>
    <w:p w:rsidRPr="007D5B01" w:rsidR="000B780C" w:rsidP="0033476E" w:rsidRDefault="000B780C" w14:paraId="270AD52E" w14:textId="3E52B235">
      <w:pPr>
        <w:pStyle w:val="Titel"/>
        <w:spacing w:line="240" w:lineRule="auto"/>
        <w:rPr>
          <w:rFonts w:asciiTheme="minorHAnsi" w:hAnsiTheme="minorHAnsi"/>
          <w:b w:val="0"/>
          <w:color w:val="auto"/>
          <w:sz w:val="18"/>
          <w:szCs w:val="18"/>
          <w:lang w:val="nl-NL"/>
        </w:rPr>
      </w:pPr>
      <w:r w:rsidRPr="007D5B01">
        <w:rPr>
          <w:rFonts w:asciiTheme="minorHAnsi" w:hAnsiTheme="minorHAnsi"/>
          <w:b w:val="0"/>
          <w:bCs/>
          <w:color w:val="auto"/>
          <w:sz w:val="18"/>
          <w:szCs w:val="18"/>
          <w:lang w:val="nl-NL"/>
        </w:rPr>
        <w:t xml:space="preserve">Om te komen tot </w:t>
      </w:r>
      <w:proofErr w:type="spellStart"/>
      <w:r w:rsidRPr="007D5B01">
        <w:rPr>
          <w:rFonts w:asciiTheme="minorHAnsi" w:hAnsiTheme="minorHAnsi"/>
          <w:b w:val="0"/>
          <w:bCs/>
          <w:color w:val="auto"/>
          <w:sz w:val="18"/>
          <w:szCs w:val="18"/>
          <w:lang w:val="nl-NL"/>
        </w:rPr>
        <w:t>kostengebaseerde</w:t>
      </w:r>
      <w:proofErr w:type="spellEnd"/>
      <w:r w:rsidRPr="007D5B01">
        <w:rPr>
          <w:rFonts w:asciiTheme="minorHAnsi" w:hAnsiTheme="minorHAnsi"/>
          <w:b w:val="0"/>
          <w:bCs/>
          <w:color w:val="auto"/>
          <w:sz w:val="18"/>
          <w:szCs w:val="18"/>
          <w:lang w:val="nl-NL"/>
        </w:rPr>
        <w:t xml:space="preserve"> tarieven gaat men in het wetsvoorstel uit van een overgangsperiode met tussenstappen, waarin met verschillende maximale tarieven voor verschillende soorten warmtebedrijven wordt gerekend. Deze tussenstappen maken het proces naar </w:t>
      </w:r>
      <w:proofErr w:type="spellStart"/>
      <w:r w:rsidRPr="007D5B01">
        <w:rPr>
          <w:rFonts w:asciiTheme="minorHAnsi" w:hAnsiTheme="minorHAnsi"/>
          <w:b w:val="0"/>
          <w:bCs/>
          <w:color w:val="auto"/>
          <w:sz w:val="18"/>
          <w:szCs w:val="18"/>
          <w:lang w:val="nl-NL"/>
        </w:rPr>
        <w:t>kostengebaseerde</w:t>
      </w:r>
      <w:proofErr w:type="spellEnd"/>
      <w:r w:rsidRPr="007D5B01">
        <w:rPr>
          <w:rFonts w:asciiTheme="minorHAnsi" w:hAnsiTheme="minorHAnsi"/>
          <w:b w:val="0"/>
          <w:bCs/>
          <w:color w:val="auto"/>
          <w:sz w:val="18"/>
          <w:szCs w:val="18"/>
          <w:lang w:val="nl-NL"/>
        </w:rPr>
        <w:t xml:space="preserve"> tarieven ingewikkeld. Ze</w:t>
      </w:r>
      <w:r w:rsidR="00EC6F22">
        <w:rPr>
          <w:rFonts w:asciiTheme="minorHAnsi" w:hAnsiTheme="minorHAnsi"/>
          <w:b w:val="0"/>
          <w:bCs/>
          <w:color w:val="auto"/>
          <w:sz w:val="18"/>
          <w:szCs w:val="18"/>
          <w:lang w:val="nl-NL"/>
        </w:rPr>
        <w:t xml:space="preserve"> </w:t>
      </w:r>
      <w:r w:rsidRPr="007D5B01">
        <w:rPr>
          <w:rFonts w:asciiTheme="minorHAnsi" w:hAnsiTheme="minorHAnsi"/>
          <w:b w:val="0"/>
          <w:bCs/>
          <w:color w:val="auto"/>
          <w:sz w:val="18"/>
          <w:szCs w:val="18"/>
          <w:lang w:val="nl-NL"/>
        </w:rPr>
        <w:t xml:space="preserve">vormen een extra belasting vormen voor de toezichthouder, de warmtebedrijven en de afnemers. Het kan bovendien aanleiding geven tot juridische verwikkelingen </w:t>
      </w:r>
      <w:r w:rsidRPr="007D5B01">
        <w:rPr>
          <w:rFonts w:asciiTheme="minorHAnsi" w:hAnsiTheme="minorHAnsi"/>
          <w:b w:val="0"/>
          <w:color w:val="auto"/>
          <w:sz w:val="18"/>
          <w:szCs w:val="18"/>
          <w:lang w:val="nl-NL"/>
        </w:rPr>
        <w:t xml:space="preserve">en procedures, terwijl de overgangsperiode maar korte tijd geldt. Daarom is het goed zo snel mogelijk zicht te krijgen op de manier waarop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tarieven in de toekomst vastgesteld worden. Dat is belangrijk bij de beoordeling van alle investeringsplannen in nieuwe warmtenetten. Voor bestaande netten kan eventueel een overgangsperiode worden ingesteld mits dat in het belang van consument en warmtebedrijf is.</w:t>
      </w:r>
      <w:bookmarkStart w:name="_Toc144302740" w:id="7"/>
    </w:p>
    <w:p w:rsidRPr="007D5B01" w:rsidR="000B780C" w:rsidP="000B780C" w:rsidRDefault="000B780C" w14:paraId="65A10D7E" w14:textId="058B6CDB">
      <w:pPr>
        <w:pStyle w:val="Titel"/>
        <w:numPr>
          <w:ilvl w:val="0"/>
          <w:numId w:val="6"/>
        </w:numPr>
        <w:spacing w:line="240" w:lineRule="auto"/>
        <w:rPr>
          <w:rFonts w:asciiTheme="minorHAnsi" w:hAnsiTheme="minorHAnsi"/>
          <w:b w:val="0"/>
          <w:color w:val="auto"/>
          <w:sz w:val="18"/>
          <w:szCs w:val="18"/>
          <w:lang w:val="nl-NL"/>
        </w:rPr>
      </w:pPr>
      <w:r w:rsidRPr="007D5B01">
        <w:rPr>
          <w:rFonts w:asciiTheme="minorHAnsi" w:hAnsiTheme="minorHAnsi"/>
          <w:bCs/>
          <w:color w:val="auto"/>
          <w:sz w:val="18"/>
          <w:szCs w:val="18"/>
          <w:lang w:val="nl-NL"/>
        </w:rPr>
        <w:t>Hoe zou het kunnen werken?</w:t>
      </w:r>
      <w:bookmarkEnd w:id="7"/>
      <w:r w:rsidRPr="007D5B01">
        <w:rPr>
          <w:rFonts w:asciiTheme="minorHAnsi" w:hAnsiTheme="minorHAnsi"/>
          <w:b w:val="0"/>
          <w:color w:val="auto"/>
          <w:sz w:val="18"/>
          <w:szCs w:val="18"/>
          <w:lang w:val="nl-NL"/>
        </w:rPr>
        <w:t xml:space="preserve"> Bij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warmtetarieven reflecteren de tarieven de kosten van de warmtevoorziening, aangevuld met een redelijk rendement voor het warmtebedrijf. Aan de methodologie voor deze vorm van tariefstelling ligt een belangenafweging ten grondslag tussen de gebruikers van de warmte en de onderneming die de warmte verschaft. Consumenten zouden niet méér moeten betalen dan noodzakelijk, terwijl de ondernemer een voldoende rendement ontvangt</w:t>
      </w:r>
      <w:r w:rsidR="00EC6F22">
        <w:rPr>
          <w:rFonts w:asciiTheme="minorHAnsi" w:hAnsiTheme="minorHAnsi"/>
          <w:b w:val="0"/>
          <w:color w:val="auto"/>
          <w:sz w:val="18"/>
          <w:szCs w:val="18"/>
          <w:lang w:val="nl-NL"/>
        </w:rPr>
        <w:t xml:space="preserve"> </w:t>
      </w:r>
      <w:r w:rsidRPr="007D5B01">
        <w:rPr>
          <w:rFonts w:asciiTheme="minorHAnsi" w:hAnsiTheme="minorHAnsi"/>
          <w:b w:val="0"/>
          <w:color w:val="auto"/>
          <w:sz w:val="18"/>
          <w:szCs w:val="18"/>
          <w:lang w:val="nl-NL"/>
        </w:rPr>
        <w:t xml:space="preserve">op zijn investeringen. Investeren blijft daarmee aantrekkelijk, terwijl consumenten beschermd worden tegen te hoge prijzen. Consumentenbescherming is noodzakelijk omdat een warmtebedrijf een </w:t>
      </w:r>
      <w:proofErr w:type="spellStart"/>
      <w:r w:rsidRPr="007D5B01">
        <w:rPr>
          <w:rFonts w:asciiTheme="minorHAnsi" w:hAnsiTheme="minorHAnsi"/>
          <w:b w:val="0"/>
          <w:color w:val="auto"/>
          <w:sz w:val="18"/>
          <w:szCs w:val="18"/>
          <w:lang w:val="nl-NL"/>
        </w:rPr>
        <w:t>monopoliepositie</w:t>
      </w:r>
      <w:proofErr w:type="spellEnd"/>
      <w:r w:rsidRPr="007D5B01">
        <w:rPr>
          <w:rFonts w:asciiTheme="minorHAnsi" w:hAnsiTheme="minorHAnsi"/>
          <w:b w:val="0"/>
          <w:color w:val="auto"/>
          <w:sz w:val="18"/>
          <w:szCs w:val="18"/>
          <w:lang w:val="nl-NL"/>
        </w:rPr>
        <w:t xml:space="preserve"> heeft en afnemers geen alternatief hebben (zeker in het geval van huurders), of alleen tegen hoge kosten een andere warmtevoorziening kunnen kiezen.</w:t>
      </w:r>
    </w:p>
    <w:p w:rsidRPr="007D5B01" w:rsidR="000B780C" w:rsidP="000B780C" w:rsidRDefault="000B780C" w14:paraId="6E8F750F" w14:textId="6DDE9DBF">
      <w:pPr>
        <w:pStyle w:val="Titel"/>
        <w:spacing w:line="240" w:lineRule="auto"/>
        <w:ind w:left="360"/>
        <w:rPr>
          <w:rFonts w:asciiTheme="minorHAnsi" w:hAnsiTheme="minorHAnsi"/>
          <w:b w:val="0"/>
          <w:color w:val="auto"/>
          <w:sz w:val="18"/>
          <w:szCs w:val="18"/>
          <w:lang w:val="nl-NL"/>
        </w:rPr>
      </w:pPr>
      <w:r w:rsidRPr="007D5B01">
        <w:rPr>
          <w:rFonts w:asciiTheme="minorHAnsi" w:hAnsiTheme="minorHAnsi"/>
          <w:b w:val="0"/>
          <w:color w:val="auto"/>
          <w:sz w:val="18"/>
          <w:szCs w:val="18"/>
          <w:lang w:val="nl-NL"/>
        </w:rPr>
        <w:t xml:space="preserve">Er is al veel ervaring met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tarieven voor nutsvoorzieningen in andere landen (Verenigde Staten, Duitsland, Scandinavië) en andere nutssectoren (bijvoorbeeld drinkwater). Het bepalen van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tarieven gebeurt in het algemeen in twee stappen: eerst worden de totale kosten van de voorziening bepaald, vanaf de productie tot en met de levering. Daarbij gaat het om de operationele kosten en de</w:t>
      </w:r>
      <w:r w:rsidR="000C7248">
        <w:rPr>
          <w:rFonts w:asciiTheme="minorHAnsi" w:hAnsiTheme="minorHAnsi"/>
          <w:b w:val="0"/>
          <w:color w:val="auto"/>
          <w:sz w:val="18"/>
          <w:szCs w:val="18"/>
          <w:lang w:val="nl-NL"/>
        </w:rPr>
        <w:t xml:space="preserve"> k</w:t>
      </w:r>
      <w:r w:rsidR="00B17579">
        <w:rPr>
          <w:rFonts w:asciiTheme="minorHAnsi" w:hAnsiTheme="minorHAnsi"/>
          <w:b w:val="0"/>
          <w:color w:val="auto"/>
          <w:sz w:val="18"/>
          <w:szCs w:val="18"/>
          <w:lang w:val="nl-NL"/>
        </w:rPr>
        <w:t>osten van het kapitaal (afschrijvinge</w:t>
      </w:r>
      <w:r w:rsidR="003532A4">
        <w:rPr>
          <w:rFonts w:asciiTheme="minorHAnsi" w:hAnsiTheme="minorHAnsi"/>
          <w:b w:val="0"/>
          <w:color w:val="auto"/>
          <w:sz w:val="18"/>
          <w:szCs w:val="18"/>
          <w:lang w:val="nl-NL"/>
        </w:rPr>
        <w:t>n en redelijk rendement).</w:t>
      </w:r>
      <w:r w:rsidRPr="007D5B01">
        <w:rPr>
          <w:rFonts w:asciiTheme="minorHAnsi" w:hAnsiTheme="minorHAnsi"/>
          <w:b w:val="0"/>
          <w:color w:val="auto"/>
          <w:sz w:val="18"/>
          <w:szCs w:val="18"/>
          <w:lang w:val="nl-NL"/>
        </w:rPr>
        <w:t>. Daarnaast wordt een redelijk rendement bepaald voor het nuttig geïnvesteerd vermogen. De som van al deze posten wordt vertaald naar tarieven. De verdeelsleutels die hierbij gebruikt worden, worden tariefstructuren genoemd.</w:t>
      </w:r>
      <w:r w:rsidRPr="007D5B01">
        <w:rPr>
          <w:rFonts w:asciiTheme="minorHAnsi" w:hAnsiTheme="minorHAnsi"/>
          <w:b w:val="0"/>
          <w:color w:val="auto"/>
          <w:sz w:val="12"/>
          <w:szCs w:val="12"/>
          <w:vertAlign w:val="superscript"/>
          <w:lang w:val="nl-NL"/>
        </w:rPr>
        <w:footnoteReference w:id="22"/>
      </w:r>
    </w:p>
    <w:p w:rsidRPr="007D5B01" w:rsidR="000B780C" w:rsidP="000B780C" w:rsidRDefault="000B780C" w14:paraId="108ABBEF" w14:textId="6D93BDA5">
      <w:pPr>
        <w:pStyle w:val="Titel"/>
        <w:numPr>
          <w:ilvl w:val="0"/>
          <w:numId w:val="6"/>
        </w:numPr>
        <w:spacing w:line="240" w:lineRule="auto"/>
        <w:rPr>
          <w:rFonts w:asciiTheme="minorHAnsi" w:hAnsiTheme="minorHAnsi"/>
          <w:b w:val="0"/>
          <w:color w:val="auto"/>
          <w:sz w:val="18"/>
          <w:szCs w:val="18"/>
          <w:lang w:val="nl-NL"/>
        </w:rPr>
      </w:pPr>
      <w:r w:rsidRPr="007D5B01">
        <w:rPr>
          <w:rFonts w:asciiTheme="minorHAnsi" w:hAnsiTheme="minorHAnsi"/>
          <w:bCs/>
          <w:color w:val="auto"/>
          <w:sz w:val="18"/>
          <w:szCs w:val="18"/>
          <w:lang w:val="nl-NL"/>
        </w:rPr>
        <w:t>Regels voor de boekhouding</w:t>
      </w:r>
      <w:r w:rsidRPr="007D5B01">
        <w:rPr>
          <w:rFonts w:asciiTheme="minorHAnsi" w:hAnsiTheme="minorHAnsi"/>
          <w:b w:val="0"/>
          <w:color w:val="auto"/>
          <w:sz w:val="18"/>
          <w:szCs w:val="18"/>
          <w:lang w:val="nl-NL"/>
        </w:rPr>
        <w:t xml:space="preserve"> zijn essentieel bij een systeem van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tarieven. Boekhoudregels schrijven voor op welke manier bedrijven hun kosten noteren. Bijvoorbeeld de wijze waarop de operationele kosten en uitsplitsingen in kaart worden gebracht, voorschriften over afschrijvingstermijnen, het noteren van subsidies, alsmede voorschriften over de berekening van het nuttig geïnvesteerde vermogen. </w:t>
      </w:r>
      <w:r w:rsidR="004A2BC6">
        <w:rPr>
          <w:rFonts w:asciiTheme="minorHAnsi" w:hAnsiTheme="minorHAnsi"/>
          <w:b w:val="0"/>
          <w:color w:val="auto"/>
          <w:sz w:val="18"/>
          <w:szCs w:val="18"/>
          <w:lang w:val="nl-NL"/>
        </w:rPr>
        <w:t xml:space="preserve">Ervaring leert dat dit niet ingewikkeld hoeft te zijn. Goede </w:t>
      </w:r>
      <w:r w:rsidRPr="007D5B01">
        <w:rPr>
          <w:rFonts w:asciiTheme="minorHAnsi" w:hAnsiTheme="minorHAnsi"/>
          <w:b w:val="0"/>
          <w:color w:val="auto"/>
          <w:sz w:val="18"/>
          <w:szCs w:val="18"/>
          <w:lang w:val="nl-NL"/>
        </w:rPr>
        <w:t>boekhoudregels zorgen er ook voor dat de kosten van de hele keten zichtbaar worden en dat er geen winsten verplaatst kunnen worden naar andere bedrijfsonderdelen. Bovendien maken zij de jaarrekeningen van de verschillende warmtebedrijven onderling vergelijkbaar. Van deze vergelijking kunnen prikkels tot efficiëntie uitgaan: uit de vergelijkingen wordt duidelijk wanneer kosten (onnodig) hoog zijn. In de ontwerp-WCW heeft de ACM de bevoegdheid om boekhoudregels voor te schrijven en een redelijk rendement te berekenen.</w:t>
      </w:r>
    </w:p>
    <w:p w:rsidR="000B780C" w:rsidP="000B780C" w:rsidRDefault="000B780C" w14:paraId="3558807D" w14:textId="77777777">
      <w:pPr>
        <w:pStyle w:val="Titel"/>
        <w:spacing w:line="240" w:lineRule="auto"/>
        <w:ind w:left="360"/>
        <w:rPr>
          <w:rFonts w:asciiTheme="minorHAnsi" w:hAnsiTheme="minorHAnsi"/>
          <w:b w:val="0"/>
          <w:color w:val="auto"/>
          <w:sz w:val="18"/>
          <w:szCs w:val="18"/>
          <w:lang w:val="nl-NL"/>
        </w:rPr>
      </w:pPr>
      <w:r w:rsidRPr="007D5B01">
        <w:rPr>
          <w:rFonts w:asciiTheme="minorHAnsi" w:hAnsiTheme="minorHAnsi"/>
          <w:b w:val="0"/>
          <w:color w:val="auto"/>
          <w:sz w:val="18"/>
          <w:szCs w:val="18"/>
          <w:lang w:val="nl-NL"/>
        </w:rPr>
        <w:t xml:space="preserve">De ACM houdt toezicht op de warmtetarieven. Bij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tarieven kan het toezicht relatief eenvoudig zijn, vooral als er goede boekhoudkundige beginselen aan ten grondslag liggen. Voorbeelden hiervan zijn te zien in landen om ons heen, die al werken met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tarieven. In deze landen ligt de eerste controle meestal bij de gemeente: deze geeft pas toestemming voor de aanleg van een warmtenet als de (indicatieve) tarieven voor warmte bekend zijn. De tarieven vormen daarmee een onderdeel van de concessieverlening. Ook de aandeelhouders van de warmtebedrijven en de consumenten kijken mee. De toezichthouder kan gevraagd of ongevraagd onderzoek instellen. Zo werkt dat bijvoorbeeld in Denemarken en Duitsland. De toezichthouder kan steekproeven uitvoeren om te controleren of de tarieven goed zijn vastgesteld, bijvoorbeeld bij bedrijven die relatief hoge tarieven hebben, of na klachten van consumenten.</w:t>
      </w:r>
    </w:p>
    <w:p w:rsidRPr="0033476E" w:rsidR="0033476E" w:rsidP="0033476E" w:rsidRDefault="0033476E" w14:paraId="7A13431B" w14:textId="77777777"/>
    <w:p w:rsidRPr="00380985" w:rsidR="004E11BE" w:rsidP="0033476E" w:rsidRDefault="00B0365D" w14:paraId="4D18AEC8" w14:textId="0FAF74D1">
      <w:pPr>
        <w:pStyle w:val="Lijstalinea"/>
        <w:numPr>
          <w:ilvl w:val="0"/>
          <w:numId w:val="6"/>
        </w:numPr>
        <w:spacing w:line="240" w:lineRule="auto"/>
        <w:ind w:left="357"/>
        <w:rPr>
          <w:b/>
          <w:bCs/>
        </w:rPr>
      </w:pPr>
      <w:r w:rsidRPr="00380985">
        <w:rPr>
          <w:b/>
          <w:bCs/>
        </w:rPr>
        <w:t>Efficiëntie</w:t>
      </w:r>
    </w:p>
    <w:p w:rsidR="00E62AEF" w:rsidP="0033476E" w:rsidRDefault="004B50E7" w14:paraId="363AC47E" w14:textId="7AC6E2E8">
      <w:pPr>
        <w:pStyle w:val="Titel"/>
        <w:spacing w:before="0" w:line="240" w:lineRule="auto"/>
        <w:ind w:left="357"/>
        <w:rPr>
          <w:rFonts w:asciiTheme="minorHAnsi" w:hAnsiTheme="minorHAnsi"/>
          <w:b w:val="0"/>
          <w:color w:val="auto"/>
          <w:sz w:val="18"/>
          <w:szCs w:val="18"/>
          <w:lang w:val="nl-NL"/>
        </w:rPr>
      </w:pPr>
      <w:r w:rsidRPr="00380985">
        <w:rPr>
          <w:rFonts w:asciiTheme="minorHAnsi" w:hAnsiTheme="minorHAnsi"/>
          <w:b w:val="0"/>
          <w:color w:val="auto"/>
          <w:sz w:val="18"/>
          <w:szCs w:val="18"/>
          <w:lang w:val="nl-NL"/>
        </w:rPr>
        <w:lastRenderedPageBreak/>
        <w:t xml:space="preserve">Bij </w:t>
      </w:r>
      <w:proofErr w:type="spellStart"/>
      <w:r w:rsidRPr="00380985">
        <w:rPr>
          <w:rFonts w:asciiTheme="minorHAnsi" w:hAnsiTheme="minorHAnsi"/>
          <w:b w:val="0"/>
          <w:color w:val="auto"/>
          <w:sz w:val="18"/>
          <w:szCs w:val="18"/>
          <w:lang w:val="nl-NL"/>
        </w:rPr>
        <w:t>kostengebaseerde</w:t>
      </w:r>
      <w:proofErr w:type="spellEnd"/>
      <w:r w:rsidRPr="00380985">
        <w:rPr>
          <w:rFonts w:asciiTheme="minorHAnsi" w:hAnsiTheme="minorHAnsi"/>
          <w:b w:val="0"/>
          <w:color w:val="auto"/>
          <w:sz w:val="18"/>
          <w:szCs w:val="18"/>
          <w:lang w:val="nl-NL"/>
        </w:rPr>
        <w:t xml:space="preserve"> tarieven kunnen bedrijven in beginsel alle kosten doorberekenen. Er zijn geen prikkels tot efficiëntie, hoge kosten kunnen ook worden doorberekend.</w:t>
      </w:r>
      <w:r w:rsidR="00EC6F22">
        <w:rPr>
          <w:rFonts w:asciiTheme="minorHAnsi" w:hAnsiTheme="minorHAnsi"/>
          <w:b w:val="0"/>
          <w:color w:val="auto"/>
          <w:sz w:val="18"/>
          <w:szCs w:val="18"/>
          <w:lang w:val="nl-NL"/>
        </w:rPr>
        <w:t xml:space="preserve"> </w:t>
      </w:r>
      <w:r w:rsidRPr="00380985" w:rsidR="00524F33">
        <w:rPr>
          <w:rFonts w:asciiTheme="minorHAnsi" w:hAnsiTheme="minorHAnsi"/>
          <w:b w:val="0"/>
          <w:color w:val="auto"/>
          <w:sz w:val="18"/>
          <w:szCs w:val="18"/>
          <w:lang w:val="nl-NL"/>
        </w:rPr>
        <w:t>Benchmarking kan echter prikkels geven tot efficiëntie.</w:t>
      </w:r>
      <w:r w:rsidR="00EC6F22">
        <w:rPr>
          <w:rFonts w:asciiTheme="minorHAnsi" w:hAnsiTheme="minorHAnsi"/>
          <w:b w:val="0"/>
          <w:color w:val="auto"/>
          <w:sz w:val="18"/>
          <w:szCs w:val="18"/>
          <w:lang w:val="nl-NL"/>
        </w:rPr>
        <w:t xml:space="preserve"> </w:t>
      </w:r>
      <w:r w:rsidRPr="00380985" w:rsidR="00524F33">
        <w:rPr>
          <w:rFonts w:asciiTheme="minorHAnsi" w:hAnsiTheme="minorHAnsi"/>
          <w:b w:val="0"/>
          <w:color w:val="auto"/>
          <w:sz w:val="18"/>
          <w:szCs w:val="18"/>
          <w:lang w:val="nl-NL"/>
        </w:rPr>
        <w:t xml:space="preserve">De toezichthouder of een andere instelling zet </w:t>
      </w:r>
      <w:r w:rsidRPr="00380985" w:rsidR="00A4692F">
        <w:rPr>
          <w:rFonts w:asciiTheme="minorHAnsi" w:hAnsiTheme="minorHAnsi"/>
          <w:b w:val="0"/>
          <w:color w:val="auto"/>
          <w:sz w:val="18"/>
          <w:szCs w:val="18"/>
          <w:lang w:val="nl-NL"/>
        </w:rPr>
        <w:t>periodiek</w:t>
      </w:r>
      <w:r w:rsidRPr="00380985" w:rsidR="00524F33">
        <w:rPr>
          <w:rFonts w:asciiTheme="minorHAnsi" w:hAnsiTheme="minorHAnsi"/>
          <w:b w:val="0"/>
          <w:color w:val="auto"/>
          <w:sz w:val="18"/>
          <w:szCs w:val="18"/>
          <w:lang w:val="nl-NL"/>
        </w:rPr>
        <w:t xml:space="preserve"> de tarieven van alle warmtebedrijven op een rij, zodat duidelijk zichtbaar wordt wie er goedkoop is en wie er duur is. </w:t>
      </w:r>
      <w:r w:rsidRPr="00380985" w:rsidR="00A4692F">
        <w:rPr>
          <w:rFonts w:asciiTheme="minorHAnsi" w:hAnsiTheme="minorHAnsi"/>
          <w:b w:val="0"/>
          <w:color w:val="auto"/>
          <w:sz w:val="18"/>
          <w:szCs w:val="18"/>
          <w:lang w:val="nl-NL"/>
        </w:rPr>
        <w:t>Vervolgens kan er nader onderzoek plaatsvinden bij de dure bedrijven</w:t>
      </w:r>
      <w:r w:rsidRPr="00380985" w:rsidR="009E6081">
        <w:rPr>
          <w:rFonts w:asciiTheme="minorHAnsi" w:hAnsiTheme="minorHAnsi"/>
          <w:b w:val="0"/>
          <w:color w:val="auto"/>
          <w:sz w:val="18"/>
          <w:szCs w:val="18"/>
          <w:lang w:val="nl-NL"/>
        </w:rPr>
        <w:t>, en eventueel kunnen er maatregelen worden genomen.</w:t>
      </w:r>
      <w:r w:rsidR="00EC6F22">
        <w:rPr>
          <w:rFonts w:asciiTheme="minorHAnsi" w:hAnsiTheme="minorHAnsi"/>
          <w:b w:val="0"/>
          <w:color w:val="auto"/>
          <w:sz w:val="18"/>
          <w:szCs w:val="18"/>
          <w:lang w:val="nl-NL"/>
        </w:rPr>
        <w:t xml:space="preserve"> </w:t>
      </w:r>
      <w:r w:rsidRPr="00380985" w:rsidR="009E6081">
        <w:rPr>
          <w:rFonts w:asciiTheme="minorHAnsi" w:hAnsiTheme="minorHAnsi"/>
          <w:b w:val="0"/>
          <w:color w:val="auto"/>
          <w:sz w:val="18"/>
          <w:szCs w:val="18"/>
          <w:lang w:val="nl-NL"/>
        </w:rPr>
        <w:t>De goedkope bedrijven fungeren zo als voorbeeld voor de hele sector.</w:t>
      </w:r>
      <w:r w:rsidR="00EC6F22">
        <w:rPr>
          <w:rFonts w:asciiTheme="minorHAnsi" w:hAnsiTheme="minorHAnsi"/>
          <w:b w:val="0"/>
          <w:color w:val="auto"/>
          <w:sz w:val="18"/>
          <w:szCs w:val="18"/>
          <w:lang w:val="nl-NL"/>
        </w:rPr>
        <w:t xml:space="preserve"> </w:t>
      </w:r>
      <w:r w:rsidRPr="00380985" w:rsidR="00146855">
        <w:rPr>
          <w:rFonts w:asciiTheme="minorHAnsi" w:hAnsiTheme="minorHAnsi"/>
          <w:b w:val="0"/>
          <w:color w:val="auto"/>
          <w:sz w:val="18"/>
          <w:szCs w:val="18"/>
          <w:lang w:val="nl-NL"/>
        </w:rPr>
        <w:t xml:space="preserve">Dit mechanisme kan niet werken als er wordt gesleuteld aan de tarieven, bijvoorbeeld door maximum tarieven te stellen, of door </w:t>
      </w:r>
      <w:r w:rsidRPr="00380985" w:rsidR="002C5FB1">
        <w:rPr>
          <w:rFonts w:asciiTheme="minorHAnsi" w:hAnsiTheme="minorHAnsi"/>
          <w:b w:val="0"/>
          <w:color w:val="auto"/>
          <w:sz w:val="18"/>
          <w:szCs w:val="18"/>
          <w:lang w:val="nl-NL"/>
        </w:rPr>
        <w:t>goedkope bedrijven extra heffingen te laten betalen om de tarieven van relatief dure bedrijven te verlagen.</w:t>
      </w:r>
      <w:r w:rsidR="00EC6F22">
        <w:rPr>
          <w:rFonts w:asciiTheme="minorHAnsi" w:hAnsiTheme="minorHAnsi"/>
          <w:b w:val="0"/>
          <w:color w:val="auto"/>
          <w:sz w:val="18"/>
          <w:szCs w:val="18"/>
          <w:lang w:val="nl-NL"/>
        </w:rPr>
        <w:t xml:space="preserve"> </w:t>
      </w:r>
      <w:r w:rsidRPr="00380985" w:rsidR="006B389E">
        <w:rPr>
          <w:rFonts w:asciiTheme="minorHAnsi" w:hAnsiTheme="minorHAnsi"/>
          <w:b w:val="0"/>
          <w:color w:val="auto"/>
          <w:sz w:val="18"/>
          <w:szCs w:val="18"/>
          <w:lang w:val="nl-NL"/>
        </w:rPr>
        <w:t>D</w:t>
      </w:r>
      <w:r w:rsidRPr="00380985" w:rsidR="00F20F9A">
        <w:rPr>
          <w:rFonts w:asciiTheme="minorHAnsi" w:hAnsiTheme="minorHAnsi"/>
          <w:b w:val="0"/>
          <w:color w:val="auto"/>
          <w:sz w:val="18"/>
          <w:szCs w:val="18"/>
          <w:lang w:val="nl-NL"/>
        </w:rPr>
        <w:t>ergelijke maatregelen nemen de prikkels tot efficiëntie weg.</w:t>
      </w:r>
    </w:p>
    <w:p w:rsidRPr="0033476E" w:rsidR="0033476E" w:rsidP="0033476E" w:rsidRDefault="0033476E" w14:paraId="31DD0E8A" w14:textId="77777777"/>
    <w:p w:rsidR="000B780C" w:rsidP="0033476E" w:rsidRDefault="000B780C" w14:paraId="5D42BA16" w14:textId="019FC218">
      <w:pPr>
        <w:pStyle w:val="Lijstalinea"/>
        <w:numPr>
          <w:ilvl w:val="0"/>
          <w:numId w:val="6"/>
        </w:numPr>
        <w:spacing w:line="240" w:lineRule="auto"/>
        <w:ind w:left="357"/>
        <w:rPr>
          <w:b/>
          <w:bCs/>
        </w:rPr>
      </w:pPr>
      <w:r w:rsidRPr="007D5B01">
        <w:rPr>
          <w:b/>
          <w:bCs/>
        </w:rPr>
        <w:t>Ondersteunende instrumenten zijn nodig:</w:t>
      </w:r>
    </w:p>
    <w:p w:rsidRPr="007D5B01" w:rsidR="000B780C" w:rsidP="0033476E" w:rsidRDefault="000B780C" w14:paraId="63E9C7CA" w14:textId="77777777">
      <w:pPr>
        <w:pStyle w:val="Lijstalinea"/>
        <w:numPr>
          <w:ilvl w:val="1"/>
          <w:numId w:val="6"/>
        </w:numPr>
        <w:spacing w:line="240" w:lineRule="auto"/>
        <w:ind w:left="737"/>
        <w:rPr>
          <w:b/>
          <w:bCs/>
        </w:rPr>
      </w:pPr>
      <w:r w:rsidRPr="007D5B01">
        <w:rPr>
          <w:b/>
          <w:bCs/>
        </w:rPr>
        <w:t>Standaard format voor het maken van plannen:</w:t>
      </w:r>
      <w:r w:rsidRPr="00197E03">
        <w:t xml:space="preserve"> Socio-economische analyse</w:t>
      </w:r>
      <w:r w:rsidRPr="007D5B01">
        <w:t>. In Denemarken kent men een “</w:t>
      </w:r>
      <w:proofErr w:type="spellStart"/>
      <w:r w:rsidRPr="007D5B01">
        <w:t>samfundsekonomiske</w:t>
      </w:r>
      <w:proofErr w:type="spellEnd"/>
      <w:r w:rsidRPr="007D5B01">
        <w:t>”. In het Nederlands te vertalen als socio-economische analyse of een maatschappelijke kosten-baten analyse. Centraal staat een eenduidige methodiek om het aanbod van een collectieve warmtevoorziening te vergelijken met concurrerende duurzame alternatieven. Een analyse vanuit het perspectief van de consument en vanuit het perspectief van de gehele samenleving. Ook maatschappelijke kosten en baten worden meegewogen.</w:t>
      </w:r>
    </w:p>
    <w:p w:rsidR="000B780C" w:rsidP="0033476E" w:rsidRDefault="000B780C" w14:paraId="1AA27C82" w14:textId="77777777">
      <w:pPr>
        <w:pStyle w:val="Lijstalinea"/>
        <w:spacing w:line="240" w:lineRule="auto"/>
        <w:ind w:left="737"/>
      </w:pPr>
    </w:p>
    <w:p w:rsidRPr="007D5B01" w:rsidR="000B780C" w:rsidP="0033476E" w:rsidRDefault="000B780C" w14:paraId="668F3ED2" w14:textId="77777777">
      <w:pPr>
        <w:pStyle w:val="Lijstalinea"/>
        <w:spacing w:line="240" w:lineRule="auto"/>
        <w:ind w:left="737"/>
        <w:rPr>
          <w:b/>
          <w:bCs/>
        </w:rPr>
      </w:pPr>
      <w:r w:rsidRPr="007D5B01">
        <w:t>Voor socio-economische analyses van projecten is een vaste berekeningsmethode essentieel. Bij het opstellen van projectvoorstellen voor warmteleveringsprojecten moet aan specifieke eisen worden voldaan. In de socio-economische analyse wordt een warmtenetwerk vergeleken met alle andere relevante alternatieve warmtevoorzieningen. Het project dat de meest gunstige socio-economische uitkomst heeft, wordt gekozen. Niet alleen de maatschappelijke kosten en baten worden berekend, maar ook de tarieven voor consumenten en de business case voor het warmtebedrijf. Dit is om het gemeentelijke bestuur te informeren over de financiële gevolgen van het projectvoorstel voor zowel het warmtebedrijf als de consumenten. Alleen als het warmtenet als de meest aantrekkelijke optie naar voren komt, kan een positief investeringsbesluit worden genomen.</w:t>
      </w:r>
    </w:p>
    <w:p w:rsidRPr="00197E03" w:rsidR="000B780C" w:rsidP="000B780C" w:rsidRDefault="000B780C" w14:paraId="2069F5F4" w14:textId="77777777">
      <w:pPr>
        <w:pStyle w:val="Lijstalinea"/>
        <w:spacing w:line="240" w:lineRule="auto"/>
        <w:ind w:left="360"/>
      </w:pPr>
    </w:p>
    <w:p w:rsidRPr="00197E03" w:rsidR="000B780C" w:rsidP="0033476E" w:rsidRDefault="000B780C" w14:paraId="1C0D4831" w14:textId="77777777">
      <w:pPr>
        <w:pStyle w:val="Lijstalinea"/>
        <w:numPr>
          <w:ilvl w:val="1"/>
          <w:numId w:val="6"/>
        </w:numPr>
        <w:spacing w:line="240" w:lineRule="auto"/>
        <w:ind w:left="737"/>
      </w:pPr>
      <w:r w:rsidRPr="007D5B01">
        <w:rPr>
          <w:b/>
          <w:bCs/>
        </w:rPr>
        <w:t xml:space="preserve">Techniekcatalogus. </w:t>
      </w:r>
      <w:r w:rsidRPr="007D5B01">
        <w:t xml:space="preserve">Een potentieel nadeel van </w:t>
      </w:r>
      <w:proofErr w:type="spellStart"/>
      <w:r w:rsidRPr="007D5B01">
        <w:t>kostengebaseerde</w:t>
      </w:r>
      <w:proofErr w:type="spellEnd"/>
      <w:r w:rsidRPr="007D5B01">
        <w:t xml:space="preserve"> tarieven is dat er weinig prikkels zijn om de kosten omlaag te krijgen. Hoge kosten kunnen immers ook worden doorberekend in de tarieven. Daarom zijn er begeleidende mechanismen nodig om te beoordelen of de kosten redelijk zijn. Dat kan bijvoorbeeld door (internationale) vergelijkingen van kosten. Hiervoor zijn boekhoudregels nodig die transparantie en kennis dusdanig verspreiden dat gemeenten, toezichthouders, bewoners en anderen effectief toe kunnen zien op de tarieven. Wat hierbij ook kan helpen is een zogenaamde “techniekcatalogus”.</w:t>
      </w:r>
    </w:p>
    <w:p w:rsidR="000B780C" w:rsidP="0033476E" w:rsidRDefault="000B780C" w14:paraId="44973C45" w14:textId="3AFBCAA1">
      <w:pPr>
        <w:pStyle w:val="Titel"/>
        <w:spacing w:line="240" w:lineRule="auto"/>
        <w:ind w:left="737"/>
        <w:rPr>
          <w:rFonts w:asciiTheme="minorHAnsi" w:hAnsiTheme="minorHAnsi"/>
          <w:b w:val="0"/>
          <w:color w:val="auto"/>
          <w:sz w:val="18"/>
          <w:szCs w:val="18"/>
          <w:lang w:val="nl-NL"/>
        </w:rPr>
      </w:pPr>
      <w:r w:rsidRPr="007D5B01">
        <w:rPr>
          <w:rFonts w:asciiTheme="minorHAnsi" w:hAnsiTheme="minorHAnsi"/>
          <w:b w:val="0"/>
          <w:color w:val="auto"/>
          <w:sz w:val="18"/>
          <w:szCs w:val="18"/>
          <w:lang w:val="nl-NL"/>
        </w:rPr>
        <w:t>In Nederland bestaat een dergelijke techniekcatalogus nog niet, maar in andere landen is er al ruime ervaring met dit instrument. De gegevens in de catalogus vertegenwoordigen representatieve technisch-economische waarden voor technologieën. De kosten- en technologiegegevens van technologieën die relevant zijn voor collectieve warmteplanning worden</w:t>
      </w:r>
      <w:r w:rsidR="00EC6F22">
        <w:rPr>
          <w:rFonts w:asciiTheme="minorHAnsi" w:hAnsiTheme="minorHAnsi"/>
          <w:b w:val="0"/>
          <w:color w:val="auto"/>
          <w:sz w:val="18"/>
          <w:szCs w:val="18"/>
          <w:lang w:val="nl-NL"/>
        </w:rPr>
        <w:t xml:space="preserve"> </w:t>
      </w:r>
      <w:r w:rsidRPr="007D5B01">
        <w:rPr>
          <w:rFonts w:asciiTheme="minorHAnsi" w:hAnsiTheme="minorHAnsi"/>
          <w:b w:val="0"/>
          <w:color w:val="auto"/>
          <w:sz w:val="18"/>
          <w:szCs w:val="18"/>
          <w:lang w:val="nl-NL"/>
        </w:rPr>
        <w:t>verplicht gebruikt voor projectvoorstellen wanneer er geen betere informatie (zoals bijvoorbeeld recente offertes) beschikbaar is. Deze techniekcatalogus stelt gemeentes in staat om getallen in projectvoorstellen te beoordelen.</w:t>
      </w:r>
    </w:p>
    <w:p w:rsidR="00FC1D3A" w:rsidP="000B780C" w:rsidRDefault="00FC1D3A" w14:paraId="67C3BD04" w14:textId="77777777">
      <w:pPr>
        <w:spacing w:line="240" w:lineRule="auto"/>
        <w:rPr>
          <w:b/>
          <w:bCs/>
        </w:rPr>
      </w:pPr>
    </w:p>
    <w:p w:rsidRPr="007D5B01" w:rsidR="000B780C" w:rsidP="0033476E" w:rsidRDefault="000B780C" w14:paraId="2761DD80" w14:textId="34637D1E">
      <w:pPr>
        <w:spacing w:line="240" w:lineRule="auto"/>
        <w:rPr>
          <w:b/>
          <w:bCs/>
        </w:rPr>
      </w:pPr>
      <w:r w:rsidRPr="007D5B01">
        <w:rPr>
          <w:b/>
          <w:bCs/>
        </w:rPr>
        <w:t>Conclusies</w:t>
      </w:r>
      <w:r w:rsidRPr="00197E03">
        <w:rPr>
          <w:b/>
          <w:bCs/>
        </w:rPr>
        <w:t xml:space="preserve"> over </w:t>
      </w:r>
      <w:proofErr w:type="spellStart"/>
      <w:r w:rsidR="00FC1D3A">
        <w:rPr>
          <w:b/>
          <w:bCs/>
        </w:rPr>
        <w:t>kostengebaseerde</w:t>
      </w:r>
      <w:proofErr w:type="spellEnd"/>
      <w:r w:rsidR="00FC1D3A">
        <w:rPr>
          <w:b/>
          <w:bCs/>
        </w:rPr>
        <w:t xml:space="preserve"> tarieven</w:t>
      </w:r>
      <w:r w:rsidRPr="00197E03">
        <w:rPr>
          <w:b/>
          <w:bCs/>
        </w:rPr>
        <w:t>:</w:t>
      </w:r>
    </w:p>
    <w:p w:rsidR="000B780C" w:rsidP="0033476E" w:rsidRDefault="000B780C" w14:paraId="707B4C64" w14:textId="1A63EA2D">
      <w:pPr>
        <w:pStyle w:val="Titel"/>
        <w:numPr>
          <w:ilvl w:val="0"/>
          <w:numId w:val="59"/>
        </w:numPr>
        <w:spacing w:before="0" w:line="240" w:lineRule="auto"/>
        <w:rPr>
          <w:rFonts w:asciiTheme="minorHAnsi" w:hAnsiTheme="minorHAnsi"/>
          <w:b w:val="0"/>
          <w:color w:val="auto"/>
          <w:sz w:val="18"/>
          <w:szCs w:val="18"/>
          <w:lang w:val="nl-NL"/>
        </w:rPr>
      </w:pPr>
      <w:r>
        <w:rPr>
          <w:rFonts w:asciiTheme="minorHAnsi" w:hAnsiTheme="minorHAnsi"/>
          <w:b w:val="0"/>
          <w:color w:val="auto"/>
          <w:sz w:val="18"/>
          <w:szCs w:val="18"/>
          <w:lang w:val="nl-NL"/>
        </w:rPr>
        <w:t xml:space="preserve">Versnelling naar </w:t>
      </w:r>
      <w:proofErr w:type="spellStart"/>
      <w:r>
        <w:rPr>
          <w:rFonts w:asciiTheme="minorHAnsi" w:hAnsiTheme="minorHAnsi"/>
          <w:b w:val="0"/>
          <w:color w:val="auto"/>
          <w:sz w:val="18"/>
          <w:szCs w:val="18"/>
          <w:lang w:val="nl-NL"/>
        </w:rPr>
        <w:t>kostengebaseerde</w:t>
      </w:r>
      <w:proofErr w:type="spellEnd"/>
      <w:r>
        <w:rPr>
          <w:rFonts w:asciiTheme="minorHAnsi" w:hAnsiTheme="minorHAnsi"/>
          <w:b w:val="0"/>
          <w:color w:val="auto"/>
          <w:sz w:val="18"/>
          <w:szCs w:val="18"/>
          <w:lang w:val="nl-NL"/>
        </w:rPr>
        <w:t xml:space="preserve"> tarieven is wenselijk</w:t>
      </w:r>
      <w:r w:rsidR="004A2BC6">
        <w:rPr>
          <w:rFonts w:asciiTheme="minorHAnsi" w:hAnsiTheme="minorHAnsi"/>
          <w:b w:val="0"/>
          <w:color w:val="auto"/>
          <w:sz w:val="18"/>
          <w:szCs w:val="18"/>
          <w:lang w:val="nl-NL"/>
        </w:rPr>
        <w:t>.</w:t>
      </w:r>
    </w:p>
    <w:p w:rsidR="000B780C" w:rsidP="00910B10" w:rsidRDefault="000B780C" w14:paraId="452E90D0" w14:textId="77777777">
      <w:pPr>
        <w:pStyle w:val="Lijstalinea"/>
        <w:numPr>
          <w:ilvl w:val="0"/>
          <w:numId w:val="59"/>
        </w:numPr>
        <w:spacing w:line="240" w:lineRule="auto"/>
      </w:pPr>
      <w:r w:rsidRPr="0081242F">
        <w:t xml:space="preserve">Het toezicht </w:t>
      </w:r>
      <w:r>
        <w:t xml:space="preserve">kan </w:t>
      </w:r>
      <w:r w:rsidRPr="0081242F">
        <w:t xml:space="preserve">eenvoudig worden georganiseerd </w:t>
      </w:r>
      <w:r>
        <w:t xml:space="preserve">als </w:t>
      </w:r>
      <w:r w:rsidRPr="0081242F">
        <w:t>de gemeente aan de voorkant een eerste controle doet.</w:t>
      </w:r>
    </w:p>
    <w:p w:rsidR="000B780C" w:rsidP="00910B10" w:rsidRDefault="000B780C" w14:paraId="26765867" w14:textId="58EB4BB5">
      <w:pPr>
        <w:pStyle w:val="Lijstalinea"/>
        <w:numPr>
          <w:ilvl w:val="0"/>
          <w:numId w:val="59"/>
        </w:numPr>
        <w:spacing w:line="240" w:lineRule="auto"/>
      </w:pPr>
      <w:r w:rsidRPr="0081242F">
        <w:t xml:space="preserve">Goede </w:t>
      </w:r>
      <w:r w:rsidR="004A2BC6">
        <w:t xml:space="preserve">en eenvoudige </w:t>
      </w:r>
      <w:r w:rsidRPr="007D5B01">
        <w:t>boekhoudregels</w:t>
      </w:r>
      <w:r w:rsidRPr="0081242F">
        <w:t xml:space="preserve"> zijn cruciaal</w:t>
      </w:r>
      <w:r>
        <w:t>.</w:t>
      </w:r>
    </w:p>
    <w:p w:rsidR="000B780C" w:rsidP="00910B10" w:rsidRDefault="000B780C" w14:paraId="252A1CEB" w14:textId="77777777">
      <w:pPr>
        <w:pStyle w:val="Titel"/>
        <w:numPr>
          <w:ilvl w:val="0"/>
          <w:numId w:val="59"/>
        </w:numPr>
        <w:spacing w:before="0" w:line="240" w:lineRule="auto"/>
        <w:contextualSpacing/>
        <w:rPr>
          <w:rFonts w:asciiTheme="minorHAnsi" w:hAnsiTheme="minorHAnsi"/>
          <w:b w:val="0"/>
          <w:color w:val="auto"/>
          <w:sz w:val="18"/>
          <w:szCs w:val="18"/>
          <w:lang w:val="nl-NL"/>
        </w:rPr>
      </w:pPr>
      <w:r w:rsidRPr="0081242F">
        <w:rPr>
          <w:rFonts w:asciiTheme="minorHAnsi" w:hAnsiTheme="minorHAnsi"/>
          <w:b w:val="0"/>
          <w:color w:val="auto"/>
          <w:sz w:val="18"/>
          <w:szCs w:val="18"/>
          <w:lang w:val="nl-NL"/>
        </w:rPr>
        <w:t>Ondersteunende instrumenten zijn noodzakelijk om het systeem te laten werken: E</w:t>
      </w:r>
      <w:r w:rsidRPr="007D5B01">
        <w:rPr>
          <w:rFonts w:asciiTheme="minorHAnsi" w:hAnsiTheme="minorHAnsi"/>
          <w:b w:val="0"/>
          <w:color w:val="auto"/>
          <w:sz w:val="18"/>
          <w:szCs w:val="18"/>
          <w:lang w:val="nl-NL"/>
        </w:rPr>
        <w:t xml:space="preserve">en </w:t>
      </w:r>
      <w:r w:rsidRPr="0081242F">
        <w:rPr>
          <w:rFonts w:asciiTheme="minorHAnsi" w:hAnsiTheme="minorHAnsi"/>
          <w:b w:val="0"/>
          <w:color w:val="auto"/>
          <w:sz w:val="18"/>
          <w:szCs w:val="18"/>
          <w:lang w:val="nl-NL"/>
        </w:rPr>
        <w:t xml:space="preserve">gestandaardiseerde </w:t>
      </w:r>
      <w:r w:rsidRPr="007D5B01">
        <w:rPr>
          <w:rFonts w:asciiTheme="minorHAnsi" w:hAnsiTheme="minorHAnsi"/>
          <w:b w:val="0"/>
          <w:color w:val="auto"/>
          <w:sz w:val="18"/>
          <w:szCs w:val="18"/>
          <w:lang w:val="nl-NL"/>
        </w:rPr>
        <w:t>socio-economische analyse en een techniekcatalogus.</w:t>
      </w:r>
    </w:p>
    <w:p w:rsidRPr="007D5B01" w:rsidR="000B780C" w:rsidP="00910B10" w:rsidRDefault="000B780C" w14:paraId="5BA4315F" w14:textId="77777777">
      <w:pPr>
        <w:pStyle w:val="Titel"/>
        <w:numPr>
          <w:ilvl w:val="0"/>
          <w:numId w:val="59"/>
        </w:numPr>
        <w:spacing w:before="0" w:line="240" w:lineRule="auto"/>
        <w:contextualSpacing/>
        <w:rPr>
          <w:rFonts w:asciiTheme="minorHAnsi" w:hAnsiTheme="minorHAnsi"/>
          <w:b w:val="0"/>
          <w:color w:val="auto"/>
          <w:sz w:val="18"/>
          <w:szCs w:val="18"/>
          <w:lang w:val="nl-NL"/>
        </w:rPr>
      </w:pPr>
      <w:r w:rsidRPr="007D5B01">
        <w:rPr>
          <w:rFonts w:asciiTheme="minorHAnsi" w:hAnsiTheme="minorHAnsi"/>
          <w:b w:val="0"/>
          <w:color w:val="auto"/>
          <w:sz w:val="18"/>
          <w:szCs w:val="18"/>
          <w:lang w:val="nl-NL"/>
        </w:rPr>
        <w:t xml:space="preserve">Met deze ondersteuning is het voor nieuwe netten niet nodig om een overgangsperiode te hanteren naar </w:t>
      </w:r>
      <w:proofErr w:type="spellStart"/>
      <w:r w:rsidRPr="007D5B01">
        <w:rPr>
          <w:rFonts w:asciiTheme="minorHAnsi" w:hAnsiTheme="minorHAnsi"/>
          <w:b w:val="0"/>
          <w:color w:val="auto"/>
          <w:sz w:val="18"/>
          <w:szCs w:val="18"/>
          <w:lang w:val="nl-NL"/>
        </w:rPr>
        <w:t>kostengebaseerde</w:t>
      </w:r>
      <w:proofErr w:type="spellEnd"/>
      <w:r w:rsidRPr="007D5B01">
        <w:rPr>
          <w:rFonts w:asciiTheme="minorHAnsi" w:hAnsiTheme="minorHAnsi"/>
          <w:b w:val="0"/>
          <w:color w:val="auto"/>
          <w:sz w:val="18"/>
          <w:szCs w:val="18"/>
          <w:lang w:val="nl-NL"/>
        </w:rPr>
        <w:t xml:space="preserve"> tarieven.</w:t>
      </w:r>
    </w:p>
    <w:p w:rsidR="000B780C" w:rsidRDefault="000B780C" w14:paraId="13932F29" w14:textId="77777777"/>
    <w:p w:rsidRPr="009B468F" w:rsidR="00E9694C" w:rsidP="00E9694C" w:rsidRDefault="00B529F8" w14:paraId="4DC17822" w14:textId="63C7AD2F">
      <w:pPr>
        <w:rPr>
          <w:i/>
          <w:iCs/>
          <w:u w:val="single"/>
        </w:rPr>
      </w:pPr>
      <w:r w:rsidRPr="009B468F">
        <w:rPr>
          <w:b/>
          <w:bCs/>
          <w:u w:val="single"/>
        </w:rPr>
        <w:t xml:space="preserve">Bijlage 3: </w:t>
      </w:r>
      <w:r w:rsidRPr="009B468F" w:rsidR="00E9694C">
        <w:rPr>
          <w:i/>
          <w:iCs/>
          <w:u w:val="single"/>
        </w:rPr>
        <w:t>Kavels</w:t>
      </w:r>
      <w:r w:rsidRPr="009B468F">
        <w:rPr>
          <w:i/>
          <w:iCs/>
          <w:u w:val="single"/>
        </w:rPr>
        <w:t xml:space="preserve"> vaststellen en </w:t>
      </w:r>
      <w:r w:rsidRPr="009B468F" w:rsidR="000D681A">
        <w:rPr>
          <w:i/>
          <w:iCs/>
          <w:u w:val="single"/>
        </w:rPr>
        <w:t>warmtebedrijven aanwijzen</w:t>
      </w:r>
    </w:p>
    <w:p w:rsidRPr="00FC1D3A" w:rsidR="00E9694C" w:rsidP="00FC1D3A" w:rsidRDefault="00E9694C" w14:paraId="0748F15A" w14:textId="5C7DEAF3">
      <w:pPr>
        <w:pStyle w:val="Titel"/>
        <w:spacing w:line="240" w:lineRule="auto"/>
        <w:rPr>
          <w:rFonts w:asciiTheme="minorHAnsi" w:hAnsiTheme="minorHAnsi"/>
          <w:b w:val="0"/>
          <w:color w:val="auto"/>
          <w:sz w:val="18"/>
          <w:szCs w:val="18"/>
          <w:lang w:val="nl-NL"/>
        </w:rPr>
      </w:pPr>
      <w:r w:rsidRPr="00FC1D3A">
        <w:rPr>
          <w:rFonts w:asciiTheme="minorHAnsi" w:hAnsiTheme="minorHAnsi"/>
          <w:b w:val="0"/>
          <w:color w:val="auto"/>
          <w:sz w:val="18"/>
          <w:szCs w:val="18"/>
          <w:lang w:val="nl-NL"/>
        </w:rPr>
        <w:t>Gemeenten in Nederland en in de landen om ons heen hebben de eigendom van de grond in de gemeente. Als eigenaar mogen zij bepalen wat er met deze grond gebeurt.</w:t>
      </w:r>
      <w:r w:rsidR="00EC6F22">
        <w:rPr>
          <w:rFonts w:asciiTheme="minorHAnsi" w:hAnsiTheme="minorHAnsi"/>
          <w:b w:val="0"/>
          <w:color w:val="auto"/>
          <w:sz w:val="18"/>
          <w:szCs w:val="18"/>
          <w:lang w:val="nl-NL"/>
        </w:rPr>
        <w:t xml:space="preserve"> </w:t>
      </w:r>
      <w:r w:rsidRPr="00FC1D3A">
        <w:rPr>
          <w:rFonts w:asciiTheme="minorHAnsi" w:hAnsiTheme="minorHAnsi"/>
          <w:b w:val="0"/>
          <w:color w:val="auto"/>
          <w:sz w:val="18"/>
          <w:szCs w:val="18"/>
          <w:lang w:val="nl-NL"/>
        </w:rPr>
        <w:t>Als iemand een warmtenet door de grond wil leggen, moet de gemeente toestemming geven. Daarbij kunnen gemeenten eisen stellen aan die toestemming. Op die manier kunnen zij invloed uitoefenen op de warmteprojecten in hun gebied.</w:t>
      </w:r>
      <w:r w:rsidR="00EC6F22">
        <w:rPr>
          <w:rFonts w:asciiTheme="minorHAnsi" w:hAnsiTheme="minorHAnsi"/>
          <w:b w:val="0"/>
          <w:color w:val="auto"/>
          <w:sz w:val="18"/>
          <w:szCs w:val="18"/>
          <w:lang w:val="nl-NL"/>
        </w:rPr>
        <w:t xml:space="preserve"> </w:t>
      </w:r>
      <w:r w:rsidRPr="00FC1D3A">
        <w:rPr>
          <w:rFonts w:asciiTheme="minorHAnsi" w:hAnsiTheme="minorHAnsi"/>
          <w:b w:val="0"/>
          <w:color w:val="auto"/>
          <w:sz w:val="18"/>
          <w:szCs w:val="18"/>
          <w:lang w:val="nl-NL"/>
        </w:rPr>
        <w:t>In de meeste landen om ons heen hebben zij daarbij een grote vrijheid: ze kunnen voorwaarden stellen met betrekking tot de bronnen, de tarieven, de duurzaamheid en alle andere aspecten van de voorziening.</w:t>
      </w:r>
    </w:p>
    <w:p w:rsidRPr="00FC1D3A" w:rsidR="00E9694C" w:rsidP="00FC1D3A" w:rsidRDefault="00E9694C" w14:paraId="145FC843" w14:textId="65AB4211">
      <w:pPr>
        <w:pStyle w:val="Titel"/>
        <w:spacing w:line="240" w:lineRule="auto"/>
        <w:rPr>
          <w:rFonts w:asciiTheme="minorHAnsi" w:hAnsiTheme="minorHAnsi"/>
          <w:b w:val="0"/>
          <w:color w:val="auto"/>
          <w:sz w:val="18"/>
          <w:szCs w:val="18"/>
          <w:lang w:val="nl-NL"/>
        </w:rPr>
      </w:pPr>
      <w:r w:rsidRPr="00FC1D3A">
        <w:rPr>
          <w:rFonts w:asciiTheme="minorHAnsi" w:hAnsiTheme="minorHAnsi"/>
          <w:b w:val="0"/>
          <w:color w:val="auto"/>
          <w:sz w:val="18"/>
          <w:szCs w:val="18"/>
          <w:lang w:val="nl-NL"/>
        </w:rPr>
        <w:t xml:space="preserve">De toelichting op het wetsvoorstel stelt dat gemeenten de bevoegdheid krijgen om een kavel aan te wijzen. </w:t>
      </w:r>
      <w:r w:rsidR="0081536B">
        <w:rPr>
          <w:rFonts w:asciiTheme="minorHAnsi" w:hAnsiTheme="minorHAnsi"/>
          <w:b w:val="0"/>
          <w:color w:val="auto"/>
          <w:sz w:val="18"/>
          <w:szCs w:val="18"/>
          <w:lang w:val="nl-NL"/>
        </w:rPr>
        <w:t>G</w:t>
      </w:r>
      <w:r w:rsidRPr="00FC1D3A">
        <w:rPr>
          <w:rFonts w:asciiTheme="minorHAnsi" w:hAnsiTheme="minorHAnsi"/>
          <w:b w:val="0"/>
          <w:color w:val="auto"/>
          <w:sz w:val="18"/>
          <w:szCs w:val="18"/>
          <w:lang w:val="nl-NL"/>
        </w:rPr>
        <w:t xml:space="preserve">emeenten hebben </w:t>
      </w:r>
      <w:r w:rsidR="0081536B">
        <w:rPr>
          <w:rFonts w:asciiTheme="minorHAnsi" w:hAnsiTheme="minorHAnsi"/>
          <w:b w:val="0"/>
          <w:color w:val="auto"/>
          <w:sz w:val="18"/>
          <w:szCs w:val="18"/>
          <w:lang w:val="nl-NL"/>
        </w:rPr>
        <w:t xml:space="preserve">op dit moment </w:t>
      </w:r>
      <w:r w:rsidRPr="00FC1D3A">
        <w:rPr>
          <w:rFonts w:asciiTheme="minorHAnsi" w:hAnsiTheme="minorHAnsi"/>
          <w:b w:val="0"/>
          <w:color w:val="auto"/>
          <w:sz w:val="18"/>
          <w:szCs w:val="18"/>
          <w:lang w:val="nl-NL"/>
        </w:rPr>
        <w:t>die bevoegdheid al.</w:t>
      </w:r>
      <w:r w:rsidR="00EC6F22">
        <w:rPr>
          <w:rFonts w:asciiTheme="minorHAnsi" w:hAnsiTheme="minorHAnsi"/>
          <w:b w:val="0"/>
          <w:color w:val="auto"/>
          <w:sz w:val="18"/>
          <w:szCs w:val="18"/>
          <w:lang w:val="nl-NL"/>
        </w:rPr>
        <w:t xml:space="preserve"> </w:t>
      </w:r>
      <w:r w:rsidRPr="00FC1D3A">
        <w:rPr>
          <w:rFonts w:asciiTheme="minorHAnsi" w:hAnsiTheme="minorHAnsi"/>
          <w:b w:val="0"/>
          <w:color w:val="auto"/>
          <w:sz w:val="18"/>
          <w:szCs w:val="18"/>
          <w:lang w:val="nl-NL"/>
        </w:rPr>
        <w:t xml:space="preserve">Het wetsontwerp perkt die bevoegdheid juist in. Het Rijk dwingt gemeenten om een ingewikkelde procedure toe te passen bij de toewijzing van kavels. </w:t>
      </w:r>
    </w:p>
    <w:p w:rsidR="00DF76E9" w:rsidP="0033476E" w:rsidRDefault="00B0365D" w14:paraId="1D4C8912" w14:textId="7612858D">
      <w:pPr>
        <w:pStyle w:val="Titel"/>
        <w:spacing w:before="0" w:line="240" w:lineRule="auto"/>
        <w:rPr>
          <w:rFonts w:asciiTheme="minorHAnsi" w:hAnsiTheme="minorHAnsi"/>
          <w:b w:val="0"/>
          <w:color w:val="auto"/>
          <w:sz w:val="18"/>
          <w:szCs w:val="18"/>
          <w:lang w:val="nl-NL"/>
        </w:rPr>
      </w:pPr>
      <w:r>
        <w:rPr>
          <w:rFonts w:asciiTheme="minorHAnsi" w:hAnsiTheme="minorHAnsi"/>
          <w:b w:val="0"/>
          <w:color w:val="auto"/>
          <w:sz w:val="18"/>
          <w:szCs w:val="18"/>
          <w:lang w:val="nl-NL"/>
        </w:rPr>
        <w:t>D</w:t>
      </w:r>
      <w:r w:rsidRPr="00FC1D3A" w:rsidR="008647AF">
        <w:rPr>
          <w:rFonts w:asciiTheme="minorHAnsi" w:hAnsiTheme="minorHAnsi"/>
          <w:b w:val="0"/>
          <w:color w:val="auto"/>
          <w:sz w:val="18"/>
          <w:szCs w:val="18"/>
          <w:lang w:val="nl-NL"/>
        </w:rPr>
        <w:t xml:space="preserve">e procedure rond de kavels </w:t>
      </w:r>
      <w:r>
        <w:rPr>
          <w:rFonts w:asciiTheme="minorHAnsi" w:hAnsiTheme="minorHAnsi"/>
          <w:b w:val="0"/>
          <w:color w:val="auto"/>
          <w:sz w:val="18"/>
          <w:szCs w:val="18"/>
          <w:lang w:val="nl-NL"/>
        </w:rPr>
        <w:t xml:space="preserve">is </w:t>
      </w:r>
      <w:r w:rsidRPr="00FC1D3A" w:rsidR="008647AF">
        <w:rPr>
          <w:rFonts w:asciiTheme="minorHAnsi" w:hAnsiTheme="minorHAnsi"/>
          <w:b w:val="0"/>
          <w:color w:val="auto"/>
          <w:sz w:val="18"/>
          <w:szCs w:val="18"/>
          <w:lang w:val="nl-NL"/>
        </w:rPr>
        <w:t xml:space="preserve">onnodig gecompliceerd door de introductie van twee fasen en door </w:t>
      </w:r>
      <w:r>
        <w:rPr>
          <w:rFonts w:asciiTheme="minorHAnsi" w:hAnsiTheme="minorHAnsi"/>
          <w:b w:val="0"/>
          <w:color w:val="auto"/>
          <w:sz w:val="18"/>
          <w:szCs w:val="18"/>
          <w:lang w:val="nl-NL"/>
        </w:rPr>
        <w:t xml:space="preserve">de </w:t>
      </w:r>
      <w:r w:rsidRPr="00FC1D3A" w:rsidR="008647AF">
        <w:rPr>
          <w:rFonts w:asciiTheme="minorHAnsi" w:hAnsiTheme="minorHAnsi"/>
          <w:b w:val="0"/>
          <w:color w:val="auto"/>
          <w:sz w:val="18"/>
          <w:szCs w:val="18"/>
          <w:lang w:val="nl-NL"/>
        </w:rPr>
        <w:t xml:space="preserve">eisen, die eraan gesteld worden. </w:t>
      </w:r>
      <w:r w:rsidRPr="00FC1D3A" w:rsidR="00C46A90">
        <w:rPr>
          <w:rFonts w:asciiTheme="minorHAnsi" w:hAnsiTheme="minorHAnsi"/>
          <w:b w:val="0"/>
          <w:color w:val="auto"/>
          <w:sz w:val="18"/>
          <w:szCs w:val="18"/>
          <w:lang w:val="nl-NL"/>
        </w:rPr>
        <w:t xml:space="preserve">De gedetailleerde regulering leidt al snel tot vertraging, rechtsonzekerheid en ongewenste </w:t>
      </w:r>
      <w:proofErr w:type="spellStart"/>
      <w:r w:rsidRPr="00FC1D3A" w:rsidR="00C46A90">
        <w:rPr>
          <w:rFonts w:asciiTheme="minorHAnsi" w:hAnsiTheme="minorHAnsi"/>
          <w:b w:val="0"/>
          <w:color w:val="auto"/>
          <w:sz w:val="18"/>
          <w:szCs w:val="18"/>
          <w:lang w:val="nl-NL"/>
        </w:rPr>
        <w:t>bij-effecten</w:t>
      </w:r>
      <w:proofErr w:type="spellEnd"/>
      <w:r w:rsidRPr="00FC1D3A" w:rsidR="00C46A90">
        <w:rPr>
          <w:rFonts w:asciiTheme="minorHAnsi" w:hAnsiTheme="minorHAnsi"/>
          <w:b w:val="0"/>
          <w:color w:val="auto"/>
          <w:sz w:val="18"/>
          <w:szCs w:val="18"/>
          <w:lang w:val="nl-NL"/>
        </w:rPr>
        <w:t>.</w:t>
      </w:r>
      <w:r w:rsidR="00EC6F22">
        <w:rPr>
          <w:rFonts w:asciiTheme="minorHAnsi" w:hAnsiTheme="minorHAnsi"/>
          <w:b w:val="0"/>
          <w:color w:val="auto"/>
          <w:sz w:val="18"/>
          <w:szCs w:val="18"/>
          <w:lang w:val="nl-NL"/>
        </w:rPr>
        <w:t xml:space="preserve"> </w:t>
      </w:r>
      <w:r>
        <w:rPr>
          <w:rFonts w:asciiTheme="minorHAnsi" w:hAnsiTheme="minorHAnsi"/>
          <w:b w:val="0"/>
          <w:color w:val="auto"/>
          <w:sz w:val="18"/>
          <w:szCs w:val="18"/>
          <w:lang w:val="nl-NL"/>
        </w:rPr>
        <w:t>D</w:t>
      </w:r>
      <w:r w:rsidRPr="00FC1D3A" w:rsidR="00633EB9">
        <w:rPr>
          <w:rFonts w:asciiTheme="minorHAnsi" w:hAnsiTheme="minorHAnsi"/>
          <w:b w:val="0"/>
          <w:color w:val="auto"/>
          <w:sz w:val="18"/>
          <w:szCs w:val="18"/>
          <w:lang w:val="nl-NL"/>
        </w:rPr>
        <w:t xml:space="preserve">e procedure </w:t>
      </w:r>
      <w:r>
        <w:rPr>
          <w:rFonts w:asciiTheme="minorHAnsi" w:hAnsiTheme="minorHAnsi"/>
          <w:b w:val="0"/>
          <w:color w:val="auto"/>
          <w:sz w:val="18"/>
          <w:szCs w:val="18"/>
          <w:lang w:val="nl-NL"/>
        </w:rPr>
        <w:t xml:space="preserve">past </w:t>
      </w:r>
      <w:r w:rsidRPr="00FC1D3A" w:rsidR="00633EB9">
        <w:rPr>
          <w:rFonts w:asciiTheme="minorHAnsi" w:hAnsiTheme="minorHAnsi"/>
          <w:b w:val="0"/>
          <w:color w:val="auto"/>
          <w:sz w:val="18"/>
          <w:szCs w:val="18"/>
          <w:lang w:val="nl-NL"/>
        </w:rPr>
        <w:t>niet bij de moderne, integrale energiesystemen die modulair ontwikkeld worden. Vaak gaat die ontwikkeling organisch:</w:t>
      </w:r>
      <w:r>
        <w:rPr>
          <w:rFonts w:asciiTheme="minorHAnsi" w:hAnsiTheme="minorHAnsi"/>
          <w:b w:val="0"/>
          <w:color w:val="auto"/>
          <w:sz w:val="18"/>
          <w:szCs w:val="18"/>
          <w:lang w:val="nl-NL"/>
        </w:rPr>
        <w:t xml:space="preserve"> </w:t>
      </w:r>
      <w:r w:rsidRPr="00FC1D3A" w:rsidR="00633EB9">
        <w:rPr>
          <w:rFonts w:asciiTheme="minorHAnsi" w:hAnsiTheme="minorHAnsi"/>
          <w:b w:val="0"/>
          <w:color w:val="auto"/>
          <w:sz w:val="18"/>
          <w:szCs w:val="18"/>
          <w:lang w:val="nl-NL"/>
        </w:rPr>
        <w:t xml:space="preserve">eerst wordt </w:t>
      </w:r>
      <w:r w:rsidRPr="00FC1D3A" w:rsidR="00633EB9">
        <w:rPr>
          <w:rFonts w:asciiTheme="minorHAnsi" w:hAnsiTheme="minorHAnsi"/>
          <w:b w:val="0"/>
          <w:color w:val="auto"/>
          <w:sz w:val="18"/>
          <w:szCs w:val="18"/>
          <w:lang w:val="nl-NL"/>
        </w:rPr>
        <w:lastRenderedPageBreak/>
        <w:t xml:space="preserve">het uitgeprobeerd </w:t>
      </w:r>
      <w:r w:rsidRPr="00FC1D3A" w:rsidR="00DF76E9">
        <w:rPr>
          <w:rFonts w:asciiTheme="minorHAnsi" w:hAnsiTheme="minorHAnsi"/>
          <w:b w:val="0"/>
          <w:color w:val="auto"/>
          <w:sz w:val="18"/>
          <w:szCs w:val="18"/>
          <w:lang w:val="nl-NL"/>
        </w:rPr>
        <w:t xml:space="preserve">bijvoorbeeld met grote gebruikers en grote aanbieders in de wijk. Dan worden langzaam maar zeker plukken woningen, stap voor stap, toegevoegd. </w:t>
      </w:r>
      <w:r w:rsidRPr="00FC1D3A" w:rsidR="0079348D">
        <w:rPr>
          <w:rFonts w:asciiTheme="minorHAnsi" w:hAnsiTheme="minorHAnsi"/>
          <w:b w:val="0"/>
          <w:color w:val="auto"/>
          <w:sz w:val="18"/>
          <w:szCs w:val="18"/>
          <w:lang w:val="nl-NL"/>
        </w:rPr>
        <w:t xml:space="preserve">Daarbij zou passen dat een gemeente op een eenvoudige wijze iedere keer weer toestemming zou kunnen geven om het kavel te vergroten. </w:t>
      </w:r>
      <w:r w:rsidRPr="00FC1D3A" w:rsidR="009C65EC">
        <w:rPr>
          <w:rFonts w:asciiTheme="minorHAnsi" w:hAnsiTheme="minorHAnsi"/>
          <w:b w:val="0"/>
          <w:color w:val="auto"/>
          <w:sz w:val="18"/>
          <w:szCs w:val="18"/>
          <w:lang w:val="nl-NL"/>
        </w:rPr>
        <w:t xml:space="preserve">De procedure, zoals beschreven in het wetsvoorstel, is heel ingewikkeld en daardoor ook belastend. </w:t>
      </w:r>
    </w:p>
    <w:p w:rsidRPr="0033476E" w:rsidR="0033476E" w:rsidP="0033476E" w:rsidRDefault="0033476E" w14:paraId="5FE72B5A" w14:textId="77777777"/>
    <w:p w:rsidR="00E9694C" w:rsidP="0033476E" w:rsidRDefault="00E9694C" w14:paraId="39927F84" w14:textId="1A119202">
      <w:pPr>
        <w:pStyle w:val="Titel"/>
        <w:spacing w:before="0" w:line="240" w:lineRule="auto"/>
        <w:rPr>
          <w:rFonts w:asciiTheme="minorHAnsi" w:hAnsiTheme="minorHAnsi"/>
          <w:b w:val="0"/>
          <w:color w:val="auto"/>
          <w:sz w:val="18"/>
          <w:szCs w:val="18"/>
          <w:lang w:val="nl-NL"/>
        </w:rPr>
      </w:pPr>
      <w:r w:rsidRPr="00FC1D3A">
        <w:rPr>
          <w:rFonts w:asciiTheme="minorHAnsi" w:hAnsiTheme="minorHAnsi"/>
          <w:b w:val="0"/>
          <w:color w:val="auto"/>
          <w:sz w:val="18"/>
          <w:szCs w:val="18"/>
          <w:lang w:val="nl-NL"/>
        </w:rPr>
        <w:t xml:space="preserve">Als de gemeente het kavel heeft afgebakend, moet het volgens het wetsvoorstel worden toegewezen aan de eerste die zich aanmeldt. </w:t>
      </w:r>
      <w:r w:rsidR="00B0365D">
        <w:rPr>
          <w:rFonts w:asciiTheme="minorHAnsi" w:hAnsiTheme="minorHAnsi"/>
          <w:b w:val="0"/>
          <w:color w:val="auto"/>
          <w:sz w:val="18"/>
          <w:szCs w:val="18"/>
          <w:lang w:val="nl-NL"/>
        </w:rPr>
        <w:t>D</w:t>
      </w:r>
      <w:r w:rsidRPr="00FC1D3A">
        <w:rPr>
          <w:rFonts w:asciiTheme="minorHAnsi" w:hAnsiTheme="minorHAnsi"/>
          <w:b w:val="0"/>
          <w:color w:val="auto"/>
          <w:sz w:val="18"/>
          <w:szCs w:val="18"/>
          <w:lang w:val="nl-NL"/>
        </w:rPr>
        <w:t xml:space="preserve">e gemeente </w:t>
      </w:r>
      <w:r w:rsidR="00B0365D">
        <w:rPr>
          <w:rFonts w:asciiTheme="minorHAnsi" w:hAnsiTheme="minorHAnsi"/>
          <w:b w:val="0"/>
          <w:color w:val="auto"/>
          <w:sz w:val="18"/>
          <w:szCs w:val="18"/>
          <w:lang w:val="nl-NL"/>
        </w:rPr>
        <w:t xml:space="preserve">wordt </w:t>
      </w:r>
      <w:r w:rsidRPr="00FC1D3A">
        <w:rPr>
          <w:rFonts w:asciiTheme="minorHAnsi" w:hAnsiTheme="minorHAnsi"/>
          <w:b w:val="0"/>
          <w:color w:val="auto"/>
          <w:sz w:val="18"/>
          <w:szCs w:val="18"/>
          <w:lang w:val="nl-NL"/>
        </w:rPr>
        <w:t xml:space="preserve">op dat moment de keuzevrijheid ontnomen. Er is dan een globaal kavelplan. Pas in een later stadium komt er een gedetailleerd kavelplan, waarin precies staat wat er in de wijk gebeurt. Het is lastig voor gemeenten om dit kavelplan af te wijzen, dat kan alleen onder stringente voorwaarden. Wel kan een gemeente voorwaarden stellen bij de ontwikkeling van het kavel. </w:t>
      </w:r>
      <w:r w:rsidRPr="00FC1D3A" w:rsidDel="002556DE">
        <w:rPr>
          <w:rFonts w:asciiTheme="minorHAnsi" w:hAnsiTheme="minorHAnsi"/>
          <w:b w:val="0"/>
          <w:color w:val="auto"/>
          <w:sz w:val="18"/>
          <w:szCs w:val="18"/>
          <w:lang w:val="nl-NL"/>
        </w:rPr>
        <w:t xml:space="preserve">Maar de gemeente komt in een lastige positie. Dat is zeker het geval </w:t>
      </w:r>
      <w:r w:rsidRPr="00FC1D3A">
        <w:rPr>
          <w:rFonts w:asciiTheme="minorHAnsi" w:hAnsiTheme="minorHAnsi"/>
          <w:b w:val="0"/>
          <w:color w:val="auto"/>
          <w:sz w:val="18"/>
          <w:szCs w:val="18"/>
          <w:lang w:val="nl-NL"/>
        </w:rPr>
        <w:t>als het kavel</w:t>
      </w:r>
      <w:r w:rsidR="002556DE">
        <w:rPr>
          <w:rFonts w:asciiTheme="minorHAnsi" w:hAnsiTheme="minorHAnsi"/>
          <w:b w:val="0"/>
          <w:color w:val="auto"/>
          <w:sz w:val="18"/>
          <w:szCs w:val="18"/>
          <w:lang w:val="nl-NL"/>
        </w:rPr>
        <w:t xml:space="preserve"> </w:t>
      </w:r>
      <w:r w:rsidRPr="00FC1D3A">
        <w:rPr>
          <w:rFonts w:asciiTheme="minorHAnsi" w:hAnsiTheme="minorHAnsi"/>
          <w:b w:val="0"/>
          <w:color w:val="auto"/>
          <w:sz w:val="18"/>
          <w:szCs w:val="18"/>
          <w:lang w:val="nl-NL"/>
        </w:rPr>
        <w:t>is toegewezen aan een van de grote, regionale warmtebedrijven waar het Rijk op stuurt en waarin de gemeente dan een minderheidsbelang heeft. Dan heeft de gemeente een dubbele positie: als minderheidsaandeelhouder in het bedrijf, dat het kavelplan heeft gemaakt, en als instelling die de kavels toewijst. Die posities zijn lastig te combineren.</w:t>
      </w:r>
    </w:p>
    <w:p w:rsidR="0002686F" w:rsidP="0033476E" w:rsidRDefault="0002686F" w14:paraId="6ECF20AB" w14:textId="77777777">
      <w:pPr>
        <w:spacing w:line="240" w:lineRule="auto"/>
        <w:rPr>
          <w:rFonts w:eastAsia="Times New Roman"/>
          <w:color w:val="000000"/>
        </w:rPr>
      </w:pPr>
    </w:p>
    <w:p w:rsidRPr="006B4E46" w:rsidR="0002686F" w:rsidP="0033476E" w:rsidRDefault="0002686F" w14:paraId="3AF3BAB0" w14:textId="47341123">
      <w:pPr>
        <w:spacing w:line="240" w:lineRule="auto"/>
        <w:rPr>
          <w:rFonts w:eastAsia="Times New Roman"/>
          <w:color w:val="000000"/>
        </w:rPr>
      </w:pPr>
      <w:r>
        <w:rPr>
          <w:rFonts w:eastAsia="Times New Roman"/>
          <w:color w:val="000000"/>
        </w:rPr>
        <w:t>Sturing en bevoordeling van grote kavels en grote, regionale warmtebedrijven kan strijdig zijn met EU-regelgeving, volgens welke Lidstaten moeten zorgen voor niet-discriminerende toegang tot energiemarkten.</w:t>
      </w:r>
      <w:r w:rsidR="00EC6F22">
        <w:rPr>
          <w:rFonts w:eastAsia="Times New Roman"/>
          <w:color w:val="000000"/>
        </w:rPr>
        <w:t xml:space="preserve"> </w:t>
      </w:r>
      <w:r>
        <w:rPr>
          <w:rFonts w:eastAsia="Times New Roman"/>
          <w:color w:val="000000"/>
        </w:rPr>
        <w:t>Kleine systemen dienen dus dezelfde kansen te krijgen als grote systemen.</w:t>
      </w:r>
      <w:r w:rsidRPr="0002686F">
        <w:rPr>
          <w:rStyle w:val="Voetnootmarkering"/>
          <w:b/>
        </w:rPr>
        <w:t xml:space="preserve"> </w:t>
      </w:r>
      <w:r>
        <w:rPr>
          <w:rStyle w:val="Voetnootmarkering"/>
          <w:b/>
        </w:rPr>
        <w:footnoteReference w:id="23"/>
      </w:r>
      <w:r>
        <w:rPr>
          <w:rFonts w:eastAsia="Times New Roman"/>
          <w:color w:val="000000"/>
        </w:rPr>
        <w:t> Lidstaten dienen regelgevende belemmeringen daarvoor moeten wegnemen.</w:t>
      </w:r>
      <w:r w:rsidR="00EC6F22">
        <w:rPr>
          <w:rFonts w:eastAsia="Times New Roman"/>
          <w:color w:val="000000"/>
        </w:rPr>
        <w:t xml:space="preserve"> </w:t>
      </w:r>
      <w:r>
        <w:rPr>
          <w:rFonts w:eastAsia="Times New Roman"/>
          <w:color w:val="000000"/>
        </w:rPr>
        <w:t>Subsidies en andere financiële voordelen zouden dus ook non-discriminatoir moeten zijn.</w:t>
      </w:r>
      <w:r w:rsidR="00EC6F22">
        <w:rPr>
          <w:rFonts w:eastAsia="Times New Roman"/>
          <w:color w:val="000000"/>
        </w:rPr>
        <w:t xml:space="preserve"> </w:t>
      </w:r>
      <w:r>
        <w:rPr>
          <w:rFonts w:eastAsia="Times New Roman"/>
          <w:color w:val="000000"/>
        </w:rPr>
        <w:t xml:space="preserve"> Het is daarnaast de vraag of het de geest van EU-regelgeving </w:t>
      </w:r>
      <w:proofErr w:type="spellStart"/>
      <w:r>
        <w:rPr>
          <w:rFonts w:eastAsia="Times New Roman"/>
          <w:color w:val="000000"/>
        </w:rPr>
        <w:t>EU-regelgeving</w:t>
      </w:r>
      <w:proofErr w:type="spellEnd"/>
      <w:r>
        <w:rPr>
          <w:rFonts w:eastAsia="Times New Roman"/>
          <w:color w:val="000000"/>
        </w:rPr>
        <w:t xml:space="preserve"> weerspiegelt</w:t>
      </w:r>
      <w:r w:rsidR="00560E46">
        <w:rPr>
          <w:rStyle w:val="Voetnootmarkering"/>
          <w:rFonts w:eastAsia="Times New Roman"/>
          <w:color w:val="000000"/>
        </w:rPr>
        <w:footnoteReference w:id="24"/>
      </w:r>
      <w:r>
        <w:rPr>
          <w:rFonts w:eastAsia="Times New Roman"/>
          <w:color w:val="000000"/>
        </w:rPr>
        <w:t>.</w:t>
      </w:r>
      <w:r w:rsidRPr="0002686F">
        <w:rPr>
          <w:rFonts w:eastAsia="Times New Roman"/>
          <w:color w:val="000000"/>
        </w:rPr>
        <w:t xml:space="preserve"> </w:t>
      </w:r>
    </w:p>
    <w:p w:rsidRPr="00FC1D3A" w:rsidR="00E9694C" w:rsidP="0033476E" w:rsidRDefault="00E9694C" w14:paraId="4432C83D" w14:textId="338233B9">
      <w:pPr>
        <w:pStyle w:val="Titel"/>
        <w:spacing w:before="0" w:line="240" w:lineRule="auto"/>
        <w:rPr>
          <w:rFonts w:asciiTheme="minorHAnsi" w:hAnsiTheme="minorHAnsi"/>
          <w:b w:val="0"/>
          <w:color w:val="auto"/>
          <w:sz w:val="18"/>
          <w:szCs w:val="18"/>
          <w:lang w:val="nl-NL"/>
        </w:rPr>
      </w:pPr>
      <w:r w:rsidRPr="00FC1D3A">
        <w:rPr>
          <w:rFonts w:asciiTheme="minorHAnsi" w:hAnsiTheme="minorHAnsi"/>
          <w:b w:val="0"/>
          <w:color w:val="auto"/>
          <w:sz w:val="18"/>
          <w:szCs w:val="18"/>
          <w:lang w:val="nl-NL"/>
        </w:rPr>
        <w:t>De bevoegdheden met betrekking tot het bepalen van de tarieven, de bronnen en de duurzaamheid zijn ook weggenomen bij de gemeente. De gemeente kan een kavel niet afwijzen omdat ze de tarieven te hoog vindt. ACM dient de tarieven te controleren.</w:t>
      </w:r>
      <w:r w:rsidR="00EC6F22">
        <w:rPr>
          <w:rFonts w:asciiTheme="minorHAnsi" w:hAnsiTheme="minorHAnsi"/>
          <w:b w:val="0"/>
          <w:color w:val="auto"/>
          <w:sz w:val="18"/>
          <w:szCs w:val="18"/>
          <w:lang w:val="nl-NL"/>
        </w:rPr>
        <w:t xml:space="preserve"> </w:t>
      </w:r>
      <w:r w:rsidRPr="00FC1D3A">
        <w:rPr>
          <w:rFonts w:asciiTheme="minorHAnsi" w:hAnsiTheme="minorHAnsi"/>
          <w:b w:val="0"/>
          <w:color w:val="auto"/>
          <w:sz w:val="18"/>
          <w:szCs w:val="18"/>
          <w:lang w:val="nl-NL"/>
        </w:rPr>
        <w:t xml:space="preserve">Hier wordt een eerste waarborg voor goedkope warmtenetten weggenomen (zie bijlage </w:t>
      </w:r>
      <w:proofErr w:type="spellStart"/>
      <w:r w:rsidRPr="00FC1D3A" w:rsidR="00910B10">
        <w:rPr>
          <w:rFonts w:asciiTheme="minorHAnsi" w:hAnsiTheme="minorHAnsi"/>
          <w:b w:val="0"/>
          <w:color w:val="auto"/>
          <w:sz w:val="18"/>
          <w:szCs w:val="18"/>
          <w:lang w:val="nl-NL"/>
        </w:rPr>
        <w:t>kostengebaseerde</w:t>
      </w:r>
      <w:proofErr w:type="spellEnd"/>
      <w:r w:rsidRPr="00FC1D3A" w:rsidR="00910B10">
        <w:rPr>
          <w:rFonts w:asciiTheme="minorHAnsi" w:hAnsiTheme="minorHAnsi"/>
          <w:b w:val="0"/>
          <w:color w:val="auto"/>
          <w:sz w:val="18"/>
          <w:szCs w:val="18"/>
          <w:lang w:val="nl-NL"/>
        </w:rPr>
        <w:t xml:space="preserve"> tarieven</w:t>
      </w:r>
      <w:r w:rsidRPr="00FC1D3A">
        <w:rPr>
          <w:rFonts w:asciiTheme="minorHAnsi" w:hAnsiTheme="minorHAnsi"/>
          <w:b w:val="0"/>
          <w:color w:val="auto"/>
          <w:sz w:val="18"/>
          <w:szCs w:val="18"/>
          <w:lang w:val="nl-NL"/>
        </w:rPr>
        <w:t xml:space="preserve">). Ook bij het bepalen van de bronnen, zou de gemeente een belangrijke rol moeten innemen. Bij moderne, integrale systemen zijn veel bronnen lokaal. </w:t>
      </w:r>
    </w:p>
    <w:p w:rsidRPr="00FC1D3A" w:rsidR="00E9694C" w:rsidP="0033476E" w:rsidRDefault="00B0365D" w14:paraId="6B38AB77" w14:textId="7DE5AA2E">
      <w:pPr>
        <w:pStyle w:val="Titel"/>
        <w:spacing w:before="0" w:line="240" w:lineRule="auto"/>
        <w:rPr>
          <w:rFonts w:asciiTheme="minorHAnsi" w:hAnsiTheme="minorHAnsi"/>
          <w:b w:val="0"/>
          <w:color w:val="auto"/>
          <w:sz w:val="18"/>
          <w:szCs w:val="18"/>
          <w:lang w:val="nl-NL"/>
        </w:rPr>
      </w:pPr>
      <w:r>
        <w:rPr>
          <w:rFonts w:asciiTheme="minorHAnsi" w:hAnsiTheme="minorHAnsi"/>
          <w:b w:val="0"/>
          <w:color w:val="auto"/>
          <w:sz w:val="18"/>
          <w:szCs w:val="18"/>
          <w:lang w:val="nl-NL"/>
        </w:rPr>
        <w:t xml:space="preserve">Door het wegnemen van </w:t>
      </w:r>
      <w:r w:rsidRPr="00FC1D3A" w:rsidR="00E9694C">
        <w:rPr>
          <w:rFonts w:asciiTheme="minorHAnsi" w:hAnsiTheme="minorHAnsi"/>
          <w:b w:val="0"/>
          <w:color w:val="auto"/>
          <w:sz w:val="18"/>
          <w:szCs w:val="18"/>
          <w:lang w:val="nl-NL"/>
        </w:rPr>
        <w:t>bevoegdheden bij gemeenten, is het ook niet mogelijk voor burgers en bedrijven om via de gemeente invloed uit te oefenen. Dat is nadelig voor het draagvlak.</w:t>
      </w:r>
    </w:p>
    <w:p w:rsidR="00E9694C" w:rsidP="0033476E" w:rsidRDefault="00E9694C" w14:paraId="7816F63A" w14:textId="77777777">
      <w:pPr>
        <w:spacing w:line="240" w:lineRule="auto"/>
      </w:pPr>
    </w:p>
    <w:p w:rsidR="004766E7" w:rsidP="0033476E" w:rsidRDefault="004766E7" w14:paraId="5C4C9200" w14:textId="498A685C">
      <w:pPr>
        <w:spacing w:line="240" w:lineRule="auto"/>
      </w:pPr>
      <w:r w:rsidRPr="00FC1D3A">
        <w:rPr>
          <w:b/>
          <w:bCs/>
        </w:rPr>
        <w:t xml:space="preserve">Ondersteunende instrumenten zijn noodzakelijk om </w:t>
      </w:r>
      <w:proofErr w:type="spellStart"/>
      <w:r w:rsidRPr="00FC1D3A">
        <w:rPr>
          <w:b/>
          <w:bCs/>
        </w:rPr>
        <w:t>kostengebaseerde</w:t>
      </w:r>
      <w:proofErr w:type="spellEnd"/>
      <w:r w:rsidRPr="00FC1D3A">
        <w:rPr>
          <w:b/>
          <w:bCs/>
        </w:rPr>
        <w:t xml:space="preserve"> tarieven te laten werken (zie bijlage </w:t>
      </w:r>
      <w:proofErr w:type="spellStart"/>
      <w:r w:rsidRPr="00FC1D3A" w:rsidR="00910B10">
        <w:rPr>
          <w:b/>
          <w:bCs/>
        </w:rPr>
        <w:t>kostengebaseerde</w:t>
      </w:r>
      <w:proofErr w:type="spellEnd"/>
      <w:r w:rsidRPr="00FC1D3A" w:rsidR="00910B10">
        <w:rPr>
          <w:b/>
          <w:bCs/>
        </w:rPr>
        <w:t xml:space="preserve"> tarieven</w:t>
      </w:r>
      <w:r w:rsidRPr="00FC1D3A">
        <w:rPr>
          <w:b/>
          <w:bCs/>
        </w:rPr>
        <w:t>).</w:t>
      </w:r>
      <w:r>
        <w:t xml:space="preserve"> Het gaat hier om instrumenten als boekhoudregels, en kwaliteitsstandaarden bij het maken van de keus voor een energiesysteem met business cases en kosten-baten afwegingen. Het verlagen van kosten en tarieven is in Nederland extra belangrijk, nu de tarieven zoveel hoger zijn dan in de landen om ons heen (zie bijlage </w:t>
      </w:r>
      <w:proofErr w:type="spellStart"/>
      <w:r w:rsidRPr="00FC1D3A" w:rsidR="00910B10">
        <w:rPr>
          <w:i/>
          <w:iCs/>
        </w:rPr>
        <w:t>kostengebaseerde</w:t>
      </w:r>
      <w:proofErr w:type="spellEnd"/>
      <w:r w:rsidRPr="00FC1D3A" w:rsidR="00910B10">
        <w:rPr>
          <w:i/>
          <w:iCs/>
        </w:rPr>
        <w:t xml:space="preserve"> tarieven</w:t>
      </w:r>
      <w:r>
        <w:t>)</w:t>
      </w:r>
      <w:r w:rsidRPr="00316244">
        <w:t>.</w:t>
      </w:r>
      <w:r>
        <w:t xml:space="preserve"> De ontwikkeling van systemen die goedkoop zijn, zogenaamde </w:t>
      </w:r>
      <w:r w:rsidRPr="00FC1D3A">
        <w:rPr>
          <w:i/>
          <w:iCs/>
        </w:rPr>
        <w:t xml:space="preserve">best </w:t>
      </w:r>
      <w:proofErr w:type="spellStart"/>
      <w:r w:rsidRPr="00FC1D3A">
        <w:rPr>
          <w:i/>
          <w:iCs/>
        </w:rPr>
        <w:t>practices</w:t>
      </w:r>
      <w:proofErr w:type="spellEnd"/>
      <w:r>
        <w:t>, spelen daarbij een sleutelrol. Zij dienen als voorbeeld voor de hele sector. Dit flankerende beleid moet nog ontwikkeld worden.</w:t>
      </w:r>
    </w:p>
    <w:p w:rsidR="00B0365D" w:rsidP="006B4E46" w:rsidRDefault="00E9694C" w14:paraId="41B77402" w14:textId="2507090A">
      <w:pPr>
        <w:spacing w:line="240" w:lineRule="auto"/>
      </w:pPr>
      <w:r>
        <w:t>Internationaal is het bij de meeste gemeenten de praktijk dat het warmtebedrijf (als het niet van de gemeente is) een uitgewerkt plan indient bij de gemeente, waarin de bronnen staan, de verwachte tarieven, de technieken en dergelijke. De gemeente geeft dan toestemming, kan vragen of het plan wordt gewijzigd of onthoudt toestemming. Daarin is de gemeente dan vrij.</w:t>
      </w:r>
      <w:r w:rsidR="00EC6F22">
        <w:t xml:space="preserve"> </w:t>
      </w:r>
      <w:r>
        <w:t>Ze kan invloed uitoefenen op alle onderdelen van de voorziening. Dit betekent dat burgers de gemeente daarop kunnen aanspreken, en er dus ook invloed op hebben.</w:t>
      </w:r>
    </w:p>
    <w:p w:rsidR="00E9694C" w:rsidP="004C6F25" w:rsidRDefault="00E9694C" w14:paraId="0C18F0D6" w14:textId="4393029D">
      <w:pPr>
        <w:spacing w:line="240" w:lineRule="auto"/>
      </w:pPr>
      <w:r>
        <w:t xml:space="preserve">Eer is geen reden om aan te nemen dat gemeenten niet in staat zouden zijn om de goede beslissingen te kunnen nemen over warmtenetten. In de landen om ons heen kunnen gemeenten dat wel goed. Zij hebben meestal de zeggenschap over alle facetten van de warmtevoorziening, of er is een gemeentelijk warmtebedrijf. Onze warmtenetten zijn vrijwel allemaal door gemeenten ontwikkeld, de kennis ging verloren bij de privatisering. Deze kan weer opgebouwd worden. Het Rijk kan daarbij helpen door standaardisatie van allerlei documenten in de warmtevoorziening (zie </w:t>
      </w:r>
      <w:r w:rsidR="001C0938">
        <w:t>aanbevelingen bij 3</w:t>
      </w:r>
      <w:r>
        <w:t xml:space="preserve"> en </w:t>
      </w:r>
      <w:r w:rsidR="001C0938">
        <w:t xml:space="preserve">de </w:t>
      </w:r>
      <w:r>
        <w:t xml:space="preserve">bijlage </w:t>
      </w:r>
      <w:proofErr w:type="spellStart"/>
      <w:r w:rsidR="00910B10">
        <w:t>kostengebaseerde</w:t>
      </w:r>
      <w:proofErr w:type="spellEnd"/>
      <w:r w:rsidR="00910B10">
        <w:t xml:space="preserve"> tarieven</w:t>
      </w:r>
      <w:r>
        <w:t>).</w:t>
      </w:r>
    </w:p>
    <w:p w:rsidR="0033476E" w:rsidP="00E9694C" w:rsidRDefault="0033476E" w14:paraId="52F46E59" w14:textId="77777777">
      <w:pPr>
        <w:spacing w:line="240" w:lineRule="auto"/>
        <w:rPr>
          <w:b/>
          <w:bCs/>
        </w:rPr>
      </w:pPr>
    </w:p>
    <w:p w:rsidR="00E9694C" w:rsidP="00E9694C" w:rsidRDefault="00E9694C" w14:paraId="1B4C5523" w14:textId="5CB2D078">
      <w:pPr>
        <w:spacing w:line="240" w:lineRule="auto"/>
        <w:rPr>
          <w:b/>
          <w:bCs/>
        </w:rPr>
      </w:pPr>
      <w:r>
        <w:rPr>
          <w:b/>
          <w:bCs/>
        </w:rPr>
        <w:t>Conclusie</w:t>
      </w:r>
      <w:r w:rsidR="0045477B">
        <w:rPr>
          <w:b/>
          <w:bCs/>
        </w:rPr>
        <w:t>s over kavels</w:t>
      </w:r>
    </w:p>
    <w:p w:rsidR="00E9694C" w:rsidP="00E9694C" w:rsidRDefault="00E9694C" w14:paraId="5A6ACD32" w14:textId="79D815C7">
      <w:pPr>
        <w:spacing w:line="240" w:lineRule="auto"/>
      </w:pPr>
      <w:r>
        <w:t xml:space="preserve">1: Ontwikkel de juiste instrumenten die gemeenten in staat stellen gemakkelijk beslissingen te nemen over de ontwikkeling van warmtenetten op hun gebied. Daarbij gaat het om de instrumenten genoemd bij </w:t>
      </w:r>
      <w:proofErr w:type="spellStart"/>
      <w:r>
        <w:t>kostengebaseerde</w:t>
      </w:r>
      <w:proofErr w:type="spellEnd"/>
      <w:r>
        <w:t xml:space="preserve"> tarieven</w:t>
      </w:r>
    </w:p>
    <w:p w:rsidR="00E9694C" w:rsidP="00E9694C" w:rsidRDefault="00E9694C" w14:paraId="4E4EDAD1" w14:textId="2EC4E656">
      <w:pPr>
        <w:spacing w:line="240" w:lineRule="auto"/>
      </w:pPr>
      <w:r>
        <w:t>2: Vereenvoudig de kavelsystematiek. Geef gemeenten de bevoegdheid om een kavelplan af te wijzen, dan wel aanwijzingen te geven voor verbetering inzake alle aspecten van het plan, dus ook met betrekking tot de tarieven, de duurzaamheid en de bronnen.</w:t>
      </w:r>
    </w:p>
    <w:p w:rsidRPr="005243FC" w:rsidR="00E9694C" w:rsidP="00E9694C" w:rsidRDefault="00E9694C" w14:paraId="422D7418" w14:textId="19F28D64">
      <w:pPr>
        <w:spacing w:line="240" w:lineRule="auto"/>
      </w:pPr>
      <w:r>
        <w:t>3: Eén besluit over de toewijzing van een kavel, op grond van een gedetailleerd kavelplan, zou voldoende moeten zijn.</w:t>
      </w:r>
      <w:r w:rsidR="00EC6F22">
        <w:t xml:space="preserve"> </w:t>
      </w:r>
      <w:r>
        <w:t xml:space="preserve">Daarbij zou een voorwaarde moeten zijn dat het plan draagvlak heeft in de wijk. </w:t>
      </w:r>
    </w:p>
    <w:p w:rsidR="00E9694C" w:rsidP="00E9694C" w:rsidRDefault="00E9694C" w14:paraId="64CB9355" w14:textId="77777777">
      <w:pPr>
        <w:pStyle w:val="Lijstalinea"/>
        <w:spacing w:line="240" w:lineRule="auto"/>
        <w:ind w:left="360"/>
      </w:pPr>
    </w:p>
    <w:p w:rsidR="00E9694C" w:rsidP="00E9694C" w:rsidRDefault="00E9694C" w14:paraId="70E0232E" w14:textId="77777777"/>
    <w:p w:rsidR="00E9694C" w:rsidP="00E9694C" w:rsidRDefault="00E9694C" w14:paraId="61B28CDA" w14:textId="77777777"/>
    <w:p w:rsidR="00E9694C" w:rsidRDefault="00E9694C" w14:paraId="44650204" w14:textId="77777777"/>
    <w:p w:rsidRPr="005F4F70" w:rsidR="005F4F70" w:rsidP="00C06A91" w:rsidRDefault="005F4F70" w14:paraId="33D76367" w14:textId="7760E76B">
      <w:pPr>
        <w:tabs>
          <w:tab w:val="left" w:pos="4124"/>
        </w:tabs>
      </w:pPr>
    </w:p>
    <w:tbl>
      <w:tblPr>
        <w:tblStyle w:val="TableGrid1"/>
        <w:tblW w:w="8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544"/>
        <w:gridCol w:w="580"/>
        <w:gridCol w:w="3583"/>
      </w:tblGrid>
      <w:tr w:rsidR="00807A95" w:rsidTr="00807A95" w14:paraId="22C7C3C1" w14:textId="77777777">
        <w:trPr>
          <w:trHeight w:val="3005"/>
          <w:jc w:val="center"/>
        </w:trPr>
        <w:tc>
          <w:tcPr>
            <w:tcW w:w="4544" w:type="dxa"/>
            <w:shd w:val="clear" w:color="auto" w:fill="auto"/>
          </w:tcPr>
          <w:p w:rsidR="00807A95" w:rsidP="001938C5" w:rsidRDefault="00807A95" w14:paraId="3301E036" w14:textId="77777777">
            <w:pPr>
              <w:spacing w:before="40" w:line="240" w:lineRule="auto"/>
              <w:rPr>
                <w:rFonts w:ascii="Verdana" w:hAnsi="Verdana"/>
              </w:rPr>
            </w:pPr>
            <w:r>
              <w:rPr>
                <w:rFonts w:ascii="Verdana" w:hAnsi="Verdana"/>
                <w:noProof/>
              </w:rPr>
              <w:lastRenderedPageBreak/>
              <w:drawing>
                <wp:inline distT="0" distB="0" distL="0" distR="0" wp14:anchorId="64AD8413" wp14:editId="6FB0B93F">
                  <wp:extent cx="2846145" cy="1841622"/>
                  <wp:effectExtent l="0" t="0" r="0" b="6350"/>
                  <wp:docPr id="741035638" name="Picture 3" descr="A group of logos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35638" name="Picture 3" descr="A group of logos on a white surfac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878288" cy="1862420"/>
                          </a:xfrm>
                          <a:prstGeom prst="rect">
                            <a:avLst/>
                          </a:prstGeom>
                        </pic:spPr>
                      </pic:pic>
                    </a:graphicData>
                  </a:graphic>
                </wp:inline>
              </w:drawing>
            </w:r>
          </w:p>
        </w:tc>
        <w:tc>
          <w:tcPr>
            <w:tcW w:w="580" w:type="dxa"/>
            <w:shd w:val="clear" w:color="auto" w:fill="auto"/>
          </w:tcPr>
          <w:p w:rsidR="00807A95" w:rsidP="001938C5" w:rsidRDefault="00807A95" w14:paraId="6A0342FE" w14:textId="77777777">
            <w:pPr>
              <w:spacing w:before="40" w:line="240" w:lineRule="auto"/>
              <w:rPr>
                <w:rFonts w:ascii="Verdana" w:hAnsi="Verdana"/>
              </w:rPr>
            </w:pPr>
          </w:p>
        </w:tc>
        <w:tc>
          <w:tcPr>
            <w:tcW w:w="3583" w:type="dxa"/>
            <w:shd w:val="clear" w:color="auto" w:fill="B0CEDE"/>
          </w:tcPr>
          <w:p w:rsidRPr="00F4646A" w:rsidR="00807A95" w:rsidP="001938C5" w:rsidRDefault="00807A95" w14:paraId="1A2E0023" w14:textId="77777777">
            <w:pPr>
              <w:pStyle w:val="KaderKop"/>
              <w:rPr>
                <w:noProof/>
              </w:rPr>
            </w:pPr>
            <w:r w:rsidRPr="002C776C">
              <w:rPr>
                <w:noProof/>
              </w:rPr>
              <w:t>Disclaimer</w:t>
            </w:r>
          </w:p>
          <w:p w:rsidR="00807A95" w:rsidP="001938C5" w:rsidRDefault="00807A95" w14:paraId="71C80DD6" w14:textId="77777777">
            <w:pPr>
              <w:pStyle w:val="KaderTekst"/>
              <w:rPr>
                <w:rFonts w:ascii="Verdana" w:hAnsi="Verdana"/>
              </w:rPr>
            </w:pPr>
            <w:r w:rsidRPr="002C776C">
              <w:rPr>
                <w:noProof/>
              </w:rPr>
              <w:t>De Jonge Akademie, KNAW, NFU, TNO en UNL bemiddelen tussen parlementaire kennisvraag en wetenschappelijk kennisaanbod. De informatie in het kader van Parlement en Wetenschap is afkomstig van vooraanstaande wetenschappers, maar niet onderworpen aan peer review en niet door de wetenschaps</w:t>
            </w:r>
            <w:r>
              <w:rPr>
                <w:noProof/>
              </w:rPr>
              <w:t>-</w:t>
            </w:r>
            <w:r w:rsidRPr="002C776C">
              <w:rPr>
                <w:noProof/>
              </w:rPr>
              <w:t>organisaties geverifieerd.</w:t>
            </w:r>
          </w:p>
        </w:tc>
      </w:tr>
    </w:tbl>
    <w:p w:rsidR="00655FD1" w:rsidP="00807A95" w:rsidRDefault="00655FD1" w14:paraId="7020D51E" w14:textId="27A58967"/>
    <w:sectPr w:rsidR="00655FD1" w:rsidSect="00120CA1">
      <w:headerReference w:type="default" r:id="rId22"/>
      <w:headerReference w:type="first" r:id="rId23"/>
      <w:pgSz w:w="16840" w:h="11907" w:orient="landscape" w:code="9"/>
      <w:pgMar w:top="850" w:right="851" w:bottom="850" w:left="567" w:header="283"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64FC" w14:textId="77777777" w:rsidR="001A59EA" w:rsidRDefault="001A59EA" w:rsidP="00F503F9">
      <w:pPr>
        <w:spacing w:line="240" w:lineRule="auto"/>
      </w:pPr>
      <w:r>
        <w:separator/>
      </w:r>
    </w:p>
  </w:endnote>
  <w:endnote w:type="continuationSeparator" w:id="0">
    <w:p w14:paraId="672D3CE9" w14:textId="77777777" w:rsidR="001A59EA" w:rsidRDefault="001A59EA" w:rsidP="00F503F9">
      <w:pPr>
        <w:spacing w:line="240" w:lineRule="auto"/>
      </w:pPr>
      <w:r>
        <w:continuationSeparator/>
      </w:r>
    </w:p>
  </w:endnote>
  <w:endnote w:type="continuationNotice" w:id="1">
    <w:p w14:paraId="43583D8F" w14:textId="77777777" w:rsidR="001A59EA" w:rsidRDefault="001A59EA">
      <w:pPr>
        <w:spacing w:line="240" w:lineRule="auto"/>
      </w:pPr>
    </w:p>
  </w:endnote>
  <w:endnote w:id="2">
    <w:p w14:paraId="37ED56F5" w14:textId="6B671D1C" w:rsidR="000711D2" w:rsidRPr="00951D70" w:rsidRDefault="000711D2" w:rsidP="000711D2">
      <w:pPr>
        <w:pStyle w:val="Eindnoottekst"/>
      </w:pPr>
      <w:r>
        <w:rPr>
          <w:rStyle w:val="Eindnootmarkering"/>
        </w:rPr>
        <w:endnoteRef/>
      </w:r>
      <w:r w:rsidRPr="00951D70">
        <w:t xml:space="preserve"> </w:t>
      </w:r>
    </w:p>
  </w:endnote>
  <w:endnote w:id="3">
    <w:p w14:paraId="1A556D5C" w14:textId="2142F7E7" w:rsidR="00F044E2" w:rsidRPr="00500F84" w:rsidRDefault="00F044E2" w:rsidP="00F044E2">
      <w:pPr>
        <w:pStyle w:val="Eindnoottekst"/>
        <w:rPr>
          <w:sz w:val="12"/>
          <w:szCs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ource Serif Variable">
    <w:altName w:val="Cambria"/>
    <w:charset w:val="00"/>
    <w:family w:val="roman"/>
    <w:pitch w:val="variable"/>
    <w:sig w:usb0="20000287" w:usb1="02000003" w:usb2="00000000" w:usb3="00000000" w:csb0="0000019F" w:csb1="00000000"/>
  </w:font>
  <w:font w:name="Source Sans 3">
    <w:altName w:val="Calibri"/>
    <w:charset w:val="00"/>
    <w:family w:val="swiss"/>
    <w:pitch w:val="variable"/>
    <w:sig w:usb0="E00002FF" w:usb1="00002003" w:usb2="00000000" w:usb3="00000000" w:csb0="0000019F" w:csb1="00000000"/>
  </w:font>
  <w:font w:name="DejaVu Sans">
    <w:altName w:val="Times New Roma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242D" w14:textId="77777777" w:rsidR="001A59EA" w:rsidRDefault="001A59EA" w:rsidP="00F503F9">
      <w:pPr>
        <w:spacing w:line="240" w:lineRule="auto"/>
      </w:pPr>
      <w:r>
        <w:separator/>
      </w:r>
    </w:p>
  </w:footnote>
  <w:footnote w:type="continuationSeparator" w:id="0">
    <w:p w14:paraId="16FAA258" w14:textId="77777777" w:rsidR="001A59EA" w:rsidRDefault="001A59EA" w:rsidP="00F503F9">
      <w:pPr>
        <w:spacing w:line="240" w:lineRule="auto"/>
      </w:pPr>
      <w:r>
        <w:continuationSeparator/>
      </w:r>
    </w:p>
  </w:footnote>
  <w:footnote w:type="continuationNotice" w:id="1">
    <w:p w14:paraId="417D2357" w14:textId="77777777" w:rsidR="001A59EA" w:rsidRDefault="001A59EA">
      <w:pPr>
        <w:spacing w:line="240" w:lineRule="auto"/>
      </w:pPr>
    </w:p>
  </w:footnote>
  <w:footnote w:id="2">
    <w:p w14:paraId="2EB4D524" w14:textId="77777777" w:rsidR="008277FA" w:rsidRPr="00EB19AF" w:rsidRDefault="008277FA" w:rsidP="008277FA">
      <w:pPr>
        <w:pStyle w:val="Voetnoottekst"/>
        <w:rPr>
          <w:rFonts w:ascii="Calibri" w:hAnsi="Calibri" w:cs="Calibri"/>
          <w:lang w:val="en-GB"/>
        </w:rPr>
      </w:pPr>
      <w:r w:rsidRPr="008C4B55">
        <w:rPr>
          <w:rStyle w:val="Voetnootmarkering"/>
          <w:rFonts w:ascii="Calibri" w:hAnsi="Calibri" w:cs="Calibri"/>
          <w:sz w:val="12"/>
          <w:szCs w:val="12"/>
        </w:rPr>
        <w:footnoteRef/>
      </w:r>
      <w:r w:rsidRPr="008C4B55">
        <w:rPr>
          <w:rFonts w:ascii="Calibri" w:hAnsi="Calibri" w:cs="Calibri"/>
          <w:sz w:val="12"/>
          <w:szCs w:val="12"/>
          <w:lang w:val="en-US"/>
        </w:rPr>
        <w:t xml:space="preserve"> Philips Jr, C. F. (1984). The Regulation of Public Utilities: Theory and Practice. </w:t>
      </w:r>
      <w:r w:rsidRPr="00EB19AF">
        <w:rPr>
          <w:rFonts w:ascii="Calibri" w:hAnsi="Calibri" w:cs="Calibri"/>
          <w:i/>
          <w:iCs/>
          <w:sz w:val="12"/>
          <w:szCs w:val="12"/>
          <w:lang w:val="en-GB"/>
        </w:rPr>
        <w:t>Arlington, VA: Public Utilities Reports</w:t>
      </w:r>
      <w:r w:rsidRPr="00EB19AF">
        <w:rPr>
          <w:rFonts w:ascii="Calibri" w:hAnsi="Calibri" w:cs="Calibri"/>
          <w:sz w:val="12"/>
          <w:szCs w:val="12"/>
          <w:lang w:val="en-GB"/>
        </w:rPr>
        <w:t>.</w:t>
      </w:r>
    </w:p>
  </w:footnote>
  <w:footnote w:id="3">
    <w:p w14:paraId="6068D905" w14:textId="34790D50" w:rsidR="00A615B4" w:rsidRPr="001817D4" w:rsidRDefault="00A615B4" w:rsidP="00A615B4">
      <w:pPr>
        <w:pStyle w:val="Voetnoottekst"/>
        <w:rPr>
          <w:sz w:val="12"/>
          <w:szCs w:val="12"/>
        </w:rPr>
      </w:pPr>
      <w:r w:rsidRPr="001817D4">
        <w:rPr>
          <w:rStyle w:val="Voetnootmarkering"/>
          <w:sz w:val="12"/>
          <w:szCs w:val="12"/>
        </w:rPr>
        <w:footnoteRef/>
      </w:r>
      <w:r w:rsidRPr="001817D4">
        <w:rPr>
          <w:sz w:val="12"/>
          <w:szCs w:val="12"/>
          <w:lang w:val="en-US"/>
        </w:rPr>
        <w:t xml:space="preserve"> </w:t>
      </w:r>
      <w:r w:rsidRPr="001817D4">
        <w:rPr>
          <w:rFonts w:cstheme="minorHAnsi"/>
          <w:sz w:val="12"/>
          <w:szCs w:val="12"/>
          <w:lang w:val="en-US"/>
        </w:rPr>
        <w:t xml:space="preserve">Fraunhofer (2021). </w:t>
      </w:r>
      <w:r w:rsidRPr="001817D4">
        <w:rPr>
          <w:rFonts w:cstheme="minorHAnsi"/>
          <w:color w:val="1F82C0"/>
          <w:spacing w:val="6"/>
          <w:sz w:val="12"/>
          <w:szCs w:val="12"/>
          <w:lang w:val="en-US"/>
        </w:rPr>
        <w:t xml:space="preserve">Low-temperature district heating systems: New guidebook proves technical feasibility and profitability. </w:t>
      </w:r>
      <w:hyperlink r:id="rId1" w:history="1">
        <w:r w:rsidRPr="001817D4">
          <w:rPr>
            <w:rStyle w:val="Hyperlink"/>
            <w:rFonts w:cstheme="minorHAnsi"/>
            <w:sz w:val="12"/>
            <w:szCs w:val="12"/>
          </w:rPr>
          <w:t>https://www.iee.fraunhofer.de/en/presse-infothek/press-media/overview/2021/guidebook-low-temperature-district-heating-systems.html</w:t>
        </w:r>
      </w:hyperlink>
    </w:p>
  </w:footnote>
  <w:footnote w:id="4">
    <w:p w14:paraId="1B18BDC9" w14:textId="7C750437" w:rsidR="00462571" w:rsidRPr="001817D4" w:rsidRDefault="00462571">
      <w:pPr>
        <w:pStyle w:val="Voetnoottekst"/>
        <w:rPr>
          <w:sz w:val="12"/>
          <w:szCs w:val="12"/>
          <w:lang w:val="en-US"/>
        </w:rPr>
      </w:pPr>
      <w:r w:rsidRPr="001817D4">
        <w:rPr>
          <w:rStyle w:val="Voetnootmarkering"/>
          <w:sz w:val="12"/>
          <w:szCs w:val="12"/>
        </w:rPr>
        <w:footnoteRef/>
      </w:r>
      <w:r w:rsidRPr="001817D4">
        <w:rPr>
          <w:sz w:val="12"/>
          <w:szCs w:val="12"/>
          <w:lang w:val="en-US"/>
        </w:rPr>
        <w:t xml:space="preserve"> </w:t>
      </w:r>
      <w:r w:rsidRPr="001817D4">
        <w:rPr>
          <w:rFonts w:cstheme="minorHAnsi"/>
          <w:i/>
          <w:iCs/>
          <w:sz w:val="12"/>
          <w:szCs w:val="12"/>
          <w:lang w:val="en-US"/>
        </w:rPr>
        <w:t xml:space="preserve">Akos Revesz a, Phil Jones b, Chris Dunham c, Gareth Davies a, Catarina Marques a, Rodrigo Matabuena d, Jim Scott e, Graeme Maidment a (2020) Developing novel 5th generation district energy network: </w:t>
      </w:r>
      <w:hyperlink r:id="rId2" w:history="1">
        <w:r w:rsidRPr="001817D4">
          <w:rPr>
            <w:rStyle w:val="Hyperlink"/>
            <w:rFonts w:cstheme="minorHAnsi"/>
            <w:sz w:val="12"/>
            <w:szCs w:val="12"/>
            <w:lang w:val="en-US"/>
          </w:rPr>
          <w:t>Developing novel 5th generation district energy networks - ScienceDirect</w:t>
        </w:r>
      </w:hyperlink>
    </w:p>
  </w:footnote>
  <w:footnote w:id="5">
    <w:p w14:paraId="36A172EA" w14:textId="2A6196AB" w:rsidR="00DA72A7" w:rsidRPr="001817D4" w:rsidRDefault="00DA72A7">
      <w:pPr>
        <w:pStyle w:val="Voetnoottekst"/>
        <w:rPr>
          <w:sz w:val="12"/>
          <w:szCs w:val="12"/>
          <w:lang w:val="en-US"/>
        </w:rPr>
      </w:pPr>
      <w:r w:rsidRPr="001817D4">
        <w:rPr>
          <w:rStyle w:val="Voetnootmarkering"/>
          <w:sz w:val="12"/>
          <w:szCs w:val="12"/>
        </w:rPr>
        <w:footnoteRef/>
      </w:r>
      <w:r w:rsidRPr="001817D4">
        <w:rPr>
          <w:sz w:val="12"/>
          <w:szCs w:val="12"/>
          <w:lang w:val="en-US"/>
        </w:rPr>
        <w:t xml:space="preserve"> </w:t>
      </w:r>
      <w:r w:rsidRPr="001817D4">
        <w:rPr>
          <w:rFonts w:cstheme="minorHAnsi"/>
          <w:sz w:val="12"/>
          <w:szCs w:val="12"/>
          <w:lang w:val="en-US"/>
        </w:rPr>
        <w:t xml:space="preserve">Henrik Lund </w:t>
      </w:r>
      <w:r w:rsidRPr="001817D4">
        <w:rPr>
          <w:rFonts w:cstheme="minorHAnsi"/>
          <w:sz w:val="12"/>
          <w:szCs w:val="12"/>
          <w:vertAlign w:val="superscript"/>
          <w:lang w:val="en-US"/>
        </w:rPr>
        <w:t>a</w:t>
      </w:r>
      <w:r w:rsidRPr="001817D4">
        <w:rPr>
          <w:rFonts w:cstheme="minorHAnsi"/>
          <w:sz w:val="12"/>
          <w:szCs w:val="12"/>
          <w:lang w:val="en-US"/>
        </w:rPr>
        <w:t xml:space="preserve">, Poul Alberg Østergaard </w:t>
      </w:r>
      <w:r w:rsidRPr="001817D4">
        <w:rPr>
          <w:rFonts w:cstheme="minorHAnsi"/>
          <w:sz w:val="12"/>
          <w:szCs w:val="12"/>
          <w:vertAlign w:val="superscript"/>
          <w:lang w:val="en-US"/>
        </w:rPr>
        <w:t>a</w:t>
      </w:r>
      <w:r w:rsidRPr="001817D4">
        <w:rPr>
          <w:rFonts w:cstheme="minorHAnsi"/>
          <w:sz w:val="12"/>
          <w:szCs w:val="12"/>
          <w:lang w:val="en-US"/>
        </w:rPr>
        <w:t xml:space="preserve">, Miguel Chang </w:t>
      </w:r>
      <w:r w:rsidRPr="001817D4">
        <w:rPr>
          <w:rFonts w:cstheme="minorHAnsi"/>
          <w:sz w:val="12"/>
          <w:szCs w:val="12"/>
          <w:vertAlign w:val="superscript"/>
          <w:lang w:val="en-US"/>
        </w:rPr>
        <w:t>a</w:t>
      </w:r>
      <w:r w:rsidRPr="001817D4">
        <w:rPr>
          <w:rFonts w:cstheme="minorHAnsi"/>
          <w:sz w:val="12"/>
          <w:szCs w:val="12"/>
          <w:lang w:val="en-US"/>
        </w:rPr>
        <w:t xml:space="preserve">, Sven Werner </w:t>
      </w:r>
      <w:r w:rsidRPr="001817D4">
        <w:rPr>
          <w:rFonts w:cstheme="minorHAnsi"/>
          <w:sz w:val="12"/>
          <w:szCs w:val="12"/>
          <w:vertAlign w:val="superscript"/>
          <w:lang w:val="en-US"/>
        </w:rPr>
        <w:t>b</w:t>
      </w:r>
      <w:r w:rsidRPr="001817D4">
        <w:rPr>
          <w:rFonts w:cstheme="minorHAnsi"/>
          <w:sz w:val="12"/>
          <w:szCs w:val="12"/>
          <w:lang w:val="en-US"/>
        </w:rPr>
        <w:t xml:space="preserve">, </w:t>
      </w:r>
      <w:hyperlink r:id="rId3" w:history="1">
        <w:r w:rsidRPr="001817D4">
          <w:rPr>
            <w:rFonts w:cstheme="minorHAnsi"/>
            <w:color w:val="0000FF"/>
            <w:sz w:val="12"/>
            <w:szCs w:val="12"/>
            <w:u w:val="single"/>
            <w:lang w:val="en-US"/>
          </w:rPr>
          <w:t xml:space="preserve">Svend </w:t>
        </w:r>
        <w:r w:rsidRPr="001817D4">
          <w:rPr>
            <w:rFonts w:cstheme="minorHAnsi"/>
            <w:color w:val="0000FF"/>
            <w:sz w:val="12"/>
            <w:szCs w:val="12"/>
            <w:lang w:val="en-US"/>
          </w:rPr>
          <w:t>Svendsen</w:t>
        </w:r>
        <w:r w:rsidRPr="001817D4">
          <w:rPr>
            <w:rFonts w:cstheme="minorHAnsi"/>
            <w:color w:val="0000FF"/>
            <w:sz w:val="12"/>
            <w:szCs w:val="12"/>
            <w:u w:val="single"/>
            <w:lang w:val="en-US"/>
          </w:rPr>
          <w:t xml:space="preserve"> </w:t>
        </w:r>
        <w:r w:rsidRPr="001817D4">
          <w:rPr>
            <w:rFonts w:cstheme="minorHAnsi"/>
            <w:color w:val="0000FF"/>
            <w:sz w:val="12"/>
            <w:szCs w:val="12"/>
            <w:u w:val="single"/>
            <w:vertAlign w:val="superscript"/>
            <w:lang w:val="en-US"/>
          </w:rPr>
          <w:t>c</w:t>
        </w:r>
      </w:hyperlink>
      <w:r w:rsidRPr="001817D4">
        <w:rPr>
          <w:rFonts w:cstheme="minorHAnsi"/>
          <w:sz w:val="12"/>
          <w:szCs w:val="12"/>
          <w:lang w:val="en-US"/>
        </w:rPr>
        <w:t xml:space="preserve">, Peter Sorknæs </w:t>
      </w:r>
      <w:r w:rsidRPr="001817D4">
        <w:rPr>
          <w:rFonts w:cstheme="minorHAnsi"/>
          <w:sz w:val="12"/>
          <w:szCs w:val="12"/>
          <w:vertAlign w:val="superscript"/>
          <w:lang w:val="en-US"/>
        </w:rPr>
        <w:t>a</w:t>
      </w:r>
      <w:r w:rsidRPr="001817D4">
        <w:rPr>
          <w:rFonts w:cstheme="minorHAnsi"/>
          <w:sz w:val="12"/>
          <w:szCs w:val="12"/>
          <w:lang w:val="en-US"/>
        </w:rPr>
        <w:t xml:space="preserve">, Jan Eric Thorsen </w:t>
      </w:r>
      <w:r w:rsidRPr="001817D4">
        <w:rPr>
          <w:rFonts w:cstheme="minorHAnsi"/>
          <w:sz w:val="12"/>
          <w:szCs w:val="12"/>
          <w:vertAlign w:val="superscript"/>
          <w:lang w:val="en-US"/>
        </w:rPr>
        <w:t>d</w:t>
      </w:r>
      <w:r w:rsidRPr="001817D4">
        <w:rPr>
          <w:rFonts w:cstheme="minorHAnsi"/>
          <w:sz w:val="12"/>
          <w:szCs w:val="12"/>
          <w:lang w:val="en-US"/>
        </w:rPr>
        <w:t xml:space="preserve">, Frede Hvelplund </w:t>
      </w:r>
      <w:r w:rsidRPr="001817D4">
        <w:rPr>
          <w:rFonts w:cstheme="minorHAnsi"/>
          <w:sz w:val="12"/>
          <w:szCs w:val="12"/>
          <w:vertAlign w:val="superscript"/>
          <w:lang w:val="en-US"/>
        </w:rPr>
        <w:t>a</w:t>
      </w:r>
      <w:r w:rsidRPr="001817D4">
        <w:rPr>
          <w:rFonts w:cstheme="minorHAnsi"/>
          <w:sz w:val="12"/>
          <w:szCs w:val="12"/>
          <w:lang w:val="en-US"/>
        </w:rPr>
        <w:t xml:space="preserve">, Bent Ole Gram Mortensen </w:t>
      </w:r>
      <w:r w:rsidRPr="001817D4">
        <w:rPr>
          <w:rFonts w:cstheme="minorHAnsi"/>
          <w:sz w:val="12"/>
          <w:szCs w:val="12"/>
          <w:vertAlign w:val="superscript"/>
          <w:lang w:val="en-US"/>
        </w:rPr>
        <w:t>e</w:t>
      </w:r>
      <w:r w:rsidRPr="001817D4">
        <w:rPr>
          <w:rFonts w:cstheme="minorHAnsi"/>
          <w:sz w:val="12"/>
          <w:szCs w:val="12"/>
          <w:lang w:val="en-US"/>
        </w:rPr>
        <w:t xml:space="preserve">, Brian Vad Mathiesen </w:t>
      </w:r>
      <w:r w:rsidRPr="001817D4">
        <w:rPr>
          <w:rFonts w:cstheme="minorHAnsi"/>
          <w:sz w:val="12"/>
          <w:szCs w:val="12"/>
          <w:vertAlign w:val="superscript"/>
          <w:lang w:val="en-US"/>
        </w:rPr>
        <w:t>f</w:t>
      </w:r>
      <w:r w:rsidRPr="001817D4">
        <w:rPr>
          <w:rFonts w:cstheme="minorHAnsi"/>
          <w:sz w:val="12"/>
          <w:szCs w:val="12"/>
          <w:lang w:val="en-US"/>
        </w:rPr>
        <w:t xml:space="preserve">, Carsten Bojesen </w:t>
      </w:r>
      <w:r w:rsidRPr="001817D4">
        <w:rPr>
          <w:rFonts w:cstheme="minorHAnsi"/>
          <w:sz w:val="12"/>
          <w:szCs w:val="12"/>
          <w:vertAlign w:val="superscript"/>
          <w:lang w:val="en-US"/>
        </w:rPr>
        <w:t>g</w:t>
      </w:r>
      <w:r w:rsidRPr="001817D4">
        <w:rPr>
          <w:rFonts w:cstheme="minorHAnsi"/>
          <w:sz w:val="12"/>
          <w:szCs w:val="12"/>
          <w:lang w:val="en-US"/>
        </w:rPr>
        <w:t xml:space="preserve">, Neven </w:t>
      </w:r>
      <w:r w:rsidRPr="001817D4">
        <w:rPr>
          <w:rFonts w:cstheme="minorHAnsi"/>
          <w:sz w:val="12"/>
          <w:szCs w:val="12"/>
          <w:lang w:val="en-US"/>
        </w:rPr>
        <w:t xml:space="preserve">Duic </w:t>
      </w:r>
      <w:r w:rsidRPr="001817D4">
        <w:rPr>
          <w:rFonts w:cstheme="minorHAnsi"/>
          <w:sz w:val="12"/>
          <w:szCs w:val="12"/>
          <w:vertAlign w:val="superscript"/>
          <w:lang w:val="en-US"/>
        </w:rPr>
        <w:t>h</w:t>
      </w:r>
      <w:r w:rsidRPr="001817D4">
        <w:rPr>
          <w:rFonts w:cstheme="minorHAnsi"/>
          <w:sz w:val="12"/>
          <w:szCs w:val="12"/>
          <w:lang w:val="en-US"/>
        </w:rPr>
        <w:t xml:space="preserve">, Xiliang Zhang </w:t>
      </w:r>
      <w:r w:rsidRPr="001817D4">
        <w:rPr>
          <w:rFonts w:cstheme="minorHAnsi"/>
          <w:sz w:val="12"/>
          <w:szCs w:val="12"/>
          <w:vertAlign w:val="superscript"/>
          <w:lang w:val="en-US"/>
        </w:rPr>
        <w:t>i</w:t>
      </w:r>
      <w:r w:rsidRPr="001817D4">
        <w:rPr>
          <w:rFonts w:cstheme="minorHAnsi"/>
          <w:sz w:val="12"/>
          <w:szCs w:val="12"/>
          <w:lang w:val="en-US"/>
        </w:rPr>
        <w:t xml:space="preserve">, Bernd Möller </w:t>
      </w:r>
      <w:r w:rsidRPr="001817D4">
        <w:rPr>
          <w:rFonts w:cstheme="minorHAnsi"/>
          <w:sz w:val="12"/>
          <w:szCs w:val="12"/>
          <w:vertAlign w:val="superscript"/>
          <w:lang w:val="en-US"/>
        </w:rPr>
        <w:t>a</w:t>
      </w:r>
      <w:r w:rsidRPr="001817D4">
        <w:rPr>
          <w:rFonts w:cstheme="minorHAnsi"/>
          <w:sz w:val="12"/>
          <w:szCs w:val="12"/>
          <w:lang w:val="en-US"/>
        </w:rPr>
        <w:t xml:space="preserve"> </w:t>
      </w:r>
      <w:r w:rsidRPr="001817D4">
        <w:rPr>
          <w:rFonts w:cstheme="minorHAnsi"/>
          <w:sz w:val="12"/>
          <w:szCs w:val="12"/>
          <w:vertAlign w:val="superscript"/>
          <w:lang w:val="en-US"/>
        </w:rPr>
        <w:t xml:space="preserve">j </w:t>
      </w:r>
      <w:r w:rsidRPr="001817D4">
        <w:rPr>
          <w:rFonts w:cstheme="minorHAnsi"/>
          <w:sz w:val="12"/>
          <w:szCs w:val="12"/>
          <w:lang w:val="en-US"/>
        </w:rPr>
        <w:t xml:space="preserve">(2018) The status of 4th generation district heating: Research and results </w:t>
      </w:r>
      <w:hyperlink r:id="rId4" w:history="1">
        <w:r w:rsidRPr="001817D4">
          <w:rPr>
            <w:rStyle w:val="Hyperlink"/>
            <w:rFonts w:cstheme="minorHAnsi"/>
            <w:bCs/>
            <w:sz w:val="12"/>
            <w:szCs w:val="12"/>
            <w:lang w:val="en-US"/>
          </w:rPr>
          <w:t>https://www.sciencedirect.com/science/article/pii/S0360544218317420</w:t>
        </w:r>
      </w:hyperlink>
    </w:p>
  </w:footnote>
  <w:footnote w:id="6">
    <w:p w14:paraId="2A08767C" w14:textId="77777777" w:rsidR="0031428B" w:rsidRPr="001817D4" w:rsidRDefault="0031428B" w:rsidP="0031428B">
      <w:pPr>
        <w:pStyle w:val="Voetnoottekst"/>
        <w:rPr>
          <w:sz w:val="12"/>
          <w:szCs w:val="12"/>
          <w:lang w:val="en-US"/>
        </w:rPr>
      </w:pPr>
      <w:r w:rsidRPr="001817D4">
        <w:rPr>
          <w:rStyle w:val="Voetnootmarkering"/>
          <w:sz w:val="12"/>
          <w:szCs w:val="12"/>
        </w:rPr>
        <w:footnoteRef/>
      </w:r>
      <w:r w:rsidRPr="001817D4">
        <w:rPr>
          <w:sz w:val="12"/>
          <w:szCs w:val="12"/>
          <w:lang w:val="en-US"/>
        </w:rPr>
        <w:t xml:space="preserve"> https://www.rijksoverheid.nl/documenten/rapporten/2020/01/20/rapport-gemeentelijke-besluitvorming-warmtenetten-tno</w:t>
      </w:r>
    </w:p>
  </w:footnote>
  <w:footnote w:id="7">
    <w:p w14:paraId="7A1045A1" w14:textId="0ED3AB7C" w:rsidR="002658F7" w:rsidRPr="001817D4" w:rsidRDefault="002658F7">
      <w:pPr>
        <w:pStyle w:val="Voetnoottekst"/>
        <w:rPr>
          <w:sz w:val="12"/>
          <w:szCs w:val="12"/>
        </w:rPr>
      </w:pPr>
      <w:r w:rsidRPr="001817D4">
        <w:rPr>
          <w:rStyle w:val="Voetnootmarkering"/>
          <w:sz w:val="12"/>
          <w:szCs w:val="12"/>
        </w:rPr>
        <w:footnoteRef/>
      </w:r>
      <w:r w:rsidRPr="001817D4">
        <w:rPr>
          <w:sz w:val="12"/>
          <w:szCs w:val="12"/>
        </w:rPr>
        <w:t xml:space="preserve"> Tijdens een technische briefing in april 2025 gaf de ACM zelf ook aan niet de capaciteit te hebben voor </w:t>
      </w:r>
      <w:r w:rsidR="00C306F3" w:rsidRPr="001817D4">
        <w:rPr>
          <w:sz w:val="12"/>
          <w:szCs w:val="12"/>
        </w:rPr>
        <w:t>het toezicht op de tarieven en duurzaamheid voor alle netten: https://www.acm.nl/nl/publicaties/presentatie-acm-bij-technische-briefing-tariefregulering-wcw</w:t>
      </w:r>
    </w:p>
  </w:footnote>
  <w:footnote w:id="8">
    <w:p w14:paraId="11E1455E" w14:textId="1EBA614C" w:rsidR="0022079C" w:rsidRPr="001817D4" w:rsidRDefault="0022079C">
      <w:pPr>
        <w:pStyle w:val="Voetnoottekst"/>
        <w:rPr>
          <w:sz w:val="12"/>
          <w:szCs w:val="12"/>
        </w:rPr>
      </w:pPr>
      <w:r w:rsidRPr="001817D4">
        <w:rPr>
          <w:rStyle w:val="Voetnootmarkering"/>
          <w:sz w:val="12"/>
          <w:szCs w:val="12"/>
        </w:rPr>
        <w:footnoteRef/>
      </w:r>
      <w:r w:rsidRPr="001817D4">
        <w:rPr>
          <w:sz w:val="12"/>
          <w:szCs w:val="12"/>
        </w:rPr>
        <w:t xml:space="preserve"> NMDA: ‘Niet meer dan anders’ – zie </w:t>
      </w:r>
      <w:hyperlink r:id="rId5" w:anchor=":~:text=In%20de%20Warmtewet%20is%20vastgesteld,(Niet%20Meer%20Dan%20Anders)." w:history="1">
        <w:r w:rsidRPr="001817D4">
          <w:rPr>
            <w:rStyle w:val="Hyperlink"/>
            <w:sz w:val="12"/>
            <w:szCs w:val="12"/>
          </w:rPr>
          <w:t>toelichting</w:t>
        </w:r>
      </w:hyperlink>
      <w:r w:rsidRPr="001817D4">
        <w:rPr>
          <w:sz w:val="12"/>
          <w:szCs w:val="12"/>
        </w:rPr>
        <w:t>.</w:t>
      </w:r>
    </w:p>
  </w:footnote>
  <w:footnote w:id="9">
    <w:p w14:paraId="0750ED8D" w14:textId="79BAB74E" w:rsidR="0022079C" w:rsidRPr="001817D4" w:rsidRDefault="0022079C">
      <w:pPr>
        <w:pStyle w:val="Voetnoottekst"/>
        <w:rPr>
          <w:sz w:val="12"/>
          <w:szCs w:val="12"/>
          <w:lang w:val="en-US"/>
        </w:rPr>
      </w:pPr>
      <w:r w:rsidRPr="001817D4">
        <w:rPr>
          <w:rStyle w:val="Voetnootmarkering"/>
          <w:sz w:val="12"/>
          <w:szCs w:val="12"/>
        </w:rPr>
        <w:footnoteRef/>
      </w:r>
      <w:r w:rsidRPr="001817D4">
        <w:rPr>
          <w:sz w:val="12"/>
          <w:szCs w:val="12"/>
          <w:lang w:val="en-US"/>
        </w:rPr>
        <w:t xml:space="preserve"> Our City, Our Grid: The energy </w:t>
      </w:r>
      <w:r w:rsidRPr="001817D4">
        <w:rPr>
          <w:sz w:val="12"/>
          <w:szCs w:val="12"/>
          <w:lang w:val="en-US"/>
        </w:rPr>
        <w:t>remunicipalisation trend in Germany. By Sören Beckerhttps://www.municipalservicesproject.org/publications/reclaiming_public_services.pdf#page=118</w:t>
      </w:r>
    </w:p>
  </w:footnote>
  <w:footnote w:id="10">
    <w:p w14:paraId="6DF05CFD" w14:textId="1EACE0EC" w:rsidR="0089228C" w:rsidRPr="0033476E" w:rsidRDefault="0089228C">
      <w:pPr>
        <w:pStyle w:val="Voetnoottekst"/>
        <w:rPr>
          <w:sz w:val="12"/>
          <w:szCs w:val="12"/>
        </w:rPr>
      </w:pPr>
      <w:r w:rsidRPr="0033476E">
        <w:rPr>
          <w:rStyle w:val="Voetnootmarkering"/>
          <w:sz w:val="12"/>
          <w:szCs w:val="12"/>
        </w:rPr>
        <w:footnoteRef/>
      </w:r>
      <w:r w:rsidRPr="0033476E">
        <w:rPr>
          <w:sz w:val="12"/>
          <w:szCs w:val="12"/>
        </w:rPr>
        <w:t xml:space="preserve"> </w:t>
      </w:r>
      <w:r w:rsidRPr="0033476E">
        <w:rPr>
          <w:rFonts w:cstheme="minorHAnsi"/>
          <w:i/>
          <w:iCs/>
          <w:sz w:val="12"/>
          <w:szCs w:val="12"/>
        </w:rPr>
        <w:t xml:space="preserve">Rijksoverheid (2023). Expertteam Energiesysteem 2050. Energie door perspectief: rechtvaardig, robuust en duurzaam naar 2050. </w:t>
      </w:r>
      <w:hyperlink r:id="rId6" w:history="1">
        <w:r w:rsidRPr="0033476E">
          <w:rPr>
            <w:rStyle w:val="Hyperlink"/>
            <w:rFonts w:cstheme="minorHAnsi"/>
            <w:sz w:val="12"/>
            <w:szCs w:val="12"/>
          </w:rPr>
          <w:t>https://www.rijksoverheid.nl/documenten/rapporten/2023/04/13/energie-door-perspectief-rechtvaardig-robuust-en-duurzaam-naar-2050</w:t>
        </w:r>
      </w:hyperlink>
    </w:p>
  </w:footnote>
  <w:footnote w:id="11">
    <w:p w14:paraId="6906A97A" w14:textId="402BD3F8" w:rsidR="0089228C" w:rsidRPr="0033476E" w:rsidRDefault="0089228C">
      <w:pPr>
        <w:pStyle w:val="Voetnoottekst"/>
        <w:rPr>
          <w:sz w:val="12"/>
          <w:szCs w:val="12"/>
        </w:rPr>
      </w:pPr>
      <w:r w:rsidRPr="0033476E">
        <w:rPr>
          <w:rStyle w:val="Voetnootmarkering"/>
          <w:sz w:val="12"/>
          <w:szCs w:val="12"/>
        </w:rPr>
        <w:footnoteRef/>
      </w:r>
      <w:r w:rsidRPr="0033476E">
        <w:rPr>
          <w:sz w:val="12"/>
          <w:szCs w:val="12"/>
        </w:rPr>
        <w:t xml:space="preserve"> https://jpi-urbaneurope.eu/ped/</w:t>
      </w:r>
    </w:p>
  </w:footnote>
  <w:footnote w:id="12">
    <w:p w14:paraId="2AC23369" w14:textId="59832102" w:rsidR="0022079C" w:rsidRPr="0033476E" w:rsidRDefault="0022079C">
      <w:pPr>
        <w:pStyle w:val="Voetnoottekst"/>
        <w:rPr>
          <w:sz w:val="12"/>
          <w:szCs w:val="12"/>
        </w:rPr>
      </w:pPr>
      <w:r w:rsidRPr="0033476E">
        <w:rPr>
          <w:rStyle w:val="Voetnootmarkering"/>
          <w:sz w:val="12"/>
          <w:szCs w:val="12"/>
        </w:rPr>
        <w:footnoteRef/>
      </w:r>
      <w:r w:rsidRPr="0033476E">
        <w:rPr>
          <w:sz w:val="12"/>
          <w:szCs w:val="12"/>
        </w:rPr>
        <w:t xml:space="preserve"> </w:t>
      </w:r>
      <w:r w:rsidR="0089228C" w:rsidRPr="0033476E">
        <w:rPr>
          <w:sz w:val="12"/>
          <w:szCs w:val="12"/>
        </w:rPr>
        <w:t>(Z)LT-netten: (zeer)</w:t>
      </w:r>
      <w:r w:rsidR="0089228C" w:rsidRPr="0033476E">
        <w:rPr>
          <w:sz w:val="12"/>
          <w:szCs w:val="12"/>
        </w:rPr>
        <w:t>lagetemperatuur-warmte- en koudenetten</w:t>
      </w:r>
    </w:p>
  </w:footnote>
  <w:footnote w:id="13">
    <w:p w14:paraId="553009FF" w14:textId="6001F30D" w:rsidR="0022079C" w:rsidRPr="0033476E" w:rsidRDefault="0022079C">
      <w:pPr>
        <w:pStyle w:val="Voetnoottekst"/>
        <w:rPr>
          <w:sz w:val="12"/>
          <w:szCs w:val="12"/>
          <w:lang w:val="en-US"/>
        </w:rPr>
      </w:pPr>
      <w:r w:rsidRPr="0033476E">
        <w:rPr>
          <w:rStyle w:val="Voetnootmarkering"/>
          <w:sz w:val="12"/>
          <w:szCs w:val="12"/>
        </w:rPr>
        <w:footnoteRef/>
      </w:r>
      <w:r w:rsidR="0089228C" w:rsidRPr="0033476E">
        <w:rPr>
          <w:rFonts w:cstheme="minorHAnsi"/>
          <w:i/>
          <w:iCs/>
          <w:sz w:val="12"/>
          <w:szCs w:val="12"/>
          <w:lang w:val="en-US"/>
        </w:rPr>
        <w:t xml:space="preserve">Akos Revesz a, Phil Jones b, Chris Dunham c, Gareth Davies a, Catarina Marques a, Rodrigo Matabuena d, Jim Scott e, Graeme Maidment a (2020) Developing novel 5th generation district energy network: </w:t>
      </w:r>
      <w:hyperlink r:id="rId7" w:history="1">
        <w:r w:rsidR="0089228C" w:rsidRPr="0033476E">
          <w:rPr>
            <w:rStyle w:val="Hyperlink"/>
            <w:rFonts w:cstheme="minorHAnsi"/>
            <w:sz w:val="12"/>
            <w:szCs w:val="12"/>
            <w:lang w:val="en-US"/>
          </w:rPr>
          <w:t>Developing novel 5th generation district energy networks - ScienceDirect</w:t>
        </w:r>
      </w:hyperlink>
    </w:p>
  </w:footnote>
  <w:footnote w:id="14">
    <w:p w14:paraId="7ADCA2E3" w14:textId="7614B562" w:rsidR="0089228C" w:rsidRPr="0033476E" w:rsidRDefault="0089228C">
      <w:pPr>
        <w:pStyle w:val="Voetnoottekst"/>
        <w:rPr>
          <w:sz w:val="12"/>
          <w:szCs w:val="12"/>
        </w:rPr>
      </w:pPr>
      <w:r w:rsidRPr="0033476E">
        <w:rPr>
          <w:rStyle w:val="Voetnootmarkering"/>
          <w:sz w:val="12"/>
          <w:szCs w:val="12"/>
        </w:rPr>
        <w:footnoteRef/>
      </w:r>
      <w:r w:rsidRPr="0033476E">
        <w:rPr>
          <w:sz w:val="12"/>
          <w:szCs w:val="12"/>
          <w:lang w:val="en-US"/>
        </w:rPr>
        <w:t xml:space="preserve"> </w:t>
      </w:r>
      <w:r w:rsidRPr="0033476E">
        <w:rPr>
          <w:rFonts w:cstheme="minorHAnsi"/>
          <w:sz w:val="12"/>
          <w:szCs w:val="12"/>
          <w:lang w:val="en-US"/>
        </w:rPr>
        <w:t xml:space="preserve">Fraunhofer (2021). </w:t>
      </w:r>
      <w:r w:rsidRPr="0033476E">
        <w:rPr>
          <w:rFonts w:cstheme="minorHAnsi"/>
          <w:color w:val="1F82C0"/>
          <w:spacing w:val="6"/>
          <w:sz w:val="12"/>
          <w:szCs w:val="12"/>
          <w:lang w:val="en-US"/>
        </w:rPr>
        <w:t xml:space="preserve">Low-temperature district heating systems: New guidebook proves technical feasibility and profitability. </w:t>
      </w:r>
      <w:hyperlink r:id="rId8" w:history="1">
        <w:r w:rsidRPr="0033476E">
          <w:rPr>
            <w:rStyle w:val="Hyperlink"/>
            <w:rFonts w:cstheme="minorHAnsi"/>
            <w:sz w:val="12"/>
            <w:szCs w:val="12"/>
          </w:rPr>
          <w:t>https://www.iee.fraunhofer.de/en/presse-infothek/press-media/overview/2021/guidebook-low-temperature-district-heating-systems.html</w:t>
        </w:r>
      </w:hyperlink>
    </w:p>
  </w:footnote>
  <w:footnote w:id="15">
    <w:p w14:paraId="3673D540" w14:textId="1C6675B6" w:rsidR="0089228C" w:rsidRPr="0033476E" w:rsidRDefault="0089228C">
      <w:pPr>
        <w:pStyle w:val="Voetnoottekst"/>
        <w:rPr>
          <w:sz w:val="12"/>
          <w:szCs w:val="12"/>
          <w:lang w:val="en-US"/>
        </w:rPr>
      </w:pPr>
      <w:r w:rsidRPr="0033476E">
        <w:rPr>
          <w:rStyle w:val="Voetnootmarkering"/>
          <w:sz w:val="12"/>
          <w:szCs w:val="12"/>
        </w:rPr>
        <w:footnoteRef/>
      </w:r>
      <w:r w:rsidRPr="0033476E">
        <w:rPr>
          <w:sz w:val="12"/>
          <w:szCs w:val="12"/>
          <w:lang w:val="en-US"/>
        </w:rPr>
        <w:t xml:space="preserve"> </w:t>
      </w:r>
      <w:r w:rsidRPr="0033476E">
        <w:rPr>
          <w:rFonts w:cstheme="minorHAnsi"/>
          <w:sz w:val="12"/>
          <w:szCs w:val="12"/>
          <w:lang w:val="en-US"/>
        </w:rPr>
        <w:t xml:space="preserve">Henrik Lund </w:t>
      </w:r>
      <w:r w:rsidRPr="0033476E">
        <w:rPr>
          <w:rFonts w:cstheme="minorHAnsi"/>
          <w:sz w:val="12"/>
          <w:szCs w:val="12"/>
          <w:vertAlign w:val="superscript"/>
          <w:lang w:val="en-US"/>
        </w:rPr>
        <w:t>a</w:t>
      </w:r>
      <w:r w:rsidRPr="0033476E">
        <w:rPr>
          <w:rFonts w:cstheme="minorHAnsi"/>
          <w:sz w:val="12"/>
          <w:szCs w:val="12"/>
          <w:lang w:val="en-US"/>
        </w:rPr>
        <w:t xml:space="preserve">, Poul Alberg Østergaard </w:t>
      </w:r>
      <w:r w:rsidRPr="0033476E">
        <w:rPr>
          <w:rFonts w:cstheme="minorHAnsi"/>
          <w:sz w:val="12"/>
          <w:szCs w:val="12"/>
          <w:vertAlign w:val="superscript"/>
          <w:lang w:val="en-US"/>
        </w:rPr>
        <w:t>a</w:t>
      </w:r>
      <w:r w:rsidRPr="0033476E">
        <w:rPr>
          <w:rFonts w:cstheme="minorHAnsi"/>
          <w:sz w:val="12"/>
          <w:szCs w:val="12"/>
          <w:lang w:val="en-US"/>
        </w:rPr>
        <w:t xml:space="preserve">, Miguel Chang </w:t>
      </w:r>
      <w:r w:rsidRPr="0033476E">
        <w:rPr>
          <w:rFonts w:cstheme="minorHAnsi"/>
          <w:sz w:val="12"/>
          <w:szCs w:val="12"/>
          <w:vertAlign w:val="superscript"/>
          <w:lang w:val="en-US"/>
        </w:rPr>
        <w:t>a</w:t>
      </w:r>
      <w:r w:rsidRPr="0033476E">
        <w:rPr>
          <w:rFonts w:cstheme="minorHAnsi"/>
          <w:sz w:val="12"/>
          <w:szCs w:val="12"/>
          <w:lang w:val="en-US"/>
        </w:rPr>
        <w:t xml:space="preserve">, Sven Werner </w:t>
      </w:r>
      <w:r w:rsidRPr="0033476E">
        <w:rPr>
          <w:rFonts w:cstheme="minorHAnsi"/>
          <w:sz w:val="12"/>
          <w:szCs w:val="12"/>
          <w:vertAlign w:val="superscript"/>
          <w:lang w:val="en-US"/>
        </w:rPr>
        <w:t>b</w:t>
      </w:r>
      <w:r w:rsidRPr="0033476E">
        <w:rPr>
          <w:rFonts w:cstheme="minorHAnsi"/>
          <w:sz w:val="12"/>
          <w:szCs w:val="12"/>
          <w:lang w:val="en-US"/>
        </w:rPr>
        <w:t xml:space="preserve">, </w:t>
      </w:r>
      <w:hyperlink r:id="rId9" w:history="1">
        <w:r w:rsidRPr="0033476E">
          <w:rPr>
            <w:rFonts w:cstheme="minorHAnsi"/>
            <w:color w:val="0000FF"/>
            <w:sz w:val="12"/>
            <w:szCs w:val="12"/>
            <w:u w:val="single"/>
            <w:lang w:val="en-US"/>
          </w:rPr>
          <w:t xml:space="preserve">Svend </w:t>
        </w:r>
        <w:r w:rsidRPr="0033476E">
          <w:rPr>
            <w:rFonts w:cstheme="minorHAnsi"/>
            <w:color w:val="0000FF"/>
            <w:sz w:val="12"/>
            <w:szCs w:val="12"/>
            <w:lang w:val="en-US"/>
          </w:rPr>
          <w:t>Svendsen</w:t>
        </w:r>
        <w:r w:rsidRPr="0033476E">
          <w:rPr>
            <w:rFonts w:cstheme="minorHAnsi"/>
            <w:color w:val="0000FF"/>
            <w:sz w:val="12"/>
            <w:szCs w:val="12"/>
            <w:u w:val="single"/>
            <w:lang w:val="en-US"/>
          </w:rPr>
          <w:t xml:space="preserve"> </w:t>
        </w:r>
        <w:r w:rsidRPr="0033476E">
          <w:rPr>
            <w:rFonts w:cstheme="minorHAnsi"/>
            <w:color w:val="0000FF"/>
            <w:sz w:val="12"/>
            <w:szCs w:val="12"/>
            <w:u w:val="single"/>
            <w:vertAlign w:val="superscript"/>
            <w:lang w:val="en-US"/>
          </w:rPr>
          <w:t>c</w:t>
        </w:r>
      </w:hyperlink>
      <w:r w:rsidRPr="0033476E">
        <w:rPr>
          <w:rFonts w:cstheme="minorHAnsi"/>
          <w:sz w:val="12"/>
          <w:szCs w:val="12"/>
          <w:lang w:val="en-US"/>
        </w:rPr>
        <w:t xml:space="preserve">, Peter Sorknæs </w:t>
      </w:r>
      <w:r w:rsidRPr="0033476E">
        <w:rPr>
          <w:rFonts w:cstheme="minorHAnsi"/>
          <w:sz w:val="12"/>
          <w:szCs w:val="12"/>
          <w:vertAlign w:val="superscript"/>
          <w:lang w:val="en-US"/>
        </w:rPr>
        <w:t>a</w:t>
      </w:r>
      <w:r w:rsidRPr="0033476E">
        <w:rPr>
          <w:rFonts w:cstheme="minorHAnsi"/>
          <w:sz w:val="12"/>
          <w:szCs w:val="12"/>
          <w:lang w:val="en-US"/>
        </w:rPr>
        <w:t xml:space="preserve">, Jan Eric Thorsen </w:t>
      </w:r>
      <w:r w:rsidRPr="0033476E">
        <w:rPr>
          <w:rFonts w:cstheme="minorHAnsi"/>
          <w:sz w:val="12"/>
          <w:szCs w:val="12"/>
          <w:vertAlign w:val="superscript"/>
          <w:lang w:val="en-US"/>
        </w:rPr>
        <w:t>d</w:t>
      </w:r>
      <w:r w:rsidRPr="0033476E">
        <w:rPr>
          <w:rFonts w:cstheme="minorHAnsi"/>
          <w:sz w:val="12"/>
          <w:szCs w:val="12"/>
          <w:lang w:val="en-US"/>
        </w:rPr>
        <w:t xml:space="preserve">, Frede Hvelplund </w:t>
      </w:r>
      <w:r w:rsidRPr="0033476E">
        <w:rPr>
          <w:rFonts w:cstheme="minorHAnsi"/>
          <w:sz w:val="12"/>
          <w:szCs w:val="12"/>
          <w:vertAlign w:val="superscript"/>
          <w:lang w:val="en-US"/>
        </w:rPr>
        <w:t>a</w:t>
      </w:r>
      <w:r w:rsidRPr="0033476E">
        <w:rPr>
          <w:rFonts w:cstheme="minorHAnsi"/>
          <w:sz w:val="12"/>
          <w:szCs w:val="12"/>
          <w:lang w:val="en-US"/>
        </w:rPr>
        <w:t xml:space="preserve">, Bent Ole Gram Mortensen </w:t>
      </w:r>
      <w:r w:rsidRPr="0033476E">
        <w:rPr>
          <w:rFonts w:cstheme="minorHAnsi"/>
          <w:sz w:val="12"/>
          <w:szCs w:val="12"/>
          <w:vertAlign w:val="superscript"/>
          <w:lang w:val="en-US"/>
        </w:rPr>
        <w:t>e</w:t>
      </w:r>
      <w:r w:rsidRPr="0033476E">
        <w:rPr>
          <w:rFonts w:cstheme="minorHAnsi"/>
          <w:sz w:val="12"/>
          <w:szCs w:val="12"/>
          <w:lang w:val="en-US"/>
        </w:rPr>
        <w:t xml:space="preserve">, Brian Vad Mathiesen </w:t>
      </w:r>
      <w:r w:rsidRPr="0033476E">
        <w:rPr>
          <w:rFonts w:cstheme="minorHAnsi"/>
          <w:sz w:val="12"/>
          <w:szCs w:val="12"/>
          <w:vertAlign w:val="superscript"/>
          <w:lang w:val="en-US"/>
        </w:rPr>
        <w:t>f</w:t>
      </w:r>
      <w:r w:rsidRPr="0033476E">
        <w:rPr>
          <w:rFonts w:cstheme="minorHAnsi"/>
          <w:sz w:val="12"/>
          <w:szCs w:val="12"/>
          <w:lang w:val="en-US"/>
        </w:rPr>
        <w:t xml:space="preserve">, Carsten Bojesen </w:t>
      </w:r>
      <w:r w:rsidRPr="0033476E">
        <w:rPr>
          <w:rFonts w:cstheme="minorHAnsi"/>
          <w:sz w:val="12"/>
          <w:szCs w:val="12"/>
          <w:vertAlign w:val="superscript"/>
          <w:lang w:val="en-US"/>
        </w:rPr>
        <w:t>g</w:t>
      </w:r>
      <w:r w:rsidRPr="0033476E">
        <w:rPr>
          <w:rFonts w:cstheme="minorHAnsi"/>
          <w:sz w:val="12"/>
          <w:szCs w:val="12"/>
          <w:lang w:val="en-US"/>
        </w:rPr>
        <w:t xml:space="preserve">, Neven </w:t>
      </w:r>
      <w:r w:rsidRPr="0033476E">
        <w:rPr>
          <w:rFonts w:cstheme="minorHAnsi"/>
          <w:sz w:val="12"/>
          <w:szCs w:val="12"/>
          <w:lang w:val="en-US"/>
        </w:rPr>
        <w:t xml:space="preserve">Duic </w:t>
      </w:r>
      <w:r w:rsidRPr="0033476E">
        <w:rPr>
          <w:rFonts w:cstheme="minorHAnsi"/>
          <w:sz w:val="12"/>
          <w:szCs w:val="12"/>
          <w:vertAlign w:val="superscript"/>
          <w:lang w:val="en-US"/>
        </w:rPr>
        <w:t>h</w:t>
      </w:r>
      <w:r w:rsidRPr="0033476E">
        <w:rPr>
          <w:rFonts w:cstheme="minorHAnsi"/>
          <w:sz w:val="12"/>
          <w:szCs w:val="12"/>
          <w:lang w:val="en-US"/>
        </w:rPr>
        <w:t xml:space="preserve">, Xiliang Zhang </w:t>
      </w:r>
      <w:r w:rsidRPr="0033476E">
        <w:rPr>
          <w:rFonts w:cstheme="minorHAnsi"/>
          <w:sz w:val="12"/>
          <w:szCs w:val="12"/>
          <w:vertAlign w:val="superscript"/>
          <w:lang w:val="en-US"/>
        </w:rPr>
        <w:t>i</w:t>
      </w:r>
      <w:r w:rsidRPr="0033476E">
        <w:rPr>
          <w:rFonts w:cstheme="minorHAnsi"/>
          <w:sz w:val="12"/>
          <w:szCs w:val="12"/>
          <w:lang w:val="en-US"/>
        </w:rPr>
        <w:t xml:space="preserve">, Bernd Möller </w:t>
      </w:r>
      <w:r w:rsidRPr="0033476E">
        <w:rPr>
          <w:rFonts w:cstheme="minorHAnsi"/>
          <w:sz w:val="12"/>
          <w:szCs w:val="12"/>
          <w:vertAlign w:val="superscript"/>
          <w:lang w:val="en-US"/>
        </w:rPr>
        <w:t>a</w:t>
      </w:r>
      <w:r w:rsidRPr="0033476E">
        <w:rPr>
          <w:rFonts w:cstheme="minorHAnsi"/>
          <w:sz w:val="12"/>
          <w:szCs w:val="12"/>
          <w:lang w:val="en-US"/>
        </w:rPr>
        <w:t xml:space="preserve"> </w:t>
      </w:r>
      <w:r w:rsidRPr="0033476E">
        <w:rPr>
          <w:rFonts w:cstheme="minorHAnsi"/>
          <w:sz w:val="12"/>
          <w:szCs w:val="12"/>
          <w:vertAlign w:val="superscript"/>
          <w:lang w:val="en-US"/>
        </w:rPr>
        <w:t xml:space="preserve">j </w:t>
      </w:r>
      <w:r w:rsidRPr="0033476E">
        <w:rPr>
          <w:rFonts w:cstheme="minorHAnsi"/>
          <w:sz w:val="12"/>
          <w:szCs w:val="12"/>
          <w:lang w:val="en-US"/>
        </w:rPr>
        <w:t xml:space="preserve">(2018) The status of 4th generation district heating: Research and results </w:t>
      </w:r>
      <w:hyperlink r:id="rId10" w:history="1">
        <w:r w:rsidRPr="0033476E">
          <w:rPr>
            <w:rStyle w:val="Hyperlink"/>
            <w:rFonts w:cstheme="minorHAnsi"/>
            <w:bCs/>
            <w:sz w:val="12"/>
            <w:szCs w:val="12"/>
            <w:lang w:val="en-US"/>
          </w:rPr>
          <w:t>https://www.sciencedirect.com/science/article/pii/S0360544218317420</w:t>
        </w:r>
      </w:hyperlink>
    </w:p>
  </w:footnote>
  <w:footnote w:id="16">
    <w:p w14:paraId="70CFE134" w14:textId="77777777" w:rsidR="00F044E2" w:rsidRPr="0033476E" w:rsidRDefault="00F044E2" w:rsidP="00F044E2">
      <w:pPr>
        <w:pStyle w:val="Voetnoottekst"/>
        <w:rPr>
          <w:sz w:val="12"/>
          <w:szCs w:val="12"/>
          <w:lang w:val="en-US"/>
        </w:rPr>
      </w:pPr>
      <w:r w:rsidRPr="0033476E">
        <w:rPr>
          <w:rStyle w:val="Voetnootmarkering"/>
          <w:sz w:val="12"/>
          <w:szCs w:val="12"/>
        </w:rPr>
        <w:footnoteRef/>
      </w:r>
      <w:r w:rsidRPr="0033476E">
        <w:rPr>
          <w:sz w:val="12"/>
          <w:szCs w:val="12"/>
          <w:lang w:val="en-US"/>
        </w:rPr>
        <w:t xml:space="preserve"> </w:t>
      </w:r>
      <w:hyperlink r:id="rId11" w:history="1">
        <w:r w:rsidRPr="0033476E">
          <w:rPr>
            <w:rStyle w:val="Hyperlink"/>
            <w:sz w:val="12"/>
            <w:szCs w:val="12"/>
            <w:lang w:val="en-US"/>
          </w:rPr>
          <w:t>https://www.researchgate.net/figure/Overview-of-the-time-intervals-defining-the-four-generations-of-district-heating-systems_fig3_354719762</w:t>
        </w:r>
      </w:hyperlink>
    </w:p>
  </w:footnote>
  <w:footnote w:id="17">
    <w:p w14:paraId="7C4D0B5D" w14:textId="445DC3C7" w:rsidR="0089228C" w:rsidRPr="0033476E" w:rsidRDefault="0089228C">
      <w:pPr>
        <w:pStyle w:val="Voetnoottekst"/>
        <w:rPr>
          <w:sz w:val="12"/>
          <w:szCs w:val="12"/>
        </w:rPr>
      </w:pPr>
      <w:r w:rsidRPr="0033476E">
        <w:rPr>
          <w:rStyle w:val="Voetnootmarkering"/>
          <w:sz w:val="12"/>
          <w:szCs w:val="12"/>
        </w:rPr>
        <w:footnoteRef/>
      </w:r>
      <w:r w:rsidRPr="0033476E">
        <w:rPr>
          <w:sz w:val="12"/>
          <w:szCs w:val="12"/>
        </w:rPr>
        <w:t xml:space="preserve"> Zo berekent CE Delft dat de vraag naar koeling sterk kan stijgen tot 80% van de huidige </w:t>
      </w:r>
      <w:r w:rsidRPr="0033476E">
        <w:rPr>
          <w:sz w:val="12"/>
          <w:szCs w:val="12"/>
        </w:rPr>
        <w:t xml:space="preserve">warmtevraagd, voor de utiliteitsgebouwen in de wijk zelfs meer dan 100%. Ce Delft, Kansen voor warmte en koudenetten, </w:t>
      </w:r>
      <w:hyperlink r:id="rId12" w:history="1">
        <w:r w:rsidR="00A615B4" w:rsidRPr="0033476E">
          <w:rPr>
            <w:rStyle w:val="Hyperlink"/>
            <w:sz w:val="12"/>
            <w:szCs w:val="12"/>
          </w:rPr>
          <w:t>https://ce.nl/publicaties/kansen-voor-warmte-koudenetten/</w:t>
        </w:r>
      </w:hyperlink>
      <w:r w:rsidR="00A615B4" w:rsidRPr="0033476E">
        <w:rPr>
          <w:sz w:val="12"/>
          <w:szCs w:val="12"/>
        </w:rPr>
        <w:t xml:space="preserve"> </w:t>
      </w:r>
    </w:p>
  </w:footnote>
  <w:footnote w:id="18">
    <w:p w14:paraId="71FF89F7" w14:textId="7D2E9CA1" w:rsidR="00F044E2" w:rsidRPr="0033476E" w:rsidRDefault="00F044E2" w:rsidP="00F044E2">
      <w:pPr>
        <w:pStyle w:val="Voetnoottekst"/>
        <w:rPr>
          <w:sz w:val="12"/>
          <w:szCs w:val="12"/>
          <w:lang w:val="en-US"/>
        </w:rPr>
      </w:pPr>
      <w:r w:rsidRPr="0033476E">
        <w:rPr>
          <w:rStyle w:val="Voetnootmarkering"/>
          <w:sz w:val="12"/>
          <w:szCs w:val="12"/>
        </w:rPr>
        <w:footnoteRef/>
      </w:r>
      <w:r w:rsidRPr="0033476E">
        <w:rPr>
          <w:sz w:val="12"/>
          <w:szCs w:val="12"/>
          <w:lang w:val="en-US"/>
        </w:rPr>
        <w:t xml:space="preserve"> Way, R., Ives, M. C., Mealy, P., &amp; Farmer, J. D. (2022). Empirically grounded technology forecasts and the energy transition. </w:t>
      </w:r>
      <w:r w:rsidRPr="0033476E">
        <w:rPr>
          <w:i/>
          <w:iCs/>
          <w:sz w:val="12"/>
          <w:szCs w:val="12"/>
          <w:lang w:val="en-US"/>
        </w:rPr>
        <w:t>Joule</w:t>
      </w:r>
      <w:r w:rsidRPr="0033476E">
        <w:rPr>
          <w:sz w:val="12"/>
          <w:szCs w:val="12"/>
          <w:lang w:val="en-US"/>
        </w:rPr>
        <w:t>, </w:t>
      </w:r>
      <w:r w:rsidRPr="0033476E">
        <w:rPr>
          <w:i/>
          <w:iCs/>
          <w:sz w:val="12"/>
          <w:szCs w:val="12"/>
          <w:lang w:val="en-US"/>
        </w:rPr>
        <w:t>6</w:t>
      </w:r>
      <w:r w:rsidRPr="0033476E">
        <w:rPr>
          <w:sz w:val="12"/>
          <w:szCs w:val="12"/>
          <w:lang w:val="en-US"/>
        </w:rPr>
        <w:t xml:space="preserve">(9), 2057-2082. </w:t>
      </w:r>
      <w:hyperlink r:id="rId13" w:history="1">
        <w:r w:rsidR="00A615B4" w:rsidRPr="0033476E">
          <w:rPr>
            <w:rStyle w:val="Hyperlink"/>
            <w:sz w:val="12"/>
            <w:szCs w:val="12"/>
            <w:lang w:val="en-US"/>
          </w:rPr>
          <w:t>https://www.cell.com/joule/fulltext/S2542-4351(22)00410-X?fbclid=</w:t>
        </w:r>
      </w:hyperlink>
      <w:r w:rsidR="00A615B4" w:rsidRPr="0033476E">
        <w:rPr>
          <w:sz w:val="12"/>
          <w:szCs w:val="12"/>
          <w:lang w:val="en-US"/>
        </w:rPr>
        <w:t xml:space="preserve"> </w:t>
      </w:r>
    </w:p>
  </w:footnote>
  <w:footnote w:id="19">
    <w:p w14:paraId="735CAF28" w14:textId="77777777" w:rsidR="00F044E2" w:rsidRPr="0033476E" w:rsidRDefault="00F044E2" w:rsidP="00F044E2">
      <w:pPr>
        <w:pStyle w:val="Voetnoottekst"/>
        <w:rPr>
          <w:sz w:val="12"/>
          <w:szCs w:val="12"/>
          <w:lang w:val="en-US"/>
        </w:rPr>
      </w:pPr>
      <w:r w:rsidRPr="0033476E">
        <w:rPr>
          <w:rStyle w:val="Voetnootmarkering"/>
          <w:sz w:val="12"/>
          <w:szCs w:val="12"/>
        </w:rPr>
        <w:footnoteRef/>
      </w:r>
      <w:r w:rsidRPr="0033476E">
        <w:rPr>
          <w:sz w:val="12"/>
          <w:szCs w:val="12"/>
        </w:rPr>
        <w:t xml:space="preserve"> Geels, F. W., &amp; Schot, J. (2007). </w:t>
      </w:r>
      <w:r w:rsidRPr="0033476E">
        <w:rPr>
          <w:sz w:val="12"/>
          <w:szCs w:val="12"/>
          <w:lang w:val="en-US"/>
        </w:rPr>
        <w:t>Typology of sociotechnical transition pathways. </w:t>
      </w:r>
      <w:r w:rsidRPr="0033476E">
        <w:rPr>
          <w:i/>
          <w:iCs/>
          <w:sz w:val="12"/>
          <w:szCs w:val="12"/>
          <w:lang w:val="en-US"/>
        </w:rPr>
        <w:t>Research policy</w:t>
      </w:r>
      <w:r w:rsidRPr="0033476E">
        <w:rPr>
          <w:sz w:val="12"/>
          <w:szCs w:val="12"/>
          <w:lang w:val="en-US"/>
        </w:rPr>
        <w:t>, </w:t>
      </w:r>
      <w:r w:rsidRPr="0033476E">
        <w:rPr>
          <w:i/>
          <w:iCs/>
          <w:sz w:val="12"/>
          <w:szCs w:val="12"/>
          <w:lang w:val="en-US"/>
        </w:rPr>
        <w:t>36</w:t>
      </w:r>
      <w:r w:rsidRPr="0033476E">
        <w:rPr>
          <w:sz w:val="12"/>
          <w:szCs w:val="12"/>
          <w:lang w:val="en-US"/>
        </w:rPr>
        <w:t xml:space="preserve">(3), 399-417. </w:t>
      </w:r>
    </w:p>
  </w:footnote>
  <w:footnote w:id="20">
    <w:p w14:paraId="45B8770F" w14:textId="77777777" w:rsidR="00F044E2" w:rsidRPr="0033476E" w:rsidRDefault="00F044E2" w:rsidP="00F044E2">
      <w:pPr>
        <w:pStyle w:val="Voetnoottekst"/>
        <w:rPr>
          <w:sz w:val="12"/>
          <w:szCs w:val="12"/>
          <w:lang w:val="en-US"/>
        </w:rPr>
      </w:pPr>
      <w:r w:rsidRPr="0033476E">
        <w:rPr>
          <w:rStyle w:val="Voetnootmarkering"/>
          <w:sz w:val="12"/>
          <w:szCs w:val="12"/>
        </w:rPr>
        <w:footnoteRef/>
      </w:r>
      <w:r w:rsidRPr="0033476E">
        <w:rPr>
          <w:sz w:val="12"/>
          <w:szCs w:val="12"/>
          <w:lang w:val="en-US"/>
        </w:rPr>
        <w:t xml:space="preserve"> </w:t>
      </w:r>
      <w:r w:rsidRPr="0033476E">
        <w:rPr>
          <w:sz w:val="12"/>
          <w:szCs w:val="12"/>
          <w:lang w:val="en-US"/>
        </w:rPr>
        <w:t>Sovacool, B. K., Geels, F. W., Andersen, A. D., Grubb, M., Jordan, A. J., Kern, F., ... &amp; Yang, K. (2025). The acceleration of low-carbon transitions: Insights, concepts, challenges, and new directions for research. </w:t>
      </w:r>
      <w:r w:rsidRPr="0033476E">
        <w:rPr>
          <w:i/>
          <w:iCs/>
          <w:sz w:val="12"/>
          <w:szCs w:val="12"/>
          <w:lang w:val="en-US"/>
        </w:rPr>
        <w:t>Energy Research &amp; Social Science</w:t>
      </w:r>
      <w:r w:rsidRPr="0033476E">
        <w:rPr>
          <w:sz w:val="12"/>
          <w:szCs w:val="12"/>
          <w:lang w:val="en-US"/>
        </w:rPr>
        <w:t>, </w:t>
      </w:r>
      <w:r w:rsidRPr="0033476E">
        <w:rPr>
          <w:i/>
          <w:iCs/>
          <w:sz w:val="12"/>
          <w:szCs w:val="12"/>
          <w:lang w:val="en-US"/>
        </w:rPr>
        <w:t>121</w:t>
      </w:r>
      <w:r w:rsidRPr="0033476E">
        <w:rPr>
          <w:sz w:val="12"/>
          <w:szCs w:val="12"/>
          <w:lang w:val="en-US"/>
        </w:rPr>
        <w:t xml:space="preserve">, 103948. </w:t>
      </w:r>
      <w:hyperlink r:id="rId14" w:history="1">
        <w:r w:rsidRPr="0033476E">
          <w:rPr>
            <w:rStyle w:val="Hyperlink"/>
            <w:sz w:val="12"/>
            <w:szCs w:val="12"/>
            <w:lang w:val="en-US"/>
          </w:rPr>
          <w:t>https://www.sciencedirect.com/science/article/pii/S2214629625000295</w:t>
        </w:r>
      </w:hyperlink>
      <w:r w:rsidRPr="0033476E">
        <w:rPr>
          <w:sz w:val="12"/>
          <w:szCs w:val="12"/>
          <w:lang w:val="en-US"/>
        </w:rPr>
        <w:t xml:space="preserve"> </w:t>
      </w:r>
    </w:p>
  </w:footnote>
  <w:footnote w:id="21">
    <w:p w14:paraId="15077A60" w14:textId="21F023C2" w:rsidR="0089228C" w:rsidRPr="0033476E" w:rsidRDefault="0089228C">
      <w:pPr>
        <w:pStyle w:val="Voetnoottekst"/>
        <w:rPr>
          <w:sz w:val="12"/>
          <w:szCs w:val="12"/>
        </w:rPr>
      </w:pPr>
      <w:r w:rsidRPr="0033476E">
        <w:rPr>
          <w:rStyle w:val="Voetnootmarkering"/>
          <w:sz w:val="12"/>
          <w:szCs w:val="12"/>
        </w:rPr>
        <w:footnoteRef/>
      </w:r>
      <w:r w:rsidRPr="0033476E">
        <w:rPr>
          <w:sz w:val="12"/>
          <w:szCs w:val="12"/>
        </w:rPr>
        <w:t xml:space="preserve"> Zie: https://anw.ivdnt.org/article/prosument</w:t>
      </w:r>
    </w:p>
  </w:footnote>
  <w:footnote w:id="22">
    <w:p w14:paraId="4506E6B9" w14:textId="7AAFE010" w:rsidR="000B780C" w:rsidRPr="0033476E" w:rsidRDefault="000B780C" w:rsidP="000B780C">
      <w:pPr>
        <w:spacing w:line="240" w:lineRule="auto"/>
        <w:rPr>
          <w:sz w:val="12"/>
          <w:szCs w:val="12"/>
        </w:rPr>
      </w:pPr>
      <w:r w:rsidRPr="0033476E">
        <w:rPr>
          <w:rStyle w:val="Voetnootmarkering"/>
          <w:sz w:val="12"/>
          <w:szCs w:val="12"/>
        </w:rPr>
        <w:footnoteRef/>
      </w:r>
      <w:r w:rsidRPr="0033476E">
        <w:rPr>
          <w:sz w:val="12"/>
          <w:szCs w:val="12"/>
        </w:rPr>
        <w:t xml:space="preserve"> Voor een gedetailleerde beschrijving van de mogelijke werking van </w:t>
      </w:r>
      <w:r w:rsidRPr="0033476E">
        <w:rPr>
          <w:sz w:val="12"/>
          <w:szCs w:val="12"/>
        </w:rPr>
        <w:t>kostengebaseerde tarieven verwijzen we naar</w:t>
      </w:r>
      <w:r w:rsidR="00EC6F22" w:rsidRPr="0033476E">
        <w:rPr>
          <w:sz w:val="12"/>
          <w:szCs w:val="12"/>
        </w:rPr>
        <w:t xml:space="preserve"> </w:t>
      </w:r>
      <w:hyperlink r:id="rId15" w:history="1">
        <w:r w:rsidRPr="0033476E">
          <w:rPr>
            <w:sz w:val="12"/>
            <w:szCs w:val="12"/>
          </w:rPr>
          <w:t>https://energy.nl/publications/kostengebaseerde-tarieven-warmtenetten/</w:t>
        </w:r>
      </w:hyperlink>
    </w:p>
    <w:p w14:paraId="34CE1F8C" w14:textId="77777777" w:rsidR="000B780C" w:rsidRPr="0033476E" w:rsidRDefault="000B780C" w:rsidP="000B780C">
      <w:pPr>
        <w:pStyle w:val="Voetnoottekst"/>
        <w:rPr>
          <w:sz w:val="14"/>
          <w:szCs w:val="14"/>
        </w:rPr>
      </w:pPr>
    </w:p>
  </w:footnote>
  <w:footnote w:id="23">
    <w:p w14:paraId="0825FDB0" w14:textId="77777777" w:rsidR="0002686F" w:rsidRPr="009B468F" w:rsidRDefault="0002686F" w:rsidP="0033476E">
      <w:pPr>
        <w:pStyle w:val="Voetnoottekst"/>
        <w:rPr>
          <w:sz w:val="12"/>
          <w:szCs w:val="12"/>
          <w:lang w:val="en-US"/>
        </w:rPr>
      </w:pPr>
      <w:r w:rsidRPr="009B468F">
        <w:rPr>
          <w:rStyle w:val="Voetnootmarkering"/>
          <w:sz w:val="12"/>
          <w:szCs w:val="12"/>
        </w:rPr>
        <w:footnoteRef/>
      </w:r>
      <w:r w:rsidRPr="009B468F">
        <w:rPr>
          <w:sz w:val="12"/>
          <w:szCs w:val="12"/>
          <w:lang w:val="en-US"/>
        </w:rPr>
        <w:t xml:space="preserve"> </w:t>
      </w:r>
      <w:r w:rsidRPr="009B468F">
        <w:rPr>
          <w:rFonts w:eastAsia="Times New Roman"/>
          <w:color w:val="000000"/>
          <w:sz w:val="12"/>
          <w:szCs w:val="12"/>
          <w:lang w:val="en-US"/>
        </w:rPr>
        <w:t>Artikel 22(4) RED II.</w:t>
      </w:r>
    </w:p>
  </w:footnote>
  <w:footnote w:id="24">
    <w:p w14:paraId="105A4328" w14:textId="75222876" w:rsidR="00560E46" w:rsidRPr="009B468F" w:rsidRDefault="00560E46" w:rsidP="0033476E">
      <w:pPr>
        <w:spacing w:line="240" w:lineRule="auto"/>
        <w:rPr>
          <w:rFonts w:eastAsia="Times New Roman"/>
          <w:color w:val="000000"/>
          <w:sz w:val="12"/>
          <w:szCs w:val="12"/>
          <w:lang w:val="en-US"/>
        </w:rPr>
      </w:pPr>
      <w:r w:rsidRPr="009B468F">
        <w:rPr>
          <w:rStyle w:val="Voetnootmarkering"/>
          <w:sz w:val="12"/>
          <w:szCs w:val="12"/>
        </w:rPr>
        <w:footnoteRef/>
      </w:r>
      <w:r w:rsidRPr="009B468F">
        <w:rPr>
          <w:sz w:val="12"/>
          <w:szCs w:val="12"/>
          <w:lang w:val="en-US"/>
        </w:rPr>
        <w:t xml:space="preserve"> </w:t>
      </w:r>
      <w:r w:rsidRPr="009B468F">
        <w:rPr>
          <w:rFonts w:eastAsia="Times New Roman"/>
          <w:color w:val="000000"/>
          <w:sz w:val="12"/>
          <w:szCs w:val="12"/>
          <w:lang w:val="en-US"/>
        </w:rPr>
        <w:t>Cocciolo (2024, pagina 506): “</w:t>
      </w:r>
      <w:r w:rsidRPr="009B468F">
        <w:rPr>
          <w:rFonts w:eastAsia="Times New Roman"/>
          <w:i/>
          <w:iCs/>
          <w:color w:val="000000"/>
          <w:sz w:val="12"/>
          <w:szCs w:val="12"/>
          <w:lang w:val="en-US"/>
        </w:rPr>
        <w:t>Indeed, the regulatory framework for the HC sector focuses on a scale dimension (building-oriented, district-level, and community-based solutions) aimed at exploiting local energy potential.</w:t>
      </w:r>
      <w:r w:rsidRPr="009B468F">
        <w:rPr>
          <w:rFonts w:eastAsia="Times New Roman"/>
          <w:color w:val="000000"/>
          <w:sz w:val="12"/>
          <w:szCs w:val="1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5769" w14:textId="24D9386C" w:rsidR="003E2A8F" w:rsidRDefault="0095390B" w:rsidP="0095390B">
    <w:pPr>
      <w:pStyle w:val="Koptekst"/>
      <w:tabs>
        <w:tab w:val="clear" w:pos="4536"/>
        <w:tab w:val="clear" w:pos="9072"/>
        <w:tab w:val="left" w:pos="3374"/>
      </w:tabs>
      <w:spacing w:after="2120"/>
    </w:pPr>
    <w:r>
      <w:rPr>
        <w:noProof/>
      </w:rPr>
      <w:drawing>
        <wp:anchor distT="0" distB="0" distL="114300" distR="114300" simplePos="0" relativeHeight="251658240" behindDoc="0" locked="0" layoutInCell="1" allowOverlap="1" wp14:anchorId="1CFC086E" wp14:editId="024FFE68">
          <wp:simplePos x="0" y="0"/>
          <wp:positionH relativeFrom="page">
            <wp:posOffset>2620048</wp:posOffset>
          </wp:positionH>
          <wp:positionV relativeFrom="page">
            <wp:posOffset>342265</wp:posOffset>
          </wp:positionV>
          <wp:extent cx="2246400" cy="892800"/>
          <wp:effectExtent l="0" t="0" r="1905" b="3175"/>
          <wp:wrapNone/>
          <wp:docPr id="1299970710" name="Logo PW" descr="A logo with blue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71415" name="Logo PW" descr="A logo with blue and white letters&#10;&#10;Description automatically generated"/>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46400" cy="89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075905"/>
      <w:placeholder>
        <w:docPart w:val="CCE7569F203141D4919B2199F74DA4D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785665C" w14:textId="55425913" w:rsidR="00120CA1" w:rsidRDefault="00AA37B9">
        <w:pPr>
          <w:pStyle w:val="Koptekst"/>
        </w:pPr>
        <w:r>
          <w:t>Wet collectieve warmte (36576)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E133" w14:textId="6FB3154A" w:rsidR="00ED65A9" w:rsidRDefault="006F50EE" w:rsidP="00807A95">
    <w:pPr>
      <w:pStyle w:val="Koptekst"/>
      <w:spacing w:after="1240"/>
    </w:pPr>
    <w:r>
      <w:rPr>
        <w:noProof/>
      </w:rPr>
      <w:drawing>
        <wp:anchor distT="0" distB="0" distL="114300" distR="114300" simplePos="0" relativeHeight="251658241" behindDoc="0" locked="0" layoutInCell="1" allowOverlap="1" wp14:anchorId="78C80022" wp14:editId="7D131121">
          <wp:simplePos x="0" y="0"/>
          <wp:positionH relativeFrom="page">
            <wp:posOffset>4194810</wp:posOffset>
          </wp:positionH>
          <wp:positionV relativeFrom="page">
            <wp:posOffset>342265</wp:posOffset>
          </wp:positionV>
          <wp:extent cx="2246400" cy="892800"/>
          <wp:effectExtent l="0" t="0" r="1905" b="3175"/>
          <wp:wrapNone/>
          <wp:docPr id="127907750" name="Logo PW" descr="A logo with blue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71415" name="Logo PW" descr="A logo with blue and white letters&#10;&#10;Description automatically generated"/>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46400" cy="89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pt;height:20.5pt;rotation:180;flip:y;visibility:visible;mso-wrap-style:square" o:bullet="t">
        <v:imagedata r:id="rId1" o:title="" croptop="14595f" cropbottom="10430f" cropleft="2732f" cropright="42613f"/>
      </v:shape>
    </w:pict>
  </w:numPicBullet>
  <w:numPicBullet w:numPicBulletId="1">
    <w:pict>
      <v:shape id="_x0000_i1027" type="#_x0000_t75" style="width:50pt;height:25pt;visibility:visible;mso-wrap-style:square" o:bullet="t">
        <v:imagedata r:id="rId2" o:title="" croptop="17421f" cropbottom="13191f" cropleft="24053f" cropright="21232f"/>
      </v:shape>
    </w:pict>
  </w:numPicBullet>
  <w:numPicBullet w:numPicBulletId="2">
    <w:pict>
      <v:shape id="_x0000_i1028" type="#_x0000_t75" style="width:48pt;height:24pt;visibility:visible;mso-wrap-style:square" o:bullet="t">
        <v:imagedata r:id="rId3" o:title="" croptop="17421f" cropbottom="13191f" cropleft="24053f" cropright="21232f"/>
      </v:shape>
    </w:pict>
  </w:numPicBullet>
  <w:abstractNum w:abstractNumId="0" w15:restartNumberingAfterBreak="0">
    <w:nsid w:val="FFFFFF7C"/>
    <w:multiLevelType w:val="singleLevel"/>
    <w:tmpl w:val="E29C326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4C41A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1F14CCB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60C9AD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551432A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C91B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74FA5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5A82B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687C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714D32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4D4AA4"/>
    <w:multiLevelType w:val="multilevel"/>
    <w:tmpl w:val="78AE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5247E"/>
    <w:multiLevelType w:val="multilevel"/>
    <w:tmpl w:val="68B6AF22"/>
    <w:lvl w:ilvl="0">
      <w:start w:val="1"/>
      <w:numFmt w:val="decimal"/>
      <w:pStyle w:val="OpsommingGenummer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ascii="Verdana" w:hAnsi="Verdana"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02285777"/>
    <w:multiLevelType w:val="hybridMultilevel"/>
    <w:tmpl w:val="719842C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3C131FF"/>
    <w:multiLevelType w:val="hybridMultilevel"/>
    <w:tmpl w:val="83F24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47C3702"/>
    <w:multiLevelType w:val="hybridMultilevel"/>
    <w:tmpl w:val="941A5078"/>
    <w:lvl w:ilvl="0" w:tplc="F87C465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EE6534F"/>
    <w:multiLevelType w:val="hybridMultilevel"/>
    <w:tmpl w:val="73563F3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2CA0F05"/>
    <w:multiLevelType w:val="hybridMultilevel"/>
    <w:tmpl w:val="3F96CF2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44678F7"/>
    <w:multiLevelType w:val="hybridMultilevel"/>
    <w:tmpl w:val="9264AE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491308"/>
    <w:multiLevelType w:val="multilevel"/>
    <w:tmpl w:val="A698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54504"/>
    <w:multiLevelType w:val="hybridMultilevel"/>
    <w:tmpl w:val="D03C3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F4431E4"/>
    <w:multiLevelType w:val="hybridMultilevel"/>
    <w:tmpl w:val="EF1A5AA8"/>
    <w:lvl w:ilvl="0" w:tplc="61A0CB8E">
      <w:start w:val="1"/>
      <w:numFmt w:val="decimal"/>
      <w:lvlText w:val="%1."/>
      <w:lvlJc w:val="left"/>
      <w:pPr>
        <w:ind w:left="360" w:hanging="360"/>
      </w:pPr>
      <w:rPr>
        <w:rFonts w:hint="default"/>
      </w:rPr>
    </w:lvl>
    <w:lvl w:ilvl="1" w:tplc="2A78B7BE">
      <w:numFmt w:val="bullet"/>
      <w:lvlText w:val=""/>
      <w:lvlJc w:val="left"/>
      <w:pPr>
        <w:ind w:left="1080" w:hanging="360"/>
      </w:pPr>
      <w:rPr>
        <w:rFonts w:ascii="Symbol" w:eastAsiaTheme="minorEastAsia" w:hAnsi="Symbol"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3F476DA"/>
    <w:multiLevelType w:val="hybridMultilevel"/>
    <w:tmpl w:val="CF966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6F54C74"/>
    <w:multiLevelType w:val="hybridMultilevel"/>
    <w:tmpl w:val="1A047D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3" w15:restartNumberingAfterBreak="0">
    <w:nsid w:val="27743765"/>
    <w:multiLevelType w:val="hybridMultilevel"/>
    <w:tmpl w:val="D660BAA2"/>
    <w:lvl w:ilvl="0" w:tplc="61ECF97E">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280C17C4"/>
    <w:multiLevelType w:val="multilevel"/>
    <w:tmpl w:val="C7189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8936F9"/>
    <w:multiLevelType w:val="hybridMultilevel"/>
    <w:tmpl w:val="538A2FE8"/>
    <w:lvl w:ilvl="0" w:tplc="FFFFFFFF">
      <w:start w:val="1"/>
      <w:numFmt w:val="lowerRoman"/>
      <w:lvlText w:val="%1."/>
      <w:lvlJc w:val="righ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A2B5DB7"/>
    <w:multiLevelType w:val="hybridMultilevel"/>
    <w:tmpl w:val="370C514C"/>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B06326B"/>
    <w:multiLevelType w:val="hybridMultilevel"/>
    <w:tmpl w:val="BCE090F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16A6E59"/>
    <w:multiLevelType w:val="hybridMultilevel"/>
    <w:tmpl w:val="D3A052F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47A7405"/>
    <w:multiLevelType w:val="hybridMultilevel"/>
    <w:tmpl w:val="FEDA8726"/>
    <w:lvl w:ilvl="0" w:tplc="0413001B">
      <w:start w:val="1"/>
      <w:numFmt w:val="lowerRoman"/>
      <w:lvlText w:val="%1."/>
      <w:lvlJc w:val="righ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5896DF68">
      <w:start w:val="1"/>
      <w:numFmt w:val="decimal"/>
      <w:lvlText w:val="%3."/>
      <w:lvlJc w:val="left"/>
      <w:pPr>
        <w:ind w:left="1800" w:hanging="360"/>
      </w:pPr>
      <w:rPr>
        <w:rFont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79F133F"/>
    <w:multiLevelType w:val="hybridMultilevel"/>
    <w:tmpl w:val="56A2DBC2"/>
    <w:lvl w:ilvl="0" w:tplc="CDA4921A">
      <w:start w:val="1"/>
      <w:numFmt w:val="bullet"/>
      <w:lvlText w:val=""/>
      <w:lvlJc w:val="left"/>
      <w:pPr>
        <w:ind w:left="360" w:hanging="360"/>
      </w:pPr>
      <w:rPr>
        <w:rFonts w:ascii="Symbol" w:hAnsi="Symbol" w:hint="default"/>
      </w:rPr>
    </w:lvl>
    <w:lvl w:ilvl="1" w:tplc="6624D4A0">
      <w:start w:val="1"/>
      <w:numFmt w:val="bullet"/>
      <w:lvlText w:val="o"/>
      <w:lvlJc w:val="left"/>
      <w:pPr>
        <w:ind w:left="1080" w:hanging="360"/>
      </w:pPr>
      <w:rPr>
        <w:rFonts w:ascii="Courier New" w:hAnsi="Courier New" w:hint="default"/>
      </w:rPr>
    </w:lvl>
    <w:lvl w:ilvl="2" w:tplc="89169918" w:tentative="1">
      <w:start w:val="1"/>
      <w:numFmt w:val="bullet"/>
      <w:lvlText w:val=""/>
      <w:lvlJc w:val="left"/>
      <w:pPr>
        <w:ind w:left="1800" w:hanging="360"/>
      </w:pPr>
      <w:rPr>
        <w:rFonts w:ascii="Wingdings" w:hAnsi="Wingdings" w:hint="default"/>
      </w:rPr>
    </w:lvl>
    <w:lvl w:ilvl="3" w:tplc="9DE6E754" w:tentative="1">
      <w:start w:val="1"/>
      <w:numFmt w:val="bullet"/>
      <w:lvlText w:val=""/>
      <w:lvlJc w:val="left"/>
      <w:pPr>
        <w:ind w:left="2520" w:hanging="360"/>
      </w:pPr>
      <w:rPr>
        <w:rFonts w:ascii="Symbol" w:hAnsi="Symbol" w:hint="default"/>
      </w:rPr>
    </w:lvl>
    <w:lvl w:ilvl="4" w:tplc="01F0931E" w:tentative="1">
      <w:start w:val="1"/>
      <w:numFmt w:val="bullet"/>
      <w:lvlText w:val="o"/>
      <w:lvlJc w:val="left"/>
      <w:pPr>
        <w:ind w:left="3240" w:hanging="360"/>
      </w:pPr>
      <w:rPr>
        <w:rFonts w:ascii="Courier New" w:hAnsi="Courier New" w:hint="default"/>
      </w:rPr>
    </w:lvl>
    <w:lvl w:ilvl="5" w:tplc="7D82574A" w:tentative="1">
      <w:start w:val="1"/>
      <w:numFmt w:val="bullet"/>
      <w:lvlText w:val=""/>
      <w:lvlJc w:val="left"/>
      <w:pPr>
        <w:ind w:left="3960" w:hanging="360"/>
      </w:pPr>
      <w:rPr>
        <w:rFonts w:ascii="Wingdings" w:hAnsi="Wingdings" w:hint="default"/>
      </w:rPr>
    </w:lvl>
    <w:lvl w:ilvl="6" w:tplc="0F66FE68" w:tentative="1">
      <w:start w:val="1"/>
      <w:numFmt w:val="bullet"/>
      <w:lvlText w:val=""/>
      <w:lvlJc w:val="left"/>
      <w:pPr>
        <w:ind w:left="4680" w:hanging="360"/>
      </w:pPr>
      <w:rPr>
        <w:rFonts w:ascii="Symbol" w:hAnsi="Symbol" w:hint="default"/>
      </w:rPr>
    </w:lvl>
    <w:lvl w:ilvl="7" w:tplc="6D3C3254" w:tentative="1">
      <w:start w:val="1"/>
      <w:numFmt w:val="bullet"/>
      <w:lvlText w:val="o"/>
      <w:lvlJc w:val="left"/>
      <w:pPr>
        <w:ind w:left="5400" w:hanging="360"/>
      </w:pPr>
      <w:rPr>
        <w:rFonts w:ascii="Courier New" w:hAnsi="Courier New" w:hint="default"/>
      </w:rPr>
    </w:lvl>
    <w:lvl w:ilvl="8" w:tplc="1E5E751A" w:tentative="1">
      <w:start w:val="1"/>
      <w:numFmt w:val="bullet"/>
      <w:lvlText w:val=""/>
      <w:lvlJc w:val="left"/>
      <w:pPr>
        <w:ind w:left="6120" w:hanging="360"/>
      </w:pPr>
      <w:rPr>
        <w:rFonts w:ascii="Wingdings" w:hAnsi="Wingdings" w:hint="default"/>
      </w:rPr>
    </w:lvl>
  </w:abstractNum>
  <w:abstractNum w:abstractNumId="31" w15:restartNumberingAfterBreak="0">
    <w:nsid w:val="380379B8"/>
    <w:multiLevelType w:val="hybridMultilevel"/>
    <w:tmpl w:val="CB6C79C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8251F7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98B5BCF"/>
    <w:multiLevelType w:val="multilevel"/>
    <w:tmpl w:val="C824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0E2038"/>
    <w:multiLevelType w:val="multilevel"/>
    <w:tmpl w:val="613C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052388"/>
    <w:multiLevelType w:val="multilevel"/>
    <w:tmpl w:val="0809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36" w15:restartNumberingAfterBreak="0">
    <w:nsid w:val="43D04565"/>
    <w:multiLevelType w:val="hybridMultilevel"/>
    <w:tmpl w:val="081A1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46F73E79"/>
    <w:multiLevelType w:val="multilevel"/>
    <w:tmpl w:val="5470CFBE"/>
    <w:lvl w:ilvl="0">
      <w:start w:val="1"/>
      <w:numFmt w:val="bullet"/>
      <w:pStyle w:val="Opsomming"/>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Verdana" w:hAnsi="Verdana"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8" w15:restartNumberingAfterBreak="0">
    <w:nsid w:val="4BE42FEE"/>
    <w:multiLevelType w:val="hybridMultilevel"/>
    <w:tmpl w:val="1922A2D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C2604FF"/>
    <w:multiLevelType w:val="hybridMultilevel"/>
    <w:tmpl w:val="58D8D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0354E4D"/>
    <w:multiLevelType w:val="hybridMultilevel"/>
    <w:tmpl w:val="3CF87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03839AE"/>
    <w:multiLevelType w:val="hybridMultilevel"/>
    <w:tmpl w:val="2AF211D2"/>
    <w:lvl w:ilvl="0" w:tplc="F32A523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0FD4EEE"/>
    <w:multiLevelType w:val="hybridMultilevel"/>
    <w:tmpl w:val="D482F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48660C7"/>
    <w:multiLevelType w:val="hybridMultilevel"/>
    <w:tmpl w:val="91EA4648"/>
    <w:lvl w:ilvl="0" w:tplc="0413000F">
      <w:start w:val="1"/>
      <w:numFmt w:val="decimal"/>
      <w:lvlText w:val="%1."/>
      <w:lvlJc w:val="left"/>
      <w:pPr>
        <w:ind w:left="360" w:hanging="360"/>
      </w:pPr>
      <w:rPr>
        <w:rFonts w:hint="default"/>
      </w:rPr>
    </w:lvl>
    <w:lvl w:ilvl="1" w:tplc="0413000F">
      <w:start w:val="1"/>
      <w:numFmt w:val="decimal"/>
      <w:lvlText w:val="%2."/>
      <w:lvlJc w:val="left"/>
      <w:pPr>
        <w:ind w:left="360" w:hanging="360"/>
      </w:pPr>
    </w:lvl>
    <w:lvl w:ilvl="2" w:tplc="04130003">
      <w:start w:val="1"/>
      <w:numFmt w:val="bullet"/>
      <w:lvlText w:val="o"/>
      <w:lvlJc w:val="left"/>
      <w:pPr>
        <w:ind w:left="72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BA1EB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64C6A95"/>
    <w:multiLevelType w:val="hybridMultilevel"/>
    <w:tmpl w:val="329AA5C4"/>
    <w:lvl w:ilvl="0" w:tplc="04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72620DF"/>
    <w:multiLevelType w:val="multilevel"/>
    <w:tmpl w:val="9BFE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B96999"/>
    <w:multiLevelType w:val="hybridMultilevel"/>
    <w:tmpl w:val="7DC426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5FEF3194"/>
    <w:multiLevelType w:val="hybridMultilevel"/>
    <w:tmpl w:val="943657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4CF21A3"/>
    <w:multiLevelType w:val="multilevel"/>
    <w:tmpl w:val="EFB46CDA"/>
    <w:styleLink w:val="Huidigelijst1"/>
    <w:lvl w:ilvl="0">
      <w:start w:val="1"/>
      <w:numFmt w:val="decimal"/>
      <w:lvlText w:val="%1."/>
      <w:lvlJc w:val="left"/>
      <w:pPr>
        <w:ind w:left="360" w:hanging="360"/>
      </w:pPr>
      <w:rPr>
        <w:rFonts w:hint="default"/>
      </w:rPr>
    </w:lvl>
    <w:lvl w:ilvl="1">
      <w:numFmt w:val="bullet"/>
      <w:lvlText w:val=""/>
      <w:lvlJc w:val="left"/>
      <w:pPr>
        <w:ind w:left="1080" w:hanging="360"/>
      </w:pPr>
      <w:rPr>
        <w:rFonts w:ascii="Symbol" w:eastAsiaTheme="minorEastAsia" w:hAnsi="Symbol"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85C62E6"/>
    <w:multiLevelType w:val="hybridMultilevel"/>
    <w:tmpl w:val="D16A64D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AA22586"/>
    <w:multiLevelType w:val="hybridMultilevel"/>
    <w:tmpl w:val="4B7C4F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D871F2B"/>
    <w:multiLevelType w:val="hybridMultilevel"/>
    <w:tmpl w:val="7A5447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6FA85151"/>
    <w:multiLevelType w:val="hybridMultilevel"/>
    <w:tmpl w:val="9D4AB1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5202049"/>
    <w:multiLevelType w:val="hybridMultilevel"/>
    <w:tmpl w:val="7ADE1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631FF7"/>
    <w:multiLevelType w:val="hybridMultilevel"/>
    <w:tmpl w:val="1D0A6202"/>
    <w:lvl w:ilvl="0" w:tplc="61ECF9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BEB4056"/>
    <w:multiLevelType w:val="hybridMultilevel"/>
    <w:tmpl w:val="713A30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7E957CC2"/>
    <w:multiLevelType w:val="hybridMultilevel"/>
    <w:tmpl w:val="6C322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F93096F"/>
    <w:multiLevelType w:val="hybridMultilevel"/>
    <w:tmpl w:val="ABF09F9E"/>
    <w:lvl w:ilvl="0" w:tplc="34A87F3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7688610">
    <w:abstractNumId w:val="13"/>
  </w:num>
  <w:num w:numId="2" w16cid:durableId="793402921">
    <w:abstractNumId w:val="29"/>
  </w:num>
  <w:num w:numId="3" w16cid:durableId="1453211032">
    <w:abstractNumId w:val="47"/>
  </w:num>
  <w:num w:numId="4" w16cid:durableId="452288047">
    <w:abstractNumId w:val="42"/>
  </w:num>
  <w:num w:numId="5" w16cid:durableId="491990024">
    <w:abstractNumId w:val="36"/>
  </w:num>
  <w:num w:numId="6" w16cid:durableId="1540437082">
    <w:abstractNumId w:val="56"/>
  </w:num>
  <w:num w:numId="7" w16cid:durableId="1726369078">
    <w:abstractNumId w:val="19"/>
  </w:num>
  <w:num w:numId="8" w16cid:durableId="894661533">
    <w:abstractNumId w:val="57"/>
  </w:num>
  <w:num w:numId="9" w16cid:durableId="1012413232">
    <w:abstractNumId w:val="31"/>
  </w:num>
  <w:num w:numId="10" w16cid:durableId="1396665927">
    <w:abstractNumId w:val="15"/>
  </w:num>
  <w:num w:numId="11" w16cid:durableId="218366112">
    <w:abstractNumId w:val="16"/>
  </w:num>
  <w:num w:numId="12" w16cid:durableId="1721249076">
    <w:abstractNumId w:val="27"/>
  </w:num>
  <w:num w:numId="13" w16cid:durableId="275411427">
    <w:abstractNumId w:val="50"/>
  </w:num>
  <w:num w:numId="14" w16cid:durableId="1129742317">
    <w:abstractNumId w:val="38"/>
  </w:num>
  <w:num w:numId="15" w16cid:durableId="869226089">
    <w:abstractNumId w:val="52"/>
  </w:num>
  <w:num w:numId="16" w16cid:durableId="445656836">
    <w:abstractNumId w:val="20"/>
  </w:num>
  <w:num w:numId="17" w16cid:durableId="383910682">
    <w:abstractNumId w:val="40"/>
  </w:num>
  <w:num w:numId="18" w16cid:durableId="547183429">
    <w:abstractNumId w:val="55"/>
  </w:num>
  <w:num w:numId="19" w16cid:durableId="1698656452">
    <w:abstractNumId w:val="26"/>
  </w:num>
  <w:num w:numId="20" w16cid:durableId="578904165">
    <w:abstractNumId w:val="23"/>
  </w:num>
  <w:num w:numId="21" w16cid:durableId="874657761">
    <w:abstractNumId w:val="39"/>
  </w:num>
  <w:num w:numId="22" w16cid:durableId="1502087660">
    <w:abstractNumId w:val="58"/>
  </w:num>
  <w:num w:numId="23" w16cid:durableId="142548889">
    <w:abstractNumId w:val="54"/>
  </w:num>
  <w:num w:numId="24" w16cid:durableId="269631667">
    <w:abstractNumId w:val="21"/>
  </w:num>
  <w:num w:numId="25" w16cid:durableId="130751624">
    <w:abstractNumId w:val="44"/>
  </w:num>
  <w:num w:numId="26" w16cid:durableId="227032879">
    <w:abstractNumId w:val="32"/>
  </w:num>
  <w:num w:numId="27" w16cid:durableId="516235807">
    <w:abstractNumId w:val="35"/>
  </w:num>
  <w:num w:numId="28" w16cid:durableId="1452479057">
    <w:abstractNumId w:val="9"/>
  </w:num>
  <w:num w:numId="29" w16cid:durableId="573245343">
    <w:abstractNumId w:val="7"/>
  </w:num>
  <w:num w:numId="30" w16cid:durableId="294455734">
    <w:abstractNumId w:val="6"/>
  </w:num>
  <w:num w:numId="31" w16cid:durableId="638655894">
    <w:abstractNumId w:val="5"/>
  </w:num>
  <w:num w:numId="32" w16cid:durableId="2111468986">
    <w:abstractNumId w:val="4"/>
  </w:num>
  <w:num w:numId="33" w16cid:durableId="161313160">
    <w:abstractNumId w:val="8"/>
  </w:num>
  <w:num w:numId="34" w16cid:durableId="1778941270">
    <w:abstractNumId w:val="3"/>
  </w:num>
  <w:num w:numId="35" w16cid:durableId="1617104489">
    <w:abstractNumId w:val="2"/>
  </w:num>
  <w:num w:numId="36" w16cid:durableId="719476392">
    <w:abstractNumId w:val="1"/>
  </w:num>
  <w:num w:numId="37" w16cid:durableId="1603997342">
    <w:abstractNumId w:val="0"/>
  </w:num>
  <w:num w:numId="38" w16cid:durableId="1981031412">
    <w:abstractNumId w:val="37"/>
  </w:num>
  <w:num w:numId="39" w16cid:durableId="1870871907">
    <w:abstractNumId w:val="11"/>
  </w:num>
  <w:num w:numId="40" w16cid:durableId="1995797906">
    <w:abstractNumId w:val="24"/>
  </w:num>
  <w:num w:numId="41" w16cid:durableId="2083335042">
    <w:abstractNumId w:val="43"/>
  </w:num>
  <w:num w:numId="42" w16cid:durableId="1937208742">
    <w:abstractNumId w:val="30"/>
  </w:num>
  <w:num w:numId="43" w16cid:durableId="692609461">
    <w:abstractNumId w:val="28"/>
  </w:num>
  <w:num w:numId="44" w16cid:durableId="1810782723">
    <w:abstractNumId w:val="41"/>
  </w:num>
  <w:num w:numId="45" w16cid:durableId="717167079">
    <w:abstractNumId w:val="49"/>
  </w:num>
  <w:num w:numId="46" w16cid:durableId="1751467932">
    <w:abstractNumId w:val="14"/>
  </w:num>
  <w:num w:numId="47" w16cid:durableId="915742290">
    <w:abstractNumId w:val="53"/>
  </w:num>
  <w:num w:numId="48" w16cid:durableId="784806728">
    <w:abstractNumId w:val="45"/>
  </w:num>
  <w:num w:numId="49" w16cid:durableId="217789647">
    <w:abstractNumId w:val="22"/>
  </w:num>
  <w:num w:numId="50" w16cid:durableId="443379137">
    <w:abstractNumId w:val="48"/>
  </w:num>
  <w:num w:numId="51" w16cid:durableId="1065183049">
    <w:abstractNumId w:val="25"/>
  </w:num>
  <w:num w:numId="52" w16cid:durableId="1895771502">
    <w:abstractNumId w:val="12"/>
  </w:num>
  <w:num w:numId="53" w16cid:durableId="88042529">
    <w:abstractNumId w:val="18"/>
  </w:num>
  <w:num w:numId="54" w16cid:durableId="831406542">
    <w:abstractNumId w:val="10"/>
  </w:num>
  <w:num w:numId="55" w16cid:durableId="19938246">
    <w:abstractNumId w:val="34"/>
  </w:num>
  <w:num w:numId="56" w16cid:durableId="840505733">
    <w:abstractNumId w:val="46"/>
  </w:num>
  <w:num w:numId="57" w16cid:durableId="1847476539">
    <w:abstractNumId w:val="33"/>
  </w:num>
  <w:num w:numId="58" w16cid:durableId="1489664121">
    <w:abstractNumId w:val="17"/>
  </w:num>
  <w:num w:numId="59" w16cid:durableId="1219434312">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F9"/>
    <w:rsid w:val="00001919"/>
    <w:rsid w:val="000069EC"/>
    <w:rsid w:val="0000776B"/>
    <w:rsid w:val="00010C97"/>
    <w:rsid w:val="000111DB"/>
    <w:rsid w:val="00017DE4"/>
    <w:rsid w:val="0002187A"/>
    <w:rsid w:val="00023966"/>
    <w:rsid w:val="00024878"/>
    <w:rsid w:val="0002686F"/>
    <w:rsid w:val="00036E84"/>
    <w:rsid w:val="000404D4"/>
    <w:rsid w:val="0004136F"/>
    <w:rsid w:val="0004141B"/>
    <w:rsid w:val="00041EAD"/>
    <w:rsid w:val="00042BB7"/>
    <w:rsid w:val="000439D1"/>
    <w:rsid w:val="000442AB"/>
    <w:rsid w:val="000461CA"/>
    <w:rsid w:val="00047DF3"/>
    <w:rsid w:val="0005095A"/>
    <w:rsid w:val="00052E3E"/>
    <w:rsid w:val="00054AED"/>
    <w:rsid w:val="00056D0A"/>
    <w:rsid w:val="00057393"/>
    <w:rsid w:val="00057C79"/>
    <w:rsid w:val="00063996"/>
    <w:rsid w:val="0006528A"/>
    <w:rsid w:val="000653CB"/>
    <w:rsid w:val="00066BAB"/>
    <w:rsid w:val="00070C9F"/>
    <w:rsid w:val="000711D2"/>
    <w:rsid w:val="00071B66"/>
    <w:rsid w:val="000741B4"/>
    <w:rsid w:val="00075D0E"/>
    <w:rsid w:val="00076D2D"/>
    <w:rsid w:val="00080885"/>
    <w:rsid w:val="00080D1B"/>
    <w:rsid w:val="00084551"/>
    <w:rsid w:val="00086D04"/>
    <w:rsid w:val="00090976"/>
    <w:rsid w:val="00091ABE"/>
    <w:rsid w:val="00093298"/>
    <w:rsid w:val="0009467A"/>
    <w:rsid w:val="00096899"/>
    <w:rsid w:val="0009787D"/>
    <w:rsid w:val="000A09F4"/>
    <w:rsid w:val="000A0C1A"/>
    <w:rsid w:val="000A209F"/>
    <w:rsid w:val="000A5306"/>
    <w:rsid w:val="000A62B2"/>
    <w:rsid w:val="000B5129"/>
    <w:rsid w:val="000B70D7"/>
    <w:rsid w:val="000B780C"/>
    <w:rsid w:val="000B7BF7"/>
    <w:rsid w:val="000C2A53"/>
    <w:rsid w:val="000C39D5"/>
    <w:rsid w:val="000C48F6"/>
    <w:rsid w:val="000C5E44"/>
    <w:rsid w:val="000C7248"/>
    <w:rsid w:val="000D12E1"/>
    <w:rsid w:val="000D1B77"/>
    <w:rsid w:val="000D681A"/>
    <w:rsid w:val="000E1B46"/>
    <w:rsid w:val="000E3256"/>
    <w:rsid w:val="000E39C4"/>
    <w:rsid w:val="000E52AE"/>
    <w:rsid w:val="000E56A6"/>
    <w:rsid w:val="000E7337"/>
    <w:rsid w:val="000F1ABE"/>
    <w:rsid w:val="000F1B1B"/>
    <w:rsid w:val="000F5549"/>
    <w:rsid w:val="000F5711"/>
    <w:rsid w:val="000F59CA"/>
    <w:rsid w:val="000F6C18"/>
    <w:rsid w:val="00114C79"/>
    <w:rsid w:val="00116C8E"/>
    <w:rsid w:val="00117584"/>
    <w:rsid w:val="00120CA1"/>
    <w:rsid w:val="00121121"/>
    <w:rsid w:val="00123B8B"/>
    <w:rsid w:val="00124F8D"/>
    <w:rsid w:val="00135258"/>
    <w:rsid w:val="00135FCA"/>
    <w:rsid w:val="001401BA"/>
    <w:rsid w:val="00141882"/>
    <w:rsid w:val="00143AF8"/>
    <w:rsid w:val="00146855"/>
    <w:rsid w:val="00153DAC"/>
    <w:rsid w:val="001542C7"/>
    <w:rsid w:val="00154DA8"/>
    <w:rsid w:val="001554D0"/>
    <w:rsid w:val="001570B5"/>
    <w:rsid w:val="00157D66"/>
    <w:rsid w:val="001625E0"/>
    <w:rsid w:val="00163960"/>
    <w:rsid w:val="001673B6"/>
    <w:rsid w:val="00167642"/>
    <w:rsid w:val="0016766B"/>
    <w:rsid w:val="00171E61"/>
    <w:rsid w:val="00173EE7"/>
    <w:rsid w:val="00174392"/>
    <w:rsid w:val="00175106"/>
    <w:rsid w:val="001817D4"/>
    <w:rsid w:val="00182FB2"/>
    <w:rsid w:val="00184F38"/>
    <w:rsid w:val="00185DE8"/>
    <w:rsid w:val="001861D2"/>
    <w:rsid w:val="00186DC2"/>
    <w:rsid w:val="00191540"/>
    <w:rsid w:val="00194789"/>
    <w:rsid w:val="001954A9"/>
    <w:rsid w:val="00196FAF"/>
    <w:rsid w:val="0019714A"/>
    <w:rsid w:val="001A12F3"/>
    <w:rsid w:val="001A1BE0"/>
    <w:rsid w:val="001A3583"/>
    <w:rsid w:val="001A3D15"/>
    <w:rsid w:val="001A42AD"/>
    <w:rsid w:val="001A59EA"/>
    <w:rsid w:val="001A745F"/>
    <w:rsid w:val="001B1658"/>
    <w:rsid w:val="001B36F8"/>
    <w:rsid w:val="001B406A"/>
    <w:rsid w:val="001B4F37"/>
    <w:rsid w:val="001B6B39"/>
    <w:rsid w:val="001C0938"/>
    <w:rsid w:val="001C1F84"/>
    <w:rsid w:val="001C64E9"/>
    <w:rsid w:val="001C7D73"/>
    <w:rsid w:val="001D0296"/>
    <w:rsid w:val="001D66BC"/>
    <w:rsid w:val="001E6319"/>
    <w:rsid w:val="001E6B5D"/>
    <w:rsid w:val="001E7871"/>
    <w:rsid w:val="001F1785"/>
    <w:rsid w:val="001F257F"/>
    <w:rsid w:val="001F71B7"/>
    <w:rsid w:val="001F71BB"/>
    <w:rsid w:val="0020285E"/>
    <w:rsid w:val="00204442"/>
    <w:rsid w:val="00205D90"/>
    <w:rsid w:val="00211F45"/>
    <w:rsid w:val="00212642"/>
    <w:rsid w:val="00215228"/>
    <w:rsid w:val="0021643C"/>
    <w:rsid w:val="0022079C"/>
    <w:rsid w:val="00221C86"/>
    <w:rsid w:val="00226179"/>
    <w:rsid w:val="00233D38"/>
    <w:rsid w:val="0023689F"/>
    <w:rsid w:val="002373D8"/>
    <w:rsid w:val="002425B5"/>
    <w:rsid w:val="00242EBB"/>
    <w:rsid w:val="002450F2"/>
    <w:rsid w:val="002456E6"/>
    <w:rsid w:val="0024756E"/>
    <w:rsid w:val="00247E0B"/>
    <w:rsid w:val="0025038A"/>
    <w:rsid w:val="00251437"/>
    <w:rsid w:val="002556DE"/>
    <w:rsid w:val="002567A6"/>
    <w:rsid w:val="00261BF9"/>
    <w:rsid w:val="00262C5F"/>
    <w:rsid w:val="00265395"/>
    <w:rsid w:val="00265424"/>
    <w:rsid w:val="002658F7"/>
    <w:rsid w:val="00271392"/>
    <w:rsid w:val="00272597"/>
    <w:rsid w:val="00276D9F"/>
    <w:rsid w:val="00276DC2"/>
    <w:rsid w:val="00280F86"/>
    <w:rsid w:val="002831B4"/>
    <w:rsid w:val="00283C32"/>
    <w:rsid w:val="0028482B"/>
    <w:rsid w:val="002855BE"/>
    <w:rsid w:val="002857AA"/>
    <w:rsid w:val="00292363"/>
    <w:rsid w:val="0029425F"/>
    <w:rsid w:val="00294C66"/>
    <w:rsid w:val="00297A6A"/>
    <w:rsid w:val="002A3E2F"/>
    <w:rsid w:val="002A559D"/>
    <w:rsid w:val="002A7521"/>
    <w:rsid w:val="002A7B3C"/>
    <w:rsid w:val="002A7E42"/>
    <w:rsid w:val="002B06E9"/>
    <w:rsid w:val="002B10DB"/>
    <w:rsid w:val="002B1343"/>
    <w:rsid w:val="002B248D"/>
    <w:rsid w:val="002B7A1B"/>
    <w:rsid w:val="002C16FC"/>
    <w:rsid w:val="002C2389"/>
    <w:rsid w:val="002C38A2"/>
    <w:rsid w:val="002C4987"/>
    <w:rsid w:val="002C4BD5"/>
    <w:rsid w:val="002C5FB1"/>
    <w:rsid w:val="002C6B0F"/>
    <w:rsid w:val="002C7286"/>
    <w:rsid w:val="002C786B"/>
    <w:rsid w:val="002D0CD9"/>
    <w:rsid w:val="002D2010"/>
    <w:rsid w:val="002D562B"/>
    <w:rsid w:val="002D5977"/>
    <w:rsid w:val="002E074E"/>
    <w:rsid w:val="002E1733"/>
    <w:rsid w:val="002E2D62"/>
    <w:rsid w:val="002E4087"/>
    <w:rsid w:val="002E54D1"/>
    <w:rsid w:val="002E568F"/>
    <w:rsid w:val="002F24E5"/>
    <w:rsid w:val="002F3701"/>
    <w:rsid w:val="002F493B"/>
    <w:rsid w:val="002F4C98"/>
    <w:rsid w:val="002F6B64"/>
    <w:rsid w:val="00300C94"/>
    <w:rsid w:val="00306173"/>
    <w:rsid w:val="0030625B"/>
    <w:rsid w:val="00306C39"/>
    <w:rsid w:val="003108D2"/>
    <w:rsid w:val="00313E56"/>
    <w:rsid w:val="0031412B"/>
    <w:rsid w:val="0031428B"/>
    <w:rsid w:val="00316244"/>
    <w:rsid w:val="00320502"/>
    <w:rsid w:val="003239CD"/>
    <w:rsid w:val="003245E7"/>
    <w:rsid w:val="003258C2"/>
    <w:rsid w:val="0032593E"/>
    <w:rsid w:val="00325D1F"/>
    <w:rsid w:val="00325E4A"/>
    <w:rsid w:val="00326298"/>
    <w:rsid w:val="00326F19"/>
    <w:rsid w:val="0032777C"/>
    <w:rsid w:val="00331A9F"/>
    <w:rsid w:val="00331BEC"/>
    <w:rsid w:val="00331F45"/>
    <w:rsid w:val="0033476E"/>
    <w:rsid w:val="0033747D"/>
    <w:rsid w:val="003404C8"/>
    <w:rsid w:val="003421DD"/>
    <w:rsid w:val="00343802"/>
    <w:rsid w:val="00346264"/>
    <w:rsid w:val="003532A4"/>
    <w:rsid w:val="00354D1A"/>
    <w:rsid w:val="00357313"/>
    <w:rsid w:val="00357D89"/>
    <w:rsid w:val="003616E0"/>
    <w:rsid w:val="0036227C"/>
    <w:rsid w:val="00364DD7"/>
    <w:rsid w:val="00367FB5"/>
    <w:rsid w:val="00371195"/>
    <w:rsid w:val="00372523"/>
    <w:rsid w:val="00372B10"/>
    <w:rsid w:val="00376AA5"/>
    <w:rsid w:val="003771FA"/>
    <w:rsid w:val="00380985"/>
    <w:rsid w:val="0038179F"/>
    <w:rsid w:val="00382109"/>
    <w:rsid w:val="00382925"/>
    <w:rsid w:val="00383B5A"/>
    <w:rsid w:val="00386903"/>
    <w:rsid w:val="00387255"/>
    <w:rsid w:val="00387AED"/>
    <w:rsid w:val="00390A65"/>
    <w:rsid w:val="00392747"/>
    <w:rsid w:val="0039309E"/>
    <w:rsid w:val="00396EBA"/>
    <w:rsid w:val="00397CC7"/>
    <w:rsid w:val="00397D17"/>
    <w:rsid w:val="003A339A"/>
    <w:rsid w:val="003B1098"/>
    <w:rsid w:val="003B215F"/>
    <w:rsid w:val="003B320F"/>
    <w:rsid w:val="003B3F9B"/>
    <w:rsid w:val="003B67EF"/>
    <w:rsid w:val="003C259A"/>
    <w:rsid w:val="003C2ED6"/>
    <w:rsid w:val="003C37C0"/>
    <w:rsid w:val="003C6060"/>
    <w:rsid w:val="003C7F05"/>
    <w:rsid w:val="003D0C7A"/>
    <w:rsid w:val="003D292B"/>
    <w:rsid w:val="003D5203"/>
    <w:rsid w:val="003D7B4D"/>
    <w:rsid w:val="003D7CCD"/>
    <w:rsid w:val="003E0122"/>
    <w:rsid w:val="003E2A8F"/>
    <w:rsid w:val="003F37B9"/>
    <w:rsid w:val="003F5463"/>
    <w:rsid w:val="003F6088"/>
    <w:rsid w:val="003F7AAE"/>
    <w:rsid w:val="004001F1"/>
    <w:rsid w:val="00400D6A"/>
    <w:rsid w:val="00402285"/>
    <w:rsid w:val="004038E9"/>
    <w:rsid w:val="00406140"/>
    <w:rsid w:val="004112D9"/>
    <w:rsid w:val="0041251C"/>
    <w:rsid w:val="00412CB4"/>
    <w:rsid w:val="004136C3"/>
    <w:rsid w:val="00414FED"/>
    <w:rsid w:val="00415B11"/>
    <w:rsid w:val="00424A4E"/>
    <w:rsid w:val="00425640"/>
    <w:rsid w:val="004271D7"/>
    <w:rsid w:val="004304BD"/>
    <w:rsid w:val="00437C3A"/>
    <w:rsid w:val="00440563"/>
    <w:rsid w:val="00441A32"/>
    <w:rsid w:val="0044257C"/>
    <w:rsid w:val="00442A09"/>
    <w:rsid w:val="00446BE1"/>
    <w:rsid w:val="004515F4"/>
    <w:rsid w:val="0045242F"/>
    <w:rsid w:val="00452B98"/>
    <w:rsid w:val="0045477B"/>
    <w:rsid w:val="00462571"/>
    <w:rsid w:val="00462E37"/>
    <w:rsid w:val="004653A6"/>
    <w:rsid w:val="00466F02"/>
    <w:rsid w:val="00472B12"/>
    <w:rsid w:val="00474545"/>
    <w:rsid w:val="004760AB"/>
    <w:rsid w:val="004766E7"/>
    <w:rsid w:val="00480CE7"/>
    <w:rsid w:val="00481B0D"/>
    <w:rsid w:val="004867FA"/>
    <w:rsid w:val="00490EA9"/>
    <w:rsid w:val="004915DD"/>
    <w:rsid w:val="00494F62"/>
    <w:rsid w:val="00495499"/>
    <w:rsid w:val="004958E8"/>
    <w:rsid w:val="004A2BC6"/>
    <w:rsid w:val="004A351B"/>
    <w:rsid w:val="004A4568"/>
    <w:rsid w:val="004A4932"/>
    <w:rsid w:val="004A6A75"/>
    <w:rsid w:val="004A6BE9"/>
    <w:rsid w:val="004B0BED"/>
    <w:rsid w:val="004B1ADF"/>
    <w:rsid w:val="004B1B69"/>
    <w:rsid w:val="004B20B5"/>
    <w:rsid w:val="004B50E7"/>
    <w:rsid w:val="004B6823"/>
    <w:rsid w:val="004C256C"/>
    <w:rsid w:val="004C3270"/>
    <w:rsid w:val="004C4678"/>
    <w:rsid w:val="004C5D91"/>
    <w:rsid w:val="004C6844"/>
    <w:rsid w:val="004C6F25"/>
    <w:rsid w:val="004D1EC1"/>
    <w:rsid w:val="004D70EE"/>
    <w:rsid w:val="004E11B2"/>
    <w:rsid w:val="004E11BE"/>
    <w:rsid w:val="004E1F75"/>
    <w:rsid w:val="004E3D6B"/>
    <w:rsid w:val="004E6B85"/>
    <w:rsid w:val="004F0AB9"/>
    <w:rsid w:val="004F0EFE"/>
    <w:rsid w:val="004F2D7F"/>
    <w:rsid w:val="004F3196"/>
    <w:rsid w:val="004F4F6D"/>
    <w:rsid w:val="004F4FE0"/>
    <w:rsid w:val="004F6C17"/>
    <w:rsid w:val="00500496"/>
    <w:rsid w:val="00500F84"/>
    <w:rsid w:val="00503B4A"/>
    <w:rsid w:val="00507DF1"/>
    <w:rsid w:val="00511A67"/>
    <w:rsid w:val="00516F46"/>
    <w:rsid w:val="005170F2"/>
    <w:rsid w:val="00521ADA"/>
    <w:rsid w:val="00524F33"/>
    <w:rsid w:val="0052515F"/>
    <w:rsid w:val="0052549E"/>
    <w:rsid w:val="00526592"/>
    <w:rsid w:val="005270B5"/>
    <w:rsid w:val="00532361"/>
    <w:rsid w:val="005333C2"/>
    <w:rsid w:val="00535B30"/>
    <w:rsid w:val="0053747D"/>
    <w:rsid w:val="005406A0"/>
    <w:rsid w:val="00540D8C"/>
    <w:rsid w:val="00541131"/>
    <w:rsid w:val="005426E1"/>
    <w:rsid w:val="00545A19"/>
    <w:rsid w:val="00545CCE"/>
    <w:rsid w:val="00550354"/>
    <w:rsid w:val="00551D3A"/>
    <w:rsid w:val="00560E46"/>
    <w:rsid w:val="005623B5"/>
    <w:rsid w:val="00563051"/>
    <w:rsid w:val="00565FA6"/>
    <w:rsid w:val="0057760E"/>
    <w:rsid w:val="0058698C"/>
    <w:rsid w:val="00592C0C"/>
    <w:rsid w:val="005948ED"/>
    <w:rsid w:val="005A21EE"/>
    <w:rsid w:val="005A3805"/>
    <w:rsid w:val="005A604D"/>
    <w:rsid w:val="005A7D29"/>
    <w:rsid w:val="005B246E"/>
    <w:rsid w:val="005B3E40"/>
    <w:rsid w:val="005B3EB5"/>
    <w:rsid w:val="005B66A9"/>
    <w:rsid w:val="005B71BF"/>
    <w:rsid w:val="005B7778"/>
    <w:rsid w:val="005C0192"/>
    <w:rsid w:val="005C0208"/>
    <w:rsid w:val="005C3140"/>
    <w:rsid w:val="005C31EF"/>
    <w:rsid w:val="005C349B"/>
    <w:rsid w:val="005D05F5"/>
    <w:rsid w:val="005D5ECF"/>
    <w:rsid w:val="005E05D4"/>
    <w:rsid w:val="005E3EBF"/>
    <w:rsid w:val="005E58FF"/>
    <w:rsid w:val="005E739F"/>
    <w:rsid w:val="005E7F6A"/>
    <w:rsid w:val="005F19A3"/>
    <w:rsid w:val="005F22CB"/>
    <w:rsid w:val="005F3848"/>
    <w:rsid w:val="005F4F70"/>
    <w:rsid w:val="005F509D"/>
    <w:rsid w:val="005F5BFB"/>
    <w:rsid w:val="005F6406"/>
    <w:rsid w:val="005F6D6B"/>
    <w:rsid w:val="0060028E"/>
    <w:rsid w:val="00600E4C"/>
    <w:rsid w:val="00600FB8"/>
    <w:rsid w:val="006011A6"/>
    <w:rsid w:val="00601825"/>
    <w:rsid w:val="00605A92"/>
    <w:rsid w:val="00605FFC"/>
    <w:rsid w:val="00615B28"/>
    <w:rsid w:val="00616C0E"/>
    <w:rsid w:val="00617673"/>
    <w:rsid w:val="0062174C"/>
    <w:rsid w:val="006239FE"/>
    <w:rsid w:val="00626660"/>
    <w:rsid w:val="006271FC"/>
    <w:rsid w:val="00627895"/>
    <w:rsid w:val="00631626"/>
    <w:rsid w:val="00632B60"/>
    <w:rsid w:val="00633A79"/>
    <w:rsid w:val="00633EB9"/>
    <w:rsid w:val="00637B4D"/>
    <w:rsid w:val="0064081F"/>
    <w:rsid w:val="00640DCD"/>
    <w:rsid w:val="006421A9"/>
    <w:rsid w:val="00645146"/>
    <w:rsid w:val="00646F1B"/>
    <w:rsid w:val="00647C3D"/>
    <w:rsid w:val="00650269"/>
    <w:rsid w:val="00652123"/>
    <w:rsid w:val="00655FD1"/>
    <w:rsid w:val="00656532"/>
    <w:rsid w:val="006612DD"/>
    <w:rsid w:val="006618B4"/>
    <w:rsid w:val="00662791"/>
    <w:rsid w:val="006628AB"/>
    <w:rsid w:val="006645DB"/>
    <w:rsid w:val="00671210"/>
    <w:rsid w:val="006820E8"/>
    <w:rsid w:val="00683436"/>
    <w:rsid w:val="00685BBF"/>
    <w:rsid w:val="00685E74"/>
    <w:rsid w:val="00690300"/>
    <w:rsid w:val="00692B9A"/>
    <w:rsid w:val="00696EF1"/>
    <w:rsid w:val="006A0F3C"/>
    <w:rsid w:val="006A21B5"/>
    <w:rsid w:val="006A4A05"/>
    <w:rsid w:val="006B2831"/>
    <w:rsid w:val="006B389E"/>
    <w:rsid w:val="006B3928"/>
    <w:rsid w:val="006B4E46"/>
    <w:rsid w:val="006B4E75"/>
    <w:rsid w:val="006B6807"/>
    <w:rsid w:val="006C0557"/>
    <w:rsid w:val="006C1D3E"/>
    <w:rsid w:val="006C6D38"/>
    <w:rsid w:val="006C70A5"/>
    <w:rsid w:val="006D004F"/>
    <w:rsid w:val="006D055E"/>
    <w:rsid w:val="006D089E"/>
    <w:rsid w:val="006D1E71"/>
    <w:rsid w:val="006D3023"/>
    <w:rsid w:val="006D44EC"/>
    <w:rsid w:val="006D4AFB"/>
    <w:rsid w:val="006D5CB6"/>
    <w:rsid w:val="006E3BE7"/>
    <w:rsid w:val="006E74E9"/>
    <w:rsid w:val="006F0F92"/>
    <w:rsid w:val="006F3B43"/>
    <w:rsid w:val="006F50EE"/>
    <w:rsid w:val="006F7B77"/>
    <w:rsid w:val="00701A0E"/>
    <w:rsid w:val="00702308"/>
    <w:rsid w:val="00703588"/>
    <w:rsid w:val="00703943"/>
    <w:rsid w:val="00704056"/>
    <w:rsid w:val="00704160"/>
    <w:rsid w:val="00705A96"/>
    <w:rsid w:val="00711001"/>
    <w:rsid w:val="00711933"/>
    <w:rsid w:val="007152C3"/>
    <w:rsid w:val="0072089A"/>
    <w:rsid w:val="0072281A"/>
    <w:rsid w:val="00722EAE"/>
    <w:rsid w:val="007230D2"/>
    <w:rsid w:val="007256DC"/>
    <w:rsid w:val="007277BE"/>
    <w:rsid w:val="00730D80"/>
    <w:rsid w:val="007354F9"/>
    <w:rsid w:val="00736A68"/>
    <w:rsid w:val="00737295"/>
    <w:rsid w:val="00737701"/>
    <w:rsid w:val="00741C48"/>
    <w:rsid w:val="00741CCB"/>
    <w:rsid w:val="00741E87"/>
    <w:rsid w:val="00742CA6"/>
    <w:rsid w:val="0074364E"/>
    <w:rsid w:val="007452E0"/>
    <w:rsid w:val="00746C2B"/>
    <w:rsid w:val="00747AD8"/>
    <w:rsid w:val="00751253"/>
    <w:rsid w:val="00751975"/>
    <w:rsid w:val="00751D39"/>
    <w:rsid w:val="0075378D"/>
    <w:rsid w:val="007564AE"/>
    <w:rsid w:val="00757CB3"/>
    <w:rsid w:val="00761699"/>
    <w:rsid w:val="00766345"/>
    <w:rsid w:val="00767968"/>
    <w:rsid w:val="00771E73"/>
    <w:rsid w:val="00772EB9"/>
    <w:rsid w:val="00773821"/>
    <w:rsid w:val="00773826"/>
    <w:rsid w:val="007754BD"/>
    <w:rsid w:val="00776108"/>
    <w:rsid w:val="007808E9"/>
    <w:rsid w:val="007811AF"/>
    <w:rsid w:val="00785432"/>
    <w:rsid w:val="0079028B"/>
    <w:rsid w:val="00792187"/>
    <w:rsid w:val="00792E24"/>
    <w:rsid w:val="0079348D"/>
    <w:rsid w:val="00793737"/>
    <w:rsid w:val="007947CC"/>
    <w:rsid w:val="0079517C"/>
    <w:rsid w:val="00795CAF"/>
    <w:rsid w:val="00795F11"/>
    <w:rsid w:val="00797138"/>
    <w:rsid w:val="007A0C00"/>
    <w:rsid w:val="007A1210"/>
    <w:rsid w:val="007A1395"/>
    <w:rsid w:val="007A5467"/>
    <w:rsid w:val="007A6266"/>
    <w:rsid w:val="007B00C8"/>
    <w:rsid w:val="007B2118"/>
    <w:rsid w:val="007B24D9"/>
    <w:rsid w:val="007B4D31"/>
    <w:rsid w:val="007B6941"/>
    <w:rsid w:val="007B7D1C"/>
    <w:rsid w:val="007C1077"/>
    <w:rsid w:val="007C25F8"/>
    <w:rsid w:val="007C503A"/>
    <w:rsid w:val="007D00E1"/>
    <w:rsid w:val="007D2861"/>
    <w:rsid w:val="007D2A04"/>
    <w:rsid w:val="007D2F67"/>
    <w:rsid w:val="007D356E"/>
    <w:rsid w:val="007D416C"/>
    <w:rsid w:val="007D78E6"/>
    <w:rsid w:val="007E0BA4"/>
    <w:rsid w:val="007E4455"/>
    <w:rsid w:val="007E54E8"/>
    <w:rsid w:val="007E697D"/>
    <w:rsid w:val="007E69A0"/>
    <w:rsid w:val="007F0F4F"/>
    <w:rsid w:val="007F1EC8"/>
    <w:rsid w:val="007F4D77"/>
    <w:rsid w:val="007F6E51"/>
    <w:rsid w:val="008003B5"/>
    <w:rsid w:val="00802EA2"/>
    <w:rsid w:val="0080350C"/>
    <w:rsid w:val="00803A41"/>
    <w:rsid w:val="00805628"/>
    <w:rsid w:val="00805CF9"/>
    <w:rsid w:val="00805FE4"/>
    <w:rsid w:val="00807A47"/>
    <w:rsid w:val="00807A95"/>
    <w:rsid w:val="00811736"/>
    <w:rsid w:val="0081320F"/>
    <w:rsid w:val="00813318"/>
    <w:rsid w:val="008139D1"/>
    <w:rsid w:val="0081536B"/>
    <w:rsid w:val="00815DFC"/>
    <w:rsid w:val="00816AD5"/>
    <w:rsid w:val="00820449"/>
    <w:rsid w:val="00822F43"/>
    <w:rsid w:val="008243C8"/>
    <w:rsid w:val="00824B94"/>
    <w:rsid w:val="0082596A"/>
    <w:rsid w:val="00826094"/>
    <w:rsid w:val="008277FA"/>
    <w:rsid w:val="0083057D"/>
    <w:rsid w:val="0083264E"/>
    <w:rsid w:val="008338C2"/>
    <w:rsid w:val="00840275"/>
    <w:rsid w:val="00843D12"/>
    <w:rsid w:val="00844A14"/>
    <w:rsid w:val="00851F20"/>
    <w:rsid w:val="008541AE"/>
    <w:rsid w:val="00860625"/>
    <w:rsid w:val="00861602"/>
    <w:rsid w:val="0086230A"/>
    <w:rsid w:val="00862CDB"/>
    <w:rsid w:val="00863CCE"/>
    <w:rsid w:val="008645F8"/>
    <w:rsid w:val="008647AF"/>
    <w:rsid w:val="008676A8"/>
    <w:rsid w:val="0087146E"/>
    <w:rsid w:val="00874BCA"/>
    <w:rsid w:val="00881629"/>
    <w:rsid w:val="008831C9"/>
    <w:rsid w:val="0088695F"/>
    <w:rsid w:val="0089228C"/>
    <w:rsid w:val="00895229"/>
    <w:rsid w:val="00896562"/>
    <w:rsid w:val="00896567"/>
    <w:rsid w:val="00896985"/>
    <w:rsid w:val="00897407"/>
    <w:rsid w:val="00897BDE"/>
    <w:rsid w:val="008A3F9F"/>
    <w:rsid w:val="008A57BE"/>
    <w:rsid w:val="008A5B33"/>
    <w:rsid w:val="008A7195"/>
    <w:rsid w:val="008B0A89"/>
    <w:rsid w:val="008B1206"/>
    <w:rsid w:val="008B1A02"/>
    <w:rsid w:val="008B3A76"/>
    <w:rsid w:val="008B4CD3"/>
    <w:rsid w:val="008B5719"/>
    <w:rsid w:val="008B5ADD"/>
    <w:rsid w:val="008C2915"/>
    <w:rsid w:val="008C40E9"/>
    <w:rsid w:val="008C4B55"/>
    <w:rsid w:val="008C78C9"/>
    <w:rsid w:val="008C7C50"/>
    <w:rsid w:val="008C7F1B"/>
    <w:rsid w:val="008D03D5"/>
    <w:rsid w:val="008D1B1B"/>
    <w:rsid w:val="008D2A6E"/>
    <w:rsid w:val="008D785F"/>
    <w:rsid w:val="008E0631"/>
    <w:rsid w:val="008E0997"/>
    <w:rsid w:val="008E0AB7"/>
    <w:rsid w:val="008E3B04"/>
    <w:rsid w:val="008E5F73"/>
    <w:rsid w:val="008E6E91"/>
    <w:rsid w:val="008E75C8"/>
    <w:rsid w:val="008F50FD"/>
    <w:rsid w:val="00907B19"/>
    <w:rsid w:val="00910B10"/>
    <w:rsid w:val="00913215"/>
    <w:rsid w:val="009141D0"/>
    <w:rsid w:val="00917152"/>
    <w:rsid w:val="00920116"/>
    <w:rsid w:val="0092226B"/>
    <w:rsid w:val="009222BD"/>
    <w:rsid w:val="0092463B"/>
    <w:rsid w:val="0092487B"/>
    <w:rsid w:val="00925E75"/>
    <w:rsid w:val="00931303"/>
    <w:rsid w:val="00931921"/>
    <w:rsid w:val="00932127"/>
    <w:rsid w:val="00932DA9"/>
    <w:rsid w:val="00934B36"/>
    <w:rsid w:val="00941480"/>
    <w:rsid w:val="00944E50"/>
    <w:rsid w:val="00950DE6"/>
    <w:rsid w:val="009511A0"/>
    <w:rsid w:val="00951D70"/>
    <w:rsid w:val="0095390B"/>
    <w:rsid w:val="0095397E"/>
    <w:rsid w:val="0095549C"/>
    <w:rsid w:val="009567E0"/>
    <w:rsid w:val="00956C0F"/>
    <w:rsid w:val="00956F02"/>
    <w:rsid w:val="00960937"/>
    <w:rsid w:val="0096137A"/>
    <w:rsid w:val="00961C0A"/>
    <w:rsid w:val="00967B83"/>
    <w:rsid w:val="009711C3"/>
    <w:rsid w:val="00972BBF"/>
    <w:rsid w:val="00974AAB"/>
    <w:rsid w:val="00975364"/>
    <w:rsid w:val="00975D36"/>
    <w:rsid w:val="00976BB1"/>
    <w:rsid w:val="009811E4"/>
    <w:rsid w:val="00981D12"/>
    <w:rsid w:val="00982110"/>
    <w:rsid w:val="00982E3C"/>
    <w:rsid w:val="0098561F"/>
    <w:rsid w:val="00990FEA"/>
    <w:rsid w:val="009913C8"/>
    <w:rsid w:val="00991C0E"/>
    <w:rsid w:val="0099324D"/>
    <w:rsid w:val="00993B37"/>
    <w:rsid w:val="00995113"/>
    <w:rsid w:val="009A08D4"/>
    <w:rsid w:val="009A64B5"/>
    <w:rsid w:val="009B2B7A"/>
    <w:rsid w:val="009B468F"/>
    <w:rsid w:val="009B57B8"/>
    <w:rsid w:val="009B688D"/>
    <w:rsid w:val="009B6B4F"/>
    <w:rsid w:val="009C032A"/>
    <w:rsid w:val="009C0576"/>
    <w:rsid w:val="009C07D6"/>
    <w:rsid w:val="009C2D8D"/>
    <w:rsid w:val="009C5452"/>
    <w:rsid w:val="009C65EC"/>
    <w:rsid w:val="009C65FD"/>
    <w:rsid w:val="009D1A7B"/>
    <w:rsid w:val="009D1C0E"/>
    <w:rsid w:val="009D1EC4"/>
    <w:rsid w:val="009D206D"/>
    <w:rsid w:val="009D479E"/>
    <w:rsid w:val="009D4EA3"/>
    <w:rsid w:val="009D4EF3"/>
    <w:rsid w:val="009D55F1"/>
    <w:rsid w:val="009D67CA"/>
    <w:rsid w:val="009E0C54"/>
    <w:rsid w:val="009E17C8"/>
    <w:rsid w:val="009E6081"/>
    <w:rsid w:val="009F2845"/>
    <w:rsid w:val="009F5860"/>
    <w:rsid w:val="009F6F64"/>
    <w:rsid w:val="00A01CA1"/>
    <w:rsid w:val="00A020D2"/>
    <w:rsid w:val="00A0563B"/>
    <w:rsid w:val="00A05D82"/>
    <w:rsid w:val="00A11829"/>
    <w:rsid w:val="00A118AC"/>
    <w:rsid w:val="00A138F4"/>
    <w:rsid w:val="00A14EDE"/>
    <w:rsid w:val="00A165E3"/>
    <w:rsid w:val="00A16D42"/>
    <w:rsid w:val="00A227B3"/>
    <w:rsid w:val="00A23DA2"/>
    <w:rsid w:val="00A25A6A"/>
    <w:rsid w:val="00A27A84"/>
    <w:rsid w:val="00A27FE2"/>
    <w:rsid w:val="00A31B69"/>
    <w:rsid w:val="00A325D3"/>
    <w:rsid w:val="00A367E0"/>
    <w:rsid w:val="00A40DD2"/>
    <w:rsid w:val="00A41179"/>
    <w:rsid w:val="00A416C3"/>
    <w:rsid w:val="00A41DA0"/>
    <w:rsid w:val="00A42E92"/>
    <w:rsid w:val="00A43A16"/>
    <w:rsid w:val="00A4692F"/>
    <w:rsid w:val="00A47178"/>
    <w:rsid w:val="00A50053"/>
    <w:rsid w:val="00A51F5C"/>
    <w:rsid w:val="00A520F8"/>
    <w:rsid w:val="00A55658"/>
    <w:rsid w:val="00A560E4"/>
    <w:rsid w:val="00A56652"/>
    <w:rsid w:val="00A615B4"/>
    <w:rsid w:val="00A61F6F"/>
    <w:rsid w:val="00A6665A"/>
    <w:rsid w:val="00A720F9"/>
    <w:rsid w:val="00A745AF"/>
    <w:rsid w:val="00A74F37"/>
    <w:rsid w:val="00A87E9B"/>
    <w:rsid w:val="00A91944"/>
    <w:rsid w:val="00A95B58"/>
    <w:rsid w:val="00AA0D72"/>
    <w:rsid w:val="00AA2C17"/>
    <w:rsid w:val="00AA37B9"/>
    <w:rsid w:val="00AA3B4A"/>
    <w:rsid w:val="00AB118F"/>
    <w:rsid w:val="00AB207D"/>
    <w:rsid w:val="00AB5456"/>
    <w:rsid w:val="00AB573E"/>
    <w:rsid w:val="00AB647A"/>
    <w:rsid w:val="00AB666D"/>
    <w:rsid w:val="00AC018F"/>
    <w:rsid w:val="00AC10A8"/>
    <w:rsid w:val="00AC17AF"/>
    <w:rsid w:val="00AC311E"/>
    <w:rsid w:val="00AD047E"/>
    <w:rsid w:val="00AD1A81"/>
    <w:rsid w:val="00AD25FE"/>
    <w:rsid w:val="00AD3048"/>
    <w:rsid w:val="00AD5C2A"/>
    <w:rsid w:val="00AD71DB"/>
    <w:rsid w:val="00AE082B"/>
    <w:rsid w:val="00AE29B2"/>
    <w:rsid w:val="00AE34A4"/>
    <w:rsid w:val="00AE5E81"/>
    <w:rsid w:val="00AE6970"/>
    <w:rsid w:val="00AE7D67"/>
    <w:rsid w:val="00AF2A66"/>
    <w:rsid w:val="00AF56ED"/>
    <w:rsid w:val="00AF7BB8"/>
    <w:rsid w:val="00B0348F"/>
    <w:rsid w:val="00B0365D"/>
    <w:rsid w:val="00B04587"/>
    <w:rsid w:val="00B12EC7"/>
    <w:rsid w:val="00B145F0"/>
    <w:rsid w:val="00B17579"/>
    <w:rsid w:val="00B20C71"/>
    <w:rsid w:val="00B216D1"/>
    <w:rsid w:val="00B235C1"/>
    <w:rsid w:val="00B25886"/>
    <w:rsid w:val="00B27B07"/>
    <w:rsid w:val="00B329B1"/>
    <w:rsid w:val="00B3312B"/>
    <w:rsid w:val="00B34236"/>
    <w:rsid w:val="00B36CFE"/>
    <w:rsid w:val="00B42C65"/>
    <w:rsid w:val="00B44091"/>
    <w:rsid w:val="00B4540E"/>
    <w:rsid w:val="00B4672C"/>
    <w:rsid w:val="00B475AB"/>
    <w:rsid w:val="00B47602"/>
    <w:rsid w:val="00B47D3C"/>
    <w:rsid w:val="00B50915"/>
    <w:rsid w:val="00B513FC"/>
    <w:rsid w:val="00B518C8"/>
    <w:rsid w:val="00B5214D"/>
    <w:rsid w:val="00B529F8"/>
    <w:rsid w:val="00B54177"/>
    <w:rsid w:val="00B563D4"/>
    <w:rsid w:val="00B57ED7"/>
    <w:rsid w:val="00B6351F"/>
    <w:rsid w:val="00B64264"/>
    <w:rsid w:val="00B650AD"/>
    <w:rsid w:val="00B651BA"/>
    <w:rsid w:val="00B66125"/>
    <w:rsid w:val="00B66505"/>
    <w:rsid w:val="00B67306"/>
    <w:rsid w:val="00B678D3"/>
    <w:rsid w:val="00B72275"/>
    <w:rsid w:val="00B72A92"/>
    <w:rsid w:val="00B75061"/>
    <w:rsid w:val="00B756EC"/>
    <w:rsid w:val="00B75CCE"/>
    <w:rsid w:val="00B77155"/>
    <w:rsid w:val="00B817EA"/>
    <w:rsid w:val="00B82EA6"/>
    <w:rsid w:val="00B83B3E"/>
    <w:rsid w:val="00B858A3"/>
    <w:rsid w:val="00B92B9C"/>
    <w:rsid w:val="00B9350B"/>
    <w:rsid w:val="00B94829"/>
    <w:rsid w:val="00B948EE"/>
    <w:rsid w:val="00B94AF6"/>
    <w:rsid w:val="00B95F3C"/>
    <w:rsid w:val="00B97E95"/>
    <w:rsid w:val="00BA2785"/>
    <w:rsid w:val="00BA3EFF"/>
    <w:rsid w:val="00BA4156"/>
    <w:rsid w:val="00BA41D8"/>
    <w:rsid w:val="00BB20B2"/>
    <w:rsid w:val="00BB36E0"/>
    <w:rsid w:val="00BB3BD3"/>
    <w:rsid w:val="00BB41FC"/>
    <w:rsid w:val="00BB6E30"/>
    <w:rsid w:val="00BC2D64"/>
    <w:rsid w:val="00BC390E"/>
    <w:rsid w:val="00BC4472"/>
    <w:rsid w:val="00BC5C43"/>
    <w:rsid w:val="00BC6D37"/>
    <w:rsid w:val="00BC77BD"/>
    <w:rsid w:val="00BC7A19"/>
    <w:rsid w:val="00BC7DDB"/>
    <w:rsid w:val="00BD7589"/>
    <w:rsid w:val="00BE0879"/>
    <w:rsid w:val="00BE2CF8"/>
    <w:rsid w:val="00BE3FCD"/>
    <w:rsid w:val="00BF2ADD"/>
    <w:rsid w:val="00BF60CA"/>
    <w:rsid w:val="00BF6C9D"/>
    <w:rsid w:val="00BF7B6F"/>
    <w:rsid w:val="00C06A91"/>
    <w:rsid w:val="00C06DDA"/>
    <w:rsid w:val="00C06E17"/>
    <w:rsid w:val="00C1292A"/>
    <w:rsid w:val="00C144B3"/>
    <w:rsid w:val="00C145B2"/>
    <w:rsid w:val="00C15C27"/>
    <w:rsid w:val="00C162B4"/>
    <w:rsid w:val="00C174C0"/>
    <w:rsid w:val="00C20014"/>
    <w:rsid w:val="00C20169"/>
    <w:rsid w:val="00C239FF"/>
    <w:rsid w:val="00C23C58"/>
    <w:rsid w:val="00C25819"/>
    <w:rsid w:val="00C27427"/>
    <w:rsid w:val="00C2788C"/>
    <w:rsid w:val="00C306F3"/>
    <w:rsid w:val="00C31667"/>
    <w:rsid w:val="00C31E10"/>
    <w:rsid w:val="00C3376B"/>
    <w:rsid w:val="00C353C5"/>
    <w:rsid w:val="00C3561B"/>
    <w:rsid w:val="00C37077"/>
    <w:rsid w:val="00C406A8"/>
    <w:rsid w:val="00C433E7"/>
    <w:rsid w:val="00C44CDE"/>
    <w:rsid w:val="00C44D68"/>
    <w:rsid w:val="00C45C45"/>
    <w:rsid w:val="00C46A90"/>
    <w:rsid w:val="00C5035E"/>
    <w:rsid w:val="00C50A98"/>
    <w:rsid w:val="00C51A09"/>
    <w:rsid w:val="00C51D96"/>
    <w:rsid w:val="00C53AFC"/>
    <w:rsid w:val="00C53DF4"/>
    <w:rsid w:val="00C54B09"/>
    <w:rsid w:val="00C550CB"/>
    <w:rsid w:val="00C55204"/>
    <w:rsid w:val="00C57213"/>
    <w:rsid w:val="00C611D7"/>
    <w:rsid w:val="00C614CA"/>
    <w:rsid w:val="00C63763"/>
    <w:rsid w:val="00C63E75"/>
    <w:rsid w:val="00C63F49"/>
    <w:rsid w:val="00C70598"/>
    <w:rsid w:val="00C70B8A"/>
    <w:rsid w:val="00C71DB5"/>
    <w:rsid w:val="00C726A3"/>
    <w:rsid w:val="00C727B0"/>
    <w:rsid w:val="00C72AED"/>
    <w:rsid w:val="00C813A9"/>
    <w:rsid w:val="00C84D47"/>
    <w:rsid w:val="00C872E5"/>
    <w:rsid w:val="00C914D5"/>
    <w:rsid w:val="00C9266D"/>
    <w:rsid w:val="00C93ABE"/>
    <w:rsid w:val="00C93AE2"/>
    <w:rsid w:val="00C95198"/>
    <w:rsid w:val="00C952BD"/>
    <w:rsid w:val="00CA0930"/>
    <w:rsid w:val="00CA12E4"/>
    <w:rsid w:val="00CA3BC9"/>
    <w:rsid w:val="00CA4412"/>
    <w:rsid w:val="00CA786A"/>
    <w:rsid w:val="00CB159B"/>
    <w:rsid w:val="00CB4BCE"/>
    <w:rsid w:val="00CB4CA0"/>
    <w:rsid w:val="00CB58E7"/>
    <w:rsid w:val="00CB73CB"/>
    <w:rsid w:val="00CC208C"/>
    <w:rsid w:val="00CC4FB1"/>
    <w:rsid w:val="00CC5592"/>
    <w:rsid w:val="00CD0866"/>
    <w:rsid w:val="00CD230C"/>
    <w:rsid w:val="00CD3625"/>
    <w:rsid w:val="00CD4B49"/>
    <w:rsid w:val="00CD6366"/>
    <w:rsid w:val="00CD6389"/>
    <w:rsid w:val="00CE4856"/>
    <w:rsid w:val="00CF6DEA"/>
    <w:rsid w:val="00D00044"/>
    <w:rsid w:val="00D01E58"/>
    <w:rsid w:val="00D023CB"/>
    <w:rsid w:val="00D029D2"/>
    <w:rsid w:val="00D06B36"/>
    <w:rsid w:val="00D11293"/>
    <w:rsid w:val="00D147D4"/>
    <w:rsid w:val="00D15B31"/>
    <w:rsid w:val="00D21324"/>
    <w:rsid w:val="00D2208A"/>
    <w:rsid w:val="00D22666"/>
    <w:rsid w:val="00D23B4B"/>
    <w:rsid w:val="00D23CC7"/>
    <w:rsid w:val="00D24922"/>
    <w:rsid w:val="00D249BA"/>
    <w:rsid w:val="00D33D1C"/>
    <w:rsid w:val="00D427B3"/>
    <w:rsid w:val="00D43103"/>
    <w:rsid w:val="00D45301"/>
    <w:rsid w:val="00D46BF0"/>
    <w:rsid w:val="00D47007"/>
    <w:rsid w:val="00D508B7"/>
    <w:rsid w:val="00D523E0"/>
    <w:rsid w:val="00D54C38"/>
    <w:rsid w:val="00D57264"/>
    <w:rsid w:val="00D62999"/>
    <w:rsid w:val="00D66D10"/>
    <w:rsid w:val="00D6793F"/>
    <w:rsid w:val="00D711CF"/>
    <w:rsid w:val="00D72936"/>
    <w:rsid w:val="00D73955"/>
    <w:rsid w:val="00D75043"/>
    <w:rsid w:val="00D80438"/>
    <w:rsid w:val="00D8797D"/>
    <w:rsid w:val="00D90203"/>
    <w:rsid w:val="00D92E19"/>
    <w:rsid w:val="00DA291C"/>
    <w:rsid w:val="00DA39F0"/>
    <w:rsid w:val="00DA4A2A"/>
    <w:rsid w:val="00DA6186"/>
    <w:rsid w:val="00DA64F9"/>
    <w:rsid w:val="00DA72A7"/>
    <w:rsid w:val="00DB0AEA"/>
    <w:rsid w:val="00DB113E"/>
    <w:rsid w:val="00DB4993"/>
    <w:rsid w:val="00DB4D47"/>
    <w:rsid w:val="00DB5527"/>
    <w:rsid w:val="00DC1B17"/>
    <w:rsid w:val="00DC2327"/>
    <w:rsid w:val="00DC49CD"/>
    <w:rsid w:val="00DC4D95"/>
    <w:rsid w:val="00DC541A"/>
    <w:rsid w:val="00DC5F7A"/>
    <w:rsid w:val="00DC7D60"/>
    <w:rsid w:val="00DD0A47"/>
    <w:rsid w:val="00DD21CB"/>
    <w:rsid w:val="00DD4168"/>
    <w:rsid w:val="00DD593D"/>
    <w:rsid w:val="00DD6F3A"/>
    <w:rsid w:val="00DE3DA2"/>
    <w:rsid w:val="00DE5B84"/>
    <w:rsid w:val="00DE66C5"/>
    <w:rsid w:val="00DE7FA5"/>
    <w:rsid w:val="00DF1047"/>
    <w:rsid w:val="00DF1411"/>
    <w:rsid w:val="00DF428B"/>
    <w:rsid w:val="00DF431B"/>
    <w:rsid w:val="00DF76E9"/>
    <w:rsid w:val="00E012EC"/>
    <w:rsid w:val="00E02820"/>
    <w:rsid w:val="00E03D0F"/>
    <w:rsid w:val="00E03FB7"/>
    <w:rsid w:val="00E04439"/>
    <w:rsid w:val="00E06260"/>
    <w:rsid w:val="00E06BCC"/>
    <w:rsid w:val="00E1277F"/>
    <w:rsid w:val="00E13BBA"/>
    <w:rsid w:val="00E1448C"/>
    <w:rsid w:val="00E144C7"/>
    <w:rsid w:val="00E154AA"/>
    <w:rsid w:val="00E154B4"/>
    <w:rsid w:val="00E16B31"/>
    <w:rsid w:val="00E22709"/>
    <w:rsid w:val="00E25E11"/>
    <w:rsid w:val="00E27A51"/>
    <w:rsid w:val="00E30B3A"/>
    <w:rsid w:val="00E313EB"/>
    <w:rsid w:val="00E32AB7"/>
    <w:rsid w:val="00E3681D"/>
    <w:rsid w:val="00E372F3"/>
    <w:rsid w:val="00E40D2C"/>
    <w:rsid w:val="00E4254A"/>
    <w:rsid w:val="00E449B7"/>
    <w:rsid w:val="00E4512F"/>
    <w:rsid w:val="00E47B9D"/>
    <w:rsid w:val="00E5212E"/>
    <w:rsid w:val="00E52B02"/>
    <w:rsid w:val="00E542F4"/>
    <w:rsid w:val="00E62AEF"/>
    <w:rsid w:val="00E649D3"/>
    <w:rsid w:val="00E6512F"/>
    <w:rsid w:val="00E67ABE"/>
    <w:rsid w:val="00E67CB2"/>
    <w:rsid w:val="00E72344"/>
    <w:rsid w:val="00E73269"/>
    <w:rsid w:val="00E7339E"/>
    <w:rsid w:val="00E75998"/>
    <w:rsid w:val="00E76E03"/>
    <w:rsid w:val="00E85984"/>
    <w:rsid w:val="00E860A5"/>
    <w:rsid w:val="00E870E8"/>
    <w:rsid w:val="00E905D2"/>
    <w:rsid w:val="00E91365"/>
    <w:rsid w:val="00E92034"/>
    <w:rsid w:val="00E9694C"/>
    <w:rsid w:val="00E97406"/>
    <w:rsid w:val="00EA14DA"/>
    <w:rsid w:val="00EA1DD2"/>
    <w:rsid w:val="00EA35A2"/>
    <w:rsid w:val="00EA557A"/>
    <w:rsid w:val="00EA72A8"/>
    <w:rsid w:val="00EB0D8F"/>
    <w:rsid w:val="00EB19AF"/>
    <w:rsid w:val="00EB6B80"/>
    <w:rsid w:val="00EC05D6"/>
    <w:rsid w:val="00EC151E"/>
    <w:rsid w:val="00EC178D"/>
    <w:rsid w:val="00EC6F22"/>
    <w:rsid w:val="00EC73CE"/>
    <w:rsid w:val="00EC7F41"/>
    <w:rsid w:val="00ED187C"/>
    <w:rsid w:val="00ED296E"/>
    <w:rsid w:val="00ED2ED6"/>
    <w:rsid w:val="00ED36B5"/>
    <w:rsid w:val="00ED5252"/>
    <w:rsid w:val="00ED65A9"/>
    <w:rsid w:val="00EE2539"/>
    <w:rsid w:val="00EE44C8"/>
    <w:rsid w:val="00EE48A1"/>
    <w:rsid w:val="00EE4C77"/>
    <w:rsid w:val="00EF0358"/>
    <w:rsid w:val="00EF0CAE"/>
    <w:rsid w:val="00EF16A6"/>
    <w:rsid w:val="00EF232C"/>
    <w:rsid w:val="00EF2AEB"/>
    <w:rsid w:val="00EF2C5E"/>
    <w:rsid w:val="00EF2E07"/>
    <w:rsid w:val="00EF4764"/>
    <w:rsid w:val="00EF5428"/>
    <w:rsid w:val="00EF6211"/>
    <w:rsid w:val="00EF747C"/>
    <w:rsid w:val="00EF748E"/>
    <w:rsid w:val="00EF76D8"/>
    <w:rsid w:val="00F02C97"/>
    <w:rsid w:val="00F02DF9"/>
    <w:rsid w:val="00F038A9"/>
    <w:rsid w:val="00F044E2"/>
    <w:rsid w:val="00F05F02"/>
    <w:rsid w:val="00F0681D"/>
    <w:rsid w:val="00F0706E"/>
    <w:rsid w:val="00F0789A"/>
    <w:rsid w:val="00F110A5"/>
    <w:rsid w:val="00F1254B"/>
    <w:rsid w:val="00F12670"/>
    <w:rsid w:val="00F159C5"/>
    <w:rsid w:val="00F20F9A"/>
    <w:rsid w:val="00F2105C"/>
    <w:rsid w:val="00F22141"/>
    <w:rsid w:val="00F22FEF"/>
    <w:rsid w:val="00F23973"/>
    <w:rsid w:val="00F24174"/>
    <w:rsid w:val="00F25C2B"/>
    <w:rsid w:val="00F26BFB"/>
    <w:rsid w:val="00F2709F"/>
    <w:rsid w:val="00F3304B"/>
    <w:rsid w:val="00F338CE"/>
    <w:rsid w:val="00F3428B"/>
    <w:rsid w:val="00F35935"/>
    <w:rsid w:val="00F35D77"/>
    <w:rsid w:val="00F43048"/>
    <w:rsid w:val="00F4308E"/>
    <w:rsid w:val="00F433D5"/>
    <w:rsid w:val="00F46771"/>
    <w:rsid w:val="00F503F9"/>
    <w:rsid w:val="00F511F0"/>
    <w:rsid w:val="00F57CDC"/>
    <w:rsid w:val="00F609C6"/>
    <w:rsid w:val="00F614E1"/>
    <w:rsid w:val="00F614F5"/>
    <w:rsid w:val="00F632C4"/>
    <w:rsid w:val="00F65312"/>
    <w:rsid w:val="00F65ABF"/>
    <w:rsid w:val="00F65FD1"/>
    <w:rsid w:val="00F66DAC"/>
    <w:rsid w:val="00F71866"/>
    <w:rsid w:val="00F723A0"/>
    <w:rsid w:val="00F75C12"/>
    <w:rsid w:val="00F75DE2"/>
    <w:rsid w:val="00F7691B"/>
    <w:rsid w:val="00F77834"/>
    <w:rsid w:val="00F80299"/>
    <w:rsid w:val="00F86008"/>
    <w:rsid w:val="00F91860"/>
    <w:rsid w:val="00F924FE"/>
    <w:rsid w:val="00F95D4E"/>
    <w:rsid w:val="00F96C58"/>
    <w:rsid w:val="00FA06A1"/>
    <w:rsid w:val="00FA1673"/>
    <w:rsid w:val="00FA1831"/>
    <w:rsid w:val="00FA2E02"/>
    <w:rsid w:val="00FA39DA"/>
    <w:rsid w:val="00FA42C8"/>
    <w:rsid w:val="00FA49EF"/>
    <w:rsid w:val="00FA5A59"/>
    <w:rsid w:val="00FA77E3"/>
    <w:rsid w:val="00FB043C"/>
    <w:rsid w:val="00FB1745"/>
    <w:rsid w:val="00FB36D5"/>
    <w:rsid w:val="00FB4D03"/>
    <w:rsid w:val="00FB5D97"/>
    <w:rsid w:val="00FC04F5"/>
    <w:rsid w:val="00FC1D3A"/>
    <w:rsid w:val="00FC2289"/>
    <w:rsid w:val="00FC32A9"/>
    <w:rsid w:val="00FC6098"/>
    <w:rsid w:val="00FC609B"/>
    <w:rsid w:val="00FC7480"/>
    <w:rsid w:val="00FD038A"/>
    <w:rsid w:val="00FD3E02"/>
    <w:rsid w:val="00FD5F29"/>
    <w:rsid w:val="00FD7D02"/>
    <w:rsid w:val="00FE437B"/>
    <w:rsid w:val="00FE4D5B"/>
    <w:rsid w:val="00FF5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7CBD5B6"/>
  <w15:chartTrackingRefBased/>
  <w15:docId w15:val="{F53720E0-69D3-4063-B17C-8D547B38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D67"/>
    <w:pPr>
      <w:spacing w:line="283" w:lineRule="atLeast"/>
    </w:pPr>
  </w:style>
  <w:style w:type="paragraph" w:styleId="Kop1">
    <w:name w:val="heading 1"/>
    <w:basedOn w:val="Standaard"/>
    <w:next w:val="Standaard"/>
    <w:link w:val="Kop1Char"/>
    <w:uiPriority w:val="9"/>
    <w:qFormat/>
    <w:rsid w:val="0095390B"/>
    <w:pPr>
      <w:spacing w:line="283" w:lineRule="exact"/>
      <w:outlineLvl w:val="0"/>
    </w:pPr>
    <w:rPr>
      <w:b/>
    </w:rPr>
  </w:style>
  <w:style w:type="paragraph" w:styleId="Kop2">
    <w:name w:val="heading 2"/>
    <w:basedOn w:val="Standaard"/>
    <w:next w:val="Standaard"/>
    <w:link w:val="Kop2Char"/>
    <w:uiPriority w:val="9"/>
    <w:semiHidden/>
    <w:unhideWhenUsed/>
    <w:qFormat/>
    <w:rsid w:val="0095390B"/>
    <w:pPr>
      <w:keepNext/>
      <w:keepLines/>
      <w:spacing w:before="40"/>
      <w:outlineLvl w:val="1"/>
    </w:pPr>
    <w:rPr>
      <w:rFonts w:asciiTheme="majorHAnsi" w:eastAsiaTheme="majorEastAsia" w:hAnsiTheme="majorHAnsi" w:cstheme="majorBidi"/>
      <w:color w:val="40829B" w:themeColor="accent1" w:themeShade="BF"/>
      <w:sz w:val="26"/>
      <w:szCs w:val="26"/>
    </w:rPr>
  </w:style>
  <w:style w:type="paragraph" w:styleId="Kop3">
    <w:name w:val="heading 3"/>
    <w:basedOn w:val="Standaard"/>
    <w:next w:val="Standaard"/>
    <w:link w:val="Kop3Char"/>
    <w:uiPriority w:val="9"/>
    <w:semiHidden/>
    <w:unhideWhenUsed/>
    <w:qFormat/>
    <w:rsid w:val="0095390B"/>
    <w:pPr>
      <w:keepNext/>
      <w:keepLines/>
      <w:numPr>
        <w:ilvl w:val="2"/>
        <w:numId w:val="27"/>
      </w:numPr>
      <w:spacing w:before="40"/>
      <w:outlineLvl w:val="2"/>
    </w:pPr>
    <w:rPr>
      <w:rFonts w:asciiTheme="majorHAnsi" w:eastAsiaTheme="majorEastAsia" w:hAnsiTheme="majorHAnsi" w:cstheme="majorBidi"/>
      <w:color w:val="2B5667" w:themeColor="accent1" w:themeShade="7F"/>
      <w:sz w:val="24"/>
      <w:szCs w:val="24"/>
    </w:rPr>
  </w:style>
  <w:style w:type="paragraph" w:styleId="Kop4">
    <w:name w:val="heading 4"/>
    <w:basedOn w:val="Standaard"/>
    <w:next w:val="Standaard"/>
    <w:link w:val="Kop4Char"/>
    <w:uiPriority w:val="9"/>
    <w:semiHidden/>
    <w:unhideWhenUsed/>
    <w:qFormat/>
    <w:rsid w:val="00771E73"/>
    <w:pPr>
      <w:keepNext/>
      <w:keepLines/>
      <w:numPr>
        <w:ilvl w:val="3"/>
        <w:numId w:val="27"/>
      </w:numPr>
      <w:spacing w:before="40"/>
      <w:outlineLvl w:val="3"/>
    </w:pPr>
    <w:rPr>
      <w:rFonts w:asciiTheme="majorHAnsi" w:eastAsiaTheme="majorEastAsia" w:hAnsiTheme="majorHAnsi" w:cstheme="majorBidi"/>
      <w:i/>
      <w:iCs/>
      <w:color w:val="40829B" w:themeColor="accent1" w:themeShade="BF"/>
    </w:rPr>
  </w:style>
  <w:style w:type="paragraph" w:styleId="Kop5">
    <w:name w:val="heading 5"/>
    <w:basedOn w:val="Standaard"/>
    <w:next w:val="Standaard"/>
    <w:link w:val="Kop5Char"/>
    <w:uiPriority w:val="9"/>
    <w:semiHidden/>
    <w:unhideWhenUsed/>
    <w:qFormat/>
    <w:rsid w:val="0095390B"/>
    <w:pPr>
      <w:keepNext/>
      <w:keepLines/>
      <w:numPr>
        <w:ilvl w:val="4"/>
        <w:numId w:val="27"/>
      </w:numPr>
      <w:spacing w:before="40"/>
      <w:outlineLvl w:val="4"/>
    </w:pPr>
    <w:rPr>
      <w:rFonts w:asciiTheme="majorHAnsi" w:eastAsiaTheme="majorEastAsia" w:hAnsiTheme="majorHAnsi" w:cstheme="majorBidi"/>
      <w:color w:val="40829B" w:themeColor="accent1" w:themeShade="BF"/>
    </w:rPr>
  </w:style>
  <w:style w:type="paragraph" w:styleId="Kop6">
    <w:name w:val="heading 6"/>
    <w:basedOn w:val="Standaard"/>
    <w:next w:val="Standaard"/>
    <w:link w:val="Kop6Char"/>
    <w:uiPriority w:val="9"/>
    <w:semiHidden/>
    <w:unhideWhenUsed/>
    <w:qFormat/>
    <w:rsid w:val="0095390B"/>
    <w:pPr>
      <w:keepNext/>
      <w:keepLines/>
      <w:numPr>
        <w:ilvl w:val="5"/>
        <w:numId w:val="27"/>
      </w:numPr>
      <w:spacing w:before="40"/>
      <w:outlineLvl w:val="5"/>
    </w:pPr>
    <w:rPr>
      <w:rFonts w:asciiTheme="majorHAnsi" w:eastAsiaTheme="majorEastAsia" w:hAnsiTheme="majorHAnsi" w:cstheme="majorBidi"/>
      <w:color w:val="2B5667" w:themeColor="accent1" w:themeShade="7F"/>
    </w:rPr>
  </w:style>
  <w:style w:type="paragraph" w:styleId="Kop7">
    <w:name w:val="heading 7"/>
    <w:basedOn w:val="Standaard"/>
    <w:next w:val="Standaard"/>
    <w:link w:val="Kop7Char"/>
    <w:uiPriority w:val="9"/>
    <w:semiHidden/>
    <w:unhideWhenUsed/>
    <w:qFormat/>
    <w:rsid w:val="0095390B"/>
    <w:pPr>
      <w:keepNext/>
      <w:keepLines/>
      <w:numPr>
        <w:ilvl w:val="6"/>
        <w:numId w:val="27"/>
      </w:numPr>
      <w:spacing w:before="40"/>
      <w:outlineLvl w:val="6"/>
    </w:pPr>
    <w:rPr>
      <w:rFonts w:asciiTheme="majorHAnsi" w:eastAsiaTheme="majorEastAsia" w:hAnsiTheme="majorHAnsi" w:cstheme="majorBidi"/>
      <w:i/>
      <w:iCs/>
      <w:color w:val="2B5667" w:themeColor="accent1" w:themeShade="7F"/>
    </w:rPr>
  </w:style>
  <w:style w:type="paragraph" w:styleId="Kop8">
    <w:name w:val="heading 8"/>
    <w:basedOn w:val="Standaard"/>
    <w:next w:val="Standaard"/>
    <w:link w:val="Kop8Char"/>
    <w:uiPriority w:val="9"/>
    <w:semiHidden/>
    <w:unhideWhenUsed/>
    <w:qFormat/>
    <w:rsid w:val="0095390B"/>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5390B"/>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03F9"/>
    <w:pPr>
      <w:ind w:left="720"/>
      <w:contextualSpacing/>
    </w:pPr>
  </w:style>
  <w:style w:type="table" w:styleId="Tabelraster">
    <w:name w:val="Table Grid"/>
    <w:basedOn w:val="Standaardtabel"/>
    <w:uiPriority w:val="39"/>
    <w:rsid w:val="00F503F9"/>
    <w:rPr>
      <w:rFonts w:ascii="Verdana" w:hAnsi="Verdan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3F9"/>
    <w:pPr>
      <w:autoSpaceDE w:val="0"/>
      <w:autoSpaceDN w:val="0"/>
      <w:adjustRightInd w:val="0"/>
    </w:pPr>
    <w:rPr>
      <w:rFonts w:ascii="Verdana" w:eastAsia="DejaVu Sans" w:hAnsi="Verdana" w:cs="Verdana"/>
      <w:color w:val="000000"/>
      <w:sz w:val="24"/>
      <w:szCs w:val="24"/>
      <w:lang w:eastAsia="nl-NL"/>
    </w:rPr>
  </w:style>
  <w:style w:type="paragraph" w:styleId="Voetnoottekst">
    <w:name w:val="footnote text"/>
    <w:basedOn w:val="Standaard"/>
    <w:link w:val="VoetnoottekstChar"/>
    <w:uiPriority w:val="99"/>
    <w:semiHidden/>
    <w:unhideWhenUsed/>
    <w:rsid w:val="00F503F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503F9"/>
    <w:rPr>
      <w:rFonts w:ascii="Verdana" w:hAnsi="Verdana"/>
      <w:sz w:val="20"/>
      <w:szCs w:val="20"/>
    </w:rPr>
  </w:style>
  <w:style w:type="character" w:styleId="Voetnootmarkering">
    <w:name w:val="footnote reference"/>
    <w:basedOn w:val="Standaardalinea-lettertype"/>
    <w:uiPriority w:val="99"/>
    <w:semiHidden/>
    <w:unhideWhenUsed/>
    <w:rsid w:val="00F503F9"/>
    <w:rPr>
      <w:vertAlign w:val="superscript"/>
    </w:rPr>
  </w:style>
  <w:style w:type="table" w:styleId="Rastertabel5donker-Accent1">
    <w:name w:val="Grid Table 5 Dark Accent 1"/>
    <w:basedOn w:val="Standaardtabel"/>
    <w:uiPriority w:val="50"/>
    <w:rsid w:val="00F503F9"/>
    <w:rPr>
      <w:rFonts w:ascii="Verdana" w:hAnsi="Verdana"/>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A7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A7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A7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A7C0" w:themeFill="accent1"/>
      </w:tcPr>
    </w:tblStylePr>
    <w:tblStylePr w:type="band1Vert">
      <w:tblPr/>
      <w:tcPr>
        <w:shd w:val="clear" w:color="auto" w:fill="C2DBE5" w:themeFill="accent1" w:themeFillTint="66"/>
      </w:tcPr>
    </w:tblStylePr>
    <w:tblStylePr w:type="band1Horz">
      <w:tblPr/>
      <w:tcPr>
        <w:shd w:val="clear" w:color="auto" w:fill="C2DBE5" w:themeFill="accent1" w:themeFillTint="66"/>
      </w:tcPr>
    </w:tblStylePr>
  </w:style>
  <w:style w:type="paragraph" w:styleId="Koptekst">
    <w:name w:val="header"/>
    <w:basedOn w:val="Standaard"/>
    <w:link w:val="KoptekstChar"/>
    <w:uiPriority w:val="99"/>
    <w:unhideWhenUsed/>
    <w:rsid w:val="00120CA1"/>
    <w:pPr>
      <w:tabs>
        <w:tab w:val="center" w:pos="4536"/>
        <w:tab w:val="right" w:pos="9072"/>
      </w:tabs>
      <w:spacing w:line="240" w:lineRule="auto"/>
    </w:pPr>
    <w:rPr>
      <w:rFonts w:asciiTheme="majorHAnsi" w:hAnsiTheme="majorHAnsi"/>
      <w:smallCaps/>
      <w:sz w:val="15"/>
    </w:rPr>
  </w:style>
  <w:style w:type="character" w:customStyle="1" w:styleId="KoptekstChar">
    <w:name w:val="Koptekst Char"/>
    <w:basedOn w:val="Standaardalinea-lettertype"/>
    <w:link w:val="Koptekst"/>
    <w:uiPriority w:val="99"/>
    <w:rsid w:val="00120CA1"/>
    <w:rPr>
      <w:rFonts w:asciiTheme="majorHAnsi" w:hAnsiTheme="majorHAnsi"/>
      <w:smallCaps/>
      <w:sz w:val="15"/>
    </w:rPr>
  </w:style>
  <w:style w:type="character" w:styleId="Hyperlink">
    <w:name w:val="Hyperlink"/>
    <w:basedOn w:val="Standaardalinea-lettertype"/>
    <w:uiPriority w:val="99"/>
    <w:unhideWhenUsed/>
    <w:rsid w:val="00F503F9"/>
    <w:rPr>
      <w:color w:val="0563C1" w:themeColor="hyperlink"/>
      <w:u w:val="single"/>
    </w:rPr>
  </w:style>
  <w:style w:type="character" w:styleId="Verwijzingopmerking">
    <w:name w:val="annotation reference"/>
    <w:basedOn w:val="Standaardalinea-lettertype"/>
    <w:uiPriority w:val="99"/>
    <w:semiHidden/>
    <w:unhideWhenUsed/>
    <w:rsid w:val="00EF2AEB"/>
    <w:rPr>
      <w:sz w:val="16"/>
      <w:szCs w:val="16"/>
    </w:rPr>
  </w:style>
  <w:style w:type="paragraph" w:styleId="Tekstopmerking">
    <w:name w:val="annotation text"/>
    <w:basedOn w:val="Standaard"/>
    <w:link w:val="TekstopmerkingChar"/>
    <w:uiPriority w:val="99"/>
    <w:unhideWhenUsed/>
    <w:rsid w:val="00EF2AEB"/>
    <w:pPr>
      <w:spacing w:line="240" w:lineRule="auto"/>
    </w:pPr>
    <w:rPr>
      <w:sz w:val="20"/>
      <w:szCs w:val="20"/>
    </w:rPr>
  </w:style>
  <w:style w:type="character" w:customStyle="1" w:styleId="TekstopmerkingChar">
    <w:name w:val="Tekst opmerking Char"/>
    <w:basedOn w:val="Standaardalinea-lettertype"/>
    <w:link w:val="Tekstopmerking"/>
    <w:uiPriority w:val="99"/>
    <w:rsid w:val="00EF2AE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F2AEB"/>
    <w:rPr>
      <w:b/>
      <w:bCs/>
    </w:rPr>
  </w:style>
  <w:style w:type="character" w:customStyle="1" w:styleId="OnderwerpvanopmerkingChar">
    <w:name w:val="Onderwerp van opmerking Char"/>
    <w:basedOn w:val="TekstopmerkingChar"/>
    <w:link w:val="Onderwerpvanopmerking"/>
    <w:uiPriority w:val="99"/>
    <w:semiHidden/>
    <w:rsid w:val="00EF2AEB"/>
    <w:rPr>
      <w:rFonts w:ascii="Verdana" w:hAnsi="Verdana"/>
      <w:b/>
      <w:bCs/>
      <w:sz w:val="20"/>
      <w:szCs w:val="20"/>
    </w:rPr>
  </w:style>
  <w:style w:type="paragraph" w:styleId="Ballontekst">
    <w:name w:val="Balloon Text"/>
    <w:basedOn w:val="Standaard"/>
    <w:link w:val="BallontekstChar"/>
    <w:uiPriority w:val="99"/>
    <w:semiHidden/>
    <w:unhideWhenUsed/>
    <w:rsid w:val="00EF2AE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F2AEB"/>
    <w:rPr>
      <w:rFonts w:ascii="Segoe UI" w:hAnsi="Segoe UI" w:cs="Segoe UI"/>
      <w:sz w:val="18"/>
      <w:szCs w:val="18"/>
    </w:rPr>
  </w:style>
  <w:style w:type="paragraph" w:styleId="Revisie">
    <w:name w:val="Revision"/>
    <w:hidden/>
    <w:uiPriority w:val="99"/>
    <w:semiHidden/>
    <w:rsid w:val="006271FC"/>
    <w:rPr>
      <w:rFonts w:ascii="Verdana" w:hAnsi="Verdana"/>
    </w:rPr>
  </w:style>
  <w:style w:type="character" w:styleId="GevolgdeHyperlink">
    <w:name w:val="FollowedHyperlink"/>
    <w:basedOn w:val="Standaardalinea-lettertype"/>
    <w:uiPriority w:val="99"/>
    <w:semiHidden/>
    <w:unhideWhenUsed/>
    <w:rsid w:val="00640DCD"/>
    <w:rPr>
      <w:color w:val="954F72" w:themeColor="followedHyperlink"/>
      <w:u w:val="single"/>
    </w:rPr>
  </w:style>
  <w:style w:type="paragraph" w:styleId="Voettekst">
    <w:name w:val="footer"/>
    <w:basedOn w:val="Standaard"/>
    <w:link w:val="VoettekstChar"/>
    <w:uiPriority w:val="99"/>
    <w:unhideWhenUsed/>
    <w:rsid w:val="00CD08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0866"/>
    <w:rPr>
      <w:rFonts w:ascii="Verdana" w:hAnsi="Verdana"/>
      <w:sz w:val="18"/>
    </w:rPr>
  </w:style>
  <w:style w:type="paragraph" w:styleId="Eindnoottekst">
    <w:name w:val="endnote text"/>
    <w:basedOn w:val="Standaard"/>
    <w:link w:val="EindnoottekstChar"/>
    <w:uiPriority w:val="99"/>
    <w:semiHidden/>
    <w:unhideWhenUsed/>
    <w:rsid w:val="000E1B4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E1B46"/>
    <w:rPr>
      <w:rFonts w:ascii="Verdana" w:hAnsi="Verdana"/>
      <w:sz w:val="20"/>
      <w:szCs w:val="20"/>
    </w:rPr>
  </w:style>
  <w:style w:type="character" w:styleId="Eindnootmarkering">
    <w:name w:val="endnote reference"/>
    <w:basedOn w:val="Standaardalinea-lettertype"/>
    <w:uiPriority w:val="99"/>
    <w:semiHidden/>
    <w:unhideWhenUsed/>
    <w:rsid w:val="000E1B46"/>
    <w:rPr>
      <w:vertAlign w:val="superscript"/>
    </w:rPr>
  </w:style>
  <w:style w:type="character" w:customStyle="1" w:styleId="Onopgelostemelding1">
    <w:name w:val="Onopgeloste melding1"/>
    <w:basedOn w:val="Standaardalinea-lettertype"/>
    <w:uiPriority w:val="99"/>
    <w:semiHidden/>
    <w:unhideWhenUsed/>
    <w:rsid w:val="000E1B46"/>
    <w:rPr>
      <w:color w:val="605E5C"/>
      <w:shd w:val="clear" w:color="auto" w:fill="E1DFDD"/>
    </w:rPr>
  </w:style>
  <w:style w:type="table" w:styleId="Onopgemaaktetabel1">
    <w:name w:val="Plain Table 1"/>
    <w:basedOn w:val="Standaardtabel"/>
    <w:uiPriority w:val="41"/>
    <w:rsid w:val="00B440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jsttabel3-Accent1">
    <w:name w:val="List Table 3 Accent 1"/>
    <w:basedOn w:val="Standaardtabel"/>
    <w:uiPriority w:val="48"/>
    <w:rsid w:val="00B44091"/>
    <w:tblPr>
      <w:tblStyleRowBandSize w:val="1"/>
      <w:tblStyleColBandSize w:val="1"/>
      <w:tblBorders>
        <w:top w:val="single" w:sz="4" w:space="0" w:color="67A7C0" w:themeColor="accent1"/>
        <w:left w:val="single" w:sz="4" w:space="0" w:color="67A7C0" w:themeColor="accent1"/>
        <w:bottom w:val="single" w:sz="4" w:space="0" w:color="67A7C0" w:themeColor="accent1"/>
        <w:right w:val="single" w:sz="4" w:space="0" w:color="67A7C0" w:themeColor="accent1"/>
      </w:tblBorders>
    </w:tblPr>
    <w:tblStylePr w:type="firstRow">
      <w:rPr>
        <w:b/>
        <w:bCs/>
        <w:color w:val="FFFFFF" w:themeColor="background1"/>
      </w:rPr>
      <w:tblPr/>
      <w:tcPr>
        <w:shd w:val="clear" w:color="auto" w:fill="67A7C0" w:themeFill="accent1"/>
      </w:tcPr>
    </w:tblStylePr>
    <w:tblStylePr w:type="lastRow">
      <w:rPr>
        <w:b/>
        <w:bCs/>
      </w:rPr>
      <w:tblPr/>
      <w:tcPr>
        <w:tcBorders>
          <w:top w:val="double" w:sz="4" w:space="0" w:color="67A7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A7C0" w:themeColor="accent1"/>
          <w:right w:val="single" w:sz="4" w:space="0" w:color="67A7C0" w:themeColor="accent1"/>
        </w:tcBorders>
      </w:tcPr>
    </w:tblStylePr>
    <w:tblStylePr w:type="band1Horz">
      <w:tblPr/>
      <w:tcPr>
        <w:tcBorders>
          <w:top w:val="single" w:sz="4" w:space="0" w:color="67A7C0" w:themeColor="accent1"/>
          <w:bottom w:val="single" w:sz="4" w:space="0" w:color="67A7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A7C0" w:themeColor="accent1"/>
          <w:left w:val="nil"/>
        </w:tcBorders>
      </w:tcPr>
    </w:tblStylePr>
    <w:tblStylePr w:type="swCell">
      <w:tblPr/>
      <w:tcPr>
        <w:tcBorders>
          <w:top w:val="double" w:sz="4" w:space="0" w:color="67A7C0" w:themeColor="accent1"/>
          <w:right w:val="nil"/>
        </w:tcBorders>
      </w:tcPr>
    </w:tblStylePr>
  </w:style>
  <w:style w:type="character" w:customStyle="1" w:styleId="Kop1Char">
    <w:name w:val="Kop 1 Char"/>
    <w:basedOn w:val="Standaardalinea-lettertype"/>
    <w:link w:val="Kop1"/>
    <w:uiPriority w:val="9"/>
    <w:rsid w:val="0095390B"/>
    <w:rPr>
      <w:b/>
    </w:rPr>
  </w:style>
  <w:style w:type="character" w:customStyle="1" w:styleId="Kop4Char">
    <w:name w:val="Kop 4 Char"/>
    <w:basedOn w:val="Standaardalinea-lettertype"/>
    <w:link w:val="Kop4"/>
    <w:uiPriority w:val="9"/>
    <w:semiHidden/>
    <w:rsid w:val="00771E73"/>
    <w:rPr>
      <w:rFonts w:asciiTheme="majorHAnsi" w:eastAsiaTheme="majorEastAsia" w:hAnsiTheme="majorHAnsi" w:cstheme="majorBidi"/>
      <w:i/>
      <w:iCs/>
      <w:color w:val="40829B" w:themeColor="accent1" w:themeShade="BF"/>
      <w:sz w:val="18"/>
    </w:rPr>
  </w:style>
  <w:style w:type="character" w:styleId="Tekstvantijdelijkeaanduiding">
    <w:name w:val="Placeholder Text"/>
    <w:basedOn w:val="Standaardalinea-lettertype"/>
    <w:uiPriority w:val="99"/>
    <w:semiHidden/>
    <w:rsid w:val="00C406A8"/>
    <w:rPr>
      <w:color w:val="808080"/>
    </w:rPr>
  </w:style>
  <w:style w:type="paragraph" w:styleId="Titel">
    <w:name w:val="Title"/>
    <w:basedOn w:val="Standaard"/>
    <w:next w:val="Standaard"/>
    <w:link w:val="TitelChar"/>
    <w:uiPriority w:val="10"/>
    <w:qFormat/>
    <w:rsid w:val="001625E0"/>
    <w:pPr>
      <w:spacing w:before="240" w:line="640" w:lineRule="exact"/>
    </w:pPr>
    <w:rPr>
      <w:rFonts w:asciiTheme="majorHAnsi" w:hAnsiTheme="majorHAnsi"/>
      <w:b/>
      <w:color w:val="842177" w:themeColor="accent2"/>
      <w:sz w:val="60"/>
      <w:szCs w:val="48"/>
      <w:lang w:val="en-US"/>
    </w:rPr>
  </w:style>
  <w:style w:type="character" w:customStyle="1" w:styleId="TitelChar">
    <w:name w:val="Titel Char"/>
    <w:basedOn w:val="Standaardalinea-lettertype"/>
    <w:link w:val="Titel"/>
    <w:uiPriority w:val="10"/>
    <w:rsid w:val="001625E0"/>
    <w:rPr>
      <w:rFonts w:asciiTheme="majorHAnsi" w:hAnsiTheme="majorHAnsi"/>
      <w:b/>
      <w:color w:val="842177" w:themeColor="accent2"/>
      <w:sz w:val="60"/>
      <w:szCs w:val="48"/>
      <w:lang w:val="en-US"/>
    </w:rPr>
  </w:style>
  <w:style w:type="paragraph" w:styleId="Ondertitel">
    <w:name w:val="Subtitle"/>
    <w:basedOn w:val="Standaard"/>
    <w:next w:val="Standaard"/>
    <w:link w:val="OndertitelChar"/>
    <w:uiPriority w:val="11"/>
    <w:qFormat/>
    <w:rsid w:val="00646F1B"/>
    <w:pPr>
      <w:spacing w:line="283" w:lineRule="exact"/>
    </w:pPr>
    <w:rPr>
      <w:b/>
      <w:sz w:val="22"/>
    </w:rPr>
  </w:style>
  <w:style w:type="character" w:customStyle="1" w:styleId="OndertitelChar">
    <w:name w:val="Ondertitel Char"/>
    <w:basedOn w:val="Standaardalinea-lettertype"/>
    <w:link w:val="Ondertitel"/>
    <w:uiPriority w:val="11"/>
    <w:rsid w:val="00646F1B"/>
    <w:rPr>
      <w:rFonts w:ascii="Verdana" w:hAnsi="Verdana"/>
      <w:b/>
    </w:rPr>
  </w:style>
  <w:style w:type="paragraph" w:customStyle="1" w:styleId="Voorbladinfo">
    <w:name w:val="_Voorbladinfo"/>
    <w:basedOn w:val="Standaard"/>
    <w:link w:val="VoorbladinfoChar"/>
    <w:qFormat/>
    <w:rsid w:val="00283C32"/>
    <w:pPr>
      <w:spacing w:line="283" w:lineRule="exact"/>
    </w:pPr>
    <w:rPr>
      <w:b/>
    </w:rPr>
  </w:style>
  <w:style w:type="character" w:customStyle="1" w:styleId="VoorbladinfoChar">
    <w:name w:val="_Voorbladinfo Char"/>
    <w:basedOn w:val="Standaardalinea-lettertype"/>
    <w:link w:val="Voorbladinfo"/>
    <w:rsid w:val="003E2A8F"/>
    <w:rPr>
      <w:rFonts w:ascii="Verdana" w:hAnsi="Verdana"/>
      <w:b/>
      <w:sz w:val="18"/>
      <w:szCs w:val="18"/>
    </w:rPr>
  </w:style>
  <w:style w:type="character" w:customStyle="1" w:styleId="Onopgelostemelding2">
    <w:name w:val="Onopgeloste melding2"/>
    <w:basedOn w:val="Standaardalinea-lettertype"/>
    <w:uiPriority w:val="99"/>
    <w:semiHidden/>
    <w:unhideWhenUsed/>
    <w:rsid w:val="00795F11"/>
    <w:rPr>
      <w:color w:val="605E5C"/>
      <w:shd w:val="clear" w:color="auto" w:fill="E1DFDD"/>
    </w:rPr>
  </w:style>
  <w:style w:type="numbering" w:styleId="111111">
    <w:name w:val="Outline List 2"/>
    <w:basedOn w:val="Geenlijst"/>
    <w:uiPriority w:val="99"/>
    <w:semiHidden/>
    <w:unhideWhenUsed/>
    <w:rsid w:val="0095390B"/>
    <w:pPr>
      <w:numPr>
        <w:numId w:val="25"/>
      </w:numPr>
    </w:pPr>
  </w:style>
  <w:style w:type="numbering" w:styleId="1ai">
    <w:name w:val="Outline List 1"/>
    <w:basedOn w:val="Geenlijst"/>
    <w:uiPriority w:val="99"/>
    <w:semiHidden/>
    <w:unhideWhenUsed/>
    <w:rsid w:val="0095390B"/>
    <w:pPr>
      <w:numPr>
        <w:numId w:val="26"/>
      </w:numPr>
    </w:pPr>
  </w:style>
  <w:style w:type="character" w:customStyle="1" w:styleId="Kop2Char">
    <w:name w:val="Kop 2 Char"/>
    <w:basedOn w:val="Standaardalinea-lettertype"/>
    <w:link w:val="Kop2"/>
    <w:uiPriority w:val="9"/>
    <w:semiHidden/>
    <w:rsid w:val="0095390B"/>
    <w:rPr>
      <w:rFonts w:asciiTheme="majorHAnsi" w:eastAsiaTheme="majorEastAsia" w:hAnsiTheme="majorHAnsi" w:cstheme="majorBidi"/>
      <w:color w:val="40829B" w:themeColor="accent1" w:themeShade="BF"/>
      <w:sz w:val="26"/>
      <w:szCs w:val="26"/>
    </w:rPr>
  </w:style>
  <w:style w:type="character" w:customStyle="1" w:styleId="Kop3Char">
    <w:name w:val="Kop 3 Char"/>
    <w:basedOn w:val="Standaardalinea-lettertype"/>
    <w:link w:val="Kop3"/>
    <w:uiPriority w:val="9"/>
    <w:semiHidden/>
    <w:rsid w:val="0095390B"/>
    <w:rPr>
      <w:rFonts w:asciiTheme="majorHAnsi" w:eastAsiaTheme="majorEastAsia" w:hAnsiTheme="majorHAnsi" w:cstheme="majorBidi"/>
      <w:color w:val="2B5667" w:themeColor="accent1" w:themeShade="7F"/>
      <w:sz w:val="24"/>
      <w:szCs w:val="24"/>
    </w:rPr>
  </w:style>
  <w:style w:type="character" w:customStyle="1" w:styleId="Kop5Char">
    <w:name w:val="Kop 5 Char"/>
    <w:basedOn w:val="Standaardalinea-lettertype"/>
    <w:link w:val="Kop5"/>
    <w:uiPriority w:val="9"/>
    <w:semiHidden/>
    <w:rsid w:val="0095390B"/>
    <w:rPr>
      <w:rFonts w:asciiTheme="majorHAnsi" w:eastAsiaTheme="majorEastAsia" w:hAnsiTheme="majorHAnsi" w:cstheme="majorBidi"/>
      <w:color w:val="40829B" w:themeColor="accent1" w:themeShade="BF"/>
    </w:rPr>
  </w:style>
  <w:style w:type="character" w:customStyle="1" w:styleId="Kop6Char">
    <w:name w:val="Kop 6 Char"/>
    <w:basedOn w:val="Standaardalinea-lettertype"/>
    <w:link w:val="Kop6"/>
    <w:uiPriority w:val="9"/>
    <w:semiHidden/>
    <w:rsid w:val="0095390B"/>
    <w:rPr>
      <w:rFonts w:asciiTheme="majorHAnsi" w:eastAsiaTheme="majorEastAsia" w:hAnsiTheme="majorHAnsi" w:cstheme="majorBidi"/>
      <w:color w:val="2B5667" w:themeColor="accent1" w:themeShade="7F"/>
    </w:rPr>
  </w:style>
  <w:style w:type="character" w:customStyle="1" w:styleId="Kop7Char">
    <w:name w:val="Kop 7 Char"/>
    <w:basedOn w:val="Standaardalinea-lettertype"/>
    <w:link w:val="Kop7"/>
    <w:uiPriority w:val="9"/>
    <w:semiHidden/>
    <w:rsid w:val="0095390B"/>
    <w:rPr>
      <w:rFonts w:asciiTheme="majorHAnsi" w:eastAsiaTheme="majorEastAsia" w:hAnsiTheme="majorHAnsi" w:cstheme="majorBidi"/>
      <w:i/>
      <w:iCs/>
      <w:color w:val="2B5667" w:themeColor="accent1" w:themeShade="7F"/>
    </w:rPr>
  </w:style>
  <w:style w:type="character" w:customStyle="1" w:styleId="Kop8Char">
    <w:name w:val="Kop 8 Char"/>
    <w:basedOn w:val="Standaardalinea-lettertype"/>
    <w:link w:val="Kop8"/>
    <w:uiPriority w:val="9"/>
    <w:semiHidden/>
    <w:rsid w:val="0095390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5390B"/>
    <w:rPr>
      <w:rFonts w:asciiTheme="majorHAnsi" w:eastAsiaTheme="majorEastAsia" w:hAnsiTheme="majorHAnsi" w:cstheme="majorBidi"/>
      <w:i/>
      <w:iCs/>
      <w:color w:val="272727" w:themeColor="text1" w:themeTint="D8"/>
      <w:sz w:val="21"/>
      <w:szCs w:val="21"/>
    </w:rPr>
  </w:style>
  <w:style w:type="numbering" w:styleId="Artikelsectie">
    <w:name w:val="Outline List 3"/>
    <w:basedOn w:val="Geenlijst"/>
    <w:uiPriority w:val="99"/>
    <w:semiHidden/>
    <w:unhideWhenUsed/>
    <w:rsid w:val="0095390B"/>
    <w:pPr>
      <w:numPr>
        <w:numId w:val="27"/>
      </w:numPr>
    </w:pPr>
  </w:style>
  <w:style w:type="paragraph" w:styleId="Bibliografie">
    <w:name w:val="Bibliography"/>
    <w:basedOn w:val="Standaard"/>
    <w:next w:val="Standaard"/>
    <w:uiPriority w:val="37"/>
    <w:semiHidden/>
    <w:unhideWhenUsed/>
    <w:rsid w:val="0095390B"/>
  </w:style>
  <w:style w:type="paragraph" w:styleId="Bloktekst">
    <w:name w:val="Block Text"/>
    <w:basedOn w:val="Standaard"/>
    <w:uiPriority w:val="99"/>
    <w:semiHidden/>
    <w:unhideWhenUsed/>
    <w:rsid w:val="0095390B"/>
    <w:pPr>
      <w:pBdr>
        <w:top w:val="single" w:sz="2" w:space="10" w:color="67A7C0" w:themeColor="accent1"/>
        <w:left w:val="single" w:sz="2" w:space="10" w:color="67A7C0" w:themeColor="accent1"/>
        <w:bottom w:val="single" w:sz="2" w:space="10" w:color="67A7C0" w:themeColor="accent1"/>
        <w:right w:val="single" w:sz="2" w:space="10" w:color="67A7C0" w:themeColor="accent1"/>
      </w:pBdr>
      <w:ind w:left="1152" w:right="1152"/>
    </w:pPr>
    <w:rPr>
      <w:rFonts w:eastAsiaTheme="minorEastAsia"/>
      <w:i/>
      <w:iCs/>
      <w:color w:val="67A7C0" w:themeColor="accent1"/>
    </w:rPr>
  </w:style>
  <w:style w:type="paragraph" w:styleId="Plattetekst">
    <w:name w:val="Body Text"/>
    <w:basedOn w:val="Standaard"/>
    <w:link w:val="PlattetekstChar"/>
    <w:uiPriority w:val="99"/>
    <w:semiHidden/>
    <w:unhideWhenUsed/>
    <w:rsid w:val="0095390B"/>
    <w:pPr>
      <w:spacing w:after="120"/>
    </w:pPr>
  </w:style>
  <w:style w:type="character" w:customStyle="1" w:styleId="PlattetekstChar">
    <w:name w:val="Platte tekst Char"/>
    <w:basedOn w:val="Standaardalinea-lettertype"/>
    <w:link w:val="Plattetekst"/>
    <w:uiPriority w:val="99"/>
    <w:semiHidden/>
    <w:rsid w:val="0095390B"/>
  </w:style>
  <w:style w:type="paragraph" w:styleId="Plattetekst2">
    <w:name w:val="Body Text 2"/>
    <w:basedOn w:val="Standaard"/>
    <w:link w:val="Plattetekst2Char"/>
    <w:uiPriority w:val="99"/>
    <w:semiHidden/>
    <w:unhideWhenUsed/>
    <w:rsid w:val="0095390B"/>
    <w:pPr>
      <w:spacing w:after="120" w:line="480" w:lineRule="auto"/>
    </w:pPr>
  </w:style>
  <w:style w:type="character" w:customStyle="1" w:styleId="Plattetekst2Char">
    <w:name w:val="Platte tekst 2 Char"/>
    <w:basedOn w:val="Standaardalinea-lettertype"/>
    <w:link w:val="Plattetekst2"/>
    <w:uiPriority w:val="99"/>
    <w:semiHidden/>
    <w:rsid w:val="0095390B"/>
  </w:style>
  <w:style w:type="paragraph" w:styleId="Plattetekst3">
    <w:name w:val="Body Text 3"/>
    <w:basedOn w:val="Standaard"/>
    <w:link w:val="Plattetekst3Char"/>
    <w:uiPriority w:val="99"/>
    <w:semiHidden/>
    <w:unhideWhenUsed/>
    <w:rsid w:val="0095390B"/>
    <w:pPr>
      <w:spacing w:after="120"/>
    </w:pPr>
    <w:rPr>
      <w:sz w:val="16"/>
      <w:szCs w:val="16"/>
    </w:rPr>
  </w:style>
  <w:style w:type="character" w:customStyle="1" w:styleId="Plattetekst3Char">
    <w:name w:val="Platte tekst 3 Char"/>
    <w:basedOn w:val="Standaardalinea-lettertype"/>
    <w:link w:val="Plattetekst3"/>
    <w:uiPriority w:val="99"/>
    <w:semiHidden/>
    <w:rsid w:val="0095390B"/>
    <w:rPr>
      <w:sz w:val="16"/>
      <w:szCs w:val="16"/>
    </w:rPr>
  </w:style>
  <w:style w:type="paragraph" w:styleId="Platteteksteersteinspringing">
    <w:name w:val="Body Text First Indent"/>
    <w:basedOn w:val="Plattetekst"/>
    <w:link w:val="PlatteteksteersteinspringingChar"/>
    <w:uiPriority w:val="99"/>
    <w:semiHidden/>
    <w:unhideWhenUsed/>
    <w:rsid w:val="0095390B"/>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5390B"/>
  </w:style>
  <w:style w:type="paragraph" w:styleId="Plattetekstinspringen">
    <w:name w:val="Body Text Indent"/>
    <w:basedOn w:val="Standaard"/>
    <w:link w:val="PlattetekstinspringenChar"/>
    <w:uiPriority w:val="99"/>
    <w:semiHidden/>
    <w:unhideWhenUsed/>
    <w:rsid w:val="0095390B"/>
    <w:pPr>
      <w:spacing w:after="120"/>
      <w:ind w:left="283"/>
    </w:pPr>
  </w:style>
  <w:style w:type="character" w:customStyle="1" w:styleId="PlattetekstinspringenChar">
    <w:name w:val="Platte tekst inspringen Char"/>
    <w:basedOn w:val="Standaardalinea-lettertype"/>
    <w:link w:val="Plattetekstinspringen"/>
    <w:uiPriority w:val="99"/>
    <w:semiHidden/>
    <w:rsid w:val="0095390B"/>
  </w:style>
  <w:style w:type="paragraph" w:styleId="Platteteksteersteinspringing2">
    <w:name w:val="Body Text First Indent 2"/>
    <w:basedOn w:val="Plattetekstinspringen"/>
    <w:link w:val="Platteteksteersteinspringing2Char"/>
    <w:uiPriority w:val="99"/>
    <w:semiHidden/>
    <w:unhideWhenUsed/>
    <w:rsid w:val="0095390B"/>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5390B"/>
  </w:style>
  <w:style w:type="paragraph" w:styleId="Plattetekstinspringen2">
    <w:name w:val="Body Text Indent 2"/>
    <w:basedOn w:val="Standaard"/>
    <w:link w:val="Plattetekstinspringen2Char"/>
    <w:uiPriority w:val="99"/>
    <w:semiHidden/>
    <w:unhideWhenUsed/>
    <w:rsid w:val="0095390B"/>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5390B"/>
  </w:style>
  <w:style w:type="paragraph" w:styleId="Plattetekstinspringen3">
    <w:name w:val="Body Text Indent 3"/>
    <w:basedOn w:val="Standaard"/>
    <w:link w:val="Plattetekstinspringen3Char"/>
    <w:uiPriority w:val="99"/>
    <w:semiHidden/>
    <w:unhideWhenUsed/>
    <w:rsid w:val="0095390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5390B"/>
    <w:rPr>
      <w:sz w:val="16"/>
      <w:szCs w:val="16"/>
    </w:rPr>
  </w:style>
  <w:style w:type="character" w:styleId="Titelvanboek">
    <w:name w:val="Book Title"/>
    <w:basedOn w:val="Standaardalinea-lettertype"/>
    <w:uiPriority w:val="33"/>
    <w:qFormat/>
    <w:rsid w:val="0095390B"/>
    <w:rPr>
      <w:b/>
      <w:bCs/>
      <w:i/>
      <w:iCs/>
      <w:spacing w:val="5"/>
    </w:rPr>
  </w:style>
  <w:style w:type="paragraph" w:styleId="Bijschrift">
    <w:name w:val="caption"/>
    <w:basedOn w:val="Standaard"/>
    <w:next w:val="Standaard"/>
    <w:uiPriority w:val="35"/>
    <w:semiHidden/>
    <w:unhideWhenUsed/>
    <w:qFormat/>
    <w:rsid w:val="0095390B"/>
    <w:pPr>
      <w:spacing w:after="200" w:line="240" w:lineRule="auto"/>
    </w:pPr>
    <w:rPr>
      <w:i/>
      <w:iCs/>
      <w:color w:val="44546A" w:themeColor="text2"/>
    </w:rPr>
  </w:style>
  <w:style w:type="paragraph" w:styleId="Afsluiting">
    <w:name w:val="Closing"/>
    <w:basedOn w:val="Standaard"/>
    <w:link w:val="AfsluitingChar"/>
    <w:uiPriority w:val="99"/>
    <w:semiHidden/>
    <w:unhideWhenUsed/>
    <w:rsid w:val="0095390B"/>
    <w:pPr>
      <w:spacing w:line="240" w:lineRule="auto"/>
      <w:ind w:left="4252"/>
    </w:pPr>
  </w:style>
  <w:style w:type="character" w:customStyle="1" w:styleId="AfsluitingChar">
    <w:name w:val="Afsluiting Char"/>
    <w:basedOn w:val="Standaardalinea-lettertype"/>
    <w:link w:val="Afsluiting"/>
    <w:uiPriority w:val="99"/>
    <w:semiHidden/>
    <w:rsid w:val="0095390B"/>
  </w:style>
  <w:style w:type="table" w:styleId="Kleurrijkraster">
    <w:name w:val="Colorful Grid"/>
    <w:basedOn w:val="Standaardtabel"/>
    <w:uiPriority w:val="73"/>
    <w:semiHidden/>
    <w:unhideWhenUsed/>
    <w:rsid w:val="0095390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95390B"/>
    <w:rPr>
      <w:color w:val="000000" w:themeColor="text1"/>
    </w:rPr>
    <w:tblPr>
      <w:tblStyleRowBandSize w:val="1"/>
      <w:tblStyleColBandSize w:val="1"/>
      <w:tblBorders>
        <w:insideH w:val="single" w:sz="4" w:space="0" w:color="FFFFFF" w:themeColor="background1"/>
      </w:tblBorders>
    </w:tblPr>
    <w:tcPr>
      <w:shd w:val="clear" w:color="auto" w:fill="E0EDF2" w:themeFill="accent1" w:themeFillTint="33"/>
    </w:tcPr>
    <w:tblStylePr w:type="firstRow">
      <w:rPr>
        <w:b/>
        <w:bCs/>
      </w:rPr>
      <w:tblPr/>
      <w:tcPr>
        <w:shd w:val="clear" w:color="auto" w:fill="C2DBE5" w:themeFill="accent1" w:themeFillTint="66"/>
      </w:tcPr>
    </w:tblStylePr>
    <w:tblStylePr w:type="lastRow">
      <w:rPr>
        <w:b/>
        <w:bCs/>
        <w:color w:val="000000" w:themeColor="text1"/>
      </w:rPr>
      <w:tblPr/>
      <w:tcPr>
        <w:shd w:val="clear" w:color="auto" w:fill="C2DBE5" w:themeFill="accent1" w:themeFillTint="66"/>
      </w:tcPr>
    </w:tblStylePr>
    <w:tblStylePr w:type="firstCol">
      <w:rPr>
        <w:color w:val="FFFFFF" w:themeColor="background1"/>
      </w:rPr>
      <w:tblPr/>
      <w:tcPr>
        <w:shd w:val="clear" w:color="auto" w:fill="40829B" w:themeFill="accent1" w:themeFillShade="BF"/>
      </w:tcPr>
    </w:tblStylePr>
    <w:tblStylePr w:type="lastCol">
      <w:rPr>
        <w:color w:val="FFFFFF" w:themeColor="background1"/>
      </w:rPr>
      <w:tblPr/>
      <w:tcPr>
        <w:shd w:val="clear" w:color="auto" w:fill="40829B" w:themeFill="accent1" w:themeFillShade="BF"/>
      </w:tcPr>
    </w:tblStylePr>
    <w:tblStylePr w:type="band1Vert">
      <w:tblPr/>
      <w:tcPr>
        <w:shd w:val="clear" w:color="auto" w:fill="B3D3DF" w:themeFill="accent1" w:themeFillTint="7F"/>
      </w:tcPr>
    </w:tblStylePr>
    <w:tblStylePr w:type="band1Horz">
      <w:tblPr/>
      <w:tcPr>
        <w:shd w:val="clear" w:color="auto" w:fill="B3D3DF" w:themeFill="accent1" w:themeFillTint="7F"/>
      </w:tcPr>
    </w:tblStylePr>
  </w:style>
  <w:style w:type="table" w:styleId="Kleurrijkraster-accent2">
    <w:name w:val="Colorful Grid Accent 2"/>
    <w:basedOn w:val="Standaardtabel"/>
    <w:uiPriority w:val="73"/>
    <w:semiHidden/>
    <w:unhideWhenUsed/>
    <w:rsid w:val="0095390B"/>
    <w:rPr>
      <w:color w:val="000000" w:themeColor="text1"/>
    </w:rPr>
    <w:tblPr>
      <w:tblStyleRowBandSize w:val="1"/>
      <w:tblStyleColBandSize w:val="1"/>
      <w:tblBorders>
        <w:insideH w:val="single" w:sz="4" w:space="0" w:color="FFFFFF" w:themeColor="background1"/>
      </w:tblBorders>
    </w:tblPr>
    <w:tcPr>
      <w:shd w:val="clear" w:color="auto" w:fill="F1C7EB" w:themeFill="accent2" w:themeFillTint="33"/>
    </w:tcPr>
    <w:tblStylePr w:type="firstRow">
      <w:rPr>
        <w:b/>
        <w:bCs/>
      </w:rPr>
      <w:tblPr/>
      <w:tcPr>
        <w:shd w:val="clear" w:color="auto" w:fill="E390D8" w:themeFill="accent2" w:themeFillTint="66"/>
      </w:tcPr>
    </w:tblStylePr>
    <w:tblStylePr w:type="lastRow">
      <w:rPr>
        <w:b/>
        <w:bCs/>
        <w:color w:val="000000" w:themeColor="text1"/>
      </w:rPr>
      <w:tblPr/>
      <w:tcPr>
        <w:shd w:val="clear" w:color="auto" w:fill="E390D8" w:themeFill="accent2" w:themeFillTint="66"/>
      </w:tcPr>
    </w:tblStylePr>
    <w:tblStylePr w:type="firstCol">
      <w:rPr>
        <w:color w:val="FFFFFF" w:themeColor="background1"/>
      </w:rPr>
      <w:tblPr/>
      <w:tcPr>
        <w:shd w:val="clear" w:color="auto" w:fill="621858" w:themeFill="accent2" w:themeFillShade="BF"/>
      </w:tcPr>
    </w:tblStylePr>
    <w:tblStylePr w:type="lastCol">
      <w:rPr>
        <w:color w:val="FFFFFF" w:themeColor="background1"/>
      </w:rPr>
      <w:tblPr/>
      <w:tcPr>
        <w:shd w:val="clear" w:color="auto" w:fill="621858" w:themeFill="accent2" w:themeFillShade="BF"/>
      </w:tcPr>
    </w:tblStylePr>
    <w:tblStylePr w:type="band1Vert">
      <w:tblPr/>
      <w:tcPr>
        <w:shd w:val="clear" w:color="auto" w:fill="DC75CE" w:themeFill="accent2" w:themeFillTint="7F"/>
      </w:tcPr>
    </w:tblStylePr>
    <w:tblStylePr w:type="band1Horz">
      <w:tblPr/>
      <w:tcPr>
        <w:shd w:val="clear" w:color="auto" w:fill="DC75CE" w:themeFill="accent2" w:themeFillTint="7F"/>
      </w:tcPr>
    </w:tblStylePr>
  </w:style>
  <w:style w:type="table" w:styleId="Kleurrijkraster-accent3">
    <w:name w:val="Colorful Grid Accent 3"/>
    <w:basedOn w:val="Standaardtabel"/>
    <w:uiPriority w:val="73"/>
    <w:semiHidden/>
    <w:unhideWhenUsed/>
    <w:rsid w:val="0095390B"/>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95390B"/>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95390B"/>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semiHidden/>
    <w:unhideWhenUsed/>
    <w:rsid w:val="0095390B"/>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95390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91A5E" w:themeFill="accent2" w:themeFillShade="CC"/>
      </w:tcPr>
    </w:tblStylePr>
    <w:tblStylePr w:type="lastRow">
      <w:rPr>
        <w:b/>
        <w:bCs/>
        <w:color w:val="691A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95390B"/>
    <w:rPr>
      <w:color w:val="000000" w:themeColor="text1"/>
    </w:rPr>
    <w:tblPr>
      <w:tblStyleRowBandSize w:val="1"/>
      <w:tblStyleColBandSize w:val="1"/>
    </w:tblPr>
    <w:tcPr>
      <w:shd w:val="clear" w:color="auto" w:fill="EFF6F8" w:themeFill="accent1" w:themeFillTint="19"/>
    </w:tcPr>
    <w:tblStylePr w:type="firstRow">
      <w:rPr>
        <w:b/>
        <w:bCs/>
        <w:color w:val="FFFFFF" w:themeColor="background1"/>
      </w:rPr>
      <w:tblPr/>
      <w:tcPr>
        <w:tcBorders>
          <w:bottom w:val="single" w:sz="12" w:space="0" w:color="FFFFFF" w:themeColor="background1"/>
        </w:tcBorders>
        <w:shd w:val="clear" w:color="auto" w:fill="691A5E" w:themeFill="accent2" w:themeFillShade="CC"/>
      </w:tcPr>
    </w:tblStylePr>
    <w:tblStylePr w:type="lastRow">
      <w:rPr>
        <w:b/>
        <w:bCs/>
        <w:color w:val="691A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EF" w:themeFill="accent1" w:themeFillTint="3F"/>
      </w:tcPr>
    </w:tblStylePr>
    <w:tblStylePr w:type="band1Horz">
      <w:tblPr/>
      <w:tcPr>
        <w:shd w:val="clear" w:color="auto" w:fill="E0EDF2" w:themeFill="accent1" w:themeFillTint="33"/>
      </w:tcPr>
    </w:tblStylePr>
  </w:style>
  <w:style w:type="table" w:styleId="Kleurrijkelijst-accent2">
    <w:name w:val="Colorful List Accent 2"/>
    <w:basedOn w:val="Standaardtabel"/>
    <w:uiPriority w:val="72"/>
    <w:semiHidden/>
    <w:unhideWhenUsed/>
    <w:rsid w:val="0095390B"/>
    <w:rPr>
      <w:color w:val="000000" w:themeColor="text1"/>
    </w:rPr>
    <w:tblPr>
      <w:tblStyleRowBandSize w:val="1"/>
      <w:tblStyleColBandSize w:val="1"/>
    </w:tblPr>
    <w:tcPr>
      <w:shd w:val="clear" w:color="auto" w:fill="F8E3F5" w:themeFill="accent2" w:themeFillTint="19"/>
    </w:tcPr>
    <w:tblStylePr w:type="firstRow">
      <w:rPr>
        <w:b/>
        <w:bCs/>
        <w:color w:val="FFFFFF" w:themeColor="background1"/>
      </w:rPr>
      <w:tblPr/>
      <w:tcPr>
        <w:tcBorders>
          <w:bottom w:val="single" w:sz="12" w:space="0" w:color="FFFFFF" w:themeColor="background1"/>
        </w:tcBorders>
        <w:shd w:val="clear" w:color="auto" w:fill="691A5E" w:themeFill="accent2" w:themeFillShade="CC"/>
      </w:tcPr>
    </w:tblStylePr>
    <w:tblStylePr w:type="lastRow">
      <w:rPr>
        <w:b/>
        <w:bCs/>
        <w:color w:val="691A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AE7" w:themeFill="accent2" w:themeFillTint="3F"/>
      </w:tcPr>
    </w:tblStylePr>
    <w:tblStylePr w:type="band1Horz">
      <w:tblPr/>
      <w:tcPr>
        <w:shd w:val="clear" w:color="auto" w:fill="F1C7EB" w:themeFill="accent2" w:themeFillTint="33"/>
      </w:tcPr>
    </w:tblStylePr>
  </w:style>
  <w:style w:type="table" w:styleId="Kleurrijkelijst-accent3">
    <w:name w:val="Colorful List Accent 3"/>
    <w:basedOn w:val="Standaardtabel"/>
    <w:uiPriority w:val="72"/>
    <w:semiHidden/>
    <w:unhideWhenUsed/>
    <w:rsid w:val="0095390B"/>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95390B"/>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95390B"/>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semiHidden/>
    <w:unhideWhenUsed/>
    <w:rsid w:val="0095390B"/>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95390B"/>
    <w:rPr>
      <w:color w:val="000000" w:themeColor="text1"/>
    </w:rPr>
    <w:tblPr>
      <w:tblStyleRowBandSize w:val="1"/>
      <w:tblStyleColBandSize w:val="1"/>
      <w:tblBorders>
        <w:top w:val="single" w:sz="24" w:space="0" w:color="8421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421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95390B"/>
    <w:rPr>
      <w:color w:val="000000" w:themeColor="text1"/>
    </w:rPr>
    <w:tblPr>
      <w:tblStyleRowBandSize w:val="1"/>
      <w:tblStyleColBandSize w:val="1"/>
      <w:tblBorders>
        <w:top w:val="single" w:sz="24" w:space="0" w:color="842177" w:themeColor="accent2"/>
        <w:left w:val="single" w:sz="4" w:space="0" w:color="67A7C0" w:themeColor="accent1"/>
        <w:bottom w:val="single" w:sz="4" w:space="0" w:color="67A7C0" w:themeColor="accent1"/>
        <w:right w:val="single" w:sz="4" w:space="0" w:color="67A7C0" w:themeColor="accent1"/>
        <w:insideH w:val="single" w:sz="4" w:space="0" w:color="FFFFFF" w:themeColor="background1"/>
        <w:insideV w:val="single" w:sz="4" w:space="0" w:color="FFFFFF" w:themeColor="background1"/>
      </w:tblBorders>
    </w:tblPr>
    <w:tcPr>
      <w:shd w:val="clear" w:color="auto" w:fill="EFF6F8" w:themeFill="accent1" w:themeFillTint="19"/>
    </w:tcPr>
    <w:tblStylePr w:type="firstRow">
      <w:rPr>
        <w:b/>
        <w:bCs/>
      </w:rPr>
      <w:tblPr/>
      <w:tcPr>
        <w:tcBorders>
          <w:top w:val="nil"/>
          <w:left w:val="nil"/>
          <w:bottom w:val="single" w:sz="24" w:space="0" w:color="8421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87D" w:themeFill="accent1" w:themeFillShade="99"/>
      </w:tcPr>
    </w:tblStylePr>
    <w:tblStylePr w:type="firstCol">
      <w:rPr>
        <w:color w:val="FFFFFF" w:themeColor="background1"/>
      </w:rPr>
      <w:tblPr/>
      <w:tcPr>
        <w:tcBorders>
          <w:top w:val="nil"/>
          <w:left w:val="nil"/>
          <w:bottom w:val="nil"/>
          <w:right w:val="nil"/>
          <w:insideH w:val="single" w:sz="4" w:space="0" w:color="34687D" w:themeColor="accent1" w:themeShade="99"/>
          <w:insideV w:val="nil"/>
        </w:tcBorders>
        <w:shd w:val="clear" w:color="auto" w:fill="34687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687D" w:themeFill="accent1" w:themeFillShade="99"/>
      </w:tcPr>
    </w:tblStylePr>
    <w:tblStylePr w:type="band1Vert">
      <w:tblPr/>
      <w:tcPr>
        <w:shd w:val="clear" w:color="auto" w:fill="C2DBE5" w:themeFill="accent1" w:themeFillTint="66"/>
      </w:tcPr>
    </w:tblStylePr>
    <w:tblStylePr w:type="band1Horz">
      <w:tblPr/>
      <w:tcPr>
        <w:shd w:val="clear" w:color="auto" w:fill="B3D3D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95390B"/>
    <w:rPr>
      <w:color w:val="000000" w:themeColor="text1"/>
    </w:rPr>
    <w:tblPr>
      <w:tblStyleRowBandSize w:val="1"/>
      <w:tblStyleColBandSize w:val="1"/>
      <w:tblBorders>
        <w:top w:val="single" w:sz="24" w:space="0" w:color="842177" w:themeColor="accent2"/>
        <w:left w:val="single" w:sz="4" w:space="0" w:color="842177" w:themeColor="accent2"/>
        <w:bottom w:val="single" w:sz="4" w:space="0" w:color="842177" w:themeColor="accent2"/>
        <w:right w:val="single" w:sz="4" w:space="0" w:color="842177" w:themeColor="accent2"/>
        <w:insideH w:val="single" w:sz="4" w:space="0" w:color="FFFFFF" w:themeColor="background1"/>
        <w:insideV w:val="single" w:sz="4" w:space="0" w:color="FFFFFF" w:themeColor="background1"/>
      </w:tblBorders>
    </w:tblPr>
    <w:tcPr>
      <w:shd w:val="clear" w:color="auto" w:fill="F8E3F5" w:themeFill="accent2" w:themeFillTint="19"/>
    </w:tcPr>
    <w:tblStylePr w:type="firstRow">
      <w:rPr>
        <w:b/>
        <w:bCs/>
      </w:rPr>
      <w:tblPr/>
      <w:tcPr>
        <w:tcBorders>
          <w:top w:val="nil"/>
          <w:left w:val="nil"/>
          <w:bottom w:val="single" w:sz="24" w:space="0" w:color="8421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1347" w:themeFill="accent2" w:themeFillShade="99"/>
      </w:tcPr>
    </w:tblStylePr>
    <w:tblStylePr w:type="firstCol">
      <w:rPr>
        <w:color w:val="FFFFFF" w:themeColor="background1"/>
      </w:rPr>
      <w:tblPr/>
      <w:tcPr>
        <w:tcBorders>
          <w:top w:val="nil"/>
          <w:left w:val="nil"/>
          <w:bottom w:val="nil"/>
          <w:right w:val="nil"/>
          <w:insideH w:val="single" w:sz="4" w:space="0" w:color="4F1347" w:themeColor="accent2" w:themeShade="99"/>
          <w:insideV w:val="nil"/>
        </w:tcBorders>
        <w:shd w:val="clear" w:color="auto" w:fill="4F134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F1347" w:themeFill="accent2" w:themeFillShade="99"/>
      </w:tcPr>
    </w:tblStylePr>
    <w:tblStylePr w:type="band1Vert">
      <w:tblPr/>
      <w:tcPr>
        <w:shd w:val="clear" w:color="auto" w:fill="E390D8" w:themeFill="accent2" w:themeFillTint="66"/>
      </w:tcPr>
    </w:tblStylePr>
    <w:tblStylePr w:type="band1Horz">
      <w:tblPr/>
      <w:tcPr>
        <w:shd w:val="clear" w:color="auto" w:fill="DC75CE"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95390B"/>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95390B"/>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95390B"/>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95390B"/>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95390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95390B"/>
    <w:rPr>
      <w:color w:val="FFFFFF" w:themeColor="background1"/>
    </w:rPr>
    <w:tblPr>
      <w:tblStyleRowBandSize w:val="1"/>
      <w:tblStyleColBandSize w:val="1"/>
    </w:tblPr>
    <w:tcPr>
      <w:shd w:val="clear" w:color="auto" w:fill="67A7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6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9B" w:themeFill="accent1" w:themeFillShade="BF"/>
      </w:tcPr>
    </w:tblStylePr>
    <w:tblStylePr w:type="band1Vert">
      <w:tblPr/>
      <w:tcPr>
        <w:tcBorders>
          <w:top w:val="nil"/>
          <w:left w:val="nil"/>
          <w:bottom w:val="nil"/>
          <w:right w:val="nil"/>
          <w:insideH w:val="nil"/>
          <w:insideV w:val="nil"/>
        </w:tcBorders>
        <w:shd w:val="clear" w:color="auto" w:fill="40829B" w:themeFill="accent1" w:themeFillShade="BF"/>
      </w:tcPr>
    </w:tblStylePr>
    <w:tblStylePr w:type="band1Horz">
      <w:tblPr/>
      <w:tcPr>
        <w:tcBorders>
          <w:top w:val="nil"/>
          <w:left w:val="nil"/>
          <w:bottom w:val="nil"/>
          <w:right w:val="nil"/>
          <w:insideH w:val="nil"/>
          <w:insideV w:val="nil"/>
        </w:tcBorders>
        <w:shd w:val="clear" w:color="auto" w:fill="40829B" w:themeFill="accent1" w:themeFillShade="BF"/>
      </w:tcPr>
    </w:tblStylePr>
  </w:style>
  <w:style w:type="table" w:styleId="Donkerelijst-accent2">
    <w:name w:val="Dark List Accent 2"/>
    <w:basedOn w:val="Standaardtabel"/>
    <w:uiPriority w:val="70"/>
    <w:semiHidden/>
    <w:unhideWhenUsed/>
    <w:rsid w:val="0095390B"/>
    <w:rPr>
      <w:color w:val="FFFFFF" w:themeColor="background1"/>
    </w:rPr>
    <w:tblPr>
      <w:tblStyleRowBandSize w:val="1"/>
      <w:tblStyleColBandSize w:val="1"/>
    </w:tblPr>
    <w:tcPr>
      <w:shd w:val="clear" w:color="auto" w:fill="8421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10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218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21858" w:themeFill="accent2" w:themeFillShade="BF"/>
      </w:tcPr>
    </w:tblStylePr>
    <w:tblStylePr w:type="band1Vert">
      <w:tblPr/>
      <w:tcPr>
        <w:tcBorders>
          <w:top w:val="nil"/>
          <w:left w:val="nil"/>
          <w:bottom w:val="nil"/>
          <w:right w:val="nil"/>
          <w:insideH w:val="nil"/>
          <w:insideV w:val="nil"/>
        </w:tcBorders>
        <w:shd w:val="clear" w:color="auto" w:fill="621858" w:themeFill="accent2" w:themeFillShade="BF"/>
      </w:tcPr>
    </w:tblStylePr>
    <w:tblStylePr w:type="band1Horz">
      <w:tblPr/>
      <w:tcPr>
        <w:tcBorders>
          <w:top w:val="nil"/>
          <w:left w:val="nil"/>
          <w:bottom w:val="nil"/>
          <w:right w:val="nil"/>
          <w:insideH w:val="nil"/>
          <w:insideV w:val="nil"/>
        </w:tcBorders>
        <w:shd w:val="clear" w:color="auto" w:fill="621858" w:themeFill="accent2" w:themeFillShade="BF"/>
      </w:tcPr>
    </w:tblStylePr>
  </w:style>
  <w:style w:type="table" w:styleId="Donkerelijst-accent3">
    <w:name w:val="Dark List Accent 3"/>
    <w:basedOn w:val="Standaardtabel"/>
    <w:uiPriority w:val="70"/>
    <w:semiHidden/>
    <w:unhideWhenUsed/>
    <w:rsid w:val="0095390B"/>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95390B"/>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95390B"/>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semiHidden/>
    <w:unhideWhenUsed/>
    <w:rsid w:val="0095390B"/>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uiPriority w:val="99"/>
    <w:semiHidden/>
    <w:unhideWhenUsed/>
    <w:rsid w:val="0095390B"/>
  </w:style>
  <w:style w:type="character" w:customStyle="1" w:styleId="DatumChar">
    <w:name w:val="Datum Char"/>
    <w:basedOn w:val="Standaardalinea-lettertype"/>
    <w:link w:val="Datum"/>
    <w:uiPriority w:val="99"/>
    <w:semiHidden/>
    <w:rsid w:val="0095390B"/>
  </w:style>
  <w:style w:type="paragraph" w:styleId="Documentstructuur">
    <w:name w:val="Document Map"/>
    <w:basedOn w:val="Standaard"/>
    <w:link w:val="DocumentstructuurChar"/>
    <w:uiPriority w:val="99"/>
    <w:semiHidden/>
    <w:unhideWhenUsed/>
    <w:rsid w:val="0095390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5390B"/>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95390B"/>
    <w:pPr>
      <w:spacing w:line="240" w:lineRule="auto"/>
    </w:pPr>
  </w:style>
  <w:style w:type="character" w:customStyle="1" w:styleId="E-mailhandtekeningChar">
    <w:name w:val="E-mailhandtekening Char"/>
    <w:basedOn w:val="Standaardalinea-lettertype"/>
    <w:link w:val="E-mailhandtekening"/>
    <w:uiPriority w:val="99"/>
    <w:semiHidden/>
    <w:rsid w:val="0095390B"/>
  </w:style>
  <w:style w:type="character" w:styleId="Nadruk">
    <w:name w:val="Emphasis"/>
    <w:basedOn w:val="Standaardalinea-lettertype"/>
    <w:uiPriority w:val="20"/>
    <w:qFormat/>
    <w:rsid w:val="0095390B"/>
    <w:rPr>
      <w:i/>
      <w:iCs/>
    </w:rPr>
  </w:style>
  <w:style w:type="paragraph" w:styleId="Adresenvelop">
    <w:name w:val="envelope address"/>
    <w:basedOn w:val="Standaard"/>
    <w:uiPriority w:val="99"/>
    <w:semiHidden/>
    <w:unhideWhenUsed/>
    <w:rsid w:val="0095390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95390B"/>
    <w:pPr>
      <w:spacing w:line="240" w:lineRule="auto"/>
    </w:pPr>
    <w:rPr>
      <w:rFonts w:asciiTheme="majorHAnsi" w:eastAsiaTheme="majorEastAsia" w:hAnsiTheme="majorHAnsi" w:cstheme="majorBidi"/>
      <w:sz w:val="20"/>
      <w:szCs w:val="20"/>
    </w:rPr>
  </w:style>
  <w:style w:type="table" w:styleId="Rastertabel1licht">
    <w:name w:val="Grid Table 1 Light"/>
    <w:basedOn w:val="Standaardtabel"/>
    <w:uiPriority w:val="46"/>
    <w:rsid w:val="0095390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5390B"/>
    <w:tblPr>
      <w:tblStyleRowBandSize w:val="1"/>
      <w:tblStyleColBandSize w:val="1"/>
      <w:tblBorders>
        <w:top w:val="single" w:sz="4" w:space="0" w:color="C2DBE5" w:themeColor="accent1" w:themeTint="66"/>
        <w:left w:val="single" w:sz="4" w:space="0" w:color="C2DBE5" w:themeColor="accent1" w:themeTint="66"/>
        <w:bottom w:val="single" w:sz="4" w:space="0" w:color="C2DBE5" w:themeColor="accent1" w:themeTint="66"/>
        <w:right w:val="single" w:sz="4" w:space="0" w:color="C2DBE5" w:themeColor="accent1" w:themeTint="66"/>
        <w:insideH w:val="single" w:sz="4" w:space="0" w:color="C2DBE5" w:themeColor="accent1" w:themeTint="66"/>
        <w:insideV w:val="single" w:sz="4" w:space="0" w:color="C2DBE5" w:themeColor="accent1" w:themeTint="66"/>
      </w:tblBorders>
    </w:tblPr>
    <w:tblStylePr w:type="firstRow">
      <w:rPr>
        <w:b/>
        <w:bCs/>
      </w:rPr>
      <w:tblPr/>
      <w:tcPr>
        <w:tcBorders>
          <w:bottom w:val="single" w:sz="12" w:space="0" w:color="A3CAD9" w:themeColor="accent1" w:themeTint="99"/>
        </w:tcBorders>
      </w:tcPr>
    </w:tblStylePr>
    <w:tblStylePr w:type="lastRow">
      <w:rPr>
        <w:b/>
        <w:bCs/>
      </w:rPr>
      <w:tblPr/>
      <w:tcPr>
        <w:tcBorders>
          <w:top w:val="double" w:sz="2" w:space="0" w:color="A3CAD9"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95390B"/>
    <w:tblPr>
      <w:tblStyleRowBandSize w:val="1"/>
      <w:tblStyleColBandSize w:val="1"/>
      <w:tblBorders>
        <w:top w:val="single" w:sz="4" w:space="0" w:color="E390D8" w:themeColor="accent2" w:themeTint="66"/>
        <w:left w:val="single" w:sz="4" w:space="0" w:color="E390D8" w:themeColor="accent2" w:themeTint="66"/>
        <w:bottom w:val="single" w:sz="4" w:space="0" w:color="E390D8" w:themeColor="accent2" w:themeTint="66"/>
        <w:right w:val="single" w:sz="4" w:space="0" w:color="E390D8" w:themeColor="accent2" w:themeTint="66"/>
        <w:insideH w:val="single" w:sz="4" w:space="0" w:color="E390D8" w:themeColor="accent2" w:themeTint="66"/>
        <w:insideV w:val="single" w:sz="4" w:space="0" w:color="E390D8" w:themeColor="accent2" w:themeTint="66"/>
      </w:tblBorders>
    </w:tblPr>
    <w:tblStylePr w:type="firstRow">
      <w:rPr>
        <w:b/>
        <w:bCs/>
      </w:rPr>
      <w:tblPr/>
      <w:tcPr>
        <w:tcBorders>
          <w:bottom w:val="single" w:sz="12" w:space="0" w:color="D559C5" w:themeColor="accent2" w:themeTint="99"/>
        </w:tcBorders>
      </w:tcPr>
    </w:tblStylePr>
    <w:tblStylePr w:type="lastRow">
      <w:rPr>
        <w:b/>
        <w:bCs/>
      </w:rPr>
      <w:tblPr/>
      <w:tcPr>
        <w:tcBorders>
          <w:top w:val="double" w:sz="2" w:space="0" w:color="D559C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9539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95390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95390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95390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95390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95390B"/>
    <w:tblPr>
      <w:tblStyleRowBandSize w:val="1"/>
      <w:tblStyleColBandSize w:val="1"/>
      <w:tblBorders>
        <w:top w:val="single" w:sz="2" w:space="0" w:color="A3CAD9" w:themeColor="accent1" w:themeTint="99"/>
        <w:bottom w:val="single" w:sz="2" w:space="0" w:color="A3CAD9" w:themeColor="accent1" w:themeTint="99"/>
        <w:insideH w:val="single" w:sz="2" w:space="0" w:color="A3CAD9" w:themeColor="accent1" w:themeTint="99"/>
        <w:insideV w:val="single" w:sz="2" w:space="0" w:color="A3CAD9" w:themeColor="accent1" w:themeTint="99"/>
      </w:tblBorders>
    </w:tblPr>
    <w:tblStylePr w:type="firstRow">
      <w:rPr>
        <w:b/>
        <w:bCs/>
      </w:rPr>
      <w:tblPr/>
      <w:tcPr>
        <w:tcBorders>
          <w:top w:val="nil"/>
          <w:bottom w:val="single" w:sz="12" w:space="0" w:color="A3CAD9" w:themeColor="accent1" w:themeTint="99"/>
          <w:insideH w:val="nil"/>
          <w:insideV w:val="nil"/>
        </w:tcBorders>
        <w:shd w:val="clear" w:color="auto" w:fill="FFFFFF" w:themeFill="background1"/>
      </w:tcPr>
    </w:tblStylePr>
    <w:tblStylePr w:type="lastRow">
      <w:rPr>
        <w:b/>
        <w:bCs/>
      </w:rPr>
      <w:tblPr/>
      <w:tcPr>
        <w:tcBorders>
          <w:top w:val="double" w:sz="2" w:space="0" w:color="A3CAD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2" w:themeFill="accent1" w:themeFillTint="33"/>
      </w:tcPr>
    </w:tblStylePr>
    <w:tblStylePr w:type="band1Horz">
      <w:tblPr/>
      <w:tcPr>
        <w:shd w:val="clear" w:color="auto" w:fill="E0EDF2" w:themeFill="accent1" w:themeFillTint="33"/>
      </w:tcPr>
    </w:tblStylePr>
  </w:style>
  <w:style w:type="table" w:styleId="Rastertabel2-Accent2">
    <w:name w:val="Grid Table 2 Accent 2"/>
    <w:basedOn w:val="Standaardtabel"/>
    <w:uiPriority w:val="47"/>
    <w:rsid w:val="0095390B"/>
    <w:tblPr>
      <w:tblStyleRowBandSize w:val="1"/>
      <w:tblStyleColBandSize w:val="1"/>
      <w:tblBorders>
        <w:top w:val="single" w:sz="2" w:space="0" w:color="D559C5" w:themeColor="accent2" w:themeTint="99"/>
        <w:bottom w:val="single" w:sz="2" w:space="0" w:color="D559C5" w:themeColor="accent2" w:themeTint="99"/>
        <w:insideH w:val="single" w:sz="2" w:space="0" w:color="D559C5" w:themeColor="accent2" w:themeTint="99"/>
        <w:insideV w:val="single" w:sz="2" w:space="0" w:color="D559C5" w:themeColor="accent2" w:themeTint="99"/>
      </w:tblBorders>
    </w:tblPr>
    <w:tblStylePr w:type="firstRow">
      <w:rPr>
        <w:b/>
        <w:bCs/>
      </w:rPr>
      <w:tblPr/>
      <w:tcPr>
        <w:tcBorders>
          <w:top w:val="nil"/>
          <w:bottom w:val="single" w:sz="12" w:space="0" w:color="D559C5" w:themeColor="accent2" w:themeTint="99"/>
          <w:insideH w:val="nil"/>
          <w:insideV w:val="nil"/>
        </w:tcBorders>
        <w:shd w:val="clear" w:color="auto" w:fill="FFFFFF" w:themeFill="background1"/>
      </w:tcPr>
    </w:tblStylePr>
    <w:tblStylePr w:type="lastRow">
      <w:rPr>
        <w:b/>
        <w:bCs/>
      </w:rPr>
      <w:tblPr/>
      <w:tcPr>
        <w:tcBorders>
          <w:top w:val="double" w:sz="2" w:space="0" w:color="D559C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7EB" w:themeFill="accent2" w:themeFillTint="33"/>
      </w:tcPr>
    </w:tblStylePr>
    <w:tblStylePr w:type="band1Horz">
      <w:tblPr/>
      <w:tcPr>
        <w:shd w:val="clear" w:color="auto" w:fill="F1C7EB" w:themeFill="accent2" w:themeFillTint="33"/>
      </w:tcPr>
    </w:tblStylePr>
  </w:style>
  <w:style w:type="table" w:styleId="Rastertabel2-Accent3">
    <w:name w:val="Grid Table 2 Accent 3"/>
    <w:basedOn w:val="Standaardtabel"/>
    <w:uiPriority w:val="47"/>
    <w:rsid w:val="0095390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95390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95390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6">
    <w:name w:val="Grid Table 2 Accent 6"/>
    <w:basedOn w:val="Standaardtabel"/>
    <w:uiPriority w:val="47"/>
    <w:rsid w:val="0095390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9539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95390B"/>
    <w:tblPr>
      <w:tblStyleRowBandSize w:val="1"/>
      <w:tblStyleColBandSize w:val="1"/>
      <w:tblBorders>
        <w:top w:val="single" w:sz="4" w:space="0" w:color="A3CAD9" w:themeColor="accent1" w:themeTint="99"/>
        <w:left w:val="single" w:sz="4" w:space="0" w:color="A3CAD9" w:themeColor="accent1" w:themeTint="99"/>
        <w:bottom w:val="single" w:sz="4" w:space="0" w:color="A3CAD9" w:themeColor="accent1" w:themeTint="99"/>
        <w:right w:val="single" w:sz="4" w:space="0" w:color="A3CAD9" w:themeColor="accent1" w:themeTint="99"/>
        <w:insideH w:val="single" w:sz="4" w:space="0" w:color="A3CAD9" w:themeColor="accent1" w:themeTint="99"/>
        <w:insideV w:val="single" w:sz="4" w:space="0" w:color="A3CA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2" w:themeFill="accent1" w:themeFillTint="33"/>
      </w:tcPr>
    </w:tblStylePr>
    <w:tblStylePr w:type="band1Horz">
      <w:tblPr/>
      <w:tcPr>
        <w:shd w:val="clear" w:color="auto" w:fill="E0EDF2" w:themeFill="accent1" w:themeFillTint="33"/>
      </w:tcPr>
    </w:tblStylePr>
    <w:tblStylePr w:type="neCell">
      <w:tblPr/>
      <w:tcPr>
        <w:tcBorders>
          <w:bottom w:val="single" w:sz="4" w:space="0" w:color="A3CAD9" w:themeColor="accent1" w:themeTint="99"/>
        </w:tcBorders>
      </w:tcPr>
    </w:tblStylePr>
    <w:tblStylePr w:type="nwCell">
      <w:tblPr/>
      <w:tcPr>
        <w:tcBorders>
          <w:bottom w:val="single" w:sz="4" w:space="0" w:color="A3CAD9" w:themeColor="accent1" w:themeTint="99"/>
        </w:tcBorders>
      </w:tcPr>
    </w:tblStylePr>
    <w:tblStylePr w:type="seCell">
      <w:tblPr/>
      <w:tcPr>
        <w:tcBorders>
          <w:top w:val="single" w:sz="4" w:space="0" w:color="A3CAD9" w:themeColor="accent1" w:themeTint="99"/>
        </w:tcBorders>
      </w:tcPr>
    </w:tblStylePr>
    <w:tblStylePr w:type="swCell">
      <w:tblPr/>
      <w:tcPr>
        <w:tcBorders>
          <w:top w:val="single" w:sz="4" w:space="0" w:color="A3CAD9" w:themeColor="accent1" w:themeTint="99"/>
        </w:tcBorders>
      </w:tcPr>
    </w:tblStylePr>
  </w:style>
  <w:style w:type="table" w:styleId="Rastertabel3-Accent2">
    <w:name w:val="Grid Table 3 Accent 2"/>
    <w:basedOn w:val="Standaardtabel"/>
    <w:uiPriority w:val="48"/>
    <w:rsid w:val="0095390B"/>
    <w:tblPr>
      <w:tblStyleRowBandSize w:val="1"/>
      <w:tblStyleColBandSize w:val="1"/>
      <w:tblBorders>
        <w:top w:val="single" w:sz="4" w:space="0" w:color="D559C5" w:themeColor="accent2" w:themeTint="99"/>
        <w:left w:val="single" w:sz="4" w:space="0" w:color="D559C5" w:themeColor="accent2" w:themeTint="99"/>
        <w:bottom w:val="single" w:sz="4" w:space="0" w:color="D559C5" w:themeColor="accent2" w:themeTint="99"/>
        <w:right w:val="single" w:sz="4" w:space="0" w:color="D559C5" w:themeColor="accent2" w:themeTint="99"/>
        <w:insideH w:val="single" w:sz="4" w:space="0" w:color="D559C5" w:themeColor="accent2" w:themeTint="99"/>
        <w:insideV w:val="single" w:sz="4" w:space="0" w:color="D559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7EB" w:themeFill="accent2" w:themeFillTint="33"/>
      </w:tcPr>
    </w:tblStylePr>
    <w:tblStylePr w:type="band1Horz">
      <w:tblPr/>
      <w:tcPr>
        <w:shd w:val="clear" w:color="auto" w:fill="F1C7EB" w:themeFill="accent2" w:themeFillTint="33"/>
      </w:tcPr>
    </w:tblStylePr>
    <w:tblStylePr w:type="neCell">
      <w:tblPr/>
      <w:tcPr>
        <w:tcBorders>
          <w:bottom w:val="single" w:sz="4" w:space="0" w:color="D559C5" w:themeColor="accent2" w:themeTint="99"/>
        </w:tcBorders>
      </w:tcPr>
    </w:tblStylePr>
    <w:tblStylePr w:type="nwCell">
      <w:tblPr/>
      <w:tcPr>
        <w:tcBorders>
          <w:bottom w:val="single" w:sz="4" w:space="0" w:color="D559C5" w:themeColor="accent2" w:themeTint="99"/>
        </w:tcBorders>
      </w:tcPr>
    </w:tblStylePr>
    <w:tblStylePr w:type="seCell">
      <w:tblPr/>
      <w:tcPr>
        <w:tcBorders>
          <w:top w:val="single" w:sz="4" w:space="0" w:color="D559C5" w:themeColor="accent2" w:themeTint="99"/>
        </w:tcBorders>
      </w:tcPr>
    </w:tblStylePr>
    <w:tblStylePr w:type="swCell">
      <w:tblPr/>
      <w:tcPr>
        <w:tcBorders>
          <w:top w:val="single" w:sz="4" w:space="0" w:color="D559C5" w:themeColor="accent2" w:themeTint="99"/>
        </w:tcBorders>
      </w:tcPr>
    </w:tblStylePr>
  </w:style>
  <w:style w:type="table" w:styleId="Rastertabel3-Accent3">
    <w:name w:val="Grid Table 3 Accent 3"/>
    <w:basedOn w:val="Standaardtabel"/>
    <w:uiPriority w:val="48"/>
    <w:rsid w:val="0095390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95390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95390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3-Accent6">
    <w:name w:val="Grid Table 3 Accent 6"/>
    <w:basedOn w:val="Standaardtabel"/>
    <w:uiPriority w:val="48"/>
    <w:rsid w:val="0095390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9539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95390B"/>
    <w:tblPr>
      <w:tblStyleRowBandSize w:val="1"/>
      <w:tblStyleColBandSize w:val="1"/>
      <w:tblBorders>
        <w:top w:val="single" w:sz="4" w:space="0" w:color="A3CAD9" w:themeColor="accent1" w:themeTint="99"/>
        <w:left w:val="single" w:sz="4" w:space="0" w:color="A3CAD9" w:themeColor="accent1" w:themeTint="99"/>
        <w:bottom w:val="single" w:sz="4" w:space="0" w:color="A3CAD9" w:themeColor="accent1" w:themeTint="99"/>
        <w:right w:val="single" w:sz="4" w:space="0" w:color="A3CAD9" w:themeColor="accent1" w:themeTint="99"/>
        <w:insideH w:val="single" w:sz="4" w:space="0" w:color="A3CAD9" w:themeColor="accent1" w:themeTint="99"/>
        <w:insideV w:val="single" w:sz="4" w:space="0" w:color="A3CAD9" w:themeColor="accent1" w:themeTint="99"/>
      </w:tblBorders>
    </w:tblPr>
    <w:tblStylePr w:type="firstRow">
      <w:rPr>
        <w:b/>
        <w:bCs/>
        <w:color w:val="FFFFFF" w:themeColor="background1"/>
      </w:rPr>
      <w:tblPr/>
      <w:tcPr>
        <w:tcBorders>
          <w:top w:val="single" w:sz="4" w:space="0" w:color="67A7C0" w:themeColor="accent1"/>
          <w:left w:val="single" w:sz="4" w:space="0" w:color="67A7C0" w:themeColor="accent1"/>
          <w:bottom w:val="single" w:sz="4" w:space="0" w:color="67A7C0" w:themeColor="accent1"/>
          <w:right w:val="single" w:sz="4" w:space="0" w:color="67A7C0" w:themeColor="accent1"/>
          <w:insideH w:val="nil"/>
          <w:insideV w:val="nil"/>
        </w:tcBorders>
        <w:shd w:val="clear" w:color="auto" w:fill="67A7C0" w:themeFill="accent1"/>
      </w:tcPr>
    </w:tblStylePr>
    <w:tblStylePr w:type="lastRow">
      <w:rPr>
        <w:b/>
        <w:bCs/>
      </w:rPr>
      <w:tblPr/>
      <w:tcPr>
        <w:tcBorders>
          <w:top w:val="double" w:sz="4" w:space="0" w:color="67A7C0" w:themeColor="accent1"/>
        </w:tcBorders>
      </w:tcPr>
    </w:tblStylePr>
    <w:tblStylePr w:type="firstCol">
      <w:rPr>
        <w:b/>
        <w:bCs/>
      </w:rPr>
    </w:tblStylePr>
    <w:tblStylePr w:type="lastCol">
      <w:rPr>
        <w:b/>
        <w:bCs/>
      </w:rPr>
    </w:tblStylePr>
    <w:tblStylePr w:type="band1Vert">
      <w:tblPr/>
      <w:tcPr>
        <w:shd w:val="clear" w:color="auto" w:fill="E0EDF2" w:themeFill="accent1" w:themeFillTint="33"/>
      </w:tcPr>
    </w:tblStylePr>
    <w:tblStylePr w:type="band1Horz">
      <w:tblPr/>
      <w:tcPr>
        <w:shd w:val="clear" w:color="auto" w:fill="E0EDF2" w:themeFill="accent1" w:themeFillTint="33"/>
      </w:tcPr>
    </w:tblStylePr>
  </w:style>
  <w:style w:type="table" w:styleId="Rastertabel4-Accent2">
    <w:name w:val="Grid Table 4 Accent 2"/>
    <w:basedOn w:val="Standaardtabel"/>
    <w:uiPriority w:val="49"/>
    <w:rsid w:val="0095390B"/>
    <w:tblPr>
      <w:tblStyleRowBandSize w:val="1"/>
      <w:tblStyleColBandSize w:val="1"/>
      <w:tblBorders>
        <w:top w:val="single" w:sz="4" w:space="0" w:color="D559C5" w:themeColor="accent2" w:themeTint="99"/>
        <w:left w:val="single" w:sz="4" w:space="0" w:color="D559C5" w:themeColor="accent2" w:themeTint="99"/>
        <w:bottom w:val="single" w:sz="4" w:space="0" w:color="D559C5" w:themeColor="accent2" w:themeTint="99"/>
        <w:right w:val="single" w:sz="4" w:space="0" w:color="D559C5" w:themeColor="accent2" w:themeTint="99"/>
        <w:insideH w:val="single" w:sz="4" w:space="0" w:color="D559C5" w:themeColor="accent2" w:themeTint="99"/>
        <w:insideV w:val="single" w:sz="4" w:space="0" w:color="D559C5" w:themeColor="accent2" w:themeTint="99"/>
      </w:tblBorders>
    </w:tblPr>
    <w:tblStylePr w:type="firstRow">
      <w:rPr>
        <w:b/>
        <w:bCs/>
        <w:color w:val="FFFFFF" w:themeColor="background1"/>
      </w:rPr>
      <w:tblPr/>
      <w:tcPr>
        <w:tcBorders>
          <w:top w:val="single" w:sz="4" w:space="0" w:color="842177" w:themeColor="accent2"/>
          <w:left w:val="single" w:sz="4" w:space="0" w:color="842177" w:themeColor="accent2"/>
          <w:bottom w:val="single" w:sz="4" w:space="0" w:color="842177" w:themeColor="accent2"/>
          <w:right w:val="single" w:sz="4" w:space="0" w:color="842177" w:themeColor="accent2"/>
          <w:insideH w:val="nil"/>
          <w:insideV w:val="nil"/>
        </w:tcBorders>
        <w:shd w:val="clear" w:color="auto" w:fill="842177" w:themeFill="accent2"/>
      </w:tcPr>
    </w:tblStylePr>
    <w:tblStylePr w:type="lastRow">
      <w:rPr>
        <w:b/>
        <w:bCs/>
      </w:rPr>
      <w:tblPr/>
      <w:tcPr>
        <w:tcBorders>
          <w:top w:val="double" w:sz="4" w:space="0" w:color="842177" w:themeColor="accent2"/>
        </w:tcBorders>
      </w:tcPr>
    </w:tblStylePr>
    <w:tblStylePr w:type="firstCol">
      <w:rPr>
        <w:b/>
        <w:bCs/>
      </w:rPr>
    </w:tblStylePr>
    <w:tblStylePr w:type="lastCol">
      <w:rPr>
        <w:b/>
        <w:bCs/>
      </w:rPr>
    </w:tblStylePr>
    <w:tblStylePr w:type="band1Vert">
      <w:tblPr/>
      <w:tcPr>
        <w:shd w:val="clear" w:color="auto" w:fill="F1C7EB" w:themeFill="accent2" w:themeFillTint="33"/>
      </w:tcPr>
    </w:tblStylePr>
    <w:tblStylePr w:type="band1Horz">
      <w:tblPr/>
      <w:tcPr>
        <w:shd w:val="clear" w:color="auto" w:fill="F1C7EB" w:themeFill="accent2" w:themeFillTint="33"/>
      </w:tcPr>
    </w:tblStylePr>
  </w:style>
  <w:style w:type="table" w:styleId="Rastertabel4-Accent3">
    <w:name w:val="Grid Table 4 Accent 3"/>
    <w:basedOn w:val="Standaardtabel"/>
    <w:uiPriority w:val="49"/>
    <w:rsid w:val="0095390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95390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95390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6">
    <w:name w:val="Grid Table 4 Accent 6"/>
    <w:basedOn w:val="Standaardtabel"/>
    <w:uiPriority w:val="49"/>
    <w:rsid w:val="0095390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9539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2">
    <w:name w:val="Grid Table 5 Dark Accent 2"/>
    <w:basedOn w:val="Standaardtabel"/>
    <w:uiPriority w:val="50"/>
    <w:rsid w:val="009539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7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21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21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21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2177" w:themeFill="accent2"/>
      </w:tcPr>
    </w:tblStylePr>
    <w:tblStylePr w:type="band1Vert">
      <w:tblPr/>
      <w:tcPr>
        <w:shd w:val="clear" w:color="auto" w:fill="E390D8" w:themeFill="accent2" w:themeFillTint="66"/>
      </w:tcPr>
    </w:tblStylePr>
    <w:tblStylePr w:type="band1Horz">
      <w:tblPr/>
      <w:tcPr>
        <w:shd w:val="clear" w:color="auto" w:fill="E390D8" w:themeFill="accent2" w:themeFillTint="66"/>
      </w:tcPr>
    </w:tblStylePr>
  </w:style>
  <w:style w:type="table" w:styleId="Rastertabel5donker-Accent3">
    <w:name w:val="Grid Table 5 Dark Accent 3"/>
    <w:basedOn w:val="Standaardtabel"/>
    <w:uiPriority w:val="50"/>
    <w:rsid w:val="009539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9539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9539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6">
    <w:name w:val="Grid Table 5 Dark Accent 6"/>
    <w:basedOn w:val="Standaardtabel"/>
    <w:uiPriority w:val="50"/>
    <w:rsid w:val="009539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9539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95390B"/>
    <w:rPr>
      <w:color w:val="40829B" w:themeColor="accent1" w:themeShade="BF"/>
    </w:rPr>
    <w:tblPr>
      <w:tblStyleRowBandSize w:val="1"/>
      <w:tblStyleColBandSize w:val="1"/>
      <w:tblBorders>
        <w:top w:val="single" w:sz="4" w:space="0" w:color="A3CAD9" w:themeColor="accent1" w:themeTint="99"/>
        <w:left w:val="single" w:sz="4" w:space="0" w:color="A3CAD9" w:themeColor="accent1" w:themeTint="99"/>
        <w:bottom w:val="single" w:sz="4" w:space="0" w:color="A3CAD9" w:themeColor="accent1" w:themeTint="99"/>
        <w:right w:val="single" w:sz="4" w:space="0" w:color="A3CAD9" w:themeColor="accent1" w:themeTint="99"/>
        <w:insideH w:val="single" w:sz="4" w:space="0" w:color="A3CAD9" w:themeColor="accent1" w:themeTint="99"/>
        <w:insideV w:val="single" w:sz="4" w:space="0" w:color="A3CAD9" w:themeColor="accent1" w:themeTint="99"/>
      </w:tblBorders>
    </w:tblPr>
    <w:tblStylePr w:type="firstRow">
      <w:rPr>
        <w:b/>
        <w:bCs/>
      </w:rPr>
      <w:tblPr/>
      <w:tcPr>
        <w:tcBorders>
          <w:bottom w:val="single" w:sz="12" w:space="0" w:color="A3CAD9" w:themeColor="accent1" w:themeTint="99"/>
        </w:tcBorders>
      </w:tcPr>
    </w:tblStylePr>
    <w:tblStylePr w:type="lastRow">
      <w:rPr>
        <w:b/>
        <w:bCs/>
      </w:rPr>
      <w:tblPr/>
      <w:tcPr>
        <w:tcBorders>
          <w:top w:val="double" w:sz="4" w:space="0" w:color="A3CAD9" w:themeColor="accent1" w:themeTint="99"/>
        </w:tcBorders>
      </w:tcPr>
    </w:tblStylePr>
    <w:tblStylePr w:type="firstCol">
      <w:rPr>
        <w:b/>
        <w:bCs/>
      </w:rPr>
    </w:tblStylePr>
    <w:tblStylePr w:type="lastCol">
      <w:rPr>
        <w:b/>
        <w:bCs/>
      </w:rPr>
    </w:tblStylePr>
    <w:tblStylePr w:type="band1Vert">
      <w:tblPr/>
      <w:tcPr>
        <w:shd w:val="clear" w:color="auto" w:fill="E0EDF2" w:themeFill="accent1" w:themeFillTint="33"/>
      </w:tcPr>
    </w:tblStylePr>
    <w:tblStylePr w:type="band1Horz">
      <w:tblPr/>
      <w:tcPr>
        <w:shd w:val="clear" w:color="auto" w:fill="E0EDF2" w:themeFill="accent1" w:themeFillTint="33"/>
      </w:tcPr>
    </w:tblStylePr>
  </w:style>
  <w:style w:type="table" w:styleId="Rastertabel6kleurrijk-Accent2">
    <w:name w:val="Grid Table 6 Colorful Accent 2"/>
    <w:basedOn w:val="Standaardtabel"/>
    <w:uiPriority w:val="51"/>
    <w:rsid w:val="0095390B"/>
    <w:rPr>
      <w:color w:val="621858" w:themeColor="accent2" w:themeShade="BF"/>
    </w:rPr>
    <w:tblPr>
      <w:tblStyleRowBandSize w:val="1"/>
      <w:tblStyleColBandSize w:val="1"/>
      <w:tblBorders>
        <w:top w:val="single" w:sz="4" w:space="0" w:color="D559C5" w:themeColor="accent2" w:themeTint="99"/>
        <w:left w:val="single" w:sz="4" w:space="0" w:color="D559C5" w:themeColor="accent2" w:themeTint="99"/>
        <w:bottom w:val="single" w:sz="4" w:space="0" w:color="D559C5" w:themeColor="accent2" w:themeTint="99"/>
        <w:right w:val="single" w:sz="4" w:space="0" w:color="D559C5" w:themeColor="accent2" w:themeTint="99"/>
        <w:insideH w:val="single" w:sz="4" w:space="0" w:color="D559C5" w:themeColor="accent2" w:themeTint="99"/>
        <w:insideV w:val="single" w:sz="4" w:space="0" w:color="D559C5" w:themeColor="accent2" w:themeTint="99"/>
      </w:tblBorders>
    </w:tblPr>
    <w:tblStylePr w:type="firstRow">
      <w:rPr>
        <w:b/>
        <w:bCs/>
      </w:rPr>
      <w:tblPr/>
      <w:tcPr>
        <w:tcBorders>
          <w:bottom w:val="single" w:sz="12" w:space="0" w:color="D559C5" w:themeColor="accent2" w:themeTint="99"/>
        </w:tcBorders>
      </w:tcPr>
    </w:tblStylePr>
    <w:tblStylePr w:type="lastRow">
      <w:rPr>
        <w:b/>
        <w:bCs/>
      </w:rPr>
      <w:tblPr/>
      <w:tcPr>
        <w:tcBorders>
          <w:top w:val="double" w:sz="4" w:space="0" w:color="D559C5" w:themeColor="accent2" w:themeTint="99"/>
        </w:tcBorders>
      </w:tcPr>
    </w:tblStylePr>
    <w:tblStylePr w:type="firstCol">
      <w:rPr>
        <w:b/>
        <w:bCs/>
      </w:rPr>
    </w:tblStylePr>
    <w:tblStylePr w:type="lastCol">
      <w:rPr>
        <w:b/>
        <w:bCs/>
      </w:rPr>
    </w:tblStylePr>
    <w:tblStylePr w:type="band1Vert">
      <w:tblPr/>
      <w:tcPr>
        <w:shd w:val="clear" w:color="auto" w:fill="F1C7EB" w:themeFill="accent2" w:themeFillTint="33"/>
      </w:tcPr>
    </w:tblStylePr>
    <w:tblStylePr w:type="band1Horz">
      <w:tblPr/>
      <w:tcPr>
        <w:shd w:val="clear" w:color="auto" w:fill="F1C7EB" w:themeFill="accent2" w:themeFillTint="33"/>
      </w:tcPr>
    </w:tblStylePr>
  </w:style>
  <w:style w:type="table" w:styleId="Rastertabel6kleurrijk-Accent3">
    <w:name w:val="Grid Table 6 Colorful Accent 3"/>
    <w:basedOn w:val="Standaardtabel"/>
    <w:uiPriority w:val="51"/>
    <w:rsid w:val="0095390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95390B"/>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95390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6">
    <w:name w:val="Grid Table 6 Colorful Accent 6"/>
    <w:basedOn w:val="Standaardtabel"/>
    <w:uiPriority w:val="51"/>
    <w:rsid w:val="0095390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9539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95390B"/>
    <w:rPr>
      <w:color w:val="40829B" w:themeColor="accent1" w:themeShade="BF"/>
    </w:rPr>
    <w:tblPr>
      <w:tblStyleRowBandSize w:val="1"/>
      <w:tblStyleColBandSize w:val="1"/>
      <w:tblBorders>
        <w:top w:val="single" w:sz="4" w:space="0" w:color="A3CAD9" w:themeColor="accent1" w:themeTint="99"/>
        <w:left w:val="single" w:sz="4" w:space="0" w:color="A3CAD9" w:themeColor="accent1" w:themeTint="99"/>
        <w:bottom w:val="single" w:sz="4" w:space="0" w:color="A3CAD9" w:themeColor="accent1" w:themeTint="99"/>
        <w:right w:val="single" w:sz="4" w:space="0" w:color="A3CAD9" w:themeColor="accent1" w:themeTint="99"/>
        <w:insideH w:val="single" w:sz="4" w:space="0" w:color="A3CAD9" w:themeColor="accent1" w:themeTint="99"/>
        <w:insideV w:val="single" w:sz="4" w:space="0" w:color="A3CA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2" w:themeFill="accent1" w:themeFillTint="33"/>
      </w:tcPr>
    </w:tblStylePr>
    <w:tblStylePr w:type="band1Horz">
      <w:tblPr/>
      <w:tcPr>
        <w:shd w:val="clear" w:color="auto" w:fill="E0EDF2" w:themeFill="accent1" w:themeFillTint="33"/>
      </w:tcPr>
    </w:tblStylePr>
    <w:tblStylePr w:type="neCell">
      <w:tblPr/>
      <w:tcPr>
        <w:tcBorders>
          <w:bottom w:val="single" w:sz="4" w:space="0" w:color="A3CAD9" w:themeColor="accent1" w:themeTint="99"/>
        </w:tcBorders>
      </w:tcPr>
    </w:tblStylePr>
    <w:tblStylePr w:type="nwCell">
      <w:tblPr/>
      <w:tcPr>
        <w:tcBorders>
          <w:bottom w:val="single" w:sz="4" w:space="0" w:color="A3CAD9" w:themeColor="accent1" w:themeTint="99"/>
        </w:tcBorders>
      </w:tcPr>
    </w:tblStylePr>
    <w:tblStylePr w:type="seCell">
      <w:tblPr/>
      <w:tcPr>
        <w:tcBorders>
          <w:top w:val="single" w:sz="4" w:space="0" w:color="A3CAD9" w:themeColor="accent1" w:themeTint="99"/>
        </w:tcBorders>
      </w:tcPr>
    </w:tblStylePr>
    <w:tblStylePr w:type="swCell">
      <w:tblPr/>
      <w:tcPr>
        <w:tcBorders>
          <w:top w:val="single" w:sz="4" w:space="0" w:color="A3CAD9" w:themeColor="accent1" w:themeTint="99"/>
        </w:tcBorders>
      </w:tcPr>
    </w:tblStylePr>
  </w:style>
  <w:style w:type="table" w:styleId="Rastertabel7kleurrijk-Accent2">
    <w:name w:val="Grid Table 7 Colorful Accent 2"/>
    <w:basedOn w:val="Standaardtabel"/>
    <w:uiPriority w:val="52"/>
    <w:rsid w:val="0095390B"/>
    <w:rPr>
      <w:color w:val="621858" w:themeColor="accent2" w:themeShade="BF"/>
    </w:rPr>
    <w:tblPr>
      <w:tblStyleRowBandSize w:val="1"/>
      <w:tblStyleColBandSize w:val="1"/>
      <w:tblBorders>
        <w:top w:val="single" w:sz="4" w:space="0" w:color="D559C5" w:themeColor="accent2" w:themeTint="99"/>
        <w:left w:val="single" w:sz="4" w:space="0" w:color="D559C5" w:themeColor="accent2" w:themeTint="99"/>
        <w:bottom w:val="single" w:sz="4" w:space="0" w:color="D559C5" w:themeColor="accent2" w:themeTint="99"/>
        <w:right w:val="single" w:sz="4" w:space="0" w:color="D559C5" w:themeColor="accent2" w:themeTint="99"/>
        <w:insideH w:val="single" w:sz="4" w:space="0" w:color="D559C5" w:themeColor="accent2" w:themeTint="99"/>
        <w:insideV w:val="single" w:sz="4" w:space="0" w:color="D559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7EB" w:themeFill="accent2" w:themeFillTint="33"/>
      </w:tcPr>
    </w:tblStylePr>
    <w:tblStylePr w:type="band1Horz">
      <w:tblPr/>
      <w:tcPr>
        <w:shd w:val="clear" w:color="auto" w:fill="F1C7EB" w:themeFill="accent2" w:themeFillTint="33"/>
      </w:tcPr>
    </w:tblStylePr>
    <w:tblStylePr w:type="neCell">
      <w:tblPr/>
      <w:tcPr>
        <w:tcBorders>
          <w:bottom w:val="single" w:sz="4" w:space="0" w:color="D559C5" w:themeColor="accent2" w:themeTint="99"/>
        </w:tcBorders>
      </w:tcPr>
    </w:tblStylePr>
    <w:tblStylePr w:type="nwCell">
      <w:tblPr/>
      <w:tcPr>
        <w:tcBorders>
          <w:bottom w:val="single" w:sz="4" w:space="0" w:color="D559C5" w:themeColor="accent2" w:themeTint="99"/>
        </w:tcBorders>
      </w:tcPr>
    </w:tblStylePr>
    <w:tblStylePr w:type="seCell">
      <w:tblPr/>
      <w:tcPr>
        <w:tcBorders>
          <w:top w:val="single" w:sz="4" w:space="0" w:color="D559C5" w:themeColor="accent2" w:themeTint="99"/>
        </w:tcBorders>
      </w:tcPr>
    </w:tblStylePr>
    <w:tblStylePr w:type="swCell">
      <w:tblPr/>
      <w:tcPr>
        <w:tcBorders>
          <w:top w:val="single" w:sz="4" w:space="0" w:color="D559C5" w:themeColor="accent2" w:themeTint="99"/>
        </w:tcBorders>
      </w:tcPr>
    </w:tblStylePr>
  </w:style>
  <w:style w:type="table" w:styleId="Rastertabel7kleurrijk-Accent3">
    <w:name w:val="Grid Table 7 Colorful Accent 3"/>
    <w:basedOn w:val="Standaardtabel"/>
    <w:uiPriority w:val="52"/>
    <w:rsid w:val="0095390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95390B"/>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95390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rijk-Accent6">
    <w:name w:val="Grid Table 7 Colorful Accent 6"/>
    <w:basedOn w:val="Standaardtabel"/>
    <w:uiPriority w:val="52"/>
    <w:rsid w:val="0095390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Standaardalinea-lettertype"/>
    <w:uiPriority w:val="99"/>
    <w:semiHidden/>
    <w:unhideWhenUsed/>
    <w:rsid w:val="0095390B"/>
    <w:rPr>
      <w:color w:val="2B579A"/>
      <w:shd w:val="clear" w:color="auto" w:fill="E1DFDD"/>
    </w:rPr>
  </w:style>
  <w:style w:type="character" w:styleId="HTML-acroniem">
    <w:name w:val="HTML Acronym"/>
    <w:basedOn w:val="Standaardalinea-lettertype"/>
    <w:uiPriority w:val="99"/>
    <w:semiHidden/>
    <w:unhideWhenUsed/>
    <w:rsid w:val="0095390B"/>
  </w:style>
  <w:style w:type="paragraph" w:styleId="HTML-adres">
    <w:name w:val="HTML Address"/>
    <w:basedOn w:val="Standaard"/>
    <w:link w:val="HTML-adresChar"/>
    <w:uiPriority w:val="99"/>
    <w:semiHidden/>
    <w:unhideWhenUsed/>
    <w:rsid w:val="0095390B"/>
    <w:pPr>
      <w:spacing w:line="240" w:lineRule="auto"/>
    </w:pPr>
    <w:rPr>
      <w:i/>
      <w:iCs/>
    </w:rPr>
  </w:style>
  <w:style w:type="character" w:customStyle="1" w:styleId="HTML-adresChar">
    <w:name w:val="HTML-adres Char"/>
    <w:basedOn w:val="Standaardalinea-lettertype"/>
    <w:link w:val="HTML-adres"/>
    <w:uiPriority w:val="99"/>
    <w:semiHidden/>
    <w:rsid w:val="0095390B"/>
    <w:rPr>
      <w:i/>
      <w:iCs/>
    </w:rPr>
  </w:style>
  <w:style w:type="character" w:styleId="HTML-citaat">
    <w:name w:val="HTML Cite"/>
    <w:basedOn w:val="Standaardalinea-lettertype"/>
    <w:uiPriority w:val="99"/>
    <w:semiHidden/>
    <w:unhideWhenUsed/>
    <w:rsid w:val="0095390B"/>
    <w:rPr>
      <w:i/>
      <w:iCs/>
    </w:rPr>
  </w:style>
  <w:style w:type="character" w:styleId="HTMLCode">
    <w:name w:val="HTML Code"/>
    <w:basedOn w:val="Standaardalinea-lettertype"/>
    <w:uiPriority w:val="99"/>
    <w:semiHidden/>
    <w:unhideWhenUsed/>
    <w:rsid w:val="0095390B"/>
    <w:rPr>
      <w:rFonts w:ascii="Consolas" w:hAnsi="Consolas"/>
      <w:sz w:val="20"/>
      <w:szCs w:val="20"/>
    </w:rPr>
  </w:style>
  <w:style w:type="character" w:styleId="HTMLDefinition">
    <w:name w:val="HTML Definition"/>
    <w:basedOn w:val="Standaardalinea-lettertype"/>
    <w:uiPriority w:val="99"/>
    <w:semiHidden/>
    <w:unhideWhenUsed/>
    <w:rsid w:val="0095390B"/>
    <w:rPr>
      <w:i/>
      <w:iCs/>
    </w:rPr>
  </w:style>
  <w:style w:type="character" w:styleId="HTML-toetsenbord">
    <w:name w:val="HTML Keyboard"/>
    <w:basedOn w:val="Standaardalinea-lettertype"/>
    <w:uiPriority w:val="99"/>
    <w:semiHidden/>
    <w:unhideWhenUsed/>
    <w:rsid w:val="0095390B"/>
    <w:rPr>
      <w:rFonts w:ascii="Consolas" w:hAnsi="Consolas"/>
      <w:sz w:val="20"/>
      <w:szCs w:val="20"/>
    </w:rPr>
  </w:style>
  <w:style w:type="paragraph" w:styleId="HTML-voorafopgemaakt">
    <w:name w:val="HTML Preformatted"/>
    <w:basedOn w:val="Standaard"/>
    <w:link w:val="HTML-voorafopgemaaktChar"/>
    <w:uiPriority w:val="99"/>
    <w:semiHidden/>
    <w:unhideWhenUsed/>
    <w:rsid w:val="0095390B"/>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95390B"/>
    <w:rPr>
      <w:rFonts w:ascii="Consolas" w:hAnsi="Consolas"/>
      <w:sz w:val="20"/>
      <w:szCs w:val="20"/>
    </w:rPr>
  </w:style>
  <w:style w:type="character" w:styleId="HTML-voorbeeld">
    <w:name w:val="HTML Sample"/>
    <w:basedOn w:val="Standaardalinea-lettertype"/>
    <w:uiPriority w:val="99"/>
    <w:semiHidden/>
    <w:unhideWhenUsed/>
    <w:rsid w:val="0095390B"/>
    <w:rPr>
      <w:rFonts w:ascii="Consolas" w:hAnsi="Consolas"/>
      <w:sz w:val="24"/>
      <w:szCs w:val="24"/>
    </w:rPr>
  </w:style>
  <w:style w:type="character" w:styleId="HTML-schrijfmachine">
    <w:name w:val="HTML Typewriter"/>
    <w:basedOn w:val="Standaardalinea-lettertype"/>
    <w:uiPriority w:val="99"/>
    <w:semiHidden/>
    <w:unhideWhenUsed/>
    <w:rsid w:val="0095390B"/>
    <w:rPr>
      <w:rFonts w:ascii="Consolas" w:hAnsi="Consolas"/>
      <w:sz w:val="20"/>
      <w:szCs w:val="20"/>
    </w:rPr>
  </w:style>
  <w:style w:type="character" w:styleId="HTMLVariable">
    <w:name w:val="HTML Variable"/>
    <w:basedOn w:val="Standaardalinea-lettertype"/>
    <w:uiPriority w:val="99"/>
    <w:semiHidden/>
    <w:unhideWhenUsed/>
    <w:rsid w:val="0095390B"/>
    <w:rPr>
      <w:i/>
      <w:iCs/>
    </w:rPr>
  </w:style>
  <w:style w:type="paragraph" w:styleId="Index1">
    <w:name w:val="index 1"/>
    <w:basedOn w:val="Standaard"/>
    <w:next w:val="Standaard"/>
    <w:autoRedefine/>
    <w:uiPriority w:val="99"/>
    <w:semiHidden/>
    <w:unhideWhenUsed/>
    <w:rsid w:val="0095390B"/>
    <w:pPr>
      <w:spacing w:line="240" w:lineRule="auto"/>
      <w:ind w:left="180" w:hanging="180"/>
    </w:pPr>
  </w:style>
  <w:style w:type="paragraph" w:styleId="Index2">
    <w:name w:val="index 2"/>
    <w:basedOn w:val="Standaard"/>
    <w:next w:val="Standaard"/>
    <w:autoRedefine/>
    <w:uiPriority w:val="99"/>
    <w:semiHidden/>
    <w:unhideWhenUsed/>
    <w:rsid w:val="0095390B"/>
    <w:pPr>
      <w:spacing w:line="240" w:lineRule="auto"/>
      <w:ind w:left="360" w:hanging="180"/>
    </w:pPr>
  </w:style>
  <w:style w:type="paragraph" w:styleId="Index3">
    <w:name w:val="index 3"/>
    <w:basedOn w:val="Standaard"/>
    <w:next w:val="Standaard"/>
    <w:autoRedefine/>
    <w:uiPriority w:val="99"/>
    <w:semiHidden/>
    <w:unhideWhenUsed/>
    <w:rsid w:val="0095390B"/>
    <w:pPr>
      <w:spacing w:line="240" w:lineRule="auto"/>
      <w:ind w:left="540" w:hanging="180"/>
    </w:pPr>
  </w:style>
  <w:style w:type="paragraph" w:styleId="Index4">
    <w:name w:val="index 4"/>
    <w:basedOn w:val="Standaard"/>
    <w:next w:val="Standaard"/>
    <w:autoRedefine/>
    <w:uiPriority w:val="99"/>
    <w:semiHidden/>
    <w:unhideWhenUsed/>
    <w:rsid w:val="0095390B"/>
    <w:pPr>
      <w:spacing w:line="240" w:lineRule="auto"/>
      <w:ind w:left="720" w:hanging="180"/>
    </w:pPr>
  </w:style>
  <w:style w:type="paragraph" w:styleId="Index5">
    <w:name w:val="index 5"/>
    <w:basedOn w:val="Standaard"/>
    <w:next w:val="Standaard"/>
    <w:autoRedefine/>
    <w:uiPriority w:val="99"/>
    <w:semiHidden/>
    <w:unhideWhenUsed/>
    <w:rsid w:val="0095390B"/>
    <w:pPr>
      <w:spacing w:line="240" w:lineRule="auto"/>
      <w:ind w:left="900" w:hanging="180"/>
    </w:pPr>
  </w:style>
  <w:style w:type="paragraph" w:styleId="Index6">
    <w:name w:val="index 6"/>
    <w:basedOn w:val="Standaard"/>
    <w:next w:val="Standaard"/>
    <w:autoRedefine/>
    <w:uiPriority w:val="99"/>
    <w:semiHidden/>
    <w:unhideWhenUsed/>
    <w:rsid w:val="0095390B"/>
    <w:pPr>
      <w:spacing w:line="240" w:lineRule="auto"/>
      <w:ind w:left="1080" w:hanging="180"/>
    </w:pPr>
  </w:style>
  <w:style w:type="paragraph" w:styleId="Index7">
    <w:name w:val="index 7"/>
    <w:basedOn w:val="Standaard"/>
    <w:next w:val="Standaard"/>
    <w:autoRedefine/>
    <w:uiPriority w:val="99"/>
    <w:semiHidden/>
    <w:unhideWhenUsed/>
    <w:rsid w:val="0095390B"/>
    <w:pPr>
      <w:spacing w:line="240" w:lineRule="auto"/>
      <w:ind w:left="1260" w:hanging="180"/>
    </w:pPr>
  </w:style>
  <w:style w:type="paragraph" w:styleId="Index8">
    <w:name w:val="index 8"/>
    <w:basedOn w:val="Standaard"/>
    <w:next w:val="Standaard"/>
    <w:autoRedefine/>
    <w:uiPriority w:val="99"/>
    <w:semiHidden/>
    <w:unhideWhenUsed/>
    <w:rsid w:val="0095390B"/>
    <w:pPr>
      <w:spacing w:line="240" w:lineRule="auto"/>
      <w:ind w:left="1440" w:hanging="180"/>
    </w:pPr>
  </w:style>
  <w:style w:type="paragraph" w:styleId="Index9">
    <w:name w:val="index 9"/>
    <w:basedOn w:val="Standaard"/>
    <w:next w:val="Standaard"/>
    <w:autoRedefine/>
    <w:uiPriority w:val="99"/>
    <w:semiHidden/>
    <w:unhideWhenUsed/>
    <w:rsid w:val="0095390B"/>
    <w:pPr>
      <w:spacing w:line="240" w:lineRule="auto"/>
      <w:ind w:left="1620" w:hanging="180"/>
    </w:pPr>
  </w:style>
  <w:style w:type="paragraph" w:styleId="Indexkop">
    <w:name w:val="index heading"/>
    <w:basedOn w:val="Standaard"/>
    <w:next w:val="Index1"/>
    <w:uiPriority w:val="99"/>
    <w:semiHidden/>
    <w:unhideWhenUsed/>
    <w:rsid w:val="0095390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95390B"/>
    <w:rPr>
      <w:i/>
      <w:iCs/>
      <w:color w:val="67A7C0" w:themeColor="accent1"/>
    </w:rPr>
  </w:style>
  <w:style w:type="paragraph" w:styleId="Duidelijkcitaat">
    <w:name w:val="Intense Quote"/>
    <w:basedOn w:val="Standaard"/>
    <w:next w:val="Standaard"/>
    <w:link w:val="DuidelijkcitaatChar"/>
    <w:uiPriority w:val="30"/>
    <w:qFormat/>
    <w:rsid w:val="0095390B"/>
    <w:pPr>
      <w:pBdr>
        <w:top w:val="single" w:sz="4" w:space="10" w:color="67A7C0" w:themeColor="accent1"/>
        <w:bottom w:val="single" w:sz="4" w:space="10" w:color="67A7C0" w:themeColor="accent1"/>
      </w:pBdr>
      <w:spacing w:before="360" w:after="360"/>
      <w:ind w:left="864" w:right="864"/>
      <w:jc w:val="center"/>
    </w:pPr>
    <w:rPr>
      <w:i/>
      <w:iCs/>
      <w:color w:val="67A7C0" w:themeColor="accent1"/>
    </w:rPr>
  </w:style>
  <w:style w:type="character" w:customStyle="1" w:styleId="DuidelijkcitaatChar">
    <w:name w:val="Duidelijk citaat Char"/>
    <w:basedOn w:val="Standaardalinea-lettertype"/>
    <w:link w:val="Duidelijkcitaat"/>
    <w:uiPriority w:val="30"/>
    <w:rsid w:val="0095390B"/>
    <w:rPr>
      <w:i/>
      <w:iCs/>
      <w:color w:val="67A7C0" w:themeColor="accent1"/>
    </w:rPr>
  </w:style>
  <w:style w:type="character" w:styleId="Intensieveverwijzing">
    <w:name w:val="Intense Reference"/>
    <w:basedOn w:val="Standaardalinea-lettertype"/>
    <w:uiPriority w:val="32"/>
    <w:qFormat/>
    <w:rsid w:val="0095390B"/>
    <w:rPr>
      <w:b/>
      <w:bCs/>
      <w:smallCaps/>
      <w:color w:val="67A7C0" w:themeColor="accent1"/>
      <w:spacing w:val="5"/>
    </w:rPr>
  </w:style>
  <w:style w:type="table" w:styleId="Lichtraster">
    <w:name w:val="Light Grid"/>
    <w:basedOn w:val="Standaardtabel"/>
    <w:uiPriority w:val="62"/>
    <w:semiHidden/>
    <w:unhideWhenUsed/>
    <w:rsid w:val="009539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95390B"/>
    <w:tblPr>
      <w:tblStyleRowBandSize w:val="1"/>
      <w:tblStyleColBandSize w:val="1"/>
      <w:tblBorders>
        <w:top w:val="single" w:sz="8" w:space="0" w:color="67A7C0" w:themeColor="accent1"/>
        <w:left w:val="single" w:sz="8" w:space="0" w:color="67A7C0" w:themeColor="accent1"/>
        <w:bottom w:val="single" w:sz="8" w:space="0" w:color="67A7C0" w:themeColor="accent1"/>
        <w:right w:val="single" w:sz="8" w:space="0" w:color="67A7C0" w:themeColor="accent1"/>
        <w:insideH w:val="single" w:sz="8" w:space="0" w:color="67A7C0" w:themeColor="accent1"/>
        <w:insideV w:val="single" w:sz="8" w:space="0" w:color="67A7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A7C0" w:themeColor="accent1"/>
          <w:left w:val="single" w:sz="8" w:space="0" w:color="67A7C0" w:themeColor="accent1"/>
          <w:bottom w:val="single" w:sz="18" w:space="0" w:color="67A7C0" w:themeColor="accent1"/>
          <w:right w:val="single" w:sz="8" w:space="0" w:color="67A7C0" w:themeColor="accent1"/>
          <w:insideH w:val="nil"/>
          <w:insideV w:val="single" w:sz="8" w:space="0" w:color="67A7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A7C0" w:themeColor="accent1"/>
          <w:left w:val="single" w:sz="8" w:space="0" w:color="67A7C0" w:themeColor="accent1"/>
          <w:bottom w:val="single" w:sz="8" w:space="0" w:color="67A7C0" w:themeColor="accent1"/>
          <w:right w:val="single" w:sz="8" w:space="0" w:color="67A7C0" w:themeColor="accent1"/>
          <w:insideH w:val="nil"/>
          <w:insideV w:val="single" w:sz="8" w:space="0" w:color="67A7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A7C0" w:themeColor="accent1"/>
          <w:left w:val="single" w:sz="8" w:space="0" w:color="67A7C0" w:themeColor="accent1"/>
          <w:bottom w:val="single" w:sz="8" w:space="0" w:color="67A7C0" w:themeColor="accent1"/>
          <w:right w:val="single" w:sz="8" w:space="0" w:color="67A7C0" w:themeColor="accent1"/>
        </w:tcBorders>
      </w:tcPr>
    </w:tblStylePr>
    <w:tblStylePr w:type="band1Vert">
      <w:tblPr/>
      <w:tcPr>
        <w:tcBorders>
          <w:top w:val="single" w:sz="8" w:space="0" w:color="67A7C0" w:themeColor="accent1"/>
          <w:left w:val="single" w:sz="8" w:space="0" w:color="67A7C0" w:themeColor="accent1"/>
          <w:bottom w:val="single" w:sz="8" w:space="0" w:color="67A7C0" w:themeColor="accent1"/>
          <w:right w:val="single" w:sz="8" w:space="0" w:color="67A7C0" w:themeColor="accent1"/>
        </w:tcBorders>
        <w:shd w:val="clear" w:color="auto" w:fill="D9E9EF" w:themeFill="accent1" w:themeFillTint="3F"/>
      </w:tcPr>
    </w:tblStylePr>
    <w:tblStylePr w:type="band1Horz">
      <w:tblPr/>
      <w:tcPr>
        <w:tcBorders>
          <w:top w:val="single" w:sz="8" w:space="0" w:color="67A7C0" w:themeColor="accent1"/>
          <w:left w:val="single" w:sz="8" w:space="0" w:color="67A7C0" w:themeColor="accent1"/>
          <w:bottom w:val="single" w:sz="8" w:space="0" w:color="67A7C0" w:themeColor="accent1"/>
          <w:right w:val="single" w:sz="8" w:space="0" w:color="67A7C0" w:themeColor="accent1"/>
          <w:insideV w:val="single" w:sz="8" w:space="0" w:color="67A7C0" w:themeColor="accent1"/>
        </w:tcBorders>
        <w:shd w:val="clear" w:color="auto" w:fill="D9E9EF" w:themeFill="accent1" w:themeFillTint="3F"/>
      </w:tcPr>
    </w:tblStylePr>
    <w:tblStylePr w:type="band2Horz">
      <w:tblPr/>
      <w:tcPr>
        <w:tcBorders>
          <w:top w:val="single" w:sz="8" w:space="0" w:color="67A7C0" w:themeColor="accent1"/>
          <w:left w:val="single" w:sz="8" w:space="0" w:color="67A7C0" w:themeColor="accent1"/>
          <w:bottom w:val="single" w:sz="8" w:space="0" w:color="67A7C0" w:themeColor="accent1"/>
          <w:right w:val="single" w:sz="8" w:space="0" w:color="67A7C0" w:themeColor="accent1"/>
          <w:insideV w:val="single" w:sz="8" w:space="0" w:color="67A7C0" w:themeColor="accent1"/>
        </w:tcBorders>
      </w:tcPr>
    </w:tblStylePr>
  </w:style>
  <w:style w:type="table" w:styleId="Lichtraster-accent2">
    <w:name w:val="Light Grid Accent 2"/>
    <w:basedOn w:val="Standaardtabel"/>
    <w:uiPriority w:val="62"/>
    <w:semiHidden/>
    <w:unhideWhenUsed/>
    <w:rsid w:val="0095390B"/>
    <w:tblPr>
      <w:tblStyleRowBandSize w:val="1"/>
      <w:tblStyleColBandSize w:val="1"/>
      <w:tblBorders>
        <w:top w:val="single" w:sz="8" w:space="0" w:color="842177" w:themeColor="accent2"/>
        <w:left w:val="single" w:sz="8" w:space="0" w:color="842177" w:themeColor="accent2"/>
        <w:bottom w:val="single" w:sz="8" w:space="0" w:color="842177" w:themeColor="accent2"/>
        <w:right w:val="single" w:sz="8" w:space="0" w:color="842177" w:themeColor="accent2"/>
        <w:insideH w:val="single" w:sz="8" w:space="0" w:color="842177" w:themeColor="accent2"/>
        <w:insideV w:val="single" w:sz="8" w:space="0" w:color="8421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2177" w:themeColor="accent2"/>
          <w:left w:val="single" w:sz="8" w:space="0" w:color="842177" w:themeColor="accent2"/>
          <w:bottom w:val="single" w:sz="18" w:space="0" w:color="842177" w:themeColor="accent2"/>
          <w:right w:val="single" w:sz="8" w:space="0" w:color="842177" w:themeColor="accent2"/>
          <w:insideH w:val="nil"/>
          <w:insideV w:val="single" w:sz="8" w:space="0" w:color="8421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2177" w:themeColor="accent2"/>
          <w:left w:val="single" w:sz="8" w:space="0" w:color="842177" w:themeColor="accent2"/>
          <w:bottom w:val="single" w:sz="8" w:space="0" w:color="842177" w:themeColor="accent2"/>
          <w:right w:val="single" w:sz="8" w:space="0" w:color="842177" w:themeColor="accent2"/>
          <w:insideH w:val="nil"/>
          <w:insideV w:val="single" w:sz="8" w:space="0" w:color="8421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2177" w:themeColor="accent2"/>
          <w:left w:val="single" w:sz="8" w:space="0" w:color="842177" w:themeColor="accent2"/>
          <w:bottom w:val="single" w:sz="8" w:space="0" w:color="842177" w:themeColor="accent2"/>
          <w:right w:val="single" w:sz="8" w:space="0" w:color="842177" w:themeColor="accent2"/>
        </w:tcBorders>
      </w:tcPr>
    </w:tblStylePr>
    <w:tblStylePr w:type="band1Vert">
      <w:tblPr/>
      <w:tcPr>
        <w:tcBorders>
          <w:top w:val="single" w:sz="8" w:space="0" w:color="842177" w:themeColor="accent2"/>
          <w:left w:val="single" w:sz="8" w:space="0" w:color="842177" w:themeColor="accent2"/>
          <w:bottom w:val="single" w:sz="8" w:space="0" w:color="842177" w:themeColor="accent2"/>
          <w:right w:val="single" w:sz="8" w:space="0" w:color="842177" w:themeColor="accent2"/>
        </w:tcBorders>
        <w:shd w:val="clear" w:color="auto" w:fill="EEBAE7" w:themeFill="accent2" w:themeFillTint="3F"/>
      </w:tcPr>
    </w:tblStylePr>
    <w:tblStylePr w:type="band1Horz">
      <w:tblPr/>
      <w:tcPr>
        <w:tcBorders>
          <w:top w:val="single" w:sz="8" w:space="0" w:color="842177" w:themeColor="accent2"/>
          <w:left w:val="single" w:sz="8" w:space="0" w:color="842177" w:themeColor="accent2"/>
          <w:bottom w:val="single" w:sz="8" w:space="0" w:color="842177" w:themeColor="accent2"/>
          <w:right w:val="single" w:sz="8" w:space="0" w:color="842177" w:themeColor="accent2"/>
          <w:insideV w:val="single" w:sz="8" w:space="0" w:color="842177" w:themeColor="accent2"/>
        </w:tcBorders>
        <w:shd w:val="clear" w:color="auto" w:fill="EEBAE7" w:themeFill="accent2" w:themeFillTint="3F"/>
      </w:tcPr>
    </w:tblStylePr>
    <w:tblStylePr w:type="band2Horz">
      <w:tblPr/>
      <w:tcPr>
        <w:tcBorders>
          <w:top w:val="single" w:sz="8" w:space="0" w:color="842177" w:themeColor="accent2"/>
          <w:left w:val="single" w:sz="8" w:space="0" w:color="842177" w:themeColor="accent2"/>
          <w:bottom w:val="single" w:sz="8" w:space="0" w:color="842177" w:themeColor="accent2"/>
          <w:right w:val="single" w:sz="8" w:space="0" w:color="842177" w:themeColor="accent2"/>
          <w:insideV w:val="single" w:sz="8" w:space="0" w:color="842177" w:themeColor="accent2"/>
        </w:tcBorders>
      </w:tcPr>
    </w:tblStylePr>
  </w:style>
  <w:style w:type="table" w:styleId="Lichtraster-accent3">
    <w:name w:val="Light Grid Accent 3"/>
    <w:basedOn w:val="Standaardtabel"/>
    <w:uiPriority w:val="62"/>
    <w:semiHidden/>
    <w:unhideWhenUsed/>
    <w:rsid w:val="0095390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95390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95390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95390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95390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95390B"/>
    <w:tblPr>
      <w:tblStyleRowBandSize w:val="1"/>
      <w:tblStyleColBandSize w:val="1"/>
      <w:tblBorders>
        <w:top w:val="single" w:sz="8" w:space="0" w:color="67A7C0" w:themeColor="accent1"/>
        <w:left w:val="single" w:sz="8" w:space="0" w:color="67A7C0" w:themeColor="accent1"/>
        <w:bottom w:val="single" w:sz="8" w:space="0" w:color="67A7C0" w:themeColor="accent1"/>
        <w:right w:val="single" w:sz="8" w:space="0" w:color="67A7C0" w:themeColor="accent1"/>
      </w:tblBorders>
    </w:tblPr>
    <w:tblStylePr w:type="firstRow">
      <w:pPr>
        <w:spacing w:before="0" w:after="0" w:line="240" w:lineRule="auto"/>
      </w:pPr>
      <w:rPr>
        <w:b/>
        <w:bCs/>
        <w:color w:val="FFFFFF" w:themeColor="background1"/>
      </w:rPr>
      <w:tblPr/>
      <w:tcPr>
        <w:shd w:val="clear" w:color="auto" w:fill="67A7C0" w:themeFill="accent1"/>
      </w:tcPr>
    </w:tblStylePr>
    <w:tblStylePr w:type="lastRow">
      <w:pPr>
        <w:spacing w:before="0" w:after="0" w:line="240" w:lineRule="auto"/>
      </w:pPr>
      <w:rPr>
        <w:b/>
        <w:bCs/>
      </w:rPr>
      <w:tblPr/>
      <w:tcPr>
        <w:tcBorders>
          <w:top w:val="double" w:sz="6" w:space="0" w:color="67A7C0" w:themeColor="accent1"/>
          <w:left w:val="single" w:sz="8" w:space="0" w:color="67A7C0" w:themeColor="accent1"/>
          <w:bottom w:val="single" w:sz="8" w:space="0" w:color="67A7C0" w:themeColor="accent1"/>
          <w:right w:val="single" w:sz="8" w:space="0" w:color="67A7C0" w:themeColor="accent1"/>
        </w:tcBorders>
      </w:tcPr>
    </w:tblStylePr>
    <w:tblStylePr w:type="firstCol">
      <w:rPr>
        <w:b/>
        <w:bCs/>
      </w:rPr>
    </w:tblStylePr>
    <w:tblStylePr w:type="lastCol">
      <w:rPr>
        <w:b/>
        <w:bCs/>
      </w:rPr>
    </w:tblStylePr>
    <w:tblStylePr w:type="band1Vert">
      <w:tblPr/>
      <w:tcPr>
        <w:tcBorders>
          <w:top w:val="single" w:sz="8" w:space="0" w:color="67A7C0" w:themeColor="accent1"/>
          <w:left w:val="single" w:sz="8" w:space="0" w:color="67A7C0" w:themeColor="accent1"/>
          <w:bottom w:val="single" w:sz="8" w:space="0" w:color="67A7C0" w:themeColor="accent1"/>
          <w:right w:val="single" w:sz="8" w:space="0" w:color="67A7C0" w:themeColor="accent1"/>
        </w:tcBorders>
      </w:tcPr>
    </w:tblStylePr>
    <w:tblStylePr w:type="band1Horz">
      <w:tblPr/>
      <w:tcPr>
        <w:tcBorders>
          <w:top w:val="single" w:sz="8" w:space="0" w:color="67A7C0" w:themeColor="accent1"/>
          <w:left w:val="single" w:sz="8" w:space="0" w:color="67A7C0" w:themeColor="accent1"/>
          <w:bottom w:val="single" w:sz="8" w:space="0" w:color="67A7C0" w:themeColor="accent1"/>
          <w:right w:val="single" w:sz="8" w:space="0" w:color="67A7C0" w:themeColor="accent1"/>
        </w:tcBorders>
      </w:tcPr>
    </w:tblStylePr>
  </w:style>
  <w:style w:type="table" w:styleId="Lichtelijst-accent2">
    <w:name w:val="Light List Accent 2"/>
    <w:basedOn w:val="Standaardtabel"/>
    <w:uiPriority w:val="61"/>
    <w:semiHidden/>
    <w:unhideWhenUsed/>
    <w:rsid w:val="0095390B"/>
    <w:tblPr>
      <w:tblStyleRowBandSize w:val="1"/>
      <w:tblStyleColBandSize w:val="1"/>
      <w:tblBorders>
        <w:top w:val="single" w:sz="8" w:space="0" w:color="842177" w:themeColor="accent2"/>
        <w:left w:val="single" w:sz="8" w:space="0" w:color="842177" w:themeColor="accent2"/>
        <w:bottom w:val="single" w:sz="8" w:space="0" w:color="842177" w:themeColor="accent2"/>
        <w:right w:val="single" w:sz="8" w:space="0" w:color="842177" w:themeColor="accent2"/>
      </w:tblBorders>
    </w:tblPr>
    <w:tblStylePr w:type="firstRow">
      <w:pPr>
        <w:spacing w:before="0" w:after="0" w:line="240" w:lineRule="auto"/>
      </w:pPr>
      <w:rPr>
        <w:b/>
        <w:bCs/>
        <w:color w:val="FFFFFF" w:themeColor="background1"/>
      </w:rPr>
      <w:tblPr/>
      <w:tcPr>
        <w:shd w:val="clear" w:color="auto" w:fill="842177" w:themeFill="accent2"/>
      </w:tcPr>
    </w:tblStylePr>
    <w:tblStylePr w:type="lastRow">
      <w:pPr>
        <w:spacing w:before="0" w:after="0" w:line="240" w:lineRule="auto"/>
      </w:pPr>
      <w:rPr>
        <w:b/>
        <w:bCs/>
      </w:rPr>
      <w:tblPr/>
      <w:tcPr>
        <w:tcBorders>
          <w:top w:val="double" w:sz="6" w:space="0" w:color="842177" w:themeColor="accent2"/>
          <w:left w:val="single" w:sz="8" w:space="0" w:color="842177" w:themeColor="accent2"/>
          <w:bottom w:val="single" w:sz="8" w:space="0" w:color="842177" w:themeColor="accent2"/>
          <w:right w:val="single" w:sz="8" w:space="0" w:color="842177" w:themeColor="accent2"/>
        </w:tcBorders>
      </w:tcPr>
    </w:tblStylePr>
    <w:tblStylePr w:type="firstCol">
      <w:rPr>
        <w:b/>
        <w:bCs/>
      </w:rPr>
    </w:tblStylePr>
    <w:tblStylePr w:type="lastCol">
      <w:rPr>
        <w:b/>
        <w:bCs/>
      </w:rPr>
    </w:tblStylePr>
    <w:tblStylePr w:type="band1Vert">
      <w:tblPr/>
      <w:tcPr>
        <w:tcBorders>
          <w:top w:val="single" w:sz="8" w:space="0" w:color="842177" w:themeColor="accent2"/>
          <w:left w:val="single" w:sz="8" w:space="0" w:color="842177" w:themeColor="accent2"/>
          <w:bottom w:val="single" w:sz="8" w:space="0" w:color="842177" w:themeColor="accent2"/>
          <w:right w:val="single" w:sz="8" w:space="0" w:color="842177" w:themeColor="accent2"/>
        </w:tcBorders>
      </w:tcPr>
    </w:tblStylePr>
    <w:tblStylePr w:type="band1Horz">
      <w:tblPr/>
      <w:tcPr>
        <w:tcBorders>
          <w:top w:val="single" w:sz="8" w:space="0" w:color="842177" w:themeColor="accent2"/>
          <w:left w:val="single" w:sz="8" w:space="0" w:color="842177" w:themeColor="accent2"/>
          <w:bottom w:val="single" w:sz="8" w:space="0" w:color="842177" w:themeColor="accent2"/>
          <w:right w:val="single" w:sz="8" w:space="0" w:color="842177" w:themeColor="accent2"/>
        </w:tcBorders>
      </w:tcPr>
    </w:tblStylePr>
  </w:style>
  <w:style w:type="table" w:styleId="Lichtelijst-accent3">
    <w:name w:val="Light List Accent 3"/>
    <w:basedOn w:val="Standaardtabel"/>
    <w:uiPriority w:val="61"/>
    <w:semiHidden/>
    <w:unhideWhenUsed/>
    <w:rsid w:val="0095390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95390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95390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95390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95390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95390B"/>
    <w:rPr>
      <w:color w:val="40829B" w:themeColor="accent1" w:themeShade="BF"/>
    </w:rPr>
    <w:tblPr>
      <w:tblStyleRowBandSize w:val="1"/>
      <w:tblStyleColBandSize w:val="1"/>
      <w:tblBorders>
        <w:top w:val="single" w:sz="8" w:space="0" w:color="67A7C0" w:themeColor="accent1"/>
        <w:bottom w:val="single" w:sz="8" w:space="0" w:color="67A7C0" w:themeColor="accent1"/>
      </w:tblBorders>
    </w:tblPr>
    <w:tblStylePr w:type="firstRow">
      <w:pPr>
        <w:spacing w:before="0" w:after="0" w:line="240" w:lineRule="auto"/>
      </w:pPr>
      <w:rPr>
        <w:b/>
        <w:bCs/>
      </w:rPr>
      <w:tblPr/>
      <w:tcPr>
        <w:tcBorders>
          <w:top w:val="single" w:sz="8" w:space="0" w:color="67A7C0" w:themeColor="accent1"/>
          <w:left w:val="nil"/>
          <w:bottom w:val="single" w:sz="8" w:space="0" w:color="67A7C0" w:themeColor="accent1"/>
          <w:right w:val="nil"/>
          <w:insideH w:val="nil"/>
          <w:insideV w:val="nil"/>
        </w:tcBorders>
      </w:tcPr>
    </w:tblStylePr>
    <w:tblStylePr w:type="lastRow">
      <w:pPr>
        <w:spacing w:before="0" w:after="0" w:line="240" w:lineRule="auto"/>
      </w:pPr>
      <w:rPr>
        <w:b/>
        <w:bCs/>
      </w:rPr>
      <w:tblPr/>
      <w:tcPr>
        <w:tcBorders>
          <w:top w:val="single" w:sz="8" w:space="0" w:color="67A7C0" w:themeColor="accent1"/>
          <w:left w:val="nil"/>
          <w:bottom w:val="single" w:sz="8" w:space="0" w:color="67A7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EF" w:themeFill="accent1" w:themeFillTint="3F"/>
      </w:tcPr>
    </w:tblStylePr>
    <w:tblStylePr w:type="band1Horz">
      <w:tblPr/>
      <w:tcPr>
        <w:tcBorders>
          <w:left w:val="nil"/>
          <w:right w:val="nil"/>
          <w:insideH w:val="nil"/>
          <w:insideV w:val="nil"/>
        </w:tcBorders>
        <w:shd w:val="clear" w:color="auto" w:fill="D9E9EF" w:themeFill="accent1" w:themeFillTint="3F"/>
      </w:tcPr>
    </w:tblStylePr>
  </w:style>
  <w:style w:type="table" w:styleId="Lichtearcering-accent2">
    <w:name w:val="Light Shading Accent 2"/>
    <w:basedOn w:val="Standaardtabel"/>
    <w:uiPriority w:val="60"/>
    <w:semiHidden/>
    <w:unhideWhenUsed/>
    <w:rsid w:val="0095390B"/>
    <w:rPr>
      <w:color w:val="621858" w:themeColor="accent2" w:themeShade="BF"/>
    </w:rPr>
    <w:tblPr>
      <w:tblStyleRowBandSize w:val="1"/>
      <w:tblStyleColBandSize w:val="1"/>
      <w:tblBorders>
        <w:top w:val="single" w:sz="8" w:space="0" w:color="842177" w:themeColor="accent2"/>
        <w:bottom w:val="single" w:sz="8" w:space="0" w:color="842177" w:themeColor="accent2"/>
      </w:tblBorders>
    </w:tblPr>
    <w:tblStylePr w:type="firstRow">
      <w:pPr>
        <w:spacing w:before="0" w:after="0" w:line="240" w:lineRule="auto"/>
      </w:pPr>
      <w:rPr>
        <w:b/>
        <w:bCs/>
      </w:rPr>
      <w:tblPr/>
      <w:tcPr>
        <w:tcBorders>
          <w:top w:val="single" w:sz="8" w:space="0" w:color="842177" w:themeColor="accent2"/>
          <w:left w:val="nil"/>
          <w:bottom w:val="single" w:sz="8" w:space="0" w:color="842177" w:themeColor="accent2"/>
          <w:right w:val="nil"/>
          <w:insideH w:val="nil"/>
          <w:insideV w:val="nil"/>
        </w:tcBorders>
      </w:tcPr>
    </w:tblStylePr>
    <w:tblStylePr w:type="lastRow">
      <w:pPr>
        <w:spacing w:before="0" w:after="0" w:line="240" w:lineRule="auto"/>
      </w:pPr>
      <w:rPr>
        <w:b/>
        <w:bCs/>
      </w:rPr>
      <w:tblPr/>
      <w:tcPr>
        <w:tcBorders>
          <w:top w:val="single" w:sz="8" w:space="0" w:color="842177" w:themeColor="accent2"/>
          <w:left w:val="nil"/>
          <w:bottom w:val="single" w:sz="8" w:space="0" w:color="8421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AE7" w:themeFill="accent2" w:themeFillTint="3F"/>
      </w:tcPr>
    </w:tblStylePr>
    <w:tblStylePr w:type="band1Horz">
      <w:tblPr/>
      <w:tcPr>
        <w:tcBorders>
          <w:left w:val="nil"/>
          <w:right w:val="nil"/>
          <w:insideH w:val="nil"/>
          <w:insideV w:val="nil"/>
        </w:tcBorders>
        <w:shd w:val="clear" w:color="auto" w:fill="EEBAE7" w:themeFill="accent2" w:themeFillTint="3F"/>
      </w:tcPr>
    </w:tblStylePr>
  </w:style>
  <w:style w:type="table" w:styleId="Lichtearcering-accent3">
    <w:name w:val="Light Shading Accent 3"/>
    <w:basedOn w:val="Standaardtabel"/>
    <w:uiPriority w:val="60"/>
    <w:semiHidden/>
    <w:unhideWhenUsed/>
    <w:rsid w:val="0095390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95390B"/>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95390B"/>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95390B"/>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95390B"/>
  </w:style>
  <w:style w:type="paragraph" w:styleId="Lijst">
    <w:name w:val="List"/>
    <w:basedOn w:val="Standaard"/>
    <w:uiPriority w:val="99"/>
    <w:semiHidden/>
    <w:unhideWhenUsed/>
    <w:rsid w:val="0095390B"/>
    <w:pPr>
      <w:ind w:left="283" w:hanging="283"/>
      <w:contextualSpacing/>
    </w:pPr>
  </w:style>
  <w:style w:type="paragraph" w:styleId="Lijst2">
    <w:name w:val="List 2"/>
    <w:basedOn w:val="Standaard"/>
    <w:uiPriority w:val="99"/>
    <w:semiHidden/>
    <w:unhideWhenUsed/>
    <w:rsid w:val="0095390B"/>
    <w:pPr>
      <w:ind w:left="566" w:hanging="283"/>
      <w:contextualSpacing/>
    </w:pPr>
  </w:style>
  <w:style w:type="paragraph" w:styleId="Lijst3">
    <w:name w:val="List 3"/>
    <w:basedOn w:val="Standaard"/>
    <w:uiPriority w:val="99"/>
    <w:semiHidden/>
    <w:unhideWhenUsed/>
    <w:rsid w:val="0095390B"/>
    <w:pPr>
      <w:ind w:left="849" w:hanging="283"/>
      <w:contextualSpacing/>
    </w:pPr>
  </w:style>
  <w:style w:type="paragraph" w:styleId="Lijst4">
    <w:name w:val="List 4"/>
    <w:basedOn w:val="Standaard"/>
    <w:uiPriority w:val="99"/>
    <w:semiHidden/>
    <w:unhideWhenUsed/>
    <w:rsid w:val="0095390B"/>
    <w:pPr>
      <w:ind w:left="1132" w:hanging="283"/>
      <w:contextualSpacing/>
    </w:pPr>
  </w:style>
  <w:style w:type="paragraph" w:styleId="Lijst5">
    <w:name w:val="List 5"/>
    <w:basedOn w:val="Standaard"/>
    <w:uiPriority w:val="99"/>
    <w:semiHidden/>
    <w:unhideWhenUsed/>
    <w:rsid w:val="0095390B"/>
    <w:pPr>
      <w:ind w:left="1415" w:hanging="283"/>
      <w:contextualSpacing/>
    </w:pPr>
  </w:style>
  <w:style w:type="paragraph" w:styleId="Lijstopsomteken">
    <w:name w:val="List Bullet"/>
    <w:basedOn w:val="Standaard"/>
    <w:uiPriority w:val="99"/>
    <w:semiHidden/>
    <w:unhideWhenUsed/>
    <w:rsid w:val="0095390B"/>
    <w:pPr>
      <w:numPr>
        <w:numId w:val="28"/>
      </w:numPr>
      <w:contextualSpacing/>
    </w:pPr>
  </w:style>
  <w:style w:type="paragraph" w:styleId="Lijstopsomteken2">
    <w:name w:val="List Bullet 2"/>
    <w:basedOn w:val="Standaard"/>
    <w:uiPriority w:val="99"/>
    <w:semiHidden/>
    <w:unhideWhenUsed/>
    <w:rsid w:val="0095390B"/>
    <w:pPr>
      <w:numPr>
        <w:numId w:val="29"/>
      </w:numPr>
      <w:contextualSpacing/>
    </w:pPr>
  </w:style>
  <w:style w:type="paragraph" w:styleId="Lijstopsomteken3">
    <w:name w:val="List Bullet 3"/>
    <w:basedOn w:val="Standaard"/>
    <w:uiPriority w:val="99"/>
    <w:semiHidden/>
    <w:unhideWhenUsed/>
    <w:rsid w:val="0095390B"/>
    <w:pPr>
      <w:numPr>
        <w:numId w:val="30"/>
      </w:numPr>
      <w:contextualSpacing/>
    </w:pPr>
  </w:style>
  <w:style w:type="paragraph" w:styleId="Lijstopsomteken4">
    <w:name w:val="List Bullet 4"/>
    <w:basedOn w:val="Standaard"/>
    <w:uiPriority w:val="99"/>
    <w:semiHidden/>
    <w:unhideWhenUsed/>
    <w:rsid w:val="0095390B"/>
    <w:pPr>
      <w:numPr>
        <w:numId w:val="31"/>
      </w:numPr>
      <w:contextualSpacing/>
    </w:pPr>
  </w:style>
  <w:style w:type="paragraph" w:styleId="Lijstopsomteken5">
    <w:name w:val="List Bullet 5"/>
    <w:basedOn w:val="Standaard"/>
    <w:uiPriority w:val="99"/>
    <w:semiHidden/>
    <w:unhideWhenUsed/>
    <w:rsid w:val="0095390B"/>
    <w:pPr>
      <w:numPr>
        <w:numId w:val="32"/>
      </w:numPr>
      <w:contextualSpacing/>
    </w:pPr>
  </w:style>
  <w:style w:type="paragraph" w:styleId="Lijstvoortzetting">
    <w:name w:val="List Continue"/>
    <w:basedOn w:val="Standaard"/>
    <w:uiPriority w:val="99"/>
    <w:semiHidden/>
    <w:unhideWhenUsed/>
    <w:rsid w:val="0095390B"/>
    <w:pPr>
      <w:spacing w:after="120"/>
      <w:ind w:left="283"/>
      <w:contextualSpacing/>
    </w:pPr>
  </w:style>
  <w:style w:type="paragraph" w:styleId="Lijstvoortzetting2">
    <w:name w:val="List Continue 2"/>
    <w:basedOn w:val="Standaard"/>
    <w:uiPriority w:val="99"/>
    <w:semiHidden/>
    <w:unhideWhenUsed/>
    <w:rsid w:val="0095390B"/>
    <w:pPr>
      <w:spacing w:after="120"/>
      <w:ind w:left="566"/>
      <w:contextualSpacing/>
    </w:pPr>
  </w:style>
  <w:style w:type="paragraph" w:styleId="Lijstvoortzetting3">
    <w:name w:val="List Continue 3"/>
    <w:basedOn w:val="Standaard"/>
    <w:uiPriority w:val="99"/>
    <w:semiHidden/>
    <w:unhideWhenUsed/>
    <w:rsid w:val="0095390B"/>
    <w:pPr>
      <w:spacing w:after="120"/>
      <w:ind w:left="849"/>
      <w:contextualSpacing/>
    </w:pPr>
  </w:style>
  <w:style w:type="paragraph" w:styleId="Lijstvoortzetting4">
    <w:name w:val="List Continue 4"/>
    <w:basedOn w:val="Standaard"/>
    <w:uiPriority w:val="99"/>
    <w:semiHidden/>
    <w:unhideWhenUsed/>
    <w:rsid w:val="0095390B"/>
    <w:pPr>
      <w:spacing w:after="120"/>
      <w:ind w:left="1132"/>
      <w:contextualSpacing/>
    </w:pPr>
  </w:style>
  <w:style w:type="paragraph" w:styleId="Lijstvoortzetting5">
    <w:name w:val="List Continue 5"/>
    <w:basedOn w:val="Standaard"/>
    <w:uiPriority w:val="99"/>
    <w:semiHidden/>
    <w:unhideWhenUsed/>
    <w:rsid w:val="0095390B"/>
    <w:pPr>
      <w:spacing w:after="120"/>
      <w:ind w:left="1415"/>
      <w:contextualSpacing/>
    </w:pPr>
  </w:style>
  <w:style w:type="paragraph" w:styleId="Lijstnummering">
    <w:name w:val="List Number"/>
    <w:basedOn w:val="Standaard"/>
    <w:uiPriority w:val="99"/>
    <w:semiHidden/>
    <w:unhideWhenUsed/>
    <w:rsid w:val="0095390B"/>
    <w:pPr>
      <w:numPr>
        <w:numId w:val="33"/>
      </w:numPr>
      <w:contextualSpacing/>
    </w:pPr>
  </w:style>
  <w:style w:type="paragraph" w:styleId="Lijstnummering2">
    <w:name w:val="List Number 2"/>
    <w:basedOn w:val="Standaard"/>
    <w:uiPriority w:val="99"/>
    <w:semiHidden/>
    <w:unhideWhenUsed/>
    <w:rsid w:val="0095390B"/>
    <w:pPr>
      <w:numPr>
        <w:numId w:val="34"/>
      </w:numPr>
      <w:contextualSpacing/>
    </w:pPr>
  </w:style>
  <w:style w:type="paragraph" w:styleId="Lijstnummering3">
    <w:name w:val="List Number 3"/>
    <w:basedOn w:val="Standaard"/>
    <w:uiPriority w:val="99"/>
    <w:semiHidden/>
    <w:unhideWhenUsed/>
    <w:rsid w:val="0095390B"/>
    <w:pPr>
      <w:numPr>
        <w:numId w:val="35"/>
      </w:numPr>
      <w:contextualSpacing/>
    </w:pPr>
  </w:style>
  <w:style w:type="paragraph" w:styleId="Lijstnummering4">
    <w:name w:val="List Number 4"/>
    <w:basedOn w:val="Standaard"/>
    <w:uiPriority w:val="99"/>
    <w:semiHidden/>
    <w:unhideWhenUsed/>
    <w:rsid w:val="0095390B"/>
    <w:pPr>
      <w:numPr>
        <w:numId w:val="36"/>
      </w:numPr>
      <w:contextualSpacing/>
    </w:pPr>
  </w:style>
  <w:style w:type="paragraph" w:styleId="Lijstnummering5">
    <w:name w:val="List Number 5"/>
    <w:basedOn w:val="Standaard"/>
    <w:uiPriority w:val="99"/>
    <w:semiHidden/>
    <w:unhideWhenUsed/>
    <w:rsid w:val="0095390B"/>
    <w:pPr>
      <w:numPr>
        <w:numId w:val="37"/>
      </w:numPr>
      <w:contextualSpacing/>
    </w:pPr>
  </w:style>
  <w:style w:type="table" w:styleId="Lijsttabel1licht">
    <w:name w:val="List Table 1 Light"/>
    <w:basedOn w:val="Standaardtabel"/>
    <w:uiPriority w:val="46"/>
    <w:rsid w:val="0095390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95390B"/>
    <w:tblPr>
      <w:tblStyleRowBandSize w:val="1"/>
      <w:tblStyleColBandSize w:val="1"/>
    </w:tblPr>
    <w:tblStylePr w:type="firstRow">
      <w:rPr>
        <w:b/>
        <w:bCs/>
      </w:rPr>
      <w:tblPr/>
      <w:tcPr>
        <w:tcBorders>
          <w:bottom w:val="single" w:sz="4" w:space="0" w:color="A3CAD9" w:themeColor="accent1" w:themeTint="99"/>
        </w:tcBorders>
      </w:tcPr>
    </w:tblStylePr>
    <w:tblStylePr w:type="lastRow">
      <w:rPr>
        <w:b/>
        <w:bCs/>
      </w:rPr>
      <w:tblPr/>
      <w:tcPr>
        <w:tcBorders>
          <w:top w:val="single" w:sz="4" w:space="0" w:color="A3CAD9" w:themeColor="accent1" w:themeTint="99"/>
        </w:tcBorders>
      </w:tcPr>
    </w:tblStylePr>
    <w:tblStylePr w:type="firstCol">
      <w:rPr>
        <w:b/>
        <w:bCs/>
      </w:rPr>
    </w:tblStylePr>
    <w:tblStylePr w:type="lastCol">
      <w:rPr>
        <w:b/>
        <w:bCs/>
      </w:rPr>
    </w:tblStylePr>
    <w:tblStylePr w:type="band1Vert">
      <w:tblPr/>
      <w:tcPr>
        <w:shd w:val="clear" w:color="auto" w:fill="E0EDF2" w:themeFill="accent1" w:themeFillTint="33"/>
      </w:tcPr>
    </w:tblStylePr>
    <w:tblStylePr w:type="band1Horz">
      <w:tblPr/>
      <w:tcPr>
        <w:shd w:val="clear" w:color="auto" w:fill="E0EDF2" w:themeFill="accent1" w:themeFillTint="33"/>
      </w:tcPr>
    </w:tblStylePr>
  </w:style>
  <w:style w:type="table" w:styleId="Lijsttabel1licht-Accent2">
    <w:name w:val="List Table 1 Light Accent 2"/>
    <w:basedOn w:val="Standaardtabel"/>
    <w:uiPriority w:val="46"/>
    <w:rsid w:val="0095390B"/>
    <w:tblPr>
      <w:tblStyleRowBandSize w:val="1"/>
      <w:tblStyleColBandSize w:val="1"/>
    </w:tblPr>
    <w:tblStylePr w:type="firstRow">
      <w:rPr>
        <w:b/>
        <w:bCs/>
      </w:rPr>
      <w:tblPr/>
      <w:tcPr>
        <w:tcBorders>
          <w:bottom w:val="single" w:sz="4" w:space="0" w:color="D559C5" w:themeColor="accent2" w:themeTint="99"/>
        </w:tcBorders>
      </w:tcPr>
    </w:tblStylePr>
    <w:tblStylePr w:type="lastRow">
      <w:rPr>
        <w:b/>
        <w:bCs/>
      </w:rPr>
      <w:tblPr/>
      <w:tcPr>
        <w:tcBorders>
          <w:top w:val="single" w:sz="4" w:space="0" w:color="D559C5" w:themeColor="accent2" w:themeTint="99"/>
        </w:tcBorders>
      </w:tcPr>
    </w:tblStylePr>
    <w:tblStylePr w:type="firstCol">
      <w:rPr>
        <w:b/>
        <w:bCs/>
      </w:rPr>
    </w:tblStylePr>
    <w:tblStylePr w:type="lastCol">
      <w:rPr>
        <w:b/>
        <w:bCs/>
      </w:rPr>
    </w:tblStylePr>
    <w:tblStylePr w:type="band1Vert">
      <w:tblPr/>
      <w:tcPr>
        <w:shd w:val="clear" w:color="auto" w:fill="F1C7EB" w:themeFill="accent2" w:themeFillTint="33"/>
      </w:tcPr>
    </w:tblStylePr>
    <w:tblStylePr w:type="band1Horz">
      <w:tblPr/>
      <w:tcPr>
        <w:shd w:val="clear" w:color="auto" w:fill="F1C7EB" w:themeFill="accent2" w:themeFillTint="33"/>
      </w:tcPr>
    </w:tblStylePr>
  </w:style>
  <w:style w:type="table" w:styleId="Lijsttabel1licht-Accent3">
    <w:name w:val="List Table 1 Light Accent 3"/>
    <w:basedOn w:val="Standaardtabel"/>
    <w:uiPriority w:val="46"/>
    <w:rsid w:val="0095390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95390B"/>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95390B"/>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6">
    <w:name w:val="List Table 1 Light Accent 6"/>
    <w:basedOn w:val="Standaardtabel"/>
    <w:uiPriority w:val="46"/>
    <w:rsid w:val="0095390B"/>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95390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95390B"/>
    <w:tblPr>
      <w:tblStyleRowBandSize w:val="1"/>
      <w:tblStyleColBandSize w:val="1"/>
      <w:tblBorders>
        <w:top w:val="single" w:sz="4" w:space="0" w:color="A3CAD9" w:themeColor="accent1" w:themeTint="99"/>
        <w:bottom w:val="single" w:sz="4" w:space="0" w:color="A3CAD9" w:themeColor="accent1" w:themeTint="99"/>
        <w:insideH w:val="single" w:sz="4" w:space="0" w:color="A3CAD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2" w:themeFill="accent1" w:themeFillTint="33"/>
      </w:tcPr>
    </w:tblStylePr>
    <w:tblStylePr w:type="band1Horz">
      <w:tblPr/>
      <w:tcPr>
        <w:shd w:val="clear" w:color="auto" w:fill="E0EDF2" w:themeFill="accent1" w:themeFillTint="33"/>
      </w:tcPr>
    </w:tblStylePr>
  </w:style>
  <w:style w:type="table" w:styleId="Lijsttabel2-Accent2">
    <w:name w:val="List Table 2 Accent 2"/>
    <w:basedOn w:val="Standaardtabel"/>
    <w:uiPriority w:val="47"/>
    <w:rsid w:val="0095390B"/>
    <w:tblPr>
      <w:tblStyleRowBandSize w:val="1"/>
      <w:tblStyleColBandSize w:val="1"/>
      <w:tblBorders>
        <w:top w:val="single" w:sz="4" w:space="0" w:color="D559C5" w:themeColor="accent2" w:themeTint="99"/>
        <w:bottom w:val="single" w:sz="4" w:space="0" w:color="D559C5" w:themeColor="accent2" w:themeTint="99"/>
        <w:insideH w:val="single" w:sz="4" w:space="0" w:color="D559C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7EB" w:themeFill="accent2" w:themeFillTint="33"/>
      </w:tcPr>
    </w:tblStylePr>
    <w:tblStylePr w:type="band1Horz">
      <w:tblPr/>
      <w:tcPr>
        <w:shd w:val="clear" w:color="auto" w:fill="F1C7EB" w:themeFill="accent2" w:themeFillTint="33"/>
      </w:tcPr>
    </w:tblStylePr>
  </w:style>
  <w:style w:type="table" w:styleId="Lijsttabel2-Accent3">
    <w:name w:val="List Table 2 Accent 3"/>
    <w:basedOn w:val="Standaardtabel"/>
    <w:uiPriority w:val="47"/>
    <w:rsid w:val="0095390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95390B"/>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95390B"/>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2-Accent6">
    <w:name w:val="List Table 2 Accent 6"/>
    <w:basedOn w:val="Standaardtabel"/>
    <w:uiPriority w:val="47"/>
    <w:rsid w:val="0095390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95390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2">
    <w:name w:val="List Table 3 Accent 2"/>
    <w:basedOn w:val="Standaardtabel"/>
    <w:uiPriority w:val="48"/>
    <w:rsid w:val="0095390B"/>
    <w:tblPr>
      <w:tblStyleRowBandSize w:val="1"/>
      <w:tblStyleColBandSize w:val="1"/>
      <w:tblBorders>
        <w:top w:val="single" w:sz="4" w:space="0" w:color="842177" w:themeColor="accent2"/>
        <w:left w:val="single" w:sz="4" w:space="0" w:color="842177" w:themeColor="accent2"/>
        <w:bottom w:val="single" w:sz="4" w:space="0" w:color="842177" w:themeColor="accent2"/>
        <w:right w:val="single" w:sz="4" w:space="0" w:color="842177" w:themeColor="accent2"/>
      </w:tblBorders>
    </w:tblPr>
    <w:tblStylePr w:type="firstRow">
      <w:rPr>
        <w:b/>
        <w:bCs/>
        <w:color w:val="FFFFFF" w:themeColor="background1"/>
      </w:rPr>
      <w:tblPr/>
      <w:tcPr>
        <w:shd w:val="clear" w:color="auto" w:fill="842177" w:themeFill="accent2"/>
      </w:tcPr>
    </w:tblStylePr>
    <w:tblStylePr w:type="lastRow">
      <w:rPr>
        <w:b/>
        <w:bCs/>
      </w:rPr>
      <w:tblPr/>
      <w:tcPr>
        <w:tcBorders>
          <w:top w:val="double" w:sz="4" w:space="0" w:color="8421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2177" w:themeColor="accent2"/>
          <w:right w:val="single" w:sz="4" w:space="0" w:color="842177" w:themeColor="accent2"/>
        </w:tcBorders>
      </w:tcPr>
    </w:tblStylePr>
    <w:tblStylePr w:type="band1Horz">
      <w:tblPr/>
      <w:tcPr>
        <w:tcBorders>
          <w:top w:val="single" w:sz="4" w:space="0" w:color="842177" w:themeColor="accent2"/>
          <w:bottom w:val="single" w:sz="4" w:space="0" w:color="8421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2177" w:themeColor="accent2"/>
          <w:left w:val="nil"/>
        </w:tcBorders>
      </w:tcPr>
    </w:tblStylePr>
    <w:tblStylePr w:type="swCell">
      <w:tblPr/>
      <w:tcPr>
        <w:tcBorders>
          <w:top w:val="double" w:sz="4" w:space="0" w:color="842177" w:themeColor="accent2"/>
          <w:right w:val="nil"/>
        </w:tcBorders>
      </w:tcPr>
    </w:tblStylePr>
  </w:style>
  <w:style w:type="table" w:styleId="Lijsttabel3-Accent3">
    <w:name w:val="List Table 3 Accent 3"/>
    <w:basedOn w:val="Standaardtabel"/>
    <w:uiPriority w:val="48"/>
    <w:rsid w:val="0095390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95390B"/>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95390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95390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9539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95390B"/>
    <w:tblPr>
      <w:tblStyleRowBandSize w:val="1"/>
      <w:tblStyleColBandSize w:val="1"/>
      <w:tblBorders>
        <w:top w:val="single" w:sz="4" w:space="0" w:color="A3CAD9" w:themeColor="accent1" w:themeTint="99"/>
        <w:left w:val="single" w:sz="4" w:space="0" w:color="A3CAD9" w:themeColor="accent1" w:themeTint="99"/>
        <w:bottom w:val="single" w:sz="4" w:space="0" w:color="A3CAD9" w:themeColor="accent1" w:themeTint="99"/>
        <w:right w:val="single" w:sz="4" w:space="0" w:color="A3CAD9" w:themeColor="accent1" w:themeTint="99"/>
        <w:insideH w:val="single" w:sz="4" w:space="0" w:color="A3CAD9" w:themeColor="accent1" w:themeTint="99"/>
      </w:tblBorders>
    </w:tblPr>
    <w:tblStylePr w:type="firstRow">
      <w:rPr>
        <w:b/>
        <w:bCs/>
        <w:color w:val="FFFFFF" w:themeColor="background1"/>
      </w:rPr>
      <w:tblPr/>
      <w:tcPr>
        <w:tcBorders>
          <w:top w:val="single" w:sz="4" w:space="0" w:color="67A7C0" w:themeColor="accent1"/>
          <w:left w:val="single" w:sz="4" w:space="0" w:color="67A7C0" w:themeColor="accent1"/>
          <w:bottom w:val="single" w:sz="4" w:space="0" w:color="67A7C0" w:themeColor="accent1"/>
          <w:right w:val="single" w:sz="4" w:space="0" w:color="67A7C0" w:themeColor="accent1"/>
          <w:insideH w:val="nil"/>
        </w:tcBorders>
        <w:shd w:val="clear" w:color="auto" w:fill="67A7C0" w:themeFill="accent1"/>
      </w:tcPr>
    </w:tblStylePr>
    <w:tblStylePr w:type="lastRow">
      <w:rPr>
        <w:b/>
        <w:bCs/>
      </w:rPr>
      <w:tblPr/>
      <w:tcPr>
        <w:tcBorders>
          <w:top w:val="double" w:sz="4" w:space="0" w:color="A3CAD9" w:themeColor="accent1" w:themeTint="99"/>
        </w:tcBorders>
      </w:tcPr>
    </w:tblStylePr>
    <w:tblStylePr w:type="firstCol">
      <w:rPr>
        <w:b/>
        <w:bCs/>
      </w:rPr>
    </w:tblStylePr>
    <w:tblStylePr w:type="lastCol">
      <w:rPr>
        <w:b/>
        <w:bCs/>
      </w:rPr>
    </w:tblStylePr>
    <w:tblStylePr w:type="band1Vert">
      <w:tblPr/>
      <w:tcPr>
        <w:shd w:val="clear" w:color="auto" w:fill="E0EDF2" w:themeFill="accent1" w:themeFillTint="33"/>
      </w:tcPr>
    </w:tblStylePr>
    <w:tblStylePr w:type="band1Horz">
      <w:tblPr/>
      <w:tcPr>
        <w:shd w:val="clear" w:color="auto" w:fill="E0EDF2" w:themeFill="accent1" w:themeFillTint="33"/>
      </w:tcPr>
    </w:tblStylePr>
  </w:style>
  <w:style w:type="table" w:styleId="Lijsttabel4-Accent2">
    <w:name w:val="List Table 4 Accent 2"/>
    <w:basedOn w:val="Standaardtabel"/>
    <w:uiPriority w:val="49"/>
    <w:rsid w:val="0095390B"/>
    <w:tblPr>
      <w:tblStyleRowBandSize w:val="1"/>
      <w:tblStyleColBandSize w:val="1"/>
      <w:tblBorders>
        <w:top w:val="single" w:sz="4" w:space="0" w:color="D559C5" w:themeColor="accent2" w:themeTint="99"/>
        <w:left w:val="single" w:sz="4" w:space="0" w:color="D559C5" w:themeColor="accent2" w:themeTint="99"/>
        <w:bottom w:val="single" w:sz="4" w:space="0" w:color="D559C5" w:themeColor="accent2" w:themeTint="99"/>
        <w:right w:val="single" w:sz="4" w:space="0" w:color="D559C5" w:themeColor="accent2" w:themeTint="99"/>
        <w:insideH w:val="single" w:sz="4" w:space="0" w:color="D559C5" w:themeColor="accent2" w:themeTint="99"/>
      </w:tblBorders>
    </w:tblPr>
    <w:tblStylePr w:type="firstRow">
      <w:rPr>
        <w:b/>
        <w:bCs/>
        <w:color w:val="FFFFFF" w:themeColor="background1"/>
      </w:rPr>
      <w:tblPr/>
      <w:tcPr>
        <w:tcBorders>
          <w:top w:val="single" w:sz="4" w:space="0" w:color="842177" w:themeColor="accent2"/>
          <w:left w:val="single" w:sz="4" w:space="0" w:color="842177" w:themeColor="accent2"/>
          <w:bottom w:val="single" w:sz="4" w:space="0" w:color="842177" w:themeColor="accent2"/>
          <w:right w:val="single" w:sz="4" w:space="0" w:color="842177" w:themeColor="accent2"/>
          <w:insideH w:val="nil"/>
        </w:tcBorders>
        <w:shd w:val="clear" w:color="auto" w:fill="842177" w:themeFill="accent2"/>
      </w:tcPr>
    </w:tblStylePr>
    <w:tblStylePr w:type="lastRow">
      <w:rPr>
        <w:b/>
        <w:bCs/>
      </w:rPr>
      <w:tblPr/>
      <w:tcPr>
        <w:tcBorders>
          <w:top w:val="double" w:sz="4" w:space="0" w:color="D559C5" w:themeColor="accent2" w:themeTint="99"/>
        </w:tcBorders>
      </w:tcPr>
    </w:tblStylePr>
    <w:tblStylePr w:type="firstCol">
      <w:rPr>
        <w:b/>
        <w:bCs/>
      </w:rPr>
    </w:tblStylePr>
    <w:tblStylePr w:type="lastCol">
      <w:rPr>
        <w:b/>
        <w:bCs/>
      </w:rPr>
    </w:tblStylePr>
    <w:tblStylePr w:type="band1Vert">
      <w:tblPr/>
      <w:tcPr>
        <w:shd w:val="clear" w:color="auto" w:fill="F1C7EB" w:themeFill="accent2" w:themeFillTint="33"/>
      </w:tcPr>
    </w:tblStylePr>
    <w:tblStylePr w:type="band1Horz">
      <w:tblPr/>
      <w:tcPr>
        <w:shd w:val="clear" w:color="auto" w:fill="F1C7EB" w:themeFill="accent2" w:themeFillTint="33"/>
      </w:tcPr>
    </w:tblStylePr>
  </w:style>
  <w:style w:type="table" w:styleId="Lijsttabel4-Accent3">
    <w:name w:val="List Table 4 Accent 3"/>
    <w:basedOn w:val="Standaardtabel"/>
    <w:uiPriority w:val="49"/>
    <w:rsid w:val="0095390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95390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95390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4-Accent6">
    <w:name w:val="List Table 4 Accent 6"/>
    <w:basedOn w:val="Standaardtabel"/>
    <w:uiPriority w:val="49"/>
    <w:rsid w:val="0095390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95390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95390B"/>
    <w:rPr>
      <w:color w:val="FFFFFF" w:themeColor="background1"/>
    </w:rPr>
    <w:tblPr>
      <w:tblStyleRowBandSize w:val="1"/>
      <w:tblStyleColBandSize w:val="1"/>
      <w:tblBorders>
        <w:top w:val="single" w:sz="24" w:space="0" w:color="67A7C0" w:themeColor="accent1"/>
        <w:left w:val="single" w:sz="24" w:space="0" w:color="67A7C0" w:themeColor="accent1"/>
        <w:bottom w:val="single" w:sz="24" w:space="0" w:color="67A7C0" w:themeColor="accent1"/>
        <w:right w:val="single" w:sz="24" w:space="0" w:color="67A7C0" w:themeColor="accent1"/>
      </w:tblBorders>
    </w:tblPr>
    <w:tcPr>
      <w:shd w:val="clear" w:color="auto" w:fill="67A7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95390B"/>
    <w:rPr>
      <w:color w:val="FFFFFF" w:themeColor="background1"/>
    </w:rPr>
    <w:tblPr>
      <w:tblStyleRowBandSize w:val="1"/>
      <w:tblStyleColBandSize w:val="1"/>
      <w:tblBorders>
        <w:top w:val="single" w:sz="24" w:space="0" w:color="842177" w:themeColor="accent2"/>
        <w:left w:val="single" w:sz="24" w:space="0" w:color="842177" w:themeColor="accent2"/>
        <w:bottom w:val="single" w:sz="24" w:space="0" w:color="842177" w:themeColor="accent2"/>
        <w:right w:val="single" w:sz="24" w:space="0" w:color="842177" w:themeColor="accent2"/>
      </w:tblBorders>
    </w:tblPr>
    <w:tcPr>
      <w:shd w:val="clear" w:color="auto" w:fill="8421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95390B"/>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95390B"/>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95390B"/>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95390B"/>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95390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95390B"/>
    <w:rPr>
      <w:color w:val="40829B" w:themeColor="accent1" w:themeShade="BF"/>
    </w:rPr>
    <w:tblPr>
      <w:tblStyleRowBandSize w:val="1"/>
      <w:tblStyleColBandSize w:val="1"/>
      <w:tblBorders>
        <w:top w:val="single" w:sz="4" w:space="0" w:color="67A7C0" w:themeColor="accent1"/>
        <w:bottom w:val="single" w:sz="4" w:space="0" w:color="67A7C0" w:themeColor="accent1"/>
      </w:tblBorders>
    </w:tblPr>
    <w:tblStylePr w:type="firstRow">
      <w:rPr>
        <w:b/>
        <w:bCs/>
      </w:rPr>
      <w:tblPr/>
      <w:tcPr>
        <w:tcBorders>
          <w:bottom w:val="single" w:sz="4" w:space="0" w:color="67A7C0" w:themeColor="accent1"/>
        </w:tcBorders>
      </w:tcPr>
    </w:tblStylePr>
    <w:tblStylePr w:type="lastRow">
      <w:rPr>
        <w:b/>
        <w:bCs/>
      </w:rPr>
      <w:tblPr/>
      <w:tcPr>
        <w:tcBorders>
          <w:top w:val="double" w:sz="4" w:space="0" w:color="67A7C0" w:themeColor="accent1"/>
        </w:tcBorders>
      </w:tcPr>
    </w:tblStylePr>
    <w:tblStylePr w:type="firstCol">
      <w:rPr>
        <w:b/>
        <w:bCs/>
      </w:rPr>
    </w:tblStylePr>
    <w:tblStylePr w:type="lastCol">
      <w:rPr>
        <w:b/>
        <w:bCs/>
      </w:rPr>
    </w:tblStylePr>
    <w:tblStylePr w:type="band1Vert">
      <w:tblPr/>
      <w:tcPr>
        <w:shd w:val="clear" w:color="auto" w:fill="E0EDF2" w:themeFill="accent1" w:themeFillTint="33"/>
      </w:tcPr>
    </w:tblStylePr>
    <w:tblStylePr w:type="band1Horz">
      <w:tblPr/>
      <w:tcPr>
        <w:shd w:val="clear" w:color="auto" w:fill="E0EDF2" w:themeFill="accent1" w:themeFillTint="33"/>
      </w:tcPr>
    </w:tblStylePr>
  </w:style>
  <w:style w:type="table" w:styleId="Lijsttabel6kleurrijk-Accent2">
    <w:name w:val="List Table 6 Colorful Accent 2"/>
    <w:basedOn w:val="Standaardtabel"/>
    <w:uiPriority w:val="51"/>
    <w:rsid w:val="0095390B"/>
    <w:rPr>
      <w:color w:val="621858" w:themeColor="accent2" w:themeShade="BF"/>
    </w:rPr>
    <w:tblPr>
      <w:tblStyleRowBandSize w:val="1"/>
      <w:tblStyleColBandSize w:val="1"/>
      <w:tblBorders>
        <w:top w:val="single" w:sz="4" w:space="0" w:color="842177" w:themeColor="accent2"/>
        <w:bottom w:val="single" w:sz="4" w:space="0" w:color="842177" w:themeColor="accent2"/>
      </w:tblBorders>
    </w:tblPr>
    <w:tblStylePr w:type="firstRow">
      <w:rPr>
        <w:b/>
        <w:bCs/>
      </w:rPr>
      <w:tblPr/>
      <w:tcPr>
        <w:tcBorders>
          <w:bottom w:val="single" w:sz="4" w:space="0" w:color="842177" w:themeColor="accent2"/>
        </w:tcBorders>
      </w:tcPr>
    </w:tblStylePr>
    <w:tblStylePr w:type="lastRow">
      <w:rPr>
        <w:b/>
        <w:bCs/>
      </w:rPr>
      <w:tblPr/>
      <w:tcPr>
        <w:tcBorders>
          <w:top w:val="double" w:sz="4" w:space="0" w:color="842177" w:themeColor="accent2"/>
        </w:tcBorders>
      </w:tcPr>
    </w:tblStylePr>
    <w:tblStylePr w:type="firstCol">
      <w:rPr>
        <w:b/>
        <w:bCs/>
      </w:rPr>
    </w:tblStylePr>
    <w:tblStylePr w:type="lastCol">
      <w:rPr>
        <w:b/>
        <w:bCs/>
      </w:rPr>
    </w:tblStylePr>
    <w:tblStylePr w:type="band1Vert">
      <w:tblPr/>
      <w:tcPr>
        <w:shd w:val="clear" w:color="auto" w:fill="F1C7EB" w:themeFill="accent2" w:themeFillTint="33"/>
      </w:tcPr>
    </w:tblStylePr>
    <w:tblStylePr w:type="band1Horz">
      <w:tblPr/>
      <w:tcPr>
        <w:shd w:val="clear" w:color="auto" w:fill="F1C7EB" w:themeFill="accent2" w:themeFillTint="33"/>
      </w:tcPr>
    </w:tblStylePr>
  </w:style>
  <w:style w:type="table" w:styleId="Lijsttabel6kleurrijk-Accent3">
    <w:name w:val="List Table 6 Colorful Accent 3"/>
    <w:basedOn w:val="Standaardtabel"/>
    <w:uiPriority w:val="51"/>
    <w:rsid w:val="0095390B"/>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95390B"/>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95390B"/>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6kleurrijk-Accent6">
    <w:name w:val="List Table 6 Colorful Accent 6"/>
    <w:basedOn w:val="Standaardtabel"/>
    <w:uiPriority w:val="51"/>
    <w:rsid w:val="0095390B"/>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95390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95390B"/>
    <w:rPr>
      <w:color w:val="40829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A7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A7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A7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A7C0" w:themeColor="accent1"/>
        </w:tcBorders>
        <w:shd w:val="clear" w:color="auto" w:fill="FFFFFF" w:themeFill="background1"/>
      </w:tcPr>
    </w:tblStylePr>
    <w:tblStylePr w:type="band1Vert">
      <w:tblPr/>
      <w:tcPr>
        <w:shd w:val="clear" w:color="auto" w:fill="E0EDF2" w:themeFill="accent1" w:themeFillTint="33"/>
      </w:tcPr>
    </w:tblStylePr>
    <w:tblStylePr w:type="band1Horz">
      <w:tblPr/>
      <w:tcPr>
        <w:shd w:val="clear" w:color="auto" w:fill="E0E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95390B"/>
    <w:rPr>
      <w:color w:val="6218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21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21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21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2177" w:themeColor="accent2"/>
        </w:tcBorders>
        <w:shd w:val="clear" w:color="auto" w:fill="FFFFFF" w:themeFill="background1"/>
      </w:tcPr>
    </w:tblStylePr>
    <w:tblStylePr w:type="band1Vert">
      <w:tblPr/>
      <w:tcPr>
        <w:shd w:val="clear" w:color="auto" w:fill="F1C7EB" w:themeFill="accent2" w:themeFillTint="33"/>
      </w:tcPr>
    </w:tblStylePr>
    <w:tblStylePr w:type="band1Horz">
      <w:tblPr/>
      <w:tcPr>
        <w:shd w:val="clear" w:color="auto" w:fill="F1C7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95390B"/>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95390B"/>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95390B"/>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95390B"/>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95390B"/>
    <w:pPr>
      <w:tabs>
        <w:tab w:val="left" w:pos="480"/>
        <w:tab w:val="left" w:pos="960"/>
        <w:tab w:val="left" w:pos="1440"/>
        <w:tab w:val="left" w:pos="1920"/>
        <w:tab w:val="left" w:pos="2400"/>
        <w:tab w:val="left" w:pos="2880"/>
        <w:tab w:val="left" w:pos="3360"/>
        <w:tab w:val="left" w:pos="3840"/>
        <w:tab w:val="left" w:pos="4320"/>
      </w:tabs>
      <w:spacing w:line="283"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95390B"/>
    <w:rPr>
      <w:rFonts w:ascii="Consolas" w:hAnsi="Consolas"/>
      <w:sz w:val="20"/>
      <w:szCs w:val="20"/>
    </w:rPr>
  </w:style>
  <w:style w:type="table" w:styleId="Gemiddeldraster1">
    <w:name w:val="Medium Grid 1"/>
    <w:basedOn w:val="Standaardtabel"/>
    <w:uiPriority w:val="67"/>
    <w:semiHidden/>
    <w:unhideWhenUsed/>
    <w:rsid w:val="009539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95390B"/>
    <w:tblPr>
      <w:tblStyleRowBandSize w:val="1"/>
      <w:tblStyleColBandSize w:val="1"/>
      <w:tblBorders>
        <w:top w:val="single" w:sz="8" w:space="0" w:color="8CBCCF" w:themeColor="accent1" w:themeTint="BF"/>
        <w:left w:val="single" w:sz="8" w:space="0" w:color="8CBCCF" w:themeColor="accent1" w:themeTint="BF"/>
        <w:bottom w:val="single" w:sz="8" w:space="0" w:color="8CBCCF" w:themeColor="accent1" w:themeTint="BF"/>
        <w:right w:val="single" w:sz="8" w:space="0" w:color="8CBCCF" w:themeColor="accent1" w:themeTint="BF"/>
        <w:insideH w:val="single" w:sz="8" w:space="0" w:color="8CBCCF" w:themeColor="accent1" w:themeTint="BF"/>
        <w:insideV w:val="single" w:sz="8" w:space="0" w:color="8CBCCF" w:themeColor="accent1" w:themeTint="BF"/>
      </w:tblBorders>
    </w:tblPr>
    <w:tcPr>
      <w:shd w:val="clear" w:color="auto" w:fill="D9E9EF" w:themeFill="accent1" w:themeFillTint="3F"/>
    </w:tcPr>
    <w:tblStylePr w:type="firstRow">
      <w:rPr>
        <w:b/>
        <w:bCs/>
      </w:rPr>
    </w:tblStylePr>
    <w:tblStylePr w:type="lastRow">
      <w:rPr>
        <w:b/>
        <w:bCs/>
      </w:rPr>
      <w:tblPr/>
      <w:tcPr>
        <w:tcBorders>
          <w:top w:val="single" w:sz="18" w:space="0" w:color="8CBCCF" w:themeColor="accent1" w:themeTint="BF"/>
        </w:tcBorders>
      </w:tcPr>
    </w:tblStylePr>
    <w:tblStylePr w:type="firstCol">
      <w:rPr>
        <w:b/>
        <w:bCs/>
      </w:rPr>
    </w:tblStylePr>
    <w:tblStylePr w:type="lastCol">
      <w:rPr>
        <w:b/>
        <w:bCs/>
      </w:rPr>
    </w:tblStylePr>
    <w:tblStylePr w:type="band1Vert">
      <w:tblPr/>
      <w:tcPr>
        <w:shd w:val="clear" w:color="auto" w:fill="B3D3DF" w:themeFill="accent1" w:themeFillTint="7F"/>
      </w:tcPr>
    </w:tblStylePr>
    <w:tblStylePr w:type="band1Horz">
      <w:tblPr/>
      <w:tcPr>
        <w:shd w:val="clear" w:color="auto" w:fill="B3D3DF" w:themeFill="accent1" w:themeFillTint="7F"/>
      </w:tcPr>
    </w:tblStylePr>
  </w:style>
  <w:style w:type="table" w:styleId="Gemiddeldraster1-accent2">
    <w:name w:val="Medium Grid 1 Accent 2"/>
    <w:basedOn w:val="Standaardtabel"/>
    <w:uiPriority w:val="67"/>
    <w:semiHidden/>
    <w:unhideWhenUsed/>
    <w:rsid w:val="0095390B"/>
    <w:tblPr>
      <w:tblStyleRowBandSize w:val="1"/>
      <w:tblStyleColBandSize w:val="1"/>
      <w:tblBorders>
        <w:top w:val="single" w:sz="8" w:space="0" w:color="C932B4" w:themeColor="accent2" w:themeTint="BF"/>
        <w:left w:val="single" w:sz="8" w:space="0" w:color="C932B4" w:themeColor="accent2" w:themeTint="BF"/>
        <w:bottom w:val="single" w:sz="8" w:space="0" w:color="C932B4" w:themeColor="accent2" w:themeTint="BF"/>
        <w:right w:val="single" w:sz="8" w:space="0" w:color="C932B4" w:themeColor="accent2" w:themeTint="BF"/>
        <w:insideH w:val="single" w:sz="8" w:space="0" w:color="C932B4" w:themeColor="accent2" w:themeTint="BF"/>
        <w:insideV w:val="single" w:sz="8" w:space="0" w:color="C932B4" w:themeColor="accent2" w:themeTint="BF"/>
      </w:tblBorders>
    </w:tblPr>
    <w:tcPr>
      <w:shd w:val="clear" w:color="auto" w:fill="EEBAE7" w:themeFill="accent2" w:themeFillTint="3F"/>
    </w:tcPr>
    <w:tblStylePr w:type="firstRow">
      <w:rPr>
        <w:b/>
        <w:bCs/>
      </w:rPr>
    </w:tblStylePr>
    <w:tblStylePr w:type="lastRow">
      <w:rPr>
        <w:b/>
        <w:bCs/>
      </w:rPr>
      <w:tblPr/>
      <w:tcPr>
        <w:tcBorders>
          <w:top w:val="single" w:sz="18" w:space="0" w:color="C932B4" w:themeColor="accent2" w:themeTint="BF"/>
        </w:tcBorders>
      </w:tcPr>
    </w:tblStylePr>
    <w:tblStylePr w:type="firstCol">
      <w:rPr>
        <w:b/>
        <w:bCs/>
      </w:rPr>
    </w:tblStylePr>
    <w:tblStylePr w:type="lastCol">
      <w:rPr>
        <w:b/>
        <w:bCs/>
      </w:rPr>
    </w:tblStylePr>
    <w:tblStylePr w:type="band1Vert">
      <w:tblPr/>
      <w:tcPr>
        <w:shd w:val="clear" w:color="auto" w:fill="DC75CE" w:themeFill="accent2" w:themeFillTint="7F"/>
      </w:tcPr>
    </w:tblStylePr>
    <w:tblStylePr w:type="band1Horz">
      <w:tblPr/>
      <w:tcPr>
        <w:shd w:val="clear" w:color="auto" w:fill="DC75CE" w:themeFill="accent2" w:themeFillTint="7F"/>
      </w:tcPr>
    </w:tblStylePr>
  </w:style>
  <w:style w:type="table" w:styleId="Gemiddeldraster1-accent3">
    <w:name w:val="Medium Grid 1 Accent 3"/>
    <w:basedOn w:val="Standaardtabel"/>
    <w:uiPriority w:val="67"/>
    <w:semiHidden/>
    <w:unhideWhenUsed/>
    <w:rsid w:val="0095390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95390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95390B"/>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95390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67A7C0" w:themeColor="accent1"/>
        <w:left w:val="single" w:sz="8" w:space="0" w:color="67A7C0" w:themeColor="accent1"/>
        <w:bottom w:val="single" w:sz="8" w:space="0" w:color="67A7C0" w:themeColor="accent1"/>
        <w:right w:val="single" w:sz="8" w:space="0" w:color="67A7C0" w:themeColor="accent1"/>
        <w:insideH w:val="single" w:sz="8" w:space="0" w:color="67A7C0" w:themeColor="accent1"/>
        <w:insideV w:val="single" w:sz="8" w:space="0" w:color="67A7C0" w:themeColor="accent1"/>
      </w:tblBorders>
    </w:tblPr>
    <w:tcPr>
      <w:shd w:val="clear" w:color="auto" w:fill="D9E9EF" w:themeFill="accent1" w:themeFillTint="3F"/>
    </w:tcPr>
    <w:tblStylePr w:type="firstRow">
      <w:rPr>
        <w:b/>
        <w:bCs/>
        <w:color w:val="000000" w:themeColor="text1"/>
      </w:rPr>
      <w:tblPr/>
      <w:tcPr>
        <w:shd w:val="clear" w:color="auto" w:fill="EFF6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DF2" w:themeFill="accent1" w:themeFillTint="33"/>
      </w:tcPr>
    </w:tblStylePr>
    <w:tblStylePr w:type="band1Vert">
      <w:tblPr/>
      <w:tcPr>
        <w:shd w:val="clear" w:color="auto" w:fill="B3D3DF" w:themeFill="accent1" w:themeFillTint="7F"/>
      </w:tcPr>
    </w:tblStylePr>
    <w:tblStylePr w:type="band1Horz">
      <w:tblPr/>
      <w:tcPr>
        <w:tcBorders>
          <w:insideH w:val="single" w:sz="6" w:space="0" w:color="67A7C0" w:themeColor="accent1"/>
          <w:insideV w:val="single" w:sz="6" w:space="0" w:color="67A7C0" w:themeColor="accent1"/>
        </w:tcBorders>
        <w:shd w:val="clear" w:color="auto" w:fill="B3D3D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842177" w:themeColor="accent2"/>
        <w:left w:val="single" w:sz="8" w:space="0" w:color="842177" w:themeColor="accent2"/>
        <w:bottom w:val="single" w:sz="8" w:space="0" w:color="842177" w:themeColor="accent2"/>
        <w:right w:val="single" w:sz="8" w:space="0" w:color="842177" w:themeColor="accent2"/>
        <w:insideH w:val="single" w:sz="8" w:space="0" w:color="842177" w:themeColor="accent2"/>
        <w:insideV w:val="single" w:sz="8" w:space="0" w:color="842177" w:themeColor="accent2"/>
      </w:tblBorders>
    </w:tblPr>
    <w:tcPr>
      <w:shd w:val="clear" w:color="auto" w:fill="EEBAE7" w:themeFill="accent2" w:themeFillTint="3F"/>
    </w:tcPr>
    <w:tblStylePr w:type="firstRow">
      <w:rPr>
        <w:b/>
        <w:bCs/>
        <w:color w:val="000000" w:themeColor="text1"/>
      </w:rPr>
      <w:tblPr/>
      <w:tcPr>
        <w:shd w:val="clear" w:color="auto" w:fill="F8E3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7EB" w:themeFill="accent2" w:themeFillTint="33"/>
      </w:tcPr>
    </w:tblStylePr>
    <w:tblStylePr w:type="band1Vert">
      <w:tblPr/>
      <w:tcPr>
        <w:shd w:val="clear" w:color="auto" w:fill="DC75CE" w:themeFill="accent2" w:themeFillTint="7F"/>
      </w:tcPr>
    </w:tblStylePr>
    <w:tblStylePr w:type="band1Horz">
      <w:tblPr/>
      <w:tcPr>
        <w:tcBorders>
          <w:insideH w:val="single" w:sz="6" w:space="0" w:color="842177" w:themeColor="accent2"/>
          <w:insideV w:val="single" w:sz="6" w:space="0" w:color="842177" w:themeColor="accent2"/>
        </w:tcBorders>
        <w:shd w:val="clear" w:color="auto" w:fill="DC75CE"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539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539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A7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A7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A7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A7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3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3DF" w:themeFill="accent1" w:themeFillTint="7F"/>
      </w:tcPr>
    </w:tblStylePr>
  </w:style>
  <w:style w:type="table" w:styleId="Gemiddeldraster3-accent2">
    <w:name w:val="Medium Grid 3 Accent 2"/>
    <w:basedOn w:val="Standaardtabel"/>
    <w:uiPriority w:val="69"/>
    <w:semiHidden/>
    <w:unhideWhenUsed/>
    <w:rsid w:val="009539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A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21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21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21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21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5C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5CE" w:themeFill="accent2" w:themeFillTint="7F"/>
      </w:tcPr>
    </w:tblStylePr>
  </w:style>
  <w:style w:type="table" w:styleId="Gemiddeldraster3-accent3">
    <w:name w:val="Medium Grid 3 Accent 3"/>
    <w:basedOn w:val="Standaardtabel"/>
    <w:uiPriority w:val="69"/>
    <w:semiHidden/>
    <w:unhideWhenUsed/>
    <w:rsid w:val="009539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9539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9539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95390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95390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95390B"/>
    <w:rPr>
      <w:color w:val="000000" w:themeColor="text1"/>
    </w:rPr>
    <w:tblPr>
      <w:tblStyleRowBandSize w:val="1"/>
      <w:tblStyleColBandSize w:val="1"/>
      <w:tblBorders>
        <w:top w:val="single" w:sz="8" w:space="0" w:color="67A7C0" w:themeColor="accent1"/>
        <w:bottom w:val="single" w:sz="8" w:space="0" w:color="67A7C0" w:themeColor="accent1"/>
      </w:tblBorders>
    </w:tblPr>
    <w:tblStylePr w:type="firstRow">
      <w:rPr>
        <w:rFonts w:asciiTheme="majorHAnsi" w:eastAsiaTheme="majorEastAsia" w:hAnsiTheme="majorHAnsi" w:cstheme="majorBidi"/>
      </w:rPr>
      <w:tblPr/>
      <w:tcPr>
        <w:tcBorders>
          <w:top w:val="nil"/>
          <w:bottom w:val="single" w:sz="8" w:space="0" w:color="67A7C0" w:themeColor="accent1"/>
        </w:tcBorders>
      </w:tcPr>
    </w:tblStylePr>
    <w:tblStylePr w:type="lastRow">
      <w:rPr>
        <w:b/>
        <w:bCs/>
        <w:color w:val="44546A" w:themeColor="text2"/>
      </w:rPr>
      <w:tblPr/>
      <w:tcPr>
        <w:tcBorders>
          <w:top w:val="single" w:sz="8" w:space="0" w:color="67A7C0" w:themeColor="accent1"/>
          <w:bottom w:val="single" w:sz="8" w:space="0" w:color="67A7C0" w:themeColor="accent1"/>
        </w:tcBorders>
      </w:tcPr>
    </w:tblStylePr>
    <w:tblStylePr w:type="firstCol">
      <w:rPr>
        <w:b/>
        <w:bCs/>
      </w:rPr>
    </w:tblStylePr>
    <w:tblStylePr w:type="lastCol">
      <w:rPr>
        <w:b/>
        <w:bCs/>
      </w:rPr>
      <w:tblPr/>
      <w:tcPr>
        <w:tcBorders>
          <w:top w:val="single" w:sz="8" w:space="0" w:color="67A7C0" w:themeColor="accent1"/>
          <w:bottom w:val="single" w:sz="8" w:space="0" w:color="67A7C0" w:themeColor="accent1"/>
        </w:tcBorders>
      </w:tcPr>
    </w:tblStylePr>
    <w:tblStylePr w:type="band1Vert">
      <w:tblPr/>
      <w:tcPr>
        <w:shd w:val="clear" w:color="auto" w:fill="D9E9EF" w:themeFill="accent1" w:themeFillTint="3F"/>
      </w:tcPr>
    </w:tblStylePr>
    <w:tblStylePr w:type="band1Horz">
      <w:tblPr/>
      <w:tcPr>
        <w:shd w:val="clear" w:color="auto" w:fill="D9E9EF" w:themeFill="accent1" w:themeFillTint="3F"/>
      </w:tcPr>
    </w:tblStylePr>
  </w:style>
  <w:style w:type="table" w:styleId="Gemiddeldelijst1-accent2">
    <w:name w:val="Medium List 1 Accent 2"/>
    <w:basedOn w:val="Standaardtabel"/>
    <w:uiPriority w:val="65"/>
    <w:semiHidden/>
    <w:unhideWhenUsed/>
    <w:rsid w:val="0095390B"/>
    <w:rPr>
      <w:color w:val="000000" w:themeColor="text1"/>
    </w:rPr>
    <w:tblPr>
      <w:tblStyleRowBandSize w:val="1"/>
      <w:tblStyleColBandSize w:val="1"/>
      <w:tblBorders>
        <w:top w:val="single" w:sz="8" w:space="0" w:color="842177" w:themeColor="accent2"/>
        <w:bottom w:val="single" w:sz="8" w:space="0" w:color="842177" w:themeColor="accent2"/>
      </w:tblBorders>
    </w:tblPr>
    <w:tblStylePr w:type="firstRow">
      <w:rPr>
        <w:rFonts w:asciiTheme="majorHAnsi" w:eastAsiaTheme="majorEastAsia" w:hAnsiTheme="majorHAnsi" w:cstheme="majorBidi"/>
      </w:rPr>
      <w:tblPr/>
      <w:tcPr>
        <w:tcBorders>
          <w:top w:val="nil"/>
          <w:bottom w:val="single" w:sz="8" w:space="0" w:color="842177" w:themeColor="accent2"/>
        </w:tcBorders>
      </w:tcPr>
    </w:tblStylePr>
    <w:tblStylePr w:type="lastRow">
      <w:rPr>
        <w:b/>
        <w:bCs/>
        <w:color w:val="44546A" w:themeColor="text2"/>
      </w:rPr>
      <w:tblPr/>
      <w:tcPr>
        <w:tcBorders>
          <w:top w:val="single" w:sz="8" w:space="0" w:color="842177" w:themeColor="accent2"/>
          <w:bottom w:val="single" w:sz="8" w:space="0" w:color="842177" w:themeColor="accent2"/>
        </w:tcBorders>
      </w:tcPr>
    </w:tblStylePr>
    <w:tblStylePr w:type="firstCol">
      <w:rPr>
        <w:b/>
        <w:bCs/>
      </w:rPr>
    </w:tblStylePr>
    <w:tblStylePr w:type="lastCol">
      <w:rPr>
        <w:b/>
        <w:bCs/>
      </w:rPr>
      <w:tblPr/>
      <w:tcPr>
        <w:tcBorders>
          <w:top w:val="single" w:sz="8" w:space="0" w:color="842177" w:themeColor="accent2"/>
          <w:bottom w:val="single" w:sz="8" w:space="0" w:color="842177" w:themeColor="accent2"/>
        </w:tcBorders>
      </w:tcPr>
    </w:tblStylePr>
    <w:tblStylePr w:type="band1Vert">
      <w:tblPr/>
      <w:tcPr>
        <w:shd w:val="clear" w:color="auto" w:fill="EEBAE7" w:themeFill="accent2" w:themeFillTint="3F"/>
      </w:tcPr>
    </w:tblStylePr>
    <w:tblStylePr w:type="band1Horz">
      <w:tblPr/>
      <w:tcPr>
        <w:shd w:val="clear" w:color="auto" w:fill="EEBAE7" w:themeFill="accent2" w:themeFillTint="3F"/>
      </w:tcPr>
    </w:tblStylePr>
  </w:style>
  <w:style w:type="table" w:styleId="Gemiddeldelijst1-accent3">
    <w:name w:val="Medium List 1 Accent 3"/>
    <w:basedOn w:val="Standaardtabel"/>
    <w:uiPriority w:val="65"/>
    <w:semiHidden/>
    <w:unhideWhenUsed/>
    <w:rsid w:val="0095390B"/>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95390B"/>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95390B"/>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95390B"/>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67A7C0" w:themeColor="accent1"/>
        <w:left w:val="single" w:sz="8" w:space="0" w:color="67A7C0" w:themeColor="accent1"/>
        <w:bottom w:val="single" w:sz="8" w:space="0" w:color="67A7C0" w:themeColor="accent1"/>
        <w:right w:val="single" w:sz="8" w:space="0" w:color="67A7C0" w:themeColor="accent1"/>
      </w:tblBorders>
    </w:tblPr>
    <w:tblStylePr w:type="firstRow">
      <w:rPr>
        <w:sz w:val="24"/>
        <w:szCs w:val="24"/>
      </w:rPr>
      <w:tblPr/>
      <w:tcPr>
        <w:tcBorders>
          <w:top w:val="nil"/>
          <w:left w:val="nil"/>
          <w:bottom w:val="single" w:sz="24" w:space="0" w:color="67A7C0" w:themeColor="accent1"/>
          <w:right w:val="nil"/>
          <w:insideH w:val="nil"/>
          <w:insideV w:val="nil"/>
        </w:tcBorders>
        <w:shd w:val="clear" w:color="auto" w:fill="FFFFFF" w:themeFill="background1"/>
      </w:tcPr>
    </w:tblStylePr>
    <w:tblStylePr w:type="lastRow">
      <w:tblPr/>
      <w:tcPr>
        <w:tcBorders>
          <w:top w:val="single" w:sz="8" w:space="0" w:color="67A7C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A7C0" w:themeColor="accent1"/>
          <w:insideH w:val="nil"/>
          <w:insideV w:val="nil"/>
        </w:tcBorders>
        <w:shd w:val="clear" w:color="auto" w:fill="FFFFFF" w:themeFill="background1"/>
      </w:tcPr>
    </w:tblStylePr>
    <w:tblStylePr w:type="lastCol">
      <w:tblPr/>
      <w:tcPr>
        <w:tcBorders>
          <w:top w:val="nil"/>
          <w:left w:val="single" w:sz="8" w:space="0" w:color="67A7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EF" w:themeFill="accent1" w:themeFillTint="3F"/>
      </w:tcPr>
    </w:tblStylePr>
    <w:tblStylePr w:type="band1Horz">
      <w:tblPr/>
      <w:tcPr>
        <w:tcBorders>
          <w:top w:val="nil"/>
          <w:bottom w:val="nil"/>
          <w:insideH w:val="nil"/>
          <w:insideV w:val="nil"/>
        </w:tcBorders>
        <w:shd w:val="clear" w:color="auto" w:fill="D9E9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842177" w:themeColor="accent2"/>
        <w:left w:val="single" w:sz="8" w:space="0" w:color="842177" w:themeColor="accent2"/>
        <w:bottom w:val="single" w:sz="8" w:space="0" w:color="842177" w:themeColor="accent2"/>
        <w:right w:val="single" w:sz="8" w:space="0" w:color="842177" w:themeColor="accent2"/>
      </w:tblBorders>
    </w:tblPr>
    <w:tblStylePr w:type="firstRow">
      <w:rPr>
        <w:sz w:val="24"/>
        <w:szCs w:val="24"/>
      </w:rPr>
      <w:tblPr/>
      <w:tcPr>
        <w:tcBorders>
          <w:top w:val="nil"/>
          <w:left w:val="nil"/>
          <w:bottom w:val="single" w:sz="24" w:space="0" w:color="842177" w:themeColor="accent2"/>
          <w:right w:val="nil"/>
          <w:insideH w:val="nil"/>
          <w:insideV w:val="nil"/>
        </w:tcBorders>
        <w:shd w:val="clear" w:color="auto" w:fill="FFFFFF" w:themeFill="background1"/>
      </w:tcPr>
    </w:tblStylePr>
    <w:tblStylePr w:type="lastRow">
      <w:tblPr/>
      <w:tcPr>
        <w:tcBorders>
          <w:top w:val="single" w:sz="8" w:space="0" w:color="84217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842177" w:themeColor="accent2"/>
          <w:insideH w:val="nil"/>
          <w:insideV w:val="nil"/>
        </w:tcBorders>
        <w:shd w:val="clear" w:color="auto" w:fill="FFFFFF" w:themeFill="background1"/>
      </w:tcPr>
    </w:tblStylePr>
    <w:tblStylePr w:type="lastCol">
      <w:tblPr/>
      <w:tcPr>
        <w:tcBorders>
          <w:top w:val="nil"/>
          <w:left w:val="single" w:sz="8" w:space="0" w:color="8421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AE7" w:themeFill="accent2" w:themeFillTint="3F"/>
      </w:tcPr>
    </w:tblStylePr>
    <w:tblStylePr w:type="band1Horz">
      <w:tblPr/>
      <w:tcPr>
        <w:tcBorders>
          <w:top w:val="nil"/>
          <w:bottom w:val="nil"/>
          <w:insideH w:val="nil"/>
          <w:insideV w:val="nil"/>
        </w:tcBorders>
        <w:shd w:val="clear" w:color="auto" w:fill="EEBA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95390B"/>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95390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95390B"/>
    <w:tblPr>
      <w:tblStyleRowBandSize w:val="1"/>
      <w:tblStyleColBandSize w:val="1"/>
      <w:tblBorders>
        <w:top w:val="single" w:sz="8" w:space="0" w:color="8CBCCF" w:themeColor="accent1" w:themeTint="BF"/>
        <w:left w:val="single" w:sz="8" w:space="0" w:color="8CBCCF" w:themeColor="accent1" w:themeTint="BF"/>
        <w:bottom w:val="single" w:sz="8" w:space="0" w:color="8CBCCF" w:themeColor="accent1" w:themeTint="BF"/>
        <w:right w:val="single" w:sz="8" w:space="0" w:color="8CBCCF" w:themeColor="accent1" w:themeTint="BF"/>
        <w:insideH w:val="single" w:sz="8" w:space="0" w:color="8CBCCF" w:themeColor="accent1" w:themeTint="BF"/>
      </w:tblBorders>
    </w:tblPr>
    <w:tblStylePr w:type="firstRow">
      <w:pPr>
        <w:spacing w:before="0" w:after="0" w:line="240" w:lineRule="auto"/>
      </w:pPr>
      <w:rPr>
        <w:b/>
        <w:bCs/>
        <w:color w:val="FFFFFF" w:themeColor="background1"/>
      </w:rPr>
      <w:tblPr/>
      <w:tcPr>
        <w:tcBorders>
          <w:top w:val="single" w:sz="8" w:space="0" w:color="8CBCCF" w:themeColor="accent1" w:themeTint="BF"/>
          <w:left w:val="single" w:sz="8" w:space="0" w:color="8CBCCF" w:themeColor="accent1" w:themeTint="BF"/>
          <w:bottom w:val="single" w:sz="8" w:space="0" w:color="8CBCCF" w:themeColor="accent1" w:themeTint="BF"/>
          <w:right w:val="single" w:sz="8" w:space="0" w:color="8CBCCF" w:themeColor="accent1" w:themeTint="BF"/>
          <w:insideH w:val="nil"/>
          <w:insideV w:val="nil"/>
        </w:tcBorders>
        <w:shd w:val="clear" w:color="auto" w:fill="67A7C0" w:themeFill="accent1"/>
      </w:tcPr>
    </w:tblStylePr>
    <w:tblStylePr w:type="lastRow">
      <w:pPr>
        <w:spacing w:before="0" w:after="0" w:line="240" w:lineRule="auto"/>
      </w:pPr>
      <w:rPr>
        <w:b/>
        <w:bCs/>
      </w:rPr>
      <w:tblPr/>
      <w:tcPr>
        <w:tcBorders>
          <w:top w:val="double" w:sz="6" w:space="0" w:color="8CBCCF" w:themeColor="accent1" w:themeTint="BF"/>
          <w:left w:val="single" w:sz="8" w:space="0" w:color="8CBCCF" w:themeColor="accent1" w:themeTint="BF"/>
          <w:bottom w:val="single" w:sz="8" w:space="0" w:color="8CBCCF" w:themeColor="accent1" w:themeTint="BF"/>
          <w:right w:val="single" w:sz="8" w:space="0" w:color="8CBC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E9EF" w:themeFill="accent1" w:themeFillTint="3F"/>
      </w:tcPr>
    </w:tblStylePr>
    <w:tblStylePr w:type="band1Horz">
      <w:tblPr/>
      <w:tcPr>
        <w:tcBorders>
          <w:insideH w:val="nil"/>
          <w:insideV w:val="nil"/>
        </w:tcBorders>
        <w:shd w:val="clear" w:color="auto" w:fill="D9E9E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95390B"/>
    <w:tblPr>
      <w:tblStyleRowBandSize w:val="1"/>
      <w:tblStyleColBandSize w:val="1"/>
      <w:tblBorders>
        <w:top w:val="single" w:sz="8" w:space="0" w:color="C932B4" w:themeColor="accent2" w:themeTint="BF"/>
        <w:left w:val="single" w:sz="8" w:space="0" w:color="C932B4" w:themeColor="accent2" w:themeTint="BF"/>
        <w:bottom w:val="single" w:sz="8" w:space="0" w:color="C932B4" w:themeColor="accent2" w:themeTint="BF"/>
        <w:right w:val="single" w:sz="8" w:space="0" w:color="C932B4" w:themeColor="accent2" w:themeTint="BF"/>
        <w:insideH w:val="single" w:sz="8" w:space="0" w:color="C932B4" w:themeColor="accent2" w:themeTint="BF"/>
      </w:tblBorders>
    </w:tblPr>
    <w:tblStylePr w:type="firstRow">
      <w:pPr>
        <w:spacing w:before="0" w:after="0" w:line="240" w:lineRule="auto"/>
      </w:pPr>
      <w:rPr>
        <w:b/>
        <w:bCs/>
        <w:color w:val="FFFFFF" w:themeColor="background1"/>
      </w:rPr>
      <w:tblPr/>
      <w:tcPr>
        <w:tcBorders>
          <w:top w:val="single" w:sz="8" w:space="0" w:color="C932B4" w:themeColor="accent2" w:themeTint="BF"/>
          <w:left w:val="single" w:sz="8" w:space="0" w:color="C932B4" w:themeColor="accent2" w:themeTint="BF"/>
          <w:bottom w:val="single" w:sz="8" w:space="0" w:color="C932B4" w:themeColor="accent2" w:themeTint="BF"/>
          <w:right w:val="single" w:sz="8" w:space="0" w:color="C932B4" w:themeColor="accent2" w:themeTint="BF"/>
          <w:insideH w:val="nil"/>
          <w:insideV w:val="nil"/>
        </w:tcBorders>
        <w:shd w:val="clear" w:color="auto" w:fill="842177" w:themeFill="accent2"/>
      </w:tcPr>
    </w:tblStylePr>
    <w:tblStylePr w:type="lastRow">
      <w:pPr>
        <w:spacing w:before="0" w:after="0" w:line="240" w:lineRule="auto"/>
      </w:pPr>
      <w:rPr>
        <w:b/>
        <w:bCs/>
      </w:rPr>
      <w:tblPr/>
      <w:tcPr>
        <w:tcBorders>
          <w:top w:val="double" w:sz="6" w:space="0" w:color="C932B4" w:themeColor="accent2" w:themeTint="BF"/>
          <w:left w:val="single" w:sz="8" w:space="0" w:color="C932B4" w:themeColor="accent2" w:themeTint="BF"/>
          <w:bottom w:val="single" w:sz="8" w:space="0" w:color="C932B4" w:themeColor="accent2" w:themeTint="BF"/>
          <w:right w:val="single" w:sz="8" w:space="0" w:color="C932B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BAE7" w:themeFill="accent2" w:themeFillTint="3F"/>
      </w:tcPr>
    </w:tblStylePr>
    <w:tblStylePr w:type="band1Horz">
      <w:tblPr/>
      <w:tcPr>
        <w:tcBorders>
          <w:insideH w:val="nil"/>
          <w:insideV w:val="nil"/>
        </w:tcBorders>
        <w:shd w:val="clear" w:color="auto" w:fill="EEBAE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95390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95390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95390B"/>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95390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53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953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A7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A7C0" w:themeFill="accent1"/>
      </w:tcPr>
    </w:tblStylePr>
    <w:tblStylePr w:type="lastCol">
      <w:rPr>
        <w:b/>
        <w:bCs/>
        <w:color w:val="FFFFFF" w:themeColor="background1"/>
      </w:rPr>
      <w:tblPr/>
      <w:tcPr>
        <w:tcBorders>
          <w:left w:val="nil"/>
          <w:right w:val="nil"/>
          <w:insideH w:val="nil"/>
          <w:insideV w:val="nil"/>
        </w:tcBorders>
        <w:shd w:val="clear" w:color="auto" w:fill="67A7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953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21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2177" w:themeFill="accent2"/>
      </w:tcPr>
    </w:tblStylePr>
    <w:tblStylePr w:type="lastCol">
      <w:rPr>
        <w:b/>
        <w:bCs/>
        <w:color w:val="FFFFFF" w:themeColor="background1"/>
      </w:rPr>
      <w:tblPr/>
      <w:tcPr>
        <w:tcBorders>
          <w:left w:val="nil"/>
          <w:right w:val="nil"/>
          <w:insideH w:val="nil"/>
          <w:insideV w:val="nil"/>
        </w:tcBorders>
        <w:shd w:val="clear" w:color="auto" w:fill="8421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953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953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953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953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95390B"/>
    <w:rPr>
      <w:color w:val="2B579A"/>
      <w:shd w:val="clear" w:color="auto" w:fill="E1DFDD"/>
    </w:rPr>
  </w:style>
  <w:style w:type="paragraph" w:styleId="Berichtkop">
    <w:name w:val="Message Header"/>
    <w:basedOn w:val="Standaard"/>
    <w:link w:val="BerichtkopChar"/>
    <w:uiPriority w:val="99"/>
    <w:semiHidden/>
    <w:unhideWhenUsed/>
    <w:rsid w:val="0095390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95390B"/>
    <w:rPr>
      <w:rFonts w:asciiTheme="majorHAnsi" w:eastAsiaTheme="majorEastAsia" w:hAnsiTheme="majorHAnsi" w:cstheme="majorBidi"/>
      <w:sz w:val="24"/>
      <w:szCs w:val="24"/>
      <w:shd w:val="pct20" w:color="auto" w:fill="auto"/>
    </w:rPr>
  </w:style>
  <w:style w:type="paragraph" w:styleId="Geenafstand">
    <w:name w:val="No Spacing"/>
    <w:uiPriority w:val="1"/>
    <w:qFormat/>
    <w:rsid w:val="0095390B"/>
  </w:style>
  <w:style w:type="paragraph" w:styleId="Normaalweb">
    <w:name w:val="Normal (Web)"/>
    <w:basedOn w:val="Standaard"/>
    <w:uiPriority w:val="99"/>
    <w:semiHidden/>
    <w:unhideWhenUsed/>
    <w:rsid w:val="0095390B"/>
    <w:rPr>
      <w:rFonts w:ascii="Times New Roman" w:hAnsi="Times New Roman" w:cs="Times New Roman"/>
      <w:sz w:val="24"/>
      <w:szCs w:val="24"/>
    </w:rPr>
  </w:style>
  <w:style w:type="paragraph" w:styleId="Standaardinspringing">
    <w:name w:val="Normal Indent"/>
    <w:basedOn w:val="Standaard"/>
    <w:uiPriority w:val="99"/>
    <w:semiHidden/>
    <w:unhideWhenUsed/>
    <w:rsid w:val="0095390B"/>
    <w:pPr>
      <w:ind w:left="708"/>
    </w:pPr>
  </w:style>
  <w:style w:type="paragraph" w:styleId="Notitiekop">
    <w:name w:val="Note Heading"/>
    <w:basedOn w:val="Standaard"/>
    <w:next w:val="Standaard"/>
    <w:link w:val="NotitiekopChar"/>
    <w:uiPriority w:val="99"/>
    <w:semiHidden/>
    <w:unhideWhenUsed/>
    <w:rsid w:val="0095390B"/>
    <w:pPr>
      <w:spacing w:line="240" w:lineRule="auto"/>
    </w:pPr>
  </w:style>
  <w:style w:type="character" w:customStyle="1" w:styleId="NotitiekopChar">
    <w:name w:val="Notitiekop Char"/>
    <w:basedOn w:val="Standaardalinea-lettertype"/>
    <w:link w:val="Notitiekop"/>
    <w:uiPriority w:val="99"/>
    <w:semiHidden/>
    <w:rsid w:val="0095390B"/>
  </w:style>
  <w:style w:type="character" w:styleId="Paginanummer">
    <w:name w:val="page number"/>
    <w:basedOn w:val="Standaardalinea-lettertype"/>
    <w:uiPriority w:val="99"/>
    <w:semiHidden/>
    <w:unhideWhenUsed/>
    <w:rsid w:val="0095390B"/>
  </w:style>
  <w:style w:type="table" w:styleId="Onopgemaaktetabel2">
    <w:name w:val="Plain Table 2"/>
    <w:basedOn w:val="Standaardtabel"/>
    <w:uiPriority w:val="42"/>
    <w:rsid w:val="009539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95390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539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9539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95390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5390B"/>
    <w:rPr>
      <w:rFonts w:ascii="Consolas" w:hAnsi="Consolas"/>
      <w:sz w:val="21"/>
      <w:szCs w:val="21"/>
    </w:rPr>
  </w:style>
  <w:style w:type="paragraph" w:styleId="Citaat">
    <w:name w:val="Quote"/>
    <w:basedOn w:val="Standaard"/>
    <w:next w:val="Standaard"/>
    <w:link w:val="CitaatChar"/>
    <w:uiPriority w:val="29"/>
    <w:qFormat/>
    <w:rsid w:val="0095390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95390B"/>
    <w:rPr>
      <w:i/>
      <w:iCs/>
      <w:color w:val="404040" w:themeColor="text1" w:themeTint="BF"/>
    </w:rPr>
  </w:style>
  <w:style w:type="paragraph" w:styleId="Aanhef">
    <w:name w:val="Salutation"/>
    <w:basedOn w:val="Standaard"/>
    <w:next w:val="Standaard"/>
    <w:link w:val="AanhefChar"/>
    <w:uiPriority w:val="99"/>
    <w:semiHidden/>
    <w:unhideWhenUsed/>
    <w:rsid w:val="0095390B"/>
  </w:style>
  <w:style w:type="character" w:customStyle="1" w:styleId="AanhefChar">
    <w:name w:val="Aanhef Char"/>
    <w:basedOn w:val="Standaardalinea-lettertype"/>
    <w:link w:val="Aanhef"/>
    <w:uiPriority w:val="99"/>
    <w:semiHidden/>
    <w:rsid w:val="0095390B"/>
  </w:style>
  <w:style w:type="paragraph" w:styleId="Handtekening">
    <w:name w:val="Signature"/>
    <w:basedOn w:val="Standaard"/>
    <w:link w:val="HandtekeningChar"/>
    <w:uiPriority w:val="99"/>
    <w:semiHidden/>
    <w:unhideWhenUsed/>
    <w:rsid w:val="0095390B"/>
    <w:pPr>
      <w:spacing w:line="240" w:lineRule="auto"/>
      <w:ind w:left="4252"/>
    </w:pPr>
  </w:style>
  <w:style w:type="character" w:customStyle="1" w:styleId="HandtekeningChar">
    <w:name w:val="Handtekening Char"/>
    <w:basedOn w:val="Standaardalinea-lettertype"/>
    <w:link w:val="Handtekening"/>
    <w:uiPriority w:val="99"/>
    <w:semiHidden/>
    <w:rsid w:val="0095390B"/>
  </w:style>
  <w:style w:type="character" w:styleId="Slimmehyperlink">
    <w:name w:val="Smart Hyperlink"/>
    <w:basedOn w:val="Standaardalinea-lettertype"/>
    <w:uiPriority w:val="99"/>
    <w:semiHidden/>
    <w:unhideWhenUsed/>
    <w:rsid w:val="0095390B"/>
    <w:rPr>
      <w:u w:val="dotted"/>
    </w:rPr>
  </w:style>
  <w:style w:type="character" w:styleId="SmartLink">
    <w:name w:val="Smart Link"/>
    <w:basedOn w:val="Standaardalinea-lettertype"/>
    <w:uiPriority w:val="99"/>
    <w:semiHidden/>
    <w:unhideWhenUsed/>
    <w:rsid w:val="0095390B"/>
    <w:rPr>
      <w:color w:val="0000FF"/>
      <w:u w:val="single"/>
      <w:shd w:val="clear" w:color="auto" w:fill="F3F2F1"/>
    </w:rPr>
  </w:style>
  <w:style w:type="character" w:styleId="Zwaar">
    <w:name w:val="Strong"/>
    <w:basedOn w:val="Standaardalinea-lettertype"/>
    <w:uiPriority w:val="22"/>
    <w:qFormat/>
    <w:rsid w:val="0095390B"/>
    <w:rPr>
      <w:b/>
      <w:bCs/>
    </w:rPr>
  </w:style>
  <w:style w:type="character" w:styleId="Subtielebenadrukking">
    <w:name w:val="Subtle Emphasis"/>
    <w:basedOn w:val="Standaardalinea-lettertype"/>
    <w:uiPriority w:val="19"/>
    <w:qFormat/>
    <w:rsid w:val="0095390B"/>
    <w:rPr>
      <w:i/>
      <w:iCs/>
      <w:color w:val="404040" w:themeColor="text1" w:themeTint="BF"/>
    </w:rPr>
  </w:style>
  <w:style w:type="character" w:styleId="Subtieleverwijzing">
    <w:name w:val="Subtle Reference"/>
    <w:basedOn w:val="Standaardalinea-lettertype"/>
    <w:uiPriority w:val="31"/>
    <w:qFormat/>
    <w:rsid w:val="0095390B"/>
    <w:rPr>
      <w:smallCaps/>
      <w:color w:val="5A5A5A" w:themeColor="text1" w:themeTint="A5"/>
    </w:rPr>
  </w:style>
  <w:style w:type="table" w:styleId="3D-effectenvoortabel1">
    <w:name w:val="Table 3D effects 1"/>
    <w:basedOn w:val="Standaardtabel"/>
    <w:uiPriority w:val="99"/>
    <w:semiHidden/>
    <w:unhideWhenUsed/>
    <w:rsid w:val="0095390B"/>
    <w:pPr>
      <w:spacing w:line="283"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95390B"/>
    <w:pPr>
      <w:spacing w:line="283"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95390B"/>
    <w:pPr>
      <w:spacing w:line="283"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95390B"/>
    <w:pPr>
      <w:spacing w:line="283"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95390B"/>
    <w:pPr>
      <w:spacing w:line="283"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95390B"/>
    <w:pPr>
      <w:spacing w:line="283"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95390B"/>
    <w:pPr>
      <w:spacing w:line="283"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95390B"/>
    <w:pPr>
      <w:spacing w:line="283"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95390B"/>
    <w:pPr>
      <w:spacing w:line="283"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95390B"/>
    <w:pPr>
      <w:spacing w:line="283"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95390B"/>
    <w:pPr>
      <w:spacing w:line="283"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95390B"/>
    <w:pPr>
      <w:spacing w:line="283"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95390B"/>
    <w:pPr>
      <w:spacing w:line="283"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95390B"/>
    <w:pPr>
      <w:spacing w:line="283"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95390B"/>
    <w:pPr>
      <w:spacing w:line="283"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95390B"/>
    <w:pPr>
      <w:spacing w:line="283"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95390B"/>
    <w:pPr>
      <w:spacing w:line="283"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95390B"/>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95390B"/>
    <w:pPr>
      <w:spacing w:line="283"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95390B"/>
    <w:pPr>
      <w:spacing w:line="283"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95390B"/>
    <w:pPr>
      <w:spacing w:line="283"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95390B"/>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95390B"/>
    <w:pPr>
      <w:spacing w:line="283"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95390B"/>
    <w:pPr>
      <w:spacing w:line="283"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95390B"/>
    <w:pPr>
      <w:spacing w:line="283"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9539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95390B"/>
    <w:pPr>
      <w:spacing w:line="283"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95390B"/>
    <w:pPr>
      <w:spacing w:line="283"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95390B"/>
    <w:pPr>
      <w:spacing w:line="283"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95390B"/>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95390B"/>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95390B"/>
    <w:pPr>
      <w:spacing w:line="283"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95390B"/>
    <w:pPr>
      <w:spacing w:line="283"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95390B"/>
    <w:pPr>
      <w:spacing w:line="283"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95390B"/>
    <w:pPr>
      <w:ind w:left="180" w:hanging="180"/>
    </w:pPr>
  </w:style>
  <w:style w:type="paragraph" w:styleId="Lijstmetafbeeldingen">
    <w:name w:val="table of figures"/>
    <w:basedOn w:val="Standaard"/>
    <w:next w:val="Standaard"/>
    <w:uiPriority w:val="99"/>
    <w:semiHidden/>
    <w:unhideWhenUsed/>
    <w:rsid w:val="0095390B"/>
  </w:style>
  <w:style w:type="table" w:styleId="Professioneletabel">
    <w:name w:val="Table Professional"/>
    <w:basedOn w:val="Standaardtabel"/>
    <w:uiPriority w:val="99"/>
    <w:semiHidden/>
    <w:unhideWhenUsed/>
    <w:rsid w:val="0095390B"/>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95390B"/>
    <w:pPr>
      <w:spacing w:line="283"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95390B"/>
    <w:pPr>
      <w:spacing w:line="283"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95390B"/>
    <w:pPr>
      <w:spacing w:line="283"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95390B"/>
    <w:pPr>
      <w:spacing w:line="283"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95390B"/>
    <w:pPr>
      <w:spacing w:line="283"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95390B"/>
    <w:pPr>
      <w:spacing w:line="283"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95390B"/>
    <w:pPr>
      <w:spacing w:line="283"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95390B"/>
    <w:pPr>
      <w:spacing w:line="283"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95390B"/>
    <w:pPr>
      <w:spacing w:line="283"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95390B"/>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95390B"/>
    <w:pPr>
      <w:spacing w:after="100"/>
    </w:pPr>
  </w:style>
  <w:style w:type="paragraph" w:styleId="Inhopg2">
    <w:name w:val="toc 2"/>
    <w:basedOn w:val="Standaard"/>
    <w:next w:val="Standaard"/>
    <w:autoRedefine/>
    <w:uiPriority w:val="39"/>
    <w:semiHidden/>
    <w:unhideWhenUsed/>
    <w:rsid w:val="0095390B"/>
    <w:pPr>
      <w:spacing w:after="100"/>
      <w:ind w:left="180"/>
    </w:pPr>
  </w:style>
  <w:style w:type="paragraph" w:styleId="Inhopg3">
    <w:name w:val="toc 3"/>
    <w:basedOn w:val="Standaard"/>
    <w:next w:val="Standaard"/>
    <w:autoRedefine/>
    <w:uiPriority w:val="39"/>
    <w:semiHidden/>
    <w:unhideWhenUsed/>
    <w:rsid w:val="0095390B"/>
    <w:pPr>
      <w:spacing w:after="100"/>
      <w:ind w:left="360"/>
    </w:pPr>
  </w:style>
  <w:style w:type="paragraph" w:styleId="Inhopg4">
    <w:name w:val="toc 4"/>
    <w:basedOn w:val="Standaard"/>
    <w:next w:val="Standaard"/>
    <w:autoRedefine/>
    <w:uiPriority w:val="39"/>
    <w:semiHidden/>
    <w:unhideWhenUsed/>
    <w:rsid w:val="0095390B"/>
    <w:pPr>
      <w:spacing w:after="100"/>
      <w:ind w:left="540"/>
    </w:pPr>
  </w:style>
  <w:style w:type="paragraph" w:styleId="Inhopg5">
    <w:name w:val="toc 5"/>
    <w:basedOn w:val="Standaard"/>
    <w:next w:val="Standaard"/>
    <w:autoRedefine/>
    <w:uiPriority w:val="39"/>
    <w:semiHidden/>
    <w:unhideWhenUsed/>
    <w:rsid w:val="0095390B"/>
    <w:pPr>
      <w:spacing w:after="100"/>
      <w:ind w:left="720"/>
    </w:pPr>
  </w:style>
  <w:style w:type="paragraph" w:styleId="Inhopg6">
    <w:name w:val="toc 6"/>
    <w:basedOn w:val="Standaard"/>
    <w:next w:val="Standaard"/>
    <w:autoRedefine/>
    <w:uiPriority w:val="39"/>
    <w:semiHidden/>
    <w:unhideWhenUsed/>
    <w:rsid w:val="0095390B"/>
    <w:pPr>
      <w:spacing w:after="100"/>
      <w:ind w:left="900"/>
    </w:pPr>
  </w:style>
  <w:style w:type="paragraph" w:styleId="Inhopg7">
    <w:name w:val="toc 7"/>
    <w:basedOn w:val="Standaard"/>
    <w:next w:val="Standaard"/>
    <w:autoRedefine/>
    <w:uiPriority w:val="39"/>
    <w:semiHidden/>
    <w:unhideWhenUsed/>
    <w:rsid w:val="0095390B"/>
    <w:pPr>
      <w:spacing w:after="100"/>
      <w:ind w:left="1080"/>
    </w:pPr>
  </w:style>
  <w:style w:type="paragraph" w:styleId="Inhopg8">
    <w:name w:val="toc 8"/>
    <w:basedOn w:val="Standaard"/>
    <w:next w:val="Standaard"/>
    <w:autoRedefine/>
    <w:uiPriority w:val="39"/>
    <w:semiHidden/>
    <w:unhideWhenUsed/>
    <w:rsid w:val="0095390B"/>
    <w:pPr>
      <w:spacing w:after="100"/>
      <w:ind w:left="1260"/>
    </w:pPr>
  </w:style>
  <w:style w:type="paragraph" w:styleId="Inhopg9">
    <w:name w:val="toc 9"/>
    <w:basedOn w:val="Standaard"/>
    <w:next w:val="Standaard"/>
    <w:autoRedefine/>
    <w:uiPriority w:val="39"/>
    <w:semiHidden/>
    <w:unhideWhenUsed/>
    <w:rsid w:val="0095390B"/>
    <w:pPr>
      <w:spacing w:after="100"/>
      <w:ind w:left="1440"/>
    </w:pPr>
  </w:style>
  <w:style w:type="paragraph" w:styleId="Kopvaninhoudsopgave">
    <w:name w:val="TOC Heading"/>
    <w:basedOn w:val="Kop1"/>
    <w:next w:val="Standaard"/>
    <w:uiPriority w:val="39"/>
    <w:semiHidden/>
    <w:unhideWhenUsed/>
    <w:qFormat/>
    <w:rsid w:val="0095390B"/>
    <w:pPr>
      <w:keepNext/>
      <w:keepLines/>
      <w:spacing w:before="240" w:line="283" w:lineRule="atLeast"/>
      <w:outlineLvl w:val="9"/>
    </w:pPr>
    <w:rPr>
      <w:rFonts w:asciiTheme="majorHAnsi" w:eastAsiaTheme="majorEastAsia" w:hAnsiTheme="majorHAnsi" w:cstheme="majorBidi"/>
      <w:b w:val="0"/>
      <w:color w:val="40829B" w:themeColor="accent1" w:themeShade="BF"/>
      <w:sz w:val="32"/>
      <w:szCs w:val="32"/>
    </w:rPr>
  </w:style>
  <w:style w:type="character" w:styleId="Onopgelostemelding">
    <w:name w:val="Unresolved Mention"/>
    <w:basedOn w:val="Standaardalinea-lettertype"/>
    <w:uiPriority w:val="99"/>
    <w:semiHidden/>
    <w:unhideWhenUsed/>
    <w:rsid w:val="0095390B"/>
    <w:rPr>
      <w:color w:val="605E5C"/>
      <w:shd w:val="clear" w:color="auto" w:fill="E1DFDD"/>
    </w:rPr>
  </w:style>
  <w:style w:type="paragraph" w:customStyle="1" w:styleId="DatumSub">
    <w:name w:val="_Datum/Sub"/>
    <w:basedOn w:val="Standaard"/>
    <w:rsid w:val="0095390B"/>
    <w:pPr>
      <w:spacing w:line="280" w:lineRule="atLeast"/>
    </w:pPr>
    <w:rPr>
      <w:rFonts w:asciiTheme="majorHAnsi" w:hAnsiTheme="majorHAnsi"/>
      <w:color w:val="000000" w:themeColor="text1"/>
      <w:sz w:val="14"/>
      <w:szCs w:val="14"/>
      <w:lang w:val="en-GB"/>
    </w:rPr>
  </w:style>
  <w:style w:type="paragraph" w:customStyle="1" w:styleId="KaderKop">
    <w:name w:val="_KaderKop"/>
    <w:basedOn w:val="Standaard"/>
    <w:next w:val="Standaard"/>
    <w:qFormat/>
    <w:rsid w:val="0095390B"/>
    <w:pPr>
      <w:spacing w:before="160" w:line="240" w:lineRule="atLeast"/>
      <w:ind w:left="170" w:right="113"/>
    </w:pPr>
    <w:rPr>
      <w:rFonts w:asciiTheme="majorHAnsi" w:hAnsiTheme="majorHAnsi"/>
      <w:b/>
      <w:bCs/>
      <w:color w:val="842177" w:themeColor="accent2"/>
      <w:sz w:val="16"/>
      <w:szCs w:val="16"/>
    </w:rPr>
  </w:style>
  <w:style w:type="table" w:customStyle="1" w:styleId="KaderPW">
    <w:name w:val="_KaderPW"/>
    <w:basedOn w:val="Standaardtabel"/>
    <w:uiPriority w:val="99"/>
    <w:rsid w:val="0095390B"/>
    <w:rPr>
      <w:rFonts w:asciiTheme="majorHAnsi" w:hAnsiTheme="majorHAnsi"/>
      <w:color w:val="000000" w:themeColor="text1"/>
    </w:rPr>
    <w:tblPr>
      <w:tblCellMar>
        <w:left w:w="0" w:type="dxa"/>
        <w:bottom w:w="142" w:type="dxa"/>
        <w:right w:w="0" w:type="dxa"/>
      </w:tblCellMar>
    </w:tblPr>
    <w:tcPr>
      <w:shd w:val="clear" w:color="auto" w:fill="B0CEDE"/>
    </w:tcPr>
  </w:style>
  <w:style w:type="paragraph" w:customStyle="1" w:styleId="KaderTekst">
    <w:name w:val="_KaderTekst"/>
    <w:basedOn w:val="Standaard"/>
    <w:qFormat/>
    <w:rsid w:val="0095390B"/>
    <w:pPr>
      <w:spacing w:line="240" w:lineRule="atLeast"/>
      <w:ind w:left="170" w:right="113"/>
    </w:pPr>
    <w:rPr>
      <w:rFonts w:asciiTheme="majorHAnsi" w:hAnsiTheme="majorHAnsi"/>
      <w:color w:val="000000" w:themeColor="text1"/>
      <w:sz w:val="16"/>
      <w:szCs w:val="16"/>
    </w:rPr>
  </w:style>
  <w:style w:type="paragraph" w:customStyle="1" w:styleId="Opsomming">
    <w:name w:val="_Opsomming"/>
    <w:link w:val="OpsommingChar"/>
    <w:qFormat/>
    <w:rsid w:val="0095390B"/>
    <w:pPr>
      <w:numPr>
        <w:numId w:val="38"/>
      </w:numPr>
      <w:spacing w:line="280" w:lineRule="atLeast"/>
    </w:pPr>
    <w:rPr>
      <w:rFonts w:ascii="Source Serif Variable" w:hAnsi="Source Serif Variable"/>
      <w:color w:val="000000" w:themeColor="text1"/>
      <w:szCs w:val="15"/>
    </w:rPr>
  </w:style>
  <w:style w:type="character" w:customStyle="1" w:styleId="OpsommingChar">
    <w:name w:val="_Opsomming Char"/>
    <w:basedOn w:val="Standaardalinea-lettertype"/>
    <w:link w:val="Opsomming"/>
    <w:rsid w:val="0095390B"/>
    <w:rPr>
      <w:rFonts w:ascii="Source Serif Variable" w:hAnsi="Source Serif Variable"/>
      <w:color w:val="000000" w:themeColor="text1"/>
      <w:szCs w:val="15"/>
    </w:rPr>
  </w:style>
  <w:style w:type="paragraph" w:customStyle="1" w:styleId="OpsommingGenummerd">
    <w:name w:val="_OpsommingGenummerd"/>
    <w:basedOn w:val="Lijstalinea"/>
    <w:qFormat/>
    <w:rsid w:val="0095390B"/>
    <w:pPr>
      <w:numPr>
        <w:numId w:val="39"/>
      </w:numPr>
      <w:spacing w:line="280" w:lineRule="atLeast"/>
    </w:pPr>
    <w:rPr>
      <w:color w:val="000000" w:themeColor="text1"/>
    </w:rPr>
  </w:style>
  <w:style w:type="paragraph" w:customStyle="1" w:styleId="Samenwerking">
    <w:name w:val="_Samenwerking"/>
    <w:basedOn w:val="Standaard"/>
    <w:rsid w:val="0095390B"/>
    <w:pPr>
      <w:spacing w:before="480" w:line="280" w:lineRule="atLeast"/>
      <w:ind w:left="1474"/>
    </w:pPr>
    <w:rPr>
      <w:rFonts w:ascii="Source Serif Variable" w:hAnsi="Source Serif Variable"/>
      <w:color w:val="7F7F7F" w:themeColor="text1" w:themeTint="80"/>
      <w:sz w:val="14"/>
      <w:szCs w:val="14"/>
    </w:rPr>
  </w:style>
  <w:style w:type="paragraph" w:customStyle="1" w:styleId="Kop">
    <w:name w:val="_Kop"/>
    <w:basedOn w:val="Titel"/>
    <w:qFormat/>
    <w:rsid w:val="00807A95"/>
    <w:pPr>
      <w:spacing w:line="540" w:lineRule="atLeast"/>
    </w:pPr>
    <w:rPr>
      <w:sz w:val="48"/>
    </w:rPr>
  </w:style>
  <w:style w:type="table" w:customStyle="1" w:styleId="PWTabel">
    <w:name w:val="_PWTabel"/>
    <w:basedOn w:val="Standaardtabel"/>
    <w:uiPriority w:val="99"/>
    <w:rsid w:val="00AE7D67"/>
    <w:rPr>
      <w:rFonts w:asciiTheme="majorHAnsi" w:hAnsiTheme="majorHAnsi"/>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000000" w:themeColor="text1"/>
        <w:sz w:val="17"/>
      </w:rPr>
      <w:tblPr/>
      <w:tcPr>
        <w:shd w:val="clear" w:color="auto" w:fill="B0CEDE"/>
      </w:tcPr>
    </w:tblStylePr>
  </w:style>
  <w:style w:type="table" w:customStyle="1" w:styleId="TableGrid1">
    <w:name w:val="Table Grid1"/>
    <w:basedOn w:val="Standaardtabel"/>
    <w:next w:val="Tabelraster"/>
    <w:uiPriority w:val="39"/>
    <w:rsid w:val="00807A95"/>
    <w:pPr>
      <w:spacing w:line="280" w:lineRule="atLeast"/>
    </w:pPr>
    <w:rPr>
      <w:rFonts w:asciiTheme="majorHAnsi" w:hAnsiTheme="majorHAnsi"/>
      <w:color w:val="842177" w:themeColor="accent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eurs">
    <w:name w:val="_Auteurs"/>
    <w:basedOn w:val="Standaard"/>
    <w:rsid w:val="00807A95"/>
    <w:pPr>
      <w:spacing w:line="280" w:lineRule="atLeast"/>
    </w:pPr>
    <w:rPr>
      <w:rFonts w:asciiTheme="majorHAnsi" w:hAnsiTheme="majorHAnsi"/>
      <w:color w:val="000000" w:themeColor="text1"/>
      <w:sz w:val="14"/>
      <w:szCs w:val="14"/>
      <w:lang w:val="en-GB"/>
    </w:rPr>
  </w:style>
  <w:style w:type="numbering" w:customStyle="1" w:styleId="Huidigelijst1">
    <w:name w:val="Huidige lijst1"/>
    <w:uiPriority w:val="99"/>
    <w:rsid w:val="0052549E"/>
    <w:pPr>
      <w:numPr>
        <w:numId w:val="45"/>
      </w:numPr>
    </w:pPr>
  </w:style>
  <w:style w:type="paragraph" w:customStyle="1" w:styleId="pf0">
    <w:name w:val="pf0"/>
    <w:basedOn w:val="Standaard"/>
    <w:rsid w:val="00F02C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F02C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766">
      <w:bodyDiv w:val="1"/>
      <w:marLeft w:val="0"/>
      <w:marRight w:val="0"/>
      <w:marTop w:val="0"/>
      <w:marBottom w:val="0"/>
      <w:divBdr>
        <w:top w:val="none" w:sz="0" w:space="0" w:color="auto"/>
        <w:left w:val="none" w:sz="0" w:space="0" w:color="auto"/>
        <w:bottom w:val="none" w:sz="0" w:space="0" w:color="auto"/>
        <w:right w:val="none" w:sz="0" w:space="0" w:color="auto"/>
      </w:divBdr>
    </w:div>
    <w:div w:id="184564390">
      <w:bodyDiv w:val="1"/>
      <w:marLeft w:val="0"/>
      <w:marRight w:val="0"/>
      <w:marTop w:val="0"/>
      <w:marBottom w:val="0"/>
      <w:divBdr>
        <w:top w:val="none" w:sz="0" w:space="0" w:color="auto"/>
        <w:left w:val="none" w:sz="0" w:space="0" w:color="auto"/>
        <w:bottom w:val="none" w:sz="0" w:space="0" w:color="auto"/>
        <w:right w:val="none" w:sz="0" w:space="0" w:color="auto"/>
      </w:divBdr>
    </w:div>
    <w:div w:id="234170172">
      <w:bodyDiv w:val="1"/>
      <w:marLeft w:val="0"/>
      <w:marRight w:val="0"/>
      <w:marTop w:val="0"/>
      <w:marBottom w:val="0"/>
      <w:divBdr>
        <w:top w:val="none" w:sz="0" w:space="0" w:color="auto"/>
        <w:left w:val="none" w:sz="0" w:space="0" w:color="auto"/>
        <w:bottom w:val="none" w:sz="0" w:space="0" w:color="auto"/>
        <w:right w:val="none" w:sz="0" w:space="0" w:color="auto"/>
      </w:divBdr>
    </w:div>
    <w:div w:id="457378505">
      <w:bodyDiv w:val="1"/>
      <w:marLeft w:val="0"/>
      <w:marRight w:val="0"/>
      <w:marTop w:val="0"/>
      <w:marBottom w:val="0"/>
      <w:divBdr>
        <w:top w:val="none" w:sz="0" w:space="0" w:color="auto"/>
        <w:left w:val="none" w:sz="0" w:space="0" w:color="auto"/>
        <w:bottom w:val="none" w:sz="0" w:space="0" w:color="auto"/>
        <w:right w:val="none" w:sz="0" w:space="0" w:color="auto"/>
      </w:divBdr>
    </w:div>
    <w:div w:id="691490379">
      <w:bodyDiv w:val="1"/>
      <w:marLeft w:val="0"/>
      <w:marRight w:val="0"/>
      <w:marTop w:val="0"/>
      <w:marBottom w:val="0"/>
      <w:divBdr>
        <w:top w:val="none" w:sz="0" w:space="0" w:color="auto"/>
        <w:left w:val="none" w:sz="0" w:space="0" w:color="auto"/>
        <w:bottom w:val="none" w:sz="0" w:space="0" w:color="auto"/>
        <w:right w:val="none" w:sz="0" w:space="0" w:color="auto"/>
      </w:divBdr>
    </w:div>
    <w:div w:id="776994818">
      <w:bodyDiv w:val="1"/>
      <w:marLeft w:val="0"/>
      <w:marRight w:val="0"/>
      <w:marTop w:val="0"/>
      <w:marBottom w:val="0"/>
      <w:divBdr>
        <w:top w:val="none" w:sz="0" w:space="0" w:color="auto"/>
        <w:left w:val="none" w:sz="0" w:space="0" w:color="auto"/>
        <w:bottom w:val="none" w:sz="0" w:space="0" w:color="auto"/>
        <w:right w:val="none" w:sz="0" w:space="0" w:color="auto"/>
      </w:divBdr>
    </w:div>
    <w:div w:id="804129731">
      <w:bodyDiv w:val="1"/>
      <w:marLeft w:val="0"/>
      <w:marRight w:val="0"/>
      <w:marTop w:val="0"/>
      <w:marBottom w:val="0"/>
      <w:divBdr>
        <w:top w:val="none" w:sz="0" w:space="0" w:color="auto"/>
        <w:left w:val="none" w:sz="0" w:space="0" w:color="auto"/>
        <w:bottom w:val="none" w:sz="0" w:space="0" w:color="auto"/>
        <w:right w:val="none" w:sz="0" w:space="0" w:color="auto"/>
      </w:divBdr>
      <w:divsChild>
        <w:div w:id="1716268126">
          <w:marLeft w:val="0"/>
          <w:marRight w:val="0"/>
          <w:marTop w:val="0"/>
          <w:marBottom w:val="0"/>
          <w:divBdr>
            <w:top w:val="none" w:sz="0" w:space="0" w:color="auto"/>
            <w:left w:val="none" w:sz="0" w:space="0" w:color="auto"/>
            <w:bottom w:val="none" w:sz="0" w:space="0" w:color="auto"/>
            <w:right w:val="none" w:sz="0" w:space="0" w:color="auto"/>
          </w:divBdr>
          <w:divsChild>
            <w:div w:id="3102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1063">
      <w:bodyDiv w:val="1"/>
      <w:marLeft w:val="0"/>
      <w:marRight w:val="0"/>
      <w:marTop w:val="0"/>
      <w:marBottom w:val="0"/>
      <w:divBdr>
        <w:top w:val="none" w:sz="0" w:space="0" w:color="auto"/>
        <w:left w:val="none" w:sz="0" w:space="0" w:color="auto"/>
        <w:bottom w:val="none" w:sz="0" w:space="0" w:color="auto"/>
        <w:right w:val="none" w:sz="0" w:space="0" w:color="auto"/>
      </w:divBdr>
    </w:div>
    <w:div w:id="949625226">
      <w:bodyDiv w:val="1"/>
      <w:marLeft w:val="0"/>
      <w:marRight w:val="0"/>
      <w:marTop w:val="0"/>
      <w:marBottom w:val="0"/>
      <w:divBdr>
        <w:top w:val="none" w:sz="0" w:space="0" w:color="auto"/>
        <w:left w:val="none" w:sz="0" w:space="0" w:color="auto"/>
        <w:bottom w:val="none" w:sz="0" w:space="0" w:color="auto"/>
        <w:right w:val="none" w:sz="0" w:space="0" w:color="auto"/>
      </w:divBdr>
    </w:div>
    <w:div w:id="971709541">
      <w:bodyDiv w:val="1"/>
      <w:marLeft w:val="0"/>
      <w:marRight w:val="0"/>
      <w:marTop w:val="0"/>
      <w:marBottom w:val="0"/>
      <w:divBdr>
        <w:top w:val="none" w:sz="0" w:space="0" w:color="auto"/>
        <w:left w:val="none" w:sz="0" w:space="0" w:color="auto"/>
        <w:bottom w:val="none" w:sz="0" w:space="0" w:color="auto"/>
        <w:right w:val="none" w:sz="0" w:space="0" w:color="auto"/>
      </w:divBdr>
    </w:div>
    <w:div w:id="1117529950">
      <w:bodyDiv w:val="1"/>
      <w:marLeft w:val="0"/>
      <w:marRight w:val="0"/>
      <w:marTop w:val="0"/>
      <w:marBottom w:val="0"/>
      <w:divBdr>
        <w:top w:val="none" w:sz="0" w:space="0" w:color="auto"/>
        <w:left w:val="none" w:sz="0" w:space="0" w:color="auto"/>
        <w:bottom w:val="none" w:sz="0" w:space="0" w:color="auto"/>
        <w:right w:val="none" w:sz="0" w:space="0" w:color="auto"/>
      </w:divBdr>
    </w:div>
    <w:div w:id="1205798232">
      <w:bodyDiv w:val="1"/>
      <w:marLeft w:val="0"/>
      <w:marRight w:val="0"/>
      <w:marTop w:val="0"/>
      <w:marBottom w:val="0"/>
      <w:divBdr>
        <w:top w:val="none" w:sz="0" w:space="0" w:color="auto"/>
        <w:left w:val="none" w:sz="0" w:space="0" w:color="auto"/>
        <w:bottom w:val="none" w:sz="0" w:space="0" w:color="auto"/>
        <w:right w:val="none" w:sz="0" w:space="0" w:color="auto"/>
      </w:divBdr>
    </w:div>
    <w:div w:id="1253201937">
      <w:bodyDiv w:val="1"/>
      <w:marLeft w:val="0"/>
      <w:marRight w:val="0"/>
      <w:marTop w:val="0"/>
      <w:marBottom w:val="0"/>
      <w:divBdr>
        <w:top w:val="none" w:sz="0" w:space="0" w:color="auto"/>
        <w:left w:val="none" w:sz="0" w:space="0" w:color="auto"/>
        <w:bottom w:val="none" w:sz="0" w:space="0" w:color="auto"/>
        <w:right w:val="none" w:sz="0" w:space="0" w:color="auto"/>
      </w:divBdr>
    </w:div>
    <w:div w:id="1303970960">
      <w:bodyDiv w:val="1"/>
      <w:marLeft w:val="0"/>
      <w:marRight w:val="0"/>
      <w:marTop w:val="0"/>
      <w:marBottom w:val="0"/>
      <w:divBdr>
        <w:top w:val="none" w:sz="0" w:space="0" w:color="auto"/>
        <w:left w:val="none" w:sz="0" w:space="0" w:color="auto"/>
        <w:bottom w:val="none" w:sz="0" w:space="0" w:color="auto"/>
        <w:right w:val="none" w:sz="0" w:space="0" w:color="auto"/>
      </w:divBdr>
    </w:div>
    <w:div w:id="1424571555">
      <w:bodyDiv w:val="1"/>
      <w:marLeft w:val="0"/>
      <w:marRight w:val="0"/>
      <w:marTop w:val="0"/>
      <w:marBottom w:val="0"/>
      <w:divBdr>
        <w:top w:val="none" w:sz="0" w:space="0" w:color="auto"/>
        <w:left w:val="none" w:sz="0" w:space="0" w:color="auto"/>
        <w:bottom w:val="none" w:sz="0" w:space="0" w:color="auto"/>
        <w:right w:val="none" w:sz="0" w:space="0" w:color="auto"/>
      </w:divBdr>
    </w:div>
    <w:div w:id="1747023028">
      <w:bodyDiv w:val="1"/>
      <w:marLeft w:val="0"/>
      <w:marRight w:val="0"/>
      <w:marTop w:val="0"/>
      <w:marBottom w:val="0"/>
      <w:divBdr>
        <w:top w:val="none" w:sz="0" w:space="0" w:color="auto"/>
        <w:left w:val="none" w:sz="0" w:space="0" w:color="auto"/>
        <w:bottom w:val="none" w:sz="0" w:space="0" w:color="auto"/>
        <w:right w:val="none" w:sz="0" w:space="0" w:color="auto"/>
      </w:divBdr>
    </w:div>
    <w:div w:id="211544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no.nl/nl/over-tno/onze-mensen/annelies-huygen/" TargetMode="External" Id="rId13" /><Relationship Type="http://schemas.openxmlformats.org/officeDocument/2006/relationships/image" Target="media/image6.png" Id="rId18" /><Relationship Type="http://schemas.openxmlformats.org/officeDocument/2006/relationships/theme" Target="theme/theme1.xml" Id="rId26" /><Relationship Type="http://schemas.openxmlformats.org/officeDocument/2006/relationships/image" Target="media/image8.png" Id="rId21" /><Relationship Type="http://schemas.openxmlformats.org/officeDocument/2006/relationships/styles" Target="styles.xml" Id="rId7" /><Relationship Type="http://schemas.openxmlformats.org/officeDocument/2006/relationships/hyperlink" Target="https://www.tue.nl/en/research/researchers/floor-alkemade" TargetMode="External" Id="rId12" /><Relationship Type="http://schemas.openxmlformats.org/officeDocument/2006/relationships/image" Target="media/image5.png" Id="rId17" /><Relationship Type="http://schemas.openxmlformats.org/officeDocument/2006/relationships/glossaryDocument" Target="glossary/document.xml" Id="rId25" /><Relationship Type="http://schemas.openxmlformats.org/officeDocument/2006/relationships/header" Target="header1.xml" Id="rId16" /><Relationship Type="http://schemas.openxmlformats.org/officeDocument/2006/relationships/hyperlink" Target="https://www.raadopenbaarbestuur.nl/documenten/publicaties/2024/02/21/onderzoek-kosten-decentrale-uitvoering-van-het-klimaat--en-energiebeleid"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hyperlink" Target="https://www.tweedekamer.nl/kamerstukken/wetsvoorstellen/detail?cfg=wetsvoorsteldetails&amp;qry=wetsvoorstel%3A36576" TargetMode="External" Id="rId15" /><Relationship Type="http://schemas.openxmlformats.org/officeDocument/2006/relationships/header" Target="header3.xml" Id="rId23" /><Relationship Type="http://schemas.openxmlformats.org/officeDocument/2006/relationships/footnotes" Target="footnotes.xml" Id="rId10" /><Relationship Type="http://schemas.openxmlformats.org/officeDocument/2006/relationships/image" Target="media/image7.png" Id="rId19" /><Relationship Type="http://schemas.openxmlformats.org/officeDocument/2006/relationships/webSettings" Target="webSettings.xml" Id="rId9" /><Relationship Type="http://schemas.openxmlformats.org/officeDocument/2006/relationships/hyperlink" Target="https://www.tno.nl/nl/over-tno/onze-mensen/jacob-janssen/" TargetMode="Externa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iee.fraunhofer.de/en/presse-infothek/press-media/overview/2021/guidebook-low-temperature-district-heating-systems.html" TargetMode="External"/><Relationship Id="rId13" Type="http://schemas.openxmlformats.org/officeDocument/2006/relationships/hyperlink" Target="https://www.cell.com/joule/fulltext/S2542-4351(22)00410-X?fbclid=" TargetMode="External"/><Relationship Id="rId3" Type="http://schemas.openxmlformats.org/officeDocument/2006/relationships/hyperlink" Target="https://www.sciencedirect.com/author/6603789284/svend-h-svendsen" TargetMode="External"/><Relationship Id="rId7" Type="http://schemas.openxmlformats.org/officeDocument/2006/relationships/hyperlink" Target="https://www.sciencedirect.com/science/article/pii/S0360544220304965" TargetMode="External"/><Relationship Id="rId12" Type="http://schemas.openxmlformats.org/officeDocument/2006/relationships/hyperlink" Target="https://ce.nl/publicaties/kansen-voor-warmte-koudenetten/" TargetMode="External"/><Relationship Id="rId2" Type="http://schemas.openxmlformats.org/officeDocument/2006/relationships/hyperlink" Target="https://www.sciencedirect.com/science/article/pii/S0360544220304965" TargetMode="External"/><Relationship Id="rId1" Type="http://schemas.openxmlformats.org/officeDocument/2006/relationships/hyperlink" Target="https://www.iee.fraunhofer.de/en/presse-infothek/press-media/overview/2021/guidebook-low-temperature-district-heating-systems.html" TargetMode="External"/><Relationship Id="rId6" Type="http://schemas.openxmlformats.org/officeDocument/2006/relationships/hyperlink" Target="https://www.rijksoverheid.nl/documenten/rapporten/2023/04/13/energie-door-perspectief-rechtvaardig-robuust-en-duurzaam-naar-2050" TargetMode="External"/><Relationship Id="rId11" Type="http://schemas.openxmlformats.org/officeDocument/2006/relationships/hyperlink" Target="https://eur02.safelinks.protection.outlook.com/?url=https%3A%2F%2Fwww.researchgate.net%2Ffigure%2FOverview-of-the-time-intervals-defining-the-four-generations-of-district-heating-systems_fig3_354719762&amp;data=05%7C02%7Cf.alkemade%40tue.nl%7C76e83700c3f14ec683ac08dd8245d1b4%7Ccc7df24760ce4a0f9d75704cf60efc64%7C0%7C0%7C638809958887247224%7CUnknown%7CTWFpbGZsb3d8eyJFbXB0eU1hcGkiOnRydWUsIlYiOiIwLjAuMDAwMCIsIlAiOiJXaW4zMiIsIkFOIjoiTWFpbCIsIldUIjoyfQ%3D%3D%7C0%7C%7C%7C&amp;sdata=xCKO0LkJpsUXKYkqG25rGOhIiNexxINAGvljW7Iwz%2BA%3D&amp;reserved=0" TargetMode="External"/><Relationship Id="rId5" Type="http://schemas.openxmlformats.org/officeDocument/2006/relationships/hyperlink" Target="https://www.tno.nl/nl/newsroom/insights/2024/03/nederlandse-tarief-stadsverwarming/" TargetMode="External"/><Relationship Id="rId15" Type="http://schemas.openxmlformats.org/officeDocument/2006/relationships/hyperlink" Target="https://energy.nl/publications/kostengebaseerde-tarieven-warmtenetten/" TargetMode="External"/><Relationship Id="rId10" Type="http://schemas.openxmlformats.org/officeDocument/2006/relationships/hyperlink" Target="https://www.sciencedirect.com/science/article/pii/S0360544218317420" TargetMode="External"/><Relationship Id="rId4" Type="http://schemas.openxmlformats.org/officeDocument/2006/relationships/hyperlink" Target="https://www.sciencedirect.com/science/article/pii/S0360544218317420" TargetMode="External"/><Relationship Id="rId9" Type="http://schemas.openxmlformats.org/officeDocument/2006/relationships/hyperlink" Target="https://www.sciencedirect.com/author/6603789284/svend-h-svendsen" TargetMode="External"/><Relationship Id="rId14" Type="http://schemas.openxmlformats.org/officeDocument/2006/relationships/hyperlink" Target="https://www.sciencedirect.com/science/article/pii/S22146296250002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0494330-8BC4-4FA2-8B8E-28D48A303B35}"/>
      </w:docPartPr>
      <w:docPartBody>
        <w:p w:rsidR="00D52121" w:rsidRDefault="005E3E40">
          <w:r w:rsidRPr="00CB1A86">
            <w:rPr>
              <w:rStyle w:val="Tekstvantijdelijkeaanduiding"/>
            </w:rPr>
            <w:t>Klik of tik om tekst in te voeren.</w:t>
          </w:r>
        </w:p>
      </w:docPartBody>
    </w:docPart>
    <w:docPart>
      <w:docPartPr>
        <w:name w:val="E959A93D5E5C48C99E2C2E41D3CEF832"/>
        <w:category>
          <w:name w:val="General"/>
          <w:gallery w:val="placeholder"/>
        </w:category>
        <w:types>
          <w:type w:val="bbPlcHdr"/>
        </w:types>
        <w:behaviors>
          <w:behavior w:val="content"/>
        </w:behaviors>
        <w:guid w:val="{344BEB9F-A137-433D-A9B8-AB05A18048F8}"/>
      </w:docPartPr>
      <w:docPartBody>
        <w:p w:rsidR="00AA4CCC" w:rsidRDefault="00860ADB">
          <w:r w:rsidRPr="00807A95">
            <w:t>Titel wetenschapstoets</w:t>
          </w:r>
        </w:p>
      </w:docPartBody>
    </w:docPart>
    <w:docPart>
      <w:docPartPr>
        <w:name w:val="CCE7569F203141D4919B2199F74DA4DB"/>
        <w:category>
          <w:name w:val="General"/>
          <w:gallery w:val="placeholder"/>
        </w:category>
        <w:types>
          <w:type w:val="bbPlcHdr"/>
        </w:types>
        <w:behaviors>
          <w:behavior w:val="content"/>
        </w:behaviors>
        <w:guid w:val="{939CFD35-B41B-4A69-94C5-4FF04ECA31B1}"/>
      </w:docPartPr>
      <w:docPartBody>
        <w:p w:rsidR="00AA4CCC" w:rsidRDefault="00860ADB" w:rsidP="00860ADB">
          <w:pPr>
            <w:pStyle w:val="CCE7569F203141D4919B2199F74DA4DB1"/>
          </w:pPr>
          <w:r w:rsidRPr="00B93DA1">
            <w:rPr>
              <w:rStyle w:val="Tekstvantijdelijkeaanduiding"/>
            </w:rPr>
            <w:t>Titel</w:t>
          </w:r>
        </w:p>
      </w:docPartBody>
    </w:docPart>
    <w:docPart>
      <w:docPartPr>
        <w:name w:val="78D5C562FD2B4F0BB96DB584BD0A268B"/>
        <w:category>
          <w:name w:val="General"/>
          <w:gallery w:val="placeholder"/>
        </w:category>
        <w:types>
          <w:type w:val="bbPlcHdr"/>
        </w:types>
        <w:behaviors>
          <w:behavior w:val="content"/>
        </w:behaviors>
        <w:guid w:val="{9998E2BF-7E19-4143-B15C-9BA156AF0FBC}"/>
      </w:docPartPr>
      <w:docPartBody>
        <w:p w:rsidR="00C53ABD" w:rsidRDefault="00860ADB" w:rsidP="00860ADB">
          <w:pPr>
            <w:pStyle w:val="78D5C562FD2B4F0BB96DB584BD0A268B"/>
          </w:pPr>
          <w:r w:rsidRPr="001625E0">
            <w:t>Titel wets- of beleidsvoorstel en kenmerk bijbehorende kamerbrief</w:t>
          </w:r>
        </w:p>
      </w:docPartBody>
    </w:docPart>
    <w:docPart>
      <w:docPartPr>
        <w:name w:val="31AA4E2FD2318942BD3C2CE58D4B6C84"/>
        <w:category>
          <w:name w:val="Algemeen"/>
          <w:gallery w:val="placeholder"/>
        </w:category>
        <w:types>
          <w:type w:val="bbPlcHdr"/>
        </w:types>
        <w:behaviors>
          <w:behavior w:val="content"/>
        </w:behaviors>
        <w:guid w:val="{712B6837-76EF-DE46-90A2-5F82E33BBD08}"/>
      </w:docPartPr>
      <w:docPartBody>
        <w:p w:rsidR="00194995" w:rsidRDefault="00A80C83" w:rsidP="00A80C83">
          <w:pPr>
            <w:pStyle w:val="31AA4E2FD2318942BD3C2CE58D4B6C84"/>
          </w:pPr>
          <w:r w:rsidRPr="0010165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ource Serif Variable">
    <w:altName w:val="Cambria"/>
    <w:charset w:val="00"/>
    <w:family w:val="roman"/>
    <w:pitch w:val="variable"/>
    <w:sig w:usb0="20000287" w:usb1="02000003" w:usb2="00000000" w:usb3="00000000" w:csb0="0000019F" w:csb1="00000000"/>
  </w:font>
  <w:font w:name="Source Sans 3">
    <w:altName w:val="Calibri"/>
    <w:charset w:val="00"/>
    <w:family w:val="swiss"/>
    <w:pitch w:val="variable"/>
    <w:sig w:usb0="E00002FF" w:usb1="00002003" w:usb2="00000000" w:usb3="00000000" w:csb0="0000019F" w:csb1="00000000"/>
  </w:font>
  <w:font w:name="DejaVu Sans">
    <w:altName w:val="Times New Roma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7D"/>
    <w:rsid w:val="00046E7E"/>
    <w:rsid w:val="000972D5"/>
    <w:rsid w:val="000F6DAD"/>
    <w:rsid w:val="00165217"/>
    <w:rsid w:val="00194995"/>
    <w:rsid w:val="002327A9"/>
    <w:rsid w:val="00246556"/>
    <w:rsid w:val="00252D7D"/>
    <w:rsid w:val="0025775C"/>
    <w:rsid w:val="00383B5A"/>
    <w:rsid w:val="003855A4"/>
    <w:rsid w:val="00390A65"/>
    <w:rsid w:val="00396EBA"/>
    <w:rsid w:val="003D246A"/>
    <w:rsid w:val="003E5B15"/>
    <w:rsid w:val="00460D99"/>
    <w:rsid w:val="00495499"/>
    <w:rsid w:val="004F0EFE"/>
    <w:rsid w:val="004F579C"/>
    <w:rsid w:val="00504902"/>
    <w:rsid w:val="00532B33"/>
    <w:rsid w:val="00536278"/>
    <w:rsid w:val="0054255C"/>
    <w:rsid w:val="0054587B"/>
    <w:rsid w:val="005E3E40"/>
    <w:rsid w:val="00654C50"/>
    <w:rsid w:val="006967D9"/>
    <w:rsid w:val="006C62EC"/>
    <w:rsid w:val="006E3BE7"/>
    <w:rsid w:val="007256DC"/>
    <w:rsid w:val="00772E19"/>
    <w:rsid w:val="00773821"/>
    <w:rsid w:val="00777881"/>
    <w:rsid w:val="007D2861"/>
    <w:rsid w:val="007F1EC8"/>
    <w:rsid w:val="00802EA2"/>
    <w:rsid w:val="00815137"/>
    <w:rsid w:val="00860ADB"/>
    <w:rsid w:val="0086230A"/>
    <w:rsid w:val="00874BCA"/>
    <w:rsid w:val="008A7195"/>
    <w:rsid w:val="0092269A"/>
    <w:rsid w:val="0095224C"/>
    <w:rsid w:val="00A14EDE"/>
    <w:rsid w:val="00A22D59"/>
    <w:rsid w:val="00A441D9"/>
    <w:rsid w:val="00A44837"/>
    <w:rsid w:val="00A80C83"/>
    <w:rsid w:val="00A84075"/>
    <w:rsid w:val="00AA4CCC"/>
    <w:rsid w:val="00B265F6"/>
    <w:rsid w:val="00B5214D"/>
    <w:rsid w:val="00C256AD"/>
    <w:rsid w:val="00C53ABD"/>
    <w:rsid w:val="00C55D40"/>
    <w:rsid w:val="00C71DB5"/>
    <w:rsid w:val="00CE017B"/>
    <w:rsid w:val="00CE38DD"/>
    <w:rsid w:val="00D52121"/>
    <w:rsid w:val="00DB4566"/>
    <w:rsid w:val="00DC4563"/>
    <w:rsid w:val="00DE6AB0"/>
    <w:rsid w:val="00E2759A"/>
    <w:rsid w:val="00E4637B"/>
    <w:rsid w:val="00E60838"/>
    <w:rsid w:val="00E85A1D"/>
    <w:rsid w:val="00E91F3C"/>
    <w:rsid w:val="00EA14DA"/>
    <w:rsid w:val="00EF232C"/>
    <w:rsid w:val="00F160F9"/>
    <w:rsid w:val="00F97AC9"/>
    <w:rsid w:val="00FA1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017B"/>
    <w:rPr>
      <w:color w:val="808080"/>
    </w:rPr>
  </w:style>
  <w:style w:type="paragraph" w:customStyle="1" w:styleId="31AA4E2FD2318942BD3C2CE58D4B6C84">
    <w:name w:val="31AA4E2FD2318942BD3C2CE58D4B6C84"/>
    <w:rsid w:val="00A80C83"/>
    <w:pPr>
      <w:spacing w:line="278" w:lineRule="auto"/>
    </w:pPr>
    <w:rPr>
      <w:kern w:val="2"/>
      <w:sz w:val="24"/>
      <w:szCs w:val="24"/>
      <w:lang w:val="nl-NL" w:eastAsia="nl-NL"/>
      <w14:ligatures w14:val="standardContextual"/>
    </w:rPr>
  </w:style>
  <w:style w:type="paragraph" w:customStyle="1" w:styleId="78D5C562FD2B4F0BB96DB584BD0A268B">
    <w:name w:val="78D5C562FD2B4F0BB96DB584BD0A268B"/>
    <w:rsid w:val="00860ADB"/>
    <w:pPr>
      <w:spacing w:line="278" w:lineRule="auto"/>
    </w:pPr>
    <w:rPr>
      <w:kern w:val="2"/>
      <w:sz w:val="24"/>
      <w:szCs w:val="24"/>
      <w14:ligatures w14:val="standardContextual"/>
    </w:rPr>
  </w:style>
  <w:style w:type="paragraph" w:customStyle="1" w:styleId="CCE7569F203141D4919B2199F74DA4DB1">
    <w:name w:val="CCE7569F203141D4919B2199F74DA4DB1"/>
    <w:rsid w:val="00860ADB"/>
    <w:pPr>
      <w:tabs>
        <w:tab w:val="center" w:pos="4536"/>
        <w:tab w:val="right" w:pos="9072"/>
      </w:tabs>
      <w:spacing w:after="0" w:line="240" w:lineRule="auto"/>
    </w:pPr>
    <w:rPr>
      <w:rFonts w:asciiTheme="majorHAnsi" w:eastAsiaTheme="minorHAnsi" w:hAnsiTheme="majorHAnsi"/>
      <w:smallCaps/>
      <w:sz w:val="15"/>
      <w:szCs w:val="18"/>
      <w:lang w:val="nl-NL"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Parlement en Wetenschap">
      <a:dk1>
        <a:sysClr val="windowText" lastClr="000000"/>
      </a:dk1>
      <a:lt1>
        <a:sysClr val="window" lastClr="FFFFFF"/>
      </a:lt1>
      <a:dk2>
        <a:srgbClr val="44546A"/>
      </a:dk2>
      <a:lt2>
        <a:srgbClr val="E7E6E6"/>
      </a:lt2>
      <a:accent1>
        <a:srgbClr val="67A7C0"/>
      </a:accent1>
      <a:accent2>
        <a:srgbClr val="842177"/>
      </a:accent2>
      <a:accent3>
        <a:srgbClr val="A5A5A5"/>
      </a:accent3>
      <a:accent4>
        <a:srgbClr val="FFC000"/>
      </a:accent4>
      <a:accent5>
        <a:srgbClr val="5B9BD5"/>
      </a:accent5>
      <a:accent6>
        <a:srgbClr val="70AD47"/>
      </a:accent6>
      <a:hlink>
        <a:srgbClr val="0563C1"/>
      </a:hlink>
      <a:folHlink>
        <a:srgbClr val="954F72"/>
      </a:folHlink>
    </a:clrScheme>
    <a:fontScheme name="Parlement en Wetenschap">
      <a:majorFont>
        <a:latin typeface="Source Sans 3"/>
        <a:ea typeface=""/>
        <a:cs typeface=""/>
      </a:majorFont>
      <a:minorFont>
        <a:latin typeface="Source Serif Variable"/>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8972</ap:Words>
  <ap:Characters>54863</ap:Characters>
  <ap:DocSecurity>4</ap:DocSecurity>
  <ap:Lines>457</ap:Lines>
  <ap:Paragraphs>127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Wet collectieve warmte (36576)</vt:lpstr>
      <vt:lpstr>Wet collectieve warmte (36576)</vt:lpstr>
    </vt:vector>
  </ap:TitlesOfParts>
  <ap:LinksUpToDate>false</ap:LinksUpToDate>
  <ap:CharactersWithSpaces>63708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2025-04-29T07:54:00.0000000Z</lastPrinted>
  <dcterms:created xsi:type="dcterms:W3CDTF">2025-05-08T16:19:00.0000000Z</dcterms:created>
  <dcterms:modified xsi:type="dcterms:W3CDTF">2025-05-08T16:19:00.0000000Z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0x010100A35317DCC28344A7B82488658A034A5C0100B439A02958A79B4AACA111D7ECEDF916</vt:lpwstr>
  </property>
  <property fmtid="{D5CDD505-2E9C-101B-9397-08002B2CF9AE}" pid="3" name="SjabloonVersieDatum">
    <vt:lpwstr>03-03-2025</vt:lpwstr>
  </property>
  <property fmtid="{D5CDD505-2E9C-101B-9397-08002B2CF9AE}" pid="4" name="GrammarlyDocumentId">
    <vt:lpwstr>b9301e24-8aa8-4589-85a3-7a6c630258ca</vt:lpwstr>
  </property>
  <property fmtid="{D5CDD505-2E9C-101B-9397-08002B2CF9AE}" pid="5" name="MediaServiceImageTags">
    <vt:lpwstr/>
  </property>
  <property fmtid="{D5CDD505-2E9C-101B-9397-08002B2CF9AE}" pid="6" name="TNOC_DocumentType">
    <vt:lpwstr/>
  </property>
  <property fmtid="{D5CDD505-2E9C-101B-9397-08002B2CF9AE}" pid="7" name="TNOC_ClusterType">
    <vt:lpwstr>1;#Project|fa11c4c9-105f-402c-bb40-9a56b4989397</vt:lpwstr>
  </property>
  <property fmtid="{D5CDD505-2E9C-101B-9397-08002B2CF9AE}" pid="8" name="TNOC_DocumentCategory">
    <vt:lpwstr/>
  </property>
  <property fmtid="{D5CDD505-2E9C-101B-9397-08002B2CF9AE}" pid="9" name="TNOC_DocumentClassification">
    <vt:lpwstr>5;#TNO Internal|1a23c89f-ef54-4907-86fd-8242403ff722</vt:lpwstr>
  </property>
  <property fmtid="{D5CDD505-2E9C-101B-9397-08002B2CF9AE}" pid="10" name="_dlc_DocIdItemGuid">
    <vt:lpwstr>75ff2c33-f1fa-452f-8ee7-2c6dc54f1849</vt:lpwstr>
  </property>
</Properties>
</file>