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7509"/>
      </w:tblGrid>
      <w:tr w:rsidRPr="00AD7C9A" w:rsidR="00331650" w:rsidTr="00314CB6" w14:paraId="5562F257" w14:textId="77777777">
        <w:trPr>
          <w:cantSplit/>
        </w:trPr>
        <w:tc>
          <w:tcPr>
            <w:tcW w:w="7509" w:type="dxa"/>
            <w:shd w:val="clear" w:color="auto" w:fill="auto"/>
          </w:tcPr>
          <w:p w:rsidRPr="00AD7C9A" w:rsidR="00331650" w:rsidP="00D85BDB" w:rsidRDefault="00AD7C9A" w14:paraId="7915D395" w14:textId="5F2D8B60">
            <w:pPr>
              <w:pStyle w:val="doTitle"/>
            </w:pPr>
            <w:bookmarkStart w:name="bmTitle" w:colFirst="0" w:colLast="0" w:id="0"/>
            <w:r>
              <w:t>Position paper voor Rondetafelgesprek Duurzame, gezonde en rendabele voedselproductieketen</w:t>
            </w:r>
          </w:p>
        </w:tc>
      </w:tr>
      <w:bookmarkEnd w:id="0"/>
      <w:tr w:rsidRPr="00AD7C9A" w:rsidR="00331650" w:rsidTr="00314CB6" w14:paraId="7085E09A" w14:textId="77777777">
        <w:trPr>
          <w:cantSplit/>
          <w:trHeight w:val="260" w:hRule="exact"/>
        </w:trPr>
        <w:tc>
          <w:tcPr>
            <w:tcW w:w="7509" w:type="dxa"/>
            <w:shd w:val="clear" w:color="auto" w:fill="auto"/>
          </w:tcPr>
          <w:p w:rsidRPr="00AD7C9A" w:rsidR="00331650" w:rsidP="004B789E" w:rsidRDefault="00331650" w14:paraId="4FF7CD25" w14:textId="77777777"/>
        </w:tc>
      </w:tr>
      <w:tr w:rsidRPr="00AD7C9A" w:rsidR="00331650" w:rsidTr="00314CB6" w14:paraId="1E4A0E18" w14:textId="77777777">
        <w:trPr>
          <w:cantSplit/>
        </w:trPr>
        <w:tc>
          <w:tcPr>
            <w:tcW w:w="7509" w:type="dxa"/>
            <w:shd w:val="clear" w:color="auto" w:fill="auto"/>
          </w:tcPr>
          <w:p w:rsidRPr="00AD7C9A" w:rsidR="00331650" w:rsidP="00B67E25" w:rsidRDefault="00AD7C9A" w14:paraId="5B065DD1" w14:textId="102AB813">
            <w:pPr>
              <w:pStyle w:val="doSubTitle"/>
            </w:pPr>
            <w:bookmarkStart w:name="bmSubTitle" w:colFirst="0" w:colLast="0" w:id="1"/>
            <w:r>
              <w:t>Bijdrage van Wageningen Social &amp; Economic Research</w:t>
            </w:r>
          </w:p>
        </w:tc>
      </w:tr>
      <w:bookmarkEnd w:id="1"/>
    </w:tbl>
    <w:p w:rsidRPr="00AD7C9A" w:rsidR="007E3125" w:rsidRDefault="007E3125" w14:paraId="1A0B692A" w14:textId="77777777">
      <w:pPr>
        <w:sectPr w:rsidRPr="00AD7C9A" w:rsidR="007E3125" w:rsidSect="00EC2D13">
          <w:headerReference w:type="default" r:id="rId9"/>
          <w:headerReference w:type="first" r:id="rId10"/>
          <w:pgSz w:w="11906" w:h="16838" w:code="9"/>
          <w:pgMar w:top="1758" w:right="2410" w:bottom="754" w:left="1985" w:header="805" w:footer="397" w:gutter="0"/>
          <w:paperSrc w:first="7" w:other="7"/>
          <w:cols w:space="708"/>
          <w:titlePg/>
          <w:docGrid w:linePitch="360"/>
        </w:sectPr>
      </w:pPr>
    </w:p>
    <w:p w:rsidRPr="00AD7C9A" w:rsidR="007E3125" w:rsidRDefault="00AD7C9A" w14:paraId="42CE3DCF" w14:textId="5975D562">
      <w:pPr>
        <w:rPr>
          <w:b/>
          <w:sz w:val="20"/>
          <w:szCs w:val="20"/>
        </w:rPr>
      </w:pPr>
      <w:bookmarkStart w:name="Content" w:id="22"/>
      <w:r>
        <w:rPr>
          <w:b/>
          <w:sz w:val="20"/>
          <w:szCs w:val="20"/>
        </w:rPr>
        <w:lastRenderedPageBreak/>
        <w:t>Inhoudsopgave</w:t>
      </w:r>
      <w:bookmarkEnd w:id="22"/>
    </w:p>
    <w:p w:rsidRPr="00AD7C9A" w:rsidR="00B67E25" w:rsidP="00B67E25" w:rsidRDefault="00B67E25" w14:paraId="7D2607F6" w14:textId="77777777"/>
    <w:p w:rsidR="006458BA" w:rsidRDefault="007E3125" w14:paraId="3320FBAA" w14:textId="25CA8281">
      <w:pPr>
        <w:pStyle w:val="TOC1"/>
        <w:rPr>
          <w:rFonts w:asciiTheme="minorHAnsi" w:hAnsiTheme="minorHAnsi" w:eastAsiaTheme="minorEastAsia" w:cstheme="minorBidi"/>
          <w:noProof/>
          <w:kern w:val="2"/>
          <w:sz w:val="24"/>
          <w:szCs w:val="24"/>
          <w14:ligatures w14:val="standardContextual"/>
        </w:rPr>
      </w:pPr>
      <w:r w:rsidRPr="00AD7C9A">
        <w:fldChar w:fldCharType="begin"/>
      </w:r>
      <w:r w:rsidRPr="00AD7C9A">
        <w:instrText xml:space="preserve"> TOC \o "1-3" \h \z \u </w:instrText>
      </w:r>
      <w:r w:rsidRPr="00AD7C9A">
        <w:fldChar w:fldCharType="separate"/>
      </w:r>
      <w:hyperlink w:history="1" w:anchor="_Toc197544907">
        <w:r w:rsidRPr="00411BE9" w:rsidR="006458BA">
          <w:rPr>
            <w:rStyle w:val="Hyperlink"/>
            <w:noProof/>
          </w:rPr>
          <w:t>1</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De vragen</w:t>
        </w:r>
        <w:r w:rsidR="006458BA">
          <w:rPr>
            <w:noProof/>
            <w:webHidden/>
          </w:rPr>
          <w:tab/>
        </w:r>
        <w:r w:rsidR="006458BA">
          <w:rPr>
            <w:noProof/>
            <w:webHidden/>
          </w:rPr>
          <w:fldChar w:fldCharType="begin"/>
        </w:r>
        <w:r w:rsidR="006458BA">
          <w:rPr>
            <w:noProof/>
            <w:webHidden/>
          </w:rPr>
          <w:instrText xml:space="preserve"> PAGEREF _Toc197544907 \h </w:instrText>
        </w:r>
        <w:r w:rsidR="006458BA">
          <w:rPr>
            <w:noProof/>
            <w:webHidden/>
          </w:rPr>
        </w:r>
        <w:r w:rsidR="006458BA">
          <w:rPr>
            <w:noProof/>
            <w:webHidden/>
          </w:rPr>
          <w:fldChar w:fldCharType="separate"/>
        </w:r>
        <w:r w:rsidR="006458BA">
          <w:rPr>
            <w:noProof/>
            <w:webHidden/>
          </w:rPr>
          <w:t>5</w:t>
        </w:r>
        <w:r w:rsidR="006458BA">
          <w:rPr>
            <w:noProof/>
            <w:webHidden/>
          </w:rPr>
          <w:fldChar w:fldCharType="end"/>
        </w:r>
      </w:hyperlink>
    </w:p>
    <w:p w:rsidR="006458BA" w:rsidRDefault="009C3E89" w14:paraId="13637770" w14:textId="26F893B0">
      <w:pPr>
        <w:pStyle w:val="TOC1"/>
        <w:rPr>
          <w:rFonts w:asciiTheme="minorHAnsi" w:hAnsiTheme="minorHAnsi" w:eastAsiaTheme="minorEastAsia" w:cstheme="minorBidi"/>
          <w:noProof/>
          <w:kern w:val="2"/>
          <w:sz w:val="24"/>
          <w:szCs w:val="24"/>
          <w14:ligatures w14:val="standardContextual"/>
        </w:rPr>
      </w:pPr>
      <w:hyperlink w:history="1" w:anchor="_Toc197544908">
        <w:r w:rsidRPr="00411BE9" w:rsidR="006458BA">
          <w:rPr>
            <w:rStyle w:val="Hyperlink"/>
            <w:noProof/>
          </w:rPr>
          <w:t>2</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De margeverdeling in de voedselproductieketen in het licht van verduurzaming en gezonde voeding</w:t>
        </w:r>
        <w:r w:rsidR="006458BA">
          <w:rPr>
            <w:noProof/>
            <w:webHidden/>
          </w:rPr>
          <w:tab/>
        </w:r>
        <w:r w:rsidR="006458BA">
          <w:rPr>
            <w:noProof/>
            <w:webHidden/>
          </w:rPr>
          <w:fldChar w:fldCharType="begin"/>
        </w:r>
        <w:r w:rsidR="006458BA">
          <w:rPr>
            <w:noProof/>
            <w:webHidden/>
          </w:rPr>
          <w:instrText xml:space="preserve"> PAGEREF _Toc197544908 \h </w:instrText>
        </w:r>
        <w:r w:rsidR="006458BA">
          <w:rPr>
            <w:noProof/>
            <w:webHidden/>
          </w:rPr>
        </w:r>
        <w:r w:rsidR="006458BA">
          <w:rPr>
            <w:noProof/>
            <w:webHidden/>
          </w:rPr>
          <w:fldChar w:fldCharType="separate"/>
        </w:r>
        <w:r w:rsidR="006458BA">
          <w:rPr>
            <w:noProof/>
            <w:webHidden/>
          </w:rPr>
          <w:t>5</w:t>
        </w:r>
        <w:r w:rsidR="006458BA">
          <w:rPr>
            <w:noProof/>
            <w:webHidden/>
          </w:rPr>
          <w:fldChar w:fldCharType="end"/>
        </w:r>
      </w:hyperlink>
    </w:p>
    <w:p w:rsidR="006458BA" w:rsidRDefault="009C3E89" w14:paraId="69E9AC85" w14:textId="2D055A91">
      <w:pPr>
        <w:pStyle w:val="TOC2"/>
        <w:rPr>
          <w:rFonts w:asciiTheme="minorHAnsi" w:hAnsiTheme="minorHAnsi" w:eastAsiaTheme="minorEastAsia" w:cstheme="minorBidi"/>
          <w:noProof/>
          <w:kern w:val="2"/>
          <w:sz w:val="24"/>
          <w:szCs w:val="24"/>
          <w14:ligatures w14:val="standardContextual"/>
        </w:rPr>
      </w:pPr>
      <w:hyperlink w:history="1" w:anchor="_Toc197544909">
        <w:r w:rsidRPr="00411BE9" w:rsidR="006458BA">
          <w:rPr>
            <w:rStyle w:val="Hyperlink"/>
            <w:noProof/>
          </w:rPr>
          <w:t>2.1</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Marges in de land- en tuinbouw zijn gestegen maar blijven gemiddeld laag</w:t>
        </w:r>
        <w:r w:rsidR="006458BA">
          <w:rPr>
            <w:noProof/>
            <w:webHidden/>
          </w:rPr>
          <w:tab/>
        </w:r>
        <w:r w:rsidR="006458BA">
          <w:rPr>
            <w:noProof/>
            <w:webHidden/>
          </w:rPr>
          <w:fldChar w:fldCharType="begin"/>
        </w:r>
        <w:r w:rsidR="006458BA">
          <w:rPr>
            <w:noProof/>
            <w:webHidden/>
          </w:rPr>
          <w:instrText xml:space="preserve"> PAGEREF _Toc197544909 \h </w:instrText>
        </w:r>
        <w:r w:rsidR="006458BA">
          <w:rPr>
            <w:noProof/>
            <w:webHidden/>
          </w:rPr>
        </w:r>
        <w:r w:rsidR="006458BA">
          <w:rPr>
            <w:noProof/>
            <w:webHidden/>
          </w:rPr>
          <w:fldChar w:fldCharType="separate"/>
        </w:r>
        <w:r w:rsidR="006458BA">
          <w:rPr>
            <w:noProof/>
            <w:webHidden/>
          </w:rPr>
          <w:t>5</w:t>
        </w:r>
        <w:r w:rsidR="006458BA">
          <w:rPr>
            <w:noProof/>
            <w:webHidden/>
          </w:rPr>
          <w:fldChar w:fldCharType="end"/>
        </w:r>
      </w:hyperlink>
    </w:p>
    <w:p w:rsidR="006458BA" w:rsidRDefault="009C3E89" w14:paraId="448C6A4B" w14:textId="5D6011BB">
      <w:pPr>
        <w:pStyle w:val="TOC2"/>
        <w:rPr>
          <w:rFonts w:asciiTheme="minorHAnsi" w:hAnsiTheme="minorHAnsi" w:eastAsiaTheme="minorEastAsia" w:cstheme="minorBidi"/>
          <w:noProof/>
          <w:kern w:val="2"/>
          <w:sz w:val="24"/>
          <w:szCs w:val="24"/>
          <w14:ligatures w14:val="standardContextual"/>
        </w:rPr>
      </w:pPr>
      <w:hyperlink w:history="1" w:anchor="_Toc197544910">
        <w:r w:rsidRPr="00411BE9" w:rsidR="006458BA">
          <w:rPr>
            <w:rStyle w:val="Hyperlink"/>
            <w:noProof/>
          </w:rPr>
          <w:t>2.2</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Marges in andere ketenschakels zijn ook niet heel hoog</w:t>
        </w:r>
        <w:r w:rsidR="006458BA">
          <w:rPr>
            <w:noProof/>
            <w:webHidden/>
          </w:rPr>
          <w:tab/>
        </w:r>
        <w:r w:rsidR="006458BA">
          <w:rPr>
            <w:noProof/>
            <w:webHidden/>
          </w:rPr>
          <w:fldChar w:fldCharType="begin"/>
        </w:r>
        <w:r w:rsidR="006458BA">
          <w:rPr>
            <w:noProof/>
            <w:webHidden/>
          </w:rPr>
          <w:instrText xml:space="preserve"> PAGEREF _Toc197544910 \h </w:instrText>
        </w:r>
        <w:r w:rsidR="006458BA">
          <w:rPr>
            <w:noProof/>
            <w:webHidden/>
          </w:rPr>
        </w:r>
        <w:r w:rsidR="006458BA">
          <w:rPr>
            <w:noProof/>
            <w:webHidden/>
          </w:rPr>
          <w:fldChar w:fldCharType="separate"/>
        </w:r>
        <w:r w:rsidR="006458BA">
          <w:rPr>
            <w:noProof/>
            <w:webHidden/>
          </w:rPr>
          <w:t>6</w:t>
        </w:r>
        <w:r w:rsidR="006458BA">
          <w:rPr>
            <w:noProof/>
            <w:webHidden/>
          </w:rPr>
          <w:fldChar w:fldCharType="end"/>
        </w:r>
      </w:hyperlink>
    </w:p>
    <w:p w:rsidR="006458BA" w:rsidRDefault="009C3E89" w14:paraId="59D6A260" w14:textId="2D70ED62">
      <w:pPr>
        <w:pStyle w:val="TOC2"/>
        <w:rPr>
          <w:rFonts w:asciiTheme="minorHAnsi" w:hAnsiTheme="minorHAnsi" w:eastAsiaTheme="minorEastAsia" w:cstheme="minorBidi"/>
          <w:noProof/>
          <w:kern w:val="2"/>
          <w:sz w:val="24"/>
          <w:szCs w:val="24"/>
          <w14:ligatures w14:val="standardContextual"/>
        </w:rPr>
      </w:pPr>
      <w:hyperlink w:history="1" w:anchor="_Toc197544911">
        <w:r w:rsidRPr="00411BE9" w:rsidR="006458BA">
          <w:rPr>
            <w:rStyle w:val="Hyperlink"/>
            <w:noProof/>
          </w:rPr>
          <w:t>2.3</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Risico op negatief inkomen is in primaire sector groter</w:t>
        </w:r>
        <w:r w:rsidR="006458BA">
          <w:rPr>
            <w:noProof/>
            <w:webHidden/>
          </w:rPr>
          <w:tab/>
        </w:r>
        <w:r w:rsidR="006458BA">
          <w:rPr>
            <w:noProof/>
            <w:webHidden/>
          </w:rPr>
          <w:fldChar w:fldCharType="begin"/>
        </w:r>
        <w:r w:rsidR="006458BA">
          <w:rPr>
            <w:noProof/>
            <w:webHidden/>
          </w:rPr>
          <w:instrText xml:space="preserve"> PAGEREF _Toc197544911 \h </w:instrText>
        </w:r>
        <w:r w:rsidR="006458BA">
          <w:rPr>
            <w:noProof/>
            <w:webHidden/>
          </w:rPr>
        </w:r>
        <w:r w:rsidR="006458BA">
          <w:rPr>
            <w:noProof/>
            <w:webHidden/>
          </w:rPr>
          <w:fldChar w:fldCharType="separate"/>
        </w:r>
        <w:r w:rsidR="006458BA">
          <w:rPr>
            <w:noProof/>
            <w:webHidden/>
          </w:rPr>
          <w:t>7</w:t>
        </w:r>
        <w:r w:rsidR="006458BA">
          <w:rPr>
            <w:noProof/>
            <w:webHidden/>
          </w:rPr>
          <w:fldChar w:fldCharType="end"/>
        </w:r>
      </w:hyperlink>
    </w:p>
    <w:p w:rsidR="006458BA" w:rsidRDefault="009C3E89" w14:paraId="1A2022A1" w14:textId="09173EC9">
      <w:pPr>
        <w:pStyle w:val="TOC2"/>
        <w:rPr>
          <w:rFonts w:asciiTheme="minorHAnsi" w:hAnsiTheme="minorHAnsi" w:eastAsiaTheme="minorEastAsia" w:cstheme="minorBidi"/>
          <w:noProof/>
          <w:kern w:val="2"/>
          <w:sz w:val="24"/>
          <w:szCs w:val="24"/>
          <w14:ligatures w14:val="standardContextual"/>
        </w:rPr>
      </w:pPr>
      <w:hyperlink w:history="1" w:anchor="_Toc197544912">
        <w:r w:rsidRPr="00411BE9" w:rsidR="006458BA">
          <w:rPr>
            <w:rStyle w:val="Hyperlink"/>
            <w:noProof/>
          </w:rPr>
          <w:t>2.4</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Meerkosten versus meeropbrengsten van verduurzaming</w:t>
        </w:r>
        <w:r w:rsidR="006458BA">
          <w:rPr>
            <w:noProof/>
            <w:webHidden/>
          </w:rPr>
          <w:tab/>
        </w:r>
        <w:r w:rsidR="006458BA">
          <w:rPr>
            <w:noProof/>
            <w:webHidden/>
          </w:rPr>
          <w:fldChar w:fldCharType="begin"/>
        </w:r>
        <w:r w:rsidR="006458BA">
          <w:rPr>
            <w:noProof/>
            <w:webHidden/>
          </w:rPr>
          <w:instrText xml:space="preserve"> PAGEREF _Toc197544912 \h </w:instrText>
        </w:r>
        <w:r w:rsidR="006458BA">
          <w:rPr>
            <w:noProof/>
            <w:webHidden/>
          </w:rPr>
        </w:r>
        <w:r w:rsidR="006458BA">
          <w:rPr>
            <w:noProof/>
            <w:webHidden/>
          </w:rPr>
          <w:fldChar w:fldCharType="separate"/>
        </w:r>
        <w:r w:rsidR="006458BA">
          <w:rPr>
            <w:noProof/>
            <w:webHidden/>
          </w:rPr>
          <w:t>7</w:t>
        </w:r>
        <w:r w:rsidR="006458BA">
          <w:rPr>
            <w:noProof/>
            <w:webHidden/>
          </w:rPr>
          <w:fldChar w:fldCharType="end"/>
        </w:r>
      </w:hyperlink>
    </w:p>
    <w:p w:rsidR="006458BA" w:rsidRDefault="009C3E89" w14:paraId="5DDD4797" w14:textId="7431197C">
      <w:pPr>
        <w:pStyle w:val="TOC2"/>
        <w:rPr>
          <w:rFonts w:asciiTheme="minorHAnsi" w:hAnsiTheme="minorHAnsi" w:eastAsiaTheme="minorEastAsia" w:cstheme="minorBidi"/>
          <w:noProof/>
          <w:kern w:val="2"/>
          <w:sz w:val="24"/>
          <w:szCs w:val="24"/>
          <w14:ligatures w14:val="standardContextual"/>
        </w:rPr>
      </w:pPr>
      <w:hyperlink w:history="1" w:anchor="_Toc197544913">
        <w:r w:rsidRPr="00411BE9" w:rsidR="006458BA">
          <w:rPr>
            <w:rStyle w:val="Hyperlink"/>
            <w:noProof/>
          </w:rPr>
          <w:t>2.5</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Grote primaire bedrijven realiseren hoger inkomen dan kleine bedrijven</w:t>
        </w:r>
        <w:r w:rsidR="006458BA">
          <w:rPr>
            <w:noProof/>
            <w:webHidden/>
          </w:rPr>
          <w:tab/>
        </w:r>
        <w:r w:rsidR="006458BA">
          <w:rPr>
            <w:noProof/>
            <w:webHidden/>
          </w:rPr>
          <w:fldChar w:fldCharType="begin"/>
        </w:r>
        <w:r w:rsidR="006458BA">
          <w:rPr>
            <w:noProof/>
            <w:webHidden/>
          </w:rPr>
          <w:instrText xml:space="preserve"> PAGEREF _Toc197544913 \h </w:instrText>
        </w:r>
        <w:r w:rsidR="006458BA">
          <w:rPr>
            <w:noProof/>
            <w:webHidden/>
          </w:rPr>
        </w:r>
        <w:r w:rsidR="006458BA">
          <w:rPr>
            <w:noProof/>
            <w:webHidden/>
          </w:rPr>
          <w:fldChar w:fldCharType="separate"/>
        </w:r>
        <w:r w:rsidR="006458BA">
          <w:rPr>
            <w:noProof/>
            <w:webHidden/>
          </w:rPr>
          <w:t>7</w:t>
        </w:r>
        <w:r w:rsidR="006458BA">
          <w:rPr>
            <w:noProof/>
            <w:webHidden/>
          </w:rPr>
          <w:fldChar w:fldCharType="end"/>
        </w:r>
      </w:hyperlink>
    </w:p>
    <w:p w:rsidR="006458BA" w:rsidRDefault="009C3E89" w14:paraId="0D10422D" w14:textId="72393167">
      <w:pPr>
        <w:pStyle w:val="TOC1"/>
        <w:rPr>
          <w:rFonts w:asciiTheme="minorHAnsi" w:hAnsiTheme="minorHAnsi" w:eastAsiaTheme="minorEastAsia" w:cstheme="minorBidi"/>
          <w:noProof/>
          <w:kern w:val="2"/>
          <w:sz w:val="24"/>
          <w:szCs w:val="24"/>
          <w14:ligatures w14:val="standardContextual"/>
        </w:rPr>
      </w:pPr>
      <w:hyperlink w:history="1" w:anchor="_Toc197544914">
        <w:r w:rsidRPr="00411BE9" w:rsidR="006458BA">
          <w:rPr>
            <w:rStyle w:val="Hyperlink"/>
            <w:noProof/>
          </w:rPr>
          <w:t>3</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Een gezond verdienmodel voor verduurzaming</w:t>
        </w:r>
        <w:r w:rsidR="006458BA">
          <w:rPr>
            <w:noProof/>
            <w:webHidden/>
          </w:rPr>
          <w:tab/>
        </w:r>
        <w:r w:rsidR="006458BA">
          <w:rPr>
            <w:noProof/>
            <w:webHidden/>
          </w:rPr>
          <w:fldChar w:fldCharType="begin"/>
        </w:r>
        <w:r w:rsidR="006458BA">
          <w:rPr>
            <w:noProof/>
            <w:webHidden/>
          </w:rPr>
          <w:instrText xml:space="preserve"> PAGEREF _Toc197544914 \h </w:instrText>
        </w:r>
        <w:r w:rsidR="006458BA">
          <w:rPr>
            <w:noProof/>
            <w:webHidden/>
          </w:rPr>
        </w:r>
        <w:r w:rsidR="006458BA">
          <w:rPr>
            <w:noProof/>
            <w:webHidden/>
          </w:rPr>
          <w:fldChar w:fldCharType="separate"/>
        </w:r>
        <w:r w:rsidR="006458BA">
          <w:rPr>
            <w:noProof/>
            <w:webHidden/>
          </w:rPr>
          <w:t>8</w:t>
        </w:r>
        <w:r w:rsidR="006458BA">
          <w:rPr>
            <w:noProof/>
            <w:webHidden/>
          </w:rPr>
          <w:fldChar w:fldCharType="end"/>
        </w:r>
      </w:hyperlink>
    </w:p>
    <w:p w:rsidR="006458BA" w:rsidRDefault="009C3E89" w14:paraId="43C7756A" w14:textId="17CAFD94">
      <w:pPr>
        <w:pStyle w:val="TOC2"/>
        <w:rPr>
          <w:rFonts w:asciiTheme="minorHAnsi" w:hAnsiTheme="minorHAnsi" w:eastAsiaTheme="minorEastAsia" w:cstheme="minorBidi"/>
          <w:noProof/>
          <w:kern w:val="2"/>
          <w:sz w:val="24"/>
          <w:szCs w:val="24"/>
          <w14:ligatures w14:val="standardContextual"/>
        </w:rPr>
      </w:pPr>
      <w:hyperlink w:history="1" w:anchor="_Toc197544915">
        <w:r w:rsidRPr="00411BE9" w:rsidR="006458BA">
          <w:rPr>
            <w:rStyle w:val="Hyperlink"/>
            <w:noProof/>
          </w:rPr>
          <w:t>3.1</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Welke verdienmodellen zijn er voor duurzame landbouw?</w:t>
        </w:r>
        <w:r w:rsidR="006458BA">
          <w:rPr>
            <w:noProof/>
            <w:webHidden/>
          </w:rPr>
          <w:tab/>
        </w:r>
        <w:r w:rsidR="006458BA">
          <w:rPr>
            <w:noProof/>
            <w:webHidden/>
          </w:rPr>
          <w:fldChar w:fldCharType="begin"/>
        </w:r>
        <w:r w:rsidR="006458BA">
          <w:rPr>
            <w:noProof/>
            <w:webHidden/>
          </w:rPr>
          <w:instrText xml:space="preserve"> PAGEREF _Toc197544915 \h </w:instrText>
        </w:r>
        <w:r w:rsidR="006458BA">
          <w:rPr>
            <w:noProof/>
            <w:webHidden/>
          </w:rPr>
        </w:r>
        <w:r w:rsidR="006458BA">
          <w:rPr>
            <w:noProof/>
            <w:webHidden/>
          </w:rPr>
          <w:fldChar w:fldCharType="separate"/>
        </w:r>
        <w:r w:rsidR="006458BA">
          <w:rPr>
            <w:noProof/>
            <w:webHidden/>
          </w:rPr>
          <w:t>8</w:t>
        </w:r>
        <w:r w:rsidR="006458BA">
          <w:rPr>
            <w:noProof/>
            <w:webHidden/>
          </w:rPr>
          <w:fldChar w:fldCharType="end"/>
        </w:r>
      </w:hyperlink>
    </w:p>
    <w:p w:rsidR="006458BA" w:rsidRDefault="009C3E89" w14:paraId="55F03EC5" w14:textId="640E8189">
      <w:pPr>
        <w:pStyle w:val="TOC2"/>
        <w:rPr>
          <w:rFonts w:asciiTheme="minorHAnsi" w:hAnsiTheme="minorHAnsi" w:eastAsiaTheme="minorEastAsia" w:cstheme="minorBidi"/>
          <w:noProof/>
          <w:kern w:val="2"/>
          <w:sz w:val="24"/>
          <w:szCs w:val="24"/>
          <w14:ligatures w14:val="standardContextual"/>
        </w:rPr>
      </w:pPr>
      <w:hyperlink w:history="1" w:anchor="_Toc197544916">
        <w:r w:rsidRPr="00411BE9" w:rsidR="006458BA">
          <w:rPr>
            <w:rStyle w:val="Hyperlink"/>
            <w:noProof/>
          </w:rPr>
          <w:t>3.2</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Nieuwe verdienmodellen in opkomst maar verdienmodellen blijven naast elkaar bestaan</w:t>
        </w:r>
        <w:r w:rsidR="006458BA">
          <w:rPr>
            <w:noProof/>
            <w:webHidden/>
          </w:rPr>
          <w:tab/>
        </w:r>
        <w:r w:rsidR="006458BA">
          <w:rPr>
            <w:noProof/>
            <w:webHidden/>
          </w:rPr>
          <w:fldChar w:fldCharType="begin"/>
        </w:r>
        <w:r w:rsidR="006458BA">
          <w:rPr>
            <w:noProof/>
            <w:webHidden/>
          </w:rPr>
          <w:instrText xml:space="preserve"> PAGEREF _Toc197544916 \h </w:instrText>
        </w:r>
        <w:r w:rsidR="006458BA">
          <w:rPr>
            <w:noProof/>
            <w:webHidden/>
          </w:rPr>
        </w:r>
        <w:r w:rsidR="006458BA">
          <w:rPr>
            <w:noProof/>
            <w:webHidden/>
          </w:rPr>
          <w:fldChar w:fldCharType="separate"/>
        </w:r>
        <w:r w:rsidR="006458BA">
          <w:rPr>
            <w:noProof/>
            <w:webHidden/>
          </w:rPr>
          <w:t>10</w:t>
        </w:r>
        <w:r w:rsidR="006458BA">
          <w:rPr>
            <w:noProof/>
            <w:webHidden/>
          </w:rPr>
          <w:fldChar w:fldCharType="end"/>
        </w:r>
      </w:hyperlink>
    </w:p>
    <w:p w:rsidR="006458BA" w:rsidRDefault="009C3E89" w14:paraId="7CA4EE8B" w14:textId="1210CA0E">
      <w:pPr>
        <w:pStyle w:val="TOC2"/>
        <w:rPr>
          <w:rFonts w:asciiTheme="minorHAnsi" w:hAnsiTheme="minorHAnsi" w:eastAsiaTheme="minorEastAsia" w:cstheme="minorBidi"/>
          <w:noProof/>
          <w:kern w:val="2"/>
          <w:sz w:val="24"/>
          <w:szCs w:val="24"/>
          <w14:ligatures w14:val="standardContextual"/>
        </w:rPr>
      </w:pPr>
      <w:hyperlink w:history="1" w:anchor="_Toc197544917">
        <w:r w:rsidRPr="00411BE9" w:rsidR="006458BA">
          <w:rPr>
            <w:rStyle w:val="Hyperlink"/>
            <w:noProof/>
          </w:rPr>
          <w:t>3.3</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Bedrijven zijn verantwoordelijk voor het ondernemerschap, maar hebben daarvoor ruimte, gelijk speelveld en kennis nodig</w:t>
        </w:r>
        <w:r w:rsidR="006458BA">
          <w:rPr>
            <w:noProof/>
            <w:webHidden/>
          </w:rPr>
          <w:tab/>
        </w:r>
        <w:r w:rsidR="006458BA">
          <w:rPr>
            <w:noProof/>
            <w:webHidden/>
          </w:rPr>
          <w:fldChar w:fldCharType="begin"/>
        </w:r>
        <w:r w:rsidR="006458BA">
          <w:rPr>
            <w:noProof/>
            <w:webHidden/>
          </w:rPr>
          <w:instrText xml:space="preserve"> PAGEREF _Toc197544917 \h </w:instrText>
        </w:r>
        <w:r w:rsidR="006458BA">
          <w:rPr>
            <w:noProof/>
            <w:webHidden/>
          </w:rPr>
        </w:r>
        <w:r w:rsidR="006458BA">
          <w:rPr>
            <w:noProof/>
            <w:webHidden/>
          </w:rPr>
          <w:fldChar w:fldCharType="separate"/>
        </w:r>
        <w:r w:rsidR="006458BA">
          <w:rPr>
            <w:noProof/>
            <w:webHidden/>
          </w:rPr>
          <w:t>11</w:t>
        </w:r>
        <w:r w:rsidR="006458BA">
          <w:rPr>
            <w:noProof/>
            <w:webHidden/>
          </w:rPr>
          <w:fldChar w:fldCharType="end"/>
        </w:r>
      </w:hyperlink>
    </w:p>
    <w:p w:rsidR="006458BA" w:rsidRDefault="009C3E89" w14:paraId="5E6048AC" w14:textId="0C677C39">
      <w:pPr>
        <w:pStyle w:val="TOC1"/>
        <w:rPr>
          <w:rFonts w:asciiTheme="minorHAnsi" w:hAnsiTheme="minorHAnsi" w:eastAsiaTheme="minorEastAsia" w:cstheme="minorBidi"/>
          <w:noProof/>
          <w:kern w:val="2"/>
          <w:sz w:val="24"/>
          <w:szCs w:val="24"/>
          <w14:ligatures w14:val="standardContextual"/>
        </w:rPr>
      </w:pPr>
      <w:hyperlink w:history="1" w:anchor="_Toc197544918">
        <w:r w:rsidRPr="00411BE9" w:rsidR="006458BA">
          <w:rPr>
            <w:rStyle w:val="Hyperlink"/>
            <w:noProof/>
          </w:rPr>
          <w:t>4</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Stimuleringsmaatregelen voor verduurzaming</w:t>
        </w:r>
        <w:r w:rsidR="006458BA">
          <w:rPr>
            <w:noProof/>
            <w:webHidden/>
          </w:rPr>
          <w:tab/>
        </w:r>
        <w:r w:rsidR="006458BA">
          <w:rPr>
            <w:noProof/>
            <w:webHidden/>
          </w:rPr>
          <w:fldChar w:fldCharType="begin"/>
        </w:r>
        <w:r w:rsidR="006458BA">
          <w:rPr>
            <w:noProof/>
            <w:webHidden/>
          </w:rPr>
          <w:instrText xml:space="preserve"> PAGEREF _Toc197544918 \h </w:instrText>
        </w:r>
        <w:r w:rsidR="006458BA">
          <w:rPr>
            <w:noProof/>
            <w:webHidden/>
          </w:rPr>
        </w:r>
        <w:r w:rsidR="006458BA">
          <w:rPr>
            <w:noProof/>
            <w:webHidden/>
          </w:rPr>
          <w:fldChar w:fldCharType="separate"/>
        </w:r>
        <w:r w:rsidR="006458BA">
          <w:rPr>
            <w:noProof/>
            <w:webHidden/>
          </w:rPr>
          <w:t>11</w:t>
        </w:r>
        <w:r w:rsidR="006458BA">
          <w:rPr>
            <w:noProof/>
            <w:webHidden/>
          </w:rPr>
          <w:fldChar w:fldCharType="end"/>
        </w:r>
      </w:hyperlink>
    </w:p>
    <w:p w:rsidR="006458BA" w:rsidRDefault="009C3E89" w14:paraId="2ED0EA31" w14:textId="47C81D2D">
      <w:pPr>
        <w:pStyle w:val="TOC1"/>
        <w:rPr>
          <w:rFonts w:asciiTheme="minorHAnsi" w:hAnsiTheme="minorHAnsi" w:eastAsiaTheme="minorEastAsia" w:cstheme="minorBidi"/>
          <w:noProof/>
          <w:kern w:val="2"/>
          <w:sz w:val="24"/>
          <w:szCs w:val="24"/>
          <w14:ligatures w14:val="standardContextual"/>
        </w:rPr>
      </w:pPr>
      <w:hyperlink w:history="1" w:anchor="_Toc197544919">
        <w:r w:rsidRPr="00411BE9" w:rsidR="006458BA">
          <w:rPr>
            <w:rStyle w:val="Hyperlink"/>
            <w:noProof/>
          </w:rPr>
          <w:t>5</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Welke stappen dienen nog te worden gezet en wat zijn alternatieve verdienmodellen?</w:t>
        </w:r>
        <w:r w:rsidR="006458BA">
          <w:rPr>
            <w:noProof/>
            <w:webHidden/>
          </w:rPr>
          <w:tab/>
        </w:r>
        <w:r w:rsidR="006458BA">
          <w:rPr>
            <w:noProof/>
            <w:webHidden/>
          </w:rPr>
          <w:fldChar w:fldCharType="begin"/>
        </w:r>
        <w:r w:rsidR="006458BA">
          <w:rPr>
            <w:noProof/>
            <w:webHidden/>
          </w:rPr>
          <w:instrText xml:space="preserve"> PAGEREF _Toc197544919 \h </w:instrText>
        </w:r>
        <w:r w:rsidR="006458BA">
          <w:rPr>
            <w:noProof/>
            <w:webHidden/>
          </w:rPr>
        </w:r>
        <w:r w:rsidR="006458BA">
          <w:rPr>
            <w:noProof/>
            <w:webHidden/>
          </w:rPr>
          <w:fldChar w:fldCharType="separate"/>
        </w:r>
        <w:r w:rsidR="006458BA">
          <w:rPr>
            <w:noProof/>
            <w:webHidden/>
          </w:rPr>
          <w:t>13</w:t>
        </w:r>
        <w:r w:rsidR="006458BA">
          <w:rPr>
            <w:noProof/>
            <w:webHidden/>
          </w:rPr>
          <w:fldChar w:fldCharType="end"/>
        </w:r>
      </w:hyperlink>
    </w:p>
    <w:p w:rsidR="006458BA" w:rsidRDefault="009C3E89" w14:paraId="1FB52F5F" w14:textId="007AF56E">
      <w:pPr>
        <w:pStyle w:val="TOC1"/>
        <w:rPr>
          <w:rFonts w:asciiTheme="minorHAnsi" w:hAnsiTheme="minorHAnsi" w:eastAsiaTheme="minorEastAsia" w:cstheme="minorBidi"/>
          <w:noProof/>
          <w:kern w:val="2"/>
          <w:sz w:val="24"/>
          <w:szCs w:val="24"/>
          <w14:ligatures w14:val="standardContextual"/>
        </w:rPr>
      </w:pPr>
      <w:hyperlink w:history="1" w:anchor="_Toc197544920">
        <w:r w:rsidRPr="00411BE9" w:rsidR="006458BA">
          <w:rPr>
            <w:rStyle w:val="Hyperlink"/>
            <w:noProof/>
          </w:rPr>
          <w:t>6</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Wat heeft het bedrijfsleven van de overheid nodig om die stappen te zetten?</w:t>
        </w:r>
        <w:r w:rsidR="006458BA">
          <w:rPr>
            <w:noProof/>
            <w:webHidden/>
          </w:rPr>
          <w:tab/>
        </w:r>
        <w:r w:rsidR="006458BA">
          <w:rPr>
            <w:noProof/>
            <w:webHidden/>
          </w:rPr>
          <w:fldChar w:fldCharType="begin"/>
        </w:r>
        <w:r w:rsidR="006458BA">
          <w:rPr>
            <w:noProof/>
            <w:webHidden/>
          </w:rPr>
          <w:instrText xml:space="preserve"> PAGEREF _Toc197544920 \h </w:instrText>
        </w:r>
        <w:r w:rsidR="006458BA">
          <w:rPr>
            <w:noProof/>
            <w:webHidden/>
          </w:rPr>
        </w:r>
        <w:r w:rsidR="006458BA">
          <w:rPr>
            <w:noProof/>
            <w:webHidden/>
          </w:rPr>
          <w:fldChar w:fldCharType="separate"/>
        </w:r>
        <w:r w:rsidR="006458BA">
          <w:rPr>
            <w:noProof/>
            <w:webHidden/>
          </w:rPr>
          <w:t>14</w:t>
        </w:r>
        <w:r w:rsidR="006458BA">
          <w:rPr>
            <w:noProof/>
            <w:webHidden/>
          </w:rPr>
          <w:fldChar w:fldCharType="end"/>
        </w:r>
      </w:hyperlink>
    </w:p>
    <w:p w:rsidR="006458BA" w:rsidRDefault="009C3E89" w14:paraId="04E713A0" w14:textId="0254FC90">
      <w:pPr>
        <w:pStyle w:val="TOC1"/>
        <w:rPr>
          <w:rFonts w:asciiTheme="minorHAnsi" w:hAnsiTheme="minorHAnsi" w:eastAsiaTheme="minorEastAsia" w:cstheme="minorBidi"/>
          <w:noProof/>
          <w:kern w:val="2"/>
          <w:sz w:val="24"/>
          <w:szCs w:val="24"/>
          <w14:ligatures w14:val="standardContextual"/>
        </w:rPr>
      </w:pPr>
      <w:hyperlink w:history="1" w:anchor="_Toc197544921">
        <w:r w:rsidRPr="00411BE9" w:rsidR="006458BA">
          <w:rPr>
            <w:rStyle w:val="Hyperlink"/>
            <w:noProof/>
          </w:rPr>
          <w:t>7</w:t>
        </w:r>
        <w:r w:rsidR="006458BA">
          <w:rPr>
            <w:rFonts w:asciiTheme="minorHAnsi" w:hAnsiTheme="minorHAnsi" w:eastAsiaTheme="minorEastAsia" w:cstheme="minorBidi"/>
            <w:noProof/>
            <w:kern w:val="2"/>
            <w:sz w:val="24"/>
            <w:szCs w:val="24"/>
            <w14:ligatures w14:val="standardContextual"/>
          </w:rPr>
          <w:tab/>
        </w:r>
        <w:r w:rsidRPr="00411BE9" w:rsidR="006458BA">
          <w:rPr>
            <w:rStyle w:val="Hyperlink"/>
            <w:noProof/>
          </w:rPr>
          <w:t>Literatuur</w:t>
        </w:r>
        <w:r w:rsidR="006458BA">
          <w:rPr>
            <w:noProof/>
            <w:webHidden/>
          </w:rPr>
          <w:tab/>
        </w:r>
        <w:r w:rsidR="006458BA">
          <w:rPr>
            <w:noProof/>
            <w:webHidden/>
          </w:rPr>
          <w:fldChar w:fldCharType="begin"/>
        </w:r>
        <w:r w:rsidR="006458BA">
          <w:rPr>
            <w:noProof/>
            <w:webHidden/>
          </w:rPr>
          <w:instrText xml:space="preserve"> PAGEREF _Toc197544921 \h </w:instrText>
        </w:r>
        <w:r w:rsidR="006458BA">
          <w:rPr>
            <w:noProof/>
            <w:webHidden/>
          </w:rPr>
        </w:r>
        <w:r w:rsidR="006458BA">
          <w:rPr>
            <w:noProof/>
            <w:webHidden/>
          </w:rPr>
          <w:fldChar w:fldCharType="separate"/>
        </w:r>
        <w:r w:rsidR="006458BA">
          <w:rPr>
            <w:noProof/>
            <w:webHidden/>
          </w:rPr>
          <w:t>14</w:t>
        </w:r>
        <w:r w:rsidR="006458BA">
          <w:rPr>
            <w:noProof/>
            <w:webHidden/>
          </w:rPr>
          <w:fldChar w:fldCharType="end"/>
        </w:r>
      </w:hyperlink>
    </w:p>
    <w:p w:rsidRPr="00AD7C9A" w:rsidR="007E3125" w:rsidP="00084B97" w:rsidRDefault="007E3125" w14:paraId="370C596F" w14:textId="2FE898DF">
      <w:r w:rsidRPr="00AD7C9A">
        <w:fldChar w:fldCharType="end"/>
      </w:r>
    </w:p>
    <w:p w:rsidRPr="00AD7C9A" w:rsidR="000A233B" w:rsidRDefault="000A233B" w14:paraId="6FCFD4E8" w14:textId="77777777"/>
    <w:p w:rsidRPr="00AD7C9A" w:rsidR="00331650" w:rsidRDefault="00331650" w14:paraId="1327C377" w14:textId="77777777">
      <w:pPr>
        <w:sectPr w:rsidRPr="00AD7C9A" w:rsidR="00331650" w:rsidSect="00DF7EA7">
          <w:headerReference w:type="default" r:id="rId11"/>
          <w:footerReference w:type="even" r:id="rId12"/>
          <w:footerReference w:type="default" r:id="rId13"/>
          <w:headerReference w:type="first" r:id="rId14"/>
          <w:footerReference w:type="first" r:id="rId15"/>
          <w:type w:val="oddPage"/>
          <w:pgSz w:w="11906" w:h="16838" w:code="9"/>
          <w:pgMar w:top="1758" w:right="2268" w:bottom="754" w:left="1985" w:header="805" w:footer="680" w:gutter="0"/>
          <w:paperSrc w:first="1002" w:other="1002"/>
          <w:cols w:space="708"/>
          <w:docGrid w:linePitch="360"/>
        </w:sectPr>
      </w:pPr>
    </w:p>
    <w:p w:rsidRPr="00AD7C9A" w:rsidR="00C1656C" w:rsidP="005D4F12" w:rsidRDefault="005D4F12" w14:paraId="18DBC2C5" w14:textId="07A2B8AC">
      <w:bookmarkStart w:name="bmStart" w:id="25"/>
      <w:bookmarkEnd w:id="25"/>
      <w:r w:rsidRPr="00AD7C9A">
        <w:lastRenderedPageBreak/>
        <w:t>Auteur</w:t>
      </w:r>
      <w:r w:rsidRPr="00AD7C9A" w:rsidR="00833D87">
        <w:t>s</w:t>
      </w:r>
      <w:r w:rsidRPr="00AD7C9A" w:rsidR="00E771AB">
        <w:t>: Michiel van Galen</w:t>
      </w:r>
      <w:r w:rsidRPr="00AD7C9A" w:rsidR="00833D87">
        <w:t xml:space="preserve">, </w:t>
      </w:r>
      <w:r w:rsidRPr="00AD7C9A" w:rsidR="00C1656C">
        <w:t>Willy Baltussen, Frank Bunte, Roel Jongeneel</w:t>
      </w:r>
    </w:p>
    <w:p w:rsidRPr="00AD7C9A" w:rsidR="005D4F12" w:rsidP="005D4F12" w:rsidRDefault="005D4F12" w14:paraId="25BB507A" w14:textId="77777777"/>
    <w:p w:rsidRPr="00AD7C9A" w:rsidR="001B2D53" w:rsidP="00E771AB" w:rsidRDefault="00620351" w14:paraId="77827761" w14:textId="4B26ACAD">
      <w:pPr>
        <w:pStyle w:val="Heading1"/>
      </w:pPr>
      <w:bookmarkStart w:name="_Toc197544907" w:id="26"/>
      <w:r w:rsidRPr="00AD7C9A">
        <w:t>De vragen</w:t>
      </w:r>
      <w:bookmarkEnd w:id="26"/>
    </w:p>
    <w:p w:rsidRPr="00AD7C9A" w:rsidR="00620351" w:rsidP="00620351" w:rsidRDefault="00EF4B9A" w14:paraId="7FCA7242" w14:textId="797AEE96">
      <w:r w:rsidRPr="00AD7C9A">
        <w:t xml:space="preserve">De hoofdvraag die de Tweede Kamer heeft gesteld is: </w:t>
      </w:r>
      <w:r w:rsidRPr="00AD7C9A">
        <w:rPr>
          <w:rStyle w:val="Emphasis"/>
        </w:rPr>
        <w:t>Welke verantwoordelijkheid draagt de voedselproductieketen voor een duurzaam en gezond voedselaanbod met een eerlijke prijs voor de boer?</w:t>
      </w:r>
      <w:r w:rsidRPr="00AD7C9A">
        <w:t xml:space="preserve"> </w:t>
      </w:r>
      <w:r w:rsidRPr="00AD7C9A" w:rsidR="00620351">
        <w:t xml:space="preserve">Het rondetafelgesprek heeft </w:t>
      </w:r>
      <w:r w:rsidRPr="00AD7C9A" w:rsidR="002B283A">
        <w:t>als doel</w:t>
      </w:r>
      <w:r w:rsidRPr="00AD7C9A" w:rsidR="00620351">
        <w:t xml:space="preserve"> inzicht te krijgen in welke stappen de voedselproductieketen kan zetten voor een gezond en duurzaam voedselaanbod, hoe zij hiertoe kunnen worden gemotiveerd en hoe de boer een eerlijk verdienmodel kan organiseren.</w:t>
      </w:r>
      <w:r w:rsidRPr="00AD7C9A" w:rsidR="000E38AB">
        <w:t xml:space="preserve"> </w:t>
      </w:r>
      <w:r w:rsidRPr="00AD7C9A" w:rsidR="00620351">
        <w:t>Deze hoofdvraag valt uiteen in de volgende deelvragen:</w:t>
      </w:r>
    </w:p>
    <w:p w:rsidRPr="00AD7C9A" w:rsidR="00620351" w:rsidP="001F2AB6" w:rsidRDefault="00620351" w14:paraId="3279AB1C" w14:textId="71ACBD38">
      <w:pPr>
        <w:pStyle w:val="ListParagraph"/>
        <w:numPr>
          <w:ilvl w:val="0"/>
          <w:numId w:val="13"/>
        </w:numPr>
      </w:pPr>
      <w:r w:rsidRPr="00AD7C9A">
        <w:t>Wat is de margeverdeling van de voedselproductieketen in het licht van verduurzaming en gezonde voeding? Is dit een logische verdeling gezien de toegevoegde waarde, risico’s en arbeidsinzet?</w:t>
      </w:r>
    </w:p>
    <w:p w:rsidRPr="00AD7C9A" w:rsidR="00620351" w:rsidP="001F2AB6" w:rsidRDefault="00620351" w14:paraId="39E3E5D5" w14:textId="64B12698">
      <w:pPr>
        <w:pStyle w:val="ListParagraph"/>
        <w:numPr>
          <w:ilvl w:val="0"/>
          <w:numId w:val="13"/>
        </w:numPr>
      </w:pPr>
      <w:r w:rsidRPr="00AD7C9A">
        <w:t>Hoe kan een gezond verdienmodel worden gekoppeld aan verduurzaming en wat is de verantwoordelijkheid van het bedrijfsleven in dezen?</w:t>
      </w:r>
    </w:p>
    <w:p w:rsidRPr="00AD7C9A" w:rsidR="00620351" w:rsidP="001F2AB6" w:rsidRDefault="00620351" w14:paraId="46127346" w14:textId="5AAF2C25">
      <w:pPr>
        <w:pStyle w:val="ListParagraph"/>
        <w:numPr>
          <w:ilvl w:val="0"/>
          <w:numId w:val="13"/>
        </w:numPr>
      </w:pPr>
      <w:r w:rsidRPr="00AD7C9A">
        <w:t>Hoe wordt de voedselproductieketen gestimuleerd om te verduurzamen (bijvoorbeeld op het gebied van klimaatimpact, natuurinclusiviteit en het verminderen van het gebruik van gewasbeschermingsmiddelen)?</w:t>
      </w:r>
    </w:p>
    <w:p w:rsidRPr="00AD7C9A" w:rsidR="00620351" w:rsidP="001F2AB6" w:rsidRDefault="00620351" w14:paraId="5A3DEA78" w14:textId="0B01B7C6">
      <w:pPr>
        <w:pStyle w:val="ListParagraph"/>
        <w:numPr>
          <w:ilvl w:val="0"/>
          <w:numId w:val="13"/>
        </w:numPr>
      </w:pPr>
      <w:r w:rsidRPr="00AD7C9A">
        <w:t>Hoe wordt de voedselproductieketen gestimuleerd om gezonder voedsel (bijvoorbeeld minder zout, suiker en vet) aan te bieden?</w:t>
      </w:r>
      <w:r w:rsidRPr="00AD7C9A" w:rsidR="00570184">
        <w:t xml:space="preserve"> (</w:t>
      </w:r>
      <w:proofErr w:type="gramStart"/>
      <w:r w:rsidRPr="00AD7C9A" w:rsidR="00570184">
        <w:rPr>
          <w:i/>
          <w:iCs/>
        </w:rPr>
        <w:t>deze</w:t>
      </w:r>
      <w:proofErr w:type="gramEnd"/>
      <w:r w:rsidRPr="00AD7C9A" w:rsidR="00570184">
        <w:rPr>
          <w:i/>
          <w:iCs/>
        </w:rPr>
        <w:t xml:space="preserve"> vraag zullen wij niet beantwoorden</w:t>
      </w:r>
      <w:r w:rsidRPr="00AD7C9A" w:rsidR="00570184">
        <w:t>)</w:t>
      </w:r>
    </w:p>
    <w:p w:rsidRPr="00AD7C9A" w:rsidR="00620351" w:rsidP="001F2AB6" w:rsidRDefault="00620351" w14:paraId="31DA11A4" w14:textId="29898CE6">
      <w:pPr>
        <w:pStyle w:val="ListParagraph"/>
        <w:numPr>
          <w:ilvl w:val="0"/>
          <w:numId w:val="13"/>
        </w:numPr>
      </w:pPr>
      <w:r w:rsidRPr="00AD7C9A">
        <w:t>Welke stappen dienen er nog te worden gezet om te komen tot een duurzame voedselproductieketen met een gezond verdienmodel voor de boer? Wat zijn alternatieve verdienmodellen?</w:t>
      </w:r>
    </w:p>
    <w:p w:rsidRPr="00AD7C9A" w:rsidR="00620351" w:rsidP="001F2AB6" w:rsidRDefault="00620351" w14:paraId="616EB7CC" w14:textId="54DE3F07">
      <w:pPr>
        <w:pStyle w:val="ListParagraph"/>
        <w:numPr>
          <w:ilvl w:val="0"/>
          <w:numId w:val="13"/>
        </w:numPr>
      </w:pPr>
      <w:r w:rsidRPr="00AD7C9A">
        <w:t>Wat heeft het bedrijfsleven van de overheid nodig om deze stappen te kunnen zetten?</w:t>
      </w:r>
    </w:p>
    <w:p w:rsidRPr="00AD7C9A" w:rsidR="00620351" w:rsidP="00620351" w:rsidRDefault="00620351" w14:paraId="40F03E87" w14:textId="77777777"/>
    <w:p w:rsidRPr="00AD7C9A" w:rsidR="00042730" w:rsidP="00620351" w:rsidRDefault="00D60AC4" w14:paraId="13E6D19B" w14:textId="67FB4640">
      <w:r w:rsidRPr="00AD7C9A">
        <w:t xml:space="preserve">In deze korte notitie </w:t>
      </w:r>
      <w:r w:rsidR="00EF4B9A">
        <w:t>beantwoorden wij</w:t>
      </w:r>
      <w:r w:rsidRPr="00AD7C9A" w:rsidR="0030564D">
        <w:t xml:space="preserve"> een aantal van deze vragen vanuit onze expertise. De auteurs van deze position paper zijn </w:t>
      </w:r>
      <w:r w:rsidRPr="00AD7C9A" w:rsidR="00717A3C">
        <w:t xml:space="preserve">verbonden aan </w:t>
      </w:r>
      <w:hyperlink w:history="1" r:id="rId16">
        <w:r w:rsidRPr="00AF4F8D" w:rsidR="00717A3C">
          <w:rPr>
            <w:rStyle w:val="Hyperlink"/>
          </w:rPr>
          <w:t>Wageningen Social &amp; Economic Research</w:t>
        </w:r>
      </w:hyperlink>
      <w:r w:rsidRPr="00AD7C9A" w:rsidR="00717A3C">
        <w:t xml:space="preserve">. </w:t>
      </w:r>
      <w:r w:rsidRPr="00AD7C9A" w:rsidR="009A1BFF">
        <w:t>Vanuit de expertise van de auteurs richten wij ons op de beantwoording van de vragen 1, 2, 3</w:t>
      </w:r>
      <w:r w:rsidRPr="00AD7C9A" w:rsidR="00A41A18">
        <w:t xml:space="preserve">, 5 en 6. </w:t>
      </w:r>
      <w:r w:rsidRPr="00AD7C9A" w:rsidR="002810B6">
        <w:t>Vraag 4 zullen wij in onze bijdrage niet beantwoorden.</w:t>
      </w:r>
    </w:p>
    <w:p w:rsidRPr="00AD7C9A" w:rsidR="00620351" w:rsidP="00620351" w:rsidRDefault="00620351" w14:paraId="793E9CE5" w14:textId="77777777"/>
    <w:p w:rsidRPr="00AD7C9A" w:rsidR="00620351" w:rsidP="00570184" w:rsidRDefault="00E771AB" w14:paraId="7ADC16B4" w14:textId="07D5AE7F">
      <w:pPr>
        <w:pStyle w:val="Heading1"/>
      </w:pPr>
      <w:bookmarkStart w:name="_Toc197544908" w:id="27"/>
      <w:r w:rsidRPr="00AD7C9A">
        <w:t>De margeverdeling in de voedselproductieketen in het licht van verduurzaming en gezonde voeding</w:t>
      </w:r>
      <w:bookmarkEnd w:id="27"/>
    </w:p>
    <w:p w:rsidRPr="00AD7C9A" w:rsidR="000A4322" w:rsidP="00570184" w:rsidRDefault="00922E0D" w14:paraId="630CA1E7" w14:textId="64F8677E">
      <w:pPr>
        <w:pStyle w:val="Heading2"/>
      </w:pPr>
      <w:bookmarkStart w:name="_Toc197544909" w:id="28"/>
      <w:r w:rsidRPr="00AD7C9A">
        <w:t xml:space="preserve">Marges in de land- en tuinbouw </w:t>
      </w:r>
      <w:r w:rsidRPr="00AD7C9A" w:rsidR="00C1322E">
        <w:t xml:space="preserve">zijn </w:t>
      </w:r>
      <w:r w:rsidRPr="00AD7C9A" w:rsidR="008E51FA">
        <w:t xml:space="preserve">gestegen maar blijven </w:t>
      </w:r>
      <w:r w:rsidRPr="00AD7C9A" w:rsidR="00C1322E">
        <w:t>gemiddeld laag</w:t>
      </w:r>
      <w:bookmarkEnd w:id="28"/>
    </w:p>
    <w:p w:rsidR="00302BE3" w:rsidP="005C6D18" w:rsidRDefault="00302BE3" w14:paraId="2750D27F" w14:textId="77777777">
      <w:r>
        <w:rPr>
          <w:rStyle w:val="fadeinpfttw8"/>
        </w:rPr>
        <w:t xml:space="preserve">Boeren hebben van de hele keten gemiddeld de laagste winstmarges en hun inkomens zijn veel volatieler. </w:t>
      </w:r>
      <w:r w:rsidRPr="00AD7C9A" w:rsidR="00FC4466">
        <w:t xml:space="preserve">De gemiddelde inkomens van boeren en tuinders zijn de afgelopen </w:t>
      </w:r>
      <w:r w:rsidRPr="00AD7C9A" w:rsidR="008962AF">
        <w:t xml:space="preserve">20 jaar echter wel gestegen en liggen nu in de meeste sectoren </w:t>
      </w:r>
      <w:r w:rsidRPr="00AD7C9A" w:rsidR="00FA7704">
        <w:t xml:space="preserve">op </w:t>
      </w:r>
      <w:r w:rsidRPr="00AD7C9A" w:rsidR="00C36E02">
        <w:t xml:space="preserve">een niveau dat de kosten worden gedekt door de inkomsten. </w:t>
      </w:r>
      <w:r w:rsidRPr="00AD7C9A" w:rsidR="00B1458E">
        <w:t xml:space="preserve">De rentabiliteit blijft wel achter in </w:t>
      </w:r>
      <w:r w:rsidRPr="00AD7C9A" w:rsidR="00136731">
        <w:t xml:space="preserve">met name de </w:t>
      </w:r>
      <w:r w:rsidRPr="00AD7C9A" w:rsidR="00B1458E">
        <w:t>fruitteelt</w:t>
      </w:r>
      <w:r w:rsidRPr="00AD7C9A" w:rsidR="00136731">
        <w:t xml:space="preserve"> </w:t>
      </w:r>
      <w:r w:rsidRPr="00AD7C9A" w:rsidR="00DE224C">
        <w:t>en biologische melkvee</w:t>
      </w:r>
      <w:r>
        <w:t>houderij</w:t>
      </w:r>
      <w:r w:rsidRPr="00AD7C9A" w:rsidR="00B1458E">
        <w:t>.</w:t>
      </w:r>
      <w:r w:rsidRPr="00AD7C9A" w:rsidR="000F4BBF">
        <w:t xml:space="preserve"> (Zie Figuur 2.1 en 2.2)</w:t>
      </w:r>
      <w:r w:rsidRPr="00AD7C9A" w:rsidR="005C6D18">
        <w:t xml:space="preserve"> </w:t>
      </w:r>
    </w:p>
    <w:p w:rsidR="00302BE3" w:rsidP="005C6D18" w:rsidRDefault="00302BE3" w14:paraId="646798A2" w14:textId="77777777"/>
    <w:p w:rsidRPr="00AD7C9A" w:rsidR="005C6D18" w:rsidP="005C6D18" w:rsidRDefault="005C6D18" w14:paraId="06CDB74C" w14:textId="62A80F80">
      <w:r w:rsidRPr="00AD7C9A">
        <w:t>De toename van de gemiddelde rentabiliteit verklaren wij enerzijds door schaalvergroting en anderzijds door betere ketensamenwerking, ook rondom bepaalde duurzaamheidsconcepten.</w:t>
      </w:r>
      <w:r w:rsidRPr="00AD7C9A" w:rsidR="00F7372F">
        <w:t xml:space="preserve"> De melkveehouderij en fruitteeltsector zijn </w:t>
      </w:r>
      <w:r w:rsidRPr="00AD7C9A" w:rsidR="00933D17">
        <w:t xml:space="preserve">sectoren die meer lange-termijn investeringen vragen in boomgaarden en dierlijke activa. </w:t>
      </w:r>
      <w:r w:rsidRPr="00AD7C9A" w:rsidR="00BB0D67">
        <w:t>Het zou kunnen dat dat invloed heeft op het tempo van aanpassingen van de sector.</w:t>
      </w:r>
    </w:p>
    <w:p w:rsidRPr="00AD7C9A" w:rsidR="000F4BBF" w:rsidP="00B215AE" w:rsidRDefault="000F4BBF" w14:paraId="0C1EC469" w14:textId="77777777"/>
    <w:p w:rsidRPr="00AD7C9A" w:rsidR="000F4BBF" w:rsidP="000F4BBF" w:rsidRDefault="0002493D" w14:paraId="621E8695" w14:textId="31C21BE9">
      <w:pPr>
        <w:spacing w:line="240" w:lineRule="atLeast"/>
      </w:pPr>
      <w:r w:rsidRPr="00AD7C9A">
        <w:rPr>
          <w:noProof/>
        </w:rPr>
        <w:lastRenderedPageBreak/>
        <w:drawing>
          <wp:inline distT="0" distB="0" distL="0" distR="0" wp14:anchorId="7EB581A6" wp14:editId="292BE339">
            <wp:extent cx="5687695" cy="2208530"/>
            <wp:effectExtent l="0" t="0" r="8255" b="1270"/>
            <wp:docPr id="1245925184" name="Chart 1">
              <a:extLst xmlns:a="http://schemas.openxmlformats.org/drawingml/2006/main">
                <a:ext uri="{FF2B5EF4-FFF2-40B4-BE49-F238E27FC236}">
                  <a16:creationId xmlns:a16="http://schemas.microsoft.com/office/drawing/2014/main" id="{973320A9-7363-80E5-82E7-5C237290B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AD7C9A" w:rsidR="000F4BBF" w:rsidP="000F4BBF" w:rsidRDefault="000F4BBF" w14:paraId="3F722966" w14:textId="6FA64D0D">
      <w:pPr>
        <w:pStyle w:val="Caption"/>
        <w:rPr>
          <w:lang w:val="en-US"/>
        </w:rPr>
      </w:pPr>
      <w:r w:rsidRPr="00AD7C9A">
        <w:t xml:space="preserve">Figuur </w:t>
      </w:r>
      <w:r w:rsidRPr="00AD7C9A">
        <w:fldChar w:fldCharType="begin"/>
      </w:r>
      <w:r w:rsidRPr="00AD7C9A">
        <w:instrText xml:space="preserve"> STYLEREF 1 \s </w:instrText>
      </w:r>
      <w:r w:rsidRPr="00AD7C9A">
        <w:fldChar w:fldCharType="separate"/>
      </w:r>
      <w:r w:rsidR="00AD7C9A">
        <w:rPr>
          <w:noProof/>
        </w:rPr>
        <w:t>2</w:t>
      </w:r>
      <w:r w:rsidRPr="00AD7C9A">
        <w:fldChar w:fldCharType="end"/>
      </w:r>
      <w:r w:rsidRPr="00AD7C9A">
        <w:t>.</w:t>
      </w:r>
      <w:r w:rsidRPr="00AD7C9A">
        <w:fldChar w:fldCharType="begin"/>
      </w:r>
      <w:r w:rsidRPr="00AD7C9A">
        <w:instrText xml:space="preserve"> SEQ Figuur \* ARABIC \s 1 </w:instrText>
      </w:r>
      <w:r w:rsidRPr="00AD7C9A">
        <w:fldChar w:fldCharType="separate"/>
      </w:r>
      <w:r w:rsidR="00AD7C9A">
        <w:rPr>
          <w:noProof/>
        </w:rPr>
        <w:t>1</w:t>
      </w:r>
      <w:r w:rsidRPr="00AD7C9A">
        <w:fldChar w:fldCharType="end"/>
      </w:r>
      <w:r w:rsidRPr="00AD7C9A">
        <w:t xml:space="preserve"> Rentabiliteit in dierlijke sectoren, in euro opbrengsten per 100 euro kosten, in 2001-2024. </w:t>
      </w:r>
      <w:r w:rsidRPr="00AD7C9A">
        <w:rPr>
          <w:lang w:val="en-US"/>
        </w:rPr>
        <w:t xml:space="preserve">Bron: Wageningen Social &amp; Economic Research, Bedrijveninformatienet, </w:t>
      </w:r>
      <w:hyperlink w:history="1" r:id="rId18">
        <w:r w:rsidRPr="00AD7C9A">
          <w:rPr>
            <w:rStyle w:val="Hyperlink"/>
            <w:lang w:val="en-US"/>
          </w:rPr>
          <w:t>agrimatie.nl/themaResultaat.aspx?subpubID=2232&amp;sectorID=2243&amp;themaID=2272&amp;indicatorID=2046</w:t>
        </w:r>
      </w:hyperlink>
      <w:r w:rsidRPr="00AD7C9A">
        <w:rPr>
          <w:lang w:val="en-US"/>
        </w:rPr>
        <w:t xml:space="preserve"> .</w:t>
      </w:r>
    </w:p>
    <w:p w:rsidRPr="00AD7C9A" w:rsidR="000F4BBF" w:rsidP="000F4BBF" w:rsidRDefault="00DA66B4" w14:paraId="19AB1263" w14:textId="0C80582E">
      <w:pPr>
        <w:spacing w:line="240" w:lineRule="atLeast"/>
      </w:pPr>
      <w:r w:rsidRPr="00AD7C9A">
        <w:rPr>
          <w:noProof/>
        </w:rPr>
        <w:drawing>
          <wp:inline distT="0" distB="0" distL="0" distR="0" wp14:anchorId="32C39CB3" wp14:editId="723E0C4C">
            <wp:extent cx="5688280" cy="2185059"/>
            <wp:effectExtent l="0" t="0" r="8255" b="5715"/>
            <wp:docPr id="2100552487" name="Chart 1">
              <a:extLst xmlns:a="http://schemas.openxmlformats.org/drawingml/2006/main">
                <a:ext uri="{FF2B5EF4-FFF2-40B4-BE49-F238E27FC236}">
                  <a16:creationId xmlns:a16="http://schemas.microsoft.com/office/drawing/2014/main" id="{25D7F497-0252-2755-E0E5-DCE904FCF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AD7C9A" w:rsidR="000F4BBF" w:rsidP="000F4BBF" w:rsidRDefault="000F4BBF" w14:paraId="52ED1BC2" w14:textId="22C4002C">
      <w:pPr>
        <w:pStyle w:val="Caption"/>
        <w:rPr>
          <w:lang w:val="en-US"/>
        </w:rPr>
      </w:pPr>
      <w:r w:rsidRPr="00AD7C9A">
        <w:t xml:space="preserve">Figuur </w:t>
      </w:r>
      <w:r w:rsidRPr="00AD7C9A">
        <w:fldChar w:fldCharType="begin"/>
      </w:r>
      <w:r w:rsidRPr="00AD7C9A">
        <w:instrText xml:space="preserve"> STYLEREF 1 \s </w:instrText>
      </w:r>
      <w:r w:rsidRPr="00AD7C9A">
        <w:fldChar w:fldCharType="separate"/>
      </w:r>
      <w:r w:rsidR="00AD7C9A">
        <w:rPr>
          <w:noProof/>
        </w:rPr>
        <w:t>2</w:t>
      </w:r>
      <w:r w:rsidRPr="00AD7C9A">
        <w:fldChar w:fldCharType="end"/>
      </w:r>
      <w:r w:rsidRPr="00AD7C9A">
        <w:t>.</w:t>
      </w:r>
      <w:r w:rsidRPr="00AD7C9A">
        <w:fldChar w:fldCharType="begin"/>
      </w:r>
      <w:r w:rsidRPr="00AD7C9A">
        <w:instrText xml:space="preserve"> SEQ Figuur \* ARABIC \s 1 </w:instrText>
      </w:r>
      <w:r w:rsidRPr="00AD7C9A">
        <w:fldChar w:fldCharType="separate"/>
      </w:r>
      <w:r w:rsidR="00AD7C9A">
        <w:rPr>
          <w:noProof/>
        </w:rPr>
        <w:t>2</w:t>
      </w:r>
      <w:r w:rsidRPr="00AD7C9A">
        <w:fldChar w:fldCharType="end"/>
      </w:r>
      <w:r w:rsidRPr="00AD7C9A">
        <w:t xml:space="preserve"> Rentabiliteit in plantaardige sectoren, in euro opbrengsten per 100 euro kosten, in 2001-2024. </w:t>
      </w:r>
      <w:r w:rsidRPr="00AD7C9A">
        <w:rPr>
          <w:lang w:val="en-US"/>
        </w:rPr>
        <w:t xml:space="preserve">Bron: Wageningen Social &amp; Economic Research, Bedrijveninformatienet, </w:t>
      </w:r>
      <w:hyperlink w:history="1" r:id="rId20">
        <w:r w:rsidRPr="00AD7C9A">
          <w:rPr>
            <w:rStyle w:val="Hyperlink"/>
            <w:lang w:val="en-US"/>
          </w:rPr>
          <w:t>agrimatie.nl/themaResultaat.aspx?subpubID=2232&amp;sectorID=2243&amp;themaID=2272&amp;indicatorID=2046</w:t>
        </w:r>
      </w:hyperlink>
      <w:r w:rsidRPr="00AD7C9A">
        <w:rPr>
          <w:lang w:val="en-US"/>
        </w:rPr>
        <w:t xml:space="preserve"> .</w:t>
      </w:r>
    </w:p>
    <w:p w:rsidRPr="00AD7C9A" w:rsidR="000F4BBF" w:rsidP="00B215AE" w:rsidRDefault="000F4BBF" w14:paraId="2AB6B375" w14:textId="77777777">
      <w:pPr>
        <w:rPr>
          <w:lang w:val="en-US"/>
        </w:rPr>
      </w:pPr>
    </w:p>
    <w:p w:rsidRPr="00AD7C9A" w:rsidR="000F4BBF" w:rsidP="00570184" w:rsidRDefault="00C1322E" w14:paraId="700CC95B" w14:textId="2402F2DD">
      <w:pPr>
        <w:pStyle w:val="Heading2"/>
      </w:pPr>
      <w:bookmarkStart w:name="_Toc197544910" w:id="29"/>
      <w:r w:rsidRPr="00AD7C9A">
        <w:t>Marges in andere ketenschakels zijn ook niet heel hoog</w:t>
      </w:r>
      <w:bookmarkEnd w:id="29"/>
    </w:p>
    <w:p w:rsidRPr="00AD7C9A" w:rsidR="00922E0D" w:rsidP="00B215AE" w:rsidRDefault="00D4381A" w14:paraId="13613F39" w14:textId="05AB74B5">
      <w:r w:rsidRPr="00AD7C9A">
        <w:t xml:space="preserve">De </w:t>
      </w:r>
      <w:r w:rsidRPr="00AD7C9A" w:rsidR="001A3C28">
        <w:t>winst</w:t>
      </w:r>
      <w:r w:rsidRPr="00AD7C9A">
        <w:t xml:space="preserve">marge van de verwerking en handel is echter in het algemeen niet heel hoog. </w:t>
      </w:r>
      <w:r w:rsidRPr="00AD7C9A" w:rsidR="00D13F35">
        <w:t xml:space="preserve">De rentabiliteit van de </w:t>
      </w:r>
      <w:r w:rsidRPr="00AD7C9A" w:rsidR="009069A8">
        <w:t xml:space="preserve">meeste bedrijfstakken van de voedselverwerkende industrie, groothandel en ook detailhandel was de afgelopen jaren </w:t>
      </w:r>
      <w:r w:rsidRPr="00AD7C9A" w:rsidR="007A0B85">
        <w:t xml:space="preserve">minder dan </w:t>
      </w:r>
      <w:r w:rsidR="008E4847">
        <w:t>€</w:t>
      </w:r>
      <w:r w:rsidRPr="00AD7C9A" w:rsidR="007A0B85">
        <w:t xml:space="preserve">105 opbrengsten per </w:t>
      </w:r>
      <w:r w:rsidR="008E4847">
        <w:t>€</w:t>
      </w:r>
      <w:r w:rsidRPr="00AD7C9A" w:rsidR="007A0B85">
        <w:t>100 kosten</w:t>
      </w:r>
      <w:r w:rsidRPr="00AD7C9A" w:rsidR="003C6C7E">
        <w:t>, dat wil zeggen een winstmarge van minder dan 5% van de omzet</w:t>
      </w:r>
      <w:r w:rsidRPr="00AD7C9A" w:rsidR="007A0B85">
        <w:t xml:space="preserve"> (Bron: CBS)</w:t>
      </w:r>
      <w:r w:rsidRPr="00AD7C9A" w:rsidR="003C6C7E">
        <w:t xml:space="preserve"> (zie </w:t>
      </w:r>
      <w:r w:rsidRPr="00AD7C9A" w:rsidR="00BD2AD8">
        <w:t xml:space="preserve">ook </w:t>
      </w:r>
      <w:r w:rsidRPr="00AD7C9A" w:rsidR="00213332">
        <w:t>F</w:t>
      </w:r>
      <w:r w:rsidRPr="00AD7C9A" w:rsidR="003C6C7E">
        <w:t xml:space="preserve">iguur 2.3). Enkele uitzonderingen waren de drankenindustrie </w:t>
      </w:r>
      <w:r w:rsidR="008E4847">
        <w:t>(</w:t>
      </w:r>
      <w:r w:rsidRPr="00AD7C9A" w:rsidR="008E4847">
        <w:t>116,8</w:t>
      </w:r>
      <w:r w:rsidR="008E4847">
        <w:t xml:space="preserve">) </w:t>
      </w:r>
      <w:r w:rsidRPr="00AD7C9A" w:rsidR="003C6C7E">
        <w:t xml:space="preserve">en de </w:t>
      </w:r>
      <w:r w:rsidRPr="00AD7C9A" w:rsidR="0078531F">
        <w:t>winkels in voedingsmiddelen (</w:t>
      </w:r>
      <w:r w:rsidRPr="00AD7C9A" w:rsidR="00290278">
        <w:t>speciaalzaken</w:t>
      </w:r>
      <w:r w:rsidR="008E4847">
        <w:t xml:space="preserve">; </w:t>
      </w:r>
      <w:r w:rsidRPr="00AD7C9A" w:rsidR="008E4847">
        <w:t>113,9</w:t>
      </w:r>
      <w:r w:rsidRPr="00AD7C9A" w:rsidR="00BD2AD8">
        <w:t>)</w:t>
      </w:r>
      <w:r w:rsidRPr="00AD7C9A" w:rsidR="00290278">
        <w:t xml:space="preserve">. </w:t>
      </w:r>
      <w:r w:rsidR="0071123A">
        <w:t>H</w:t>
      </w:r>
      <w:r w:rsidRPr="00AD7C9A" w:rsidR="00CB20CD">
        <w:t xml:space="preserve">et verschil in gemiddelde bedrijfsomvang </w:t>
      </w:r>
      <w:r w:rsidR="0071123A">
        <w:t xml:space="preserve">tussen de bedrijfstakken en </w:t>
      </w:r>
      <w:r w:rsidRPr="00AD7C9A" w:rsidR="00DC21F0">
        <w:t>de verhouding tussen kapitaal en arbeid</w:t>
      </w:r>
      <w:r w:rsidR="0071123A">
        <w:t xml:space="preserve"> </w:t>
      </w:r>
      <w:r w:rsidR="00D112EB">
        <w:t>is belangrijk voor de duiding van de cijfers</w:t>
      </w:r>
      <w:r w:rsidRPr="00AD7C9A" w:rsidR="00C869E1">
        <w:t xml:space="preserve">, waarbij de winkels in voedingsmiddelen </w:t>
      </w:r>
      <w:r w:rsidR="00A06CA6">
        <w:t xml:space="preserve">(speciaalzaken) </w:t>
      </w:r>
      <w:r w:rsidRPr="00AD7C9A" w:rsidR="00C869E1">
        <w:t xml:space="preserve">gemiddeld kleiner zijn dan </w:t>
      </w:r>
      <w:r w:rsidRPr="00AD7C9A" w:rsidR="00391729">
        <w:t xml:space="preserve">bijvoorbeeld </w:t>
      </w:r>
      <w:r w:rsidRPr="00AD7C9A" w:rsidR="002952EB">
        <w:t xml:space="preserve">de grote </w:t>
      </w:r>
      <w:r w:rsidRPr="00AD7C9A" w:rsidR="00391729">
        <w:t xml:space="preserve">supermarkten. </w:t>
      </w:r>
      <w:r w:rsidR="00500422">
        <w:rPr>
          <w:rStyle w:val="fadeinpfttw8"/>
        </w:rPr>
        <w:t xml:space="preserve">Een gemiddelde speciaalzaak in voedingsmiddelen had in 2023 een omzet van €550.000 en een bedrijfsresultaat van €58.000, vermoedelijk ongeveer gelijk aan het inkomen van de eigenaar </w:t>
      </w:r>
      <w:r w:rsidRPr="00AD7C9A" w:rsidR="00500422">
        <w:t xml:space="preserve">(Bron: </w:t>
      </w:r>
      <w:hyperlink w:history="1" r:id="rId21">
        <w:r w:rsidRPr="00AD7C9A" w:rsidR="00500422">
          <w:rPr>
            <w:rStyle w:val="Hyperlink"/>
          </w:rPr>
          <w:t>Retail Insiders | Retail data dashboard</w:t>
        </w:r>
      </w:hyperlink>
      <w:r w:rsidRPr="00AD7C9A" w:rsidR="00500422">
        <w:t>)</w:t>
      </w:r>
      <w:r w:rsidR="00500422">
        <w:rPr>
          <w:rStyle w:val="fadeinpfttw8"/>
        </w:rPr>
        <w:t xml:space="preserve">. In de primaire land- en tuinbouw lag de gemiddelde omzet op €900.000 en het inkomen uit bedrijf op </w:t>
      </w:r>
      <w:r w:rsidR="008E4847">
        <w:rPr>
          <w:rStyle w:val="fadeinpfttw8"/>
        </w:rPr>
        <w:t>€</w:t>
      </w:r>
      <w:r w:rsidR="00500422">
        <w:rPr>
          <w:rStyle w:val="fadeinpfttw8"/>
        </w:rPr>
        <w:t xml:space="preserve">180.000, oftewel </w:t>
      </w:r>
      <w:r w:rsidR="008E4847">
        <w:rPr>
          <w:rStyle w:val="fadeinpfttw8"/>
        </w:rPr>
        <w:t>€</w:t>
      </w:r>
      <w:r w:rsidR="00500422">
        <w:rPr>
          <w:rStyle w:val="fadeinpfttw8"/>
        </w:rPr>
        <w:t>119.000 per ondernemer.</w:t>
      </w:r>
    </w:p>
    <w:p w:rsidRPr="00AD7C9A" w:rsidR="001A3C28" w:rsidP="001A3C28" w:rsidRDefault="005B3212" w14:paraId="503E16E6" w14:textId="421097B9">
      <w:pPr>
        <w:spacing w:line="240" w:lineRule="atLeast"/>
      </w:pPr>
      <w:r w:rsidRPr="00AD7C9A">
        <w:rPr>
          <w:noProof/>
        </w:rPr>
        <w:lastRenderedPageBreak/>
        <w:drawing>
          <wp:inline distT="0" distB="0" distL="0" distR="0" wp14:anchorId="119976E4" wp14:editId="0FB5C0FF">
            <wp:extent cx="5759450" cy="2268187"/>
            <wp:effectExtent l="0" t="0" r="0" b="0"/>
            <wp:docPr id="54264137" name="Chart 1">
              <a:extLst xmlns:a="http://schemas.openxmlformats.org/drawingml/2006/main">
                <a:ext uri="{FF2B5EF4-FFF2-40B4-BE49-F238E27FC236}">
                  <a16:creationId xmlns:a16="http://schemas.microsoft.com/office/drawing/2014/main" id="{C9DCFA25-269A-9C98-6ADA-79F72F2780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AD7C9A" w:rsidR="001A3C28" w:rsidP="001A3C28" w:rsidRDefault="001A3C28" w14:paraId="790143C7" w14:textId="582E421D">
      <w:pPr>
        <w:pStyle w:val="Caption"/>
      </w:pPr>
      <w:bookmarkStart w:name="_Ref195095753" w:id="30"/>
      <w:r w:rsidRPr="00AD7C9A">
        <w:t xml:space="preserve">Figuur </w:t>
      </w:r>
      <w:r w:rsidRPr="00AD7C9A">
        <w:fldChar w:fldCharType="begin"/>
      </w:r>
      <w:r w:rsidRPr="00AD7C9A">
        <w:instrText xml:space="preserve"> STYLEREF 1 \s </w:instrText>
      </w:r>
      <w:r w:rsidRPr="00AD7C9A">
        <w:fldChar w:fldCharType="separate"/>
      </w:r>
      <w:r w:rsidR="00AD7C9A">
        <w:rPr>
          <w:noProof/>
        </w:rPr>
        <w:t>2</w:t>
      </w:r>
      <w:r w:rsidRPr="00AD7C9A">
        <w:fldChar w:fldCharType="end"/>
      </w:r>
      <w:r w:rsidRPr="00AD7C9A">
        <w:t>.</w:t>
      </w:r>
      <w:r w:rsidRPr="00AD7C9A">
        <w:fldChar w:fldCharType="begin"/>
      </w:r>
      <w:r w:rsidRPr="00AD7C9A">
        <w:instrText xml:space="preserve"> SEQ Figuur \* ARABIC \s 1 </w:instrText>
      </w:r>
      <w:r w:rsidRPr="00AD7C9A">
        <w:fldChar w:fldCharType="separate"/>
      </w:r>
      <w:r w:rsidR="00AD7C9A">
        <w:rPr>
          <w:noProof/>
        </w:rPr>
        <w:t>3</w:t>
      </w:r>
      <w:r w:rsidRPr="00AD7C9A">
        <w:fldChar w:fldCharType="end"/>
      </w:r>
      <w:bookmarkEnd w:id="30"/>
      <w:r w:rsidRPr="00AD7C9A">
        <w:t xml:space="preserve"> Rentabiliteit van verwerkende industrie, groothandel en detailhandel, in euro opbrengsten per 100 euro kosten, in 2009-2022. Bron: CBS Statline.</w:t>
      </w:r>
    </w:p>
    <w:p w:rsidRPr="00AD7C9A" w:rsidR="004F1E82" w:rsidP="001A3C28" w:rsidRDefault="004B1632" w14:paraId="7E67A05B" w14:textId="5564E94B">
      <w:pPr>
        <w:pStyle w:val="Heading2"/>
      </w:pPr>
      <w:bookmarkStart w:name="_Toc197544911" w:id="31"/>
      <w:r w:rsidRPr="00AD7C9A">
        <w:t xml:space="preserve">Risico op negatief inkomen </w:t>
      </w:r>
      <w:r w:rsidRPr="00AD7C9A" w:rsidR="008E51FA">
        <w:t>is</w:t>
      </w:r>
      <w:r w:rsidRPr="00AD7C9A">
        <w:t xml:space="preserve"> in primaire sector groter</w:t>
      </w:r>
      <w:bookmarkEnd w:id="31"/>
    </w:p>
    <w:p w:rsidRPr="00AD7C9A" w:rsidR="00FD6CEE" w:rsidP="001A3C28" w:rsidRDefault="001A3C28" w14:paraId="2C73192D" w14:textId="2F4E37F7">
      <w:r w:rsidRPr="00AD7C9A">
        <w:t>De risico</w:t>
      </w:r>
      <w:r w:rsidRPr="00AD7C9A" w:rsidR="00223323">
        <w:t>’</w:t>
      </w:r>
      <w:r w:rsidRPr="00AD7C9A">
        <w:t xml:space="preserve">s </w:t>
      </w:r>
      <w:r w:rsidRPr="00AD7C9A" w:rsidR="00223323">
        <w:t xml:space="preserve">op een laag of negatief inkomen </w:t>
      </w:r>
      <w:r w:rsidRPr="00AD7C9A">
        <w:t xml:space="preserve">zijn in de primaire sector groter dan in de overige schakels. </w:t>
      </w:r>
      <w:r w:rsidRPr="00AD7C9A" w:rsidR="002F7121">
        <w:t xml:space="preserve">Uit verschillende onderzoeken blijkt dat boeren en tuinders de risico’s in de eigen sector als hoog ervaren en ook van mening zijn dat de risico’s die zij dragen hoger zijn dan de risico’s van de andere ketenschakels (Van Galen et al., 2022). </w:t>
      </w:r>
      <w:r w:rsidRPr="00AD7C9A" w:rsidR="004C4550">
        <w:t>Die risico’s hebben vooral te maken met prijsschommelingen op afzetmarkten, prijsschommelingen van inputs</w:t>
      </w:r>
      <w:r w:rsidRPr="00AD7C9A" w:rsidR="009639AE">
        <w:t xml:space="preserve">, veranderende wet- en regelgeving en weersinvloeden en ziekten en plagen. </w:t>
      </w:r>
    </w:p>
    <w:p w:rsidRPr="00AD7C9A" w:rsidR="00FD6CEE" w:rsidP="001A3C28" w:rsidRDefault="00FD6CEE" w14:paraId="5E3D1723" w14:textId="77777777"/>
    <w:p w:rsidRPr="00AD7C9A" w:rsidR="000070D4" w:rsidP="000070D4" w:rsidRDefault="000070D4" w14:paraId="61D558EA" w14:textId="77777777">
      <w:pPr>
        <w:pStyle w:val="Heading2"/>
      </w:pPr>
      <w:bookmarkStart w:name="_Toc197544912" w:id="32"/>
      <w:r w:rsidRPr="00AD7C9A">
        <w:t>Meerkosten versus meeropbrengsten van verduurzaming</w:t>
      </w:r>
      <w:bookmarkEnd w:id="32"/>
    </w:p>
    <w:p w:rsidRPr="00AD7C9A" w:rsidR="00B40399" w:rsidP="001A3C28" w:rsidRDefault="009639AE" w14:paraId="15C139F8" w14:textId="22C96821">
      <w:r w:rsidRPr="00AD7C9A">
        <w:t xml:space="preserve">Hoewel het </w:t>
      </w:r>
      <w:r w:rsidRPr="00AD7C9A" w:rsidR="00C92A6B">
        <w:t xml:space="preserve">aannemelijk </w:t>
      </w:r>
      <w:r w:rsidRPr="00AD7C9A" w:rsidR="00FD6CEE">
        <w:t xml:space="preserve">lijkt </w:t>
      </w:r>
      <w:r w:rsidRPr="00AD7C9A" w:rsidR="00C92A6B">
        <w:t xml:space="preserve">dat </w:t>
      </w:r>
      <w:r w:rsidRPr="00AD7C9A" w:rsidR="008833DA">
        <w:t xml:space="preserve">de </w:t>
      </w:r>
      <w:r w:rsidRPr="00AD7C9A" w:rsidR="00FD6CEE">
        <w:t>biologische</w:t>
      </w:r>
      <w:r w:rsidRPr="00AD7C9A" w:rsidR="00C92A6B">
        <w:t xml:space="preserve"> </w:t>
      </w:r>
      <w:r w:rsidRPr="00AD7C9A" w:rsidR="008833DA">
        <w:t>productiewijze</w:t>
      </w:r>
      <w:r w:rsidRPr="00AD7C9A" w:rsidR="00C92A6B">
        <w:t xml:space="preserve"> hogere </w:t>
      </w:r>
      <w:r w:rsidRPr="00AD7C9A" w:rsidR="005F0A4B">
        <w:t xml:space="preserve">technische </w:t>
      </w:r>
      <w:r w:rsidRPr="00AD7C9A" w:rsidR="00C92A6B">
        <w:t xml:space="preserve">risico’s kent voor boeren en tuinders </w:t>
      </w:r>
      <w:r w:rsidRPr="00AD7C9A" w:rsidR="008833DA">
        <w:t>wat</w:t>
      </w:r>
      <w:r w:rsidRPr="00AD7C9A" w:rsidR="00C92A6B">
        <w:t xml:space="preserve"> </w:t>
      </w:r>
      <w:r w:rsidRPr="00AD7C9A" w:rsidR="001521FE">
        <w:t xml:space="preserve">een belemmering </w:t>
      </w:r>
      <w:r w:rsidRPr="00AD7C9A" w:rsidR="008833DA">
        <w:t>kan zijn</w:t>
      </w:r>
      <w:r w:rsidRPr="00AD7C9A" w:rsidR="001521FE">
        <w:t xml:space="preserve"> voor overgang naar biologische landbouw</w:t>
      </w:r>
      <w:r w:rsidRPr="00AD7C9A" w:rsidR="00FD6CEE">
        <w:t xml:space="preserve">, blijkt uit onderzoek van Van Galen et al (2022) dat biologische boeren en tuinders over het algemeen </w:t>
      </w:r>
      <w:r w:rsidRPr="00AD7C9A" w:rsidR="009F7113">
        <w:t xml:space="preserve">minder negatief waren over de verdeling van risico’s, kosten en winst in de keten dan gangbare boeren en tuinders. </w:t>
      </w:r>
      <w:r w:rsidRPr="00AD7C9A" w:rsidR="002F7375">
        <w:t xml:space="preserve">Dat </w:t>
      </w:r>
      <w:r w:rsidRPr="00AD7C9A" w:rsidR="008833DA">
        <w:t>kan</w:t>
      </w:r>
      <w:r w:rsidRPr="00AD7C9A" w:rsidR="002F7375">
        <w:t xml:space="preserve"> </w:t>
      </w:r>
      <w:r w:rsidRPr="00AD7C9A" w:rsidR="008833DA">
        <w:t xml:space="preserve">liggen aan </w:t>
      </w:r>
      <w:r w:rsidRPr="00AD7C9A" w:rsidR="00C25C2A">
        <w:t xml:space="preserve">een hogere intrinsieke motivatie van biologische boeren om duurzaam te produceren maar kan ook </w:t>
      </w:r>
      <w:r w:rsidRPr="00AD7C9A" w:rsidR="002F7375">
        <w:t xml:space="preserve">het gevolg </w:t>
      </w:r>
      <w:r w:rsidRPr="00AD7C9A" w:rsidR="00C25C2A">
        <w:t xml:space="preserve">zijn </w:t>
      </w:r>
      <w:r w:rsidRPr="00AD7C9A" w:rsidR="002F7375">
        <w:t>van dat met name gangbare boeren en tuinders te maken krijgen met aangescherpte regelgeving</w:t>
      </w:r>
      <w:r w:rsidRPr="00AD7C9A" w:rsidR="00DB7F74">
        <w:t xml:space="preserve"> op het gebied van gewasbescherming en vergunningen rondom stikstof</w:t>
      </w:r>
      <w:r w:rsidRPr="00AD7C9A" w:rsidR="002F7375">
        <w:t xml:space="preserve"> en </w:t>
      </w:r>
      <w:r w:rsidRPr="00AD7C9A" w:rsidR="001D3475">
        <w:t xml:space="preserve">dat prijzen van sommige biologische producten stabieler zijn omdat de ketens gekenmerkt worden door meer </w:t>
      </w:r>
      <w:r w:rsidRPr="00AD7C9A" w:rsidR="005268E2">
        <w:t xml:space="preserve">gesloten ketens met langere afzetrelaties. </w:t>
      </w:r>
    </w:p>
    <w:p w:rsidRPr="00AD7C9A" w:rsidR="00280902" w:rsidP="001A3C28" w:rsidRDefault="00280902" w14:paraId="71EF6363" w14:textId="77777777"/>
    <w:p w:rsidRPr="00AD7C9A" w:rsidR="000070D4" w:rsidP="001A3C28" w:rsidRDefault="000070D4" w14:paraId="2E3FA47B" w14:textId="48F3089D">
      <w:r>
        <w:t>Uit het onderzoek van Van Galen et al (2020,2021,2022) blijkt dat de vergoeding van meerkosten voor duurzame landbouw uit de markt sterk verschilt per product. Maar in het algemeen kregen de biologische boeren en tuinders de additionele kosten wel uit de markt vergoed. Uitzondering is de afgelopen jaren de biologische melkveehouderij waarbij sprake is van een overaanbod.</w:t>
      </w:r>
    </w:p>
    <w:p w:rsidRPr="00AD7C9A" w:rsidR="00280902" w:rsidP="001A3C28" w:rsidRDefault="00280902" w14:paraId="2DAF0AB9" w14:textId="77777777"/>
    <w:p w:rsidRPr="00AD7C9A" w:rsidR="0009433C" w:rsidP="00570184" w:rsidRDefault="0009433C" w14:paraId="0D8E6C02" w14:textId="01FE2914">
      <w:pPr>
        <w:pStyle w:val="Heading2"/>
      </w:pPr>
      <w:bookmarkStart w:name="_Toc197544913" w:id="33"/>
      <w:r w:rsidRPr="00AD7C9A">
        <w:t>Grot</w:t>
      </w:r>
      <w:r w:rsidRPr="00AD7C9A" w:rsidR="0062281C">
        <w:t>e primaire bedrijven realiseren hoger inkomen dan kleine</w:t>
      </w:r>
      <w:r w:rsidRPr="00AD7C9A" w:rsidR="00A17CD8">
        <w:t xml:space="preserve"> bedrijven</w:t>
      </w:r>
      <w:bookmarkEnd w:id="33"/>
    </w:p>
    <w:p w:rsidRPr="00AD7C9A" w:rsidR="0056509C" w:rsidP="0009433C" w:rsidRDefault="0009433C" w14:paraId="69AB1F2B" w14:textId="50641C59">
      <w:r w:rsidRPr="00AD7C9A">
        <w:t xml:space="preserve">Uit de cijfers blijkt dat de gemiddelde inkomens van boeren en tuinders toenemen. Desondanks is er nog een grote groep boeren en tuinders met een laag inkomen. </w:t>
      </w:r>
      <w:r w:rsidRPr="00AD7C9A" w:rsidR="00F30DAD">
        <w:t xml:space="preserve">Volgens </w:t>
      </w:r>
      <w:r w:rsidRPr="00AD7C9A" w:rsidR="00C562C1">
        <w:t xml:space="preserve">cijfers van Wageningen Social &amp; Economic Research had in 2021 33% van de boeren en tuinders een inkomens dat onder de lage-inkomensgrens </w:t>
      </w:r>
      <w:r w:rsidRPr="00AD7C9A" w:rsidR="00AA2775">
        <w:t>lag</w:t>
      </w:r>
      <w:r w:rsidRPr="00AD7C9A" w:rsidR="00C562C1">
        <w:t>.</w:t>
      </w:r>
      <w:r w:rsidRPr="00AD7C9A" w:rsidR="00AA2775">
        <w:rPr>
          <w:rStyle w:val="FootnoteReference"/>
        </w:rPr>
        <w:footnoteReference w:id="1"/>
      </w:r>
      <w:r w:rsidRPr="00AD7C9A" w:rsidR="00C562C1">
        <w:t xml:space="preserve"> </w:t>
      </w:r>
      <w:r w:rsidRPr="00AD7C9A">
        <w:t xml:space="preserve">En dat zijn vooral ondernemers op kleinere bedrijven. Uit figuur 2.4. 2.5 en 2.6 komt naar voren dat grotere bedrijven in de akkerbouwsector, de melkveehouderij en de </w:t>
      </w:r>
      <w:r w:rsidRPr="00AD7C9A">
        <w:lastRenderedPageBreak/>
        <w:t xml:space="preserve">varkenshouderij gemiddeld een stuk rendabeler opereerden dan kleinere bedrijven. </w:t>
      </w:r>
      <w:r w:rsidRPr="00AD7C9A" w:rsidR="00C42B7B">
        <w:t xml:space="preserve">Daarbij merken we op dat grote bedrijven in tijden van (extreem) lage opbrengstprijzen door hun omvang ook grote verliezen kunnen leiden. </w:t>
      </w:r>
    </w:p>
    <w:p w:rsidRPr="00AD7C9A" w:rsidR="0056509C" w:rsidP="0009433C" w:rsidRDefault="0056509C" w14:paraId="41B6DA88" w14:textId="77777777"/>
    <w:p w:rsidRPr="00AD7C9A" w:rsidR="0009433C" w:rsidP="0009433C" w:rsidRDefault="00B57AED" w14:paraId="2646E698" w14:textId="55FE540E">
      <w:r>
        <w:rPr>
          <w:rStyle w:val="fadeinpfttw8"/>
        </w:rPr>
        <w:t xml:space="preserve">Deze verschillen zijn relevant bij het ontwikkelen van nieuwe verdienmodellen, vooral voor kleinere bedrijven. Zij kunnen verduurzaming moeilijker rendabel maken en vullen hun inkomen vaak aan via werk buiten het bedrijf, nevenactiviteiten of korte ketens. </w:t>
      </w:r>
      <w:r w:rsidR="00900C36">
        <w:rPr>
          <w:rStyle w:val="fadeinpfttw8"/>
        </w:rPr>
        <w:t>Lagere inkomens bij kleinere boeren houden deels verband met beperkingen in groei en overname. Voor sommige bedrijven is schaalvergroting wenselijk en kan het verdienvermogen én de investeringscapaciteit in duurzaamheid vergroten. Groei hoeft verduurzaming niet in de weg te staan, zolang deze niet ten koste gaat van duurzaamheid zelf.</w:t>
      </w:r>
      <w:r w:rsidR="00E30989">
        <w:rPr>
          <w:rStyle w:val="fadeinpfttw8"/>
        </w:rPr>
        <w:t xml:space="preserve"> </w:t>
      </w:r>
      <w:r w:rsidRPr="00AD7C9A" w:rsidR="001B3ACF">
        <w:t>Uit eerder onderzoek van Wageningen Social &amp; Economic Research blijkt dat de 25% duurzaamste melkveebedrijven in 2019-2021 ook beter scoorden op economische prestaties. Deze 25% best presterende bedrijven waren echter wel significant extensiever hoewel zij ongeveer dezelfde bedrijfsomvang hadden. Die bedrijven hadden meer weidegang en vaker ook natuurbeheer.</w:t>
      </w:r>
      <w:r w:rsidRPr="00AD7C9A" w:rsidR="0026392B">
        <w:rPr>
          <w:rStyle w:val="FootnoteReference"/>
        </w:rPr>
        <w:footnoteReference w:id="2"/>
      </w:r>
      <w:r w:rsidRPr="00AD7C9A" w:rsidR="0026392B">
        <w:t xml:space="preserve"> </w:t>
      </w:r>
      <w:r w:rsidRPr="00AD7C9A" w:rsidR="003232A1">
        <w:t xml:space="preserve">Het lijkt dus mogelijk om bedrijfsgroei te koppelen aan extensivering en op die manier zowel </w:t>
      </w:r>
      <w:r w:rsidRPr="00AD7C9A" w:rsidR="00E44D62">
        <w:t xml:space="preserve">inkomen als duurzaamheid te realiseren. </w:t>
      </w:r>
      <w:r w:rsidRPr="00AD7C9A" w:rsidR="001B3ACF">
        <w:t xml:space="preserve">Uit beschikbare cijfers van Wageningen Social &amp; Economic Research blijkt </w:t>
      </w:r>
      <w:r w:rsidRPr="00AD7C9A" w:rsidR="00E44D62">
        <w:t xml:space="preserve">echter </w:t>
      </w:r>
      <w:r w:rsidRPr="00AD7C9A" w:rsidR="001B3ACF">
        <w:t>ook dat grotere bedrijven in de akkerbouw en melkveehouderij gemiddeld een grotere milieubelasting door gewasbeschermingsmiddelen kenden.</w:t>
      </w:r>
      <w:r w:rsidRPr="00AD7C9A" w:rsidR="0026392B">
        <w:rPr>
          <w:rStyle w:val="FootnoteReference"/>
        </w:rPr>
        <w:footnoteReference w:id="3"/>
      </w:r>
      <w:r w:rsidRPr="00AD7C9A" w:rsidR="001B3ACF">
        <w:t xml:space="preserve"> Er is nog niet veel systematisch onderzoek gedaan naar de duurzaamheidsprestaties van bedrijven met verschillende bedrijfsomvang, en de randvoorwaarden voor duurzame groei van de bedrijfsomvang. </w:t>
      </w:r>
    </w:p>
    <w:p w:rsidRPr="00AD7C9A" w:rsidR="00DE2757" w:rsidP="00DE2757" w:rsidRDefault="00DE2757" w14:paraId="37241882" w14:textId="77777777"/>
    <w:p w:rsidRPr="00AD7C9A" w:rsidR="003841D5" w:rsidP="00E05351" w:rsidRDefault="00E771AB" w14:paraId="4228605B" w14:textId="48213D10">
      <w:pPr>
        <w:pStyle w:val="Heading1"/>
      </w:pPr>
      <w:bookmarkStart w:name="_Toc197544914" w:id="34"/>
      <w:r w:rsidRPr="00AD7C9A">
        <w:t>Een gezond verdienmodel voor verduurzaming</w:t>
      </w:r>
      <w:bookmarkEnd w:id="34"/>
    </w:p>
    <w:p w:rsidRPr="00AD7C9A" w:rsidR="00530CFF" w:rsidP="00570184" w:rsidRDefault="005303DB" w14:paraId="4388DA30" w14:textId="7547DF7C">
      <w:pPr>
        <w:pStyle w:val="Heading2"/>
      </w:pPr>
      <w:bookmarkStart w:name="_Toc197544915" w:id="35"/>
      <w:r w:rsidRPr="00AD7C9A">
        <w:t>Welke verdienmodellen zijn er voor duurzame landbouw?</w:t>
      </w:r>
      <w:bookmarkEnd w:id="35"/>
    </w:p>
    <w:p w:rsidRPr="00AD7C9A" w:rsidR="003F650D" w:rsidP="003F650D" w:rsidRDefault="009537FD" w14:paraId="41C69615" w14:textId="0CB45904">
      <w:r w:rsidRPr="00AD7C9A">
        <w:t xml:space="preserve">Op basis van een aantal recente </w:t>
      </w:r>
      <w:r w:rsidRPr="00AD7C9A" w:rsidR="00275AE3">
        <w:t>studies</w:t>
      </w:r>
      <w:r w:rsidRPr="00AD7C9A">
        <w:t xml:space="preserve"> naar verdienmodellen </w:t>
      </w:r>
      <w:r w:rsidRPr="00AD7C9A" w:rsidR="00275AE3">
        <w:t>voor</w:t>
      </w:r>
      <w:r w:rsidRPr="00AD7C9A">
        <w:t xml:space="preserve"> </w:t>
      </w:r>
      <w:r w:rsidRPr="00AD7C9A" w:rsidR="00DA45B9">
        <w:t>kringlooplandbouw, natuurinclusieve</w:t>
      </w:r>
      <w:r w:rsidRPr="00AD7C9A" w:rsidR="00275AE3">
        <w:t xml:space="preserve"> </w:t>
      </w:r>
      <w:r w:rsidRPr="00AD7C9A" w:rsidR="00251C21">
        <w:t>landbouw</w:t>
      </w:r>
      <w:r w:rsidRPr="00AD7C9A" w:rsidR="00057C20">
        <w:t>,</w:t>
      </w:r>
      <w:r w:rsidRPr="00AD7C9A" w:rsidR="009138F3">
        <w:t xml:space="preserve"> en</w:t>
      </w:r>
      <w:r w:rsidRPr="00AD7C9A" w:rsidR="00057C20">
        <w:t xml:space="preserve"> duurzame</w:t>
      </w:r>
      <w:r w:rsidRPr="00AD7C9A" w:rsidR="009138F3">
        <w:t xml:space="preserve"> land- en tuinbouw</w:t>
      </w:r>
      <w:r w:rsidRPr="00AD7C9A" w:rsidR="00DA45B9">
        <w:t xml:space="preserve"> (</w:t>
      </w:r>
      <w:r w:rsidRPr="00AD7C9A" w:rsidR="003F1378">
        <w:t xml:space="preserve">Jongeneel, 2020; </w:t>
      </w:r>
      <w:r w:rsidRPr="00AD7C9A" w:rsidR="00DA45B9">
        <w:t>Smits et al</w:t>
      </w:r>
      <w:r w:rsidRPr="00AD7C9A" w:rsidR="00057C20">
        <w:t>. 2024</w:t>
      </w:r>
      <w:r w:rsidRPr="00AD7C9A" w:rsidR="009138F3">
        <w:t>; De Lauwere et al., 2014)</w:t>
      </w:r>
      <w:r w:rsidRPr="00AD7C9A" w:rsidR="00DA45B9">
        <w:t xml:space="preserve"> </w:t>
      </w:r>
      <w:r w:rsidRPr="00AD7C9A" w:rsidR="003F650D">
        <w:t xml:space="preserve">geeft Tabel </w:t>
      </w:r>
      <w:r w:rsidR="006F779B">
        <w:t>3</w:t>
      </w:r>
      <w:r w:rsidRPr="00AD7C9A" w:rsidR="003F650D">
        <w:t>.1 een</w:t>
      </w:r>
      <w:r w:rsidRPr="00AD7C9A" w:rsidR="00DA45B9">
        <w:t xml:space="preserve"> overzicht van verdienmodellen voor duurzame land- en </w:t>
      </w:r>
      <w:r w:rsidRPr="00AD7C9A" w:rsidR="009138F3">
        <w:t>tuinbouw</w:t>
      </w:r>
      <w:r w:rsidRPr="00AD7C9A" w:rsidR="00DA45B9">
        <w:t>.</w:t>
      </w:r>
      <w:r w:rsidRPr="00AD7C9A" w:rsidR="00A41620">
        <w:t xml:space="preserve"> </w:t>
      </w:r>
      <w:r w:rsidRPr="00AD7C9A" w:rsidR="003F650D">
        <w:t>Er worden circa 20 verdienmodellen onderscheiden die in de praktijk toegepast worden</w:t>
      </w:r>
      <w:r w:rsidRPr="00AD7C9A" w:rsidR="00306629">
        <w:t>,</w:t>
      </w:r>
      <w:r w:rsidRPr="00AD7C9A" w:rsidR="003F650D">
        <w:t xml:space="preserve"> onder andere gekoppeld aan verduurzaming. </w:t>
      </w:r>
      <w:r w:rsidRPr="00AD7C9A" w:rsidR="009169A7">
        <w:t xml:space="preserve">De verdienmodellen lopen uiteen van een </w:t>
      </w:r>
      <w:r w:rsidRPr="00AD7C9A" w:rsidR="00B92941">
        <w:t xml:space="preserve">standaard </w:t>
      </w:r>
      <w:r w:rsidRPr="00AD7C9A" w:rsidR="004D654A">
        <w:t xml:space="preserve">transactiemodel voor de verkoop van (zoveel mogelijk) producten, tot het leveren van eco-systeemdiensten, abonnementen en </w:t>
      </w:r>
      <w:r w:rsidRPr="00AD7C9A" w:rsidR="00BB2B4B">
        <w:t>community supported agriculture.</w:t>
      </w:r>
      <w:r w:rsidRPr="00AD7C9A" w:rsidR="003F650D">
        <w:t xml:space="preserve"> Verdienmodellen zijn gebaseerd op inkomen uit de markt en de keten </w:t>
      </w:r>
      <w:proofErr w:type="gramStart"/>
      <w:r w:rsidRPr="00AD7C9A" w:rsidR="003F650D">
        <w:t>( o.a.</w:t>
      </w:r>
      <w:proofErr w:type="gramEnd"/>
      <w:r w:rsidRPr="00AD7C9A" w:rsidR="003F650D">
        <w:t xml:space="preserve"> verkoop producten of diensten; kortere ketens, keurmerken, abonnementen, burgerparticipatie</w:t>
      </w:r>
      <w:r w:rsidRPr="00AD7C9A" w:rsidR="00847997">
        <w:t>),</w:t>
      </w:r>
      <w:r w:rsidRPr="00AD7C9A" w:rsidR="003F650D">
        <w:t xml:space="preserve"> al dan niet aangevuld met vergoedingen vanuit de overheid (EU</w:t>
      </w:r>
      <w:r w:rsidRPr="00AD7C9A" w:rsidR="00DF5612">
        <w:t xml:space="preserve"> toeslagen</w:t>
      </w:r>
      <w:r w:rsidRPr="00AD7C9A" w:rsidR="003F650D">
        <w:t xml:space="preserve">, </w:t>
      </w:r>
      <w:r w:rsidRPr="00AD7C9A" w:rsidR="00DF5612">
        <w:t>vergoedingen voor ecosysteemdiensten</w:t>
      </w:r>
      <w:r w:rsidRPr="00AD7C9A" w:rsidR="003F650D">
        <w:t>, vergunningen).</w:t>
      </w:r>
    </w:p>
    <w:p w:rsidRPr="00AD7C9A" w:rsidR="006D2D71" w:rsidP="00530CFF" w:rsidRDefault="006D2D71" w14:paraId="3FA811E0" w14:textId="77777777"/>
    <w:p w:rsidRPr="00AD7C9A" w:rsidR="00E84673" w:rsidP="009F7AC2" w:rsidRDefault="009F7AC2" w14:paraId="634E0FDA" w14:textId="4CD8CE39">
      <w:pPr>
        <w:pStyle w:val="Caption"/>
      </w:pPr>
      <w:r w:rsidRPr="00AD7C9A">
        <w:t xml:space="preserve">Tabel </w:t>
      </w:r>
      <w:r w:rsidRPr="00AD7C9A">
        <w:fldChar w:fldCharType="begin"/>
      </w:r>
      <w:r w:rsidRPr="00AD7C9A">
        <w:instrText xml:space="preserve"> STYLEREF 1 \s </w:instrText>
      </w:r>
      <w:r w:rsidRPr="00AD7C9A">
        <w:fldChar w:fldCharType="separate"/>
      </w:r>
      <w:r w:rsidR="00AD7C9A">
        <w:rPr>
          <w:noProof/>
        </w:rPr>
        <w:t>3</w:t>
      </w:r>
      <w:r w:rsidRPr="00AD7C9A">
        <w:fldChar w:fldCharType="end"/>
      </w:r>
      <w:r w:rsidRPr="00AD7C9A">
        <w:t>.</w:t>
      </w:r>
      <w:r w:rsidRPr="00AD7C9A">
        <w:fldChar w:fldCharType="begin"/>
      </w:r>
      <w:r w:rsidRPr="00AD7C9A">
        <w:instrText xml:space="preserve"> SEQ Tabel \* ARABIC \s 1 </w:instrText>
      </w:r>
      <w:r w:rsidRPr="00AD7C9A">
        <w:fldChar w:fldCharType="separate"/>
      </w:r>
      <w:r w:rsidR="00AD7C9A">
        <w:rPr>
          <w:noProof/>
        </w:rPr>
        <w:t>1</w:t>
      </w:r>
      <w:r w:rsidRPr="00AD7C9A">
        <w:fldChar w:fldCharType="end"/>
      </w:r>
      <w:r w:rsidRPr="00AD7C9A">
        <w:t xml:space="preserve"> Overzicht van bestaande verdienmodellen</w:t>
      </w:r>
    </w:p>
    <w:tbl>
      <w:tblPr>
        <w:tblStyle w:val="ListTable3-Accent3"/>
        <w:tblW w:w="0" w:type="auto"/>
        <w:tblLook w:val="04A0" w:firstRow="1" w:lastRow="0" w:firstColumn="1" w:lastColumn="0" w:noHBand="0" w:noVBand="1"/>
      </w:tblPr>
      <w:tblGrid>
        <w:gridCol w:w="2830"/>
        <w:gridCol w:w="5208"/>
        <w:gridCol w:w="1022"/>
      </w:tblGrid>
      <w:tr w:rsidRPr="00AD7C9A" w:rsidR="00BD64A1" w:rsidTr="00E879A9" w14:paraId="025695FA" w14:textId="0FE47FB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Borders>
              <w:top w:val="single" w:color="A5A5A5" w:themeColor="accent3" w:sz="4" w:space="0"/>
            </w:tcBorders>
          </w:tcPr>
          <w:p w:rsidRPr="00AD7C9A" w:rsidR="00BD64A1" w:rsidP="00530CFF" w:rsidRDefault="00BD64A1" w14:paraId="53FEE2AF" w14:textId="151F7650">
            <w:pPr>
              <w:rPr>
                <w:sz w:val="14"/>
                <w:szCs w:val="16"/>
              </w:rPr>
            </w:pPr>
            <w:r w:rsidRPr="00AD7C9A">
              <w:rPr>
                <w:sz w:val="14"/>
                <w:szCs w:val="16"/>
              </w:rPr>
              <w:t>Verdienmodel</w:t>
            </w:r>
          </w:p>
        </w:tc>
        <w:tc>
          <w:tcPr>
            <w:tcW w:w="5208" w:type="dxa"/>
            <w:tcBorders>
              <w:top w:val="single" w:color="A5A5A5" w:themeColor="accent3" w:sz="4" w:space="0"/>
            </w:tcBorders>
          </w:tcPr>
          <w:p w:rsidRPr="00AD7C9A" w:rsidR="00BD64A1" w:rsidP="00530CFF" w:rsidRDefault="00BD64A1" w14:paraId="744B2851" w14:textId="5605EDE8">
            <w:pPr>
              <w:cnfStyle w:val="100000000000" w:firstRow="1" w:lastRow="0" w:firstColumn="0" w:lastColumn="0" w:oddVBand="0" w:evenVBand="0" w:oddHBand="0" w:evenHBand="0" w:firstRowFirstColumn="0" w:firstRowLastColumn="0" w:lastRowFirstColumn="0" w:lastRowLastColumn="0"/>
              <w:rPr>
                <w:sz w:val="14"/>
                <w:szCs w:val="16"/>
              </w:rPr>
            </w:pPr>
            <w:r w:rsidRPr="00AD7C9A">
              <w:rPr>
                <w:sz w:val="14"/>
                <w:szCs w:val="16"/>
              </w:rPr>
              <w:t>Omschrijving</w:t>
            </w:r>
          </w:p>
        </w:tc>
        <w:tc>
          <w:tcPr>
            <w:tcW w:w="1022" w:type="dxa"/>
            <w:tcBorders>
              <w:top w:val="single" w:color="A5A5A5" w:themeColor="accent3" w:sz="4" w:space="0"/>
            </w:tcBorders>
          </w:tcPr>
          <w:p w:rsidRPr="00AD7C9A" w:rsidR="00BD64A1" w:rsidP="00530CFF" w:rsidRDefault="00BD64A1" w14:paraId="4C04E5ED" w14:textId="228508E3">
            <w:pPr>
              <w:cnfStyle w:val="100000000000" w:firstRow="1" w:lastRow="0" w:firstColumn="0" w:lastColumn="0" w:oddVBand="0" w:evenVBand="0" w:oddHBand="0" w:evenHBand="0" w:firstRowFirstColumn="0" w:firstRowLastColumn="0" w:lastRowFirstColumn="0" w:lastRowLastColumn="0"/>
              <w:rPr>
                <w:sz w:val="14"/>
                <w:szCs w:val="16"/>
              </w:rPr>
            </w:pPr>
            <w:r w:rsidRPr="00AD7C9A">
              <w:rPr>
                <w:sz w:val="14"/>
                <w:szCs w:val="16"/>
              </w:rPr>
              <w:t>Bronnen</w:t>
            </w:r>
          </w:p>
        </w:tc>
      </w:tr>
      <w:tr w:rsidRPr="00AD7C9A" w:rsidR="0084392F" w:rsidTr="0084392F" w14:paraId="047984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Borders>
              <w:right w:val="single" w:color="A5A5A5" w:themeColor="accent3" w:sz="4" w:space="0"/>
            </w:tcBorders>
          </w:tcPr>
          <w:p w:rsidRPr="00AD7C9A" w:rsidR="0084392F" w:rsidP="00530CFF" w:rsidRDefault="0084392F" w14:paraId="4E4692C6" w14:textId="557932E1">
            <w:pPr>
              <w:rPr>
                <w:sz w:val="14"/>
                <w:szCs w:val="16"/>
              </w:rPr>
            </w:pPr>
            <w:r w:rsidRPr="00AD7C9A">
              <w:rPr>
                <w:i/>
                <w:iCs/>
                <w:sz w:val="14"/>
                <w:szCs w:val="16"/>
              </w:rPr>
              <w:t>Vergoeding vanuit de markt/keten:</w:t>
            </w:r>
          </w:p>
        </w:tc>
      </w:tr>
      <w:tr w:rsidRPr="00AD7C9A" w:rsidR="00BD64A1" w:rsidTr="00E879A9" w14:paraId="3D0DBDEE" w14:textId="57DE5B67">
        <w:tc>
          <w:tcPr>
            <w:cnfStyle w:val="001000000000" w:firstRow="0" w:lastRow="0" w:firstColumn="1" w:lastColumn="0" w:oddVBand="0" w:evenVBand="0" w:oddHBand="0" w:evenHBand="0" w:firstRowFirstColumn="0" w:firstRowLastColumn="0" w:lastRowFirstColumn="0" w:lastRowLastColumn="0"/>
            <w:tcW w:w="2830" w:type="dxa"/>
          </w:tcPr>
          <w:p w:rsidRPr="00AD7C9A" w:rsidR="00BD64A1" w:rsidP="00530CFF" w:rsidRDefault="00BD64A1" w14:paraId="1A679799" w14:textId="6A0D2789">
            <w:pPr>
              <w:rPr>
                <w:b w:val="0"/>
                <w:bCs w:val="0"/>
                <w:sz w:val="14"/>
                <w:szCs w:val="16"/>
              </w:rPr>
            </w:pPr>
            <w:r w:rsidRPr="00AD7C9A">
              <w:rPr>
                <w:sz w:val="14"/>
                <w:szCs w:val="16"/>
              </w:rPr>
              <w:t>Verkoop producten</w:t>
            </w:r>
            <w:r w:rsidRPr="00AD7C9A" w:rsidR="00AD003F">
              <w:rPr>
                <w:sz w:val="14"/>
                <w:szCs w:val="16"/>
              </w:rPr>
              <w:t xml:space="preserve"> </w:t>
            </w:r>
          </w:p>
          <w:p w:rsidRPr="00AD7C9A" w:rsidR="00E362E4" w:rsidP="00530CFF" w:rsidRDefault="00070322" w14:paraId="4EC456AF" w14:textId="7232627A">
            <w:pPr>
              <w:rPr>
                <w:sz w:val="14"/>
                <w:szCs w:val="16"/>
              </w:rPr>
            </w:pPr>
            <w:r w:rsidRPr="00AD7C9A">
              <w:rPr>
                <w:sz w:val="14"/>
                <w:szCs w:val="16"/>
              </w:rPr>
              <w:t>e.g. v</w:t>
            </w:r>
            <w:r w:rsidRPr="00AD7C9A" w:rsidR="00E362E4">
              <w:rPr>
                <w:sz w:val="14"/>
                <w:szCs w:val="16"/>
              </w:rPr>
              <w:t>ia transactiemodel, of verbruiksmodel</w:t>
            </w:r>
          </w:p>
        </w:tc>
        <w:tc>
          <w:tcPr>
            <w:tcW w:w="5208" w:type="dxa"/>
          </w:tcPr>
          <w:p w:rsidRPr="00AD7C9A" w:rsidR="00BD64A1" w:rsidP="004D49B8" w:rsidRDefault="000F72D2" w14:paraId="5D3E60A0" w14:textId="1AE26060">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Een vergoeding voor levering producten</w:t>
            </w:r>
          </w:p>
        </w:tc>
        <w:tc>
          <w:tcPr>
            <w:tcW w:w="1022" w:type="dxa"/>
          </w:tcPr>
          <w:p w:rsidRPr="00AD7C9A" w:rsidR="00BD64A1" w:rsidP="00530CFF" w:rsidRDefault="00BD64A1" w14:paraId="08655749" w14:textId="60207C75">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J</w:t>
            </w:r>
            <w:r w:rsidRPr="00AD7C9A" w:rsidR="00B21660">
              <w:rPr>
                <w:sz w:val="14"/>
                <w:szCs w:val="16"/>
              </w:rPr>
              <w:t>2020</w:t>
            </w:r>
          </w:p>
        </w:tc>
      </w:tr>
      <w:tr w:rsidRPr="00AD7C9A" w:rsidR="004D49B8" w:rsidTr="00E879A9" w14:paraId="006AA5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4D49B8" w:rsidP="007816EA" w:rsidRDefault="004D49B8" w14:paraId="3B735AD9" w14:textId="15B2A663">
            <w:pPr>
              <w:rPr>
                <w:b w:val="0"/>
                <w:bCs w:val="0"/>
                <w:sz w:val="14"/>
                <w:szCs w:val="16"/>
              </w:rPr>
            </w:pPr>
            <w:r w:rsidRPr="00AD7C9A">
              <w:rPr>
                <w:sz w:val="14"/>
                <w:szCs w:val="16"/>
              </w:rPr>
              <w:t xml:space="preserve">Verkoop private diensten </w:t>
            </w:r>
          </w:p>
          <w:p w:rsidRPr="00AD7C9A" w:rsidR="004D49B8" w:rsidP="007816EA" w:rsidRDefault="004D49B8" w14:paraId="537112FE" w14:textId="071DF9DB">
            <w:pPr>
              <w:rPr>
                <w:sz w:val="14"/>
                <w:szCs w:val="16"/>
              </w:rPr>
            </w:pPr>
            <w:r w:rsidRPr="00AD7C9A">
              <w:rPr>
                <w:sz w:val="14"/>
                <w:szCs w:val="16"/>
              </w:rPr>
              <w:t>e.g. via transactiemodel, verhuur, of abonnement</w:t>
            </w:r>
          </w:p>
        </w:tc>
        <w:tc>
          <w:tcPr>
            <w:tcW w:w="5208" w:type="dxa"/>
          </w:tcPr>
          <w:p w:rsidRPr="00AD7C9A" w:rsidR="004D49B8" w:rsidP="007816EA" w:rsidRDefault="004D49B8" w14:paraId="33F28426" w14:textId="77777777">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Vergoeding voor levering diensten</w:t>
            </w:r>
          </w:p>
        </w:tc>
        <w:tc>
          <w:tcPr>
            <w:tcW w:w="1022" w:type="dxa"/>
          </w:tcPr>
          <w:p w:rsidRPr="00AD7C9A" w:rsidR="004D49B8" w:rsidP="007816EA" w:rsidRDefault="004D49B8" w14:paraId="79C47287" w14:textId="7777777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J2020</w:t>
            </w:r>
          </w:p>
        </w:tc>
      </w:tr>
      <w:tr w:rsidRPr="00AD7C9A" w:rsidR="00634756" w:rsidTr="00E879A9" w14:paraId="1D281513" w14:textId="77777777">
        <w:tc>
          <w:tcPr>
            <w:cnfStyle w:val="001000000000" w:firstRow="0" w:lastRow="0" w:firstColumn="1" w:lastColumn="0" w:oddVBand="0" w:evenVBand="0" w:oddHBand="0" w:evenHBand="0" w:firstRowFirstColumn="0" w:firstRowLastColumn="0" w:lastRowFirstColumn="0" w:lastRowLastColumn="0"/>
            <w:tcW w:w="2830" w:type="dxa"/>
          </w:tcPr>
          <w:p w:rsidRPr="00AD7C9A" w:rsidR="00634756" w:rsidP="00530CFF" w:rsidRDefault="00634756" w14:paraId="3879E5CC" w14:textId="0A30A8D6">
            <w:pPr>
              <w:rPr>
                <w:sz w:val="14"/>
                <w:szCs w:val="16"/>
              </w:rPr>
            </w:pPr>
            <w:r w:rsidRPr="00AD7C9A">
              <w:rPr>
                <w:sz w:val="14"/>
                <w:szCs w:val="16"/>
              </w:rPr>
              <w:t>Verbrede landbouw, neventak</w:t>
            </w:r>
          </w:p>
        </w:tc>
        <w:tc>
          <w:tcPr>
            <w:tcW w:w="5208" w:type="dxa"/>
          </w:tcPr>
          <w:p w:rsidRPr="00AD7C9A" w:rsidR="00634756" w:rsidP="007F794C" w:rsidRDefault="00B37C59" w14:paraId="37719B4D" w14:textId="05B1C3E3">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 xml:space="preserve">Een </w:t>
            </w:r>
            <w:r w:rsidRPr="00AD7C9A" w:rsidR="004D49B8">
              <w:rPr>
                <w:sz w:val="14"/>
                <w:szCs w:val="16"/>
              </w:rPr>
              <w:t>neventak</w:t>
            </w:r>
            <w:r w:rsidRPr="00AD7C9A">
              <w:rPr>
                <w:sz w:val="14"/>
                <w:szCs w:val="16"/>
              </w:rPr>
              <w:t xml:space="preserve"> zoals zorgboerderij, agrarische kinderopvang, verblijfsrecreatie, educatie en energie productie. In de neventak kan veelal een meerprijs worden behaald juist vanwege de landbouwactiviteiten. </w:t>
            </w:r>
          </w:p>
        </w:tc>
        <w:tc>
          <w:tcPr>
            <w:tcW w:w="1022" w:type="dxa"/>
          </w:tcPr>
          <w:p w:rsidRPr="00AD7C9A" w:rsidR="00634756" w:rsidP="00530CFF" w:rsidRDefault="00B37C59" w14:paraId="1C5FAACC" w14:textId="31B1481E">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S</w:t>
            </w:r>
            <w:r w:rsidRPr="00AD7C9A" w:rsidR="00855F52">
              <w:rPr>
                <w:sz w:val="14"/>
                <w:szCs w:val="16"/>
              </w:rPr>
              <w:t>2024</w:t>
            </w:r>
          </w:p>
        </w:tc>
      </w:tr>
      <w:tr w:rsidRPr="00AD7C9A" w:rsidR="00380666" w:rsidTr="00E879A9" w14:paraId="674889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380666" w:rsidP="00420192" w:rsidRDefault="00380666" w14:paraId="59FE4AEC" w14:textId="77777777">
            <w:pPr>
              <w:rPr>
                <w:sz w:val="14"/>
                <w:szCs w:val="16"/>
              </w:rPr>
            </w:pPr>
            <w:r w:rsidRPr="00AD7C9A">
              <w:rPr>
                <w:sz w:val="14"/>
                <w:szCs w:val="16"/>
              </w:rPr>
              <w:lastRenderedPageBreak/>
              <w:t>Korte ketens en boerderijwinkels</w:t>
            </w:r>
          </w:p>
        </w:tc>
        <w:tc>
          <w:tcPr>
            <w:tcW w:w="5208" w:type="dxa"/>
          </w:tcPr>
          <w:p w:rsidRPr="00AD7C9A" w:rsidR="00380666" w:rsidP="00420192" w:rsidRDefault="00380666" w14:paraId="0B8D28DD" w14:textId="77777777">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Boeren verkopen direct aan de consument voor een meerprijs en lagere kosten in de keten door er een of meerdere schakels tussenuit te nemen.</w:t>
            </w:r>
          </w:p>
        </w:tc>
        <w:tc>
          <w:tcPr>
            <w:tcW w:w="1022" w:type="dxa"/>
          </w:tcPr>
          <w:p w:rsidRPr="00AD7C9A" w:rsidR="00380666" w:rsidP="00420192" w:rsidRDefault="00380666" w14:paraId="416553B1" w14:textId="7777777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S2024</w:t>
            </w:r>
          </w:p>
        </w:tc>
      </w:tr>
      <w:tr w:rsidRPr="00AD7C9A" w:rsidR="00B21660" w:rsidTr="00E879A9" w14:paraId="5F682EDC" w14:textId="33B100D2">
        <w:tc>
          <w:tcPr>
            <w:cnfStyle w:val="001000000000" w:firstRow="0" w:lastRow="0" w:firstColumn="1" w:lastColumn="0" w:oddVBand="0" w:evenVBand="0" w:oddHBand="0" w:evenHBand="0" w:firstRowFirstColumn="0" w:firstRowLastColumn="0" w:lastRowFirstColumn="0" w:lastRowLastColumn="0"/>
            <w:tcW w:w="2830" w:type="dxa"/>
          </w:tcPr>
          <w:p w:rsidRPr="00AD7C9A" w:rsidR="00B21660" w:rsidP="00B21660" w:rsidRDefault="00170935" w14:paraId="61A4C86F" w14:textId="1E290B2F">
            <w:pPr>
              <w:rPr>
                <w:sz w:val="14"/>
                <w:szCs w:val="16"/>
              </w:rPr>
            </w:pPr>
            <w:r w:rsidRPr="00AD7C9A">
              <w:rPr>
                <w:sz w:val="14"/>
                <w:szCs w:val="16"/>
              </w:rPr>
              <w:t xml:space="preserve">Betaling activiteiten bedrijf (bijv. managementmaatregelen, volgen van duurzaamheidspraktijken, </w:t>
            </w:r>
            <w:r w:rsidRPr="00AD7C9A" w:rsidR="00B21660">
              <w:rPr>
                <w:sz w:val="14"/>
                <w:szCs w:val="16"/>
              </w:rPr>
              <w:t>ecosysteemdiensten)</w:t>
            </w:r>
            <w:r w:rsidRPr="00AD7C9A" w:rsidR="00AD003F">
              <w:rPr>
                <w:sz w:val="14"/>
                <w:szCs w:val="16"/>
              </w:rPr>
              <w:t xml:space="preserve"> </w:t>
            </w:r>
          </w:p>
        </w:tc>
        <w:tc>
          <w:tcPr>
            <w:tcW w:w="5208" w:type="dxa"/>
          </w:tcPr>
          <w:p w:rsidRPr="00AD7C9A" w:rsidR="00B21660" w:rsidP="007F794C" w:rsidRDefault="00294CDA" w14:paraId="09AA255E" w14:textId="36CFDA6E">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Vergoeding voor verrichten van activiteiten of korting op inputs/diensten</w:t>
            </w:r>
            <w:r w:rsidRPr="00AD7C9A" w:rsidR="00D538E7">
              <w:rPr>
                <w:sz w:val="14"/>
                <w:szCs w:val="16"/>
              </w:rPr>
              <w:t>. Contract-mechanisme met vorm van quid pro quo; kan met publieke of private partijen</w:t>
            </w:r>
          </w:p>
        </w:tc>
        <w:tc>
          <w:tcPr>
            <w:tcW w:w="1022" w:type="dxa"/>
          </w:tcPr>
          <w:p w:rsidRPr="00AD7C9A" w:rsidR="00B21660" w:rsidP="00B21660" w:rsidRDefault="00B21660" w14:paraId="28794A90" w14:textId="42EED3AD">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J2020</w:t>
            </w:r>
          </w:p>
        </w:tc>
      </w:tr>
      <w:tr w:rsidRPr="00AD7C9A" w:rsidR="00B21660" w:rsidTr="00E879A9" w14:paraId="097D1FEA" w14:textId="58CCF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B21660" w:rsidP="00B21660" w:rsidRDefault="00B21660" w14:paraId="0FDC806E" w14:textId="3543401E">
            <w:pPr>
              <w:rPr>
                <w:sz w:val="14"/>
                <w:szCs w:val="16"/>
              </w:rPr>
            </w:pPr>
            <w:r w:rsidRPr="00AD7C9A">
              <w:rPr>
                <w:sz w:val="14"/>
                <w:szCs w:val="16"/>
              </w:rPr>
              <w:t xml:space="preserve">Premium </w:t>
            </w:r>
            <w:proofErr w:type="gramStart"/>
            <w:r w:rsidRPr="00AD7C9A">
              <w:rPr>
                <w:sz w:val="14"/>
                <w:szCs w:val="16"/>
              </w:rPr>
              <w:t>producten</w:t>
            </w:r>
            <w:r w:rsidRPr="00AD7C9A" w:rsidR="007966AD">
              <w:rPr>
                <w:sz w:val="14"/>
                <w:szCs w:val="16"/>
              </w:rPr>
              <w:t xml:space="preserve"> /</w:t>
            </w:r>
            <w:proofErr w:type="gramEnd"/>
            <w:r w:rsidRPr="00AD7C9A" w:rsidR="007966AD">
              <w:rPr>
                <w:sz w:val="14"/>
                <w:szCs w:val="16"/>
              </w:rPr>
              <w:t xml:space="preserve"> meerprijs</w:t>
            </w:r>
            <w:r w:rsidRPr="00AD7C9A" w:rsidR="00345DE5">
              <w:rPr>
                <w:sz w:val="14"/>
                <w:szCs w:val="16"/>
              </w:rPr>
              <w:t>, eg streekproducten</w:t>
            </w:r>
            <w:r w:rsidRPr="00AD7C9A" w:rsidR="00FE4C69">
              <w:rPr>
                <w:sz w:val="14"/>
                <w:szCs w:val="16"/>
              </w:rPr>
              <w:t>, certificering</w:t>
            </w:r>
          </w:p>
        </w:tc>
        <w:tc>
          <w:tcPr>
            <w:tcW w:w="5208" w:type="dxa"/>
          </w:tcPr>
          <w:p w:rsidRPr="00AD7C9A" w:rsidR="00B21660" w:rsidP="007F794C" w:rsidRDefault="000F72D2" w14:paraId="1937B73B" w14:textId="559363B6">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Betaling voor ‘onderscheiden’ producten</w:t>
            </w:r>
            <w:r w:rsidRPr="00AD7C9A" w:rsidR="0050533B">
              <w:rPr>
                <w:sz w:val="14"/>
                <w:szCs w:val="16"/>
              </w:rPr>
              <w:t>, zoals biologische producten</w:t>
            </w:r>
          </w:p>
        </w:tc>
        <w:tc>
          <w:tcPr>
            <w:tcW w:w="1022" w:type="dxa"/>
          </w:tcPr>
          <w:p w:rsidRPr="00AD7C9A" w:rsidR="00B21660" w:rsidP="00B21660" w:rsidRDefault="00B21660" w14:paraId="76C49F33" w14:textId="7777777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J2020</w:t>
            </w:r>
          </w:p>
          <w:p w:rsidRPr="00AD7C9A" w:rsidR="00142E3B" w:rsidP="00B21660" w:rsidRDefault="00142E3B" w14:paraId="4A96AA5F" w14:textId="748ECAC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S2024</w:t>
            </w:r>
          </w:p>
        </w:tc>
      </w:tr>
      <w:tr w:rsidRPr="00AD7C9A" w:rsidR="0003137A" w:rsidTr="00E879A9" w14:paraId="5A74EE13" w14:textId="77777777">
        <w:tc>
          <w:tcPr>
            <w:cnfStyle w:val="001000000000" w:firstRow="0" w:lastRow="0" w:firstColumn="1" w:lastColumn="0" w:oddVBand="0" w:evenVBand="0" w:oddHBand="0" w:evenHBand="0" w:firstRowFirstColumn="0" w:firstRowLastColumn="0" w:lastRowFirstColumn="0" w:lastRowLastColumn="0"/>
            <w:tcW w:w="2830" w:type="dxa"/>
          </w:tcPr>
          <w:p w:rsidRPr="00AD7C9A" w:rsidR="0003137A" w:rsidP="0003137A" w:rsidRDefault="0003137A" w14:paraId="6A60B2AA" w14:textId="17391847">
            <w:pPr>
              <w:rPr>
                <w:sz w:val="14"/>
                <w:szCs w:val="16"/>
              </w:rPr>
            </w:pPr>
            <w:r w:rsidRPr="00AD7C9A">
              <w:rPr>
                <w:sz w:val="14"/>
                <w:szCs w:val="16"/>
              </w:rPr>
              <w:t>Puntensysteem</w:t>
            </w:r>
            <w:r w:rsidRPr="00AD7C9A" w:rsidR="00306DCC">
              <w:rPr>
                <w:sz w:val="14"/>
                <w:szCs w:val="16"/>
              </w:rPr>
              <w:t>, certificering</w:t>
            </w:r>
          </w:p>
        </w:tc>
        <w:tc>
          <w:tcPr>
            <w:tcW w:w="5208" w:type="dxa"/>
          </w:tcPr>
          <w:p w:rsidRPr="00AD7C9A" w:rsidR="0003137A" w:rsidP="0003137A" w:rsidRDefault="00306DCC" w14:paraId="1AB30EAF" w14:textId="31B4DE0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Afnemers</w:t>
            </w:r>
            <w:r w:rsidRPr="00AD7C9A" w:rsidR="0003137A">
              <w:rPr>
                <w:sz w:val="14"/>
                <w:szCs w:val="16"/>
              </w:rPr>
              <w:t xml:space="preserve"> leggen kwaliteits- en duurzaamheidseisen op aan producenten en koppelen dat aan een beloningssysteem</w:t>
            </w:r>
            <w:r w:rsidRPr="00AD7C9A">
              <w:rPr>
                <w:sz w:val="14"/>
                <w:szCs w:val="16"/>
              </w:rPr>
              <w:t>, al dan niet gekoppeld aan een certificering</w:t>
            </w:r>
          </w:p>
        </w:tc>
        <w:tc>
          <w:tcPr>
            <w:tcW w:w="1022" w:type="dxa"/>
          </w:tcPr>
          <w:p w:rsidRPr="00AD7C9A" w:rsidR="0003137A" w:rsidP="0003137A" w:rsidRDefault="0003137A" w14:paraId="62470AC4" w14:textId="0AA7DB0B">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S2024</w:t>
            </w:r>
          </w:p>
        </w:tc>
      </w:tr>
      <w:tr w:rsidRPr="00AD7C9A" w:rsidR="0003137A" w:rsidTr="00E879A9" w14:paraId="75B81782" w14:textId="588CD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03137A" w:rsidP="0003137A" w:rsidRDefault="0003137A" w14:paraId="203E0071" w14:textId="63A3A066">
            <w:pPr>
              <w:rPr>
                <w:sz w:val="14"/>
                <w:szCs w:val="16"/>
              </w:rPr>
            </w:pPr>
            <w:r w:rsidRPr="00AD7C9A">
              <w:rPr>
                <w:sz w:val="14"/>
                <w:szCs w:val="16"/>
              </w:rPr>
              <w:t xml:space="preserve">Abonnementen of lidmaatschappen </w:t>
            </w:r>
          </w:p>
        </w:tc>
        <w:tc>
          <w:tcPr>
            <w:tcW w:w="5208" w:type="dxa"/>
          </w:tcPr>
          <w:p w:rsidRPr="00AD7C9A" w:rsidR="0003137A" w:rsidP="0003137A" w:rsidRDefault="0003137A" w14:paraId="05A3BDE1" w14:textId="095D15BA">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Herhaaldelijke verkoop van producten of diensten; Langdurige relatie met vaste betalingen met productlevering als tegenprestatie</w:t>
            </w:r>
          </w:p>
        </w:tc>
        <w:tc>
          <w:tcPr>
            <w:tcW w:w="1022" w:type="dxa"/>
          </w:tcPr>
          <w:p w:rsidRPr="00AD7C9A" w:rsidR="0003137A" w:rsidP="0003137A" w:rsidRDefault="0003137A" w14:paraId="2F759999" w14:textId="07EE537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J2020</w:t>
            </w:r>
          </w:p>
        </w:tc>
      </w:tr>
      <w:tr w:rsidRPr="00AD7C9A" w:rsidR="00847997" w:rsidTr="00E879A9" w14:paraId="0D011077" w14:textId="77777777">
        <w:tc>
          <w:tcPr>
            <w:cnfStyle w:val="001000000000" w:firstRow="0" w:lastRow="0" w:firstColumn="1" w:lastColumn="0" w:oddVBand="0" w:evenVBand="0" w:oddHBand="0" w:evenHBand="0" w:firstRowFirstColumn="0" w:firstRowLastColumn="0" w:lastRowFirstColumn="0" w:lastRowLastColumn="0"/>
            <w:tcW w:w="2830" w:type="dxa"/>
          </w:tcPr>
          <w:p w:rsidRPr="00AD7C9A" w:rsidR="00847997" w:rsidP="00715DB8" w:rsidRDefault="00847997" w14:paraId="50DD1064" w14:textId="77777777">
            <w:pPr>
              <w:rPr>
                <w:sz w:val="14"/>
                <w:szCs w:val="16"/>
              </w:rPr>
            </w:pPr>
            <w:r w:rsidRPr="00AD7C9A">
              <w:rPr>
                <w:sz w:val="14"/>
                <w:szCs w:val="16"/>
              </w:rPr>
              <w:t>Productiegerichte voordelen</w:t>
            </w:r>
          </w:p>
          <w:p w:rsidRPr="00AD7C9A" w:rsidR="00847997" w:rsidP="00715DB8" w:rsidRDefault="00847997" w14:paraId="4BCAA545" w14:textId="77777777">
            <w:pPr>
              <w:rPr>
                <w:sz w:val="14"/>
                <w:szCs w:val="16"/>
              </w:rPr>
            </w:pPr>
          </w:p>
        </w:tc>
        <w:tc>
          <w:tcPr>
            <w:tcW w:w="5208" w:type="dxa"/>
          </w:tcPr>
          <w:p w:rsidRPr="00AD7C9A" w:rsidR="00847997" w:rsidP="00715DB8" w:rsidRDefault="00847997" w14:paraId="383312D8" w14:textId="7777777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Functionele agrobiodiversiteit (FAB) – kan plaag- en ziekteonderdrukking steunen, waardoor de gewassen minder opbrengstverlies hebben van plagen.</w:t>
            </w:r>
          </w:p>
          <w:p w:rsidRPr="00AD7C9A" w:rsidR="00847997" w:rsidP="00715DB8" w:rsidRDefault="00847997" w14:paraId="1A66CCF3" w14:textId="7777777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Beter bodembeheer – om bodemkwaliteit en bodemvruchtbaarheid omhoog te brengen en daardoor een betere productie te halen.</w:t>
            </w:r>
          </w:p>
          <w:p w:rsidRPr="00AD7C9A" w:rsidR="00847997" w:rsidP="00715DB8" w:rsidRDefault="00847997" w14:paraId="74D15001" w14:textId="7777777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Precisie landbouw – kan een kostenbesparing opleveren door heel gerichte inzet van mest en middelen.</w:t>
            </w:r>
          </w:p>
          <w:p w:rsidRPr="00AD7C9A" w:rsidR="00847997" w:rsidP="00715DB8" w:rsidRDefault="00847997" w14:paraId="1CF72C61" w14:textId="7777777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Robuustere dieren, kunnen beter omgaan met andere voer (natuurgras i.p.v. productiegras), veranderende weersomstandigheden, en zijn minder gevoelig voor ziekte waardoor kosten bespaard kunnen worden zoals, dierenarts, en er hoeft minder jongvee ter vervanging aangehouden te worden.</w:t>
            </w:r>
          </w:p>
        </w:tc>
        <w:tc>
          <w:tcPr>
            <w:tcW w:w="1022" w:type="dxa"/>
          </w:tcPr>
          <w:p w:rsidRPr="00AD7C9A" w:rsidR="00847997" w:rsidP="00715DB8" w:rsidRDefault="00847997" w14:paraId="516E3C03" w14:textId="77777777">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S2024</w:t>
            </w:r>
          </w:p>
        </w:tc>
      </w:tr>
      <w:tr w:rsidRPr="00AD7C9A" w:rsidR="0003137A" w:rsidTr="00E879A9" w14:paraId="41092156" w14:textId="6281C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03137A" w:rsidP="0003137A" w:rsidRDefault="0003137A" w14:paraId="326ACDF7" w14:textId="174D5075">
            <w:pPr>
              <w:rPr>
                <w:sz w:val="14"/>
                <w:szCs w:val="16"/>
              </w:rPr>
            </w:pPr>
            <w:r w:rsidRPr="00AD7C9A">
              <w:rPr>
                <w:sz w:val="14"/>
                <w:szCs w:val="16"/>
              </w:rPr>
              <w:t>Burgerparticipatie, eg crowdfunding</w:t>
            </w:r>
          </w:p>
        </w:tc>
        <w:tc>
          <w:tcPr>
            <w:tcW w:w="5208" w:type="dxa"/>
          </w:tcPr>
          <w:p w:rsidRPr="00AD7C9A" w:rsidR="0003137A" w:rsidP="0003137A" w:rsidRDefault="0003137A" w14:paraId="466C3A65" w14:textId="05780D9D">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Aandeelhouderschap; Verschaffer van krediet met afgesproken vaste/variabele beloning, die ook in kind kan zijn</w:t>
            </w:r>
          </w:p>
        </w:tc>
        <w:tc>
          <w:tcPr>
            <w:tcW w:w="1022" w:type="dxa"/>
          </w:tcPr>
          <w:p w:rsidRPr="00AD7C9A" w:rsidR="0003137A" w:rsidP="0003137A" w:rsidRDefault="0003137A" w14:paraId="26B28541" w14:textId="5D04A67D">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J2020</w:t>
            </w:r>
          </w:p>
        </w:tc>
      </w:tr>
      <w:tr w:rsidRPr="00AD7C9A" w:rsidR="00014A30" w:rsidTr="00E879A9" w14:paraId="33E888A0" w14:textId="77777777">
        <w:tc>
          <w:tcPr>
            <w:cnfStyle w:val="001000000000" w:firstRow="0" w:lastRow="0" w:firstColumn="1" w:lastColumn="0" w:oddVBand="0" w:evenVBand="0" w:oddHBand="0" w:evenHBand="0" w:firstRowFirstColumn="0" w:firstRowLastColumn="0" w:lastRowFirstColumn="0" w:lastRowLastColumn="0"/>
            <w:tcW w:w="2830" w:type="dxa"/>
            <w:tcBorders>
              <w:bottom w:val="single" w:color="A5A5A5" w:themeColor="accent3" w:sz="4" w:space="0"/>
            </w:tcBorders>
          </w:tcPr>
          <w:p w:rsidRPr="00AD7C9A" w:rsidR="00014A30" w:rsidP="00A41121" w:rsidRDefault="00014A30" w14:paraId="7E6EC5B5" w14:textId="77777777">
            <w:pPr>
              <w:rPr>
                <w:sz w:val="14"/>
                <w:szCs w:val="16"/>
              </w:rPr>
            </w:pPr>
            <w:r w:rsidRPr="00AD7C9A">
              <w:rPr>
                <w:sz w:val="14"/>
                <w:szCs w:val="16"/>
              </w:rPr>
              <w:t>Community-model</w:t>
            </w:r>
          </w:p>
        </w:tc>
        <w:tc>
          <w:tcPr>
            <w:tcW w:w="5208" w:type="dxa"/>
            <w:tcBorders>
              <w:bottom w:val="single" w:color="A5A5A5" w:themeColor="accent3" w:sz="4" w:space="0"/>
            </w:tcBorders>
          </w:tcPr>
          <w:p w:rsidRPr="00AD7C9A" w:rsidR="00014A30" w:rsidP="00A41121" w:rsidRDefault="00014A30" w14:paraId="7AA3BA3E" w14:textId="7777777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 xml:space="preserve">Samenwerking tussen mensen via community. Gezamenlijk eigenaar en beheer van boerderij. Community Supported Agriculture; Hereboeren. </w:t>
            </w:r>
          </w:p>
        </w:tc>
        <w:tc>
          <w:tcPr>
            <w:tcW w:w="1022" w:type="dxa"/>
            <w:tcBorders>
              <w:bottom w:val="single" w:color="A5A5A5" w:themeColor="accent3" w:sz="4" w:space="0"/>
            </w:tcBorders>
          </w:tcPr>
          <w:p w:rsidRPr="00AD7C9A" w:rsidR="00014A30" w:rsidP="00A41121" w:rsidRDefault="00014A30" w14:paraId="54C84570" w14:textId="77777777">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J2020</w:t>
            </w:r>
          </w:p>
          <w:p w:rsidRPr="00AD7C9A" w:rsidR="00014A30" w:rsidP="00A41121" w:rsidRDefault="00014A30" w14:paraId="762CE8B6" w14:textId="6A9E40DE">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S2024</w:t>
            </w:r>
          </w:p>
        </w:tc>
      </w:tr>
      <w:tr w:rsidRPr="00AD7C9A" w:rsidR="0003137A" w:rsidTr="00E879A9" w14:paraId="4C8098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03137A" w:rsidP="0003137A" w:rsidRDefault="0003137A" w14:paraId="332A5472" w14:textId="40D0E161">
            <w:pPr>
              <w:rPr>
                <w:i/>
                <w:iCs/>
                <w:sz w:val="14"/>
                <w:szCs w:val="16"/>
              </w:rPr>
            </w:pPr>
            <w:r w:rsidRPr="00AD7C9A">
              <w:rPr>
                <w:i/>
                <w:iCs/>
                <w:sz w:val="14"/>
                <w:szCs w:val="16"/>
              </w:rPr>
              <w:t>Vergoeding vanuit de overheid:</w:t>
            </w:r>
          </w:p>
        </w:tc>
        <w:tc>
          <w:tcPr>
            <w:tcW w:w="5208" w:type="dxa"/>
          </w:tcPr>
          <w:p w:rsidRPr="00AD7C9A" w:rsidR="0003137A" w:rsidP="0003137A" w:rsidRDefault="0003137A" w14:paraId="79F65D12" w14:textId="77777777">
            <w:pPr>
              <w:cnfStyle w:val="000000100000" w:firstRow="0" w:lastRow="0" w:firstColumn="0" w:lastColumn="0" w:oddVBand="0" w:evenVBand="0" w:oddHBand="1" w:evenHBand="0" w:firstRowFirstColumn="0" w:firstRowLastColumn="0" w:lastRowFirstColumn="0" w:lastRowLastColumn="0"/>
              <w:rPr>
                <w:sz w:val="14"/>
                <w:szCs w:val="16"/>
              </w:rPr>
            </w:pPr>
          </w:p>
        </w:tc>
        <w:tc>
          <w:tcPr>
            <w:tcW w:w="1022" w:type="dxa"/>
          </w:tcPr>
          <w:p w:rsidRPr="00AD7C9A" w:rsidR="0003137A" w:rsidP="0003137A" w:rsidRDefault="0003137A" w14:paraId="7B5D7C90" w14:textId="77777777">
            <w:pPr>
              <w:cnfStyle w:val="000000100000" w:firstRow="0" w:lastRow="0" w:firstColumn="0" w:lastColumn="0" w:oddVBand="0" w:evenVBand="0" w:oddHBand="1" w:evenHBand="0" w:firstRowFirstColumn="0" w:firstRowLastColumn="0" w:lastRowFirstColumn="0" w:lastRowLastColumn="0"/>
              <w:rPr>
                <w:sz w:val="14"/>
                <w:szCs w:val="16"/>
              </w:rPr>
            </w:pPr>
          </w:p>
        </w:tc>
      </w:tr>
      <w:tr w:rsidRPr="00AD7C9A" w:rsidR="0003137A" w:rsidTr="00E879A9" w14:paraId="25807587" w14:textId="77777777">
        <w:tc>
          <w:tcPr>
            <w:cnfStyle w:val="001000000000" w:firstRow="0" w:lastRow="0" w:firstColumn="1" w:lastColumn="0" w:oddVBand="0" w:evenVBand="0" w:oddHBand="0" w:evenHBand="0" w:firstRowFirstColumn="0" w:firstRowLastColumn="0" w:lastRowFirstColumn="0" w:lastRowLastColumn="0"/>
            <w:tcW w:w="2830" w:type="dxa"/>
          </w:tcPr>
          <w:p w:rsidRPr="00AD7C9A" w:rsidR="0003137A" w:rsidP="0003137A" w:rsidRDefault="0003137A" w14:paraId="7A49EFEF" w14:textId="414FF852">
            <w:pPr>
              <w:rPr>
                <w:sz w:val="14"/>
                <w:szCs w:val="16"/>
              </w:rPr>
            </w:pPr>
            <w:r w:rsidRPr="00AD7C9A">
              <w:rPr>
                <w:sz w:val="14"/>
                <w:szCs w:val="16"/>
              </w:rPr>
              <w:t>Betaling voor bedrijfskarakteristieken</w:t>
            </w:r>
          </w:p>
        </w:tc>
        <w:tc>
          <w:tcPr>
            <w:tcW w:w="5208" w:type="dxa"/>
          </w:tcPr>
          <w:p w:rsidRPr="00AD7C9A" w:rsidR="0003137A" w:rsidP="0003137A" w:rsidRDefault="0003137A" w14:paraId="018694AC" w14:textId="08CAA27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Hectaretoeslagen; Compensatie-</w:t>
            </w:r>
            <w:proofErr w:type="gramStart"/>
            <w:r w:rsidRPr="00AD7C9A">
              <w:rPr>
                <w:sz w:val="14"/>
                <w:szCs w:val="16"/>
              </w:rPr>
              <w:t>transfer /</w:t>
            </w:r>
            <w:proofErr w:type="gramEnd"/>
            <w:r w:rsidRPr="00AD7C9A">
              <w:rPr>
                <w:sz w:val="14"/>
                <w:szCs w:val="16"/>
              </w:rPr>
              <w:t xml:space="preserve"> GLB, 1ste pijler (directe betalingen)</w:t>
            </w:r>
          </w:p>
        </w:tc>
        <w:tc>
          <w:tcPr>
            <w:tcW w:w="1022" w:type="dxa"/>
          </w:tcPr>
          <w:p w:rsidRPr="00AD7C9A" w:rsidR="00AB3149" w:rsidP="00AB3149" w:rsidRDefault="00AB3149" w14:paraId="5CAFA17A" w14:textId="77777777">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J2020</w:t>
            </w:r>
          </w:p>
          <w:p w:rsidRPr="00AD7C9A" w:rsidR="0003137A" w:rsidP="0003137A" w:rsidRDefault="0003137A" w14:paraId="23022CE1" w14:textId="77777777">
            <w:pPr>
              <w:cnfStyle w:val="000000000000" w:firstRow="0" w:lastRow="0" w:firstColumn="0" w:lastColumn="0" w:oddVBand="0" w:evenVBand="0" w:oddHBand="0" w:evenHBand="0" w:firstRowFirstColumn="0" w:firstRowLastColumn="0" w:lastRowFirstColumn="0" w:lastRowLastColumn="0"/>
              <w:rPr>
                <w:sz w:val="14"/>
                <w:szCs w:val="16"/>
              </w:rPr>
            </w:pPr>
          </w:p>
        </w:tc>
      </w:tr>
      <w:tr w:rsidRPr="00AD7C9A" w:rsidR="0003137A" w:rsidTr="00E879A9" w14:paraId="42256E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03137A" w:rsidP="0003137A" w:rsidRDefault="0003137A" w14:paraId="3E510A45" w14:textId="33F62AB2">
            <w:pPr>
              <w:rPr>
                <w:sz w:val="14"/>
                <w:szCs w:val="16"/>
              </w:rPr>
            </w:pPr>
            <w:r w:rsidRPr="00AD7C9A">
              <w:rPr>
                <w:sz w:val="14"/>
                <w:szCs w:val="16"/>
              </w:rPr>
              <w:t>Samenwerking voor publieke goederen</w:t>
            </w:r>
          </w:p>
        </w:tc>
        <w:tc>
          <w:tcPr>
            <w:tcW w:w="5208" w:type="dxa"/>
          </w:tcPr>
          <w:p w:rsidRPr="00AD7C9A" w:rsidR="002E2576" w:rsidP="0003137A" w:rsidRDefault="002E2576" w14:paraId="7EF20E71" w14:textId="1DD15496">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 xml:space="preserve">Betaling/beloning groene- en blauwe </w:t>
            </w:r>
            <w:proofErr w:type="gramStart"/>
            <w:r w:rsidRPr="00AD7C9A">
              <w:rPr>
                <w:sz w:val="14"/>
                <w:szCs w:val="16"/>
              </w:rPr>
              <w:t>diensten /</w:t>
            </w:r>
            <w:proofErr w:type="gramEnd"/>
            <w:r w:rsidRPr="00AD7C9A">
              <w:rPr>
                <w:sz w:val="14"/>
                <w:szCs w:val="16"/>
              </w:rPr>
              <w:t xml:space="preserve"> GLB 2e pijler (Agrarische Natuur en Landschapsbeheer ANLb)</w:t>
            </w:r>
            <w:r w:rsidRPr="00AD7C9A" w:rsidR="007115B8">
              <w:rPr>
                <w:sz w:val="14"/>
                <w:szCs w:val="16"/>
              </w:rPr>
              <w:t xml:space="preserve"> via agrarische collectieven en provincies.</w:t>
            </w:r>
          </w:p>
          <w:p w:rsidRPr="00AD7C9A" w:rsidR="0003137A" w:rsidP="0003137A" w:rsidRDefault="0003137A" w14:paraId="67982C35" w14:textId="7B6C25C6">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 xml:space="preserve">Betaling/vergoeding op basis van (gemiddelde) kosten of gederfd inkomen (groenblauwe catalogus). </w:t>
            </w:r>
          </w:p>
          <w:p w:rsidRPr="00AD7C9A" w:rsidR="0003137A" w:rsidP="0003137A" w:rsidRDefault="0003137A" w14:paraId="0C9C7F8A"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Steun voor groene investeringen, zoals in het programma Investeren in groeneconomisch herstel’, waarin boeren subsidies kunnen krijgen voor 38 soorten investeringen. Vooral gefocust op machines, installaties en water.</w:t>
            </w:r>
          </w:p>
          <w:p w:rsidRPr="00AD7C9A" w:rsidR="0003137A" w:rsidP="001C4F9B" w:rsidRDefault="0003137A" w14:paraId="4603C040" w14:textId="41DA4392">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Compensatie voor functieverandering voor de omschakeling van landbouwgrond tot natuurgrond. Met bepaalde voorwaarden (kwalitatieve verplichtingen), hierin wordt de bestemming veranderd en het verschil in waarde vergoed.</w:t>
            </w:r>
          </w:p>
        </w:tc>
        <w:tc>
          <w:tcPr>
            <w:tcW w:w="1022" w:type="dxa"/>
          </w:tcPr>
          <w:p w:rsidRPr="00AD7C9A" w:rsidR="0003137A" w:rsidP="0003137A" w:rsidRDefault="0003137A" w14:paraId="106E772A" w14:textId="7777777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J2020</w:t>
            </w:r>
          </w:p>
          <w:p w:rsidRPr="00AD7C9A" w:rsidR="0003137A" w:rsidP="0003137A" w:rsidRDefault="0003137A" w14:paraId="18F32028" w14:textId="3197B37A">
            <w:pPr>
              <w:cnfStyle w:val="000000100000" w:firstRow="0" w:lastRow="0" w:firstColumn="0" w:lastColumn="0" w:oddVBand="0" w:evenVBand="0" w:oddHBand="1" w:evenHBand="0" w:firstRowFirstColumn="0" w:firstRowLastColumn="0" w:lastRowFirstColumn="0" w:lastRowLastColumn="0"/>
              <w:rPr>
                <w:sz w:val="14"/>
                <w:szCs w:val="16"/>
              </w:rPr>
            </w:pPr>
          </w:p>
        </w:tc>
      </w:tr>
      <w:tr w:rsidRPr="00AD7C9A" w:rsidR="00AB3149" w:rsidTr="00E879A9" w14:paraId="3B85CF76" w14:textId="77777777">
        <w:tc>
          <w:tcPr>
            <w:cnfStyle w:val="001000000000" w:firstRow="0" w:lastRow="0" w:firstColumn="1" w:lastColumn="0" w:oddVBand="0" w:evenVBand="0" w:oddHBand="0" w:evenHBand="0" w:firstRowFirstColumn="0" w:firstRowLastColumn="0" w:lastRowFirstColumn="0" w:lastRowLastColumn="0"/>
            <w:tcW w:w="2830" w:type="dxa"/>
          </w:tcPr>
          <w:p w:rsidRPr="00AD7C9A" w:rsidR="00AB3149" w:rsidP="00AB3149" w:rsidRDefault="00AB3149" w14:paraId="0629CFB4" w14:textId="12375015">
            <w:pPr>
              <w:rPr>
                <w:sz w:val="14"/>
                <w:szCs w:val="16"/>
              </w:rPr>
            </w:pPr>
            <w:r w:rsidRPr="00AD7C9A">
              <w:rPr>
                <w:sz w:val="14"/>
                <w:szCs w:val="16"/>
              </w:rPr>
              <w:t>Vergoeding voor prestatie</w:t>
            </w:r>
          </w:p>
        </w:tc>
        <w:tc>
          <w:tcPr>
            <w:tcW w:w="5208" w:type="dxa"/>
          </w:tcPr>
          <w:p w:rsidRPr="00AD7C9A" w:rsidR="00AB3149" w:rsidP="00AB3149" w:rsidRDefault="00AB3149" w14:paraId="0D11DD9F" w14:textId="71983EA9">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Vrijwillige koolstofmarkt – door het vastleggen van koolstof kan een vergoeding ontvangen worden, momenteel is de marktprijs rond €80 per ton CO2.</w:t>
            </w:r>
          </w:p>
        </w:tc>
        <w:tc>
          <w:tcPr>
            <w:tcW w:w="1022" w:type="dxa"/>
          </w:tcPr>
          <w:p w:rsidRPr="00AD7C9A" w:rsidR="00AB3149" w:rsidP="00AB3149" w:rsidRDefault="00AB3149" w14:paraId="016FDD34" w14:textId="1F1B37AD">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S2024</w:t>
            </w:r>
          </w:p>
        </w:tc>
      </w:tr>
      <w:tr w:rsidRPr="00AD7C9A" w:rsidR="00AB3149" w:rsidTr="00E879A9" w14:paraId="089923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AB3149" w:rsidP="00AB3149" w:rsidRDefault="00AB3149" w14:paraId="639C3805" w14:textId="72FE4BFD">
            <w:pPr>
              <w:rPr>
                <w:sz w:val="14"/>
                <w:szCs w:val="16"/>
              </w:rPr>
            </w:pPr>
            <w:r w:rsidRPr="00AD7C9A">
              <w:rPr>
                <w:sz w:val="14"/>
                <w:szCs w:val="16"/>
              </w:rPr>
              <w:lastRenderedPageBreak/>
              <w:t xml:space="preserve">Korting op de </w:t>
            </w:r>
            <w:proofErr w:type="gramStart"/>
            <w:r w:rsidRPr="00AD7C9A">
              <w:rPr>
                <w:sz w:val="14"/>
                <w:szCs w:val="16"/>
              </w:rPr>
              <w:t>pacht /</w:t>
            </w:r>
            <w:proofErr w:type="gramEnd"/>
            <w:r w:rsidRPr="00AD7C9A">
              <w:rPr>
                <w:sz w:val="14"/>
                <w:szCs w:val="16"/>
              </w:rPr>
              <w:t xml:space="preserve"> Rentekorting</w:t>
            </w:r>
          </w:p>
        </w:tc>
        <w:tc>
          <w:tcPr>
            <w:tcW w:w="5208" w:type="dxa"/>
          </w:tcPr>
          <w:p w:rsidRPr="00AD7C9A" w:rsidR="00AB3149" w:rsidP="00AB3149" w:rsidRDefault="00AB3149" w14:paraId="3A176B19" w14:textId="601AF20D">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Korting op de pacht: waarin organisaties grond verpachten onder voorwaarden van beheer. De pachter moet aan deze eisen voldoen maar krijgt voordelige huur (ASR, natuurorganisaties zoals SBB, ook Land van ons, aardpeer).</w:t>
            </w:r>
          </w:p>
          <w:p w:rsidRPr="00AD7C9A" w:rsidR="00AB3149" w:rsidP="00AB3149" w:rsidRDefault="00AB3149" w14:paraId="7B1DF626" w14:textId="04C4D2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Rentekorting: waarin financiële instellingen een rentekorting of waarborg aanbieden voor leningen voor groenprojecten.</w:t>
            </w:r>
          </w:p>
        </w:tc>
        <w:tc>
          <w:tcPr>
            <w:tcW w:w="1022" w:type="dxa"/>
          </w:tcPr>
          <w:p w:rsidRPr="00AD7C9A" w:rsidR="00AB3149" w:rsidP="00AB3149" w:rsidRDefault="00AB3149" w14:paraId="477903F2" w14:textId="23CD2856">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S2024</w:t>
            </w:r>
          </w:p>
        </w:tc>
      </w:tr>
      <w:tr w:rsidRPr="00AD7C9A" w:rsidR="00AB3149" w:rsidTr="00E879A9" w14:paraId="2BB07DC9" w14:textId="77777777">
        <w:tc>
          <w:tcPr>
            <w:cnfStyle w:val="001000000000" w:firstRow="0" w:lastRow="0" w:firstColumn="1" w:lastColumn="0" w:oddVBand="0" w:evenVBand="0" w:oddHBand="0" w:evenHBand="0" w:firstRowFirstColumn="0" w:firstRowLastColumn="0" w:lastRowFirstColumn="0" w:lastRowLastColumn="0"/>
            <w:tcW w:w="2830" w:type="dxa"/>
          </w:tcPr>
          <w:p w:rsidRPr="00AD7C9A" w:rsidR="00AB3149" w:rsidP="00AB3149" w:rsidRDefault="00AB3149" w14:paraId="58E83A84" w14:textId="6F07FB3C">
            <w:pPr>
              <w:rPr>
                <w:sz w:val="14"/>
                <w:szCs w:val="16"/>
              </w:rPr>
            </w:pPr>
            <w:r w:rsidRPr="00AD7C9A">
              <w:rPr>
                <w:sz w:val="14"/>
                <w:szCs w:val="16"/>
              </w:rPr>
              <w:t>Puntensysteem</w:t>
            </w:r>
          </w:p>
        </w:tc>
        <w:tc>
          <w:tcPr>
            <w:tcW w:w="5208" w:type="dxa"/>
          </w:tcPr>
          <w:p w:rsidRPr="00AD7C9A" w:rsidR="00AB3149" w:rsidP="00AB3149" w:rsidRDefault="00AB3149" w14:paraId="6019C074" w14:textId="037C39A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 xml:space="preserve">Beleid: Betaling gekoppeld aan via een mix van maatregelen verdiende punten; GLB, eventueel in combinatie met private betalingen. Betaling op basis van verdiende punten (gekoppeld aan inspanningen en/of resultaten). </w:t>
            </w:r>
          </w:p>
        </w:tc>
        <w:tc>
          <w:tcPr>
            <w:tcW w:w="1022" w:type="dxa"/>
          </w:tcPr>
          <w:p w:rsidRPr="00AD7C9A" w:rsidR="00AB3149" w:rsidP="00AB3149" w:rsidRDefault="00AB3149" w14:paraId="56F90E90" w14:textId="032A217F">
            <w:pPr>
              <w:cnfStyle w:val="000000000000" w:firstRow="0" w:lastRow="0" w:firstColumn="0" w:lastColumn="0" w:oddVBand="0" w:evenVBand="0" w:oddHBand="0" w:evenHBand="0" w:firstRowFirstColumn="0" w:firstRowLastColumn="0" w:lastRowFirstColumn="0" w:lastRowLastColumn="0"/>
              <w:rPr>
                <w:sz w:val="14"/>
                <w:szCs w:val="16"/>
              </w:rPr>
            </w:pPr>
            <w:r w:rsidRPr="00AD7C9A">
              <w:rPr>
                <w:sz w:val="14"/>
                <w:szCs w:val="16"/>
              </w:rPr>
              <w:t>J2020</w:t>
            </w:r>
          </w:p>
        </w:tc>
      </w:tr>
      <w:tr w:rsidRPr="00AD7C9A" w:rsidR="00AB3149" w:rsidTr="00E879A9" w14:paraId="4CCDF1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Pr="00AD7C9A" w:rsidR="00AB3149" w:rsidP="00AB3149" w:rsidRDefault="00AB3149" w14:paraId="4A3A06C6" w14:textId="77777777">
            <w:pPr>
              <w:rPr>
                <w:sz w:val="14"/>
                <w:szCs w:val="16"/>
              </w:rPr>
            </w:pPr>
            <w:r w:rsidRPr="00AD7C9A">
              <w:rPr>
                <w:sz w:val="14"/>
                <w:szCs w:val="16"/>
              </w:rPr>
              <w:t>Vergunning door overheid of andere organisaties</w:t>
            </w:r>
          </w:p>
          <w:p w:rsidRPr="00AD7C9A" w:rsidR="00AB3149" w:rsidP="00AB3149" w:rsidRDefault="00AB3149" w14:paraId="2F22C933" w14:textId="77777777">
            <w:pPr>
              <w:rPr>
                <w:b w:val="0"/>
                <w:bCs w:val="0"/>
                <w:sz w:val="14"/>
                <w:szCs w:val="16"/>
              </w:rPr>
            </w:pPr>
          </w:p>
        </w:tc>
        <w:tc>
          <w:tcPr>
            <w:tcW w:w="5208" w:type="dxa"/>
          </w:tcPr>
          <w:p w:rsidRPr="00AD7C9A" w:rsidR="00AB3149" w:rsidP="00AB3149" w:rsidRDefault="00AB3149" w14:paraId="648D7940" w14:textId="28E08EB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 xml:space="preserve">Verduurzaming </w:t>
            </w:r>
            <w:r w:rsidRPr="00AD7C9A" w:rsidR="0024509C">
              <w:rPr>
                <w:sz w:val="14"/>
                <w:szCs w:val="16"/>
              </w:rPr>
              <w:t>als voorwaarde voor een (milieu)vergunning</w:t>
            </w:r>
            <w:r w:rsidRPr="00AD7C9A">
              <w:rPr>
                <w:sz w:val="14"/>
                <w:szCs w:val="16"/>
              </w:rPr>
              <w:t>.</w:t>
            </w:r>
          </w:p>
          <w:p w:rsidRPr="00AD7C9A" w:rsidR="00AB3149" w:rsidP="00AB3149" w:rsidRDefault="0024509C" w14:paraId="22717048" w14:textId="6A2B858C">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P</w:t>
            </w:r>
            <w:r w:rsidRPr="00AD7C9A" w:rsidR="00AB3149">
              <w:rPr>
                <w:sz w:val="14"/>
                <w:szCs w:val="16"/>
              </w:rPr>
              <w:t xml:space="preserve">achtcontracten </w:t>
            </w:r>
            <w:r w:rsidRPr="00AD7C9A">
              <w:rPr>
                <w:sz w:val="14"/>
                <w:szCs w:val="16"/>
              </w:rPr>
              <w:t>met</w:t>
            </w:r>
            <w:r w:rsidRPr="00AD7C9A" w:rsidR="00AB3149">
              <w:rPr>
                <w:sz w:val="14"/>
                <w:szCs w:val="16"/>
              </w:rPr>
              <w:t xml:space="preserve"> voorwaarden door overheden en/of terreinbeheerders</w:t>
            </w:r>
            <w:r w:rsidRPr="00AD7C9A">
              <w:rPr>
                <w:sz w:val="14"/>
                <w:szCs w:val="16"/>
              </w:rPr>
              <w:t>.</w:t>
            </w:r>
          </w:p>
        </w:tc>
        <w:tc>
          <w:tcPr>
            <w:tcW w:w="1022" w:type="dxa"/>
          </w:tcPr>
          <w:p w:rsidRPr="00AD7C9A" w:rsidR="00AB3149" w:rsidP="00AB3149" w:rsidRDefault="00AB3149" w14:paraId="74ED4070" w14:textId="77777777">
            <w:pPr>
              <w:cnfStyle w:val="000000100000" w:firstRow="0" w:lastRow="0" w:firstColumn="0" w:lastColumn="0" w:oddVBand="0" w:evenVBand="0" w:oddHBand="1" w:evenHBand="0" w:firstRowFirstColumn="0" w:firstRowLastColumn="0" w:lastRowFirstColumn="0" w:lastRowLastColumn="0"/>
              <w:rPr>
                <w:sz w:val="14"/>
                <w:szCs w:val="16"/>
              </w:rPr>
            </w:pPr>
            <w:r w:rsidRPr="00AD7C9A">
              <w:rPr>
                <w:sz w:val="14"/>
                <w:szCs w:val="16"/>
              </w:rPr>
              <w:t>S2024</w:t>
            </w:r>
          </w:p>
        </w:tc>
      </w:tr>
    </w:tbl>
    <w:p w:rsidRPr="00AD7C9A" w:rsidR="00E84673" w:rsidP="00530CFF" w:rsidRDefault="00AB3149" w14:paraId="091C4724" w14:textId="729697FC">
      <w:r w:rsidRPr="00AD7C9A">
        <w:t>J2020: Jongeneel 2020. S2024: Smits et al 2024.</w:t>
      </w:r>
    </w:p>
    <w:p w:rsidRPr="00AD7C9A" w:rsidR="00AB3149" w:rsidP="00530CFF" w:rsidRDefault="00AB3149" w14:paraId="53248A6E" w14:textId="77777777"/>
    <w:p w:rsidRPr="00AD7C9A" w:rsidR="00AB3149" w:rsidP="00530CFF" w:rsidRDefault="00AB3149" w14:paraId="06826AF8" w14:textId="77777777"/>
    <w:p w:rsidRPr="00AD7C9A" w:rsidR="00A3159D" w:rsidP="00A3159D" w:rsidRDefault="00A3159D" w14:paraId="000A7B04" w14:textId="3166E7FE">
      <w:pPr>
        <w:pStyle w:val="Heading2"/>
      </w:pPr>
      <w:bookmarkStart w:name="_Toc197544916" w:id="36"/>
      <w:r w:rsidRPr="00AD7C9A">
        <w:t>Nieuwe verdienmodellen in opkomst maar verdienmodellen blijven naast elkaar bestaan</w:t>
      </w:r>
      <w:bookmarkEnd w:id="36"/>
    </w:p>
    <w:p w:rsidR="00701A56" w:rsidP="007B36F7" w:rsidRDefault="00701A56" w14:paraId="17141CA8" w14:textId="0233A549">
      <w:pPr>
        <w:rPr>
          <w:rStyle w:val="fadeinpfttw8"/>
        </w:rPr>
      </w:pPr>
      <w:r>
        <w:rPr>
          <w:rStyle w:val="fadeinpfttw8"/>
        </w:rPr>
        <w:t>Het gangbare verdienmodel van Nederlandse boeren en tuinders is gericht op maximale productie tegen minimale kosten, waarbij de verkoop meestal via andere partijen loopt. In veel sectoren – zoals melkvee, glasgroenten, pluimvee en varkens – bepalen coöperaties, producentenorganisaties of verwerkers de afzet. Hierdoor hebben boeren vaak weinig invloed op prijs, producteisen en specificaties, ongeacht het verkoopkanaal of ketenmodel.</w:t>
      </w:r>
    </w:p>
    <w:p w:rsidRPr="00AD7C9A" w:rsidR="00900D04" w:rsidP="007B36F7" w:rsidRDefault="00900D04" w14:paraId="49BF6179" w14:textId="77777777"/>
    <w:p w:rsidRPr="00AD7C9A" w:rsidR="007E73DF" w:rsidP="00530CFF" w:rsidRDefault="007B36F7" w14:paraId="4E150637" w14:textId="77777777">
      <w:r w:rsidRPr="00AD7C9A">
        <w:t>Daarnaast zijn er talloze andere meer kleinschalige verdienmodellen, zoals korte ketens en eigen boerderijwinkels, vergoedingen door de overheid voor bijvoorbeeld Agrarisch Natuur en Landschapsbeheer, ‘community supported agriculture’ waarbij consumenten en burgers mede-eigenaar worden van de boerderij of producten via een abonnement van de boer kopen (Smits et al., 2024</w:t>
      </w:r>
      <w:r w:rsidRPr="00AD7C9A" w:rsidR="00900D04">
        <w:t>; Jongeneel, 2020</w:t>
      </w:r>
      <w:r w:rsidRPr="00AD7C9A">
        <w:t>)</w:t>
      </w:r>
      <w:r w:rsidRPr="00AD7C9A" w:rsidR="00B84838">
        <w:t xml:space="preserve">. </w:t>
      </w:r>
      <w:r w:rsidRPr="00AD7C9A" w:rsidR="006D11FD">
        <w:t xml:space="preserve">Biologische landbouw is in Nederland goed voor ongeveer </w:t>
      </w:r>
      <w:r w:rsidRPr="00AD7C9A" w:rsidR="00790E48">
        <w:t>4,5% van het totale areaal</w:t>
      </w:r>
      <w:r w:rsidRPr="00AD7C9A" w:rsidR="001F4A52">
        <w:t xml:space="preserve"> in 2023</w:t>
      </w:r>
      <w:r w:rsidRPr="00AD7C9A" w:rsidR="00790E48">
        <w:t>.</w:t>
      </w:r>
      <w:r w:rsidRPr="00AD7C9A" w:rsidR="00D45054">
        <w:rPr>
          <w:rStyle w:val="FootnoteReference"/>
        </w:rPr>
        <w:footnoteReference w:id="4"/>
      </w:r>
      <w:r w:rsidRPr="00AD7C9A" w:rsidR="00790E48">
        <w:t xml:space="preserve"> </w:t>
      </w:r>
      <w:r w:rsidRPr="00AD7C9A" w:rsidR="001F4A52">
        <w:t xml:space="preserve">Het biologische areaal groeit </w:t>
      </w:r>
      <w:r w:rsidRPr="00AD7C9A" w:rsidR="00C33A1D">
        <w:t xml:space="preserve">geleidelijk </w:t>
      </w:r>
      <w:r w:rsidRPr="00AD7C9A" w:rsidR="001F4A52">
        <w:t xml:space="preserve">en de doelstelling van de overheid is dat dit in 2030 15% wordt. </w:t>
      </w:r>
      <w:r w:rsidRPr="00AD7C9A" w:rsidR="00434155">
        <w:t xml:space="preserve">Uit de </w:t>
      </w:r>
      <w:r w:rsidRPr="00AD7C9A" w:rsidR="00EE5A69">
        <w:t xml:space="preserve">monitoring van verbredingsactiviteiten blijkt dat in 2023 ongeveer 37% van de bedrijven een neventak heeft, zoals </w:t>
      </w:r>
      <w:r w:rsidRPr="00AD7C9A" w:rsidR="000805D9">
        <w:t xml:space="preserve">natuurbeheer, boerderijverkoop, recreatie of </w:t>
      </w:r>
      <w:r w:rsidRPr="00AD7C9A" w:rsidR="00EE5A69">
        <w:t>zorglandbouw</w:t>
      </w:r>
      <w:r w:rsidRPr="00AD7C9A" w:rsidR="000805D9">
        <w:t>. Ook het aandeel van de bedrijven met een neventak neemt geleidelijk toe.</w:t>
      </w:r>
      <w:r w:rsidRPr="00AD7C9A" w:rsidR="001C0AB5">
        <w:rPr>
          <w:rStyle w:val="FootnoteReference"/>
        </w:rPr>
        <w:footnoteReference w:id="5"/>
      </w:r>
      <w:r w:rsidRPr="00AD7C9A" w:rsidR="000805D9">
        <w:t xml:space="preserve"> </w:t>
      </w:r>
      <w:r w:rsidRPr="00AD7C9A" w:rsidR="005B60D9">
        <w:t xml:space="preserve">Uit </w:t>
      </w:r>
      <w:r w:rsidRPr="00AD7C9A" w:rsidR="00EA7F1C">
        <w:t xml:space="preserve">Van der Meulen et al (2023) blijkt dat </w:t>
      </w:r>
      <w:r w:rsidRPr="00AD7C9A" w:rsidR="007A6A73">
        <w:t>16% van de bedrijven in 2023 (ook) in een korte keten</w:t>
      </w:r>
      <w:r w:rsidRPr="00AD7C9A" w:rsidR="00261146">
        <w:t xml:space="preserve"> leverde</w:t>
      </w:r>
      <w:r w:rsidRPr="00AD7C9A" w:rsidR="000B7EEE">
        <w:t xml:space="preserve">, hoewel het aandeel in de omzet </w:t>
      </w:r>
      <w:r w:rsidRPr="00AD7C9A" w:rsidR="00636B09">
        <w:t>in bijna de helft van de gevallen met minder dan 10%</w:t>
      </w:r>
      <w:r w:rsidRPr="00AD7C9A" w:rsidR="000B7EEE">
        <w:t xml:space="preserve"> beperkt </w:t>
      </w:r>
      <w:r w:rsidRPr="00AD7C9A" w:rsidR="007A6A73">
        <w:t>was</w:t>
      </w:r>
      <w:r w:rsidRPr="00AD7C9A" w:rsidR="00EA7F1C">
        <w:t>.</w:t>
      </w:r>
      <w:r w:rsidRPr="00AD7C9A" w:rsidR="009F050C">
        <w:t xml:space="preserve"> Ook het </w:t>
      </w:r>
      <w:r w:rsidRPr="00AD7C9A" w:rsidR="006C09F0">
        <w:t xml:space="preserve">aantal bedrijven dat via een korte keten </w:t>
      </w:r>
      <w:r w:rsidRPr="00AD7C9A" w:rsidR="007C50B5">
        <w:t xml:space="preserve">afzet neemt toe, terwijl het totaal aantal land- en tuinbouwbedrijven afneemt. </w:t>
      </w:r>
      <w:r w:rsidRPr="00AD7C9A" w:rsidR="002813BC">
        <w:t xml:space="preserve">Deze voorbeelden laten zien dat er al een beweging is in de markt richting duurzamere productie en </w:t>
      </w:r>
      <w:r w:rsidRPr="00AD7C9A" w:rsidR="00187172">
        <w:t xml:space="preserve">andere verdienmodellen. </w:t>
      </w:r>
    </w:p>
    <w:p w:rsidR="007E73DF" w:rsidP="00530CFF" w:rsidRDefault="007E73DF" w14:paraId="6021271E" w14:textId="77777777"/>
    <w:p w:rsidR="0080612A" w:rsidP="00961C19" w:rsidRDefault="00961C19" w14:paraId="6122C3C5" w14:textId="77777777">
      <w:r w:rsidRPr="00AD7C9A">
        <w:t xml:space="preserve">Een ander voorbeeld is de opkomst van het keurmerk On the way to PlanetProof. Dit keurmerk van SMK is sinds 2017 te vinden op aardappelen, groente, fruit, zuivel, en eieren in Nederlandse supermarkten. </w:t>
      </w:r>
      <w:r w:rsidRPr="00AD7C9A" w:rsidR="0080612A">
        <w:t xml:space="preserve">Hoewel in sommige ketens de afgelopen jaren wel een meerprijs werd betaald voor producten met een On the way to PlanetProof keurmerk gold dat niet voor alle producten (Van Galen et al., 2021, 2022). </w:t>
      </w:r>
      <w:r w:rsidR="0080612A">
        <w:t>Een deel van de b</w:t>
      </w:r>
      <w:r w:rsidRPr="00AD7C9A" w:rsidR="0080612A">
        <w:t xml:space="preserve">oeren en tuinders </w:t>
      </w:r>
      <w:r w:rsidR="0080612A">
        <w:t>in het onderzoek van Van Galen et al gaf aan</w:t>
      </w:r>
      <w:r w:rsidRPr="00AD7C9A" w:rsidR="0080612A">
        <w:t xml:space="preserve"> dat er geen meerprijs betaald werd door afnemers die extra duurzaamheidspanningen vragen. Daar komt bij dat vaak van leden van producentenorganisaties wordt gevraagd zich te certificeren, met bijkomende kosten, terwijl slechts een deel van de producten naar Nederlandse supermarkten gaat. Over het overige deel wordt ook geen meerprijs ontvangen. Desondanks kunnen we vaststellen dat het keurmerk</w:t>
      </w:r>
      <w:r w:rsidR="0080612A">
        <w:t xml:space="preserve"> inmiddels breed wordt toegepast.</w:t>
      </w:r>
      <w:r w:rsidRPr="00AD7C9A" w:rsidR="0080612A">
        <w:t xml:space="preserve"> In 2023 was volgens SMK ongeveer 4000 hectare groente en fruit onder bedekte teelt </w:t>
      </w:r>
      <w:r w:rsidRPr="00AD7C9A" w:rsidR="0080612A">
        <w:lastRenderedPageBreak/>
        <w:t xml:space="preserve">gecertificeerd. Dat betekent dat iets meer dan 70% van het areaal inmiddels is gecertificeerd. </w:t>
      </w:r>
      <w:r w:rsidRPr="00AD7C9A">
        <w:t xml:space="preserve">Veel supermarkten eisen tegenwoordig dat leveranciers voldoen aan de eisen van On the way to PlanetProof of vergelijkbare milieucertificeringen. </w:t>
      </w:r>
    </w:p>
    <w:p w:rsidR="0080612A" w:rsidP="00961C19" w:rsidRDefault="0080612A" w14:paraId="30867250" w14:textId="77777777"/>
    <w:p w:rsidR="00961C19" w:rsidP="00961C19" w:rsidRDefault="00961C19" w14:paraId="2B172277" w14:textId="1C08FF47">
      <w:r w:rsidRPr="00AD7C9A">
        <w:t xml:space="preserve">Het voldoen aan de eisen van het keurmerk kan best wat kosten met zich meebrengen voor boeren en tuinders. SMK </w:t>
      </w:r>
      <w:r w:rsidR="00FC5481">
        <w:t xml:space="preserve">heeft </w:t>
      </w:r>
      <w:r w:rsidRPr="00AD7C9A">
        <w:t>door CLM laten uitrekenen wat de meerkosten zijn voor verschillende producten.</w:t>
      </w:r>
      <w:r w:rsidRPr="00AD7C9A">
        <w:rPr>
          <w:rStyle w:val="FootnoteReference"/>
        </w:rPr>
        <w:footnoteReference w:id="6"/>
      </w:r>
      <w:r w:rsidRPr="00AD7C9A">
        <w:t xml:space="preserve"> De berekende meerprijzen lopen uiteen van bijvoorbeeld 2 cent per kilogram voor waspeen, 3 cent per kilogram voor tafelaardappelen, 11,5 cent per kilogram voor veldsla, tot 44 cent per kilogram voor asperges en 65 cent per kilogram voor kersen uit bedekte teelt. Het berekenen van deze gemiddelde meerprijzen biedt de partijen inzicht en een startpunt voor een eerlijke vergoeding. Het lijkt niet meer dan redelijk dat als een afnemer extra eisen stelt, dat dan daarvoor ook iets extra wordt betaald. </w:t>
      </w:r>
    </w:p>
    <w:p w:rsidRPr="00AD7C9A" w:rsidR="0080612A" w:rsidP="00961C19" w:rsidRDefault="0080612A" w14:paraId="2D104728" w14:textId="77777777"/>
    <w:p w:rsidRPr="00AD7C9A" w:rsidR="00CD341B" w:rsidP="00530CFF" w:rsidRDefault="0033024A" w14:paraId="5B837C7F" w14:textId="3B988ACD">
      <w:r w:rsidRPr="00AD7C9A">
        <w:t>Wat duidelijk is, is dat er verschillende verdienmodellen naast elkaar zullen bestaan</w:t>
      </w:r>
      <w:r w:rsidRPr="00AD7C9A" w:rsidR="00F16EA1">
        <w:t>,</w:t>
      </w:r>
      <w:r w:rsidRPr="00AD7C9A">
        <w:t xml:space="preserve"> </w:t>
      </w:r>
      <w:r w:rsidR="009158E1">
        <w:t xml:space="preserve">en </w:t>
      </w:r>
      <w:r w:rsidRPr="00AD7C9A">
        <w:t xml:space="preserve">dat ieder verdienmodel zijn eigen </w:t>
      </w:r>
      <w:r w:rsidRPr="00AD7C9A" w:rsidR="00F16EA1">
        <w:t>voordelen en uitdagingen kent.</w:t>
      </w:r>
      <w:r w:rsidRPr="00AD7C9A" w:rsidR="007E73DF">
        <w:t xml:space="preserve"> Of een </w:t>
      </w:r>
      <w:r w:rsidRPr="00AD7C9A" w:rsidR="00B019FB">
        <w:t xml:space="preserve">duurzaam </w:t>
      </w:r>
      <w:r w:rsidRPr="00AD7C9A" w:rsidR="007E73DF">
        <w:t xml:space="preserve">verdienmodel een </w:t>
      </w:r>
      <w:r w:rsidRPr="00AD7C9A" w:rsidR="00B019FB">
        <w:t xml:space="preserve">gezonde </w:t>
      </w:r>
      <w:r w:rsidRPr="00AD7C9A" w:rsidR="00D36BCA">
        <w:t>financiële</w:t>
      </w:r>
      <w:r w:rsidRPr="00AD7C9A" w:rsidR="00B019FB">
        <w:t xml:space="preserve"> toekomst voor een </w:t>
      </w:r>
      <w:r w:rsidRPr="00AD7C9A" w:rsidR="00933525">
        <w:t xml:space="preserve">boer of tuinder kan opleveren is van veel factoren afhankelijk, waaronder de </w:t>
      </w:r>
      <w:r w:rsidRPr="00AD7C9A" w:rsidR="001D7851">
        <w:t xml:space="preserve">ligging en omvang van het bedrijf, de voorkeuren van de ondernemer, de ontwikkeling van de markt en de mogelijkheden van </w:t>
      </w:r>
      <w:r w:rsidRPr="00AD7C9A" w:rsidR="00D36BCA">
        <w:t>overheidssteun</w:t>
      </w:r>
      <w:r w:rsidRPr="00AD7C9A" w:rsidR="001D7851">
        <w:t xml:space="preserve"> en </w:t>
      </w:r>
      <w:r w:rsidRPr="00AD7C9A" w:rsidR="00D36BCA">
        <w:t xml:space="preserve">vergunningen. </w:t>
      </w:r>
    </w:p>
    <w:p w:rsidRPr="00AD7C9A" w:rsidR="007B36F7" w:rsidP="00530CFF" w:rsidRDefault="007B36F7" w14:paraId="2FBDFD25" w14:textId="77777777"/>
    <w:p w:rsidRPr="00D13002" w:rsidR="00401FDD" w:rsidP="00570184" w:rsidRDefault="00401FDD" w14:paraId="229EEDE8" w14:textId="78EFB41A">
      <w:pPr>
        <w:pStyle w:val="Heading2"/>
      </w:pPr>
      <w:bookmarkStart w:name="_Toc197544917" w:id="37"/>
      <w:r w:rsidRPr="00D13002">
        <w:t>Bedrijven zijn verantwoordelijk voor het ondernemerschap</w:t>
      </w:r>
      <w:r w:rsidRPr="00D13002" w:rsidR="007B36F7">
        <w:t>, maar hebben daarvoor ruimte</w:t>
      </w:r>
      <w:r w:rsidRPr="00D13002" w:rsidR="006B7E76">
        <w:t>,</w:t>
      </w:r>
      <w:r w:rsidRPr="00D13002" w:rsidR="007B36F7">
        <w:t xml:space="preserve"> gelijk speelveld</w:t>
      </w:r>
      <w:r w:rsidRPr="00D13002" w:rsidR="006B7E76">
        <w:t xml:space="preserve"> en kennis</w:t>
      </w:r>
      <w:r w:rsidRPr="00D13002" w:rsidR="007B36F7">
        <w:t xml:space="preserve"> nodig</w:t>
      </w:r>
      <w:bookmarkEnd w:id="37"/>
    </w:p>
    <w:p w:rsidR="00832426" w:rsidP="00891D00" w:rsidRDefault="006F3D3D" w14:paraId="39AC5578" w14:textId="4382B898">
      <w:r>
        <w:t>Bedrijven (boeren maar ook supermarkten en verwerkers)</w:t>
      </w:r>
      <w:r w:rsidR="00D13002">
        <w:t xml:space="preserve"> zijn in de </w:t>
      </w:r>
      <w:r>
        <w:t>veel</w:t>
      </w:r>
      <w:r w:rsidR="00D13002">
        <w:t xml:space="preserve"> gevallen zelf ook op zoek naar duurzaamheidsverbeteringen, al is het maar omdat die ook kostenbesparingen kunnen opleveren. De voorbeelden die we in deze notitie hebben benoemd laten zien dat bedrijven ook zelf verduurzamen en dat bijvoorbeeld supermarkten bovenwettelijke eisen stellen aan leveranciers. </w:t>
      </w:r>
      <w:r w:rsidRPr="00AD7C9A" w:rsidR="00381F74">
        <w:t xml:space="preserve">De realiteit is op dit moment dat veel boeren en tuinders nauwelijks invloed hebben op de prijs. </w:t>
      </w:r>
      <w:r w:rsidRPr="00AD7C9A" w:rsidR="00B1096B">
        <w:t xml:space="preserve">Het lijkt redelijk van ketenpartijen te verwachten dat zij zich aan geldende regelgeving houden, en dat zij uit algemeen belang meedenken met de overheid over hoe de keten verder kan verduurzamen op een manier </w:t>
      </w:r>
      <w:r w:rsidR="00832426">
        <w:t>zo</w:t>
      </w:r>
      <w:r w:rsidRPr="00AD7C9A" w:rsidR="00B1096B">
        <w:t xml:space="preserve">dat ook voor boeren en tuinders een redelijk inkomen overblijft. </w:t>
      </w:r>
    </w:p>
    <w:p w:rsidR="00832426" w:rsidP="00891D00" w:rsidRDefault="00832426" w14:paraId="7543E5E9" w14:textId="77777777"/>
    <w:p w:rsidRPr="00AD7C9A" w:rsidR="006B6314" w:rsidP="00891D00" w:rsidRDefault="006F3D3D" w14:paraId="518079C3" w14:textId="09AC974A">
      <w:r>
        <w:t xml:space="preserve">Er zijn echter steeds meer voorbeelden van ketens waarin wel een vergoeding wordt betaald en het zou goed zijn om die voorbeelden, zoals nu gebeurt met bijvoorbeeld On the way to PlanetProof te ondersteunen. </w:t>
      </w:r>
      <w:r w:rsidRPr="00AD7C9A">
        <w:t xml:space="preserve">Daarbij is het belangrijk te benoemen dat een groot deel van de Nederlandse productie wordt geëxporteerd en dat tevens een belangrijk deel van het voedsel dat we in Nederland consumeren wordt geïmporteerd. </w:t>
      </w:r>
      <w:r>
        <w:t>Het is daarom essentieel dat ook in andere EU-landen de duurzaamheidsstandaarden worden opgehoogd om voldoende markt te ontwikkelen voor duurzame Nederlandse producten.</w:t>
      </w:r>
    </w:p>
    <w:p w:rsidR="00B1096B" w:rsidP="00B1096B" w:rsidRDefault="00B1096B" w14:paraId="2D2803AF" w14:textId="77777777"/>
    <w:p w:rsidRPr="00AD7C9A" w:rsidR="00D13002" w:rsidP="00B1096B" w:rsidRDefault="00D13002" w14:paraId="3AFBC2AF" w14:textId="4F5FFA09">
      <w:r>
        <w:t>De overheid biedt een kader met doelen en ondersteuning als dat nodig is, de overheid bewaakt het gelijke speelveld en bevorderd kennisontwikkeling en uitwisseling in het algemeen belang, en bedrijven zullen daarbinnen hun verantwoordelijkheid moeten nemen.</w:t>
      </w:r>
    </w:p>
    <w:p w:rsidRPr="00AD7C9A" w:rsidR="00B1096B" w:rsidP="00B1096B" w:rsidRDefault="00B1096B" w14:paraId="15639130" w14:textId="77777777"/>
    <w:p w:rsidRPr="00AD7C9A" w:rsidR="00E771AB" w:rsidP="00570184" w:rsidRDefault="00E771AB" w14:paraId="51014B86" w14:textId="63897F13">
      <w:pPr>
        <w:pStyle w:val="Heading1"/>
      </w:pPr>
      <w:bookmarkStart w:name="_Toc197544918" w:id="38"/>
      <w:r w:rsidRPr="00AD7C9A">
        <w:t>Stimuleringsmaatregelen voor verduurzaming</w:t>
      </w:r>
      <w:bookmarkEnd w:id="38"/>
    </w:p>
    <w:p w:rsidRPr="00AD7C9A" w:rsidR="001C0DAB" w:rsidP="00122C7B" w:rsidRDefault="00627F64" w14:paraId="45C8C1C2" w14:textId="1AFD962B">
      <w:r w:rsidRPr="00AD7C9A">
        <w:t>D</w:t>
      </w:r>
      <w:r w:rsidRPr="00AD7C9A" w:rsidR="003C172A">
        <w:t xml:space="preserve">uurzame verdienmodellen </w:t>
      </w:r>
      <w:r w:rsidRPr="00AD7C9A">
        <w:t xml:space="preserve">kunnen </w:t>
      </w:r>
      <w:r w:rsidRPr="00AD7C9A" w:rsidR="00595444">
        <w:t>gestimuleerd (of gerealiseerd) worden</w:t>
      </w:r>
      <w:r w:rsidRPr="00AD7C9A" w:rsidR="003C172A">
        <w:t xml:space="preserve"> via de </w:t>
      </w:r>
      <w:r w:rsidRPr="00AD7C9A" w:rsidR="001C0DAB">
        <w:t xml:space="preserve">overheid en via de </w:t>
      </w:r>
      <w:r w:rsidRPr="00AD7C9A" w:rsidR="003C172A">
        <w:t>markt</w:t>
      </w:r>
      <w:r w:rsidRPr="00AD7C9A" w:rsidR="00595444">
        <w:t xml:space="preserve"> (en in combinatie)</w:t>
      </w:r>
      <w:r w:rsidRPr="00AD7C9A" w:rsidR="003C172A">
        <w:t xml:space="preserve">. </w:t>
      </w:r>
      <w:r w:rsidRPr="00AD7C9A" w:rsidR="00EC07FD">
        <w:t xml:space="preserve">Marktpartijen nemen ook los van de overheidsstimulering </w:t>
      </w:r>
      <w:r w:rsidRPr="00AD7C9A" w:rsidR="00E451C8">
        <w:t xml:space="preserve">bovenwettelijke </w:t>
      </w:r>
      <w:r w:rsidRPr="00AD7C9A" w:rsidR="00EC07FD">
        <w:t xml:space="preserve">duurzaamheidsmaatregelen. </w:t>
      </w:r>
      <w:r w:rsidRPr="00AD7C9A" w:rsidR="00E451C8">
        <w:t xml:space="preserve">Bedrijven kunnen zich met duurzaamheid onderscheiden. Voorbeelden van bevordering van duurzaamheid via de markt zijn </w:t>
      </w:r>
      <w:r w:rsidRPr="00AD7C9A" w:rsidR="00122C7B">
        <w:t>p</w:t>
      </w:r>
      <w:r w:rsidRPr="00AD7C9A" w:rsidR="001C0DAB">
        <w:t>roduct en procesinnovatie</w:t>
      </w:r>
      <w:r w:rsidRPr="00AD7C9A" w:rsidR="00122C7B">
        <w:t xml:space="preserve">, korte ketens, </w:t>
      </w:r>
      <w:r w:rsidRPr="00AD7C9A" w:rsidR="00563D24">
        <w:t xml:space="preserve">en </w:t>
      </w:r>
      <w:r w:rsidRPr="00AD7C9A" w:rsidR="00122C7B">
        <w:t xml:space="preserve">keurmerken </w:t>
      </w:r>
      <w:r w:rsidRPr="00AD7C9A" w:rsidR="00665910">
        <w:t xml:space="preserve">zoals On the </w:t>
      </w:r>
      <w:r w:rsidRPr="00AD7C9A" w:rsidR="00BA5CD5">
        <w:t>w</w:t>
      </w:r>
      <w:r w:rsidRPr="00AD7C9A" w:rsidR="00665910">
        <w:t xml:space="preserve">ay to PlanetProof van SMK en Beter Voor van Albert Heijn. </w:t>
      </w:r>
      <w:r w:rsidRPr="00AD7C9A" w:rsidR="00E035AD">
        <w:t xml:space="preserve">Er bestaan verschillende private sector initiatieven voor bovenwettelijk duurzame producten waarin boeren en tuinders ook gecompenseerd worden. </w:t>
      </w:r>
      <w:r w:rsidRPr="00AD7C9A" w:rsidR="00D77583">
        <w:t>FrieslandCampina</w:t>
      </w:r>
      <w:r w:rsidRPr="00AD7C9A" w:rsidR="006D0DFC">
        <w:t xml:space="preserve"> vergoed boeren voor de productie van melk met </w:t>
      </w:r>
      <w:r w:rsidRPr="00AD7C9A" w:rsidR="006D0DFC">
        <w:lastRenderedPageBreak/>
        <w:t>een lagere CO2-voetafdruk</w:t>
      </w:r>
      <w:r w:rsidRPr="00AD7C9A" w:rsidR="00D77583">
        <w:t xml:space="preserve"> </w:t>
      </w:r>
      <w:r w:rsidRPr="00AD7C9A" w:rsidR="00904219">
        <w:t xml:space="preserve">door toevoeging van </w:t>
      </w:r>
      <w:r w:rsidRPr="00AD7C9A" w:rsidR="001E4588">
        <w:t>een additief</w:t>
      </w:r>
      <w:r w:rsidRPr="00AD7C9A" w:rsidR="006D0DFC">
        <w:t xml:space="preserve"> (Bovaer)</w:t>
      </w:r>
      <w:r w:rsidRPr="00AD7C9A" w:rsidR="001E4588">
        <w:t xml:space="preserve"> aan het veevoer waardoor de methaan emissies afnemen.</w:t>
      </w:r>
      <w:r w:rsidRPr="00AD7C9A" w:rsidR="00624B90">
        <w:rPr>
          <w:rStyle w:val="FootnoteReference"/>
        </w:rPr>
        <w:footnoteReference w:id="7"/>
      </w:r>
      <w:r w:rsidRPr="00AD7C9A" w:rsidR="001E4588">
        <w:t xml:space="preserve"> Het bedrijf </w:t>
      </w:r>
      <w:r w:rsidRPr="00AD7C9A" w:rsidR="000B7D48">
        <w:t>werkt hierin samen met een aantal belangrijke afnemers die bereid zijn om wat meer te betalen voor deze melk. D</w:t>
      </w:r>
      <w:r w:rsidRPr="00AD7C9A" w:rsidR="003010FD">
        <w:t xml:space="preserve">eze bedrijven hebben er belang bij om </w:t>
      </w:r>
      <w:r w:rsidRPr="00AD7C9A" w:rsidR="003A0951">
        <w:t>de klimaatimpact van de keten te verlagen</w:t>
      </w:r>
      <w:r w:rsidRPr="00AD7C9A" w:rsidR="001334C3">
        <w:t xml:space="preserve"> </w:t>
      </w:r>
      <w:r w:rsidRPr="00AD7C9A" w:rsidR="00AE04BF">
        <w:t xml:space="preserve">om hun eigen duurzaamheidsdoelstellingen te halen, en daarbij helpt het dat </w:t>
      </w:r>
      <w:r w:rsidRPr="00AD7C9A" w:rsidR="00D24FBA">
        <w:t xml:space="preserve">grote </w:t>
      </w:r>
      <w:r w:rsidRPr="00AD7C9A" w:rsidR="00AE04BF">
        <w:t xml:space="preserve">bedrijven </w:t>
      </w:r>
      <w:r w:rsidRPr="00AD7C9A" w:rsidR="004F5841">
        <w:t>in het kader van CSRD wetgeving ook moeten rapporteren over de emissies in de toeleveringsketen.</w:t>
      </w:r>
      <w:r w:rsidRPr="00AD7C9A" w:rsidR="00AE04BF">
        <w:t xml:space="preserve"> </w:t>
      </w:r>
      <w:r w:rsidRPr="00AD7C9A" w:rsidR="00AA0806">
        <w:t>Ook rentekortingen</w:t>
      </w:r>
      <w:r w:rsidRPr="00AD7C9A" w:rsidR="004F5841">
        <w:t xml:space="preserve"> door banken</w:t>
      </w:r>
      <w:r w:rsidRPr="00AD7C9A" w:rsidR="00AA0806">
        <w:t xml:space="preserve"> voor duurzame investeringen horen tot de </w:t>
      </w:r>
      <w:r w:rsidRPr="00AD7C9A" w:rsidR="00C47704">
        <w:t xml:space="preserve">stimulering door de markt. </w:t>
      </w:r>
    </w:p>
    <w:p w:rsidRPr="00AD7C9A" w:rsidR="00BB0DD5" w:rsidP="00122C7B" w:rsidRDefault="00BB0DD5" w14:paraId="7C91CA80" w14:textId="77777777"/>
    <w:p w:rsidRPr="00AD7C9A" w:rsidR="00BB0DD5" w:rsidP="00122C7B" w:rsidRDefault="00BB0DD5" w14:paraId="5FB12451" w14:textId="144D0969">
      <w:r w:rsidRPr="00AD7C9A">
        <w:t xml:space="preserve">Ook biologische producten komen voort uit de markt. Van Galen et al (2022) </w:t>
      </w:r>
      <w:r w:rsidRPr="00AD7C9A" w:rsidR="008C16AD">
        <w:t>laat zien dat biologische boeren en tuinders in Nederland in de afgelopen jaren in het algemeen hun extra kosten wel uit de markt vergoed kregen; met uitzondering van biologische melkveehouders.</w:t>
      </w:r>
      <w:r w:rsidRPr="00AD7C9A" w:rsidR="0074210E">
        <w:t xml:space="preserve"> Het is echter wel zo dat </w:t>
      </w:r>
      <w:r w:rsidRPr="00AD7C9A" w:rsidR="00BA1048">
        <w:t>de biologische landbouw nog relatief klein is in Nederland en het is niet aannemelijk dat met een groei van het aanbod de prijzen hoog genoeg blijven. Er zal dus meer moeten gebeuren.</w:t>
      </w:r>
    </w:p>
    <w:p w:rsidRPr="00AD7C9A" w:rsidR="00C47704" w:rsidP="00122C7B" w:rsidRDefault="00C47704" w14:paraId="5B70EB2D" w14:textId="3E6CAD91"/>
    <w:p w:rsidRPr="00AD7C9A" w:rsidR="00171DD4" w:rsidP="000F0C93" w:rsidRDefault="00D35CE7" w14:paraId="2365D46E" w14:textId="0A4B8242">
      <w:pPr>
        <w:spacing w:after="200" w:line="302" w:lineRule="auto"/>
      </w:pPr>
      <w:r w:rsidRPr="00AD7C9A">
        <w:t xml:space="preserve">Veel </w:t>
      </w:r>
      <w:r w:rsidRPr="00AD7C9A" w:rsidR="00E64AA0">
        <w:t>overheids</w:t>
      </w:r>
      <w:r w:rsidRPr="00AD7C9A">
        <w:t>instrumenten komen voort uit het gemeenschappelijk landbouwbeleid</w:t>
      </w:r>
      <w:r w:rsidRPr="00AD7C9A" w:rsidR="007B6190">
        <w:t xml:space="preserve"> (GLB)</w:t>
      </w:r>
      <w:r w:rsidRPr="00AD7C9A" w:rsidR="00CC51FA">
        <w:t xml:space="preserve"> waarin een grote hoeveelheid stimuleringsmaatregelen voor duurzame landbouw mogelijk zijn</w:t>
      </w:r>
      <w:r w:rsidRPr="00AD7C9A">
        <w:t xml:space="preserve">. </w:t>
      </w:r>
      <w:r w:rsidRPr="00AD7C9A" w:rsidR="00571678">
        <w:t xml:space="preserve">Het GLB bestaat uit twee pijlers die samen beschreven staan in het Nationaal </w:t>
      </w:r>
      <w:r w:rsidRPr="00AD7C9A" w:rsidR="00011EE8">
        <w:t>Strategisch Plan.</w:t>
      </w:r>
      <w:r w:rsidRPr="00AD7C9A" w:rsidR="00B358D0">
        <w:rPr>
          <w:rStyle w:val="FootnoteReference"/>
        </w:rPr>
        <w:footnoteReference w:id="8"/>
      </w:r>
      <w:r w:rsidRPr="00AD7C9A" w:rsidR="007B6190">
        <w:t xml:space="preserve"> </w:t>
      </w:r>
      <w:r w:rsidRPr="00AD7C9A" w:rsidR="00B05875">
        <w:t>De belang</w:t>
      </w:r>
      <w:r w:rsidRPr="00AD7C9A" w:rsidR="00171DD4">
        <w:t>r</w:t>
      </w:r>
      <w:r w:rsidRPr="00AD7C9A" w:rsidR="00B05875">
        <w:t>ijkste instrumenten in het GLB zijn</w:t>
      </w:r>
      <w:r w:rsidRPr="00AD7C9A" w:rsidR="000A4BA4">
        <w:t>:</w:t>
      </w:r>
    </w:p>
    <w:p w:rsidRPr="00AD7C9A" w:rsidR="00B05875" w:rsidP="00171DD4" w:rsidRDefault="000A4BA4" w14:paraId="6378FFD3" w14:textId="5C79F43E">
      <w:pPr>
        <w:pStyle w:val="ListParagraph"/>
        <w:numPr>
          <w:ilvl w:val="0"/>
          <w:numId w:val="14"/>
        </w:numPr>
        <w:spacing w:after="200" w:line="302" w:lineRule="auto"/>
      </w:pPr>
      <w:r w:rsidRPr="00AD7C9A">
        <w:t>H</w:t>
      </w:r>
      <w:r w:rsidRPr="00AD7C9A" w:rsidR="00B05875">
        <w:t>ectare</w:t>
      </w:r>
      <w:r w:rsidRPr="00AD7C9A" w:rsidR="00361511">
        <w:t xml:space="preserve">toeslagen en de </w:t>
      </w:r>
      <w:r w:rsidRPr="00AD7C9A">
        <w:t>E</w:t>
      </w:r>
      <w:r w:rsidRPr="00AD7C9A" w:rsidR="00361511">
        <w:t>co-regeling waarbij boeren extra vergoedingen kunnen krijgen voor duurzaamheidsinspanningen</w:t>
      </w:r>
    </w:p>
    <w:p w:rsidRPr="00AD7C9A" w:rsidR="00171DD4" w:rsidP="00171DD4" w:rsidRDefault="00171DD4" w14:paraId="4AF970CB" w14:textId="4D9BDF4A">
      <w:pPr>
        <w:pStyle w:val="ListParagraph"/>
        <w:numPr>
          <w:ilvl w:val="0"/>
          <w:numId w:val="14"/>
        </w:numPr>
        <w:spacing w:after="200" w:line="302" w:lineRule="auto"/>
      </w:pPr>
      <w:r w:rsidRPr="00AD7C9A">
        <w:t xml:space="preserve">Het Agrarisch Natuur- en Landschapsbeheer (ANLb) waarbij </w:t>
      </w:r>
      <w:r w:rsidRPr="00AD7C9A" w:rsidR="00A2620F">
        <w:t xml:space="preserve">boeren, terreinbeheerders en andere partijen samenwerken in collectieven om te werken aan lokale </w:t>
      </w:r>
      <w:r w:rsidRPr="00AD7C9A" w:rsidR="00581917">
        <w:t>verbeteringen van de natuur, waaronder aan klimaatadaptatie, waterbeheer en biodiversiteit</w:t>
      </w:r>
    </w:p>
    <w:p w:rsidRPr="00AD7C9A" w:rsidR="00581917" w:rsidP="00171DD4" w:rsidRDefault="00D7649C" w14:paraId="5821B00C" w14:textId="107BD639">
      <w:pPr>
        <w:pStyle w:val="ListParagraph"/>
        <w:numPr>
          <w:ilvl w:val="0"/>
          <w:numId w:val="14"/>
        </w:numPr>
        <w:spacing w:after="200" w:line="302" w:lineRule="auto"/>
      </w:pPr>
      <w:r w:rsidRPr="00AD7C9A">
        <w:t>Steun voor stikstof en klimaatopgaven in veeweide gebieden en natura2000</w:t>
      </w:r>
      <w:r w:rsidRPr="00AD7C9A" w:rsidR="003731FF">
        <w:t xml:space="preserve"> (Sbv)</w:t>
      </w:r>
    </w:p>
    <w:p w:rsidRPr="00AD7C9A" w:rsidR="00D7649C" w:rsidP="00171DD4" w:rsidRDefault="001A0DE3" w14:paraId="0B0E39DA" w14:textId="43940527">
      <w:pPr>
        <w:pStyle w:val="ListParagraph"/>
        <w:numPr>
          <w:ilvl w:val="0"/>
          <w:numId w:val="14"/>
        </w:numPr>
        <w:spacing w:after="200" w:line="302" w:lineRule="auto"/>
      </w:pPr>
      <w:r w:rsidRPr="00AD7C9A">
        <w:t>Steun voor duurzame investeringen op het gebied van energie, precisielandbouw, innovatieve stalsystemen</w:t>
      </w:r>
      <w:r w:rsidRPr="00AD7C9A" w:rsidR="00B84FAC">
        <w:t xml:space="preserve"> (EIA, MIA/VAMIL</w:t>
      </w:r>
      <w:r w:rsidRPr="00AD7C9A" w:rsidR="00624FD3">
        <w:t>, SDE++</w:t>
      </w:r>
      <w:r w:rsidRPr="00AD7C9A" w:rsidR="003731FF">
        <w:t>, ISDE)</w:t>
      </w:r>
    </w:p>
    <w:p w:rsidRPr="00AD7C9A" w:rsidR="006C2043" w:rsidP="00171DD4" w:rsidRDefault="00190848" w14:paraId="0CCF47DA" w14:textId="76D60943">
      <w:pPr>
        <w:pStyle w:val="ListParagraph"/>
        <w:numPr>
          <w:ilvl w:val="0"/>
          <w:numId w:val="14"/>
        </w:numPr>
        <w:spacing w:after="200" w:line="302" w:lineRule="auto"/>
      </w:pPr>
      <w:r w:rsidRPr="00AD7C9A">
        <w:t>Kennis en innovatie</w:t>
      </w:r>
      <w:r w:rsidRPr="00AD7C9A" w:rsidR="00A41250">
        <w:t>regelingen</w:t>
      </w:r>
    </w:p>
    <w:p w:rsidRPr="00AD7C9A" w:rsidR="00A41250" w:rsidP="00171DD4" w:rsidRDefault="00A41250" w14:paraId="690749B9" w14:textId="69B92EBA">
      <w:pPr>
        <w:pStyle w:val="ListParagraph"/>
        <w:numPr>
          <w:ilvl w:val="0"/>
          <w:numId w:val="14"/>
        </w:numPr>
        <w:spacing w:after="200" w:line="302" w:lineRule="auto"/>
      </w:pPr>
      <w:r w:rsidRPr="00AD7C9A">
        <w:t>Jonge boeren-regeling</w:t>
      </w:r>
    </w:p>
    <w:p w:rsidRPr="00AD7C9A" w:rsidR="00E771AB" w:rsidP="002A6096" w:rsidRDefault="00C329EF" w14:paraId="4FDE2741" w14:textId="19E1B664">
      <w:pPr>
        <w:spacing w:after="200" w:line="302" w:lineRule="auto"/>
      </w:pPr>
      <w:r w:rsidRPr="00AD7C9A">
        <w:t xml:space="preserve">Om voor betalingen in aanmerking te komen moeten boeren voldoen aan </w:t>
      </w:r>
      <w:r w:rsidRPr="00AD7C9A" w:rsidR="0041432A">
        <w:t xml:space="preserve">EU-regels op het gebied van milieu, klimaat, dierenwelzijn, voedselveiligheid en arbeidsomstandigheden. </w:t>
      </w:r>
      <w:r w:rsidRPr="00AD7C9A" w:rsidR="00955881">
        <w:t>In het kader van het GLB pas</w:t>
      </w:r>
      <w:r w:rsidRPr="00AD7C9A" w:rsidR="00FD56EA">
        <w:t>sen</w:t>
      </w:r>
      <w:r w:rsidRPr="00AD7C9A" w:rsidR="00955881">
        <w:t xml:space="preserve"> ook de regelingen ten aanzien van producentenorganisaties en branch</w:t>
      </w:r>
      <w:r w:rsidRPr="00AD7C9A" w:rsidR="00953AE1">
        <w:t>e</w:t>
      </w:r>
      <w:r w:rsidRPr="00AD7C9A" w:rsidR="00955881">
        <w:t xml:space="preserve">organisaties, die </w:t>
      </w:r>
      <w:r w:rsidRPr="00AD7C9A" w:rsidR="00953AE1">
        <w:t xml:space="preserve">bedoeld zijn om boeren een betere marktpositie te geven en </w:t>
      </w:r>
      <w:r w:rsidRPr="00AD7C9A" w:rsidR="003D6056">
        <w:t>coördinatie</w:t>
      </w:r>
      <w:r w:rsidRPr="00AD7C9A" w:rsidR="00953AE1">
        <w:t xml:space="preserve"> en </w:t>
      </w:r>
      <w:r w:rsidRPr="00AD7C9A" w:rsidR="003D6056">
        <w:t>efficiëntie</w:t>
      </w:r>
      <w:r w:rsidRPr="00AD7C9A" w:rsidR="00953AE1">
        <w:t xml:space="preserve"> in de keten te bevorderen. </w:t>
      </w:r>
      <w:r w:rsidRPr="00AD7C9A" w:rsidR="00DF3F4B">
        <w:t xml:space="preserve">Naast </w:t>
      </w:r>
      <w:r w:rsidRPr="00AD7C9A" w:rsidR="00923CF4">
        <w:t xml:space="preserve">de regelgeving en </w:t>
      </w:r>
      <w:r w:rsidRPr="00AD7C9A" w:rsidR="00DF3F4B">
        <w:t xml:space="preserve">deze GLB instrumenten </w:t>
      </w:r>
      <w:r w:rsidRPr="00AD7C9A" w:rsidR="003C69B0">
        <w:t>worden</w:t>
      </w:r>
      <w:r w:rsidRPr="00AD7C9A" w:rsidR="00DF3F4B">
        <w:t xml:space="preserve"> andere instrumenten </w:t>
      </w:r>
      <w:r w:rsidRPr="00AD7C9A" w:rsidR="003C69B0">
        <w:t xml:space="preserve">ingezet zoals </w:t>
      </w:r>
      <w:r w:rsidRPr="00AD7C9A" w:rsidR="008F0273">
        <w:t>energiebelastingen</w:t>
      </w:r>
      <w:r w:rsidRPr="00AD7C9A" w:rsidR="00835A88">
        <w:t>, convenanten zoals voor</w:t>
      </w:r>
      <w:r w:rsidRPr="00AD7C9A" w:rsidR="008F0273">
        <w:t xml:space="preserve"> </w:t>
      </w:r>
      <w:r w:rsidRPr="00AD7C9A" w:rsidR="003C69B0">
        <w:t xml:space="preserve">een </w:t>
      </w:r>
      <w:r w:rsidRPr="00AD7C9A" w:rsidR="00B94F7E">
        <w:t>CO2-sectorsysteem voor de glastuinbouw</w:t>
      </w:r>
      <w:r w:rsidRPr="00AD7C9A" w:rsidR="00835A88">
        <w:t xml:space="preserve">, monitoring, </w:t>
      </w:r>
      <w:r w:rsidRPr="00AD7C9A" w:rsidR="00F67B45">
        <w:t>en bevordering van duurzame consumptie</w:t>
      </w:r>
      <w:r w:rsidRPr="00AD7C9A" w:rsidR="003D6056">
        <w:t xml:space="preserve">. </w:t>
      </w:r>
      <w:r w:rsidRPr="00AD7C9A" w:rsidR="007D4010">
        <w:t xml:space="preserve">Tenslotte noemen we het </w:t>
      </w:r>
      <w:r w:rsidRPr="00AD7C9A" w:rsidR="005E7B3A">
        <w:t xml:space="preserve">Nationaal Groenfonds </w:t>
      </w:r>
      <w:r w:rsidRPr="00AD7C9A" w:rsidR="00292F9C">
        <w:t>wat zich richt op financiering aan projecten op het gebied van natuur, landschap, biodiversiteit en duurzame landbouw, onder andere via een investeringsfonds duurzame landbouw en een revolverend fonds.</w:t>
      </w:r>
      <w:r w:rsidRPr="00AD7C9A" w:rsidR="00292F9C">
        <w:rPr>
          <w:rStyle w:val="FootnoteReference"/>
        </w:rPr>
        <w:footnoteReference w:id="9"/>
      </w:r>
      <w:r w:rsidRPr="00AD7C9A" w:rsidR="00292F9C">
        <w:t xml:space="preserve"> </w:t>
      </w:r>
      <w:r w:rsidRPr="00AD7C9A" w:rsidR="003A3147">
        <w:t>Uit</w:t>
      </w:r>
      <w:r w:rsidRPr="00AD7C9A" w:rsidR="00E16CE0">
        <w:t xml:space="preserve"> het Investeringsfonds </w:t>
      </w:r>
      <w:r w:rsidRPr="00AD7C9A" w:rsidR="003A3147">
        <w:t>D</w:t>
      </w:r>
      <w:r w:rsidRPr="00AD7C9A" w:rsidR="00E16CE0">
        <w:t xml:space="preserve">uurzame </w:t>
      </w:r>
      <w:r w:rsidRPr="00AD7C9A" w:rsidR="003A3147">
        <w:t>L</w:t>
      </w:r>
      <w:r w:rsidRPr="00AD7C9A" w:rsidR="00E16CE0">
        <w:t xml:space="preserve">andbouw kunnen boeren </w:t>
      </w:r>
      <w:r w:rsidRPr="00AD7C9A" w:rsidR="00B030BC">
        <w:t xml:space="preserve">een </w:t>
      </w:r>
      <w:r w:rsidRPr="00AD7C9A" w:rsidR="00E16CE0">
        <w:t>lening</w:t>
      </w:r>
      <w:r w:rsidRPr="00AD7C9A" w:rsidR="00B030BC">
        <w:t xml:space="preserve"> met gunstige voorwaarden</w:t>
      </w:r>
      <w:r w:rsidRPr="00AD7C9A" w:rsidR="00E16CE0">
        <w:t xml:space="preserve"> krijgen voor </w:t>
      </w:r>
      <w:r w:rsidRPr="00AD7C9A" w:rsidR="00113F45">
        <w:t xml:space="preserve">omschakeling naar een duurzamere vorm van landbouw, die verbeteringen </w:t>
      </w:r>
      <w:r w:rsidRPr="00AD7C9A" w:rsidR="006405B6">
        <w:t>realiseren</w:t>
      </w:r>
      <w:r w:rsidRPr="00AD7C9A" w:rsidR="00113F45">
        <w:t xml:space="preserve"> op het gebied van gewasbeschermingsmiddelen en biociden, broeikasgassen, </w:t>
      </w:r>
      <w:r w:rsidRPr="00AD7C9A" w:rsidR="006405B6">
        <w:t>nitraat uitspoeling, biodiversiteit, bodem, circulaire inzet van veevoer, en diergezondheid en -welzijn.</w:t>
      </w:r>
      <w:r w:rsidRPr="00AD7C9A" w:rsidR="003A3147">
        <w:t xml:space="preserve"> </w:t>
      </w:r>
      <w:r w:rsidRPr="00AD7C9A" w:rsidR="002F30DD">
        <w:t xml:space="preserve">In het Nationaal Groenfonds </w:t>
      </w:r>
      <w:r w:rsidRPr="00AD7C9A" w:rsidR="00B22739">
        <w:t xml:space="preserve">wordt </w:t>
      </w:r>
      <w:r w:rsidRPr="00AD7C9A" w:rsidR="003C0271">
        <w:t xml:space="preserve">samengewerkt door </w:t>
      </w:r>
      <w:r w:rsidRPr="00AD7C9A" w:rsidR="00D62E65">
        <w:t xml:space="preserve">verschillende overheden en private bedrijven, waaronder de Rabobank die een hierin een eigen Rabo Transitiefonds </w:t>
      </w:r>
      <w:r w:rsidRPr="00AD7C9A" w:rsidR="00AE0E83">
        <w:t>heet ondergebracht</w:t>
      </w:r>
      <w:r w:rsidRPr="00AD7C9A" w:rsidR="00D62E65">
        <w:t>.</w:t>
      </w:r>
    </w:p>
    <w:p w:rsidRPr="00AD7C9A" w:rsidR="005D4CAF" w:rsidP="002A6096" w:rsidRDefault="00784319" w14:paraId="336F3DC2" w14:textId="44F4EAC1">
      <w:pPr>
        <w:spacing w:after="200" w:line="302" w:lineRule="auto"/>
      </w:pPr>
      <w:r w:rsidRPr="00AD7C9A">
        <w:t xml:space="preserve">Ten aanzien van de vergoedingen die boeren van overheden krijgen voor ecosysteemdiensten, is het de vraag of die voldoende zijn om hele grote groepen boeren en tuinders </w:t>
      </w:r>
      <w:r w:rsidRPr="00AD7C9A" w:rsidR="00085D89">
        <w:t xml:space="preserve">te laten verduurzamen. </w:t>
      </w:r>
      <w:r w:rsidRPr="00AD7C9A" w:rsidR="00531FC2">
        <w:t>In 2024 schreef het Nationaal Klimaat Platform daarover</w:t>
      </w:r>
      <w:r w:rsidRPr="00AD7C9A" w:rsidR="00A806CA">
        <w:t xml:space="preserve"> dat zij signalen heeft </w:t>
      </w:r>
      <w:r w:rsidRPr="00AD7C9A" w:rsidR="00CA4D60">
        <w:t>ontvangen dat</w:t>
      </w:r>
      <w:r w:rsidRPr="00AD7C9A" w:rsidR="00A806CA">
        <w:t xml:space="preserve"> de vergoeding die boeren en </w:t>
      </w:r>
      <w:r w:rsidRPr="00AD7C9A" w:rsidR="00C65B63">
        <w:t xml:space="preserve">tuinders ontvangen voor natuur- en landschapsbeheer, verbetering van de bodem- en </w:t>
      </w:r>
      <w:r w:rsidRPr="00AD7C9A" w:rsidR="00C65B63">
        <w:lastRenderedPageBreak/>
        <w:t>waterkwaliteit en waterbuffering tekort schiet</w:t>
      </w:r>
      <w:r w:rsidRPr="00AD7C9A" w:rsidR="00CA4D60">
        <w:t xml:space="preserve">, en dat </w:t>
      </w:r>
      <w:r w:rsidRPr="00AD7C9A" w:rsidR="00C65B63">
        <w:t xml:space="preserve">de looptijd </w:t>
      </w:r>
      <w:r w:rsidRPr="00AD7C9A" w:rsidR="00CA4D60">
        <w:t xml:space="preserve">voor een deel van de boeren </w:t>
      </w:r>
      <w:r w:rsidRPr="00AD7C9A" w:rsidR="00C65B63">
        <w:t xml:space="preserve">te kort </w:t>
      </w:r>
      <w:r w:rsidRPr="00AD7C9A" w:rsidR="00CA4D60">
        <w:t>is</w:t>
      </w:r>
      <w:r w:rsidRPr="00AD7C9A" w:rsidR="00C65B63">
        <w:t>.</w:t>
      </w:r>
      <w:r w:rsidRPr="00AD7C9A" w:rsidR="001F39E9">
        <w:t xml:space="preserve"> (Nationaal Klimaat Platform, 2024)</w:t>
      </w:r>
      <w:r w:rsidRPr="00AD7C9A" w:rsidR="004F5054">
        <w:t xml:space="preserve">. Het zou dus goed zijn om te onderzoeken welke kosten de verduurzamingsmaatregelen voor verschillende soorten bedrijven (ook </w:t>
      </w:r>
      <w:r w:rsidRPr="00AD7C9A" w:rsidR="00744B4F">
        <w:t>naar bedrijfsgrootte) met zich meebrengen en of de vergoedingen voldoende zijn om grote groepen boeren te laten omschakelen.</w:t>
      </w:r>
      <w:r w:rsidRPr="00AD7C9A" w:rsidR="007869BD">
        <w:t xml:space="preserve"> </w:t>
      </w:r>
    </w:p>
    <w:p w:rsidRPr="00AD7C9A" w:rsidR="006F66E4" w:rsidP="00A5656A" w:rsidRDefault="00024A37" w14:paraId="02E68197" w14:textId="23EEBE70">
      <w:pPr>
        <w:spacing w:after="200" w:line="302" w:lineRule="auto"/>
      </w:pPr>
      <w:r w:rsidRPr="00AD7C9A">
        <w:t>In het Nationaal Strategisch Plan en in het kader van het nieuwe GLB</w:t>
      </w:r>
      <w:r w:rsidRPr="00AD7C9A" w:rsidR="007869BD">
        <w:t xml:space="preserve"> </w:t>
      </w:r>
      <w:r w:rsidRPr="00AD7C9A" w:rsidR="002C0D69">
        <w:t>wordt g</w:t>
      </w:r>
      <w:r w:rsidRPr="00AD7C9A" w:rsidR="007869BD">
        <w:t xml:space="preserve">esproken </w:t>
      </w:r>
      <w:r w:rsidRPr="00AD7C9A" w:rsidR="002C0D69">
        <w:t xml:space="preserve">over doelsturing, waarbij nationale doelen </w:t>
      </w:r>
      <w:r w:rsidRPr="00AD7C9A" w:rsidR="00963F80">
        <w:t>zijn</w:t>
      </w:r>
      <w:r w:rsidRPr="00AD7C9A" w:rsidR="002C0D69">
        <w:t xml:space="preserve"> geformuleerd en </w:t>
      </w:r>
      <w:r w:rsidRPr="00AD7C9A" w:rsidR="00CC28CC">
        <w:t>vertaald in maatregelen en regelingen voor bedrijven</w:t>
      </w:r>
      <w:r w:rsidRPr="00AD7C9A" w:rsidR="002F270A">
        <w:t>.</w:t>
      </w:r>
      <w:r w:rsidRPr="00AD7C9A" w:rsidR="00CC28CC">
        <w:t xml:space="preserve"> </w:t>
      </w:r>
      <w:r w:rsidRPr="00AD7C9A" w:rsidR="00402C2E">
        <w:t xml:space="preserve">Doelen liggen op nationaal niveau maar zijn in maatregelen ook gekoppeld aan </w:t>
      </w:r>
      <w:r w:rsidRPr="00AD7C9A" w:rsidR="00302A77">
        <w:t xml:space="preserve">specifieke maatregelen van bedrijven. </w:t>
      </w:r>
      <w:r w:rsidRPr="00AD7C9A">
        <w:t>ANLb is een vorm van doelsturing</w:t>
      </w:r>
      <w:r w:rsidRPr="00AD7C9A" w:rsidR="00963F80">
        <w:t xml:space="preserve"> en ook </w:t>
      </w:r>
      <w:r w:rsidRPr="00AD7C9A" w:rsidR="00302A77">
        <w:t xml:space="preserve">het puntensysteem van </w:t>
      </w:r>
      <w:r w:rsidRPr="00AD7C9A" w:rsidR="00963F80">
        <w:t xml:space="preserve">de Eco-regeling is </w:t>
      </w:r>
      <w:r w:rsidRPr="00AD7C9A" w:rsidR="00302A77">
        <w:t>een uitvloeisel van doelsturing. Dit kan nog verder worden gekoppeld aan monitoring van duurzaamheid op bedrijfsniveau waarbij boeren en tuinders daadwerkelijk naar prestatie worden betaald.</w:t>
      </w:r>
      <w:r w:rsidRPr="00AD7C9A" w:rsidR="00963F80">
        <w:t xml:space="preserve"> </w:t>
      </w:r>
    </w:p>
    <w:p w:rsidRPr="00AD7C9A" w:rsidR="00E771AB" w:rsidP="00570184" w:rsidRDefault="00E771AB" w14:paraId="43019554" w14:textId="46C0294C">
      <w:pPr>
        <w:pStyle w:val="Heading1"/>
      </w:pPr>
      <w:bookmarkStart w:name="_Toc197544919" w:id="39"/>
      <w:r w:rsidRPr="00AD7C9A">
        <w:t>Welke stappen dienen nog te worden gezet en wat zijn alternatieve verdienmodellen?</w:t>
      </w:r>
      <w:bookmarkEnd w:id="39"/>
    </w:p>
    <w:p w:rsidRPr="00AD7C9A" w:rsidR="00C27031" w:rsidP="00E771AB" w:rsidRDefault="00C27031" w14:paraId="24307E03" w14:textId="1D880E37">
      <w:r w:rsidRPr="00AD7C9A">
        <w:t xml:space="preserve">Uit het voorgaande blijkt dat er heel veel verschillende verdienmodellen bestaan in de Nederlandse land- en tuinbouw. </w:t>
      </w:r>
      <w:r w:rsidRPr="00AD7C9A" w:rsidR="009266CE">
        <w:t xml:space="preserve">Er is geen eenduidig verdienmodel wat voor alle boeren en tuinders een gezond en duurzaam verdienmodel is. We zien </w:t>
      </w:r>
      <w:r w:rsidRPr="00AD7C9A" w:rsidR="008B5832">
        <w:t xml:space="preserve">echter </w:t>
      </w:r>
      <w:r w:rsidRPr="00AD7C9A" w:rsidR="009266CE">
        <w:t>dat</w:t>
      </w:r>
      <w:r w:rsidRPr="00AD7C9A" w:rsidR="004E4949">
        <w:t xml:space="preserve"> steeds meer boeren en tuinders gebruik maken van alternatieve verdienmodellen via bijvoorbeeld korte ketens, ANLb, of biologische productie. Desondanks </w:t>
      </w:r>
      <w:r w:rsidRPr="00AD7C9A" w:rsidR="002864EA">
        <w:t xml:space="preserve">zijn er nog veel boeren die moeite hebben om een goed inkomen te genereren. Enkele zaken die wij </w:t>
      </w:r>
      <w:r w:rsidRPr="00AD7C9A" w:rsidR="002223FC">
        <w:t>hier noemen zijn</w:t>
      </w:r>
      <w:r w:rsidRPr="00AD7C9A" w:rsidR="008B5832">
        <w:t>:</w:t>
      </w:r>
    </w:p>
    <w:p w:rsidRPr="00AD7C9A" w:rsidR="00680B61" w:rsidP="008B5832" w:rsidRDefault="00803B62" w14:paraId="4E2FB8C7" w14:textId="572C582A">
      <w:pPr>
        <w:pStyle w:val="ListParagraph"/>
        <w:numPr>
          <w:ilvl w:val="0"/>
          <w:numId w:val="14"/>
        </w:numPr>
      </w:pPr>
      <w:r w:rsidRPr="00AD7C9A">
        <w:t>Een duidelijk</w:t>
      </w:r>
      <w:r w:rsidRPr="00AD7C9A" w:rsidR="00660CA0">
        <w:t xml:space="preserve"> </w:t>
      </w:r>
      <w:r w:rsidRPr="00AD7C9A">
        <w:t xml:space="preserve">beeld van </w:t>
      </w:r>
      <w:r w:rsidRPr="00AD7C9A" w:rsidR="00F34C36">
        <w:t>de toekomst van</w:t>
      </w:r>
      <w:r w:rsidRPr="00AD7C9A">
        <w:t xml:space="preserve"> </w:t>
      </w:r>
      <w:r w:rsidRPr="00AD7C9A" w:rsidR="00660CA0">
        <w:t>de Nederlandse agrarische sector</w:t>
      </w:r>
      <w:r w:rsidRPr="00AD7C9A" w:rsidR="00F34C36">
        <w:t xml:space="preserve"> is belangrijk om richting te geven aan </w:t>
      </w:r>
      <w:r w:rsidRPr="00AD7C9A" w:rsidR="0086552D">
        <w:t>zowel overheidsbeleid als aan private initiatieven en investeringen.</w:t>
      </w:r>
      <w:r w:rsidRPr="00AD7C9A" w:rsidR="00616712">
        <w:t xml:space="preserve"> </w:t>
      </w:r>
      <w:r w:rsidRPr="00AD7C9A" w:rsidR="0060048B">
        <w:t xml:space="preserve">Het Nationaal Klimaat Platform (2024) </w:t>
      </w:r>
      <w:r w:rsidRPr="00AD7C9A" w:rsidR="00683868">
        <w:t xml:space="preserve">schrijft </w:t>
      </w:r>
      <w:r w:rsidRPr="00AD7C9A" w:rsidR="0060048B">
        <w:t>op basis van onderzoek van De Boer en Gosselink (</w:t>
      </w:r>
      <w:r w:rsidRPr="00AD7C9A" w:rsidR="00683868">
        <w:t>2024) dat er “veel meer overeenstemming bestaat dan het huidige maatschappelijke klimaat suggereert”</w:t>
      </w:r>
      <w:r w:rsidRPr="00AD7C9A" w:rsidR="0027379C">
        <w:t xml:space="preserve">. De Boer en Gosselink onderzochten visies op de </w:t>
      </w:r>
      <w:r w:rsidRPr="00AD7C9A" w:rsidR="002E4551">
        <w:t>toekomst</w:t>
      </w:r>
      <w:r w:rsidRPr="00AD7C9A" w:rsidR="0027379C">
        <w:t xml:space="preserve"> van de landbouw van verschillende </w:t>
      </w:r>
      <w:r w:rsidRPr="00AD7C9A" w:rsidR="002E4551">
        <w:t xml:space="preserve">bedrijven, belangenorganisaties, overheden en andere partijen en </w:t>
      </w:r>
      <w:r w:rsidRPr="00AD7C9A" w:rsidR="0027379C">
        <w:t>schr</w:t>
      </w:r>
      <w:r w:rsidRPr="00AD7C9A" w:rsidR="002E4551">
        <w:t>e</w:t>
      </w:r>
      <w:r w:rsidRPr="00AD7C9A" w:rsidR="0027379C">
        <w:t xml:space="preserve">ven daarover: </w:t>
      </w:r>
      <w:r w:rsidRPr="00AD7C9A" w:rsidR="002E4551">
        <w:t>“</w:t>
      </w:r>
      <w:r w:rsidRPr="00AD7C9A" w:rsidR="0027379C">
        <w:t>Alle visies benadrukken dat een gezonde (of vitale) bodem de basis is van een gezond voedselsysteem, en erkennen dat we natuurlijke hulpbronnen moeten waarborgen (schone lucht, schoon water).</w:t>
      </w:r>
      <w:r w:rsidRPr="00AD7C9A" w:rsidR="002E4551">
        <w:t xml:space="preserve">” </w:t>
      </w:r>
    </w:p>
    <w:p w:rsidRPr="00AD7C9A" w:rsidR="000D4BD1" w:rsidP="008B5832" w:rsidRDefault="004F0B35" w14:paraId="1F9F7601" w14:textId="180DE60A">
      <w:pPr>
        <w:pStyle w:val="ListParagraph"/>
        <w:numPr>
          <w:ilvl w:val="0"/>
          <w:numId w:val="14"/>
        </w:numPr>
      </w:pPr>
      <w:r w:rsidRPr="00AD7C9A">
        <w:t xml:space="preserve">De overheid dient voldoende compensatie te bieden voor bedrijven die ecosysteemdiensten aanbieden. Als </w:t>
      </w:r>
      <w:r w:rsidRPr="00AD7C9A" w:rsidR="00457142">
        <w:t>verduurzaming het doel is en de markt vergoed</w:t>
      </w:r>
      <w:r w:rsidR="00B2193A">
        <w:t>t</w:t>
      </w:r>
      <w:r w:rsidRPr="00AD7C9A" w:rsidR="00457142">
        <w:t xml:space="preserve"> verduu</w:t>
      </w:r>
      <w:r w:rsidRPr="00AD7C9A" w:rsidR="00072F4C">
        <w:t>r</w:t>
      </w:r>
      <w:r w:rsidRPr="00AD7C9A" w:rsidR="00457142">
        <w:t xml:space="preserve">zaming </w:t>
      </w:r>
      <w:r w:rsidR="00962692">
        <w:t xml:space="preserve">niet </w:t>
      </w:r>
      <w:r w:rsidRPr="00AD7C9A" w:rsidR="00072F4C">
        <w:t>in voldoende mate dan is een adequate vergoeding voor publieke diensten op zijn plaats. Het ingezette beleid van ANLb en eco-regeling</w:t>
      </w:r>
      <w:r w:rsidRPr="00AD7C9A" w:rsidR="00907CBD">
        <w:t xml:space="preserve"> lijkt te doen wat het moet doen maar kan op onderdelen wellicht nog verbeterd worden. De inzet van ANLb via collectieven zorgt voor </w:t>
      </w:r>
      <w:r w:rsidRPr="00AD7C9A" w:rsidR="00BF58EA">
        <w:t>succesvolle implementatie en kennisverspreiding.</w:t>
      </w:r>
      <w:r w:rsidRPr="00AD7C9A" w:rsidR="001075EA">
        <w:t xml:space="preserve"> </w:t>
      </w:r>
      <w:r w:rsidRPr="00AD7C9A" w:rsidR="00240F39">
        <w:t>Verdere koppeling van</w:t>
      </w:r>
      <w:r w:rsidRPr="00AD7C9A" w:rsidR="0086239B">
        <w:t xml:space="preserve"> doelsturing</w:t>
      </w:r>
      <w:r w:rsidRPr="00AD7C9A" w:rsidR="00135F35">
        <w:t xml:space="preserve"> richting bedrijven</w:t>
      </w:r>
      <w:r w:rsidRPr="00AD7C9A" w:rsidR="0086239B">
        <w:t xml:space="preserve"> </w:t>
      </w:r>
      <w:r w:rsidRPr="00AD7C9A" w:rsidR="00240F39">
        <w:t xml:space="preserve">aan prestatie indicatoren </w:t>
      </w:r>
      <w:r w:rsidRPr="00AD7C9A" w:rsidR="0086239B">
        <w:t>is daarbij een optie</w:t>
      </w:r>
      <w:r w:rsidRPr="00AD7C9A" w:rsidR="00302A77">
        <w:t xml:space="preserve"> om </w:t>
      </w:r>
      <w:r w:rsidRPr="00AD7C9A" w:rsidR="00135F35">
        <w:t>boeren een effectieve prikkel te geven om verder te verduurzamen</w:t>
      </w:r>
      <w:r w:rsidRPr="00AD7C9A" w:rsidR="0086239B">
        <w:t>.</w:t>
      </w:r>
    </w:p>
    <w:p w:rsidR="00D16E2B" w:rsidP="00F400AE" w:rsidRDefault="00BF58EA" w14:paraId="5C2F2239" w14:textId="6C7B5E80">
      <w:pPr>
        <w:pStyle w:val="ListParagraph"/>
        <w:numPr>
          <w:ilvl w:val="0"/>
          <w:numId w:val="14"/>
        </w:numPr>
      </w:pPr>
      <w:r w:rsidRPr="00AD7C9A">
        <w:t>De bedrijvendynamiek in de sector is beperkt door verschillende belemmeringen op het gebied van groei</w:t>
      </w:r>
      <w:r w:rsidRPr="00AD7C9A" w:rsidR="00310180">
        <w:t>,</w:t>
      </w:r>
      <w:r w:rsidRPr="00AD7C9A">
        <w:t xml:space="preserve"> overname</w:t>
      </w:r>
      <w:r w:rsidRPr="00AD7C9A" w:rsidR="00310180">
        <w:t xml:space="preserve">, en stoppen. Groei is beperkt door vergunningsprocedures en financiering, terwijl bedrijven die willen stoppen op dit moment ook beperkt worden door onzekerheid in regelingen. </w:t>
      </w:r>
      <w:r w:rsidRPr="00AD7C9A" w:rsidR="00C601D9">
        <w:t xml:space="preserve">Bedrijfsgroei in combinatie met verduurzaming en extensivering kan voor veel bedrijven een toekomstbestendig verdienmodel opleveren maar </w:t>
      </w:r>
      <w:r w:rsidRPr="00AD7C9A" w:rsidR="001075EA">
        <w:t>is op dit moment niet gemakkelijk.</w:t>
      </w:r>
      <w:r w:rsidRPr="00AD7C9A" w:rsidR="00EA524F">
        <w:t xml:space="preserve"> </w:t>
      </w:r>
      <w:r w:rsidRPr="00AD7C9A" w:rsidR="00421FB6">
        <w:t>Tegelijkertijd kunnen ondernemers die wel willen stoppen met goede regelingen worden geholpen en daarmee ruimte maken voor andere ondernemers.</w:t>
      </w:r>
    </w:p>
    <w:p w:rsidR="00E771AB" w:rsidP="009E3939" w:rsidRDefault="00961C19" w14:paraId="0EAC411E" w14:textId="3554C356">
      <w:pPr>
        <w:pStyle w:val="ListParagraph"/>
        <w:numPr>
          <w:ilvl w:val="0"/>
          <w:numId w:val="14"/>
        </w:numPr>
      </w:pPr>
      <w:r>
        <w:t>Transparantie kan verduurzaming op verschillende manieren</w:t>
      </w:r>
      <w:r w:rsidRPr="006551C5" w:rsidR="006551C5">
        <w:t xml:space="preserve"> </w:t>
      </w:r>
      <w:r w:rsidR="006551C5">
        <w:t>bevorderen</w:t>
      </w:r>
      <w:r>
        <w:t xml:space="preserve">. </w:t>
      </w:r>
      <w:r w:rsidR="00440A83">
        <w:t>Transparantie kan duurzaamheidsprestaties zichtbaar maken en daarmee ook de positie van goed presterende bedrijven in de keten verbeteren. Transparantie over de kosten van verduurzamingsmaatregelen geeft boeren de mogelijkhe</w:t>
      </w:r>
      <w:r w:rsidR="0076410E">
        <w:t>i</w:t>
      </w:r>
      <w:r w:rsidR="00440A83">
        <w:t>d om aan afnemers</w:t>
      </w:r>
      <w:r w:rsidR="00184424">
        <w:t xml:space="preserve"> en overheden</w:t>
      </w:r>
      <w:r w:rsidR="00440A83">
        <w:t xml:space="preserve"> een vergoeding te </w:t>
      </w:r>
      <w:r w:rsidR="0076410E">
        <w:t>vragen</w:t>
      </w:r>
      <w:r w:rsidR="00184424">
        <w:t xml:space="preserve"> voor duurzaamheidsmaatregelen</w:t>
      </w:r>
      <w:r w:rsidR="0076410E">
        <w:t xml:space="preserve">. Transparantie kan ook consumenten </w:t>
      </w:r>
      <w:r w:rsidR="00B851A7">
        <w:t>stimuleren om voor duurzame producten te kiezen en daardoor de marktvraag vergroten. Tenslotte kan transparantie van kosten en opbrengsten bewustwording creëren in de hele keten en daarmee de samenwerking en het gevoel van eerlijkheid bij boeren en ketenpartijen versterken.</w:t>
      </w:r>
    </w:p>
    <w:p w:rsidRPr="00AD7C9A" w:rsidR="00A5656A" w:rsidP="00A5656A" w:rsidRDefault="00A5656A" w14:paraId="72F8746C" w14:textId="77777777"/>
    <w:p w:rsidRPr="00AD7C9A" w:rsidR="00E771AB" w:rsidP="00570184" w:rsidRDefault="00E771AB" w14:paraId="2C6D19C9" w14:textId="729EC2FC">
      <w:pPr>
        <w:pStyle w:val="Heading1"/>
      </w:pPr>
      <w:bookmarkStart w:name="_Toc197544920" w:id="40"/>
      <w:r w:rsidRPr="00AD7C9A">
        <w:lastRenderedPageBreak/>
        <w:t>Wat heeft het bedrijfsleven van de overheid nodig om die stappen te zetten?</w:t>
      </w:r>
      <w:bookmarkEnd w:id="40"/>
    </w:p>
    <w:p w:rsidRPr="00AD7C9A" w:rsidR="00FF1DA4" w:rsidP="00FF1DA4" w:rsidRDefault="00840DBE" w14:paraId="74014458" w14:textId="77777777">
      <w:r w:rsidRPr="00AD7C9A">
        <w:t>Een aantal randvoorwaarden is al voorbij gekomen</w:t>
      </w:r>
      <w:r w:rsidRPr="00AD7C9A" w:rsidR="00FF1DA4">
        <w:t>. We maken hieronder een korte opsomming van enkele punten die volgens ons belangrijk zijn:</w:t>
      </w:r>
    </w:p>
    <w:p w:rsidRPr="00AD7C9A" w:rsidR="00625373" w:rsidP="00FF1DA4" w:rsidRDefault="00625373" w14:paraId="4070288D" w14:textId="0704B46B">
      <w:pPr>
        <w:pStyle w:val="ListParagraph"/>
        <w:numPr>
          <w:ilvl w:val="0"/>
          <w:numId w:val="38"/>
        </w:numPr>
      </w:pPr>
      <w:r w:rsidRPr="00AD7C9A">
        <w:t>Een stabiel beleid is belangrijk om g</w:t>
      </w:r>
      <w:r w:rsidRPr="00AD7C9A" w:rsidR="001A5A03">
        <w:t xml:space="preserve">enoeg zekerheid aan bedrijven te bieden om investeringen voor de langere termijn te doen. </w:t>
      </w:r>
      <w:r w:rsidRPr="00AD7C9A" w:rsidR="007B16D8">
        <w:t xml:space="preserve">Boeren moeten er zeker van zijn dat </w:t>
      </w:r>
      <w:r w:rsidRPr="00AD7C9A" w:rsidR="00E95F43">
        <w:t xml:space="preserve">duurzaamheidsmaatregelen ook in de toekomst ondersteunt worden en dat de overheid bereid is om </w:t>
      </w:r>
      <w:r w:rsidRPr="00AD7C9A" w:rsidR="00605939">
        <w:t xml:space="preserve">de omslag naar een duurzaam verdienmodel </w:t>
      </w:r>
      <w:r w:rsidRPr="00AD7C9A" w:rsidR="004C3FB0">
        <w:t>blijvend te ondersteunen.</w:t>
      </w:r>
      <w:r w:rsidRPr="00AD7C9A" w:rsidR="001A5A03">
        <w:t xml:space="preserve"> </w:t>
      </w:r>
    </w:p>
    <w:p w:rsidRPr="00AD7C9A" w:rsidR="00502528" w:rsidP="00FF1DA4" w:rsidRDefault="00FF1DA4" w14:paraId="0928E0B8" w14:textId="77A64348">
      <w:pPr>
        <w:pStyle w:val="ListParagraph"/>
        <w:numPr>
          <w:ilvl w:val="0"/>
          <w:numId w:val="38"/>
        </w:numPr>
      </w:pPr>
      <w:r w:rsidRPr="00AD7C9A">
        <w:t xml:space="preserve">Een gelijk speelveld in Europa en </w:t>
      </w:r>
      <w:r w:rsidRPr="00AD7C9A" w:rsidR="00D729B1">
        <w:t xml:space="preserve">met de rest van de wereld is belangrijk. Als we willen verduurzamen met behoud van de agrarische sector in Nederland dan zullen we </w:t>
      </w:r>
      <w:r w:rsidRPr="00AD7C9A" w:rsidR="0059153C">
        <w:t xml:space="preserve">ervoor moeten zorgen dat boeren en tuinders in Nederland stappen kunnen zetten zonder weggeconcurreerd te worden door </w:t>
      </w:r>
      <w:r w:rsidRPr="00AD7C9A" w:rsidR="00164B19">
        <w:t xml:space="preserve">andere aanbieders. Het is daarom belangrijk te werken naar verduurzaming in heel Europa en te bekijken in hoeverre concurrentie van buiten de EU ook </w:t>
      </w:r>
      <w:r w:rsidRPr="00AD7C9A" w:rsidR="008521DD">
        <w:t xml:space="preserve">verleid of gedwongen kan worden om deze stappen mee te maken. </w:t>
      </w:r>
    </w:p>
    <w:p w:rsidRPr="00AD7C9A" w:rsidR="00026AA6" w:rsidP="00FF1DA4" w:rsidRDefault="00992842" w14:paraId="5E31E830" w14:textId="77777777">
      <w:pPr>
        <w:pStyle w:val="ListParagraph"/>
        <w:numPr>
          <w:ilvl w:val="0"/>
          <w:numId w:val="38"/>
        </w:numPr>
      </w:pPr>
      <w:r w:rsidRPr="00AD7C9A">
        <w:t>Opruimen van tegenstrijdige regels</w:t>
      </w:r>
      <w:r w:rsidRPr="00AD7C9A" w:rsidR="004C3FB0">
        <w:t xml:space="preserve">. Uit verschillende onderzoeken blijkt dat regeldruk en tegenstrijdige regels belastend en belemmerend werken voor ondernemers in de land- en tuinbouw. Verduurzaming </w:t>
      </w:r>
      <w:r w:rsidRPr="00AD7C9A" w:rsidR="002E4725">
        <w:t xml:space="preserve">moet worden gestimuleerd door deze belemmeringen weg te nemen en waar nodig maatwerk te leveren om </w:t>
      </w:r>
      <w:r w:rsidRPr="00AD7C9A" w:rsidR="00026AA6">
        <w:t>boeren in staat te stellen om een gezond verdienmodel in combinatie met verduurzaming te realiseren.</w:t>
      </w:r>
    </w:p>
    <w:p w:rsidR="00992842" w:rsidP="00FF1DA4" w:rsidRDefault="009B5701" w14:paraId="547BF7FA" w14:textId="0EA57208">
      <w:pPr>
        <w:pStyle w:val="ListParagraph"/>
        <w:numPr>
          <w:ilvl w:val="0"/>
          <w:numId w:val="38"/>
        </w:numPr>
      </w:pPr>
      <w:r w:rsidRPr="00AD7C9A">
        <w:t>Hulp bij stoppen en verplaatsen</w:t>
      </w:r>
      <w:r w:rsidRPr="00AD7C9A" w:rsidR="009746AD">
        <w:t xml:space="preserve"> van bedrijven blijft een belangrijke maatregel om</w:t>
      </w:r>
      <w:r w:rsidRPr="00AD7C9A" w:rsidR="002223FC">
        <w:t xml:space="preserve"> de milieubelasting door stikstof te verlagen in natuurgebieden en daarmee ruimte te creëren voor andere ondernemers die daardoor wel weer kunnen groeien.</w:t>
      </w:r>
    </w:p>
    <w:p w:rsidRPr="00AD7C9A" w:rsidR="0014377B" w:rsidP="00445188" w:rsidRDefault="0014377B" w14:paraId="73B97217" w14:textId="77777777"/>
    <w:p w:rsidRPr="00AD7C9A" w:rsidR="004D250A" w:rsidP="00740B1E" w:rsidRDefault="00740B1E" w14:paraId="6782601B" w14:textId="3A5A7134">
      <w:pPr>
        <w:pStyle w:val="Heading1"/>
      </w:pPr>
      <w:bookmarkStart w:name="_Toc197544921" w:id="41"/>
      <w:r w:rsidRPr="00AD7C9A">
        <w:t>Literatuur</w:t>
      </w:r>
      <w:bookmarkEnd w:id="41"/>
    </w:p>
    <w:p w:rsidRPr="00AD7C9A" w:rsidR="00F24A37" w:rsidP="00073790" w:rsidRDefault="00F24A37" w14:paraId="3C73F192" w14:textId="688B9C7D">
      <w:pPr>
        <w:pStyle w:val="ListParagraph"/>
        <w:ind w:left="0"/>
      </w:pPr>
      <w:r w:rsidRPr="00AD7C9A">
        <w:t>De Boer, I</w:t>
      </w:r>
      <w:r w:rsidRPr="00AD7C9A" w:rsidR="001855A3">
        <w:t>.</w:t>
      </w:r>
      <w:r w:rsidRPr="00AD7C9A">
        <w:t xml:space="preserve"> en K. Gosselink (2024). Wat we gemeen hebben Een analyse van voedselvisies in het veld</w:t>
      </w:r>
      <w:r w:rsidRPr="00AD7C9A" w:rsidR="008B535D">
        <w:t xml:space="preserve">. </w:t>
      </w:r>
      <w:r w:rsidRPr="00AD7C9A" w:rsidR="001855A3">
        <w:t xml:space="preserve">Ip opdracht van </w:t>
      </w:r>
      <w:r w:rsidRPr="00AD7C9A" w:rsidR="008B535D">
        <w:t>Food Hub</w:t>
      </w:r>
      <w:proofErr w:type="gramStart"/>
      <w:r w:rsidRPr="00AD7C9A" w:rsidR="008B535D">
        <w:t>, .</w:t>
      </w:r>
      <w:proofErr w:type="gramEnd"/>
      <w:r w:rsidRPr="00AD7C9A" w:rsidR="008B535D">
        <w:t xml:space="preserve"> September 2024</w:t>
      </w:r>
    </w:p>
    <w:p w:rsidRPr="00AD7C9A" w:rsidR="00F24A37" w:rsidP="00073790" w:rsidRDefault="00F24A37" w14:paraId="6E4BA91A" w14:textId="77777777">
      <w:pPr>
        <w:pStyle w:val="ListParagraph"/>
        <w:ind w:left="0"/>
      </w:pPr>
    </w:p>
    <w:p w:rsidRPr="00AD7C9A" w:rsidR="000E1BD1" w:rsidP="00073790" w:rsidRDefault="006F779B" w14:paraId="13503F1A" w14:textId="703706A3">
      <w:pPr>
        <w:pStyle w:val="ListParagraph"/>
        <w:ind w:left="0"/>
        <w:rPr>
          <w:lang w:val="en-US"/>
        </w:rPr>
      </w:pPr>
      <w:r>
        <w:t>D</w:t>
      </w:r>
      <w:r w:rsidRPr="00AD7C9A" w:rsidR="000E1BD1">
        <w:t xml:space="preserve">e Lauwere, C., Rijswijk, K., Wattel, C., &amp; Jellema, A. (2024). Adviseurs over verduurzaming in de melkveehouderij: Resultaten van 14 diepte-interviews met verschillende typen adviseurs. </w:t>
      </w:r>
      <w:r w:rsidRPr="00AD7C9A" w:rsidR="000E1BD1">
        <w:rPr>
          <w:lang w:val="en-US"/>
        </w:rPr>
        <w:t>(Rapport / Wageningen Economic Research; No. 2024-086). Wageningen Economic Research. </w:t>
      </w:r>
      <w:hyperlink w:history="1" r:id="rId23">
        <w:r w:rsidRPr="00AD7C9A" w:rsidR="000E1BD1">
          <w:rPr>
            <w:rStyle w:val="Hyperlink"/>
            <w:lang w:val="en-US"/>
          </w:rPr>
          <w:t>https://doi.org/10.18174/679420</w:t>
        </w:r>
      </w:hyperlink>
    </w:p>
    <w:p w:rsidRPr="00962692" w:rsidR="000E1BD1" w:rsidP="00073790" w:rsidRDefault="000E1BD1" w14:paraId="3A28C321" w14:textId="77777777">
      <w:pPr>
        <w:pStyle w:val="ListParagraph"/>
        <w:ind w:left="0"/>
        <w:rPr>
          <w:lang w:val="en-US"/>
        </w:rPr>
      </w:pPr>
    </w:p>
    <w:p w:rsidR="00381F77" w:rsidP="00073790" w:rsidRDefault="00381F77" w14:paraId="61F85146" w14:textId="1CF0B397">
      <w:pPr>
        <w:pStyle w:val="ListParagraph"/>
        <w:ind w:left="0"/>
      </w:pPr>
      <w:r w:rsidRPr="00381F77">
        <w:t xml:space="preserve">Jongeneel, R. A. (2020). Verdienmodellen: actualiteit, theorie, praktijken en beleid. Wageningen Economic Research. </w:t>
      </w:r>
      <w:hyperlink w:history="1" r:id="rId24">
        <w:r w:rsidRPr="001D7881">
          <w:rPr>
            <w:rStyle w:val="Hyperlink"/>
          </w:rPr>
          <w:t>https://edepot.wur.nl/530231</w:t>
        </w:r>
      </w:hyperlink>
      <w:r>
        <w:t xml:space="preserve"> </w:t>
      </w:r>
    </w:p>
    <w:p w:rsidRPr="00AD7C9A" w:rsidR="00381F77" w:rsidP="00073790" w:rsidRDefault="00381F77" w14:paraId="1A5F8EA0" w14:textId="77777777">
      <w:pPr>
        <w:pStyle w:val="ListParagraph"/>
        <w:ind w:left="0"/>
      </w:pPr>
    </w:p>
    <w:p w:rsidRPr="00AD7C9A" w:rsidR="001F39E9" w:rsidP="00073790" w:rsidRDefault="001F39E9" w14:paraId="6DC83EDF" w14:textId="52ED13E9">
      <w:pPr>
        <w:pStyle w:val="ListParagraph"/>
        <w:ind w:left="0"/>
      </w:pPr>
      <w:r w:rsidRPr="00AD7C9A">
        <w:t>Nationaal Klimaat Platform (2024).</w:t>
      </w:r>
      <w:r w:rsidRPr="00AD7C9A" w:rsidR="001877A9">
        <w:t xml:space="preserve"> 4e Signalenrapport Nationaal Klimaat Platform Een duurzame basis voor bestaanszekerheid van boeren en tuinders. 19 november 2024. </w:t>
      </w:r>
      <w:hyperlink w:history="1" r:id="rId25">
        <w:r w:rsidRPr="00AD7C9A">
          <w:rPr>
            <w:rStyle w:val="Hyperlink"/>
          </w:rPr>
          <w:t>4e Signalenrapport Landbouw en voeding incl. brief - dec 2024 Nationaal Klimaat Platform.pdf</w:t>
        </w:r>
      </w:hyperlink>
      <w:r w:rsidRPr="00AD7C9A">
        <w:t xml:space="preserve"> </w:t>
      </w:r>
    </w:p>
    <w:p w:rsidRPr="00AD7C9A" w:rsidR="001F39E9" w:rsidP="00073790" w:rsidRDefault="001F39E9" w14:paraId="26A7D5C4" w14:textId="77777777">
      <w:pPr>
        <w:pStyle w:val="ListParagraph"/>
        <w:ind w:left="0"/>
      </w:pPr>
    </w:p>
    <w:p w:rsidRPr="00AD7C9A" w:rsidR="000E1BD1" w:rsidP="00073790" w:rsidRDefault="000E1BD1" w14:paraId="181672F4" w14:textId="6146D688">
      <w:pPr>
        <w:pStyle w:val="ListParagraph"/>
        <w:ind w:left="0"/>
        <w:rPr>
          <w:lang w:val="en-US"/>
        </w:rPr>
      </w:pPr>
      <w:r w:rsidRPr="00AD7C9A">
        <w:t xml:space="preserve">Smits, M.-J., Dawson, A., &amp; Schrijver, R. (2024). Verdienmodellen voor natuurinclusieve landbouw: Stand van zaken en hoe nu verder. </w:t>
      </w:r>
      <w:r w:rsidRPr="00AD7C9A">
        <w:rPr>
          <w:lang w:val="en-US"/>
        </w:rPr>
        <w:t>(Rapport / Wageningen Plant Research, Business unit Open Teelten; No. WPR-OT-1063). Wageningen Plant Research. </w:t>
      </w:r>
      <w:hyperlink w:history="1" r:id="rId26">
        <w:r w:rsidRPr="00AD7C9A">
          <w:rPr>
            <w:rStyle w:val="Hyperlink"/>
            <w:lang w:val="en-US"/>
          </w:rPr>
          <w:t>https://doi.org/10.18174/646208</w:t>
        </w:r>
      </w:hyperlink>
    </w:p>
    <w:p w:rsidRPr="00AD7C9A" w:rsidR="000E1BD1" w:rsidP="00073790" w:rsidRDefault="000E1BD1" w14:paraId="4E0E7BEA" w14:textId="77777777">
      <w:pPr>
        <w:pStyle w:val="ListParagraph"/>
        <w:ind w:left="0"/>
        <w:rPr>
          <w:lang w:val="en-US"/>
        </w:rPr>
      </w:pPr>
    </w:p>
    <w:p w:rsidRPr="00AD7C9A" w:rsidR="000E1BD1" w:rsidP="00073790" w:rsidRDefault="000E1BD1" w14:paraId="3044C3B2" w14:textId="3B41BAAA">
      <w:pPr>
        <w:pStyle w:val="ListParagraph"/>
        <w:ind w:left="0"/>
        <w:rPr>
          <w:lang w:val="en-US"/>
        </w:rPr>
      </w:pPr>
      <w:r w:rsidRPr="00AD7C9A">
        <w:rPr>
          <w:lang w:val="en-US"/>
        </w:rPr>
        <w:t xml:space="preserve">SMK (2025), Impactrapportage 2025. Vertrekpunt naar 2030: Impact van </w:t>
      </w:r>
      <w:proofErr w:type="gramStart"/>
      <w:r w:rsidRPr="00AD7C9A">
        <w:rPr>
          <w:lang w:val="en-US"/>
        </w:rPr>
        <w:t>On</w:t>
      </w:r>
      <w:proofErr w:type="gramEnd"/>
      <w:r w:rsidRPr="00AD7C9A">
        <w:rPr>
          <w:lang w:val="en-US"/>
        </w:rPr>
        <w:t xml:space="preserve"> the way to PlanetProof Plantaardige Producten. </w:t>
      </w:r>
      <w:hyperlink w:history="1" r:id="rId27">
        <w:r w:rsidRPr="00AD7C9A">
          <w:rPr>
            <w:rStyle w:val="Hyperlink"/>
            <w:lang w:val="en-US"/>
          </w:rPr>
          <w:t>https://www.smk.nl/wp-content/uploads/2025/02/Impact-rapportage_Plantaardig_OTWTP_SMK_2025.pdf</w:t>
        </w:r>
      </w:hyperlink>
      <w:r w:rsidRPr="00AD7C9A">
        <w:rPr>
          <w:lang w:val="en-US"/>
        </w:rPr>
        <w:t xml:space="preserve"> </w:t>
      </w:r>
    </w:p>
    <w:p w:rsidRPr="00AD7C9A" w:rsidR="000E1BD1" w:rsidP="00073790" w:rsidRDefault="000E1BD1" w14:paraId="59146153" w14:textId="77777777">
      <w:pPr>
        <w:pStyle w:val="ListParagraph"/>
        <w:ind w:left="0"/>
      </w:pPr>
      <w:r w:rsidRPr="00AD7C9A">
        <w:t>Taskforce Verdienvermogen Kringlooplandbouw (2019). Goed boeren kunnen boeren niet alleen; Je kunt niet groen doen als je rood staat; Verdienvermogen essentiële voorwaarde voor kringlooplandbouw. Oktober 2019.</w:t>
      </w:r>
    </w:p>
    <w:p w:rsidRPr="00AD7C9A" w:rsidR="000E1BD1" w:rsidP="00073790" w:rsidRDefault="000E1BD1" w14:paraId="04B5C422" w14:textId="77777777">
      <w:pPr>
        <w:pStyle w:val="ListParagraph"/>
        <w:ind w:left="0"/>
      </w:pPr>
    </w:p>
    <w:p w:rsidRPr="00AD7C9A" w:rsidR="000E1BD1" w:rsidP="00073790" w:rsidRDefault="00B2049A" w14:paraId="4226D176" w14:textId="167F4DA3">
      <w:pPr>
        <w:pStyle w:val="ListParagraph"/>
        <w:ind w:left="0"/>
        <w:rPr>
          <w:lang w:val="en-US"/>
        </w:rPr>
      </w:pPr>
      <w:r>
        <w:t>V</w:t>
      </w:r>
      <w:r w:rsidRPr="00AD7C9A" w:rsidR="000E1BD1">
        <w:t xml:space="preserve">an Galen, M., Baltussen, W., Benus, M., Gardebroek, K., Herceglić, N., Hoste, R., Ihle, R., Jager, J., Janssens, B., Jukema, G., Kornelis, M., Kunz, M., Logatcheva, K., Oosterkamp, E., Roskam, J., Silvis, H., </w:t>
      </w:r>
      <w:r w:rsidRPr="00AD7C9A" w:rsidR="000E1BD1">
        <w:lastRenderedPageBreak/>
        <w:t xml:space="preserve">&amp; Stokkers, R. (2021). Agro-Nutri Monitor 2021 - Hoofdrapport: Monitor prijsvorming voedingsmiddelen en analyse belemmeringen voor verduurzaming. </w:t>
      </w:r>
      <w:r w:rsidRPr="00AD7C9A" w:rsidR="000E1BD1">
        <w:rPr>
          <w:lang w:val="en-US"/>
        </w:rPr>
        <w:t>(Rapport / Wageningen Economic Research; No. 2021-082). Wageningen Economic Research. </w:t>
      </w:r>
      <w:hyperlink w:history="1" r:id="rId28">
        <w:r w:rsidRPr="00AD7C9A" w:rsidR="000E1BD1">
          <w:rPr>
            <w:rStyle w:val="Hyperlink"/>
            <w:lang w:val="en-US"/>
          </w:rPr>
          <w:t>https://doi.org/10.18174/549531</w:t>
        </w:r>
      </w:hyperlink>
    </w:p>
    <w:p w:rsidRPr="00AD7C9A" w:rsidR="000E1BD1" w:rsidP="00073790" w:rsidRDefault="000E1BD1" w14:paraId="234E55FE" w14:textId="77777777">
      <w:pPr>
        <w:pStyle w:val="ListParagraph"/>
        <w:ind w:left="0"/>
        <w:rPr>
          <w:lang w:val="en-US"/>
        </w:rPr>
      </w:pPr>
    </w:p>
    <w:p w:rsidRPr="00AD7C9A" w:rsidR="000E1BD1" w:rsidP="00073790" w:rsidRDefault="00B2049A" w14:paraId="663E73D5" w14:textId="1701C101">
      <w:pPr>
        <w:pStyle w:val="ListParagraph"/>
        <w:ind w:left="0"/>
        <w:rPr>
          <w:lang w:val="en-US"/>
        </w:rPr>
      </w:pPr>
      <w:r>
        <w:t>V</w:t>
      </w:r>
      <w:r w:rsidRPr="00AD7C9A" w:rsidR="000E1BD1">
        <w:t xml:space="preserve">an Galen, M., Baltussen, W., Gardebroek, K., Herceglić, N., Hoste, R., Ihle, R., Jager, J., Janssens, B., Jukema, G., Kornelis, M., Logatcheva, K., Oosterkamp, E., Roskam, J., Silvis, H., &amp; Stokkers, R. (2020). Agro-Nutri Monitor 2020: Monitor prijsvorming voedingsmiddelen en analyse belemmeringen voor verduurzaming. </w:t>
      </w:r>
      <w:r w:rsidRPr="00AD7C9A" w:rsidR="000E1BD1">
        <w:rPr>
          <w:lang w:val="en-US"/>
        </w:rPr>
        <w:t>(Rapport / Wageningen Economic Research; No. 2020-014). Wageningen Economic Research. </w:t>
      </w:r>
      <w:hyperlink w:history="1" r:id="rId29">
        <w:r w:rsidRPr="00AD7C9A" w:rsidR="000E1BD1">
          <w:rPr>
            <w:rStyle w:val="Hyperlink"/>
            <w:lang w:val="en-US"/>
          </w:rPr>
          <w:t>https://doi.org/10.18174/528928</w:t>
        </w:r>
      </w:hyperlink>
    </w:p>
    <w:p w:rsidRPr="00AD7C9A" w:rsidR="000E1BD1" w:rsidP="00073790" w:rsidRDefault="000E1BD1" w14:paraId="0129A4C2" w14:textId="77777777">
      <w:pPr>
        <w:pStyle w:val="ListParagraph"/>
        <w:ind w:left="0"/>
        <w:rPr>
          <w:lang w:val="en-US"/>
        </w:rPr>
      </w:pPr>
    </w:p>
    <w:p w:rsidRPr="00AD7C9A" w:rsidR="000E1BD1" w:rsidP="00073790" w:rsidRDefault="00B2049A" w14:paraId="04EE95AA" w14:textId="34978900">
      <w:pPr>
        <w:pStyle w:val="ListParagraph"/>
        <w:ind w:left="0"/>
        <w:rPr>
          <w:lang w:val="en-US"/>
        </w:rPr>
      </w:pPr>
      <w:r>
        <w:t>V</w:t>
      </w:r>
      <w:r w:rsidRPr="00AD7C9A" w:rsidR="000E1BD1">
        <w:t xml:space="preserve">an Galen, M., Oosterkamp, E., Kornelis, M., Logatcheva, K., Benus, M., Janssens, B., Jukema, G., Roskam, J., van den Puttelaar, J., Herceglić, N., Jager, J., Ihle, R., &amp; Gardebroek, K. (2022). Agro-Nutri Monitor 2022 - Hoofdrapport: Monitor prijsvorming voedingsmiddelen en aankoopmotieven van biologische producten. </w:t>
      </w:r>
      <w:r w:rsidRPr="00AD7C9A" w:rsidR="000E1BD1">
        <w:rPr>
          <w:lang w:val="en-US"/>
        </w:rPr>
        <w:t>(Wageningen Economic Research rapport; No. 2022-069). Wageningen Economic Research. </w:t>
      </w:r>
      <w:hyperlink w:history="1" r:id="rId30">
        <w:r w:rsidRPr="00AD7C9A" w:rsidR="000E1BD1">
          <w:rPr>
            <w:rStyle w:val="Hyperlink"/>
            <w:lang w:val="en-US"/>
          </w:rPr>
          <w:t>https://doi.org/10.18174/572860</w:t>
        </w:r>
      </w:hyperlink>
    </w:p>
    <w:p w:rsidRPr="00AD7C9A" w:rsidR="004847B8" w:rsidP="00503E97" w:rsidRDefault="004847B8" w14:paraId="04741FD0" w14:textId="77777777">
      <w:pPr>
        <w:rPr>
          <w:lang w:val="en-US"/>
        </w:rPr>
      </w:pPr>
    </w:p>
    <w:p w:rsidRPr="00AD7C9A" w:rsidR="00503E97" w:rsidP="00503E97" w:rsidRDefault="00503E97" w14:paraId="40537347" w14:textId="77777777">
      <w:pPr>
        <w:rPr>
          <w:lang w:val="en-US"/>
        </w:rPr>
      </w:pPr>
    </w:p>
    <w:sectPr w:rsidRPr="00AD7C9A" w:rsidR="00503E97" w:rsidSect="00C80D3C">
      <w:headerReference w:type="first" r:id="rId31"/>
      <w:footerReference w:type="first" r:id="rId32"/>
      <w:type w:val="oddPage"/>
      <w:pgSz w:w="11906" w:h="16838" w:code="9"/>
      <w:pgMar w:top="1758" w:right="851" w:bottom="754" w:left="1985" w:header="805"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830D" w14:textId="77777777" w:rsidR="00F37BB2" w:rsidRDefault="00F37BB2">
      <w:r>
        <w:separator/>
      </w:r>
    </w:p>
  </w:endnote>
  <w:endnote w:type="continuationSeparator" w:id="0">
    <w:p w14:paraId="4C519B1E" w14:textId="77777777" w:rsidR="00F37BB2" w:rsidRDefault="00F3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2" w:type="dxa"/>
      <w:tblLayout w:type="fixed"/>
      <w:tblCellMar>
        <w:left w:w="0" w:type="dxa"/>
        <w:right w:w="0" w:type="dxa"/>
      </w:tblCellMar>
      <w:tblLook w:val="01E0" w:firstRow="1" w:lastRow="1" w:firstColumn="1" w:lastColumn="1" w:noHBand="0" w:noVBand="0"/>
    </w:tblPr>
    <w:tblGrid>
      <w:gridCol w:w="7654"/>
      <w:gridCol w:w="1588"/>
    </w:tblGrid>
    <w:tr w:rsidR="00BC4B3C" w14:paraId="6776F724" w14:textId="77777777" w:rsidTr="00314CB6">
      <w:tc>
        <w:tcPr>
          <w:tcW w:w="7654" w:type="dxa"/>
          <w:shd w:val="clear" w:color="auto" w:fill="auto"/>
        </w:tcPr>
        <w:tbl>
          <w:tblPr>
            <w:tblW w:w="9242" w:type="dxa"/>
            <w:tblLayout w:type="fixed"/>
            <w:tblCellMar>
              <w:left w:w="0" w:type="dxa"/>
              <w:right w:w="0" w:type="dxa"/>
            </w:tblCellMar>
            <w:tblLook w:val="01E0" w:firstRow="1" w:lastRow="1" w:firstColumn="1" w:lastColumn="1" w:noHBand="0" w:noVBand="0"/>
          </w:tblPr>
          <w:tblGrid>
            <w:gridCol w:w="7654"/>
            <w:gridCol w:w="1588"/>
          </w:tblGrid>
          <w:tr w:rsidR="00BC4B3C" w14:paraId="12C127D0" w14:textId="77777777" w:rsidTr="00314CB6">
            <w:tc>
              <w:tcPr>
                <w:tcW w:w="7655" w:type="dxa"/>
                <w:shd w:val="clear" w:color="auto" w:fill="auto"/>
              </w:tcPr>
              <w:p w14:paraId="5E44A8FD" w14:textId="77777777" w:rsidR="00BC4B3C" w:rsidRDefault="00BC4B3C" w:rsidP="00030C13">
                <w:pPr>
                  <w:pStyle w:val="doCol"/>
                </w:pPr>
              </w:p>
            </w:tc>
            <w:tc>
              <w:tcPr>
                <w:tcW w:w="1588" w:type="dxa"/>
                <w:shd w:val="clear" w:color="auto" w:fill="auto"/>
              </w:tcPr>
              <w:p w14:paraId="0B13D438" w14:textId="77777777" w:rsidR="00BC4B3C" w:rsidRDefault="00BC4B3C" w:rsidP="00030C13">
                <w:pPr>
                  <w:pStyle w:val="doCol"/>
                </w:pPr>
              </w:p>
            </w:tc>
          </w:tr>
        </w:tbl>
        <w:p w14:paraId="17210446" w14:textId="77777777" w:rsidR="00BC4B3C" w:rsidRDefault="00BC4B3C" w:rsidP="00030C13">
          <w:pPr>
            <w:pStyle w:val="doCol"/>
          </w:pPr>
        </w:p>
      </w:tc>
      <w:tc>
        <w:tcPr>
          <w:tcW w:w="1588" w:type="dxa"/>
          <w:shd w:val="clear" w:color="auto" w:fill="auto"/>
        </w:tcPr>
        <w:p w14:paraId="68AD9D43" w14:textId="77777777" w:rsidR="00BC4B3C" w:rsidRDefault="00BC4B3C" w:rsidP="00030C13">
          <w:pPr>
            <w:pStyle w:val="doCol"/>
          </w:pPr>
          <w:r>
            <w:fldChar w:fldCharType="begin"/>
          </w:r>
          <w:r>
            <w:instrText xml:space="preserve"> PAGE  \* Arabic  \* MERGEFORMAT </w:instrText>
          </w:r>
          <w:r>
            <w:fldChar w:fldCharType="separate"/>
          </w:r>
          <w:r w:rsidR="008327F3">
            <w:t>4</w:t>
          </w:r>
          <w:r>
            <w:fldChar w:fldCharType="end"/>
          </w:r>
          <w:r>
            <w:t xml:space="preserve"> van </w:t>
          </w:r>
          <w:fldSimple w:instr=" NUMPAGES  \* Arabic  \* MERGEFORMAT ">
            <w:r w:rsidR="008327F3">
              <w:t>5</w:t>
            </w:r>
          </w:fldSimple>
        </w:p>
      </w:tc>
    </w:tr>
  </w:tbl>
  <w:p w14:paraId="59F41E2E" w14:textId="77777777" w:rsidR="00BC4B3C" w:rsidRDefault="00BC4B3C" w:rsidP="000A233B">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2" w:type="dxa"/>
      <w:tblLayout w:type="fixed"/>
      <w:tblCellMar>
        <w:left w:w="0" w:type="dxa"/>
        <w:right w:w="0" w:type="dxa"/>
      </w:tblCellMar>
      <w:tblLook w:val="01E0" w:firstRow="1" w:lastRow="1" w:firstColumn="1" w:lastColumn="1" w:noHBand="0" w:noVBand="0"/>
    </w:tblPr>
    <w:tblGrid>
      <w:gridCol w:w="7654"/>
      <w:gridCol w:w="1588"/>
    </w:tblGrid>
    <w:tr w:rsidR="00BC4B3C" w14:paraId="757F6B39" w14:textId="77777777" w:rsidTr="00314CB6">
      <w:tc>
        <w:tcPr>
          <w:tcW w:w="7654" w:type="dxa"/>
          <w:shd w:val="clear" w:color="auto" w:fill="auto"/>
        </w:tcPr>
        <w:tbl>
          <w:tblPr>
            <w:tblW w:w="9242" w:type="dxa"/>
            <w:tblLayout w:type="fixed"/>
            <w:tblCellMar>
              <w:left w:w="0" w:type="dxa"/>
              <w:right w:w="0" w:type="dxa"/>
            </w:tblCellMar>
            <w:tblLook w:val="01E0" w:firstRow="1" w:lastRow="1" w:firstColumn="1" w:lastColumn="1" w:noHBand="0" w:noVBand="0"/>
          </w:tblPr>
          <w:tblGrid>
            <w:gridCol w:w="7654"/>
            <w:gridCol w:w="1588"/>
          </w:tblGrid>
          <w:tr w:rsidR="00BC4B3C" w14:paraId="7D081325" w14:textId="77777777" w:rsidTr="00314CB6">
            <w:tc>
              <w:tcPr>
                <w:tcW w:w="7655" w:type="dxa"/>
                <w:shd w:val="clear" w:color="auto" w:fill="auto"/>
              </w:tcPr>
              <w:p w14:paraId="205B7878" w14:textId="44AECF19" w:rsidR="00BC4B3C" w:rsidRDefault="00AD7C9A" w:rsidP="00BC4B3C">
                <w:pPr>
                  <w:pStyle w:val="doCol"/>
                </w:pPr>
                <w:bookmarkStart w:id="23" w:name="bmTitleOdd" w:colFirst="0" w:colLast="0"/>
                <w:r>
                  <w:t>Position paper voor Rondetafelgesprek Duurzame, gezonde en rendabele voedselproductieketen</w:t>
                </w:r>
              </w:p>
            </w:tc>
            <w:tc>
              <w:tcPr>
                <w:tcW w:w="1588" w:type="dxa"/>
                <w:shd w:val="clear" w:color="auto" w:fill="auto"/>
              </w:tcPr>
              <w:p w14:paraId="70295754" w14:textId="77777777" w:rsidR="00BC4B3C" w:rsidRDefault="00BC4B3C" w:rsidP="00BC4B3C">
                <w:pPr>
                  <w:pStyle w:val="doCol"/>
                </w:pPr>
              </w:p>
            </w:tc>
          </w:tr>
          <w:bookmarkEnd w:id="23"/>
        </w:tbl>
        <w:p w14:paraId="39D3665B" w14:textId="77777777" w:rsidR="00BC4B3C" w:rsidRDefault="00BC4B3C" w:rsidP="00BC4B3C">
          <w:pPr>
            <w:pStyle w:val="doCol"/>
          </w:pPr>
        </w:p>
      </w:tc>
      <w:tc>
        <w:tcPr>
          <w:tcW w:w="1588" w:type="dxa"/>
          <w:shd w:val="clear" w:color="auto" w:fill="auto"/>
        </w:tcPr>
        <w:p w14:paraId="7E0A8AE5" w14:textId="32959313" w:rsidR="00BC4B3C" w:rsidRPr="008C3BB6" w:rsidRDefault="00BC4B3C" w:rsidP="00030C13">
          <w:pPr>
            <w:pStyle w:val="doCol"/>
          </w:pPr>
          <w:r>
            <w:fldChar w:fldCharType="begin"/>
          </w:r>
          <w:r>
            <w:instrText xml:space="preserve"> PAGE  \* Arabic  \* MERGEFORMAT </w:instrText>
          </w:r>
          <w:r>
            <w:fldChar w:fldCharType="separate"/>
          </w:r>
          <w:r w:rsidR="008327F3">
            <w:t>5</w:t>
          </w:r>
          <w:r>
            <w:fldChar w:fldCharType="end"/>
          </w:r>
          <w:r>
            <w:t xml:space="preserve"> </w:t>
          </w:r>
          <w:bookmarkStart w:id="24" w:name="PageFromOP"/>
          <w:r w:rsidR="00AD7C9A">
            <w:t>van</w:t>
          </w:r>
          <w:bookmarkEnd w:id="24"/>
          <w:r>
            <w:t xml:space="preserve"> </w:t>
          </w:r>
          <w:fldSimple w:instr=" NUMPAGES  \* Arabic  \* MERGEFORMAT ">
            <w:r w:rsidR="008327F3">
              <w:t>5</w:t>
            </w:r>
          </w:fldSimple>
        </w:p>
      </w:tc>
    </w:tr>
  </w:tbl>
  <w:p w14:paraId="3441699C" w14:textId="77777777" w:rsidR="007E3125" w:rsidRDefault="007E3125" w:rsidP="000A233B">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18AC" w14:textId="77777777" w:rsidR="007E3125" w:rsidRDefault="007E31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F84F" w14:textId="77777777" w:rsidR="007F3B4F" w:rsidRDefault="007F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0EBB" w14:textId="77777777" w:rsidR="00F37BB2" w:rsidRDefault="00F37BB2">
      <w:r>
        <w:separator/>
      </w:r>
    </w:p>
  </w:footnote>
  <w:footnote w:type="continuationSeparator" w:id="0">
    <w:p w14:paraId="7722CC4F" w14:textId="77777777" w:rsidR="00F37BB2" w:rsidRDefault="00F37BB2">
      <w:r>
        <w:continuationSeparator/>
      </w:r>
    </w:p>
  </w:footnote>
  <w:footnote w:id="1">
    <w:p w14:paraId="658D4C59" w14:textId="1AED9B07" w:rsidR="00AA2775" w:rsidRDefault="00AA2775">
      <w:pPr>
        <w:pStyle w:val="FootnoteText"/>
      </w:pPr>
      <w:r>
        <w:rPr>
          <w:rStyle w:val="FootnoteReference"/>
        </w:rPr>
        <w:footnoteRef/>
      </w:r>
      <w:r w:rsidRPr="00D45054">
        <w:rPr>
          <w:sz w:val="14"/>
          <w:szCs w:val="14"/>
        </w:rPr>
        <w:t xml:space="preserve"> </w:t>
      </w:r>
      <w:hyperlink r:id="rId1" w:history="1">
        <w:proofErr w:type="gramStart"/>
        <w:r w:rsidR="00EA45E4" w:rsidRPr="00D45054">
          <w:rPr>
            <w:rStyle w:val="Hyperlink"/>
            <w:sz w:val="14"/>
            <w:szCs w:val="14"/>
          </w:rPr>
          <w:t>agrimatie.nl/ThemaResultaat.aspx</w:t>
        </w:r>
        <w:proofErr w:type="gramEnd"/>
        <w:r w:rsidR="00EA45E4" w:rsidRPr="00D45054">
          <w:rPr>
            <w:rStyle w:val="Hyperlink"/>
            <w:sz w:val="14"/>
            <w:szCs w:val="14"/>
          </w:rPr>
          <w:t>?subpubID=2232&amp;themaID=2272&amp;indicatorID=2059</w:t>
        </w:r>
      </w:hyperlink>
      <w:r w:rsidR="00EA45E4" w:rsidRPr="00D45054">
        <w:rPr>
          <w:sz w:val="22"/>
          <w:szCs w:val="22"/>
        </w:rPr>
        <w:t xml:space="preserve"> </w:t>
      </w:r>
      <w:r w:rsidRPr="00D45054">
        <w:rPr>
          <w:sz w:val="14"/>
          <w:szCs w:val="14"/>
        </w:rPr>
        <w:t>De lage-inkomensgrens ligt in 2021 op 27.551 euro per huishouden. De grens is gebaseerd op een van de voorwaarden om voor een IOAZ uitkering in aanmerking te komen. Voor het bepalen van de hoogte van het inkomen van de huishoudens wordt het totaal inkomen gebruikt. Dat bevat zowel het inkomen uit bedrijf als de inkomsten van buiten het bedrijf. Het vermogen van een huishouden wordt buiten beschouwing gelaten.</w:t>
      </w:r>
    </w:p>
  </w:footnote>
  <w:footnote w:id="2">
    <w:p w14:paraId="676CF81D" w14:textId="0C615EE6" w:rsidR="0026392B" w:rsidRDefault="0026392B">
      <w:pPr>
        <w:pStyle w:val="FootnoteText"/>
      </w:pPr>
      <w:r>
        <w:rPr>
          <w:rStyle w:val="FootnoteReference"/>
        </w:rPr>
        <w:footnoteRef/>
      </w:r>
      <w:r>
        <w:t xml:space="preserve"> </w:t>
      </w:r>
      <w:proofErr w:type="gramStart"/>
      <w:r w:rsidRPr="0026392B">
        <w:rPr>
          <w:sz w:val="14"/>
          <w:szCs w:val="14"/>
        </w:rPr>
        <w:t>https://agrimatie.nl/ThemaResultaat.aspx?subpubID=2232&amp;themaID=2278&amp;indicatorID=2028</w:t>
      </w:r>
      <w:proofErr w:type="gramEnd"/>
    </w:p>
  </w:footnote>
  <w:footnote w:id="3">
    <w:p w14:paraId="5FF25CD1" w14:textId="3C1411EA" w:rsidR="0026392B" w:rsidRDefault="0026392B">
      <w:pPr>
        <w:pStyle w:val="FootnoteText"/>
      </w:pPr>
      <w:r>
        <w:rPr>
          <w:rStyle w:val="FootnoteReference"/>
        </w:rPr>
        <w:footnoteRef/>
      </w:r>
      <w:r>
        <w:t xml:space="preserve"> </w:t>
      </w:r>
      <w:proofErr w:type="gramStart"/>
      <w:r w:rsidRPr="0026392B">
        <w:rPr>
          <w:sz w:val="14"/>
          <w:szCs w:val="14"/>
        </w:rPr>
        <w:t>https://agrimatie.nl/Binternet.aspx?ID=20&amp;Bedrijfstype=1&amp;SelectedJaren=2024%402023%402022%402021&amp;GroteKlassen=Alle+bedrijven</w:t>
      </w:r>
      <w:proofErr w:type="gramEnd"/>
    </w:p>
  </w:footnote>
  <w:footnote w:id="4">
    <w:p w14:paraId="5CD0DCC4" w14:textId="0CEB2676" w:rsidR="00D45054" w:rsidRDefault="00D45054">
      <w:pPr>
        <w:pStyle w:val="FootnoteText"/>
      </w:pPr>
      <w:r>
        <w:rPr>
          <w:rStyle w:val="FootnoteReference"/>
        </w:rPr>
        <w:footnoteRef/>
      </w:r>
      <w:r>
        <w:t xml:space="preserve"> </w:t>
      </w:r>
      <w:hyperlink r:id="rId2" w:history="1">
        <w:r w:rsidRPr="00D45054">
          <w:rPr>
            <w:rStyle w:val="Hyperlink"/>
            <w:sz w:val="14"/>
            <w:szCs w:val="14"/>
          </w:rPr>
          <w:t>https://www.staatvanbiologisch.nl/indicatoren/aandeel-biologisch-areaal/</w:t>
        </w:r>
      </w:hyperlink>
      <w:r w:rsidRPr="00D45054">
        <w:rPr>
          <w:sz w:val="14"/>
          <w:szCs w:val="14"/>
        </w:rPr>
        <w:t xml:space="preserve"> </w:t>
      </w:r>
    </w:p>
  </w:footnote>
  <w:footnote w:id="5">
    <w:p w14:paraId="4B6A4B0E" w14:textId="57CFEEB8" w:rsidR="001C0AB5" w:rsidRDefault="001C0AB5">
      <w:pPr>
        <w:pStyle w:val="FootnoteText"/>
      </w:pPr>
      <w:r>
        <w:rPr>
          <w:rStyle w:val="FootnoteReference"/>
        </w:rPr>
        <w:footnoteRef/>
      </w:r>
      <w:r>
        <w:t xml:space="preserve"> </w:t>
      </w:r>
      <w:hyperlink r:id="rId3" w:history="1">
        <w:r w:rsidRPr="001C0AB5">
          <w:rPr>
            <w:rStyle w:val="Hyperlink"/>
            <w:sz w:val="14"/>
            <w:szCs w:val="14"/>
          </w:rPr>
          <w:t>https://agrimatie.nl/ThemaResultaat.aspx?subpubID=2232&amp;themaID=2281</w:t>
        </w:r>
      </w:hyperlink>
      <w:r w:rsidRPr="001C0AB5">
        <w:rPr>
          <w:sz w:val="14"/>
          <w:szCs w:val="14"/>
        </w:rPr>
        <w:t xml:space="preserve"> </w:t>
      </w:r>
    </w:p>
  </w:footnote>
  <w:footnote w:id="6">
    <w:p w14:paraId="4E34E309" w14:textId="77777777" w:rsidR="00961C19" w:rsidRDefault="00961C19" w:rsidP="00961C19">
      <w:pPr>
        <w:pStyle w:val="FootnoteText"/>
      </w:pPr>
      <w:r>
        <w:rPr>
          <w:rStyle w:val="FootnoteReference"/>
        </w:rPr>
        <w:footnoteRef/>
      </w:r>
      <w:r>
        <w:t xml:space="preserve"> </w:t>
      </w:r>
      <w:hyperlink r:id="rId4" w:history="1">
        <w:r w:rsidRPr="006B066C">
          <w:rPr>
            <w:rStyle w:val="Hyperlink"/>
            <w:sz w:val="12"/>
            <w:szCs w:val="12"/>
          </w:rPr>
          <w:t>https://downloads.smk.nl/Public/PlanetProof_documenten/Plantaardige%20producten%20(NL)/2024/Duurzaamheidsvergoeding/SMK_Duurzaamheidsvergoeding_On%20the%20way%20to%20PlanetProof%202024_NL.pdf</w:t>
        </w:r>
      </w:hyperlink>
      <w:r w:rsidRPr="006B066C">
        <w:rPr>
          <w:sz w:val="12"/>
          <w:szCs w:val="12"/>
        </w:rPr>
        <w:t xml:space="preserve"> </w:t>
      </w:r>
    </w:p>
  </w:footnote>
  <w:footnote w:id="7">
    <w:p w14:paraId="687B697F" w14:textId="07DC6313" w:rsidR="00624B90" w:rsidRDefault="00624B90">
      <w:pPr>
        <w:pStyle w:val="FootnoteText"/>
      </w:pPr>
      <w:r>
        <w:rPr>
          <w:rStyle w:val="FootnoteReference"/>
        </w:rPr>
        <w:footnoteRef/>
      </w:r>
      <w:r>
        <w:t xml:space="preserve"> </w:t>
      </w:r>
      <w:hyperlink r:id="rId5" w:history="1">
        <w:r w:rsidRPr="001D7881">
          <w:rPr>
            <w:rStyle w:val="Hyperlink"/>
            <w:sz w:val="14"/>
            <w:szCs w:val="14"/>
          </w:rPr>
          <w:t>https://veeteelt.nl/zuivel/frieslandcampina-vergoedt-inzet-bovaer-bij-600-veehouders</w:t>
        </w:r>
      </w:hyperlink>
      <w:r>
        <w:rPr>
          <w:sz w:val="14"/>
          <w:szCs w:val="14"/>
        </w:rPr>
        <w:t xml:space="preserve"> </w:t>
      </w:r>
    </w:p>
  </w:footnote>
  <w:footnote w:id="8">
    <w:p w14:paraId="676BF18E" w14:textId="75589F9C" w:rsidR="00B358D0" w:rsidRPr="00340A18" w:rsidRDefault="00B358D0">
      <w:pPr>
        <w:pStyle w:val="FootnoteText"/>
      </w:pPr>
      <w:r>
        <w:rPr>
          <w:rStyle w:val="FootnoteReference"/>
        </w:rPr>
        <w:footnoteRef/>
      </w:r>
      <w:r w:rsidRPr="00340A18">
        <w:t xml:space="preserve"> </w:t>
      </w:r>
      <w:hyperlink r:id="rId6" w:history="1">
        <w:r w:rsidR="00340A18" w:rsidRPr="00340A18">
          <w:rPr>
            <w:rStyle w:val="Hyperlink"/>
            <w:sz w:val="14"/>
            <w:szCs w:val="14"/>
          </w:rPr>
          <w:t>https://www.rijksoverheid.nl/documenten/kamerstukken/2022/02/24/verslag-strategisch-gbl-plan-202</w:t>
        </w:r>
      </w:hyperlink>
      <w:r w:rsidR="00340A18" w:rsidRPr="00340A18">
        <w:rPr>
          <w:sz w:val="14"/>
          <w:szCs w:val="14"/>
        </w:rPr>
        <w:t xml:space="preserve"> (het </w:t>
      </w:r>
      <w:r w:rsidR="00340A18">
        <w:rPr>
          <w:sz w:val="14"/>
          <w:szCs w:val="14"/>
        </w:rPr>
        <w:t>plan is gewijzigd</w:t>
      </w:r>
      <w:r w:rsidR="000844B4">
        <w:rPr>
          <w:sz w:val="14"/>
          <w:szCs w:val="14"/>
        </w:rPr>
        <w:t xml:space="preserve">: </w:t>
      </w:r>
      <w:hyperlink r:id="rId7" w:history="1">
        <w:r w:rsidR="000844B4" w:rsidRPr="000844B4">
          <w:rPr>
            <w:rStyle w:val="Hyperlink"/>
            <w:sz w:val="14"/>
            <w:szCs w:val="14"/>
          </w:rPr>
          <w:t>Notificatie Nationaal Strategisch Plan GLB | Nieuwsbericht | Netwerk Platteland</w:t>
        </w:r>
      </w:hyperlink>
      <w:r w:rsidR="00340A18">
        <w:rPr>
          <w:sz w:val="14"/>
          <w:szCs w:val="14"/>
        </w:rPr>
        <w:t>)</w:t>
      </w:r>
    </w:p>
  </w:footnote>
  <w:footnote w:id="9">
    <w:p w14:paraId="1C713738" w14:textId="481287C4" w:rsidR="00292F9C" w:rsidRDefault="00292F9C">
      <w:pPr>
        <w:pStyle w:val="FootnoteText"/>
      </w:pPr>
      <w:r>
        <w:rPr>
          <w:rStyle w:val="FootnoteReference"/>
        </w:rPr>
        <w:footnoteRef/>
      </w:r>
      <w:r>
        <w:t xml:space="preserve"> </w:t>
      </w:r>
      <w:hyperlink r:id="rId8" w:history="1">
        <w:r w:rsidR="00BC6611" w:rsidRPr="00BC6611">
          <w:rPr>
            <w:rStyle w:val="Hyperlink"/>
            <w:sz w:val="14"/>
            <w:szCs w:val="14"/>
          </w:rPr>
          <w:t>Duurzame landbouw | Nationaal Groenfonds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7655"/>
      <w:gridCol w:w="1814"/>
    </w:tblGrid>
    <w:tr w:rsidR="00D427E6" w14:paraId="61DFF589" w14:textId="77777777" w:rsidTr="00314CB6">
      <w:tc>
        <w:tcPr>
          <w:tcW w:w="7655" w:type="dxa"/>
          <w:shd w:val="clear" w:color="auto" w:fill="auto"/>
        </w:tcPr>
        <w:p w14:paraId="0408728A" w14:textId="77777777" w:rsidR="00D427E6" w:rsidRDefault="00D427E6">
          <w:pPr>
            <w:pStyle w:val="Header"/>
          </w:pPr>
        </w:p>
      </w:tc>
      <w:tc>
        <w:tcPr>
          <w:tcW w:w="1814" w:type="dxa"/>
          <w:shd w:val="clear" w:color="auto" w:fill="auto"/>
        </w:tcPr>
        <w:p w14:paraId="531EDBB8" w14:textId="77777777" w:rsidR="00D427E6" w:rsidRDefault="00D427E6" w:rsidP="00D427E6">
          <w:pPr>
            <w:pStyle w:val="doTag"/>
          </w:pPr>
        </w:p>
      </w:tc>
    </w:tr>
  </w:tbl>
  <w:p w14:paraId="67DB84D9" w14:textId="77777777" w:rsidR="00294E5E" w:rsidRDefault="00294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2D64" w14:textId="77777777" w:rsidR="00613C1A" w:rsidRDefault="008327F3" w:rsidP="002C3C3D">
    <w:r>
      <w:rPr>
        <w:noProof/>
      </w:rPr>
      <mc:AlternateContent>
        <mc:Choice Requires="wps">
          <w:drawing>
            <wp:anchor distT="0" distB="0" distL="114300" distR="114300" simplePos="0" relativeHeight="251661312" behindDoc="1" locked="1" layoutInCell="1" allowOverlap="1" wp14:anchorId="017BF6B1" wp14:editId="0BB39E73">
              <wp:simplePos x="0" y="0"/>
              <wp:positionH relativeFrom="page">
                <wp:posOffset>619125</wp:posOffset>
              </wp:positionH>
              <wp:positionV relativeFrom="page">
                <wp:posOffset>552450</wp:posOffset>
              </wp:positionV>
              <wp:extent cx="5039995" cy="644525"/>
              <wp:effectExtent l="0" t="0" r="8255" b="3175"/>
              <wp:wrapNone/>
              <wp:docPr id="8" name="tb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8EBEA" w14:textId="77777777" w:rsidR="004F3323" w:rsidRDefault="008327F3" w:rsidP="004F3323">
                          <w:pPr>
                            <w:spacing w:line="240" w:lineRule="auto"/>
                          </w:pPr>
                          <w:r>
                            <w:rPr>
                              <w:noProof/>
                            </w:rPr>
                            <w:drawing>
                              <wp:inline distT="0" distB="0" distL="0" distR="0" wp14:anchorId="7F4B5B61" wp14:editId="08FD9F43">
                                <wp:extent cx="2114550" cy="409575"/>
                                <wp:effectExtent l="0" t="0" r="0" b="0"/>
                                <wp:docPr id="9" name="Afbeelding 1" descr="WUR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R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09575"/>
                                        </a:xfrm>
                                        <a:prstGeom prst="rect">
                                          <a:avLst/>
                                        </a:prstGeom>
                                        <a:noFill/>
                                        <a:ln>
                                          <a:noFill/>
                                        </a:ln>
                                      </pic:spPr>
                                    </pic:pic>
                                  </a:graphicData>
                                </a:graphic>
                              </wp:inline>
                            </w:drawing>
                          </w:r>
                        </w:p>
                        <w:p w14:paraId="5BDF5E60" w14:textId="77777777" w:rsidR="004F3323" w:rsidRDefault="004F3323" w:rsidP="004F3323">
                          <w:pPr>
                            <w:spacing w:line="240" w:lineRule="auto"/>
                          </w:pPr>
                        </w:p>
                        <w:p w14:paraId="23347812" w14:textId="77777777" w:rsidR="004F3323" w:rsidRDefault="004F3323" w:rsidP="004F3323">
                          <w:pPr>
                            <w:spacing w:line="240" w:lineRule="auto"/>
                          </w:pPr>
                        </w:p>
                        <w:p w14:paraId="2EEF134C" w14:textId="77777777" w:rsidR="004F3323" w:rsidRDefault="004F3323" w:rsidP="004F3323">
                          <w:pPr>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BF6B1" id="_x0000_t202" coordsize="21600,21600" o:spt="202" path="m,l,21600r21600,l21600,xe">
              <v:stroke joinstyle="miter"/>
              <v:path gradientshapeok="t" o:connecttype="rect"/>
            </v:shapetype>
            <v:shape id="tbLogo" o:spid="_x0000_s1026" type="#_x0000_t202" style="position:absolute;margin-left:48.75pt;margin-top:43.5pt;width:396.85pt;height:5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" filled="f" stroked="f">
              <v:textbox inset="0,0,0,0">
                <w:txbxContent>
                  <w:p w14:paraId="4BD8EBEA" w14:textId="77777777" w:rsidR="004F3323" w:rsidRDefault="008327F3" w:rsidP="004F3323">
                    <w:pPr>
                      <w:spacing w:line="240" w:lineRule="auto"/>
                    </w:pPr>
                    <w:r>
                      <w:rPr>
                        <w:noProof/>
                      </w:rPr>
                      <w:drawing>
                        <wp:inline distT="0" distB="0" distL="0" distR="0" wp14:anchorId="7F4B5B61" wp14:editId="08FD9F43">
                          <wp:extent cx="2114550" cy="409575"/>
                          <wp:effectExtent l="0" t="0" r="0" b="0"/>
                          <wp:docPr id="9" name="Afbeelding 1" descr="WUR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R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09575"/>
                                  </a:xfrm>
                                  <a:prstGeom prst="rect">
                                    <a:avLst/>
                                  </a:prstGeom>
                                  <a:noFill/>
                                  <a:ln>
                                    <a:noFill/>
                                  </a:ln>
                                </pic:spPr>
                              </pic:pic>
                            </a:graphicData>
                          </a:graphic>
                        </wp:inline>
                      </w:drawing>
                    </w:r>
                  </w:p>
                  <w:p w14:paraId="5BDF5E60" w14:textId="77777777" w:rsidR="004F3323" w:rsidRDefault="004F3323" w:rsidP="004F3323">
                    <w:pPr>
                      <w:spacing w:line="240" w:lineRule="auto"/>
                    </w:pPr>
                  </w:p>
                  <w:p w14:paraId="23347812" w14:textId="77777777" w:rsidR="004F3323" w:rsidRDefault="004F3323" w:rsidP="004F3323">
                    <w:pPr>
                      <w:spacing w:line="240" w:lineRule="auto"/>
                    </w:pPr>
                  </w:p>
                  <w:p w14:paraId="2EEF134C" w14:textId="77777777" w:rsidR="004F3323" w:rsidRDefault="004F3323" w:rsidP="004F3323">
                    <w:pPr>
                      <w:spacing w:line="240" w:lineRule="auto"/>
                    </w:pPr>
                  </w:p>
                </w:txbxContent>
              </v:textbox>
              <w10:wrap anchorx="page" anchory="page"/>
              <w10:anchorlock/>
            </v:shape>
          </w:pict>
        </mc:Fallback>
      </mc:AlternateContent>
    </w:r>
  </w:p>
  <w:p w14:paraId="3C4F3576" w14:textId="77777777" w:rsidR="007711FE" w:rsidRDefault="008327F3" w:rsidP="00D427E6">
    <w:pPr>
      <w:pStyle w:val="Header"/>
      <w:spacing w:line="380" w:lineRule="exact"/>
    </w:pPr>
    <w:r>
      <w:rPr>
        <w:noProof/>
      </w:rPr>
      <mc:AlternateContent>
        <mc:Choice Requires="wps">
          <w:drawing>
            <wp:anchor distT="0" distB="0" distL="114300" distR="114300" simplePos="0" relativeHeight="251656192" behindDoc="0" locked="1" layoutInCell="1" allowOverlap="1" wp14:anchorId="04D25376" wp14:editId="13D87EE5">
              <wp:simplePos x="0" y="0"/>
              <wp:positionH relativeFrom="page">
                <wp:posOffset>6120765</wp:posOffset>
              </wp:positionH>
              <wp:positionV relativeFrom="page">
                <wp:posOffset>7009130</wp:posOffset>
              </wp:positionV>
              <wp:extent cx="1188085" cy="3200400"/>
              <wp:effectExtent l="0" t="0" r="0" b="1270"/>
              <wp:wrapNone/>
              <wp:docPr id="7" name="tb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C6AF7" w14:textId="77777777" w:rsidR="00E92D24" w:rsidRDefault="00E92D24" w:rsidP="0076235B">
                          <w:pPr>
                            <w:pStyle w:val="doInf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25376" id="tbInfo" o:spid="_x0000_s1027" type="#_x0000_t202" style="position:absolute;margin-left:481.95pt;margin-top:551.9pt;width:93.55pt;height:25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" filled="f" stroked="f">
              <v:textbox inset="0,0,0,0">
                <w:txbxContent>
                  <w:p w14:paraId="101C6AF7" w14:textId="77777777" w:rsidR="00E92D24" w:rsidRDefault="00E92D24" w:rsidP="0076235B">
                    <w:pPr>
                      <w:pStyle w:val="doInfo"/>
                    </w:pP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14:anchorId="7388C8AE" wp14:editId="6187A738">
              <wp:simplePos x="0" y="0"/>
              <wp:positionH relativeFrom="page">
                <wp:posOffset>6120765</wp:posOffset>
              </wp:positionH>
              <wp:positionV relativeFrom="page">
                <wp:posOffset>1951355</wp:posOffset>
              </wp:positionV>
              <wp:extent cx="1188085" cy="1917700"/>
              <wp:effectExtent l="0" t="0" r="0" b="0"/>
              <wp:wrapNone/>
              <wp:docPr id="6" name="tbColoph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88"/>
                          </w:tblGrid>
                          <w:tr w:rsidR="00AD7C9A" w14:paraId="6D52292E" w14:textId="77777777">
                            <w:tc>
                              <w:tcPr>
                                <w:tcW w:w="1888" w:type="dxa"/>
                                <w:shd w:val="clear" w:color="auto" w:fill="auto"/>
                              </w:tcPr>
                              <w:p w14:paraId="535E8CF3" w14:textId="77777777" w:rsidR="00AD7C9A" w:rsidRDefault="00AD7C9A">
                                <w:pPr>
                                  <w:spacing w:line="260" w:lineRule="atLeast"/>
                                </w:pPr>
                                <w:bookmarkStart w:id="2" w:name="bmBU" w:colFirst="0" w:colLast="0"/>
                                <w:bookmarkStart w:id="3" w:name="tableColophon" w:colFirst="0" w:colLast="1"/>
                              </w:p>
                            </w:tc>
                          </w:tr>
                          <w:bookmarkEnd w:id="2"/>
                          <w:tr w:rsidR="00AD7C9A" w14:paraId="78AFF745" w14:textId="77777777">
                            <w:trPr>
                              <w:trHeight w:hRule="exact" w:val="520"/>
                            </w:trPr>
                            <w:tc>
                              <w:tcPr>
                                <w:tcW w:w="1888" w:type="dxa"/>
                                <w:shd w:val="clear" w:color="auto" w:fill="auto"/>
                              </w:tcPr>
                              <w:p w14:paraId="0402C0ED" w14:textId="77777777" w:rsidR="00AD7C9A" w:rsidRDefault="00AD7C9A">
                                <w:pPr>
                                  <w:spacing w:line="260" w:lineRule="atLeast"/>
                                </w:pPr>
                              </w:p>
                            </w:tc>
                          </w:tr>
                          <w:tr w:rsidR="00AD7C9A" w14:paraId="5E58CEE1" w14:textId="77777777">
                            <w:trPr>
                              <w:cantSplit/>
                            </w:trPr>
                            <w:tc>
                              <w:tcPr>
                                <w:tcW w:w="1888" w:type="dxa"/>
                                <w:shd w:val="clear" w:color="auto" w:fill="auto"/>
                              </w:tcPr>
                              <w:p w14:paraId="11AE1498" w14:textId="020A0BDF" w:rsidR="00AD7C9A" w:rsidRDefault="00AD7C9A">
                                <w:pPr>
                                  <w:pStyle w:val="doColHeadings"/>
                                </w:pPr>
                                <w:bookmarkStart w:id="4" w:name="Date" w:colFirst="0" w:colLast="0"/>
                                <w:r>
                                  <w:t>DATUM</w:t>
                                </w:r>
                              </w:p>
                            </w:tc>
                          </w:tr>
                          <w:tr w:rsidR="00AD7C9A" w14:paraId="3A830904" w14:textId="77777777">
                            <w:trPr>
                              <w:cantSplit/>
                            </w:trPr>
                            <w:tc>
                              <w:tcPr>
                                <w:tcW w:w="1888" w:type="dxa"/>
                                <w:shd w:val="clear" w:color="auto" w:fill="auto"/>
                              </w:tcPr>
                              <w:p w14:paraId="10056868" w14:textId="54B67541" w:rsidR="00AD7C9A" w:rsidRDefault="00AD7C9A">
                                <w:pPr>
                                  <w:pStyle w:val="doCol"/>
                                </w:pPr>
                                <w:bookmarkStart w:id="5" w:name="bmDate" w:colFirst="0" w:colLast="0"/>
                                <w:bookmarkEnd w:id="4"/>
                                <w:r>
                                  <w:t>7 mei 2025</w:t>
                                </w:r>
                              </w:p>
                            </w:tc>
                          </w:tr>
                          <w:bookmarkEnd w:id="5"/>
                          <w:tr w:rsidR="00AD7C9A" w14:paraId="527753B8" w14:textId="77777777">
                            <w:trPr>
                              <w:cantSplit/>
                            </w:trPr>
                            <w:tc>
                              <w:tcPr>
                                <w:tcW w:w="1888" w:type="dxa"/>
                                <w:shd w:val="clear" w:color="auto" w:fill="auto"/>
                              </w:tcPr>
                              <w:p w14:paraId="4FFDB0E0" w14:textId="77777777" w:rsidR="00AD7C9A" w:rsidRDefault="00AD7C9A">
                                <w:pPr>
                                  <w:pStyle w:val="doCol"/>
                                </w:pPr>
                              </w:p>
                            </w:tc>
                          </w:tr>
                          <w:tr w:rsidR="00AD7C9A" w14:paraId="416A68FE" w14:textId="77777777">
                            <w:trPr>
                              <w:cantSplit/>
                            </w:trPr>
                            <w:tc>
                              <w:tcPr>
                                <w:tcW w:w="1888" w:type="dxa"/>
                                <w:shd w:val="clear" w:color="auto" w:fill="auto"/>
                              </w:tcPr>
                              <w:p w14:paraId="46D3AB96" w14:textId="5676128C" w:rsidR="00AD7C9A" w:rsidRDefault="00AD7C9A">
                                <w:pPr>
                                  <w:pStyle w:val="doColHeadings"/>
                                </w:pPr>
                                <w:bookmarkStart w:id="6" w:name="Author" w:colFirst="0" w:colLast="0"/>
                                <w:r>
                                  <w:t>AUTEUR</w:t>
                                </w:r>
                              </w:p>
                            </w:tc>
                          </w:tr>
                          <w:tr w:rsidR="00AD7C9A" w14:paraId="0D04C6B4" w14:textId="77777777">
                            <w:trPr>
                              <w:cantSplit/>
                            </w:trPr>
                            <w:tc>
                              <w:tcPr>
                                <w:tcW w:w="1888" w:type="dxa"/>
                                <w:shd w:val="clear" w:color="auto" w:fill="auto"/>
                              </w:tcPr>
                              <w:p w14:paraId="2A4AA766" w14:textId="29F97ECB" w:rsidR="00AD7C9A" w:rsidRDefault="00AD7C9A">
                                <w:pPr>
                                  <w:pStyle w:val="doCol"/>
                                </w:pPr>
                                <w:bookmarkStart w:id="7" w:name="bmAuthor" w:colFirst="0" w:colLast="0"/>
                                <w:bookmarkEnd w:id="6"/>
                                <w:r>
                                  <w:t>M.A. (Michiel) van Galen, MSc.</w:t>
                                </w:r>
                              </w:p>
                            </w:tc>
                          </w:tr>
                          <w:bookmarkEnd w:id="7"/>
                          <w:tr w:rsidR="00AD7C9A" w14:paraId="570F912B" w14:textId="77777777">
                            <w:trPr>
                              <w:cantSplit/>
                            </w:trPr>
                            <w:tc>
                              <w:tcPr>
                                <w:tcW w:w="1888" w:type="dxa"/>
                                <w:shd w:val="clear" w:color="auto" w:fill="auto"/>
                              </w:tcPr>
                              <w:p w14:paraId="0B47A848" w14:textId="77777777" w:rsidR="00AD7C9A" w:rsidRDefault="00AD7C9A">
                                <w:pPr>
                                  <w:pStyle w:val="doCol"/>
                                </w:pPr>
                              </w:p>
                            </w:tc>
                          </w:tr>
                          <w:tr w:rsidR="00AD7C9A" w14:paraId="5AE6C63B" w14:textId="77777777">
                            <w:trPr>
                              <w:cantSplit/>
                            </w:trPr>
                            <w:tc>
                              <w:tcPr>
                                <w:tcW w:w="1888" w:type="dxa"/>
                                <w:shd w:val="clear" w:color="auto" w:fill="auto"/>
                              </w:tcPr>
                              <w:p w14:paraId="0B41159C" w14:textId="0AB268F8" w:rsidR="00AD7C9A" w:rsidRDefault="00AD7C9A">
                                <w:pPr>
                                  <w:pStyle w:val="doColHeadings"/>
                                </w:pPr>
                                <w:bookmarkStart w:id="8" w:name="Version" w:colFirst="0" w:colLast="0"/>
                                <w:r>
                                  <w:t>VERSIE</w:t>
                                </w:r>
                              </w:p>
                            </w:tc>
                          </w:tr>
                          <w:tr w:rsidR="00AD7C9A" w14:paraId="24C624C8" w14:textId="77777777">
                            <w:trPr>
                              <w:cantSplit/>
                            </w:trPr>
                            <w:tc>
                              <w:tcPr>
                                <w:tcW w:w="1888" w:type="dxa"/>
                                <w:shd w:val="clear" w:color="auto" w:fill="auto"/>
                              </w:tcPr>
                              <w:p w14:paraId="624FA6FD" w14:textId="76BD17ED" w:rsidR="00AD7C9A" w:rsidRDefault="00AD7C9A">
                                <w:pPr>
                                  <w:pStyle w:val="doCol"/>
                                </w:pPr>
                                <w:bookmarkStart w:id="9" w:name="bmVersion" w:colFirst="0" w:colLast="0"/>
                                <w:bookmarkEnd w:id="8"/>
                                <w:r>
                                  <w:t>1</w:t>
                                </w:r>
                              </w:p>
                            </w:tc>
                          </w:tr>
                          <w:bookmarkEnd w:id="9"/>
                          <w:tr w:rsidR="00AD7C9A" w14:paraId="58904CDA" w14:textId="77777777">
                            <w:trPr>
                              <w:cantSplit/>
                            </w:trPr>
                            <w:tc>
                              <w:tcPr>
                                <w:tcW w:w="1888" w:type="dxa"/>
                                <w:shd w:val="clear" w:color="auto" w:fill="auto"/>
                              </w:tcPr>
                              <w:p w14:paraId="607DE392" w14:textId="77777777" w:rsidR="00AD7C9A" w:rsidRDefault="00AD7C9A">
                                <w:pPr>
                                  <w:pStyle w:val="doCol"/>
                                </w:pPr>
                              </w:p>
                            </w:tc>
                          </w:tr>
                          <w:tr w:rsidR="00AD7C9A" w14:paraId="02C2BC2D" w14:textId="77777777">
                            <w:trPr>
                              <w:cantSplit/>
                            </w:trPr>
                            <w:tc>
                              <w:tcPr>
                                <w:tcW w:w="1888" w:type="dxa"/>
                                <w:shd w:val="clear" w:color="auto" w:fill="auto"/>
                              </w:tcPr>
                              <w:p w14:paraId="32E127DB" w14:textId="7971AFFB" w:rsidR="00AD7C9A" w:rsidRDefault="00AD7C9A">
                                <w:pPr>
                                  <w:pStyle w:val="doColHeadings"/>
                                </w:pPr>
                                <w:bookmarkStart w:id="10" w:name="Status" w:colFirst="0" w:colLast="0"/>
                                <w:r>
                                  <w:t>STATUS</w:t>
                                </w:r>
                              </w:p>
                            </w:tc>
                          </w:tr>
                          <w:tr w:rsidR="00AD7C9A" w14:paraId="08ED6B3C" w14:textId="77777777">
                            <w:trPr>
                              <w:cantSplit/>
                            </w:trPr>
                            <w:tc>
                              <w:tcPr>
                                <w:tcW w:w="1888" w:type="dxa"/>
                                <w:shd w:val="clear" w:color="auto" w:fill="auto"/>
                              </w:tcPr>
                              <w:p w14:paraId="03B9C5FF" w14:textId="4F4BCCB8" w:rsidR="00AD7C9A" w:rsidRDefault="00AD7C9A">
                                <w:pPr>
                                  <w:pStyle w:val="doCol"/>
                                </w:pPr>
                                <w:bookmarkStart w:id="11" w:name="bmStatus" w:colFirst="0" w:colLast="0"/>
                                <w:bookmarkEnd w:id="10"/>
                                <w:r>
                                  <w:t>draft</w:t>
                                </w:r>
                              </w:p>
                            </w:tc>
                          </w:tr>
                          <w:bookmarkEnd w:id="3"/>
                          <w:bookmarkEnd w:id="11"/>
                        </w:tbl>
                        <w:p w14:paraId="31368307" w14:textId="77777777" w:rsidR="006D7B03" w:rsidRDefault="006D7B0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8C8AE" id="tbColophon" o:spid="_x0000_s1028" type="#_x0000_t202" style="position:absolute;margin-left:481.95pt;margin-top:153.65pt;width:93.55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" filled="f" stroked="f">
              <v:textbox style="mso-fit-shape-to-text:t" inset="0,0,0,0">
                <w:txbxContent>
                  <w:tbl>
                    <w:tblPr>
                      <w:tblW w:w="0" w:type="auto"/>
                      <w:tblLayout w:type="fixed"/>
                      <w:tblCellMar>
                        <w:left w:w="0" w:type="dxa"/>
                        <w:right w:w="0" w:type="dxa"/>
                      </w:tblCellMar>
                      <w:tblLook w:val="01E0" w:firstRow="1" w:lastRow="1" w:firstColumn="1" w:lastColumn="1" w:noHBand="0" w:noVBand="0"/>
                    </w:tblPr>
                    <w:tblGrid>
                      <w:gridCol w:w="1888"/>
                    </w:tblGrid>
                    <w:tr w:rsidR="00AD7C9A" w14:paraId="6D52292E" w14:textId="77777777">
                      <w:tc>
                        <w:tcPr>
                          <w:tcW w:w="1888" w:type="dxa"/>
                          <w:shd w:val="clear" w:color="auto" w:fill="auto"/>
                        </w:tcPr>
                        <w:p w14:paraId="535E8CF3" w14:textId="77777777" w:rsidR="00AD7C9A" w:rsidRDefault="00AD7C9A">
                          <w:pPr>
                            <w:spacing w:line="260" w:lineRule="atLeast"/>
                          </w:pPr>
                          <w:bookmarkStart w:id="12" w:name="bmBU" w:colFirst="0" w:colLast="0"/>
                          <w:bookmarkStart w:id="13" w:name="tableColophon" w:colFirst="0" w:colLast="1"/>
                        </w:p>
                      </w:tc>
                    </w:tr>
                    <w:bookmarkEnd w:id="12"/>
                    <w:tr w:rsidR="00AD7C9A" w14:paraId="78AFF745" w14:textId="77777777">
                      <w:trPr>
                        <w:trHeight w:hRule="exact" w:val="520"/>
                      </w:trPr>
                      <w:tc>
                        <w:tcPr>
                          <w:tcW w:w="1888" w:type="dxa"/>
                          <w:shd w:val="clear" w:color="auto" w:fill="auto"/>
                        </w:tcPr>
                        <w:p w14:paraId="0402C0ED" w14:textId="77777777" w:rsidR="00AD7C9A" w:rsidRDefault="00AD7C9A">
                          <w:pPr>
                            <w:spacing w:line="260" w:lineRule="atLeast"/>
                          </w:pPr>
                        </w:p>
                      </w:tc>
                    </w:tr>
                    <w:tr w:rsidR="00AD7C9A" w14:paraId="5E58CEE1" w14:textId="77777777">
                      <w:trPr>
                        <w:cantSplit/>
                      </w:trPr>
                      <w:tc>
                        <w:tcPr>
                          <w:tcW w:w="1888" w:type="dxa"/>
                          <w:shd w:val="clear" w:color="auto" w:fill="auto"/>
                        </w:tcPr>
                        <w:p w14:paraId="11AE1498" w14:textId="020A0BDF" w:rsidR="00AD7C9A" w:rsidRDefault="00AD7C9A">
                          <w:pPr>
                            <w:pStyle w:val="doColHeadings"/>
                          </w:pPr>
                          <w:bookmarkStart w:id="14" w:name="Date" w:colFirst="0" w:colLast="0"/>
                          <w:r>
                            <w:t>DATUM</w:t>
                          </w:r>
                        </w:p>
                      </w:tc>
                    </w:tr>
                    <w:tr w:rsidR="00AD7C9A" w14:paraId="3A830904" w14:textId="77777777">
                      <w:trPr>
                        <w:cantSplit/>
                      </w:trPr>
                      <w:tc>
                        <w:tcPr>
                          <w:tcW w:w="1888" w:type="dxa"/>
                          <w:shd w:val="clear" w:color="auto" w:fill="auto"/>
                        </w:tcPr>
                        <w:p w14:paraId="10056868" w14:textId="54B67541" w:rsidR="00AD7C9A" w:rsidRDefault="00AD7C9A">
                          <w:pPr>
                            <w:pStyle w:val="doCol"/>
                          </w:pPr>
                          <w:bookmarkStart w:id="15" w:name="bmDate" w:colFirst="0" w:colLast="0"/>
                          <w:bookmarkEnd w:id="14"/>
                          <w:r>
                            <w:t>7 mei 2025</w:t>
                          </w:r>
                        </w:p>
                      </w:tc>
                    </w:tr>
                    <w:bookmarkEnd w:id="15"/>
                    <w:tr w:rsidR="00AD7C9A" w14:paraId="527753B8" w14:textId="77777777">
                      <w:trPr>
                        <w:cantSplit/>
                      </w:trPr>
                      <w:tc>
                        <w:tcPr>
                          <w:tcW w:w="1888" w:type="dxa"/>
                          <w:shd w:val="clear" w:color="auto" w:fill="auto"/>
                        </w:tcPr>
                        <w:p w14:paraId="4FFDB0E0" w14:textId="77777777" w:rsidR="00AD7C9A" w:rsidRDefault="00AD7C9A">
                          <w:pPr>
                            <w:pStyle w:val="doCol"/>
                          </w:pPr>
                        </w:p>
                      </w:tc>
                    </w:tr>
                    <w:tr w:rsidR="00AD7C9A" w14:paraId="416A68FE" w14:textId="77777777">
                      <w:trPr>
                        <w:cantSplit/>
                      </w:trPr>
                      <w:tc>
                        <w:tcPr>
                          <w:tcW w:w="1888" w:type="dxa"/>
                          <w:shd w:val="clear" w:color="auto" w:fill="auto"/>
                        </w:tcPr>
                        <w:p w14:paraId="46D3AB96" w14:textId="5676128C" w:rsidR="00AD7C9A" w:rsidRDefault="00AD7C9A">
                          <w:pPr>
                            <w:pStyle w:val="doColHeadings"/>
                          </w:pPr>
                          <w:bookmarkStart w:id="16" w:name="Author" w:colFirst="0" w:colLast="0"/>
                          <w:r>
                            <w:t>AUTEUR</w:t>
                          </w:r>
                        </w:p>
                      </w:tc>
                    </w:tr>
                    <w:tr w:rsidR="00AD7C9A" w14:paraId="0D04C6B4" w14:textId="77777777">
                      <w:trPr>
                        <w:cantSplit/>
                      </w:trPr>
                      <w:tc>
                        <w:tcPr>
                          <w:tcW w:w="1888" w:type="dxa"/>
                          <w:shd w:val="clear" w:color="auto" w:fill="auto"/>
                        </w:tcPr>
                        <w:p w14:paraId="2A4AA766" w14:textId="29F97ECB" w:rsidR="00AD7C9A" w:rsidRDefault="00AD7C9A">
                          <w:pPr>
                            <w:pStyle w:val="doCol"/>
                          </w:pPr>
                          <w:bookmarkStart w:id="17" w:name="bmAuthor" w:colFirst="0" w:colLast="0"/>
                          <w:bookmarkEnd w:id="16"/>
                          <w:r>
                            <w:t>M.A. (Michiel) van Galen, MSc.</w:t>
                          </w:r>
                        </w:p>
                      </w:tc>
                    </w:tr>
                    <w:bookmarkEnd w:id="17"/>
                    <w:tr w:rsidR="00AD7C9A" w14:paraId="570F912B" w14:textId="77777777">
                      <w:trPr>
                        <w:cantSplit/>
                      </w:trPr>
                      <w:tc>
                        <w:tcPr>
                          <w:tcW w:w="1888" w:type="dxa"/>
                          <w:shd w:val="clear" w:color="auto" w:fill="auto"/>
                        </w:tcPr>
                        <w:p w14:paraId="0B47A848" w14:textId="77777777" w:rsidR="00AD7C9A" w:rsidRDefault="00AD7C9A">
                          <w:pPr>
                            <w:pStyle w:val="doCol"/>
                          </w:pPr>
                        </w:p>
                      </w:tc>
                    </w:tr>
                    <w:tr w:rsidR="00AD7C9A" w14:paraId="5AE6C63B" w14:textId="77777777">
                      <w:trPr>
                        <w:cantSplit/>
                      </w:trPr>
                      <w:tc>
                        <w:tcPr>
                          <w:tcW w:w="1888" w:type="dxa"/>
                          <w:shd w:val="clear" w:color="auto" w:fill="auto"/>
                        </w:tcPr>
                        <w:p w14:paraId="0B41159C" w14:textId="0AB268F8" w:rsidR="00AD7C9A" w:rsidRDefault="00AD7C9A">
                          <w:pPr>
                            <w:pStyle w:val="doColHeadings"/>
                          </w:pPr>
                          <w:bookmarkStart w:id="18" w:name="Version" w:colFirst="0" w:colLast="0"/>
                          <w:r>
                            <w:t>VERSIE</w:t>
                          </w:r>
                        </w:p>
                      </w:tc>
                    </w:tr>
                    <w:tr w:rsidR="00AD7C9A" w14:paraId="24C624C8" w14:textId="77777777">
                      <w:trPr>
                        <w:cantSplit/>
                      </w:trPr>
                      <w:tc>
                        <w:tcPr>
                          <w:tcW w:w="1888" w:type="dxa"/>
                          <w:shd w:val="clear" w:color="auto" w:fill="auto"/>
                        </w:tcPr>
                        <w:p w14:paraId="624FA6FD" w14:textId="76BD17ED" w:rsidR="00AD7C9A" w:rsidRDefault="00AD7C9A">
                          <w:pPr>
                            <w:pStyle w:val="doCol"/>
                          </w:pPr>
                          <w:bookmarkStart w:id="19" w:name="bmVersion" w:colFirst="0" w:colLast="0"/>
                          <w:bookmarkEnd w:id="18"/>
                          <w:r>
                            <w:t>1</w:t>
                          </w:r>
                        </w:p>
                      </w:tc>
                    </w:tr>
                    <w:bookmarkEnd w:id="19"/>
                    <w:tr w:rsidR="00AD7C9A" w14:paraId="58904CDA" w14:textId="77777777">
                      <w:trPr>
                        <w:cantSplit/>
                      </w:trPr>
                      <w:tc>
                        <w:tcPr>
                          <w:tcW w:w="1888" w:type="dxa"/>
                          <w:shd w:val="clear" w:color="auto" w:fill="auto"/>
                        </w:tcPr>
                        <w:p w14:paraId="607DE392" w14:textId="77777777" w:rsidR="00AD7C9A" w:rsidRDefault="00AD7C9A">
                          <w:pPr>
                            <w:pStyle w:val="doCol"/>
                          </w:pPr>
                        </w:p>
                      </w:tc>
                    </w:tr>
                    <w:tr w:rsidR="00AD7C9A" w14:paraId="02C2BC2D" w14:textId="77777777">
                      <w:trPr>
                        <w:cantSplit/>
                      </w:trPr>
                      <w:tc>
                        <w:tcPr>
                          <w:tcW w:w="1888" w:type="dxa"/>
                          <w:shd w:val="clear" w:color="auto" w:fill="auto"/>
                        </w:tcPr>
                        <w:p w14:paraId="32E127DB" w14:textId="7971AFFB" w:rsidR="00AD7C9A" w:rsidRDefault="00AD7C9A">
                          <w:pPr>
                            <w:pStyle w:val="doColHeadings"/>
                          </w:pPr>
                          <w:bookmarkStart w:id="20" w:name="Status" w:colFirst="0" w:colLast="0"/>
                          <w:r>
                            <w:t>STATUS</w:t>
                          </w:r>
                        </w:p>
                      </w:tc>
                    </w:tr>
                    <w:tr w:rsidR="00AD7C9A" w14:paraId="08ED6B3C" w14:textId="77777777">
                      <w:trPr>
                        <w:cantSplit/>
                      </w:trPr>
                      <w:tc>
                        <w:tcPr>
                          <w:tcW w:w="1888" w:type="dxa"/>
                          <w:shd w:val="clear" w:color="auto" w:fill="auto"/>
                        </w:tcPr>
                        <w:p w14:paraId="03B9C5FF" w14:textId="4F4BCCB8" w:rsidR="00AD7C9A" w:rsidRDefault="00AD7C9A">
                          <w:pPr>
                            <w:pStyle w:val="doCol"/>
                          </w:pPr>
                          <w:bookmarkStart w:id="21" w:name="bmStatus" w:colFirst="0" w:colLast="0"/>
                          <w:bookmarkEnd w:id="20"/>
                          <w:r>
                            <w:t>draft</w:t>
                          </w:r>
                        </w:p>
                      </w:tc>
                    </w:tr>
                    <w:bookmarkEnd w:id="13"/>
                    <w:bookmarkEnd w:id="21"/>
                  </w:tbl>
                  <w:p w14:paraId="31368307" w14:textId="77777777" w:rsidR="006D7B03" w:rsidRDefault="006D7B03"/>
                </w:txbxContent>
              </v:textbox>
              <w10:wrap anchorx="page" anchory="page"/>
              <w10:anchorlock/>
            </v:shape>
          </w:pict>
        </mc:Fallback>
      </mc:AlternateContent>
    </w:r>
  </w:p>
  <w:p w14:paraId="45C2CB6E" w14:textId="77777777" w:rsidR="00613C1A" w:rsidRDefault="00613C1A">
    <w:pPr>
      <w:pStyle w:val="Header"/>
    </w:pPr>
  </w:p>
  <w:p w14:paraId="5D031373" w14:textId="77777777" w:rsidR="00613C1A" w:rsidRDefault="00613C1A">
    <w:pPr>
      <w:pStyle w:val="Header"/>
    </w:pPr>
  </w:p>
  <w:p w14:paraId="5A0E1079" w14:textId="77777777" w:rsidR="00613C1A" w:rsidRDefault="00613C1A">
    <w:pPr>
      <w:pStyle w:val="Header"/>
    </w:pPr>
  </w:p>
  <w:p w14:paraId="689AC8CC" w14:textId="77777777" w:rsidR="00613C1A" w:rsidRDefault="00613C1A">
    <w:pPr>
      <w:pStyle w:val="Header"/>
    </w:pPr>
  </w:p>
  <w:p w14:paraId="151627F5" w14:textId="77777777" w:rsidR="00FA0CB5" w:rsidRDefault="00FA0CB5">
    <w:pPr>
      <w:pStyle w:val="Header"/>
    </w:pPr>
  </w:p>
  <w:p w14:paraId="0E07A06C" w14:textId="77777777" w:rsidR="00613C1A" w:rsidRDefault="008327F3" w:rsidP="00D427E6">
    <w:pPr>
      <w:pStyle w:val="Header"/>
    </w:pPr>
    <w:r>
      <w:rPr>
        <w:noProof/>
      </w:rPr>
      <mc:AlternateContent>
        <mc:Choice Requires="wps">
          <w:drawing>
            <wp:anchor distT="0" distB="0" distL="114300" distR="114300" simplePos="0" relativeHeight="251657216" behindDoc="0" locked="1" layoutInCell="1" allowOverlap="1" wp14:anchorId="2C26F612" wp14:editId="6DBAEB80">
              <wp:simplePos x="0" y="0"/>
              <wp:positionH relativeFrom="page">
                <wp:posOffset>6049010</wp:posOffset>
              </wp:positionH>
              <wp:positionV relativeFrom="page">
                <wp:posOffset>1871980</wp:posOffset>
              </wp:positionV>
              <wp:extent cx="0" cy="8423910"/>
              <wp:effectExtent l="10160" t="5080" r="889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FA01"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8ysAEAAEgDAAAOAAAAZHJzL2Uyb0RvYy54bWysU8tu2zAQvBfoPxC815KdNkg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" strokeweight=".5pt">
              <w10:wrap anchorx="page" anchory="page"/>
              <w10:anchorlock/>
            </v:line>
          </w:pict>
        </mc:Fallback>
      </mc:AlternateContent>
    </w:r>
    <w:r>
      <w:rPr>
        <w:noProof/>
      </w:rPr>
      <mc:AlternateContent>
        <mc:Choice Requires="wps">
          <w:drawing>
            <wp:anchor distT="0" distB="0" distL="114300" distR="114300" simplePos="0" relativeHeight="251654144" behindDoc="0" locked="0" layoutInCell="1" allowOverlap="1" wp14:anchorId="36E97AF9" wp14:editId="361F6478">
              <wp:simplePos x="0" y="0"/>
              <wp:positionH relativeFrom="column">
                <wp:posOffset>4749800</wp:posOffset>
              </wp:positionH>
              <wp:positionV relativeFrom="paragraph">
                <wp:posOffset>292735</wp:posOffset>
              </wp:positionV>
              <wp:extent cx="1383030" cy="8390255"/>
              <wp:effectExtent l="0" t="0" r="127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83905" w14:textId="77777777" w:rsidR="00AE73D0" w:rsidRDefault="00AE73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97AF9" id="Text Box 4" o:spid="_x0000_s1029" type="#_x0000_t202" style="position:absolute;margin-left:374pt;margin-top:23.05pt;width:108.9pt;height:66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" filled="f" stroked="f">
              <v:textbox>
                <w:txbxContent>
                  <w:p w14:paraId="1D883905" w14:textId="77777777" w:rsidR="00AE73D0" w:rsidRDefault="00AE73D0"/>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1D7C" w14:textId="77777777" w:rsidR="00BC4B3C" w:rsidRDefault="00BC4B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F221" w14:textId="77777777" w:rsidR="007E3125" w:rsidRDefault="007E3125" w:rsidP="002C3C3D"/>
  <w:p w14:paraId="0E527E3C" w14:textId="77777777" w:rsidR="007E3125" w:rsidRDefault="007E3125" w:rsidP="00D427E6">
    <w:pPr>
      <w:pStyle w:val="Header"/>
      <w:spacing w:line="380" w:lineRule="exact"/>
    </w:pPr>
  </w:p>
  <w:p w14:paraId="0DC177A7" w14:textId="77777777" w:rsidR="007E3125" w:rsidRDefault="007E3125">
    <w:pPr>
      <w:pStyle w:val="Header"/>
    </w:pPr>
  </w:p>
  <w:p w14:paraId="5217F4F5" w14:textId="77777777" w:rsidR="007E3125" w:rsidRDefault="007E3125">
    <w:pPr>
      <w:pStyle w:val="Header"/>
    </w:pPr>
  </w:p>
  <w:p w14:paraId="7C1D2E6F" w14:textId="77777777" w:rsidR="007E3125" w:rsidRDefault="007E3125">
    <w:pPr>
      <w:pStyle w:val="Header"/>
    </w:pPr>
  </w:p>
  <w:p w14:paraId="068B4F2A" w14:textId="77777777" w:rsidR="007E3125" w:rsidRDefault="007E3125">
    <w:pPr>
      <w:pStyle w:val="Header"/>
    </w:pPr>
  </w:p>
  <w:p w14:paraId="2968B508" w14:textId="77777777" w:rsidR="007E3125" w:rsidRDefault="008327F3" w:rsidP="00D427E6">
    <w:pPr>
      <w:pStyle w:val="Header"/>
    </w:pPr>
    <w:r>
      <w:rPr>
        <w:noProof/>
      </w:rPr>
      <mc:AlternateContent>
        <mc:Choice Requires="wps">
          <w:drawing>
            <wp:anchor distT="0" distB="0" distL="114300" distR="114300" simplePos="0" relativeHeight="251660288" behindDoc="0" locked="1" layoutInCell="1" allowOverlap="1" wp14:anchorId="6D5E2A68" wp14:editId="508DB750">
              <wp:simplePos x="0" y="0"/>
              <wp:positionH relativeFrom="page">
                <wp:posOffset>6049010</wp:posOffset>
              </wp:positionH>
              <wp:positionV relativeFrom="page">
                <wp:posOffset>1871980</wp:posOffset>
              </wp:positionV>
              <wp:extent cx="0" cy="8423910"/>
              <wp:effectExtent l="10160" t="5080" r="8890" b="1016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7C0CB" id="Line 2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" strokeweight=".25pt">
              <w10:wrap anchorx="page" anchory="page"/>
              <w10:anchorlock/>
            </v:line>
          </w:pict>
        </mc:Fallback>
      </mc:AlternateContent>
    </w:r>
    <w:r>
      <w:rPr>
        <w:noProof/>
      </w:rPr>
      <mc:AlternateContent>
        <mc:Choice Requires="wps">
          <w:drawing>
            <wp:anchor distT="0" distB="0" distL="114300" distR="114300" simplePos="0" relativeHeight="251659264" behindDoc="0" locked="0" layoutInCell="1" allowOverlap="1" wp14:anchorId="67BE68AD" wp14:editId="0EC2B547">
              <wp:simplePos x="0" y="0"/>
              <wp:positionH relativeFrom="column">
                <wp:posOffset>4749800</wp:posOffset>
              </wp:positionH>
              <wp:positionV relativeFrom="paragraph">
                <wp:posOffset>292735</wp:posOffset>
              </wp:positionV>
              <wp:extent cx="1383030" cy="8390255"/>
              <wp:effectExtent l="0" t="0" r="127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F8766" w14:textId="77777777" w:rsidR="007E3125" w:rsidRDefault="007E3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E68AD" id="_x0000_t202" coordsize="21600,21600" o:spt="202" path="m,l,21600r21600,l21600,xe">
              <v:stroke joinstyle="miter"/>
              <v:path gradientshapeok="t" o:connecttype="rect"/>
            </v:shapetype>
            <v:shape id="Text Box 17" o:spid="_x0000_s1030" type="#_x0000_t202" style="position:absolute;margin-left:374pt;margin-top:23.05pt;width:108.9pt;height:6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" filled="f" stroked="f">
              <v:textbox>
                <w:txbxContent>
                  <w:p w14:paraId="386F8766" w14:textId="77777777" w:rsidR="007E3125" w:rsidRDefault="007E3125"/>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116A" w14:textId="77777777" w:rsidR="00331650" w:rsidRDefault="00331650" w:rsidP="002C3C3D"/>
  <w:p w14:paraId="112A0FF0" w14:textId="77777777" w:rsidR="00331650" w:rsidRDefault="00331650" w:rsidP="00D427E6">
    <w:pPr>
      <w:pStyle w:val="Header"/>
      <w:spacing w:line="380" w:lineRule="exact"/>
    </w:pPr>
  </w:p>
  <w:p w14:paraId="15B22A67" w14:textId="77777777" w:rsidR="00331650" w:rsidRDefault="00331650">
    <w:pPr>
      <w:pStyle w:val="Header"/>
    </w:pPr>
  </w:p>
  <w:p w14:paraId="6F117E71" w14:textId="77777777" w:rsidR="00331650" w:rsidRDefault="00331650">
    <w:pPr>
      <w:pStyle w:val="Header"/>
    </w:pPr>
  </w:p>
  <w:p w14:paraId="0D2CAAC4" w14:textId="77777777" w:rsidR="00331650" w:rsidRDefault="00331650">
    <w:pPr>
      <w:pStyle w:val="Header"/>
    </w:pPr>
  </w:p>
  <w:p w14:paraId="059FE278" w14:textId="77777777" w:rsidR="00331650" w:rsidRDefault="00331650">
    <w:pPr>
      <w:pStyle w:val="Header"/>
    </w:pPr>
  </w:p>
  <w:p w14:paraId="61BFD116" w14:textId="77777777" w:rsidR="00331650" w:rsidRDefault="008327F3" w:rsidP="00D427E6">
    <w:pPr>
      <w:pStyle w:val="Header"/>
    </w:pPr>
    <w:r>
      <w:rPr>
        <w:noProof/>
      </w:rPr>
      <mc:AlternateContent>
        <mc:Choice Requires="wps">
          <w:drawing>
            <wp:anchor distT="0" distB="0" distL="114300" distR="114300" simplePos="0" relativeHeight="251658240" behindDoc="0" locked="0" layoutInCell="1" allowOverlap="1" wp14:anchorId="1B8632DE" wp14:editId="065A28B9">
              <wp:simplePos x="0" y="0"/>
              <wp:positionH relativeFrom="column">
                <wp:posOffset>4749800</wp:posOffset>
              </wp:positionH>
              <wp:positionV relativeFrom="paragraph">
                <wp:posOffset>292735</wp:posOffset>
              </wp:positionV>
              <wp:extent cx="1383030" cy="8390255"/>
              <wp:effectExtent l="0" t="0" r="127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F3567" w14:textId="77777777" w:rsidR="00331650" w:rsidRDefault="003316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632DE" id="_x0000_t202" coordsize="21600,21600" o:spt="202" path="m,l,21600r21600,l21600,xe">
              <v:stroke joinstyle="miter"/>
              <v:path gradientshapeok="t" o:connecttype="rect"/>
            </v:shapetype>
            <v:shape id="Text Box 12" o:spid="_x0000_s1031" type="#_x0000_t202" style="position:absolute;margin-left:374pt;margin-top:23.05pt;width:108.9pt;height:6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" filled="f" stroked="f">
              <v:textbox>
                <w:txbxContent>
                  <w:p w14:paraId="013F3567" w14:textId="77777777" w:rsidR="00331650" w:rsidRDefault="0033165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990"/>
    <w:multiLevelType w:val="hybridMultilevel"/>
    <w:tmpl w:val="34865872"/>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096373"/>
    <w:multiLevelType w:val="hybridMultilevel"/>
    <w:tmpl w:val="FABC8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12F35"/>
    <w:multiLevelType w:val="hybridMultilevel"/>
    <w:tmpl w:val="7E7486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3736CA"/>
    <w:multiLevelType w:val="hybridMultilevel"/>
    <w:tmpl w:val="BF8AA560"/>
    <w:lvl w:ilvl="0" w:tplc="0413000F">
      <w:start w:val="1"/>
      <w:numFmt w:val="decimal"/>
      <w:lvlText w:val="%1."/>
      <w:lvlJc w:val="left"/>
      <w:pPr>
        <w:ind w:left="360" w:hanging="360"/>
      </w:pPr>
      <w:rPr>
        <w:rFonts w:hint="default"/>
      </w:rPr>
    </w:lvl>
    <w:lvl w:ilvl="1" w:tplc="C5E466A6">
      <w:start w:val="2"/>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FE334E"/>
    <w:multiLevelType w:val="hybridMultilevel"/>
    <w:tmpl w:val="E03E2A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46269F"/>
    <w:multiLevelType w:val="hybridMultilevel"/>
    <w:tmpl w:val="CD2A4674"/>
    <w:lvl w:ilvl="0" w:tplc="7F346DB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342608"/>
    <w:multiLevelType w:val="hybridMultilevel"/>
    <w:tmpl w:val="63D09870"/>
    <w:lvl w:ilvl="0" w:tplc="A4E8080C">
      <w:start w:val="1"/>
      <w:numFmt w:val="decimal"/>
      <w:lvlText w:val="%1)"/>
      <w:lvlJc w:val="left"/>
      <w:pPr>
        <w:ind w:left="1020" w:hanging="360"/>
      </w:pPr>
    </w:lvl>
    <w:lvl w:ilvl="1" w:tplc="0514338E">
      <w:start w:val="1"/>
      <w:numFmt w:val="decimal"/>
      <w:lvlText w:val="%2)"/>
      <w:lvlJc w:val="left"/>
      <w:pPr>
        <w:ind w:left="1020" w:hanging="360"/>
      </w:pPr>
    </w:lvl>
    <w:lvl w:ilvl="2" w:tplc="18467FE2">
      <w:start w:val="1"/>
      <w:numFmt w:val="decimal"/>
      <w:lvlText w:val="%3)"/>
      <w:lvlJc w:val="left"/>
      <w:pPr>
        <w:ind w:left="1020" w:hanging="360"/>
      </w:pPr>
    </w:lvl>
    <w:lvl w:ilvl="3" w:tplc="87B830AC">
      <w:start w:val="1"/>
      <w:numFmt w:val="decimal"/>
      <w:lvlText w:val="%4)"/>
      <w:lvlJc w:val="left"/>
      <w:pPr>
        <w:ind w:left="1020" w:hanging="360"/>
      </w:pPr>
    </w:lvl>
    <w:lvl w:ilvl="4" w:tplc="C646F85A">
      <w:start w:val="1"/>
      <w:numFmt w:val="decimal"/>
      <w:lvlText w:val="%5)"/>
      <w:lvlJc w:val="left"/>
      <w:pPr>
        <w:ind w:left="1020" w:hanging="360"/>
      </w:pPr>
    </w:lvl>
    <w:lvl w:ilvl="5" w:tplc="4FC81C16">
      <w:start w:val="1"/>
      <w:numFmt w:val="decimal"/>
      <w:lvlText w:val="%6)"/>
      <w:lvlJc w:val="left"/>
      <w:pPr>
        <w:ind w:left="1020" w:hanging="360"/>
      </w:pPr>
    </w:lvl>
    <w:lvl w:ilvl="6" w:tplc="E0A0D8B8">
      <w:start w:val="1"/>
      <w:numFmt w:val="decimal"/>
      <w:lvlText w:val="%7)"/>
      <w:lvlJc w:val="left"/>
      <w:pPr>
        <w:ind w:left="1020" w:hanging="360"/>
      </w:pPr>
    </w:lvl>
    <w:lvl w:ilvl="7" w:tplc="BD2CB512">
      <w:start w:val="1"/>
      <w:numFmt w:val="decimal"/>
      <w:lvlText w:val="%8)"/>
      <w:lvlJc w:val="left"/>
      <w:pPr>
        <w:ind w:left="1020" w:hanging="360"/>
      </w:pPr>
    </w:lvl>
    <w:lvl w:ilvl="8" w:tplc="0330827E">
      <w:start w:val="1"/>
      <w:numFmt w:val="decimal"/>
      <w:lvlText w:val="%9)"/>
      <w:lvlJc w:val="left"/>
      <w:pPr>
        <w:ind w:left="1020" w:hanging="360"/>
      </w:pPr>
    </w:lvl>
  </w:abstractNum>
  <w:abstractNum w:abstractNumId="7" w15:restartNumberingAfterBreak="0">
    <w:nsid w:val="251004A8"/>
    <w:multiLevelType w:val="hybridMultilevel"/>
    <w:tmpl w:val="18DE52C6"/>
    <w:lvl w:ilvl="0" w:tplc="CD943CB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1A0B17"/>
    <w:multiLevelType w:val="hybridMultilevel"/>
    <w:tmpl w:val="8AD450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4A0E6F"/>
    <w:multiLevelType w:val="hybridMultilevel"/>
    <w:tmpl w:val="EF64755C"/>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F707AE"/>
    <w:multiLevelType w:val="multilevel"/>
    <w:tmpl w:val="080054D0"/>
    <w:numStyleLink w:val="doHN"/>
  </w:abstractNum>
  <w:abstractNum w:abstractNumId="11" w15:restartNumberingAfterBreak="0">
    <w:nsid w:val="28074F9A"/>
    <w:multiLevelType w:val="multilevel"/>
    <w:tmpl w:val="080054D0"/>
    <w:styleLink w:val="doHN"/>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decimal"/>
      <w:pStyle w:val="Heading4"/>
      <w:lvlText w:val="%1.%2.%3.%4"/>
      <w:lvlJc w:val="left"/>
      <w:pPr>
        <w:tabs>
          <w:tab w:val="num" w:pos="709"/>
        </w:tabs>
        <w:ind w:left="709" w:hanging="709"/>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94B68FF"/>
    <w:multiLevelType w:val="hybridMultilevel"/>
    <w:tmpl w:val="5DF88786"/>
    <w:lvl w:ilvl="0" w:tplc="3A2AD0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B44EBD"/>
    <w:multiLevelType w:val="hybridMultilevel"/>
    <w:tmpl w:val="028616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3E1577"/>
    <w:multiLevelType w:val="hybridMultilevel"/>
    <w:tmpl w:val="35BE2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EB0363"/>
    <w:multiLevelType w:val="hybridMultilevel"/>
    <w:tmpl w:val="0F12883E"/>
    <w:lvl w:ilvl="0" w:tplc="F410C8E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7268CF"/>
    <w:multiLevelType w:val="hybridMultilevel"/>
    <w:tmpl w:val="308606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3177B3A"/>
    <w:multiLevelType w:val="hybridMultilevel"/>
    <w:tmpl w:val="D05E6362"/>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7A11E4"/>
    <w:multiLevelType w:val="multilevel"/>
    <w:tmpl w:val="080054D0"/>
    <w:numStyleLink w:val="doHN"/>
  </w:abstractNum>
  <w:abstractNum w:abstractNumId="19" w15:restartNumberingAfterBreak="0">
    <w:nsid w:val="48E42993"/>
    <w:multiLevelType w:val="hybridMultilevel"/>
    <w:tmpl w:val="34D07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801E8F"/>
    <w:multiLevelType w:val="hybridMultilevel"/>
    <w:tmpl w:val="7B9A3FA4"/>
    <w:lvl w:ilvl="0" w:tplc="0409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297B5D"/>
    <w:multiLevelType w:val="hybridMultilevel"/>
    <w:tmpl w:val="01D6A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8A17274"/>
    <w:multiLevelType w:val="hybridMultilevel"/>
    <w:tmpl w:val="2FA66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001548"/>
    <w:multiLevelType w:val="hybridMultilevel"/>
    <w:tmpl w:val="50B221FA"/>
    <w:lvl w:ilvl="0" w:tplc="F410C8E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72163C"/>
    <w:multiLevelType w:val="hybridMultilevel"/>
    <w:tmpl w:val="5F9C6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8E631C"/>
    <w:multiLevelType w:val="multilevel"/>
    <w:tmpl w:val="080054D0"/>
    <w:numStyleLink w:val="doHN"/>
  </w:abstractNum>
  <w:abstractNum w:abstractNumId="26" w15:restartNumberingAfterBreak="0">
    <w:nsid w:val="639350E4"/>
    <w:multiLevelType w:val="hybridMultilevel"/>
    <w:tmpl w:val="01DEF2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4154BBC"/>
    <w:multiLevelType w:val="hybridMultilevel"/>
    <w:tmpl w:val="69B6FE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B7C36D7"/>
    <w:multiLevelType w:val="hybridMultilevel"/>
    <w:tmpl w:val="3B8CC2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BA03826"/>
    <w:multiLevelType w:val="hybridMultilevel"/>
    <w:tmpl w:val="88405E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2C11C4"/>
    <w:multiLevelType w:val="hybridMultilevel"/>
    <w:tmpl w:val="978E8A34"/>
    <w:lvl w:ilvl="0" w:tplc="F410C8E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157779"/>
    <w:multiLevelType w:val="hybridMultilevel"/>
    <w:tmpl w:val="66FA19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3CA611F"/>
    <w:multiLevelType w:val="hybridMultilevel"/>
    <w:tmpl w:val="5DD4F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AD218AB"/>
    <w:multiLevelType w:val="hybridMultilevel"/>
    <w:tmpl w:val="1F068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181A84"/>
    <w:multiLevelType w:val="hybridMultilevel"/>
    <w:tmpl w:val="EF1232D4"/>
    <w:lvl w:ilvl="0" w:tplc="3A2AD0DE">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81754639">
    <w:abstractNumId w:val="11"/>
  </w:num>
  <w:num w:numId="2" w16cid:durableId="1690064495">
    <w:abstractNumId w:val="10"/>
  </w:num>
  <w:num w:numId="3" w16cid:durableId="266160605">
    <w:abstractNumId w:val="25"/>
  </w:num>
  <w:num w:numId="4" w16cid:durableId="1351108466">
    <w:abstractNumId w:val="18"/>
  </w:num>
  <w:num w:numId="5" w16cid:durableId="1032804711">
    <w:abstractNumId w:val="11"/>
  </w:num>
  <w:num w:numId="6" w16cid:durableId="1234706760">
    <w:abstractNumId w:val="11"/>
  </w:num>
  <w:num w:numId="7" w16cid:durableId="444009751">
    <w:abstractNumId w:val="11"/>
  </w:num>
  <w:num w:numId="8" w16cid:durableId="790052897">
    <w:abstractNumId w:val="1"/>
  </w:num>
  <w:num w:numId="9" w16cid:durableId="489057798">
    <w:abstractNumId w:val="12"/>
  </w:num>
  <w:num w:numId="10" w16cid:durableId="2041315410">
    <w:abstractNumId w:val="34"/>
  </w:num>
  <w:num w:numId="11" w16cid:durableId="742722996">
    <w:abstractNumId w:val="17"/>
  </w:num>
  <w:num w:numId="12" w16cid:durableId="1620067512">
    <w:abstractNumId w:val="14"/>
  </w:num>
  <w:num w:numId="13" w16cid:durableId="501312925">
    <w:abstractNumId w:val="3"/>
  </w:num>
  <w:num w:numId="14" w16cid:durableId="553086616">
    <w:abstractNumId w:val="15"/>
  </w:num>
  <w:num w:numId="15" w16cid:durableId="211238860">
    <w:abstractNumId w:val="9"/>
  </w:num>
  <w:num w:numId="16" w16cid:durableId="1123843061">
    <w:abstractNumId w:val="20"/>
  </w:num>
  <w:num w:numId="17" w16cid:durableId="1564868727">
    <w:abstractNumId w:val="0"/>
  </w:num>
  <w:num w:numId="18" w16cid:durableId="1016036309">
    <w:abstractNumId w:val="30"/>
  </w:num>
  <w:num w:numId="19" w16cid:durableId="815681316">
    <w:abstractNumId w:val="21"/>
  </w:num>
  <w:num w:numId="20" w16cid:durableId="1754280049">
    <w:abstractNumId w:val="4"/>
  </w:num>
  <w:num w:numId="21" w16cid:durableId="1723212589">
    <w:abstractNumId w:val="13"/>
  </w:num>
  <w:num w:numId="22" w16cid:durableId="619920787">
    <w:abstractNumId w:val="28"/>
  </w:num>
  <w:num w:numId="23" w16cid:durableId="838545505">
    <w:abstractNumId w:val="16"/>
  </w:num>
  <w:num w:numId="24" w16cid:durableId="1015035996">
    <w:abstractNumId w:val="29"/>
  </w:num>
  <w:num w:numId="25" w16cid:durableId="1648703593">
    <w:abstractNumId w:val="26"/>
  </w:num>
  <w:num w:numId="26" w16cid:durableId="685790389">
    <w:abstractNumId w:val="27"/>
  </w:num>
  <w:num w:numId="27" w16cid:durableId="615217266">
    <w:abstractNumId w:val="2"/>
  </w:num>
  <w:num w:numId="28" w16cid:durableId="716507879">
    <w:abstractNumId w:val="32"/>
  </w:num>
  <w:num w:numId="29" w16cid:durableId="1138305000">
    <w:abstractNumId w:val="8"/>
  </w:num>
  <w:num w:numId="30" w16cid:durableId="275451312">
    <w:abstractNumId w:val="24"/>
  </w:num>
  <w:num w:numId="31" w16cid:durableId="727654928">
    <w:abstractNumId w:val="31"/>
  </w:num>
  <w:num w:numId="32" w16cid:durableId="1312128306">
    <w:abstractNumId w:val="19"/>
  </w:num>
  <w:num w:numId="33" w16cid:durableId="1517307626">
    <w:abstractNumId w:val="6"/>
  </w:num>
  <w:num w:numId="34" w16cid:durableId="1422525118">
    <w:abstractNumId w:val="22"/>
  </w:num>
  <w:num w:numId="35" w16cid:durableId="405343074">
    <w:abstractNumId w:val="7"/>
  </w:num>
  <w:num w:numId="36" w16cid:durableId="389109953">
    <w:abstractNumId w:val="5"/>
  </w:num>
  <w:num w:numId="37" w16cid:durableId="1832333031">
    <w:abstractNumId w:val="33"/>
  </w:num>
  <w:num w:numId="38" w16cid:durableId="4549538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1002|1002,1002|1002"/>
    <w:docVar w:name="signer" w:val="&lt;?xml version=&quot;1.0&quot;?&gt;_x000d__x000a_&lt;Profile xmlns:xsi=&quot;http://www.w3.org/2001/XMLSchema-instance&quot; xmlns:xsd=&quot;http://www.w3.org/2001/XMLSchema&quot;&gt;_x000d__x000a_  &lt;ID&gt;1d7311b5-5c54-4e1b-8efa-8500152e9066&lt;/ID&gt;_x000d__x000a_  &lt;profileAlias&gt;M.A. (Michiel) van Galen, MSc.&lt;/profileAlias&gt;_x000d__x000a_  &lt;cboDepartment&gt;Wageningen Economic Research&lt;/cboDepartment&gt;_x000d__x000a_  &lt;txtBU /&gt;_x000d__x000a_  &lt;txtBU_UK /&gt;_x000d__x000a_  &lt;txtURL /&gt;_x000d__x000a_  &lt;txtURL2 /&gt;_x000d__x000a_  &lt;txtBank&gt;NL68RABO0300090641&lt;/txtBank&gt;_x000d__x000a_  &lt;txtBank_UK /&gt;_x000d__x000a_  &lt;txtVAT&gt;NL8113.83.696.B05 | KvK 09098104&lt;/txtVAT&gt;_x000d__x000a_  &lt;txtSignerName&gt;M.A. (Michiel) van Galen, MSc.&lt;/txtSignerName&gt;_x000d__x000a_  &lt;txtFunction&gt;Project manager&lt;/txtFunction&gt;_x000d__x000a_  &lt;txtFunction_UK&gt;Project manager&lt;/txtFunction_UK&gt;_x000d__x000a_  &lt;txtTelephone&gt;+31 (0)70 335 82 03&lt;/txtTelephone&gt;_x000d__x000a_  &lt;txtFax /&gt;_x000d__x000a_  &lt;txtEmail&gt;michiel.vangalen@wur.nl&lt;/txtEmail&gt;_x000d__x000a_  &lt;txtPOBox&gt;29703&lt;/txtPOBox&gt;_x000d__x000a_  &lt;txtPCPost&gt;2502 LS&lt;/txtPCPost&gt;_x000d__x000a_  &lt;txtCityPost&gt;The Hague&lt;/txtCityPost&gt;_x000d__x000a_  &lt;txtBuilding /&gt;_x000d__x000a_  &lt;txtAddress&gt;Prinses Beatrixlaan 582-528&lt;/txtAddress&gt;_x000d__x000a_  &lt;txtPCVisit&gt;2595 BM&lt;/txtPCVisit&gt;_x000d__x000a_  &lt;txtCityVisit&gt;The Hague&lt;/txtCityVisit&gt;_x000d__x000a_  &lt;txtSignatureFile&gt;\\wurnet.nl\homes\galen002\My Documents\My Pictures\Handtekening M van Galen.JPG&lt;/txtSignatureFile&gt;_x000d__x000a_&lt;/Profile&gt;"/>
    <w:docVar w:name="StylesCopied" w:val="-1"/>
  </w:docVars>
  <w:rsids>
    <w:rsidRoot w:val="00620351"/>
    <w:rsid w:val="00000B30"/>
    <w:rsid w:val="00002DBE"/>
    <w:rsid w:val="000070D4"/>
    <w:rsid w:val="00010FC9"/>
    <w:rsid w:val="00011EE8"/>
    <w:rsid w:val="000135DD"/>
    <w:rsid w:val="000144B5"/>
    <w:rsid w:val="00014559"/>
    <w:rsid w:val="00014A30"/>
    <w:rsid w:val="00016D98"/>
    <w:rsid w:val="0002157F"/>
    <w:rsid w:val="000238C9"/>
    <w:rsid w:val="0002493D"/>
    <w:rsid w:val="00024A37"/>
    <w:rsid w:val="00026AA6"/>
    <w:rsid w:val="000275E8"/>
    <w:rsid w:val="00027E95"/>
    <w:rsid w:val="00030C13"/>
    <w:rsid w:val="0003137A"/>
    <w:rsid w:val="000318E0"/>
    <w:rsid w:val="00035532"/>
    <w:rsid w:val="00040090"/>
    <w:rsid w:val="00042730"/>
    <w:rsid w:val="000468FE"/>
    <w:rsid w:val="000506F1"/>
    <w:rsid w:val="00051B36"/>
    <w:rsid w:val="00053934"/>
    <w:rsid w:val="00054205"/>
    <w:rsid w:val="00054C2C"/>
    <w:rsid w:val="00057A2D"/>
    <w:rsid w:val="00057C20"/>
    <w:rsid w:val="00066437"/>
    <w:rsid w:val="00067AA0"/>
    <w:rsid w:val="00070322"/>
    <w:rsid w:val="00071381"/>
    <w:rsid w:val="00072F4C"/>
    <w:rsid w:val="00073790"/>
    <w:rsid w:val="00075433"/>
    <w:rsid w:val="000805D9"/>
    <w:rsid w:val="00080690"/>
    <w:rsid w:val="00082635"/>
    <w:rsid w:val="00082ABE"/>
    <w:rsid w:val="000844B4"/>
    <w:rsid w:val="00084B97"/>
    <w:rsid w:val="00085B7B"/>
    <w:rsid w:val="00085D89"/>
    <w:rsid w:val="00090FE6"/>
    <w:rsid w:val="0009433C"/>
    <w:rsid w:val="00094CF7"/>
    <w:rsid w:val="0009511A"/>
    <w:rsid w:val="0009753B"/>
    <w:rsid w:val="000A233B"/>
    <w:rsid w:val="000A2863"/>
    <w:rsid w:val="000A4322"/>
    <w:rsid w:val="000A4BA4"/>
    <w:rsid w:val="000A5757"/>
    <w:rsid w:val="000A62B0"/>
    <w:rsid w:val="000A79E9"/>
    <w:rsid w:val="000B449C"/>
    <w:rsid w:val="000B790E"/>
    <w:rsid w:val="000B7D48"/>
    <w:rsid w:val="000B7EEE"/>
    <w:rsid w:val="000B7FC7"/>
    <w:rsid w:val="000C0CBD"/>
    <w:rsid w:val="000C0CF6"/>
    <w:rsid w:val="000C1823"/>
    <w:rsid w:val="000C2EA2"/>
    <w:rsid w:val="000C334A"/>
    <w:rsid w:val="000C624B"/>
    <w:rsid w:val="000D033C"/>
    <w:rsid w:val="000D0BDA"/>
    <w:rsid w:val="000D1CA7"/>
    <w:rsid w:val="000D2E60"/>
    <w:rsid w:val="000D4BD1"/>
    <w:rsid w:val="000D54D0"/>
    <w:rsid w:val="000D6357"/>
    <w:rsid w:val="000E17A8"/>
    <w:rsid w:val="000E1BD1"/>
    <w:rsid w:val="000E26B8"/>
    <w:rsid w:val="000E38AB"/>
    <w:rsid w:val="000E38CB"/>
    <w:rsid w:val="000E4659"/>
    <w:rsid w:val="000F0C93"/>
    <w:rsid w:val="000F3D27"/>
    <w:rsid w:val="000F44C7"/>
    <w:rsid w:val="000F4BA9"/>
    <w:rsid w:val="000F4BBF"/>
    <w:rsid w:val="000F5AE4"/>
    <w:rsid w:val="000F72D2"/>
    <w:rsid w:val="001022A7"/>
    <w:rsid w:val="001023EB"/>
    <w:rsid w:val="001024AC"/>
    <w:rsid w:val="0010256F"/>
    <w:rsid w:val="00102DF1"/>
    <w:rsid w:val="00104E4F"/>
    <w:rsid w:val="00105139"/>
    <w:rsid w:val="00105713"/>
    <w:rsid w:val="001075EA"/>
    <w:rsid w:val="00113B89"/>
    <w:rsid w:val="00113D6B"/>
    <w:rsid w:val="00113F45"/>
    <w:rsid w:val="00114434"/>
    <w:rsid w:val="00117EC8"/>
    <w:rsid w:val="00117EF5"/>
    <w:rsid w:val="00122192"/>
    <w:rsid w:val="00122C7B"/>
    <w:rsid w:val="00127D9F"/>
    <w:rsid w:val="00130D7F"/>
    <w:rsid w:val="0013100B"/>
    <w:rsid w:val="001325C0"/>
    <w:rsid w:val="001334C3"/>
    <w:rsid w:val="00133D9F"/>
    <w:rsid w:val="00135F35"/>
    <w:rsid w:val="00136731"/>
    <w:rsid w:val="00136DC9"/>
    <w:rsid w:val="00136F30"/>
    <w:rsid w:val="00141F73"/>
    <w:rsid w:val="00142E3B"/>
    <w:rsid w:val="001431D9"/>
    <w:rsid w:val="0014377B"/>
    <w:rsid w:val="00145266"/>
    <w:rsid w:val="001474A4"/>
    <w:rsid w:val="001508F3"/>
    <w:rsid w:val="001521FE"/>
    <w:rsid w:val="0015689C"/>
    <w:rsid w:val="00163056"/>
    <w:rsid w:val="001638B2"/>
    <w:rsid w:val="00164B19"/>
    <w:rsid w:val="00165DBE"/>
    <w:rsid w:val="00166E79"/>
    <w:rsid w:val="00170935"/>
    <w:rsid w:val="00171715"/>
    <w:rsid w:val="00171DD4"/>
    <w:rsid w:val="00172D22"/>
    <w:rsid w:val="001760B7"/>
    <w:rsid w:val="0018009F"/>
    <w:rsid w:val="00180A5C"/>
    <w:rsid w:val="0018158B"/>
    <w:rsid w:val="00181992"/>
    <w:rsid w:val="00184424"/>
    <w:rsid w:val="001855A3"/>
    <w:rsid w:val="00187172"/>
    <w:rsid w:val="001877A9"/>
    <w:rsid w:val="00190848"/>
    <w:rsid w:val="00191AA8"/>
    <w:rsid w:val="001925AD"/>
    <w:rsid w:val="00197A74"/>
    <w:rsid w:val="001A0B14"/>
    <w:rsid w:val="001A0DE3"/>
    <w:rsid w:val="001A0EE3"/>
    <w:rsid w:val="001A3C28"/>
    <w:rsid w:val="001A4417"/>
    <w:rsid w:val="001A478B"/>
    <w:rsid w:val="001A5A03"/>
    <w:rsid w:val="001A6A09"/>
    <w:rsid w:val="001B07D3"/>
    <w:rsid w:val="001B0BCE"/>
    <w:rsid w:val="001B1B4D"/>
    <w:rsid w:val="001B2D53"/>
    <w:rsid w:val="001B3ACF"/>
    <w:rsid w:val="001C00D5"/>
    <w:rsid w:val="001C0AB5"/>
    <w:rsid w:val="001C0DAB"/>
    <w:rsid w:val="001C1454"/>
    <w:rsid w:val="001C4F9B"/>
    <w:rsid w:val="001C7A02"/>
    <w:rsid w:val="001D0F7B"/>
    <w:rsid w:val="001D3475"/>
    <w:rsid w:val="001D3D85"/>
    <w:rsid w:val="001D3E85"/>
    <w:rsid w:val="001D547B"/>
    <w:rsid w:val="001D6EDC"/>
    <w:rsid w:val="001D7445"/>
    <w:rsid w:val="001D7851"/>
    <w:rsid w:val="001E3785"/>
    <w:rsid w:val="001E38AA"/>
    <w:rsid w:val="001E4588"/>
    <w:rsid w:val="001E53BF"/>
    <w:rsid w:val="001E7D75"/>
    <w:rsid w:val="001F2AB6"/>
    <w:rsid w:val="001F39E9"/>
    <w:rsid w:val="001F4A52"/>
    <w:rsid w:val="001F5B39"/>
    <w:rsid w:val="00200DAB"/>
    <w:rsid w:val="00206A89"/>
    <w:rsid w:val="002070C9"/>
    <w:rsid w:val="00207B1E"/>
    <w:rsid w:val="00213332"/>
    <w:rsid w:val="00216231"/>
    <w:rsid w:val="00216446"/>
    <w:rsid w:val="002223FC"/>
    <w:rsid w:val="00223323"/>
    <w:rsid w:val="00223419"/>
    <w:rsid w:val="00224DBD"/>
    <w:rsid w:val="00224EE2"/>
    <w:rsid w:val="00227DAD"/>
    <w:rsid w:val="00230AC5"/>
    <w:rsid w:val="0023334C"/>
    <w:rsid w:val="00240F39"/>
    <w:rsid w:val="002429FD"/>
    <w:rsid w:val="00242FB6"/>
    <w:rsid w:val="0024509C"/>
    <w:rsid w:val="0024566F"/>
    <w:rsid w:val="00251C21"/>
    <w:rsid w:val="00252D79"/>
    <w:rsid w:val="00253675"/>
    <w:rsid w:val="002607F2"/>
    <w:rsid w:val="00261146"/>
    <w:rsid w:val="002627B0"/>
    <w:rsid w:val="0026392B"/>
    <w:rsid w:val="002651FB"/>
    <w:rsid w:val="00266377"/>
    <w:rsid w:val="002708DE"/>
    <w:rsid w:val="002736BF"/>
    <w:rsid w:val="0027379C"/>
    <w:rsid w:val="00275AE3"/>
    <w:rsid w:val="00280902"/>
    <w:rsid w:val="002810B6"/>
    <w:rsid w:val="002813BC"/>
    <w:rsid w:val="0028372E"/>
    <w:rsid w:val="0028405C"/>
    <w:rsid w:val="00284A0E"/>
    <w:rsid w:val="00284D63"/>
    <w:rsid w:val="0028537A"/>
    <w:rsid w:val="002864EA"/>
    <w:rsid w:val="00290278"/>
    <w:rsid w:val="00290BE4"/>
    <w:rsid w:val="00291894"/>
    <w:rsid w:val="00292F9C"/>
    <w:rsid w:val="00294CDA"/>
    <w:rsid w:val="00294E5E"/>
    <w:rsid w:val="002952A9"/>
    <w:rsid w:val="002952EB"/>
    <w:rsid w:val="0029579A"/>
    <w:rsid w:val="0029784D"/>
    <w:rsid w:val="002A0245"/>
    <w:rsid w:val="002A22E7"/>
    <w:rsid w:val="002A2911"/>
    <w:rsid w:val="002A6096"/>
    <w:rsid w:val="002A7937"/>
    <w:rsid w:val="002A7CED"/>
    <w:rsid w:val="002A7FF9"/>
    <w:rsid w:val="002B075C"/>
    <w:rsid w:val="002B16A8"/>
    <w:rsid w:val="002B1F4E"/>
    <w:rsid w:val="002B283A"/>
    <w:rsid w:val="002B31EC"/>
    <w:rsid w:val="002C0D69"/>
    <w:rsid w:val="002C3C3D"/>
    <w:rsid w:val="002C4A2A"/>
    <w:rsid w:val="002C4E47"/>
    <w:rsid w:val="002C4F49"/>
    <w:rsid w:val="002C5036"/>
    <w:rsid w:val="002C6408"/>
    <w:rsid w:val="002D0C8C"/>
    <w:rsid w:val="002E103C"/>
    <w:rsid w:val="002E19BB"/>
    <w:rsid w:val="002E1ABE"/>
    <w:rsid w:val="002E1E98"/>
    <w:rsid w:val="002E2576"/>
    <w:rsid w:val="002E35E9"/>
    <w:rsid w:val="002E4551"/>
    <w:rsid w:val="002E4725"/>
    <w:rsid w:val="002E4D52"/>
    <w:rsid w:val="002E4E86"/>
    <w:rsid w:val="002E5E04"/>
    <w:rsid w:val="002F0A72"/>
    <w:rsid w:val="002F1280"/>
    <w:rsid w:val="002F270A"/>
    <w:rsid w:val="002F30DD"/>
    <w:rsid w:val="002F4B01"/>
    <w:rsid w:val="002F5F4C"/>
    <w:rsid w:val="002F7121"/>
    <w:rsid w:val="002F7375"/>
    <w:rsid w:val="00300FB0"/>
    <w:rsid w:val="003010FD"/>
    <w:rsid w:val="00302A77"/>
    <w:rsid w:val="00302BE3"/>
    <w:rsid w:val="00304E10"/>
    <w:rsid w:val="0030543B"/>
    <w:rsid w:val="0030564D"/>
    <w:rsid w:val="00306629"/>
    <w:rsid w:val="00306DCC"/>
    <w:rsid w:val="00307395"/>
    <w:rsid w:val="00310180"/>
    <w:rsid w:val="0031389C"/>
    <w:rsid w:val="00314CB6"/>
    <w:rsid w:val="003167C7"/>
    <w:rsid w:val="00317522"/>
    <w:rsid w:val="003232A1"/>
    <w:rsid w:val="00325B55"/>
    <w:rsid w:val="00325B78"/>
    <w:rsid w:val="00326802"/>
    <w:rsid w:val="00326FBE"/>
    <w:rsid w:val="0033024A"/>
    <w:rsid w:val="003312C7"/>
    <w:rsid w:val="00331494"/>
    <w:rsid w:val="00331650"/>
    <w:rsid w:val="00331F40"/>
    <w:rsid w:val="00335F17"/>
    <w:rsid w:val="00336894"/>
    <w:rsid w:val="00337A0B"/>
    <w:rsid w:val="00340A18"/>
    <w:rsid w:val="00342D98"/>
    <w:rsid w:val="00344F29"/>
    <w:rsid w:val="003459E4"/>
    <w:rsid w:val="00345DE5"/>
    <w:rsid w:val="003501B7"/>
    <w:rsid w:val="003508F7"/>
    <w:rsid w:val="00350DD6"/>
    <w:rsid w:val="00352630"/>
    <w:rsid w:val="00357F3D"/>
    <w:rsid w:val="00361511"/>
    <w:rsid w:val="00362D23"/>
    <w:rsid w:val="0036470A"/>
    <w:rsid w:val="003731FF"/>
    <w:rsid w:val="003744CE"/>
    <w:rsid w:val="00374E26"/>
    <w:rsid w:val="00380666"/>
    <w:rsid w:val="00381F74"/>
    <w:rsid w:val="00381F77"/>
    <w:rsid w:val="003841D5"/>
    <w:rsid w:val="00385147"/>
    <w:rsid w:val="003851FB"/>
    <w:rsid w:val="00390449"/>
    <w:rsid w:val="00391729"/>
    <w:rsid w:val="00393D54"/>
    <w:rsid w:val="00395E78"/>
    <w:rsid w:val="0039729D"/>
    <w:rsid w:val="003A0951"/>
    <w:rsid w:val="003A3147"/>
    <w:rsid w:val="003A5992"/>
    <w:rsid w:val="003A63AF"/>
    <w:rsid w:val="003A6913"/>
    <w:rsid w:val="003B271D"/>
    <w:rsid w:val="003B2BB0"/>
    <w:rsid w:val="003C0271"/>
    <w:rsid w:val="003C0654"/>
    <w:rsid w:val="003C12E9"/>
    <w:rsid w:val="003C172A"/>
    <w:rsid w:val="003C53F5"/>
    <w:rsid w:val="003C56A7"/>
    <w:rsid w:val="003C656F"/>
    <w:rsid w:val="003C69B0"/>
    <w:rsid w:val="003C6C7E"/>
    <w:rsid w:val="003C7AAE"/>
    <w:rsid w:val="003D2776"/>
    <w:rsid w:val="003D2BC0"/>
    <w:rsid w:val="003D34F1"/>
    <w:rsid w:val="003D4668"/>
    <w:rsid w:val="003D6056"/>
    <w:rsid w:val="003E10DF"/>
    <w:rsid w:val="003E2084"/>
    <w:rsid w:val="003E4AB9"/>
    <w:rsid w:val="003F1378"/>
    <w:rsid w:val="003F1C55"/>
    <w:rsid w:val="003F3A4E"/>
    <w:rsid w:val="003F409F"/>
    <w:rsid w:val="003F650D"/>
    <w:rsid w:val="003F7E03"/>
    <w:rsid w:val="0040146A"/>
    <w:rsid w:val="00401785"/>
    <w:rsid w:val="00401E93"/>
    <w:rsid w:val="00401FDD"/>
    <w:rsid w:val="004024B9"/>
    <w:rsid w:val="00402636"/>
    <w:rsid w:val="00402C2E"/>
    <w:rsid w:val="00404093"/>
    <w:rsid w:val="004043F5"/>
    <w:rsid w:val="00407AA4"/>
    <w:rsid w:val="004140D3"/>
    <w:rsid w:val="0041432A"/>
    <w:rsid w:val="00415407"/>
    <w:rsid w:val="00415DF8"/>
    <w:rsid w:val="00416D4B"/>
    <w:rsid w:val="004203D8"/>
    <w:rsid w:val="00421FB6"/>
    <w:rsid w:val="00423CDF"/>
    <w:rsid w:val="004247B5"/>
    <w:rsid w:val="00424BB6"/>
    <w:rsid w:val="00432547"/>
    <w:rsid w:val="00434155"/>
    <w:rsid w:val="00435931"/>
    <w:rsid w:val="00437E6E"/>
    <w:rsid w:val="004405E5"/>
    <w:rsid w:val="00440A83"/>
    <w:rsid w:val="00443224"/>
    <w:rsid w:val="00445188"/>
    <w:rsid w:val="00454891"/>
    <w:rsid w:val="00457142"/>
    <w:rsid w:val="004628B0"/>
    <w:rsid w:val="0046402D"/>
    <w:rsid w:val="0046617B"/>
    <w:rsid w:val="0046638C"/>
    <w:rsid w:val="00466F5E"/>
    <w:rsid w:val="00472073"/>
    <w:rsid w:val="0047299E"/>
    <w:rsid w:val="00473060"/>
    <w:rsid w:val="00473287"/>
    <w:rsid w:val="004739F5"/>
    <w:rsid w:val="004776BF"/>
    <w:rsid w:val="00480604"/>
    <w:rsid w:val="00481612"/>
    <w:rsid w:val="00481FA1"/>
    <w:rsid w:val="004847B8"/>
    <w:rsid w:val="00486EFE"/>
    <w:rsid w:val="00490BFD"/>
    <w:rsid w:val="00491006"/>
    <w:rsid w:val="00495FEC"/>
    <w:rsid w:val="004A0B9E"/>
    <w:rsid w:val="004A1AA0"/>
    <w:rsid w:val="004B06BD"/>
    <w:rsid w:val="004B1632"/>
    <w:rsid w:val="004B16D0"/>
    <w:rsid w:val="004B4E6E"/>
    <w:rsid w:val="004B789E"/>
    <w:rsid w:val="004C255C"/>
    <w:rsid w:val="004C3FB0"/>
    <w:rsid w:val="004C4550"/>
    <w:rsid w:val="004D20F3"/>
    <w:rsid w:val="004D250A"/>
    <w:rsid w:val="004D2794"/>
    <w:rsid w:val="004D49B8"/>
    <w:rsid w:val="004D4D8E"/>
    <w:rsid w:val="004D654A"/>
    <w:rsid w:val="004D6DA5"/>
    <w:rsid w:val="004E12D0"/>
    <w:rsid w:val="004E200D"/>
    <w:rsid w:val="004E3E51"/>
    <w:rsid w:val="004E4231"/>
    <w:rsid w:val="004E4949"/>
    <w:rsid w:val="004E6053"/>
    <w:rsid w:val="004F0B35"/>
    <w:rsid w:val="004F1E82"/>
    <w:rsid w:val="004F3116"/>
    <w:rsid w:val="004F3323"/>
    <w:rsid w:val="004F3C94"/>
    <w:rsid w:val="004F5054"/>
    <w:rsid w:val="004F5841"/>
    <w:rsid w:val="00500422"/>
    <w:rsid w:val="00502528"/>
    <w:rsid w:val="00503E97"/>
    <w:rsid w:val="00503F2C"/>
    <w:rsid w:val="0050533B"/>
    <w:rsid w:val="00510A37"/>
    <w:rsid w:val="00512AC0"/>
    <w:rsid w:val="00514699"/>
    <w:rsid w:val="00522805"/>
    <w:rsid w:val="00523C9E"/>
    <w:rsid w:val="005268E2"/>
    <w:rsid w:val="005303DB"/>
    <w:rsid w:val="00530CFF"/>
    <w:rsid w:val="005312B9"/>
    <w:rsid w:val="00531FC2"/>
    <w:rsid w:val="00547625"/>
    <w:rsid w:val="005500E4"/>
    <w:rsid w:val="00551959"/>
    <w:rsid w:val="00552879"/>
    <w:rsid w:val="00552D6D"/>
    <w:rsid w:val="00553810"/>
    <w:rsid w:val="00555142"/>
    <w:rsid w:val="005562E4"/>
    <w:rsid w:val="00556F62"/>
    <w:rsid w:val="005611E8"/>
    <w:rsid w:val="00563D24"/>
    <w:rsid w:val="0056509C"/>
    <w:rsid w:val="00566D00"/>
    <w:rsid w:val="0056719A"/>
    <w:rsid w:val="00570184"/>
    <w:rsid w:val="00571678"/>
    <w:rsid w:val="00572087"/>
    <w:rsid w:val="005758B6"/>
    <w:rsid w:val="0057665E"/>
    <w:rsid w:val="00581917"/>
    <w:rsid w:val="00583131"/>
    <w:rsid w:val="0058497E"/>
    <w:rsid w:val="0059153C"/>
    <w:rsid w:val="0059190E"/>
    <w:rsid w:val="00595118"/>
    <w:rsid w:val="005951D2"/>
    <w:rsid w:val="00595444"/>
    <w:rsid w:val="00595A9F"/>
    <w:rsid w:val="005A6224"/>
    <w:rsid w:val="005B1D63"/>
    <w:rsid w:val="005B3212"/>
    <w:rsid w:val="005B33E6"/>
    <w:rsid w:val="005B374F"/>
    <w:rsid w:val="005B5AA1"/>
    <w:rsid w:val="005B60D9"/>
    <w:rsid w:val="005B6D66"/>
    <w:rsid w:val="005B7B33"/>
    <w:rsid w:val="005B7BB0"/>
    <w:rsid w:val="005B7FDC"/>
    <w:rsid w:val="005C1525"/>
    <w:rsid w:val="005C5224"/>
    <w:rsid w:val="005C5DC7"/>
    <w:rsid w:val="005C5ED2"/>
    <w:rsid w:val="005C63D2"/>
    <w:rsid w:val="005C6D18"/>
    <w:rsid w:val="005C7FAB"/>
    <w:rsid w:val="005D20F9"/>
    <w:rsid w:val="005D4CAF"/>
    <w:rsid w:val="005D4F12"/>
    <w:rsid w:val="005D53DD"/>
    <w:rsid w:val="005E068A"/>
    <w:rsid w:val="005E0A2C"/>
    <w:rsid w:val="005E3F12"/>
    <w:rsid w:val="005E7B3A"/>
    <w:rsid w:val="005E7BC0"/>
    <w:rsid w:val="005E7E7C"/>
    <w:rsid w:val="005F0A4B"/>
    <w:rsid w:val="005F1604"/>
    <w:rsid w:val="005F29F2"/>
    <w:rsid w:val="005F2D34"/>
    <w:rsid w:val="005F3E3C"/>
    <w:rsid w:val="005F3EE8"/>
    <w:rsid w:val="005F5A8B"/>
    <w:rsid w:val="005F6100"/>
    <w:rsid w:val="005F7B45"/>
    <w:rsid w:val="0060048B"/>
    <w:rsid w:val="00600813"/>
    <w:rsid w:val="00605939"/>
    <w:rsid w:val="00606B81"/>
    <w:rsid w:val="00611530"/>
    <w:rsid w:val="00613C1A"/>
    <w:rsid w:val="00613E0F"/>
    <w:rsid w:val="006156B5"/>
    <w:rsid w:val="00616712"/>
    <w:rsid w:val="00616804"/>
    <w:rsid w:val="00620351"/>
    <w:rsid w:val="00620A4F"/>
    <w:rsid w:val="0062281C"/>
    <w:rsid w:val="00623C0F"/>
    <w:rsid w:val="00624B90"/>
    <w:rsid w:val="00624FD3"/>
    <w:rsid w:val="00625373"/>
    <w:rsid w:val="006261F1"/>
    <w:rsid w:val="00627F64"/>
    <w:rsid w:val="00634756"/>
    <w:rsid w:val="00634F32"/>
    <w:rsid w:val="006354B3"/>
    <w:rsid w:val="00636A82"/>
    <w:rsid w:val="00636B09"/>
    <w:rsid w:val="006405B6"/>
    <w:rsid w:val="00644E94"/>
    <w:rsid w:val="006458BA"/>
    <w:rsid w:val="00646788"/>
    <w:rsid w:val="00652150"/>
    <w:rsid w:val="00653C1B"/>
    <w:rsid w:val="006551C5"/>
    <w:rsid w:val="00660CA0"/>
    <w:rsid w:val="00660E3E"/>
    <w:rsid w:val="00662C7A"/>
    <w:rsid w:val="00665910"/>
    <w:rsid w:val="006716CD"/>
    <w:rsid w:val="00671BDA"/>
    <w:rsid w:val="00672F47"/>
    <w:rsid w:val="0067460B"/>
    <w:rsid w:val="00674E6D"/>
    <w:rsid w:val="00677AB0"/>
    <w:rsid w:val="00680B61"/>
    <w:rsid w:val="00681A84"/>
    <w:rsid w:val="00683868"/>
    <w:rsid w:val="0068693A"/>
    <w:rsid w:val="00695F4F"/>
    <w:rsid w:val="006972B5"/>
    <w:rsid w:val="006A0EAC"/>
    <w:rsid w:val="006A450C"/>
    <w:rsid w:val="006A4E5A"/>
    <w:rsid w:val="006B066C"/>
    <w:rsid w:val="006B55C9"/>
    <w:rsid w:val="006B6314"/>
    <w:rsid w:val="006B71AA"/>
    <w:rsid w:val="006B79B1"/>
    <w:rsid w:val="006B7E76"/>
    <w:rsid w:val="006C09F0"/>
    <w:rsid w:val="006C2043"/>
    <w:rsid w:val="006C21BB"/>
    <w:rsid w:val="006C71A3"/>
    <w:rsid w:val="006D0DFC"/>
    <w:rsid w:val="006D11FD"/>
    <w:rsid w:val="006D2AA1"/>
    <w:rsid w:val="006D2D71"/>
    <w:rsid w:val="006D34DB"/>
    <w:rsid w:val="006D3808"/>
    <w:rsid w:val="006D4BD1"/>
    <w:rsid w:val="006D7B03"/>
    <w:rsid w:val="006E140D"/>
    <w:rsid w:val="006E4EB9"/>
    <w:rsid w:val="006E5BB6"/>
    <w:rsid w:val="006E714F"/>
    <w:rsid w:val="006E7C5F"/>
    <w:rsid w:val="006F3D3D"/>
    <w:rsid w:val="006F4141"/>
    <w:rsid w:val="006F4721"/>
    <w:rsid w:val="006F51C5"/>
    <w:rsid w:val="006F55F6"/>
    <w:rsid w:val="006F668B"/>
    <w:rsid w:val="006F66E4"/>
    <w:rsid w:val="006F779B"/>
    <w:rsid w:val="007008D8"/>
    <w:rsid w:val="00701A56"/>
    <w:rsid w:val="00704852"/>
    <w:rsid w:val="007048B6"/>
    <w:rsid w:val="00705DA7"/>
    <w:rsid w:val="0070774D"/>
    <w:rsid w:val="00707C1D"/>
    <w:rsid w:val="0071123A"/>
    <w:rsid w:val="007115B8"/>
    <w:rsid w:val="00717A3C"/>
    <w:rsid w:val="007201FE"/>
    <w:rsid w:val="00721820"/>
    <w:rsid w:val="00727870"/>
    <w:rsid w:val="00731DB8"/>
    <w:rsid w:val="00737BD6"/>
    <w:rsid w:val="00740B1E"/>
    <w:rsid w:val="00740D4F"/>
    <w:rsid w:val="0074210E"/>
    <w:rsid w:val="00744B4F"/>
    <w:rsid w:val="007456F9"/>
    <w:rsid w:val="00745CF5"/>
    <w:rsid w:val="007477C6"/>
    <w:rsid w:val="00750688"/>
    <w:rsid w:val="00753821"/>
    <w:rsid w:val="007544D9"/>
    <w:rsid w:val="00754524"/>
    <w:rsid w:val="00757F91"/>
    <w:rsid w:val="0076045E"/>
    <w:rsid w:val="00761790"/>
    <w:rsid w:val="00761918"/>
    <w:rsid w:val="007619D0"/>
    <w:rsid w:val="00761A26"/>
    <w:rsid w:val="0076235B"/>
    <w:rsid w:val="007632B5"/>
    <w:rsid w:val="00763368"/>
    <w:rsid w:val="00763965"/>
    <w:rsid w:val="0076410E"/>
    <w:rsid w:val="0076508D"/>
    <w:rsid w:val="007711FE"/>
    <w:rsid w:val="007759C4"/>
    <w:rsid w:val="00775C3D"/>
    <w:rsid w:val="007801EB"/>
    <w:rsid w:val="007836D0"/>
    <w:rsid w:val="00784319"/>
    <w:rsid w:val="0078531F"/>
    <w:rsid w:val="007869BD"/>
    <w:rsid w:val="00786AE7"/>
    <w:rsid w:val="00786FB9"/>
    <w:rsid w:val="00787C52"/>
    <w:rsid w:val="00787CA7"/>
    <w:rsid w:val="00790CB7"/>
    <w:rsid w:val="00790E48"/>
    <w:rsid w:val="007966AD"/>
    <w:rsid w:val="00796E06"/>
    <w:rsid w:val="007A0B85"/>
    <w:rsid w:val="007A4BF1"/>
    <w:rsid w:val="007A6A73"/>
    <w:rsid w:val="007A7600"/>
    <w:rsid w:val="007B0A66"/>
    <w:rsid w:val="007B16D8"/>
    <w:rsid w:val="007B36F7"/>
    <w:rsid w:val="007B6190"/>
    <w:rsid w:val="007C3435"/>
    <w:rsid w:val="007C36E1"/>
    <w:rsid w:val="007C4F37"/>
    <w:rsid w:val="007C50B5"/>
    <w:rsid w:val="007C6649"/>
    <w:rsid w:val="007C7D18"/>
    <w:rsid w:val="007D2EE2"/>
    <w:rsid w:val="007D3DC4"/>
    <w:rsid w:val="007D4010"/>
    <w:rsid w:val="007D5E84"/>
    <w:rsid w:val="007E1F09"/>
    <w:rsid w:val="007E2674"/>
    <w:rsid w:val="007E3125"/>
    <w:rsid w:val="007E73DF"/>
    <w:rsid w:val="007F3B4F"/>
    <w:rsid w:val="007F42CA"/>
    <w:rsid w:val="007F4927"/>
    <w:rsid w:val="007F4A36"/>
    <w:rsid w:val="007F4E61"/>
    <w:rsid w:val="007F67C1"/>
    <w:rsid w:val="007F7484"/>
    <w:rsid w:val="007F794C"/>
    <w:rsid w:val="007F7FDD"/>
    <w:rsid w:val="00801C18"/>
    <w:rsid w:val="00802381"/>
    <w:rsid w:val="00802B18"/>
    <w:rsid w:val="00803B62"/>
    <w:rsid w:val="0080612A"/>
    <w:rsid w:val="00810602"/>
    <w:rsid w:val="008108FB"/>
    <w:rsid w:val="00810FB6"/>
    <w:rsid w:val="008135F2"/>
    <w:rsid w:val="008145DB"/>
    <w:rsid w:val="008152E3"/>
    <w:rsid w:val="0082046F"/>
    <w:rsid w:val="00822C92"/>
    <w:rsid w:val="008302B7"/>
    <w:rsid w:val="00832426"/>
    <w:rsid w:val="008327F3"/>
    <w:rsid w:val="00832883"/>
    <w:rsid w:val="00833D87"/>
    <w:rsid w:val="0083573C"/>
    <w:rsid w:val="00835A88"/>
    <w:rsid w:val="00840DBE"/>
    <w:rsid w:val="00841863"/>
    <w:rsid w:val="0084392F"/>
    <w:rsid w:val="00847794"/>
    <w:rsid w:val="00847997"/>
    <w:rsid w:val="008521DD"/>
    <w:rsid w:val="008526FE"/>
    <w:rsid w:val="0085409D"/>
    <w:rsid w:val="00855F52"/>
    <w:rsid w:val="00856CAD"/>
    <w:rsid w:val="00861BD0"/>
    <w:rsid w:val="0086239B"/>
    <w:rsid w:val="0086552D"/>
    <w:rsid w:val="00865A9D"/>
    <w:rsid w:val="0087049F"/>
    <w:rsid w:val="00870963"/>
    <w:rsid w:val="00870C8B"/>
    <w:rsid w:val="00871745"/>
    <w:rsid w:val="0087245C"/>
    <w:rsid w:val="008742C0"/>
    <w:rsid w:val="00877D0A"/>
    <w:rsid w:val="00880B3E"/>
    <w:rsid w:val="00881237"/>
    <w:rsid w:val="00881352"/>
    <w:rsid w:val="00881F90"/>
    <w:rsid w:val="008833DA"/>
    <w:rsid w:val="00884CDA"/>
    <w:rsid w:val="00886BA4"/>
    <w:rsid w:val="00891D00"/>
    <w:rsid w:val="00892AB6"/>
    <w:rsid w:val="00893908"/>
    <w:rsid w:val="00894F9C"/>
    <w:rsid w:val="0089591F"/>
    <w:rsid w:val="008962AF"/>
    <w:rsid w:val="008A49EA"/>
    <w:rsid w:val="008A5BF0"/>
    <w:rsid w:val="008A71E6"/>
    <w:rsid w:val="008A7D29"/>
    <w:rsid w:val="008B535D"/>
    <w:rsid w:val="008B5832"/>
    <w:rsid w:val="008B5C3B"/>
    <w:rsid w:val="008B66F7"/>
    <w:rsid w:val="008C16AD"/>
    <w:rsid w:val="008C2761"/>
    <w:rsid w:val="008C3BB6"/>
    <w:rsid w:val="008C3C16"/>
    <w:rsid w:val="008C6046"/>
    <w:rsid w:val="008D071D"/>
    <w:rsid w:val="008D2D2F"/>
    <w:rsid w:val="008D506D"/>
    <w:rsid w:val="008D6B53"/>
    <w:rsid w:val="008E2BF5"/>
    <w:rsid w:val="008E4847"/>
    <w:rsid w:val="008E51FA"/>
    <w:rsid w:val="008E5A5B"/>
    <w:rsid w:val="008E6957"/>
    <w:rsid w:val="008F0273"/>
    <w:rsid w:val="008F044A"/>
    <w:rsid w:val="008F5098"/>
    <w:rsid w:val="008F553B"/>
    <w:rsid w:val="008F6457"/>
    <w:rsid w:val="00900C36"/>
    <w:rsid w:val="00900D04"/>
    <w:rsid w:val="00901D89"/>
    <w:rsid w:val="00904219"/>
    <w:rsid w:val="0090437F"/>
    <w:rsid w:val="00904A24"/>
    <w:rsid w:val="0090683E"/>
    <w:rsid w:val="009069A8"/>
    <w:rsid w:val="00906FAD"/>
    <w:rsid w:val="00907CBD"/>
    <w:rsid w:val="0091150D"/>
    <w:rsid w:val="0091259C"/>
    <w:rsid w:val="009138F3"/>
    <w:rsid w:val="00913CE7"/>
    <w:rsid w:val="009158E1"/>
    <w:rsid w:val="009169A7"/>
    <w:rsid w:val="00917209"/>
    <w:rsid w:val="00922E0D"/>
    <w:rsid w:val="00923CF4"/>
    <w:rsid w:val="009240C2"/>
    <w:rsid w:val="009266CE"/>
    <w:rsid w:val="00927784"/>
    <w:rsid w:val="00931D07"/>
    <w:rsid w:val="00931DBB"/>
    <w:rsid w:val="00931FA2"/>
    <w:rsid w:val="0093296E"/>
    <w:rsid w:val="00933525"/>
    <w:rsid w:val="00933D17"/>
    <w:rsid w:val="00933DAE"/>
    <w:rsid w:val="00944586"/>
    <w:rsid w:val="00950D43"/>
    <w:rsid w:val="009537E0"/>
    <w:rsid w:val="009537FD"/>
    <w:rsid w:val="00953AE1"/>
    <w:rsid w:val="00955881"/>
    <w:rsid w:val="009566E6"/>
    <w:rsid w:val="009578B8"/>
    <w:rsid w:val="00961C19"/>
    <w:rsid w:val="009624EB"/>
    <w:rsid w:val="00962692"/>
    <w:rsid w:val="009639AE"/>
    <w:rsid w:val="00963C1E"/>
    <w:rsid w:val="00963F80"/>
    <w:rsid w:val="00964285"/>
    <w:rsid w:val="00966809"/>
    <w:rsid w:val="0096786C"/>
    <w:rsid w:val="00970854"/>
    <w:rsid w:val="00972FBF"/>
    <w:rsid w:val="00973E57"/>
    <w:rsid w:val="00974295"/>
    <w:rsid w:val="009746AD"/>
    <w:rsid w:val="00975C40"/>
    <w:rsid w:val="00975F0D"/>
    <w:rsid w:val="009763BA"/>
    <w:rsid w:val="00982376"/>
    <w:rsid w:val="009831F7"/>
    <w:rsid w:val="0098605E"/>
    <w:rsid w:val="009873EA"/>
    <w:rsid w:val="009901EF"/>
    <w:rsid w:val="00991AA2"/>
    <w:rsid w:val="00992842"/>
    <w:rsid w:val="00992954"/>
    <w:rsid w:val="009A096E"/>
    <w:rsid w:val="009A1BFF"/>
    <w:rsid w:val="009A33BD"/>
    <w:rsid w:val="009A5414"/>
    <w:rsid w:val="009B555E"/>
    <w:rsid w:val="009B5701"/>
    <w:rsid w:val="009B5CE2"/>
    <w:rsid w:val="009B625C"/>
    <w:rsid w:val="009B6D59"/>
    <w:rsid w:val="009C3E89"/>
    <w:rsid w:val="009C4842"/>
    <w:rsid w:val="009C4D09"/>
    <w:rsid w:val="009C673D"/>
    <w:rsid w:val="009C6AC7"/>
    <w:rsid w:val="009C7087"/>
    <w:rsid w:val="009C77C1"/>
    <w:rsid w:val="009D1DA8"/>
    <w:rsid w:val="009D237F"/>
    <w:rsid w:val="009D4FD3"/>
    <w:rsid w:val="009D701B"/>
    <w:rsid w:val="009D7551"/>
    <w:rsid w:val="009E012C"/>
    <w:rsid w:val="009E139E"/>
    <w:rsid w:val="009E663B"/>
    <w:rsid w:val="009F050C"/>
    <w:rsid w:val="009F7113"/>
    <w:rsid w:val="009F74E7"/>
    <w:rsid w:val="009F7862"/>
    <w:rsid w:val="009F7AC2"/>
    <w:rsid w:val="00A01F0D"/>
    <w:rsid w:val="00A03705"/>
    <w:rsid w:val="00A04003"/>
    <w:rsid w:val="00A05F95"/>
    <w:rsid w:val="00A06CA6"/>
    <w:rsid w:val="00A10470"/>
    <w:rsid w:val="00A149FA"/>
    <w:rsid w:val="00A17217"/>
    <w:rsid w:val="00A17A69"/>
    <w:rsid w:val="00A17B6A"/>
    <w:rsid w:val="00A17CD8"/>
    <w:rsid w:val="00A20A7F"/>
    <w:rsid w:val="00A22342"/>
    <w:rsid w:val="00A23322"/>
    <w:rsid w:val="00A257F7"/>
    <w:rsid w:val="00A25BD1"/>
    <w:rsid w:val="00A2620F"/>
    <w:rsid w:val="00A269FB"/>
    <w:rsid w:val="00A3159D"/>
    <w:rsid w:val="00A319D1"/>
    <w:rsid w:val="00A32818"/>
    <w:rsid w:val="00A41250"/>
    <w:rsid w:val="00A41251"/>
    <w:rsid w:val="00A41620"/>
    <w:rsid w:val="00A41A18"/>
    <w:rsid w:val="00A45E57"/>
    <w:rsid w:val="00A525B3"/>
    <w:rsid w:val="00A52CD8"/>
    <w:rsid w:val="00A54155"/>
    <w:rsid w:val="00A5656A"/>
    <w:rsid w:val="00A5786D"/>
    <w:rsid w:val="00A57E11"/>
    <w:rsid w:val="00A66EF5"/>
    <w:rsid w:val="00A71CC5"/>
    <w:rsid w:val="00A75610"/>
    <w:rsid w:val="00A806CA"/>
    <w:rsid w:val="00A81144"/>
    <w:rsid w:val="00A8332F"/>
    <w:rsid w:val="00A91061"/>
    <w:rsid w:val="00A94AF9"/>
    <w:rsid w:val="00A97280"/>
    <w:rsid w:val="00AA04FE"/>
    <w:rsid w:val="00AA0806"/>
    <w:rsid w:val="00AA2361"/>
    <w:rsid w:val="00AA2775"/>
    <w:rsid w:val="00AA3E88"/>
    <w:rsid w:val="00AA4D20"/>
    <w:rsid w:val="00AB3149"/>
    <w:rsid w:val="00AB437B"/>
    <w:rsid w:val="00AB4E24"/>
    <w:rsid w:val="00AB5364"/>
    <w:rsid w:val="00AB5516"/>
    <w:rsid w:val="00AB6EC1"/>
    <w:rsid w:val="00AC0B00"/>
    <w:rsid w:val="00AC0BFB"/>
    <w:rsid w:val="00AC0F48"/>
    <w:rsid w:val="00AC19DA"/>
    <w:rsid w:val="00AD003F"/>
    <w:rsid w:val="00AD16C2"/>
    <w:rsid w:val="00AD41CB"/>
    <w:rsid w:val="00AD7C9A"/>
    <w:rsid w:val="00AE04BF"/>
    <w:rsid w:val="00AE0DCD"/>
    <w:rsid w:val="00AE0E83"/>
    <w:rsid w:val="00AE4536"/>
    <w:rsid w:val="00AE6AC3"/>
    <w:rsid w:val="00AE73D0"/>
    <w:rsid w:val="00AF20FD"/>
    <w:rsid w:val="00AF22FE"/>
    <w:rsid w:val="00AF3C45"/>
    <w:rsid w:val="00AF4F8D"/>
    <w:rsid w:val="00AF79FE"/>
    <w:rsid w:val="00B00F02"/>
    <w:rsid w:val="00B019FB"/>
    <w:rsid w:val="00B01BAA"/>
    <w:rsid w:val="00B02B6B"/>
    <w:rsid w:val="00B02BD6"/>
    <w:rsid w:val="00B030BC"/>
    <w:rsid w:val="00B05875"/>
    <w:rsid w:val="00B10510"/>
    <w:rsid w:val="00B1096B"/>
    <w:rsid w:val="00B1458E"/>
    <w:rsid w:val="00B14C53"/>
    <w:rsid w:val="00B2049A"/>
    <w:rsid w:val="00B21133"/>
    <w:rsid w:val="00B215AE"/>
    <w:rsid w:val="00B21660"/>
    <w:rsid w:val="00B2193A"/>
    <w:rsid w:val="00B22739"/>
    <w:rsid w:val="00B24310"/>
    <w:rsid w:val="00B309D2"/>
    <w:rsid w:val="00B30B35"/>
    <w:rsid w:val="00B32D54"/>
    <w:rsid w:val="00B358D0"/>
    <w:rsid w:val="00B37C59"/>
    <w:rsid w:val="00B40399"/>
    <w:rsid w:val="00B41682"/>
    <w:rsid w:val="00B43692"/>
    <w:rsid w:val="00B476F0"/>
    <w:rsid w:val="00B57AED"/>
    <w:rsid w:val="00B6097D"/>
    <w:rsid w:val="00B65383"/>
    <w:rsid w:val="00B674BA"/>
    <w:rsid w:val="00B67E25"/>
    <w:rsid w:val="00B72B78"/>
    <w:rsid w:val="00B75027"/>
    <w:rsid w:val="00B82D9C"/>
    <w:rsid w:val="00B84838"/>
    <w:rsid w:val="00B84FAC"/>
    <w:rsid w:val="00B851A7"/>
    <w:rsid w:val="00B87D66"/>
    <w:rsid w:val="00B91E1E"/>
    <w:rsid w:val="00B92941"/>
    <w:rsid w:val="00B9366C"/>
    <w:rsid w:val="00B94F7E"/>
    <w:rsid w:val="00B97981"/>
    <w:rsid w:val="00BA04A5"/>
    <w:rsid w:val="00BA1048"/>
    <w:rsid w:val="00BA49BE"/>
    <w:rsid w:val="00BA5BBD"/>
    <w:rsid w:val="00BA5CC7"/>
    <w:rsid w:val="00BA5CD5"/>
    <w:rsid w:val="00BB01ED"/>
    <w:rsid w:val="00BB0D31"/>
    <w:rsid w:val="00BB0D67"/>
    <w:rsid w:val="00BB0DD5"/>
    <w:rsid w:val="00BB1303"/>
    <w:rsid w:val="00BB2B4B"/>
    <w:rsid w:val="00BB3CA6"/>
    <w:rsid w:val="00BB6D3C"/>
    <w:rsid w:val="00BC2B4A"/>
    <w:rsid w:val="00BC35FC"/>
    <w:rsid w:val="00BC4459"/>
    <w:rsid w:val="00BC4B3C"/>
    <w:rsid w:val="00BC6611"/>
    <w:rsid w:val="00BC6A56"/>
    <w:rsid w:val="00BC76B8"/>
    <w:rsid w:val="00BD2AD8"/>
    <w:rsid w:val="00BD3360"/>
    <w:rsid w:val="00BD380D"/>
    <w:rsid w:val="00BD535B"/>
    <w:rsid w:val="00BD64A1"/>
    <w:rsid w:val="00BE35BD"/>
    <w:rsid w:val="00BE3D7D"/>
    <w:rsid w:val="00BE5D71"/>
    <w:rsid w:val="00BF279C"/>
    <w:rsid w:val="00BF58EA"/>
    <w:rsid w:val="00C03264"/>
    <w:rsid w:val="00C036D3"/>
    <w:rsid w:val="00C03772"/>
    <w:rsid w:val="00C037D0"/>
    <w:rsid w:val="00C05872"/>
    <w:rsid w:val="00C108ED"/>
    <w:rsid w:val="00C1322E"/>
    <w:rsid w:val="00C1654F"/>
    <w:rsid w:val="00C1656C"/>
    <w:rsid w:val="00C20DFF"/>
    <w:rsid w:val="00C2100F"/>
    <w:rsid w:val="00C2303C"/>
    <w:rsid w:val="00C232C6"/>
    <w:rsid w:val="00C23F2B"/>
    <w:rsid w:val="00C24DD4"/>
    <w:rsid w:val="00C2566E"/>
    <w:rsid w:val="00C25C2A"/>
    <w:rsid w:val="00C27031"/>
    <w:rsid w:val="00C30D9A"/>
    <w:rsid w:val="00C310DE"/>
    <w:rsid w:val="00C3151D"/>
    <w:rsid w:val="00C317B9"/>
    <w:rsid w:val="00C32085"/>
    <w:rsid w:val="00C329EF"/>
    <w:rsid w:val="00C33A1D"/>
    <w:rsid w:val="00C34727"/>
    <w:rsid w:val="00C36E02"/>
    <w:rsid w:val="00C42B7B"/>
    <w:rsid w:val="00C47704"/>
    <w:rsid w:val="00C5032C"/>
    <w:rsid w:val="00C511C4"/>
    <w:rsid w:val="00C5249D"/>
    <w:rsid w:val="00C527AE"/>
    <w:rsid w:val="00C53A99"/>
    <w:rsid w:val="00C562C1"/>
    <w:rsid w:val="00C601D9"/>
    <w:rsid w:val="00C62B4E"/>
    <w:rsid w:val="00C64982"/>
    <w:rsid w:val="00C65B63"/>
    <w:rsid w:val="00C66F39"/>
    <w:rsid w:val="00C67EB8"/>
    <w:rsid w:val="00C70681"/>
    <w:rsid w:val="00C71B5F"/>
    <w:rsid w:val="00C77984"/>
    <w:rsid w:val="00C77E83"/>
    <w:rsid w:val="00C80D3C"/>
    <w:rsid w:val="00C81D8D"/>
    <w:rsid w:val="00C825BE"/>
    <w:rsid w:val="00C85327"/>
    <w:rsid w:val="00C869E1"/>
    <w:rsid w:val="00C92A6B"/>
    <w:rsid w:val="00C940DA"/>
    <w:rsid w:val="00C943BB"/>
    <w:rsid w:val="00C945F2"/>
    <w:rsid w:val="00C94BE7"/>
    <w:rsid w:val="00C95358"/>
    <w:rsid w:val="00CA470F"/>
    <w:rsid w:val="00CA4D60"/>
    <w:rsid w:val="00CA5A7D"/>
    <w:rsid w:val="00CB20CD"/>
    <w:rsid w:val="00CB2163"/>
    <w:rsid w:val="00CB5045"/>
    <w:rsid w:val="00CB6F48"/>
    <w:rsid w:val="00CC28CC"/>
    <w:rsid w:val="00CC51FA"/>
    <w:rsid w:val="00CC5F71"/>
    <w:rsid w:val="00CD09C9"/>
    <w:rsid w:val="00CD2656"/>
    <w:rsid w:val="00CD341B"/>
    <w:rsid w:val="00CD513D"/>
    <w:rsid w:val="00CD56E4"/>
    <w:rsid w:val="00CD7202"/>
    <w:rsid w:val="00CE39DD"/>
    <w:rsid w:val="00CE6BA5"/>
    <w:rsid w:val="00CF631A"/>
    <w:rsid w:val="00CF6DD2"/>
    <w:rsid w:val="00D00E34"/>
    <w:rsid w:val="00D0207D"/>
    <w:rsid w:val="00D04C68"/>
    <w:rsid w:val="00D057E4"/>
    <w:rsid w:val="00D112EB"/>
    <w:rsid w:val="00D11F95"/>
    <w:rsid w:val="00D13002"/>
    <w:rsid w:val="00D13F35"/>
    <w:rsid w:val="00D1578A"/>
    <w:rsid w:val="00D160E0"/>
    <w:rsid w:val="00D16C17"/>
    <w:rsid w:val="00D16E2B"/>
    <w:rsid w:val="00D20ADD"/>
    <w:rsid w:val="00D24FBA"/>
    <w:rsid w:val="00D25B95"/>
    <w:rsid w:val="00D26D6B"/>
    <w:rsid w:val="00D31F8D"/>
    <w:rsid w:val="00D34F9D"/>
    <w:rsid w:val="00D35CE7"/>
    <w:rsid w:val="00D36BCA"/>
    <w:rsid w:val="00D4042B"/>
    <w:rsid w:val="00D4191F"/>
    <w:rsid w:val="00D427E6"/>
    <w:rsid w:val="00D4381A"/>
    <w:rsid w:val="00D43F41"/>
    <w:rsid w:val="00D45054"/>
    <w:rsid w:val="00D538E7"/>
    <w:rsid w:val="00D575ED"/>
    <w:rsid w:val="00D60431"/>
    <w:rsid w:val="00D60AC4"/>
    <w:rsid w:val="00D62E65"/>
    <w:rsid w:val="00D6329B"/>
    <w:rsid w:val="00D63D24"/>
    <w:rsid w:val="00D729B1"/>
    <w:rsid w:val="00D74B31"/>
    <w:rsid w:val="00D7649C"/>
    <w:rsid w:val="00D7655D"/>
    <w:rsid w:val="00D770A3"/>
    <w:rsid w:val="00D77583"/>
    <w:rsid w:val="00D80FA2"/>
    <w:rsid w:val="00D81731"/>
    <w:rsid w:val="00D8512A"/>
    <w:rsid w:val="00D85BDB"/>
    <w:rsid w:val="00D901D7"/>
    <w:rsid w:val="00D94682"/>
    <w:rsid w:val="00D9532F"/>
    <w:rsid w:val="00D964E2"/>
    <w:rsid w:val="00DA182F"/>
    <w:rsid w:val="00DA2104"/>
    <w:rsid w:val="00DA45B9"/>
    <w:rsid w:val="00DA54DC"/>
    <w:rsid w:val="00DA5A5E"/>
    <w:rsid w:val="00DA6483"/>
    <w:rsid w:val="00DA66B4"/>
    <w:rsid w:val="00DB3198"/>
    <w:rsid w:val="00DB3A44"/>
    <w:rsid w:val="00DB7F74"/>
    <w:rsid w:val="00DC12F0"/>
    <w:rsid w:val="00DC21F0"/>
    <w:rsid w:val="00DC711F"/>
    <w:rsid w:val="00DC7B11"/>
    <w:rsid w:val="00DD32D5"/>
    <w:rsid w:val="00DD5498"/>
    <w:rsid w:val="00DD62CC"/>
    <w:rsid w:val="00DD63A5"/>
    <w:rsid w:val="00DD7371"/>
    <w:rsid w:val="00DE1110"/>
    <w:rsid w:val="00DE224C"/>
    <w:rsid w:val="00DE2567"/>
    <w:rsid w:val="00DE2757"/>
    <w:rsid w:val="00DE2B6D"/>
    <w:rsid w:val="00DE42ED"/>
    <w:rsid w:val="00DE56D4"/>
    <w:rsid w:val="00DE5CEE"/>
    <w:rsid w:val="00DF0EBC"/>
    <w:rsid w:val="00DF3F4B"/>
    <w:rsid w:val="00DF4A9D"/>
    <w:rsid w:val="00DF5612"/>
    <w:rsid w:val="00DF67DD"/>
    <w:rsid w:val="00DF7EA7"/>
    <w:rsid w:val="00E01A09"/>
    <w:rsid w:val="00E035AD"/>
    <w:rsid w:val="00E03A37"/>
    <w:rsid w:val="00E046AE"/>
    <w:rsid w:val="00E04AA4"/>
    <w:rsid w:val="00E0678A"/>
    <w:rsid w:val="00E06839"/>
    <w:rsid w:val="00E10FEB"/>
    <w:rsid w:val="00E1301D"/>
    <w:rsid w:val="00E1595D"/>
    <w:rsid w:val="00E16CE0"/>
    <w:rsid w:val="00E170E1"/>
    <w:rsid w:val="00E2024C"/>
    <w:rsid w:val="00E2366E"/>
    <w:rsid w:val="00E24A46"/>
    <w:rsid w:val="00E251DD"/>
    <w:rsid w:val="00E267CD"/>
    <w:rsid w:val="00E30989"/>
    <w:rsid w:val="00E362E4"/>
    <w:rsid w:val="00E368E2"/>
    <w:rsid w:val="00E41677"/>
    <w:rsid w:val="00E44833"/>
    <w:rsid w:val="00E44D62"/>
    <w:rsid w:val="00E451C8"/>
    <w:rsid w:val="00E4588E"/>
    <w:rsid w:val="00E4690A"/>
    <w:rsid w:val="00E54FC4"/>
    <w:rsid w:val="00E56B2B"/>
    <w:rsid w:val="00E56B3A"/>
    <w:rsid w:val="00E60C92"/>
    <w:rsid w:val="00E62B55"/>
    <w:rsid w:val="00E6355B"/>
    <w:rsid w:val="00E64AA0"/>
    <w:rsid w:val="00E6547A"/>
    <w:rsid w:val="00E67844"/>
    <w:rsid w:val="00E76540"/>
    <w:rsid w:val="00E771AB"/>
    <w:rsid w:val="00E779BA"/>
    <w:rsid w:val="00E84673"/>
    <w:rsid w:val="00E879A9"/>
    <w:rsid w:val="00E91CA1"/>
    <w:rsid w:val="00E91CF9"/>
    <w:rsid w:val="00E92D24"/>
    <w:rsid w:val="00E95F43"/>
    <w:rsid w:val="00EA4554"/>
    <w:rsid w:val="00EA45E4"/>
    <w:rsid w:val="00EA524F"/>
    <w:rsid w:val="00EA65E8"/>
    <w:rsid w:val="00EA7F1C"/>
    <w:rsid w:val="00EB0346"/>
    <w:rsid w:val="00EB11F7"/>
    <w:rsid w:val="00EB2F4E"/>
    <w:rsid w:val="00EB351B"/>
    <w:rsid w:val="00EB7B11"/>
    <w:rsid w:val="00EC07FD"/>
    <w:rsid w:val="00EC2D13"/>
    <w:rsid w:val="00EC45B3"/>
    <w:rsid w:val="00ED6876"/>
    <w:rsid w:val="00EE1A5F"/>
    <w:rsid w:val="00EE491E"/>
    <w:rsid w:val="00EE4B99"/>
    <w:rsid w:val="00EE552B"/>
    <w:rsid w:val="00EE5A69"/>
    <w:rsid w:val="00EE5A70"/>
    <w:rsid w:val="00EE6430"/>
    <w:rsid w:val="00EE6B60"/>
    <w:rsid w:val="00EE6C89"/>
    <w:rsid w:val="00EF005B"/>
    <w:rsid w:val="00EF1935"/>
    <w:rsid w:val="00EF1A75"/>
    <w:rsid w:val="00EF4B9A"/>
    <w:rsid w:val="00F00A49"/>
    <w:rsid w:val="00F02E1E"/>
    <w:rsid w:val="00F02F85"/>
    <w:rsid w:val="00F05CC9"/>
    <w:rsid w:val="00F07CAE"/>
    <w:rsid w:val="00F11060"/>
    <w:rsid w:val="00F162C2"/>
    <w:rsid w:val="00F16EA1"/>
    <w:rsid w:val="00F17D2A"/>
    <w:rsid w:val="00F24A37"/>
    <w:rsid w:val="00F24E0F"/>
    <w:rsid w:val="00F30DAD"/>
    <w:rsid w:val="00F32650"/>
    <w:rsid w:val="00F34C36"/>
    <w:rsid w:val="00F36BF4"/>
    <w:rsid w:val="00F37BB2"/>
    <w:rsid w:val="00F407AE"/>
    <w:rsid w:val="00F437B2"/>
    <w:rsid w:val="00F437F8"/>
    <w:rsid w:val="00F45227"/>
    <w:rsid w:val="00F52173"/>
    <w:rsid w:val="00F52223"/>
    <w:rsid w:val="00F537AC"/>
    <w:rsid w:val="00F542CB"/>
    <w:rsid w:val="00F56659"/>
    <w:rsid w:val="00F60456"/>
    <w:rsid w:val="00F673D7"/>
    <w:rsid w:val="00F676C5"/>
    <w:rsid w:val="00F67B45"/>
    <w:rsid w:val="00F67B63"/>
    <w:rsid w:val="00F707D6"/>
    <w:rsid w:val="00F72ABE"/>
    <w:rsid w:val="00F72AF5"/>
    <w:rsid w:val="00F7372F"/>
    <w:rsid w:val="00F742F6"/>
    <w:rsid w:val="00F74C7E"/>
    <w:rsid w:val="00F77329"/>
    <w:rsid w:val="00F92899"/>
    <w:rsid w:val="00F96827"/>
    <w:rsid w:val="00FA07D2"/>
    <w:rsid w:val="00FA0CB5"/>
    <w:rsid w:val="00FA18C8"/>
    <w:rsid w:val="00FA51FB"/>
    <w:rsid w:val="00FA724A"/>
    <w:rsid w:val="00FA7704"/>
    <w:rsid w:val="00FB0B3A"/>
    <w:rsid w:val="00FB0F29"/>
    <w:rsid w:val="00FB126E"/>
    <w:rsid w:val="00FB7AAA"/>
    <w:rsid w:val="00FB7DE3"/>
    <w:rsid w:val="00FC0D8F"/>
    <w:rsid w:val="00FC352C"/>
    <w:rsid w:val="00FC3BD2"/>
    <w:rsid w:val="00FC4466"/>
    <w:rsid w:val="00FC5481"/>
    <w:rsid w:val="00FD1A5A"/>
    <w:rsid w:val="00FD350E"/>
    <w:rsid w:val="00FD4D08"/>
    <w:rsid w:val="00FD56EA"/>
    <w:rsid w:val="00FD6CEE"/>
    <w:rsid w:val="00FD7BDE"/>
    <w:rsid w:val="00FE020E"/>
    <w:rsid w:val="00FE2509"/>
    <w:rsid w:val="00FE3C29"/>
    <w:rsid w:val="00FE4575"/>
    <w:rsid w:val="00FE4C69"/>
    <w:rsid w:val="00FF1A19"/>
    <w:rsid w:val="00FF1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38D1C"/>
  <w15:chartTrackingRefBased/>
  <w15:docId w15:val="{283C9CC8-2F35-40AD-BDA2-F4AC25E6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9E"/>
    <w:pPr>
      <w:spacing w:line="260" w:lineRule="exact"/>
    </w:pPr>
    <w:rPr>
      <w:rFonts w:ascii="Verdana" w:hAnsi="Verdana"/>
      <w:sz w:val="17"/>
      <w:szCs w:val="19"/>
    </w:rPr>
  </w:style>
  <w:style w:type="paragraph" w:styleId="Heading1">
    <w:name w:val="heading 1"/>
    <w:basedOn w:val="Normal"/>
    <w:next w:val="Normal"/>
    <w:qFormat/>
    <w:rsid w:val="004B789E"/>
    <w:pPr>
      <w:keepNext/>
      <w:numPr>
        <w:numId w:val="7"/>
      </w:numPr>
      <w:spacing w:after="260"/>
      <w:outlineLvl w:val="0"/>
    </w:pPr>
    <w:rPr>
      <w:rFonts w:cs="Arial"/>
      <w:b/>
      <w:bCs/>
      <w:kern w:val="32"/>
      <w:sz w:val="20"/>
      <w:szCs w:val="32"/>
    </w:rPr>
  </w:style>
  <w:style w:type="paragraph" w:styleId="Heading2">
    <w:name w:val="heading 2"/>
    <w:basedOn w:val="Normal"/>
    <w:next w:val="Normal"/>
    <w:qFormat/>
    <w:rsid w:val="004B789E"/>
    <w:pPr>
      <w:keepNext/>
      <w:numPr>
        <w:ilvl w:val="1"/>
        <w:numId w:val="7"/>
      </w:numPr>
      <w:spacing w:after="260"/>
      <w:outlineLvl w:val="1"/>
    </w:pPr>
    <w:rPr>
      <w:rFonts w:cs="Arial"/>
      <w:b/>
      <w:bCs/>
      <w:iCs/>
      <w:szCs w:val="28"/>
    </w:rPr>
  </w:style>
  <w:style w:type="paragraph" w:styleId="Heading3">
    <w:name w:val="heading 3"/>
    <w:basedOn w:val="Normal"/>
    <w:next w:val="Normal"/>
    <w:qFormat/>
    <w:rsid w:val="004B789E"/>
    <w:pPr>
      <w:keepNext/>
      <w:numPr>
        <w:ilvl w:val="2"/>
        <w:numId w:val="7"/>
      </w:numPr>
      <w:outlineLvl w:val="2"/>
    </w:pPr>
    <w:rPr>
      <w:rFonts w:cs="Arial"/>
      <w:bCs/>
      <w:i/>
      <w:szCs w:val="26"/>
    </w:rPr>
  </w:style>
  <w:style w:type="paragraph" w:styleId="Heading4">
    <w:name w:val="heading 4"/>
    <w:basedOn w:val="Normal"/>
    <w:next w:val="Normal"/>
    <w:qFormat/>
    <w:rsid w:val="00DC7B11"/>
    <w:pPr>
      <w:keepNext/>
      <w:numPr>
        <w:ilvl w:val="3"/>
        <w:numId w:val="7"/>
      </w:numPr>
      <w:spacing w:before="240" w:after="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HN">
    <w:name w:val="do_HN"/>
    <w:rsid w:val="000C334A"/>
    <w:pPr>
      <w:numPr>
        <w:numId w:val="1"/>
      </w:numPr>
    </w:pPr>
  </w:style>
  <w:style w:type="paragraph" w:customStyle="1" w:styleId="doColHeadings">
    <w:name w:val="do_ColHeadings"/>
    <w:basedOn w:val="Normal"/>
    <w:rsid w:val="00EF1935"/>
    <w:pPr>
      <w:spacing w:line="180" w:lineRule="exact"/>
    </w:pPr>
    <w:rPr>
      <w:smallCaps/>
      <w:noProof/>
      <w:sz w:val="8"/>
    </w:rPr>
  </w:style>
  <w:style w:type="paragraph" w:customStyle="1" w:styleId="doCol">
    <w:name w:val="do_Col"/>
    <w:basedOn w:val="Normal"/>
    <w:rsid w:val="00EF1935"/>
    <w:pPr>
      <w:spacing w:line="180" w:lineRule="exact"/>
    </w:pPr>
    <w:rPr>
      <w:noProof/>
      <w:sz w:val="12"/>
    </w:rPr>
  </w:style>
  <w:style w:type="paragraph" w:styleId="Header">
    <w:name w:val="header"/>
    <w:basedOn w:val="Normal"/>
    <w:rsid w:val="007711FE"/>
    <w:pPr>
      <w:tabs>
        <w:tab w:val="center" w:pos="4536"/>
        <w:tab w:val="right" w:pos="9072"/>
      </w:tabs>
    </w:pPr>
  </w:style>
  <w:style w:type="paragraph" w:styleId="Footer">
    <w:name w:val="footer"/>
    <w:basedOn w:val="Normal"/>
    <w:rsid w:val="007711FE"/>
    <w:pPr>
      <w:tabs>
        <w:tab w:val="center" w:pos="4536"/>
        <w:tab w:val="right" w:pos="9072"/>
      </w:tabs>
    </w:pPr>
  </w:style>
  <w:style w:type="paragraph" w:customStyle="1" w:styleId="doTag">
    <w:name w:val="do_Tag"/>
    <w:basedOn w:val="Normal"/>
    <w:rsid w:val="00EC2D13"/>
    <w:rPr>
      <w:i/>
      <w:noProof/>
      <w:sz w:val="12"/>
    </w:rPr>
  </w:style>
  <w:style w:type="paragraph" w:customStyle="1" w:styleId="doTitle">
    <w:name w:val="do_Title"/>
    <w:basedOn w:val="Normal"/>
    <w:next w:val="Normal"/>
    <w:rsid w:val="005F2D34"/>
    <w:pPr>
      <w:spacing w:line="240" w:lineRule="auto"/>
    </w:pPr>
    <w:rPr>
      <w:b/>
      <w:sz w:val="30"/>
    </w:rPr>
  </w:style>
  <w:style w:type="paragraph" w:customStyle="1" w:styleId="doSubTitle">
    <w:name w:val="do_SubTitle"/>
    <w:basedOn w:val="Normal"/>
    <w:rsid w:val="005F2D34"/>
    <w:pPr>
      <w:spacing w:line="240" w:lineRule="auto"/>
    </w:pPr>
    <w:rPr>
      <w:sz w:val="24"/>
    </w:rPr>
  </w:style>
  <w:style w:type="paragraph" w:customStyle="1" w:styleId="doInfo">
    <w:name w:val="do_Info"/>
    <w:basedOn w:val="Normal"/>
    <w:rsid w:val="00F52173"/>
    <w:pPr>
      <w:spacing w:line="180" w:lineRule="exact"/>
    </w:pPr>
    <w:rPr>
      <w:noProof/>
      <w:sz w:val="10"/>
    </w:rPr>
  </w:style>
  <w:style w:type="paragraph" w:styleId="TOC1">
    <w:name w:val="toc 1"/>
    <w:basedOn w:val="Normal"/>
    <w:next w:val="Normal"/>
    <w:uiPriority w:val="39"/>
    <w:rsid w:val="00E56B2B"/>
    <w:pPr>
      <w:tabs>
        <w:tab w:val="left" w:pos="709"/>
        <w:tab w:val="right" w:pos="7655"/>
      </w:tabs>
      <w:spacing w:before="260"/>
      <w:ind w:left="709" w:right="284" w:hanging="709"/>
    </w:pPr>
  </w:style>
  <w:style w:type="paragraph" w:styleId="TOC2">
    <w:name w:val="toc 2"/>
    <w:basedOn w:val="Normal"/>
    <w:next w:val="Normal"/>
    <w:uiPriority w:val="39"/>
    <w:rsid w:val="00E56B2B"/>
    <w:pPr>
      <w:tabs>
        <w:tab w:val="left" w:pos="709"/>
        <w:tab w:val="right" w:pos="7655"/>
      </w:tabs>
      <w:ind w:left="709" w:right="284" w:hanging="709"/>
    </w:pPr>
  </w:style>
  <w:style w:type="paragraph" w:styleId="TOC3">
    <w:name w:val="toc 3"/>
    <w:basedOn w:val="Normal"/>
    <w:next w:val="Normal"/>
    <w:uiPriority w:val="39"/>
    <w:rsid w:val="00E56B2B"/>
    <w:pPr>
      <w:tabs>
        <w:tab w:val="left" w:pos="709"/>
        <w:tab w:val="right" w:pos="7655"/>
      </w:tabs>
      <w:ind w:left="709" w:right="284" w:hanging="709"/>
    </w:pPr>
  </w:style>
  <w:style w:type="paragraph" w:styleId="TOC4">
    <w:name w:val="toc 4"/>
    <w:basedOn w:val="Normal"/>
    <w:next w:val="Normal"/>
    <w:semiHidden/>
    <w:rsid w:val="00E56B2B"/>
    <w:pPr>
      <w:tabs>
        <w:tab w:val="left" w:pos="709"/>
        <w:tab w:val="right" w:pos="7655"/>
      </w:tabs>
      <w:ind w:left="709" w:right="284" w:hanging="709"/>
    </w:pPr>
  </w:style>
  <w:style w:type="paragraph" w:styleId="TOC5">
    <w:name w:val="toc 5"/>
    <w:basedOn w:val="Normal"/>
    <w:next w:val="Normal"/>
    <w:autoRedefine/>
    <w:semiHidden/>
    <w:rsid w:val="00E56B2B"/>
    <w:pPr>
      <w:ind w:left="680"/>
    </w:pPr>
  </w:style>
  <w:style w:type="paragraph" w:styleId="Caption">
    <w:name w:val="caption"/>
    <w:basedOn w:val="Normal"/>
    <w:next w:val="Normal"/>
    <w:unhideWhenUsed/>
    <w:qFormat/>
    <w:rsid w:val="00620351"/>
    <w:pPr>
      <w:spacing w:after="200" w:line="240" w:lineRule="auto"/>
    </w:pPr>
    <w:rPr>
      <w:i/>
      <w:iCs/>
      <w:color w:val="44546A" w:themeColor="text2"/>
      <w:sz w:val="18"/>
      <w:szCs w:val="18"/>
    </w:rPr>
  </w:style>
  <w:style w:type="character" w:styleId="Emphasis">
    <w:name w:val="Emphasis"/>
    <w:basedOn w:val="DefaultParagraphFont"/>
    <w:uiPriority w:val="20"/>
    <w:qFormat/>
    <w:rsid w:val="005D4F12"/>
    <w:rPr>
      <w:i/>
      <w:iCs/>
      <w:lang w:val="nl-NL"/>
    </w:rPr>
  </w:style>
  <w:style w:type="paragraph" w:styleId="ListParagraph">
    <w:name w:val="List Paragraph"/>
    <w:basedOn w:val="Normal"/>
    <w:uiPriority w:val="34"/>
    <w:qFormat/>
    <w:rsid w:val="00E771AB"/>
    <w:pPr>
      <w:ind w:left="720"/>
      <w:contextualSpacing/>
    </w:pPr>
  </w:style>
  <w:style w:type="character" w:styleId="Hyperlink">
    <w:name w:val="Hyperlink"/>
    <w:basedOn w:val="DefaultParagraphFont"/>
    <w:uiPriority w:val="99"/>
    <w:rsid w:val="004D250A"/>
    <w:rPr>
      <w:color w:val="0563C1" w:themeColor="hyperlink"/>
      <w:u w:val="single"/>
      <w:lang w:val="nl-NL"/>
    </w:rPr>
  </w:style>
  <w:style w:type="character" w:styleId="UnresolvedMention">
    <w:name w:val="Unresolved Mention"/>
    <w:basedOn w:val="DefaultParagraphFont"/>
    <w:uiPriority w:val="99"/>
    <w:semiHidden/>
    <w:unhideWhenUsed/>
    <w:rsid w:val="004D250A"/>
    <w:rPr>
      <w:color w:val="605E5C"/>
      <w:shd w:val="clear" w:color="auto" w:fill="E1DFDD"/>
      <w:lang w:val="nl-NL"/>
    </w:rPr>
  </w:style>
  <w:style w:type="paragraph" w:styleId="FootnoteText">
    <w:name w:val="footnote text"/>
    <w:basedOn w:val="Normal"/>
    <w:link w:val="FootnoteTextChar"/>
    <w:uiPriority w:val="99"/>
    <w:rsid w:val="00EB351B"/>
    <w:pPr>
      <w:spacing w:line="240" w:lineRule="auto"/>
    </w:pPr>
    <w:rPr>
      <w:sz w:val="20"/>
      <w:szCs w:val="20"/>
    </w:rPr>
  </w:style>
  <w:style w:type="character" w:customStyle="1" w:styleId="FootnoteTextChar">
    <w:name w:val="Footnote Text Char"/>
    <w:basedOn w:val="DefaultParagraphFont"/>
    <w:link w:val="FootnoteText"/>
    <w:uiPriority w:val="99"/>
    <w:rsid w:val="00EB351B"/>
    <w:rPr>
      <w:rFonts w:ascii="Verdana" w:hAnsi="Verdana"/>
      <w:lang w:val="nl-NL"/>
    </w:rPr>
  </w:style>
  <w:style w:type="character" w:styleId="FootnoteReference">
    <w:name w:val="footnote reference"/>
    <w:basedOn w:val="DefaultParagraphFont"/>
    <w:uiPriority w:val="99"/>
    <w:rsid w:val="00EB351B"/>
    <w:rPr>
      <w:vertAlign w:val="superscript"/>
      <w:lang w:val="nl-NL"/>
    </w:rPr>
  </w:style>
  <w:style w:type="character" w:styleId="CommentReference">
    <w:name w:val="annotation reference"/>
    <w:basedOn w:val="DefaultParagraphFont"/>
    <w:rsid w:val="00C67EB8"/>
    <w:rPr>
      <w:sz w:val="16"/>
      <w:szCs w:val="16"/>
      <w:lang w:val="nl-NL"/>
    </w:rPr>
  </w:style>
  <w:style w:type="paragraph" w:styleId="CommentText">
    <w:name w:val="annotation text"/>
    <w:basedOn w:val="Normal"/>
    <w:link w:val="CommentTextChar"/>
    <w:rsid w:val="00C67EB8"/>
    <w:pPr>
      <w:spacing w:line="240" w:lineRule="auto"/>
    </w:pPr>
    <w:rPr>
      <w:sz w:val="20"/>
      <w:szCs w:val="20"/>
    </w:rPr>
  </w:style>
  <w:style w:type="character" w:customStyle="1" w:styleId="CommentTextChar">
    <w:name w:val="Comment Text Char"/>
    <w:basedOn w:val="DefaultParagraphFont"/>
    <w:link w:val="CommentText"/>
    <w:rsid w:val="00C67EB8"/>
    <w:rPr>
      <w:rFonts w:ascii="Verdana" w:hAnsi="Verdana"/>
      <w:lang w:val="nl-NL"/>
    </w:rPr>
  </w:style>
  <w:style w:type="paragraph" w:styleId="CommentSubject">
    <w:name w:val="annotation subject"/>
    <w:basedOn w:val="CommentText"/>
    <w:next w:val="CommentText"/>
    <w:link w:val="CommentSubjectChar"/>
    <w:rsid w:val="00C67EB8"/>
    <w:rPr>
      <w:b/>
      <w:bCs/>
    </w:rPr>
  </w:style>
  <w:style w:type="character" w:customStyle="1" w:styleId="CommentSubjectChar">
    <w:name w:val="Comment Subject Char"/>
    <w:basedOn w:val="CommentTextChar"/>
    <w:link w:val="CommentSubject"/>
    <w:rsid w:val="00C67EB8"/>
    <w:rPr>
      <w:rFonts w:ascii="Verdana" w:hAnsi="Verdana"/>
      <w:b/>
      <w:bCs/>
      <w:lang w:val="nl-NL"/>
    </w:rPr>
  </w:style>
  <w:style w:type="table" w:styleId="ListTable3-Accent3">
    <w:name w:val="List Table 3 Accent 3"/>
    <w:basedOn w:val="TableNormal"/>
    <w:uiPriority w:val="48"/>
    <w:rsid w:val="00F162C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f0">
    <w:name w:val="pf0"/>
    <w:basedOn w:val="Normal"/>
    <w:rsid w:val="00502528"/>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502528"/>
    <w:rPr>
      <w:rFonts w:ascii="Segoe UI" w:hAnsi="Segoe UI" w:cs="Segoe UI" w:hint="default"/>
      <w:sz w:val="18"/>
      <w:szCs w:val="18"/>
      <w:lang w:val="nl-NL"/>
    </w:rPr>
  </w:style>
  <w:style w:type="character" w:customStyle="1" w:styleId="fadeinpfttw8">
    <w:name w:val="_fadein_pfttw_8"/>
    <w:basedOn w:val="DefaultParagraphFont"/>
    <w:rsid w:val="00302BE3"/>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51528">
      <w:bodyDiv w:val="1"/>
      <w:marLeft w:val="0"/>
      <w:marRight w:val="0"/>
      <w:marTop w:val="0"/>
      <w:marBottom w:val="0"/>
      <w:divBdr>
        <w:top w:val="none" w:sz="0" w:space="0" w:color="auto"/>
        <w:left w:val="none" w:sz="0" w:space="0" w:color="auto"/>
        <w:bottom w:val="none" w:sz="0" w:space="0" w:color="auto"/>
        <w:right w:val="none" w:sz="0" w:space="0" w:color="auto"/>
      </w:divBdr>
    </w:div>
    <w:div w:id="42207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yperlink" Target="https://agrimatie.nl/themaResultaat.aspx?subpubID=2232&amp;sectorID=2243&amp;themaID=2272&amp;indicatorID=2046" TargetMode="External" Id="rId18" /><Relationship Type="http://schemas.openxmlformats.org/officeDocument/2006/relationships/hyperlink" Target="https://doi.org/10.18174/646208" TargetMode="External" Id="rId26" /><Relationship Type="http://schemas.openxmlformats.org/officeDocument/2006/relationships/numbering" Target="numbering.xml" Id="rId3" /><Relationship Type="http://schemas.openxmlformats.org/officeDocument/2006/relationships/hyperlink" Target="https://www.retailinsiders.nl/data/" TargetMode="Externa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hart" Target="charts/chart1.xml" Id="rId17" /><Relationship Type="http://schemas.openxmlformats.org/officeDocument/2006/relationships/hyperlink" Target="https://www.nationaalklimaatplatform.nl/publicaties+nationaal+klimaat+platform/HandlerDownloadFiles.ashx?idnv=2948877" TargetMode="External" Id="rId25" /><Relationship Type="http://schemas.openxmlformats.org/officeDocument/2006/relationships/fontTable" Target="fontTable.xml" Id="rId33" /><Relationship Type="http://schemas.openxmlformats.org/officeDocument/2006/relationships/hyperlink" Target="https://www.wur.nl/en/research-results/research-institutes/social-economic-research.htm" TargetMode="External" Id="rId16" /><Relationship Type="http://schemas.openxmlformats.org/officeDocument/2006/relationships/hyperlink" Target="https://agrimatie.nl/themaResultaat.aspx?subpubID=2232&amp;sectorID=2243&amp;themaID=2272&amp;indicatorID=2046" TargetMode="External" Id="rId20" /><Relationship Type="http://schemas.openxmlformats.org/officeDocument/2006/relationships/hyperlink" Target="https://doi.org/10.18174/528928" TargetMode="External" Id="rId29"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hyperlink" Target="https://edepot.wur.nl/530231" TargetMode="External" Id="rId24" /><Relationship Type="http://schemas.openxmlformats.org/officeDocument/2006/relationships/footer" Target="footer4.xml" Id="rId32"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yperlink" Target="https://doi.org/10.18174/679420" TargetMode="External" Id="rId23" /><Relationship Type="http://schemas.openxmlformats.org/officeDocument/2006/relationships/hyperlink" Target="https://doi.org/10.18174/549531" TargetMode="External" Id="rId28" /><Relationship Type="http://schemas.openxmlformats.org/officeDocument/2006/relationships/header" Target="header2.xml" Id="rId10" /><Relationship Type="http://schemas.openxmlformats.org/officeDocument/2006/relationships/chart" Target="charts/chart2.xml" Id="rId19" /><Relationship Type="http://schemas.openxmlformats.org/officeDocument/2006/relationships/header" Target="header5.xml"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chart" Target="charts/chart3.xml" Id="rId22" /><Relationship Type="http://schemas.openxmlformats.org/officeDocument/2006/relationships/hyperlink" Target="https://www.smk.nl/wp-content/uploads/2025/02/Impact-rapportage_Plantaardig_OTWTP_SMK_2025.pdf" TargetMode="External" Id="rId27" /><Relationship Type="http://schemas.openxmlformats.org/officeDocument/2006/relationships/hyperlink" Target="https://doi.org/10.18174/572860" TargetMode="External" Id="rId30"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nfonds.nl/sectoren/duurzame-landbouw/" TargetMode="External"/><Relationship Id="rId3" Type="http://schemas.openxmlformats.org/officeDocument/2006/relationships/hyperlink" Target="https://agrimatie.nl/ThemaResultaat.aspx?subpubID=2232&amp;themaID=2281" TargetMode="External"/><Relationship Id="rId7" Type="http://schemas.openxmlformats.org/officeDocument/2006/relationships/hyperlink" Target="https://www.netwerkplatteland.nl/actueel/nieuws/2025/04/10/notificatie-nationaal-strategisch-plan-glb" TargetMode="External"/><Relationship Id="rId2" Type="http://schemas.openxmlformats.org/officeDocument/2006/relationships/hyperlink" Target="https://www.staatvanbiologisch.nl/indicatoren/aandeel-biologisch-areaal/" TargetMode="External"/><Relationship Id="rId1" Type="http://schemas.openxmlformats.org/officeDocument/2006/relationships/hyperlink" Target="https://agrimatie.nl/ThemaResultaat.aspx?subpubID=2232&amp;themaID=2272&amp;indicatorID=2059" TargetMode="External"/><Relationship Id="rId6" Type="http://schemas.openxmlformats.org/officeDocument/2006/relationships/hyperlink" Target="https://www.rijksoverheid.nl/documenten/kamerstukken/2022/02/24/verslag-strategisch-gbl-plan-202" TargetMode="External"/><Relationship Id="rId5" Type="http://schemas.openxmlformats.org/officeDocument/2006/relationships/hyperlink" Target="https://veeteelt.nl/zuivel/frieslandcampina-vergoedt-inzet-bovaer-bij-600-veehouders" TargetMode="External"/><Relationship Id="rId4" Type="http://schemas.openxmlformats.org/officeDocument/2006/relationships/hyperlink" Target="https://downloads.smk.nl/Public/PlanetProof_documenten/Plantaardige%20producten%20(NL)/2024/Duurzaamheidsvergoeding/SMK_Duurzaamheidsvergoeding_On%20the%20way%20to%20PlanetProof%202024_N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Sync\Templates\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wageningenur4-my.sharepoint.com/personal/michiel_vangalen_wur_nl/Documents/Projecten/2025%20Rondetafelgesprek%20Tweede%20Kamer/Bedrijfsleven__financi_n__SBI_2008_09042025_1244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grafieken!$C$3</c:f>
              <c:strCache>
                <c:ptCount val="1"/>
                <c:pt idx="0">
                  <c:v> Leghennenbedrijven</c:v>
                </c:pt>
              </c:strCache>
            </c:strRef>
          </c:tx>
          <c:spPr>
            <a:ln w="28575" cap="rnd">
              <a:solidFill>
                <a:schemeClr val="accent1"/>
              </a:solidFill>
              <a:round/>
            </a:ln>
            <a:effectLst/>
          </c:spPr>
          <c:marker>
            <c:symbol val="none"/>
          </c:marker>
          <c:cat>
            <c:strRef>
              <c:f>grafieken!$B$4:$B$27</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grafieken!$C$4:$C$27</c:f>
              <c:numCache>
                <c:formatCode>General</c:formatCode>
                <c:ptCount val="24"/>
                <c:pt idx="0">
                  <c:v>95</c:v>
                </c:pt>
                <c:pt idx="1">
                  <c:v>94</c:v>
                </c:pt>
                <c:pt idx="2">
                  <c:v>108</c:v>
                </c:pt>
                <c:pt idx="3">
                  <c:v>75</c:v>
                </c:pt>
                <c:pt idx="4">
                  <c:v>87</c:v>
                </c:pt>
                <c:pt idx="5">
                  <c:v>84</c:v>
                </c:pt>
                <c:pt idx="6">
                  <c:v>96</c:v>
                </c:pt>
                <c:pt idx="7">
                  <c:v>90</c:v>
                </c:pt>
                <c:pt idx="8">
                  <c:v>121</c:v>
                </c:pt>
                <c:pt idx="9">
                  <c:v>99</c:v>
                </c:pt>
                <c:pt idx="10">
                  <c:v>76</c:v>
                </c:pt>
                <c:pt idx="11">
                  <c:v>110</c:v>
                </c:pt>
                <c:pt idx="12">
                  <c:v>84</c:v>
                </c:pt>
                <c:pt idx="13">
                  <c:v>93</c:v>
                </c:pt>
                <c:pt idx="14">
                  <c:v>104</c:v>
                </c:pt>
                <c:pt idx="15">
                  <c:v>100</c:v>
                </c:pt>
                <c:pt idx="16">
                  <c:v>114</c:v>
                </c:pt>
                <c:pt idx="17">
                  <c:v>110</c:v>
                </c:pt>
                <c:pt idx="18">
                  <c:v>104</c:v>
                </c:pt>
                <c:pt idx="19">
                  <c:v>102</c:v>
                </c:pt>
                <c:pt idx="20">
                  <c:v>99</c:v>
                </c:pt>
                <c:pt idx="21">
                  <c:v>104</c:v>
                </c:pt>
                <c:pt idx="22">
                  <c:v>124</c:v>
                </c:pt>
                <c:pt idx="23">
                  <c:v>120</c:v>
                </c:pt>
              </c:numCache>
            </c:numRef>
          </c:val>
          <c:smooth val="0"/>
          <c:extLst>
            <c:ext xmlns:c16="http://schemas.microsoft.com/office/drawing/2014/chart" uri="{C3380CC4-5D6E-409C-BE32-E72D297353CC}">
              <c16:uniqueId val="{00000000-F168-4072-9832-34636D62A17F}"/>
            </c:ext>
          </c:extLst>
        </c:ser>
        <c:ser>
          <c:idx val="1"/>
          <c:order val="1"/>
          <c:tx>
            <c:strRef>
              <c:f>grafieken!$D$3</c:f>
              <c:strCache>
                <c:ptCount val="1"/>
                <c:pt idx="0">
                  <c:v> Vleeskuikenbedrijven</c:v>
                </c:pt>
              </c:strCache>
            </c:strRef>
          </c:tx>
          <c:spPr>
            <a:ln w="28575" cap="rnd">
              <a:solidFill>
                <a:schemeClr val="accent2"/>
              </a:solidFill>
              <a:round/>
            </a:ln>
            <a:effectLst/>
          </c:spPr>
          <c:marker>
            <c:symbol val="none"/>
          </c:marker>
          <c:cat>
            <c:strRef>
              <c:f>grafieken!$B$4:$B$27</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grafieken!$D$4:$D$27</c:f>
              <c:numCache>
                <c:formatCode>General</c:formatCode>
                <c:ptCount val="24"/>
                <c:pt idx="0">
                  <c:v>104</c:v>
                </c:pt>
                <c:pt idx="1">
                  <c:v>91</c:v>
                </c:pt>
                <c:pt idx="2">
                  <c:v>92</c:v>
                </c:pt>
                <c:pt idx="3">
                  <c:v>92</c:v>
                </c:pt>
                <c:pt idx="4">
                  <c:v>102</c:v>
                </c:pt>
                <c:pt idx="5">
                  <c:v>92</c:v>
                </c:pt>
                <c:pt idx="6">
                  <c:v>99</c:v>
                </c:pt>
                <c:pt idx="7">
                  <c:v>96</c:v>
                </c:pt>
                <c:pt idx="8">
                  <c:v>99</c:v>
                </c:pt>
                <c:pt idx="9">
                  <c:v>98</c:v>
                </c:pt>
                <c:pt idx="10">
                  <c:v>100</c:v>
                </c:pt>
                <c:pt idx="11">
                  <c:v>100</c:v>
                </c:pt>
                <c:pt idx="12">
                  <c:v>99</c:v>
                </c:pt>
                <c:pt idx="13">
                  <c:v>103</c:v>
                </c:pt>
                <c:pt idx="14">
                  <c:v>104</c:v>
                </c:pt>
                <c:pt idx="15">
                  <c:v>105</c:v>
                </c:pt>
                <c:pt idx="16">
                  <c:v>105</c:v>
                </c:pt>
                <c:pt idx="17">
                  <c:v>105</c:v>
                </c:pt>
                <c:pt idx="18">
                  <c:v>104</c:v>
                </c:pt>
                <c:pt idx="19">
                  <c:v>103</c:v>
                </c:pt>
                <c:pt idx="20">
                  <c:v>109</c:v>
                </c:pt>
                <c:pt idx="21">
                  <c:v>113</c:v>
                </c:pt>
                <c:pt idx="22">
                  <c:v>112</c:v>
                </c:pt>
                <c:pt idx="23">
                  <c:v>115</c:v>
                </c:pt>
              </c:numCache>
            </c:numRef>
          </c:val>
          <c:smooth val="0"/>
          <c:extLst>
            <c:ext xmlns:c16="http://schemas.microsoft.com/office/drawing/2014/chart" uri="{C3380CC4-5D6E-409C-BE32-E72D297353CC}">
              <c16:uniqueId val="{00000001-F168-4072-9832-34636D62A17F}"/>
            </c:ext>
          </c:extLst>
        </c:ser>
        <c:ser>
          <c:idx val="2"/>
          <c:order val="2"/>
          <c:tx>
            <c:strRef>
              <c:f>grafieken!$E$3</c:f>
              <c:strCache>
                <c:ptCount val="1"/>
                <c:pt idx="0">
                  <c:v> Varkensbedrijven</c:v>
                </c:pt>
              </c:strCache>
            </c:strRef>
          </c:tx>
          <c:spPr>
            <a:ln w="28575" cap="rnd">
              <a:solidFill>
                <a:schemeClr val="accent3"/>
              </a:solidFill>
              <a:round/>
            </a:ln>
            <a:effectLst/>
          </c:spPr>
          <c:marker>
            <c:symbol val="none"/>
          </c:marker>
          <c:cat>
            <c:strRef>
              <c:f>grafieken!$B$4:$B$27</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grafieken!$E$4:$E$27</c:f>
              <c:numCache>
                <c:formatCode>General</c:formatCode>
                <c:ptCount val="24"/>
                <c:pt idx="0">
                  <c:v>87</c:v>
                </c:pt>
                <c:pt idx="1">
                  <c:v>77</c:v>
                </c:pt>
                <c:pt idx="2">
                  <c:v>79</c:v>
                </c:pt>
                <c:pt idx="3">
                  <c:v>97</c:v>
                </c:pt>
                <c:pt idx="4">
                  <c:v>101</c:v>
                </c:pt>
                <c:pt idx="5">
                  <c:v>97</c:v>
                </c:pt>
                <c:pt idx="6">
                  <c:v>77</c:v>
                </c:pt>
                <c:pt idx="7">
                  <c:v>90</c:v>
                </c:pt>
                <c:pt idx="8">
                  <c:v>88</c:v>
                </c:pt>
                <c:pt idx="9">
                  <c:v>91</c:v>
                </c:pt>
                <c:pt idx="10">
                  <c:v>92</c:v>
                </c:pt>
                <c:pt idx="11">
                  <c:v>100</c:v>
                </c:pt>
                <c:pt idx="12">
                  <c:v>99</c:v>
                </c:pt>
                <c:pt idx="13">
                  <c:v>91</c:v>
                </c:pt>
                <c:pt idx="14">
                  <c:v>89</c:v>
                </c:pt>
                <c:pt idx="15">
                  <c:v>109</c:v>
                </c:pt>
                <c:pt idx="16">
                  <c:v>111</c:v>
                </c:pt>
                <c:pt idx="17">
                  <c:v>94</c:v>
                </c:pt>
                <c:pt idx="18">
                  <c:v>127</c:v>
                </c:pt>
                <c:pt idx="19">
                  <c:v>92</c:v>
                </c:pt>
                <c:pt idx="20">
                  <c:v>99</c:v>
                </c:pt>
                <c:pt idx="21">
                  <c:v>104</c:v>
                </c:pt>
                <c:pt idx="22">
                  <c:v>127</c:v>
                </c:pt>
                <c:pt idx="23">
                  <c:v>110</c:v>
                </c:pt>
              </c:numCache>
            </c:numRef>
          </c:val>
          <c:smooth val="0"/>
          <c:extLst>
            <c:ext xmlns:c16="http://schemas.microsoft.com/office/drawing/2014/chart" uri="{C3380CC4-5D6E-409C-BE32-E72D297353CC}">
              <c16:uniqueId val="{00000002-F168-4072-9832-34636D62A17F}"/>
            </c:ext>
          </c:extLst>
        </c:ser>
        <c:ser>
          <c:idx val="3"/>
          <c:order val="3"/>
          <c:tx>
            <c:strRef>
              <c:f>grafieken!$F$3</c:f>
              <c:strCache>
                <c:ptCount val="1"/>
                <c:pt idx="0">
                  <c:v>Vleeskalverbedrijven</c:v>
                </c:pt>
              </c:strCache>
            </c:strRef>
          </c:tx>
          <c:spPr>
            <a:ln w="28575" cap="rnd">
              <a:solidFill>
                <a:schemeClr val="accent4"/>
              </a:solidFill>
              <a:round/>
            </a:ln>
            <a:effectLst/>
          </c:spPr>
          <c:marker>
            <c:symbol val="none"/>
          </c:marker>
          <c:cat>
            <c:strRef>
              <c:f>grafieken!$B$4:$B$27</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grafieken!$F$4:$F$27</c:f>
              <c:numCache>
                <c:formatCode>General</c:formatCode>
                <c:ptCount val="24"/>
                <c:pt idx="0">
                  <c:v>72</c:v>
                </c:pt>
                <c:pt idx="1">
                  <c:v>80</c:v>
                </c:pt>
                <c:pt idx="2">
                  <c:v>69</c:v>
                </c:pt>
                <c:pt idx="3">
                  <c:v>73</c:v>
                </c:pt>
                <c:pt idx="4">
                  <c:v>79</c:v>
                </c:pt>
                <c:pt idx="5">
                  <c:v>80</c:v>
                </c:pt>
                <c:pt idx="6">
                  <c:v>74</c:v>
                </c:pt>
                <c:pt idx="7">
                  <c:v>85</c:v>
                </c:pt>
                <c:pt idx="8">
                  <c:v>83</c:v>
                </c:pt>
                <c:pt idx="9">
                  <c:v>87</c:v>
                </c:pt>
                <c:pt idx="10">
                  <c:v>91</c:v>
                </c:pt>
                <c:pt idx="11">
                  <c:v>94</c:v>
                </c:pt>
                <c:pt idx="12">
                  <c:v>93</c:v>
                </c:pt>
                <c:pt idx="13">
                  <c:v>96</c:v>
                </c:pt>
                <c:pt idx="14">
                  <c:v>94</c:v>
                </c:pt>
                <c:pt idx="15">
                  <c:v>90</c:v>
                </c:pt>
                <c:pt idx="16">
                  <c:v>99</c:v>
                </c:pt>
                <c:pt idx="17">
                  <c:v>97</c:v>
                </c:pt>
                <c:pt idx="18">
                  <c:v>96</c:v>
                </c:pt>
                <c:pt idx="19">
                  <c:v>93</c:v>
                </c:pt>
                <c:pt idx="20">
                  <c:v>96</c:v>
                </c:pt>
                <c:pt idx="21">
                  <c:v>91</c:v>
                </c:pt>
                <c:pt idx="22">
                  <c:v>98</c:v>
                </c:pt>
                <c:pt idx="23">
                  <c:v>100</c:v>
                </c:pt>
              </c:numCache>
            </c:numRef>
          </c:val>
          <c:smooth val="0"/>
          <c:extLst>
            <c:ext xmlns:c16="http://schemas.microsoft.com/office/drawing/2014/chart" uri="{C3380CC4-5D6E-409C-BE32-E72D297353CC}">
              <c16:uniqueId val="{00000003-F168-4072-9832-34636D62A17F}"/>
            </c:ext>
          </c:extLst>
        </c:ser>
        <c:ser>
          <c:idx val="4"/>
          <c:order val="4"/>
          <c:tx>
            <c:strRef>
              <c:f>grafieken!$G$3</c:f>
              <c:strCache>
                <c:ptCount val="1"/>
                <c:pt idx="0">
                  <c:v> Melkveebedrijven</c:v>
                </c:pt>
              </c:strCache>
            </c:strRef>
          </c:tx>
          <c:spPr>
            <a:ln w="28575" cap="rnd">
              <a:solidFill>
                <a:schemeClr val="accent5"/>
              </a:solidFill>
              <a:round/>
            </a:ln>
            <a:effectLst/>
          </c:spPr>
          <c:marker>
            <c:symbol val="none"/>
          </c:marker>
          <c:cat>
            <c:strRef>
              <c:f>grafieken!$B$4:$B$27</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grafieken!$G$4:$G$27</c:f>
              <c:numCache>
                <c:formatCode>General</c:formatCode>
                <c:ptCount val="24"/>
                <c:pt idx="0">
                  <c:v>90</c:v>
                </c:pt>
                <c:pt idx="1">
                  <c:v>79</c:v>
                </c:pt>
                <c:pt idx="2">
                  <c:v>77</c:v>
                </c:pt>
                <c:pt idx="3">
                  <c:v>76</c:v>
                </c:pt>
                <c:pt idx="4">
                  <c:v>84</c:v>
                </c:pt>
                <c:pt idx="5">
                  <c:v>79</c:v>
                </c:pt>
                <c:pt idx="6">
                  <c:v>91</c:v>
                </c:pt>
                <c:pt idx="7">
                  <c:v>89</c:v>
                </c:pt>
                <c:pt idx="8">
                  <c:v>70</c:v>
                </c:pt>
                <c:pt idx="9">
                  <c:v>88</c:v>
                </c:pt>
                <c:pt idx="10">
                  <c:v>93</c:v>
                </c:pt>
                <c:pt idx="11">
                  <c:v>89</c:v>
                </c:pt>
                <c:pt idx="12">
                  <c:v>97</c:v>
                </c:pt>
                <c:pt idx="13">
                  <c:v>95</c:v>
                </c:pt>
                <c:pt idx="14">
                  <c:v>88</c:v>
                </c:pt>
                <c:pt idx="15">
                  <c:v>85</c:v>
                </c:pt>
                <c:pt idx="16">
                  <c:v>103</c:v>
                </c:pt>
                <c:pt idx="17">
                  <c:v>92</c:v>
                </c:pt>
                <c:pt idx="18">
                  <c:v>95</c:v>
                </c:pt>
                <c:pt idx="19">
                  <c:v>89</c:v>
                </c:pt>
                <c:pt idx="20">
                  <c:v>93</c:v>
                </c:pt>
                <c:pt idx="21">
                  <c:v>113</c:v>
                </c:pt>
                <c:pt idx="22">
                  <c:v>98</c:v>
                </c:pt>
                <c:pt idx="23">
                  <c:v>99</c:v>
                </c:pt>
              </c:numCache>
            </c:numRef>
          </c:val>
          <c:smooth val="0"/>
          <c:extLst>
            <c:ext xmlns:c16="http://schemas.microsoft.com/office/drawing/2014/chart" uri="{C3380CC4-5D6E-409C-BE32-E72D297353CC}">
              <c16:uniqueId val="{00000004-F168-4072-9832-34636D62A17F}"/>
            </c:ext>
          </c:extLst>
        </c:ser>
        <c:ser>
          <c:idx val="5"/>
          <c:order val="5"/>
          <c:tx>
            <c:strRef>
              <c:f>grafieken!$H$3</c:f>
              <c:strCache>
                <c:ptCount val="1"/>
                <c:pt idx="0">
                  <c:v> Biologische melkveebedrijven</c:v>
                </c:pt>
              </c:strCache>
            </c:strRef>
          </c:tx>
          <c:spPr>
            <a:ln w="28575" cap="rnd">
              <a:solidFill>
                <a:schemeClr val="accent6"/>
              </a:solidFill>
              <a:round/>
            </a:ln>
            <a:effectLst/>
          </c:spPr>
          <c:marker>
            <c:symbol val="none"/>
          </c:marker>
          <c:cat>
            <c:strRef>
              <c:f>grafieken!$B$4:$B$27</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grafieken!$H$4:$H$27</c:f>
              <c:numCache>
                <c:formatCode>General</c:formatCode>
                <c:ptCount val="24"/>
                <c:pt idx="0">
                  <c:v>87</c:v>
                </c:pt>
                <c:pt idx="1">
                  <c:v>82</c:v>
                </c:pt>
                <c:pt idx="2">
                  <c:v>78</c:v>
                </c:pt>
                <c:pt idx="3">
                  <c:v>76</c:v>
                </c:pt>
                <c:pt idx="4">
                  <c:v>85</c:v>
                </c:pt>
                <c:pt idx="5">
                  <c:v>80</c:v>
                </c:pt>
                <c:pt idx="6">
                  <c:v>85</c:v>
                </c:pt>
                <c:pt idx="7">
                  <c:v>87</c:v>
                </c:pt>
                <c:pt idx="8">
                  <c:v>70</c:v>
                </c:pt>
                <c:pt idx="9">
                  <c:v>82</c:v>
                </c:pt>
                <c:pt idx="10">
                  <c:v>86</c:v>
                </c:pt>
                <c:pt idx="11">
                  <c:v>85</c:v>
                </c:pt>
                <c:pt idx="12">
                  <c:v>86</c:v>
                </c:pt>
                <c:pt idx="13">
                  <c:v>90</c:v>
                </c:pt>
                <c:pt idx="14">
                  <c:v>95</c:v>
                </c:pt>
                <c:pt idx="15">
                  <c:v>100</c:v>
                </c:pt>
                <c:pt idx="16">
                  <c:v>96</c:v>
                </c:pt>
                <c:pt idx="17">
                  <c:v>90</c:v>
                </c:pt>
                <c:pt idx="18">
                  <c:v>92</c:v>
                </c:pt>
                <c:pt idx="19">
                  <c:v>91</c:v>
                </c:pt>
                <c:pt idx="20">
                  <c:v>93</c:v>
                </c:pt>
                <c:pt idx="21">
                  <c:v>98</c:v>
                </c:pt>
                <c:pt idx="22">
                  <c:v>94</c:v>
                </c:pt>
                <c:pt idx="23">
                  <c:v>89</c:v>
                </c:pt>
              </c:numCache>
            </c:numRef>
          </c:val>
          <c:smooth val="0"/>
          <c:extLst>
            <c:ext xmlns:c16="http://schemas.microsoft.com/office/drawing/2014/chart" uri="{C3380CC4-5D6E-409C-BE32-E72D297353CC}">
              <c16:uniqueId val="{00000005-F168-4072-9832-34636D62A17F}"/>
            </c:ext>
          </c:extLst>
        </c:ser>
        <c:dLbls>
          <c:showLegendKey val="0"/>
          <c:showVal val="0"/>
          <c:showCatName val="0"/>
          <c:showSerName val="0"/>
          <c:showPercent val="0"/>
          <c:showBubbleSize val="0"/>
        </c:dLbls>
        <c:smooth val="0"/>
        <c:axId val="858784792"/>
        <c:axId val="858786232"/>
      </c:lineChart>
      <c:catAx>
        <c:axId val="85878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858786232"/>
        <c:crosses val="autoZero"/>
        <c:auto val="1"/>
        <c:lblAlgn val="ctr"/>
        <c:lblOffset val="100"/>
        <c:noMultiLvlLbl val="0"/>
      </c:catAx>
      <c:valAx>
        <c:axId val="858786232"/>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858784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grafieken!$C$31</c:f>
              <c:strCache>
                <c:ptCount val="1"/>
                <c:pt idx="0">
                  <c:v>Glasgroentebedrijven</c:v>
                </c:pt>
              </c:strCache>
            </c:strRef>
          </c:tx>
          <c:spPr>
            <a:ln w="28575" cap="rnd">
              <a:solidFill>
                <a:schemeClr val="accent1"/>
              </a:solidFill>
              <a:round/>
            </a:ln>
            <a:effectLst/>
          </c:spPr>
          <c:marker>
            <c:symbol val="none"/>
          </c:marker>
          <c:cat>
            <c:strRef>
              <c:f>grafieken!$B$32:$B$55</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grafieken!$C$32:$C$55</c:f>
              <c:numCache>
                <c:formatCode>General</c:formatCode>
                <c:ptCount val="24"/>
                <c:pt idx="0">
                  <c:v>98</c:v>
                </c:pt>
                <c:pt idx="1">
                  <c:v>97</c:v>
                </c:pt>
                <c:pt idx="2">
                  <c:v>103</c:v>
                </c:pt>
                <c:pt idx="3">
                  <c:v>90</c:v>
                </c:pt>
                <c:pt idx="4">
                  <c:v>91</c:v>
                </c:pt>
                <c:pt idx="5">
                  <c:v>97</c:v>
                </c:pt>
                <c:pt idx="6">
                  <c:v>95</c:v>
                </c:pt>
                <c:pt idx="7">
                  <c:v>89</c:v>
                </c:pt>
                <c:pt idx="8">
                  <c:v>81</c:v>
                </c:pt>
                <c:pt idx="9">
                  <c:v>107</c:v>
                </c:pt>
                <c:pt idx="10">
                  <c:v>95</c:v>
                </c:pt>
                <c:pt idx="11">
                  <c:v>104</c:v>
                </c:pt>
                <c:pt idx="12">
                  <c:v>103</c:v>
                </c:pt>
                <c:pt idx="13">
                  <c:v>107</c:v>
                </c:pt>
                <c:pt idx="14">
                  <c:v>123</c:v>
                </c:pt>
                <c:pt idx="15">
                  <c:v>127</c:v>
                </c:pt>
                <c:pt idx="16">
                  <c:v>117</c:v>
                </c:pt>
                <c:pt idx="17">
                  <c:v>111</c:v>
                </c:pt>
                <c:pt idx="18">
                  <c:v>116</c:v>
                </c:pt>
                <c:pt idx="19">
                  <c:v>115</c:v>
                </c:pt>
                <c:pt idx="20">
                  <c:v>115</c:v>
                </c:pt>
                <c:pt idx="21">
                  <c:v>115</c:v>
                </c:pt>
                <c:pt idx="22">
                  <c:v>113</c:v>
                </c:pt>
                <c:pt idx="23">
                  <c:v>113</c:v>
                </c:pt>
              </c:numCache>
            </c:numRef>
          </c:val>
          <c:smooth val="0"/>
          <c:extLst>
            <c:ext xmlns:c16="http://schemas.microsoft.com/office/drawing/2014/chart" uri="{C3380CC4-5D6E-409C-BE32-E72D297353CC}">
              <c16:uniqueId val="{00000000-D658-4341-9B4E-EB227C811D71}"/>
            </c:ext>
          </c:extLst>
        </c:ser>
        <c:ser>
          <c:idx val="1"/>
          <c:order val="1"/>
          <c:tx>
            <c:strRef>
              <c:f>grafieken!$D$31</c:f>
              <c:strCache>
                <c:ptCount val="1"/>
                <c:pt idx="0">
                  <c:v>Vollegrondsgroentenbedrijven</c:v>
                </c:pt>
              </c:strCache>
            </c:strRef>
          </c:tx>
          <c:spPr>
            <a:ln w="28575" cap="rnd">
              <a:solidFill>
                <a:schemeClr val="accent2"/>
              </a:solidFill>
              <a:round/>
            </a:ln>
            <a:effectLst/>
          </c:spPr>
          <c:marker>
            <c:symbol val="none"/>
          </c:marker>
          <c:cat>
            <c:strRef>
              <c:f>grafieken!$B$32:$B$55</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grafieken!$D$32:$D$55</c:f>
              <c:numCache>
                <c:formatCode>General</c:formatCode>
                <c:ptCount val="24"/>
                <c:pt idx="0">
                  <c:v>94</c:v>
                </c:pt>
                <c:pt idx="1">
                  <c:v>87</c:v>
                </c:pt>
                <c:pt idx="2">
                  <c:v>74</c:v>
                </c:pt>
                <c:pt idx="3">
                  <c:v>68</c:v>
                </c:pt>
                <c:pt idx="4">
                  <c:v>85</c:v>
                </c:pt>
                <c:pt idx="5">
                  <c:v>86</c:v>
                </c:pt>
                <c:pt idx="6">
                  <c:v>96</c:v>
                </c:pt>
                <c:pt idx="7">
                  <c:v>88</c:v>
                </c:pt>
                <c:pt idx="8">
                  <c:v>82</c:v>
                </c:pt>
                <c:pt idx="9">
                  <c:v>92</c:v>
                </c:pt>
                <c:pt idx="10">
                  <c:v>92</c:v>
                </c:pt>
                <c:pt idx="11">
                  <c:v>94</c:v>
                </c:pt>
                <c:pt idx="12">
                  <c:v>90</c:v>
                </c:pt>
                <c:pt idx="13">
                  <c:v>99</c:v>
                </c:pt>
                <c:pt idx="14">
                  <c:v>102</c:v>
                </c:pt>
                <c:pt idx="15">
                  <c:v>105</c:v>
                </c:pt>
                <c:pt idx="16">
                  <c:v>100</c:v>
                </c:pt>
                <c:pt idx="17">
                  <c:v>105</c:v>
                </c:pt>
                <c:pt idx="18">
                  <c:v>103</c:v>
                </c:pt>
                <c:pt idx="19">
                  <c:v>102</c:v>
                </c:pt>
                <c:pt idx="20">
                  <c:v>106</c:v>
                </c:pt>
                <c:pt idx="21">
                  <c:v>105</c:v>
                </c:pt>
                <c:pt idx="22">
                  <c:v>109</c:v>
                </c:pt>
                <c:pt idx="23">
                  <c:v>110</c:v>
                </c:pt>
              </c:numCache>
            </c:numRef>
          </c:val>
          <c:smooth val="0"/>
          <c:extLst>
            <c:ext xmlns:c16="http://schemas.microsoft.com/office/drawing/2014/chart" uri="{C3380CC4-5D6E-409C-BE32-E72D297353CC}">
              <c16:uniqueId val="{00000001-D658-4341-9B4E-EB227C811D71}"/>
            </c:ext>
          </c:extLst>
        </c:ser>
        <c:ser>
          <c:idx val="2"/>
          <c:order val="2"/>
          <c:tx>
            <c:strRef>
              <c:f>grafieken!$E$31</c:f>
              <c:strCache>
                <c:ptCount val="1"/>
                <c:pt idx="0">
                  <c:v> Akkerbouwbedrijven</c:v>
                </c:pt>
              </c:strCache>
            </c:strRef>
          </c:tx>
          <c:spPr>
            <a:ln w="28575" cap="rnd">
              <a:solidFill>
                <a:schemeClr val="accent3"/>
              </a:solidFill>
              <a:round/>
            </a:ln>
            <a:effectLst/>
          </c:spPr>
          <c:marker>
            <c:symbol val="none"/>
          </c:marker>
          <c:cat>
            <c:strRef>
              <c:f>grafieken!$B$32:$B$55</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grafieken!$E$32:$E$55</c:f>
              <c:numCache>
                <c:formatCode>General</c:formatCode>
                <c:ptCount val="24"/>
                <c:pt idx="0">
                  <c:v>97</c:v>
                </c:pt>
                <c:pt idx="1">
                  <c:v>79</c:v>
                </c:pt>
                <c:pt idx="2">
                  <c:v>92</c:v>
                </c:pt>
                <c:pt idx="3">
                  <c:v>72</c:v>
                </c:pt>
                <c:pt idx="4">
                  <c:v>89</c:v>
                </c:pt>
                <c:pt idx="5">
                  <c:v>98</c:v>
                </c:pt>
                <c:pt idx="6">
                  <c:v>91</c:v>
                </c:pt>
                <c:pt idx="7">
                  <c:v>91</c:v>
                </c:pt>
                <c:pt idx="8">
                  <c:v>91</c:v>
                </c:pt>
                <c:pt idx="9">
                  <c:v>112</c:v>
                </c:pt>
                <c:pt idx="10">
                  <c:v>90</c:v>
                </c:pt>
                <c:pt idx="11">
                  <c:v>119</c:v>
                </c:pt>
                <c:pt idx="12">
                  <c:v>103</c:v>
                </c:pt>
                <c:pt idx="13">
                  <c:v>90</c:v>
                </c:pt>
                <c:pt idx="14">
                  <c:v>98</c:v>
                </c:pt>
                <c:pt idx="15">
                  <c:v>93</c:v>
                </c:pt>
                <c:pt idx="16">
                  <c:v>92</c:v>
                </c:pt>
                <c:pt idx="17">
                  <c:v>104</c:v>
                </c:pt>
                <c:pt idx="18">
                  <c:v>92</c:v>
                </c:pt>
                <c:pt idx="19">
                  <c:v>88</c:v>
                </c:pt>
                <c:pt idx="20">
                  <c:v>104</c:v>
                </c:pt>
                <c:pt idx="21">
                  <c:v>121</c:v>
                </c:pt>
                <c:pt idx="22">
                  <c:v>106</c:v>
                </c:pt>
                <c:pt idx="23">
                  <c:v>99</c:v>
                </c:pt>
              </c:numCache>
            </c:numRef>
          </c:val>
          <c:smooth val="0"/>
          <c:extLst>
            <c:ext xmlns:c16="http://schemas.microsoft.com/office/drawing/2014/chart" uri="{C3380CC4-5D6E-409C-BE32-E72D297353CC}">
              <c16:uniqueId val="{00000002-D658-4341-9B4E-EB227C811D71}"/>
            </c:ext>
          </c:extLst>
        </c:ser>
        <c:ser>
          <c:idx val="3"/>
          <c:order val="3"/>
          <c:tx>
            <c:strRef>
              <c:f>grafieken!$F$31</c:f>
              <c:strCache>
                <c:ptCount val="1"/>
                <c:pt idx="0">
                  <c:v> Zetmeelaardappelbedrijven</c:v>
                </c:pt>
              </c:strCache>
            </c:strRef>
          </c:tx>
          <c:spPr>
            <a:ln w="28575" cap="rnd">
              <a:solidFill>
                <a:schemeClr val="accent4"/>
              </a:solidFill>
              <a:round/>
            </a:ln>
            <a:effectLst/>
          </c:spPr>
          <c:marker>
            <c:symbol val="none"/>
          </c:marker>
          <c:cat>
            <c:strRef>
              <c:f>grafieken!$B$32:$B$55</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grafieken!$F$32:$F$55</c:f>
              <c:numCache>
                <c:formatCode>General</c:formatCode>
                <c:ptCount val="24"/>
                <c:pt idx="0">
                  <c:v>84</c:v>
                </c:pt>
                <c:pt idx="1">
                  <c:v>82</c:v>
                </c:pt>
                <c:pt idx="2">
                  <c:v>80</c:v>
                </c:pt>
                <c:pt idx="3">
                  <c:v>83</c:v>
                </c:pt>
                <c:pt idx="4">
                  <c:v>90</c:v>
                </c:pt>
                <c:pt idx="5">
                  <c:v>81</c:v>
                </c:pt>
                <c:pt idx="6">
                  <c:v>98</c:v>
                </c:pt>
                <c:pt idx="7">
                  <c:v>95</c:v>
                </c:pt>
                <c:pt idx="8">
                  <c:v>87</c:v>
                </c:pt>
                <c:pt idx="9">
                  <c:v>100</c:v>
                </c:pt>
                <c:pt idx="10">
                  <c:v>111</c:v>
                </c:pt>
                <c:pt idx="11">
                  <c:v>137</c:v>
                </c:pt>
                <c:pt idx="12">
                  <c:v>113</c:v>
                </c:pt>
                <c:pt idx="13">
                  <c:v>105</c:v>
                </c:pt>
                <c:pt idx="14">
                  <c:v>102</c:v>
                </c:pt>
                <c:pt idx="15">
                  <c:v>99</c:v>
                </c:pt>
                <c:pt idx="16">
                  <c:v>106</c:v>
                </c:pt>
                <c:pt idx="17">
                  <c:v>90</c:v>
                </c:pt>
                <c:pt idx="18">
                  <c:v>90</c:v>
                </c:pt>
                <c:pt idx="19">
                  <c:v>90</c:v>
                </c:pt>
                <c:pt idx="20">
                  <c:v>99</c:v>
                </c:pt>
                <c:pt idx="21">
                  <c:v>122</c:v>
                </c:pt>
                <c:pt idx="22">
                  <c:v>103</c:v>
                </c:pt>
                <c:pt idx="23">
                  <c:v>96</c:v>
                </c:pt>
              </c:numCache>
            </c:numRef>
          </c:val>
          <c:smooth val="0"/>
          <c:extLst>
            <c:ext xmlns:c16="http://schemas.microsoft.com/office/drawing/2014/chart" uri="{C3380CC4-5D6E-409C-BE32-E72D297353CC}">
              <c16:uniqueId val="{00000003-D658-4341-9B4E-EB227C811D71}"/>
            </c:ext>
          </c:extLst>
        </c:ser>
        <c:ser>
          <c:idx val="4"/>
          <c:order val="4"/>
          <c:tx>
            <c:strRef>
              <c:f>grafieken!$G$31</c:f>
              <c:strCache>
                <c:ptCount val="1"/>
                <c:pt idx="0">
                  <c:v> Fruitbedrijven</c:v>
                </c:pt>
              </c:strCache>
            </c:strRef>
          </c:tx>
          <c:spPr>
            <a:ln w="28575" cap="rnd">
              <a:solidFill>
                <a:schemeClr val="accent5"/>
              </a:solidFill>
              <a:round/>
            </a:ln>
            <a:effectLst/>
          </c:spPr>
          <c:marker>
            <c:symbol val="none"/>
          </c:marker>
          <c:cat>
            <c:strRef>
              <c:f>grafieken!$B$32:$B$55</c:f>
              <c:strCach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 raming</c:v>
                </c:pt>
              </c:strCache>
            </c:strRef>
          </c:cat>
          <c:val>
            <c:numRef>
              <c:f>grafieken!$G$32:$G$55</c:f>
              <c:numCache>
                <c:formatCode>General</c:formatCode>
                <c:ptCount val="24"/>
                <c:pt idx="0">
                  <c:v>73</c:v>
                </c:pt>
                <c:pt idx="1">
                  <c:v>65</c:v>
                </c:pt>
                <c:pt idx="2">
                  <c:v>84</c:v>
                </c:pt>
                <c:pt idx="3">
                  <c:v>79</c:v>
                </c:pt>
                <c:pt idx="4">
                  <c:v>79</c:v>
                </c:pt>
                <c:pt idx="5">
                  <c:v>87</c:v>
                </c:pt>
                <c:pt idx="6">
                  <c:v>82</c:v>
                </c:pt>
                <c:pt idx="7">
                  <c:v>92</c:v>
                </c:pt>
                <c:pt idx="8">
                  <c:v>78</c:v>
                </c:pt>
                <c:pt idx="9">
                  <c:v>91</c:v>
                </c:pt>
                <c:pt idx="10">
                  <c:v>83</c:v>
                </c:pt>
                <c:pt idx="11">
                  <c:v>101</c:v>
                </c:pt>
                <c:pt idx="12">
                  <c:v>97</c:v>
                </c:pt>
                <c:pt idx="13">
                  <c:v>89</c:v>
                </c:pt>
                <c:pt idx="14">
                  <c:v>90</c:v>
                </c:pt>
                <c:pt idx="15">
                  <c:v>96</c:v>
                </c:pt>
                <c:pt idx="16">
                  <c:v>110</c:v>
                </c:pt>
                <c:pt idx="17">
                  <c:v>90</c:v>
                </c:pt>
                <c:pt idx="18">
                  <c:v>92</c:v>
                </c:pt>
                <c:pt idx="19">
                  <c:v>100</c:v>
                </c:pt>
                <c:pt idx="20">
                  <c:v>101</c:v>
                </c:pt>
                <c:pt idx="21">
                  <c:v>90</c:v>
                </c:pt>
                <c:pt idx="22">
                  <c:v>91</c:v>
                </c:pt>
                <c:pt idx="23">
                  <c:v>90</c:v>
                </c:pt>
              </c:numCache>
            </c:numRef>
          </c:val>
          <c:smooth val="0"/>
          <c:extLst>
            <c:ext xmlns:c16="http://schemas.microsoft.com/office/drawing/2014/chart" uri="{C3380CC4-5D6E-409C-BE32-E72D297353CC}">
              <c16:uniqueId val="{00000004-D658-4341-9B4E-EB227C811D71}"/>
            </c:ext>
          </c:extLst>
        </c:ser>
        <c:dLbls>
          <c:showLegendKey val="0"/>
          <c:showVal val="0"/>
          <c:showCatName val="0"/>
          <c:showSerName val="0"/>
          <c:showPercent val="0"/>
          <c:showBubbleSize val="0"/>
        </c:dLbls>
        <c:smooth val="0"/>
        <c:axId val="647903680"/>
        <c:axId val="647920600"/>
      </c:lineChart>
      <c:catAx>
        <c:axId val="64790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647920600"/>
        <c:crosses val="autoZero"/>
        <c:auto val="1"/>
        <c:lblAlgn val="ctr"/>
        <c:lblOffset val="100"/>
        <c:noMultiLvlLbl val="0"/>
      </c:catAx>
      <c:valAx>
        <c:axId val="647920600"/>
        <c:scaling>
          <c:orientation val="minMax"/>
          <c:max val="140"/>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647903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grafiek!$C$4</c:f>
              <c:strCache>
                <c:ptCount val="1"/>
                <c:pt idx="0">
                  <c:v>11 Drankenindustrie</c:v>
                </c:pt>
              </c:strCache>
            </c:strRef>
          </c:tx>
          <c:spPr>
            <a:ln w="28575" cap="rnd">
              <a:solidFill>
                <a:schemeClr val="accent1"/>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grafiek!$C$5:$C$18</c:f>
              <c:numCache>
                <c:formatCode>General</c:formatCode>
                <c:ptCount val="14"/>
                <c:pt idx="0">
                  <c:v>111.97916666666666</c:v>
                </c:pt>
                <c:pt idx="1">
                  <c:v>112.80210576692988</c:v>
                </c:pt>
                <c:pt idx="2">
                  <c:v>116.68299853013228</c:v>
                </c:pt>
                <c:pt idx="3">
                  <c:v>116.03974449964512</c:v>
                </c:pt>
                <c:pt idx="4">
                  <c:v>116.1907009676658</c:v>
                </c:pt>
                <c:pt idx="5">
                  <c:v>115.15715948777648</c:v>
                </c:pt>
                <c:pt idx="6">
                  <c:v>116.94570135746605</c:v>
                </c:pt>
                <c:pt idx="7">
                  <c:v>118.71966720591634</c:v>
                </c:pt>
                <c:pt idx="8">
                  <c:v>115.41074081935895</c:v>
                </c:pt>
                <c:pt idx="9">
                  <c:v>109.12438625204582</c:v>
                </c:pt>
                <c:pt idx="10">
                  <c:v>108.45099242889299</c:v>
                </c:pt>
                <c:pt idx="11">
                  <c:v>104.67571644042233</c:v>
                </c:pt>
                <c:pt idx="12">
                  <c:v>108.30254292545099</c:v>
                </c:pt>
                <c:pt idx="13">
                  <c:v>116.8073220016641</c:v>
                </c:pt>
              </c:numCache>
            </c:numRef>
          </c:val>
          <c:smooth val="0"/>
          <c:extLst>
            <c:ext xmlns:c16="http://schemas.microsoft.com/office/drawing/2014/chart" uri="{C3380CC4-5D6E-409C-BE32-E72D297353CC}">
              <c16:uniqueId val="{00000000-617E-44DD-BAB9-347A8C31AD1D}"/>
            </c:ext>
          </c:extLst>
        </c:ser>
        <c:ser>
          <c:idx val="1"/>
          <c:order val="1"/>
          <c:tx>
            <c:strRef>
              <c:f>grafiek!$D$4</c:f>
              <c:strCache>
                <c:ptCount val="1"/>
                <c:pt idx="0">
                  <c:v>472 Winkels in voedingsmiddelen</c:v>
                </c:pt>
              </c:strCache>
            </c:strRef>
          </c:tx>
          <c:spPr>
            <a:ln w="28575" cap="rnd">
              <a:solidFill>
                <a:schemeClr val="accent2"/>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grafiek!$D$5:$D$18</c:f>
              <c:numCache>
                <c:formatCode>General</c:formatCode>
                <c:ptCount val="14"/>
                <c:pt idx="0">
                  <c:v>111.73829377806285</c:v>
                </c:pt>
                <c:pt idx="1">
                  <c:v>112.23197876250767</c:v>
                </c:pt>
                <c:pt idx="2">
                  <c:v>112.58251650330065</c:v>
                </c:pt>
                <c:pt idx="3">
                  <c:v>112.04403194474423</c:v>
                </c:pt>
                <c:pt idx="4">
                  <c:v>111.80464301357863</c:v>
                </c:pt>
                <c:pt idx="5">
                  <c:v>112.35487404162103</c:v>
                </c:pt>
                <c:pt idx="6">
                  <c:v>112.8700398908251</c:v>
                </c:pt>
                <c:pt idx="7">
                  <c:v>112.41421073879694</c:v>
                </c:pt>
                <c:pt idx="8">
                  <c:v>112.83623417721519</c:v>
                </c:pt>
                <c:pt idx="9">
                  <c:v>113.3554299083642</c:v>
                </c:pt>
                <c:pt idx="10">
                  <c:v>112.97896318557476</c:v>
                </c:pt>
                <c:pt idx="11">
                  <c:v>112.98862828713575</c:v>
                </c:pt>
                <c:pt idx="12">
                  <c:v>114.27277667089295</c:v>
                </c:pt>
                <c:pt idx="13">
                  <c:v>113.94728061394729</c:v>
                </c:pt>
              </c:numCache>
            </c:numRef>
          </c:val>
          <c:smooth val="0"/>
          <c:extLst>
            <c:ext xmlns:c16="http://schemas.microsoft.com/office/drawing/2014/chart" uri="{C3380CC4-5D6E-409C-BE32-E72D297353CC}">
              <c16:uniqueId val="{00000001-617E-44DD-BAB9-347A8C31AD1D}"/>
            </c:ext>
          </c:extLst>
        </c:ser>
        <c:ser>
          <c:idx val="2"/>
          <c:order val="2"/>
          <c:tx>
            <c:strRef>
              <c:f>grafiek!$E$4</c:f>
              <c:strCache>
                <c:ptCount val="1"/>
                <c:pt idx="0">
                  <c:v>106 Meelindustrie</c:v>
                </c:pt>
              </c:strCache>
            </c:strRef>
          </c:tx>
          <c:spPr>
            <a:ln w="28575" cap="rnd">
              <a:solidFill>
                <a:schemeClr val="accent3"/>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grafiek!$E$5:$E$18</c:f>
              <c:numCache>
                <c:formatCode>General</c:formatCode>
                <c:ptCount val="14"/>
                <c:pt idx="0">
                  <c:v>99.84084880636604</c:v>
                </c:pt>
                <c:pt idx="1">
                  <c:v>99.801093983092997</c:v>
                </c:pt>
                <c:pt idx="2">
                  <c:v>105.85672797676669</c:v>
                </c:pt>
                <c:pt idx="3">
                  <c:v>106.89808633733868</c:v>
                </c:pt>
                <c:pt idx="4">
                  <c:v>105.19823788546256</c:v>
                </c:pt>
                <c:pt idx="5">
                  <c:v>104.41048034934498</c:v>
                </c:pt>
                <c:pt idx="6">
                  <c:v>107.49228735125605</c:v>
                </c:pt>
                <c:pt idx="7">
                  <c:v>107.04584040747029</c:v>
                </c:pt>
                <c:pt idx="8">
                  <c:v>106.74872665534805</c:v>
                </c:pt>
                <c:pt idx="9">
                  <c:v>106.38830897703549</c:v>
                </c:pt>
                <c:pt idx="10">
                  <c:v>105.46813532651454</c:v>
                </c:pt>
                <c:pt idx="11">
                  <c:v>105.19581233036061</c:v>
                </c:pt>
                <c:pt idx="12">
                  <c:v>100.60155697098372</c:v>
                </c:pt>
                <c:pt idx="13">
                  <c:v>109.19275123558484</c:v>
                </c:pt>
              </c:numCache>
            </c:numRef>
          </c:val>
          <c:smooth val="0"/>
          <c:extLst>
            <c:ext xmlns:c16="http://schemas.microsoft.com/office/drawing/2014/chart" uri="{C3380CC4-5D6E-409C-BE32-E72D297353CC}">
              <c16:uniqueId val="{00000002-617E-44DD-BAB9-347A8C31AD1D}"/>
            </c:ext>
          </c:extLst>
        </c:ser>
        <c:ser>
          <c:idx val="3"/>
          <c:order val="3"/>
          <c:tx>
            <c:strRef>
              <c:f>grafiek!$F$4</c:f>
              <c:strCache>
                <c:ptCount val="1"/>
                <c:pt idx="0">
                  <c:v>107 Brood- en deegwarenindustrie</c:v>
                </c:pt>
              </c:strCache>
            </c:strRef>
          </c:tx>
          <c:spPr>
            <a:ln w="28575" cap="rnd">
              <a:solidFill>
                <a:schemeClr val="accent4"/>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grafiek!$F$5:$F$18</c:f>
              <c:numCache>
                <c:formatCode>General</c:formatCode>
                <c:ptCount val="14"/>
                <c:pt idx="0">
                  <c:v>109.66479080009788</c:v>
                </c:pt>
                <c:pt idx="1">
                  <c:v>109.9585062240664</c:v>
                </c:pt>
                <c:pt idx="2">
                  <c:v>105.89190443052657</c:v>
                </c:pt>
                <c:pt idx="3">
                  <c:v>106.50069156293222</c:v>
                </c:pt>
                <c:pt idx="4">
                  <c:v>107.42921857304644</c:v>
                </c:pt>
                <c:pt idx="5">
                  <c:v>108.32018038331454</c:v>
                </c:pt>
                <c:pt idx="6">
                  <c:v>111.1670480549199</c:v>
                </c:pt>
                <c:pt idx="7">
                  <c:v>110.29346376167186</c:v>
                </c:pt>
                <c:pt idx="8">
                  <c:v>107.97116811532753</c:v>
                </c:pt>
                <c:pt idx="9">
                  <c:v>109.75303474257011</c:v>
                </c:pt>
                <c:pt idx="10">
                  <c:v>110.36866359447004</c:v>
                </c:pt>
                <c:pt idx="11">
                  <c:v>109.32812821039654</c:v>
                </c:pt>
                <c:pt idx="12">
                  <c:v>107.63052208835342</c:v>
                </c:pt>
                <c:pt idx="13">
                  <c:v>106.56104976796287</c:v>
                </c:pt>
              </c:numCache>
            </c:numRef>
          </c:val>
          <c:smooth val="0"/>
          <c:extLst>
            <c:ext xmlns:c16="http://schemas.microsoft.com/office/drawing/2014/chart" uri="{C3380CC4-5D6E-409C-BE32-E72D297353CC}">
              <c16:uniqueId val="{00000003-617E-44DD-BAB9-347A8C31AD1D}"/>
            </c:ext>
          </c:extLst>
        </c:ser>
        <c:ser>
          <c:idx val="4"/>
          <c:order val="4"/>
          <c:tx>
            <c:strRef>
              <c:f>grafiek!$G$4</c:f>
              <c:strCache>
                <c:ptCount val="1"/>
                <c:pt idx="0">
                  <c:v>101 Slachterijen en vleeswarenindustrie</c:v>
                </c:pt>
              </c:strCache>
            </c:strRef>
          </c:tx>
          <c:spPr>
            <a:ln w="28575" cap="rnd">
              <a:solidFill>
                <a:schemeClr val="accent5"/>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grafiek!$G$5:$G$18</c:f>
              <c:numCache>
                <c:formatCode>General</c:formatCode>
                <c:ptCount val="14"/>
                <c:pt idx="0">
                  <c:v>102.58289283998079</c:v>
                </c:pt>
                <c:pt idx="1">
                  <c:v>103.2688540646425</c:v>
                </c:pt>
                <c:pt idx="2">
                  <c:v>102.44252873563218</c:v>
                </c:pt>
                <c:pt idx="3">
                  <c:v>101.49115590292061</c:v>
                </c:pt>
                <c:pt idx="4">
                  <c:v>101.70841731452155</c:v>
                </c:pt>
                <c:pt idx="5">
                  <c:v>102.48539459352412</c:v>
                </c:pt>
                <c:pt idx="6">
                  <c:v>103.33668341708542</c:v>
                </c:pt>
                <c:pt idx="7">
                  <c:v>102.83981517135156</c:v>
                </c:pt>
                <c:pt idx="8">
                  <c:v>102.48553868402024</c:v>
                </c:pt>
                <c:pt idx="9">
                  <c:v>101.88169701193483</c:v>
                </c:pt>
                <c:pt idx="10">
                  <c:v>102.80859916782246</c:v>
                </c:pt>
                <c:pt idx="11">
                  <c:v>105.06785775639925</c:v>
                </c:pt>
                <c:pt idx="12">
                  <c:v>104.68558416535295</c:v>
                </c:pt>
                <c:pt idx="13">
                  <c:v>104.81927710843374</c:v>
                </c:pt>
              </c:numCache>
            </c:numRef>
          </c:val>
          <c:smooth val="0"/>
          <c:extLst>
            <c:ext xmlns:c16="http://schemas.microsoft.com/office/drawing/2014/chart" uri="{C3380CC4-5D6E-409C-BE32-E72D297353CC}">
              <c16:uniqueId val="{00000004-617E-44DD-BAB9-347A8C31AD1D}"/>
            </c:ext>
          </c:extLst>
        </c:ser>
        <c:ser>
          <c:idx val="5"/>
          <c:order val="5"/>
          <c:tx>
            <c:strRef>
              <c:f>grafiek!$H$4</c:f>
              <c:strCache>
                <c:ptCount val="1"/>
                <c:pt idx="0">
                  <c:v>10 Voedingsmiddelenindustrie</c:v>
                </c:pt>
              </c:strCache>
            </c:strRef>
          </c:tx>
          <c:spPr>
            <a:ln w="28575" cap="rnd">
              <a:solidFill>
                <a:schemeClr val="accent6"/>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grafiek!$H$5:$H$18</c:f>
              <c:numCache>
                <c:formatCode>General</c:formatCode>
                <c:ptCount val="14"/>
                <c:pt idx="0">
                  <c:v>104.35432482397829</c:v>
                </c:pt>
                <c:pt idx="1">
                  <c:v>105.9391089309604</c:v>
                </c:pt>
                <c:pt idx="2">
                  <c:v>104.84786618671538</c:v>
                </c:pt>
                <c:pt idx="3">
                  <c:v>104.66356224141812</c:v>
                </c:pt>
                <c:pt idx="4">
                  <c:v>105.03828185829224</c:v>
                </c:pt>
                <c:pt idx="5">
                  <c:v>104.58853274610554</c:v>
                </c:pt>
                <c:pt idx="6">
                  <c:v>104.41485745007195</c:v>
                </c:pt>
                <c:pt idx="7">
                  <c:v>105.26831059169062</c:v>
                </c:pt>
                <c:pt idx="8">
                  <c:v>104.72605358350735</c:v>
                </c:pt>
                <c:pt idx="9">
                  <c:v>104.70916581756966</c:v>
                </c:pt>
                <c:pt idx="10">
                  <c:v>104.92858728631688</c:v>
                </c:pt>
                <c:pt idx="11">
                  <c:v>105.15254237288136</c:v>
                </c:pt>
                <c:pt idx="12">
                  <c:v>105.70364238410596</c:v>
                </c:pt>
                <c:pt idx="13">
                  <c:v>104.66047874938936</c:v>
                </c:pt>
              </c:numCache>
            </c:numRef>
          </c:val>
          <c:smooth val="0"/>
          <c:extLst>
            <c:ext xmlns:c16="http://schemas.microsoft.com/office/drawing/2014/chart" uri="{C3380CC4-5D6E-409C-BE32-E72D297353CC}">
              <c16:uniqueId val="{00000005-617E-44DD-BAB9-347A8C31AD1D}"/>
            </c:ext>
          </c:extLst>
        </c:ser>
        <c:ser>
          <c:idx val="6"/>
          <c:order val="6"/>
          <c:tx>
            <c:strRef>
              <c:f>grafiek!$I$4</c:f>
              <c:strCache>
                <c:ptCount val="1"/>
                <c:pt idx="0">
                  <c:v>105 Zuivelindustrie</c:v>
                </c:pt>
              </c:strCache>
            </c:strRef>
          </c:tx>
          <c:spPr>
            <a:ln w="28575" cap="rnd">
              <a:solidFill>
                <a:schemeClr val="accent1">
                  <a:lumMod val="60000"/>
                </a:schemeClr>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grafiek!$I$5:$I$18</c:f>
              <c:numCache>
                <c:formatCode>General</c:formatCode>
                <c:ptCount val="14"/>
                <c:pt idx="0">
                  <c:v>100.33733133433283</c:v>
                </c:pt>
                <c:pt idx="1">
                  <c:v>105.09494044108975</c:v>
                </c:pt>
                <c:pt idx="2">
                  <c:v>104.52077781068009</c:v>
                </c:pt>
                <c:pt idx="3">
                  <c:v>102.72395083600929</c:v>
                </c:pt>
                <c:pt idx="4">
                  <c:v>103.6480089111668</c:v>
                </c:pt>
                <c:pt idx="5">
                  <c:v>103.6523615837968</c:v>
                </c:pt>
                <c:pt idx="6">
                  <c:v>102.8055602644516</c:v>
                </c:pt>
                <c:pt idx="7">
                  <c:v>101.66527893422149</c:v>
                </c:pt>
                <c:pt idx="8">
                  <c:v>100.90793918918918</c:v>
                </c:pt>
                <c:pt idx="9">
                  <c:v>101.10046414133852</c:v>
                </c:pt>
                <c:pt idx="10">
                  <c:v>100.98652216201195</c:v>
                </c:pt>
                <c:pt idx="11">
                  <c:v>101.23933360422593</c:v>
                </c:pt>
                <c:pt idx="12">
                  <c:v>102.45028864656831</c:v>
                </c:pt>
                <c:pt idx="13">
                  <c:v>103.91642417592902</c:v>
                </c:pt>
              </c:numCache>
            </c:numRef>
          </c:val>
          <c:smooth val="0"/>
          <c:extLst>
            <c:ext xmlns:c16="http://schemas.microsoft.com/office/drawing/2014/chart" uri="{C3380CC4-5D6E-409C-BE32-E72D297353CC}">
              <c16:uniqueId val="{00000006-617E-44DD-BAB9-347A8C31AD1D}"/>
            </c:ext>
          </c:extLst>
        </c:ser>
        <c:ser>
          <c:idx val="7"/>
          <c:order val="7"/>
          <c:tx>
            <c:strRef>
              <c:f>grafiek!$J$4</c:f>
              <c:strCache>
                <c:ptCount val="1"/>
                <c:pt idx="0">
                  <c:v>103 Groente-, fruitverwerkende industrie</c:v>
                </c:pt>
              </c:strCache>
            </c:strRef>
          </c:tx>
          <c:spPr>
            <a:ln w="28575" cap="rnd">
              <a:solidFill>
                <a:schemeClr val="accent2">
                  <a:lumMod val="60000"/>
                </a:schemeClr>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grafiek!$J$5:$J$18</c:f>
              <c:numCache>
                <c:formatCode>General</c:formatCode>
                <c:ptCount val="14"/>
                <c:pt idx="0">
                  <c:v>106.3803064556644</c:v>
                </c:pt>
                <c:pt idx="1">
                  <c:v>104.93741307371349</c:v>
                </c:pt>
                <c:pt idx="2">
                  <c:v>104.46799667497922</c:v>
                </c:pt>
                <c:pt idx="3">
                  <c:v>105.37518813158461</c:v>
                </c:pt>
                <c:pt idx="4">
                  <c:v>104.61215932914045</c:v>
                </c:pt>
                <c:pt idx="5">
                  <c:v>105.06085842408713</c:v>
                </c:pt>
                <c:pt idx="6">
                  <c:v>105.5672268907563</c:v>
                </c:pt>
                <c:pt idx="7">
                  <c:v>105.01392757660167</c:v>
                </c:pt>
                <c:pt idx="8">
                  <c:v>104.76467170249855</c:v>
                </c:pt>
                <c:pt idx="9">
                  <c:v>105.75645756457564</c:v>
                </c:pt>
                <c:pt idx="10">
                  <c:v>104.45604873803306</c:v>
                </c:pt>
                <c:pt idx="11">
                  <c:v>103.08416100365918</c:v>
                </c:pt>
                <c:pt idx="12">
                  <c:v>104.69208211143695</c:v>
                </c:pt>
                <c:pt idx="13">
                  <c:v>103.80108173076923</c:v>
                </c:pt>
              </c:numCache>
            </c:numRef>
          </c:val>
          <c:smooth val="0"/>
          <c:extLst>
            <c:ext xmlns:c16="http://schemas.microsoft.com/office/drawing/2014/chart" uri="{C3380CC4-5D6E-409C-BE32-E72D297353CC}">
              <c16:uniqueId val="{00000007-617E-44DD-BAB9-347A8C31AD1D}"/>
            </c:ext>
          </c:extLst>
        </c:ser>
        <c:ser>
          <c:idx val="8"/>
          <c:order val="8"/>
          <c:tx>
            <c:strRef>
              <c:f>grafiek!$K$4</c:f>
              <c:strCache>
                <c:ptCount val="1"/>
                <c:pt idx="0">
                  <c:v>4711 Supermarkten</c:v>
                </c:pt>
              </c:strCache>
            </c:strRef>
          </c:tx>
          <c:spPr>
            <a:ln w="28575" cap="rnd">
              <a:solidFill>
                <a:schemeClr val="accent3">
                  <a:lumMod val="60000"/>
                </a:schemeClr>
              </a:solidFill>
              <a:round/>
            </a:ln>
            <a:effectLst/>
          </c:spPr>
          <c:marker>
            <c:symbol val="none"/>
          </c:marker>
          <c:cat>
            <c:numRef>
              <c:f>grafiek!$B$5:$B$18</c:f>
              <c:numCache>
                <c:formatCode>General</c:formatCod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numCache>
            </c:numRef>
          </c:cat>
          <c:val>
            <c:numRef>
              <c:f>grafiek!$K$5:$K$18</c:f>
              <c:numCache>
                <c:formatCode>General</c:formatCode>
                <c:ptCount val="14"/>
                <c:pt idx="0">
                  <c:v>103.41577926717245</c:v>
                </c:pt>
                <c:pt idx="1">
                  <c:v>103.19519685311066</c:v>
                </c:pt>
                <c:pt idx="2">
                  <c:v>104.55803903031939</c:v>
                </c:pt>
                <c:pt idx="3">
                  <c:v>104.54319915648453</c:v>
                </c:pt>
                <c:pt idx="4">
                  <c:v>104.37037505534121</c:v>
                </c:pt>
                <c:pt idx="5">
                  <c:v>104.50091760241376</c:v>
                </c:pt>
                <c:pt idx="6">
                  <c:v>103.97070044254541</c:v>
                </c:pt>
                <c:pt idx="7">
                  <c:v>105.36218815749925</c:v>
                </c:pt>
                <c:pt idx="8">
                  <c:v>104.98252766453116</c:v>
                </c:pt>
                <c:pt idx="9">
                  <c:v>104.84968558876734</c:v>
                </c:pt>
                <c:pt idx="10">
                  <c:v>104.56834331113971</c:v>
                </c:pt>
                <c:pt idx="11">
                  <c:v>106.0006202191441</c:v>
                </c:pt>
                <c:pt idx="12">
                  <c:v>104.97165830149574</c:v>
                </c:pt>
                <c:pt idx="13">
                  <c:v>102.89159447436197</c:v>
                </c:pt>
              </c:numCache>
            </c:numRef>
          </c:val>
          <c:smooth val="0"/>
          <c:extLst>
            <c:ext xmlns:c16="http://schemas.microsoft.com/office/drawing/2014/chart" uri="{C3380CC4-5D6E-409C-BE32-E72D297353CC}">
              <c16:uniqueId val="{00000008-617E-44DD-BAB9-347A8C31AD1D}"/>
            </c:ext>
          </c:extLst>
        </c:ser>
        <c:dLbls>
          <c:showLegendKey val="0"/>
          <c:showVal val="0"/>
          <c:showCatName val="0"/>
          <c:showSerName val="0"/>
          <c:showPercent val="0"/>
          <c:showBubbleSize val="0"/>
        </c:dLbls>
        <c:smooth val="0"/>
        <c:axId val="545983928"/>
        <c:axId val="545992928"/>
      </c:lineChart>
      <c:catAx>
        <c:axId val="54598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545992928"/>
        <c:crosses val="autoZero"/>
        <c:auto val="1"/>
        <c:lblAlgn val="ctr"/>
        <c:lblOffset val="100"/>
        <c:tickLblSkip val="1"/>
        <c:noMultiLvlLbl val="0"/>
      </c:catAx>
      <c:valAx>
        <c:axId val="54599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5459839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4878</ap:Words>
  <ap:Characters>32083</ap:Characters>
  <ap:DocSecurity>0</ap:DocSecurity>
  <ap:Lines>267</ap:Lines>
  <ap:Paragraphs>73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Position paper voor Rondetafelgesprek Duurzame, gezonde en rendabele voedselproductieketen</vt:lpstr>
      <vt:lpstr/>
    </vt:vector>
  </ap:TitlesOfParts>
  <ap:LinksUpToDate>false</ap:LinksUpToDate>
  <ap:CharactersWithSpaces>36888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2025-05-07T11:20:00.0000000Z</dcterms:created>
  <dcterms:modified xsi:type="dcterms:W3CDTF">2025-05-07T19:23:00.0000000Z</dcterms:modified>
  <contentStatus>draft</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Document</vt:lpwstr>
  </property>
  <property fmtid="{D5CDD505-2E9C-101B-9397-08002B2CF9AE}" pid="3" name="docSigner">
    <vt:lpwstr>1d7311b5-5c54-4e1b-8efa-8500152e9066</vt:lpwstr>
  </property>
  <property fmtid="{D5CDD505-2E9C-101B-9397-08002B2CF9AE}" pid="4" name="txtStatus">
    <vt:lpwstr>draft</vt:lpwstr>
  </property>
  <property fmtid="{D5CDD505-2E9C-101B-9397-08002B2CF9AE}" pid="5" name="txtVersion">
    <vt:lpwstr>1</vt:lpwstr>
  </property>
  <property fmtid="{D5CDD505-2E9C-101B-9397-08002B2CF9AE}" pid="6" name="cboLanguage">
    <vt:lpwstr>Nederlands</vt:lpwstr>
  </property>
  <property fmtid="{D5CDD505-2E9C-101B-9397-08002B2CF9AE}" pid="7" name="txtSubtitle">
    <vt:lpwstr>Bijdrage van Wageningen Social &amp; Economic Research</vt:lpwstr>
  </property>
  <property fmtid="{D5CDD505-2E9C-101B-9397-08002B2CF9AE}" pid="8" name="txtTitle">
    <vt:lpwstr>Position paper voor Rondetafelgesprek Duurzame, gezonde en rendabele voedselproductieketen</vt:lpwstr>
  </property>
  <property fmtid="{D5CDD505-2E9C-101B-9397-08002B2CF9AE}" pid="9" name="cboSigner">
    <vt:lpwstr>M.A. (Michiel) van Galen, MSc.</vt:lpwstr>
  </property>
  <property fmtid="{D5CDD505-2E9C-101B-9397-08002B2CF9AE}" pid="10" name="txtDate">
    <vt:lpwstr>07-05-2025</vt:lpwstr>
  </property>
  <property fmtid="{D5CDD505-2E9C-101B-9397-08002B2CF9AE}" pid="11" name="CreatedWithVersion">
    <vt:lpwstr>3.2.2</vt:lpwstr>
  </property>
  <property fmtid="{D5CDD505-2E9C-101B-9397-08002B2CF9AE}" pid="12" name="languageID">
    <vt:lpwstr>1043</vt:lpwstr>
  </property>
</Properties>
</file>