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901F4" w:rsidTr="00D9561B" w14:paraId="0B9496CC" w14:textId="77777777">
        <w:trPr>
          <w:trHeight w:val="1514"/>
        </w:trPr>
        <w:tc>
          <w:tcPr>
            <w:tcW w:w="7522" w:type="dxa"/>
            <w:tcBorders>
              <w:top w:val="nil"/>
              <w:left w:val="nil"/>
              <w:bottom w:val="nil"/>
              <w:right w:val="nil"/>
            </w:tcBorders>
            <w:tcMar>
              <w:left w:w="0" w:type="dxa"/>
              <w:right w:w="0" w:type="dxa"/>
            </w:tcMar>
          </w:tcPr>
          <w:p w:rsidR="00374412" w:rsidP="00D9561B" w:rsidRDefault="000140F3" w14:paraId="5B212649" w14:textId="77777777">
            <w:r>
              <w:t>De v</w:t>
            </w:r>
            <w:r w:rsidR="008E3932">
              <w:t>oorzitter van de Tweede Kamer der Staten-Generaal</w:t>
            </w:r>
          </w:p>
          <w:p w:rsidR="00374412" w:rsidP="00D9561B" w:rsidRDefault="000140F3" w14:paraId="21C69477" w14:textId="77777777">
            <w:r>
              <w:t>Postbus 20018</w:t>
            </w:r>
          </w:p>
          <w:p w:rsidR="008E3932" w:rsidP="00D9561B" w:rsidRDefault="000140F3" w14:paraId="5A3A59D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901F4" w:rsidTr="00FF66F9" w14:paraId="2FDCFB0B" w14:textId="77777777">
        <w:trPr>
          <w:trHeight w:val="289" w:hRule="exact"/>
        </w:trPr>
        <w:tc>
          <w:tcPr>
            <w:tcW w:w="929" w:type="dxa"/>
          </w:tcPr>
          <w:p w:rsidRPr="00434042" w:rsidR="0005404B" w:rsidP="00FF66F9" w:rsidRDefault="000140F3" w14:paraId="5E69CADA" w14:textId="77777777">
            <w:pPr>
              <w:rPr>
                <w:lang w:eastAsia="en-US"/>
              </w:rPr>
            </w:pPr>
            <w:r>
              <w:rPr>
                <w:lang w:eastAsia="en-US"/>
              </w:rPr>
              <w:t>Datum</w:t>
            </w:r>
          </w:p>
        </w:tc>
        <w:tc>
          <w:tcPr>
            <w:tcW w:w="6581" w:type="dxa"/>
          </w:tcPr>
          <w:p w:rsidRPr="00434042" w:rsidR="0005404B" w:rsidP="00FF66F9" w:rsidRDefault="006A6669" w14:paraId="1B97F69F" w14:textId="5BA9F0EF">
            <w:pPr>
              <w:rPr>
                <w:lang w:eastAsia="en-US"/>
              </w:rPr>
            </w:pPr>
            <w:r>
              <w:rPr>
                <w:lang w:eastAsia="en-US"/>
              </w:rPr>
              <w:t>12 mei 2025</w:t>
            </w:r>
          </w:p>
        </w:tc>
      </w:tr>
      <w:tr w:rsidR="00A901F4" w:rsidTr="00FF66F9" w14:paraId="659B88CB" w14:textId="77777777">
        <w:trPr>
          <w:trHeight w:val="368"/>
        </w:trPr>
        <w:tc>
          <w:tcPr>
            <w:tcW w:w="929" w:type="dxa"/>
          </w:tcPr>
          <w:p w:rsidR="0005404B" w:rsidP="00FF66F9" w:rsidRDefault="000140F3" w14:paraId="4B97A133" w14:textId="77777777">
            <w:pPr>
              <w:rPr>
                <w:lang w:eastAsia="en-US"/>
              </w:rPr>
            </w:pPr>
            <w:r>
              <w:rPr>
                <w:lang w:eastAsia="en-US"/>
              </w:rPr>
              <w:t>Betreft</w:t>
            </w:r>
          </w:p>
        </w:tc>
        <w:tc>
          <w:tcPr>
            <w:tcW w:w="6581" w:type="dxa"/>
          </w:tcPr>
          <w:p w:rsidR="0005404B" w:rsidP="00FF66F9" w:rsidRDefault="000140F3" w14:paraId="130FF0F4" w14:textId="77777777">
            <w:pPr>
              <w:rPr>
                <w:lang w:eastAsia="en-US"/>
              </w:rPr>
            </w:pPr>
            <w:r>
              <w:rPr>
                <w:lang w:eastAsia="en-US"/>
              </w:rPr>
              <w:t>Antwoord op schriftelijke vragen van de leden Westerveld en Stultiens (beiden GroenLinks-PvdA) over hulp aan studenten met een functiebeperking</w:t>
            </w:r>
          </w:p>
        </w:tc>
      </w:tr>
    </w:tbl>
    <w:p w:rsidR="00A901F4" w:rsidRDefault="001C2C36" w14:paraId="1ADBD0E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F13A7" w:rsidR="00A901F4" w:rsidTr="00A421A1" w14:paraId="1145B564" w14:textId="77777777">
        <w:tc>
          <w:tcPr>
            <w:tcW w:w="2160" w:type="dxa"/>
          </w:tcPr>
          <w:p w:rsidRPr="00F53C9D" w:rsidR="006205C0" w:rsidP="00686AED" w:rsidRDefault="000140F3" w14:paraId="7DE90840" w14:textId="77777777">
            <w:pPr>
              <w:pStyle w:val="Colofonkop"/>
              <w:framePr w:hSpace="0" w:wrap="auto" w:hAnchor="text" w:vAnchor="margin" w:xAlign="left" w:yAlign="inline"/>
            </w:pPr>
            <w:r>
              <w:t>Hoger Onderwijs en Studiefinanciering</w:t>
            </w:r>
          </w:p>
          <w:p w:rsidR="006205C0" w:rsidP="00A421A1" w:rsidRDefault="000140F3" w14:paraId="6FEE6826" w14:textId="77777777">
            <w:pPr>
              <w:pStyle w:val="Huisstijl-Gegeven"/>
              <w:spacing w:after="0"/>
            </w:pPr>
            <w:r>
              <w:t xml:space="preserve">Rijnstraat 50 </w:t>
            </w:r>
          </w:p>
          <w:p w:rsidR="004425A7" w:rsidP="00E972A2" w:rsidRDefault="000140F3" w14:paraId="281E5F09" w14:textId="77777777">
            <w:pPr>
              <w:pStyle w:val="Huisstijl-Gegeven"/>
              <w:spacing w:after="0"/>
            </w:pPr>
            <w:r>
              <w:t>Den Haag</w:t>
            </w:r>
          </w:p>
          <w:p w:rsidR="004425A7" w:rsidP="00E972A2" w:rsidRDefault="000140F3" w14:paraId="30309F08" w14:textId="77777777">
            <w:pPr>
              <w:pStyle w:val="Huisstijl-Gegeven"/>
              <w:spacing w:after="0"/>
            </w:pPr>
            <w:r>
              <w:t>Postbus 16375</w:t>
            </w:r>
          </w:p>
          <w:p w:rsidR="004425A7" w:rsidP="00E972A2" w:rsidRDefault="000140F3" w14:paraId="5451C9AD" w14:textId="77777777">
            <w:pPr>
              <w:pStyle w:val="Huisstijl-Gegeven"/>
              <w:spacing w:after="0"/>
            </w:pPr>
            <w:r>
              <w:t>2500 BJ Den Haag</w:t>
            </w:r>
          </w:p>
          <w:p w:rsidR="004425A7" w:rsidP="00E972A2" w:rsidRDefault="000140F3" w14:paraId="60B2CE88" w14:textId="77777777">
            <w:pPr>
              <w:pStyle w:val="Huisstijl-Gegeven"/>
              <w:spacing w:after="90"/>
            </w:pPr>
            <w:r>
              <w:t>www.rijksoverheid.nl</w:t>
            </w:r>
          </w:p>
          <w:p w:rsidRPr="00D86CC6" w:rsidR="006205C0" w:rsidP="00A421A1" w:rsidRDefault="000140F3" w14:paraId="46AA2BB2" w14:textId="77777777">
            <w:pPr>
              <w:spacing w:line="180" w:lineRule="exact"/>
              <w:rPr>
                <w:b/>
                <w:sz w:val="13"/>
                <w:szCs w:val="13"/>
              </w:rPr>
            </w:pPr>
            <w:r>
              <w:rPr>
                <w:b/>
                <w:sz w:val="13"/>
                <w:szCs w:val="13"/>
              </w:rPr>
              <w:t>Contactpersoon</w:t>
            </w:r>
          </w:p>
          <w:p w:rsidR="006205C0" w:rsidP="00A421A1" w:rsidRDefault="006205C0" w14:paraId="7FC64549" w14:textId="4ADE668D">
            <w:pPr>
              <w:spacing w:line="180" w:lineRule="exact"/>
              <w:rPr>
                <w:sz w:val="13"/>
                <w:szCs w:val="13"/>
                <w:lang w:val="en-US"/>
              </w:rPr>
            </w:pPr>
          </w:p>
          <w:p w:rsidR="006A6669" w:rsidP="00A421A1" w:rsidRDefault="006A6669" w14:paraId="6DB8F801" w14:textId="77777777">
            <w:pPr>
              <w:spacing w:line="180" w:lineRule="exact"/>
              <w:rPr>
                <w:sz w:val="13"/>
                <w:szCs w:val="13"/>
                <w:lang w:val="en-US"/>
              </w:rPr>
            </w:pPr>
          </w:p>
          <w:p w:rsidRPr="009440EF" w:rsidR="006A6669" w:rsidP="00A421A1" w:rsidRDefault="006A6669" w14:paraId="4C206168" w14:textId="157DFF2F">
            <w:pPr>
              <w:spacing w:line="180" w:lineRule="exact"/>
              <w:rPr>
                <w:sz w:val="13"/>
                <w:szCs w:val="13"/>
                <w:lang w:val="en-US"/>
              </w:rPr>
            </w:pPr>
          </w:p>
        </w:tc>
      </w:tr>
      <w:tr w:rsidRPr="000F13A7" w:rsidR="00A901F4" w:rsidTr="00A421A1" w14:paraId="21C9DDEC" w14:textId="77777777">
        <w:trPr>
          <w:trHeight w:val="200" w:hRule="exact"/>
        </w:trPr>
        <w:tc>
          <w:tcPr>
            <w:tcW w:w="2160" w:type="dxa"/>
          </w:tcPr>
          <w:p w:rsidRPr="009440EF" w:rsidR="006205C0" w:rsidP="00A421A1" w:rsidRDefault="006205C0" w14:paraId="3A4C724E" w14:textId="77777777">
            <w:pPr>
              <w:spacing w:after="90" w:line="180" w:lineRule="exact"/>
              <w:rPr>
                <w:sz w:val="13"/>
                <w:szCs w:val="13"/>
                <w:lang w:val="en-US"/>
              </w:rPr>
            </w:pPr>
          </w:p>
        </w:tc>
      </w:tr>
      <w:tr w:rsidR="00A901F4" w:rsidTr="00A421A1" w14:paraId="4F701C42" w14:textId="77777777">
        <w:trPr>
          <w:trHeight w:val="450"/>
        </w:trPr>
        <w:tc>
          <w:tcPr>
            <w:tcW w:w="2160" w:type="dxa"/>
          </w:tcPr>
          <w:p w:rsidR="00F51A76" w:rsidP="00A421A1" w:rsidRDefault="000140F3" w14:paraId="58537A6E" w14:textId="77777777">
            <w:pPr>
              <w:spacing w:line="180" w:lineRule="exact"/>
              <w:rPr>
                <w:b/>
                <w:sz w:val="13"/>
                <w:szCs w:val="13"/>
              </w:rPr>
            </w:pPr>
            <w:r>
              <w:rPr>
                <w:b/>
                <w:sz w:val="13"/>
                <w:szCs w:val="13"/>
              </w:rPr>
              <w:t>Onze referentie</w:t>
            </w:r>
          </w:p>
          <w:p w:rsidRPr="00FA7882" w:rsidR="006205C0" w:rsidP="00215356" w:rsidRDefault="000140F3" w14:paraId="158CA3AF" w14:textId="77777777">
            <w:pPr>
              <w:spacing w:line="180" w:lineRule="exact"/>
              <w:rPr>
                <w:sz w:val="13"/>
                <w:szCs w:val="13"/>
              </w:rPr>
            </w:pPr>
            <w:r>
              <w:rPr>
                <w:sz w:val="13"/>
                <w:szCs w:val="13"/>
              </w:rPr>
              <w:t>52213037</w:t>
            </w:r>
          </w:p>
        </w:tc>
      </w:tr>
      <w:tr w:rsidR="00A901F4" w:rsidTr="00A421A1" w14:paraId="7B3E82C3" w14:textId="77777777">
        <w:trPr>
          <w:trHeight w:val="136"/>
        </w:trPr>
        <w:tc>
          <w:tcPr>
            <w:tcW w:w="2160" w:type="dxa"/>
          </w:tcPr>
          <w:p w:rsidRPr="00C5333A" w:rsidR="006205C0" w:rsidP="00A421A1" w:rsidRDefault="000140F3" w14:paraId="1AF8E5D9" w14:textId="77777777">
            <w:pPr>
              <w:tabs>
                <w:tab w:val="left" w:pos="1890"/>
              </w:tabs>
              <w:spacing w:line="180" w:lineRule="exact"/>
              <w:rPr>
                <w:b/>
                <w:sz w:val="13"/>
                <w:szCs w:val="13"/>
              </w:rPr>
            </w:pPr>
            <w:r w:rsidRPr="00003544">
              <w:rPr>
                <w:b/>
                <w:sz w:val="13"/>
                <w:szCs w:val="13"/>
              </w:rPr>
              <w:t>Uw brief</w:t>
            </w:r>
          </w:p>
          <w:p w:rsidRPr="00E06CD4" w:rsidR="00E91674" w:rsidP="00E210E0" w:rsidRDefault="000140F3" w14:paraId="59966F73" w14:textId="77777777">
            <w:pPr>
              <w:tabs>
                <w:tab w:val="left" w:pos="1890"/>
              </w:tabs>
              <w:spacing w:after="92" w:line="180" w:lineRule="exact"/>
              <w:rPr>
                <w:sz w:val="13"/>
                <w:szCs w:val="13"/>
              </w:rPr>
            </w:pPr>
            <w:r>
              <w:rPr>
                <w:sz w:val="13"/>
                <w:szCs w:val="13"/>
              </w:rPr>
              <w:t>17 april 2025</w:t>
            </w:r>
          </w:p>
        </w:tc>
      </w:tr>
      <w:tr w:rsidR="00A901F4" w:rsidTr="00A421A1" w14:paraId="2166ED53" w14:textId="77777777">
        <w:trPr>
          <w:trHeight w:val="227"/>
        </w:trPr>
        <w:tc>
          <w:tcPr>
            <w:tcW w:w="2160" w:type="dxa"/>
          </w:tcPr>
          <w:p w:rsidRPr="004A65A5" w:rsidR="006205C0" w:rsidP="00A421A1" w:rsidRDefault="000140F3" w14:paraId="282B79F0" w14:textId="77777777">
            <w:pPr>
              <w:spacing w:line="180" w:lineRule="exact"/>
              <w:rPr>
                <w:b/>
                <w:sz w:val="13"/>
                <w:szCs w:val="13"/>
              </w:rPr>
            </w:pPr>
            <w:r>
              <w:rPr>
                <w:b/>
                <w:sz w:val="13"/>
                <w:szCs w:val="13"/>
              </w:rPr>
              <w:t>Uw referentie</w:t>
            </w:r>
          </w:p>
          <w:p w:rsidRPr="00D74F66" w:rsidR="006205C0" w:rsidP="00A421A1" w:rsidRDefault="000140F3" w14:paraId="26F1B2D9" w14:textId="77777777">
            <w:pPr>
              <w:spacing w:after="90" w:line="180" w:lineRule="exact"/>
              <w:rPr>
                <w:sz w:val="13"/>
              </w:rPr>
            </w:pPr>
            <w:r>
              <w:rPr>
                <w:sz w:val="13"/>
              </w:rPr>
              <w:t>2025Z07770</w:t>
            </w:r>
          </w:p>
        </w:tc>
      </w:tr>
    </w:tbl>
    <w:p w:rsidR="00215356" w:rsidRDefault="00215356" w14:paraId="04AB4F5D" w14:textId="77777777"/>
    <w:p w:rsidR="006205C0" w:rsidP="00A421A1" w:rsidRDefault="006205C0" w14:paraId="3B105DD4" w14:textId="77777777"/>
    <w:p w:rsidR="00CA35E4" w:rsidP="00CA35E4" w:rsidRDefault="00437472" w14:paraId="7DEC6CF2" w14:textId="2230636C">
      <w:r>
        <w:t xml:space="preserve">Hierbij </w:t>
      </w:r>
      <w:r w:rsidR="000140F3">
        <w:t>stuur ik</w:t>
      </w:r>
      <w:r w:rsidR="00D45993">
        <w:t xml:space="preserve"> u</w:t>
      </w:r>
      <w:r w:rsidR="000F13A7">
        <w:t xml:space="preserve">w Kamer </w:t>
      </w:r>
      <w:r w:rsidR="000140F3">
        <w:t>de antwoorden</w:t>
      </w:r>
      <w:r w:rsidR="006B0A79">
        <w:t xml:space="preserve"> op</w:t>
      </w:r>
      <w:r w:rsidR="00C82662">
        <w:t xml:space="preserve"> </w:t>
      </w:r>
      <w:r w:rsidRPr="009440EF" w:rsidR="000140F3">
        <w:t>de vragen</w:t>
      </w:r>
      <w:r w:rsidR="000140F3">
        <w:t> </w:t>
      </w:r>
      <w:r w:rsidRPr="009440EF" w:rsidR="000140F3">
        <w:t>van de leden Westerveld en Stultiens (GroenLinks-PvdA)</w:t>
      </w:r>
      <w:r w:rsidR="00AD7C7C">
        <w:t xml:space="preserve"> </w:t>
      </w:r>
      <w:r w:rsidR="00127580">
        <w:t>over</w:t>
      </w:r>
      <w:r w:rsidR="000140F3">
        <w:t> hulp aan studenten met een functiebeperking</w:t>
      </w:r>
      <w:r w:rsidR="005E637C">
        <w:t>.</w:t>
      </w:r>
    </w:p>
    <w:p w:rsidR="00CA35E4" w:rsidP="00CA35E4" w:rsidRDefault="00CA35E4" w14:paraId="721C856F" w14:textId="77777777"/>
    <w:p w:rsidR="00463FBD" w:rsidP="00CA35E4" w:rsidRDefault="000140F3" w14:paraId="4B37E78A" w14:textId="77777777">
      <w:r w:rsidRPr="009440EF">
        <w:t>De vragen werden</w:t>
      </w:r>
      <w:r w:rsidR="00B11469">
        <w:t> </w:t>
      </w:r>
      <w:r w:rsidR="00BD7E81">
        <w:t>in</w:t>
      </w:r>
      <w:r w:rsidR="00CA35E4">
        <w:t xml:space="preserve">gezonden </w:t>
      </w:r>
      <w:r w:rsidR="00BD7E81">
        <w:t>op</w:t>
      </w:r>
      <w:r w:rsidR="00EB5D85">
        <w:t xml:space="preserve"> </w:t>
      </w:r>
      <w:r>
        <w:t>17 april 2025</w:t>
      </w:r>
      <w:r w:rsidR="00E82C38">
        <w:t xml:space="preserve"> met kenmerk </w:t>
      </w:r>
      <w:r>
        <w:t>2025Z07770</w:t>
      </w:r>
      <w:r w:rsidR="00E82C38">
        <w:t>.</w:t>
      </w:r>
    </w:p>
    <w:p w:rsidR="00930C09" w:rsidP="00CA35E4" w:rsidRDefault="00930C09" w14:paraId="3ABA687C" w14:textId="77777777"/>
    <w:p w:rsidR="000F13A7" w:rsidP="00CA35E4" w:rsidRDefault="000F13A7" w14:paraId="259D131D" w14:textId="77777777"/>
    <w:p w:rsidR="00820DDA" w:rsidP="00CA35E4" w:rsidRDefault="000140F3" w14:paraId="47232613" w14:textId="3CAF214B">
      <w:r>
        <w:t>De minister van Onderwijs, Cultuur en Wetenschap,</w:t>
      </w:r>
    </w:p>
    <w:p w:rsidR="00950170" w:rsidP="00950170" w:rsidRDefault="00950170" w14:paraId="2A789353" w14:textId="77777777"/>
    <w:p w:rsidR="00950170" w:rsidP="00950170" w:rsidRDefault="00950170" w14:paraId="6EB8AA9F" w14:textId="77777777"/>
    <w:p w:rsidR="000F13A7" w:rsidP="00950170" w:rsidRDefault="000F13A7" w14:paraId="07B54AE4" w14:textId="77777777"/>
    <w:p w:rsidR="00950170" w:rsidP="00950170" w:rsidRDefault="00950170" w14:paraId="3D767CF0" w14:textId="77777777"/>
    <w:p w:rsidR="00950170" w:rsidP="00950170" w:rsidRDefault="000140F3" w14:paraId="05A3E1AD" w14:textId="77777777">
      <w:pPr>
        <w:pStyle w:val="standaard-tekst"/>
      </w:pPr>
      <w:r>
        <w:t>Eppo Bruins</w:t>
      </w:r>
    </w:p>
    <w:p w:rsidR="00930C09" w:rsidRDefault="000140F3" w14:paraId="7B155F31" w14:textId="77777777">
      <w:pPr>
        <w:spacing w:line="240" w:lineRule="auto"/>
      </w:pPr>
      <w:r>
        <w:br w:type="page"/>
      </w:r>
    </w:p>
    <w:p w:rsidR="00930C09" w:rsidP="009E4507" w:rsidRDefault="000140F3" w14:paraId="7DF1E796" w14:textId="77777777">
      <w:pPr>
        <w:pStyle w:val="pagebreak"/>
        <w:pageBreakBefore w:val="0"/>
      </w:pPr>
      <w:r>
        <w:lastRenderedPageBreak/>
        <w:t xml:space="preserve">De antwoorden </w:t>
      </w:r>
      <w:r w:rsidR="00D51F76">
        <w:t xml:space="preserve">op de schriftelijke </w:t>
      </w:r>
      <w:r>
        <w:t>vragen</w:t>
      </w:r>
      <w:r w:rsidR="00D51F76">
        <w:t> </w:t>
      </w:r>
      <w:r w:rsidRPr="009440EF">
        <w:t>van de leden Westerveld en Stultiens (GroenLinks-PvdA)</w:t>
      </w:r>
      <w:r w:rsidR="00D51F76">
        <w:t xml:space="preserve"> </w:t>
      </w:r>
      <w:r w:rsidR="009E4507">
        <w:t>over</w:t>
      </w:r>
      <w:r w:rsidR="00EE09A7">
        <w:t xml:space="preserve"> </w:t>
      </w:r>
      <w:r>
        <w:t>hulp aan studenten met een functiebeperking</w:t>
      </w:r>
      <w:r w:rsidR="00C50C4E">
        <w:t xml:space="preserve"> </w:t>
      </w:r>
      <w:r w:rsidR="009E4507">
        <w:t xml:space="preserve">met kenmerk </w:t>
      </w:r>
      <w:r>
        <w:t>2025Z07770</w:t>
      </w:r>
      <w:r w:rsidR="00C50C4E">
        <w:t xml:space="preserve">, ingezonden op </w:t>
      </w:r>
      <w:r>
        <w:t>17 april 2025</w:t>
      </w:r>
      <w:r w:rsidR="00C50C4E">
        <w:t>.</w:t>
      </w:r>
    </w:p>
    <w:p w:rsidR="00820DDA" w:rsidP="00820DDA" w:rsidRDefault="00820DDA" w14:paraId="444E7162" w14:textId="77777777">
      <w:pPr>
        <w:pStyle w:val="standaard-tekst"/>
      </w:pPr>
    </w:p>
    <w:p w:rsidRPr="00A81CD8" w:rsidR="00820DDA" w:rsidP="00820DDA" w:rsidRDefault="000140F3" w14:paraId="10609B3D" w14:textId="77777777">
      <w:pPr>
        <w:pStyle w:val="standaard-tekst"/>
      </w:pPr>
      <w:r w:rsidRPr="00A81CD8">
        <w:t>Vraag 1</w:t>
      </w:r>
    </w:p>
    <w:p w:rsidRPr="00A81CD8" w:rsidR="00820DDA" w:rsidP="00820DDA" w:rsidRDefault="009440EF" w14:paraId="05A5919A" w14:textId="67C97B5B">
      <w:pPr>
        <w:pStyle w:val="standaard-tekst"/>
      </w:pPr>
      <w:r w:rsidRPr="00A81CD8">
        <w:t>Kent u het bericht van Omroep Gelderland ‘Speciale DUO-regeling steeds populairder, maar begeleiding varieert’ over de wisselende hulp aan studenten met een functiebeperking?</w:t>
      </w:r>
      <w:r w:rsidRPr="00A81CD8">
        <w:rPr>
          <w:rStyle w:val="Voetnootmarkering"/>
        </w:rPr>
        <w:footnoteReference w:id="1"/>
      </w:r>
    </w:p>
    <w:p w:rsidRPr="00A81CD8" w:rsidR="009440EF" w:rsidP="00820DDA" w:rsidRDefault="009440EF" w14:paraId="2B7F3E50" w14:textId="77777777">
      <w:pPr>
        <w:pStyle w:val="standaard-tekst"/>
      </w:pPr>
    </w:p>
    <w:p w:rsidRPr="00A81CD8" w:rsidR="00820DDA" w:rsidP="00820DDA" w:rsidRDefault="000140F3" w14:paraId="3BCF80C9" w14:textId="4EB75F54">
      <w:pPr>
        <w:pStyle w:val="standaard-tekst"/>
      </w:pPr>
      <w:r w:rsidRPr="00A81CD8">
        <w:t>Antwoord</w:t>
      </w:r>
      <w:r w:rsidR="00A81CD8">
        <w:t xml:space="preserve"> 1</w:t>
      </w:r>
    </w:p>
    <w:p w:rsidRPr="00A81CD8" w:rsidR="009440EF" w:rsidP="00820DDA" w:rsidRDefault="005500CC" w14:paraId="5B2CBE03" w14:textId="0412CBEC">
      <w:pPr>
        <w:pStyle w:val="standaard-tekst"/>
      </w:pPr>
      <w:r w:rsidRPr="00A81CD8">
        <w:t>Ja, dat bericht is mij bekend.</w:t>
      </w:r>
    </w:p>
    <w:p w:rsidRPr="00A81CD8" w:rsidR="005500CC" w:rsidP="00820DDA" w:rsidRDefault="005500CC" w14:paraId="4C344A9E" w14:textId="77777777">
      <w:pPr>
        <w:pStyle w:val="standaard-tekst"/>
      </w:pPr>
    </w:p>
    <w:p w:rsidRPr="00A81CD8" w:rsidR="009440EF" w:rsidP="00820DDA" w:rsidRDefault="009440EF" w14:paraId="49AD5B76" w14:textId="0C86D6AE">
      <w:pPr>
        <w:pStyle w:val="standaard-tekst"/>
      </w:pPr>
      <w:r w:rsidRPr="00A81CD8">
        <w:t>Vraag 2</w:t>
      </w:r>
    </w:p>
    <w:p w:rsidRPr="00A81CD8" w:rsidR="009440EF" w:rsidP="00820DDA" w:rsidRDefault="009440EF" w14:paraId="5D523838" w14:textId="6684933A">
      <w:pPr>
        <w:pStyle w:val="standaard-tekst"/>
      </w:pPr>
      <w:r w:rsidRPr="00A81CD8">
        <w:t>Bent u het ermee eens dat financiële ondersteuning voor (voormalig) studenten met een beperking door de overheid volgt uit het VN-verdrag Handicap dat ook door Nederland is ondertekend?</w:t>
      </w:r>
    </w:p>
    <w:p w:rsidRPr="00A81CD8" w:rsidR="00820DDA" w:rsidP="00820DDA" w:rsidRDefault="00820DDA" w14:paraId="00A0F1A2" w14:textId="77777777">
      <w:pPr>
        <w:pStyle w:val="standaard-tekst"/>
      </w:pPr>
    </w:p>
    <w:p w:rsidRPr="00A81CD8" w:rsidR="009440EF" w:rsidP="00820DDA" w:rsidRDefault="009440EF" w14:paraId="3A033A63" w14:textId="484A7DD4">
      <w:pPr>
        <w:pStyle w:val="standaard-tekst"/>
      </w:pPr>
      <w:r w:rsidRPr="00A81CD8">
        <w:t>Antwoord</w:t>
      </w:r>
      <w:r w:rsidR="00A81CD8">
        <w:t xml:space="preserve"> 2</w:t>
      </w:r>
    </w:p>
    <w:p w:rsidRPr="00A81CD8" w:rsidR="00262891" w:rsidP="00262891" w:rsidRDefault="00262891" w14:paraId="27FC5E05" w14:textId="68F3DAD1">
      <w:pPr>
        <w:pStyle w:val="standaard-tekst"/>
      </w:pPr>
      <w:r w:rsidRPr="00A81CD8">
        <w:t xml:space="preserve">Het VN-Verdrag Handicap heeft als doelstelling dat personen met </w:t>
      </w:r>
      <w:r w:rsidR="00A81CD8">
        <w:t xml:space="preserve">een </w:t>
      </w:r>
      <w:r w:rsidRPr="00A81CD8">
        <w:t>handicap op gelijkwaardige voet worden behandeld en mee kunnen draaien in de samenleving.  Artikel 24 lid 5 gaat daarbij specifiek in op het vervolgonderwijs. Volgens het artikel worden Staten verwacht te “</w:t>
      </w:r>
      <w:r w:rsidRPr="00A81CD8">
        <w:rPr>
          <w:i/>
          <w:iCs/>
        </w:rPr>
        <w:t>waarborgen dat personen met een handicap, zonder discriminatie en op voet van gelijkheid met anderen, toegang verkrijgen tot algemeen universitair en hoger beroepsonderwijs, beroepsonderwijs, volwasseneducatie en een leven lang leren. Daartoe waarborgen de Staten die Partij te zijn dat redelijke aanpassingen worden verschaft aan personen met een handicap</w:t>
      </w:r>
      <w:r w:rsidRPr="00A81CD8">
        <w:t>.”</w:t>
      </w:r>
    </w:p>
    <w:p w:rsidRPr="00A81CD8" w:rsidR="00262891" w:rsidP="00262891" w:rsidRDefault="00262891" w14:paraId="3DEDCDD6" w14:textId="77777777">
      <w:pPr>
        <w:pStyle w:val="standaard-tekst"/>
      </w:pPr>
    </w:p>
    <w:p w:rsidRPr="00A81CD8" w:rsidR="009440EF" w:rsidP="00262891" w:rsidRDefault="00262891" w14:paraId="34147CD7" w14:textId="4CE34D8A">
      <w:pPr>
        <w:pStyle w:val="standaard-tekst"/>
      </w:pPr>
      <w:r w:rsidRPr="00A81CD8">
        <w:t xml:space="preserve">‘Redelijke aanpassingen’ is een breed begrip, waarbij een grote variëteit aan ondersteuningsvormen mogelijk is in het vervolgonderwijs. In bovenstaand artikel wordt financiële ondersteuning voor studenten met een functiebeperking niet verplicht gesteld. Wel kan het voorkomen dat een redelijke aanpassing vormgegeven wordt door financiële ondersteuning te bieden. </w:t>
      </w:r>
    </w:p>
    <w:p w:rsidRPr="00A81CD8" w:rsidR="00262891" w:rsidP="00820DDA" w:rsidRDefault="00262891" w14:paraId="66319A64" w14:textId="77777777">
      <w:pPr>
        <w:pStyle w:val="standaard-tekst"/>
      </w:pPr>
    </w:p>
    <w:p w:rsidRPr="00A81CD8" w:rsidR="009440EF" w:rsidP="00820DDA" w:rsidRDefault="009440EF" w14:paraId="2E86C9F2" w14:textId="1B12592B">
      <w:pPr>
        <w:pStyle w:val="standaard-tekst"/>
      </w:pPr>
      <w:r w:rsidRPr="00A81CD8">
        <w:t>Vraag 3</w:t>
      </w:r>
    </w:p>
    <w:p w:rsidRPr="00A81CD8" w:rsidR="009440EF" w:rsidP="00820DDA" w:rsidRDefault="009440EF" w14:paraId="6F911DC0" w14:textId="70E756B2">
      <w:pPr>
        <w:pStyle w:val="standaard-tekst"/>
      </w:pPr>
      <w:r w:rsidRPr="00A81CD8">
        <w:t>Hoe worden studenten met een functiebeperking geïnformeerd over de financiële ondersteuning die zij kunnen krijgen?</w:t>
      </w:r>
    </w:p>
    <w:p w:rsidRPr="00A81CD8" w:rsidR="00820DDA" w:rsidP="00820DDA" w:rsidRDefault="00820DDA" w14:paraId="15B49EC2" w14:textId="77777777">
      <w:pPr>
        <w:pStyle w:val="standaard-tekst"/>
      </w:pPr>
    </w:p>
    <w:p w:rsidRPr="00A81CD8" w:rsidR="009440EF" w:rsidP="00820DDA" w:rsidRDefault="009440EF" w14:paraId="483B433E" w14:textId="65B188F1">
      <w:pPr>
        <w:pStyle w:val="standaard-tekst"/>
      </w:pPr>
      <w:r w:rsidRPr="00A81CD8">
        <w:t>Antwoord</w:t>
      </w:r>
      <w:r w:rsidR="00A81CD8">
        <w:t xml:space="preserve"> 3</w:t>
      </w:r>
    </w:p>
    <w:p w:rsidRPr="00A81CD8" w:rsidR="00030DFA" w:rsidP="00030DFA" w:rsidRDefault="00030DFA" w14:paraId="6EF0EF9E" w14:textId="297EB731">
      <w:pPr>
        <w:pStyle w:val="standaard-tekst"/>
      </w:pPr>
      <w:r w:rsidRPr="00A81CD8">
        <w:t>Studenten met een ondersteuningsbehoefte worden op verschillende manieren geïnformeerd over financiële ondersteuning die z</w:t>
      </w:r>
      <w:r w:rsidRPr="00A81CD8" w:rsidR="003C24C1">
        <w:t>ij</w:t>
      </w:r>
      <w:r w:rsidRPr="00A81CD8">
        <w:t xml:space="preserve"> kunnen ontvangen. </w:t>
      </w:r>
      <w:r w:rsidRPr="00A81CD8" w:rsidR="003C24C1">
        <w:t xml:space="preserve">De minister </w:t>
      </w:r>
      <w:r w:rsidRPr="00A81CD8" w:rsidR="000F13A7">
        <w:t xml:space="preserve">en de staatssecretaris </w:t>
      </w:r>
      <w:r w:rsidRPr="00A81CD8" w:rsidR="003C24C1">
        <w:t xml:space="preserve">van OCW sturen alle </w:t>
      </w:r>
      <w:r w:rsidRPr="00A81CD8">
        <w:t>eindexamenkandidaten, mbo-4 studenten</w:t>
      </w:r>
      <w:r w:rsidRPr="00A81CD8" w:rsidR="003C24C1">
        <w:t xml:space="preserve"> in het laatste jaar van hun opleiding</w:t>
      </w:r>
      <w:r w:rsidRPr="00A81CD8">
        <w:t xml:space="preserve"> en hun ouders een brief en folder over alle zaken die ze moeten uitzoeken en regelen als ze willen gaan studeren. Daarin wijzen we studenten met een ondersteuningsbehoefte op de websites </w:t>
      </w:r>
      <w:hyperlink w:history="1" r:id="rId8">
        <w:r w:rsidRPr="00A81CD8">
          <w:t>www.mbotoegankelijk.nl</w:t>
        </w:r>
      </w:hyperlink>
      <w:r w:rsidRPr="00A81CD8">
        <w:t xml:space="preserve"> en </w:t>
      </w:r>
      <w:hyperlink w:history="1" r:id="rId9">
        <w:r w:rsidRPr="00A81CD8">
          <w:t>www.hogeronderwijstoegankelijk.nl</w:t>
        </w:r>
      </w:hyperlink>
      <w:r w:rsidRPr="00A81CD8" w:rsidR="003C24C1">
        <w:t>.</w:t>
      </w:r>
      <w:r w:rsidRPr="00A81CD8">
        <w:t xml:space="preserve"> Deze sites bevatten alle informatie over de financiële regelingen voor deze studenten. Daarnaast kan iedere (aankomend) student een </w:t>
      </w:r>
      <w:hyperlink w:history="1" r:id="rId10">
        <w:r w:rsidRPr="00A81CD8">
          <w:t>Persoonlijk Overzicht Studeren</w:t>
        </w:r>
      </w:hyperlink>
      <w:r w:rsidRPr="00A81CD8">
        <w:t xml:space="preserve"> op maat maken, om te bepalen wat ze moeten regelen en van welke </w:t>
      </w:r>
      <w:r w:rsidRPr="00A81CD8">
        <w:lastRenderedPageBreak/>
        <w:t>ondersteuning ze gebruik kunnen maken. Verder wijzen decanen in het voortgezet onderwijs en vervolgonderwijs hun leerlingen en studenten ook op financiële ondersteuningsmogelijkheden.</w:t>
      </w:r>
    </w:p>
    <w:p w:rsidRPr="00A81CD8" w:rsidR="009440EF" w:rsidP="00820DDA" w:rsidRDefault="009440EF" w14:paraId="54578F18" w14:textId="77777777">
      <w:pPr>
        <w:pStyle w:val="standaard-tekst"/>
      </w:pPr>
    </w:p>
    <w:p w:rsidRPr="00A81CD8" w:rsidR="009440EF" w:rsidP="00820DDA" w:rsidRDefault="009440EF" w14:paraId="54A5E65B" w14:textId="5FC906CB">
      <w:pPr>
        <w:pStyle w:val="standaard-tekst"/>
      </w:pPr>
      <w:r w:rsidRPr="00A81CD8">
        <w:t>Vraag 4</w:t>
      </w:r>
    </w:p>
    <w:p w:rsidRPr="00816678" w:rsidR="009440EF" w:rsidP="00820DDA" w:rsidRDefault="009440EF" w14:paraId="319613A7" w14:textId="09BF5046">
      <w:pPr>
        <w:pStyle w:val="standaard-tekst"/>
      </w:pPr>
      <w:r w:rsidRPr="00816678">
        <w:t>Klopt het dat de regeling ‘Voorziening prestatiebeurs’ steeds populairder wordt door aandacht op sociale media en welke conclusies trekt u daaruit?</w:t>
      </w:r>
    </w:p>
    <w:p w:rsidRPr="00A81CD8" w:rsidR="00820DDA" w:rsidP="00820DDA" w:rsidRDefault="00820DDA" w14:paraId="1211CBDA" w14:textId="77777777">
      <w:pPr>
        <w:pStyle w:val="standaard-tekst"/>
      </w:pPr>
    </w:p>
    <w:p w:rsidRPr="00A81CD8" w:rsidR="009440EF" w:rsidP="00820DDA" w:rsidRDefault="009440EF" w14:paraId="48AE80DE" w14:textId="6375E7ED">
      <w:pPr>
        <w:pStyle w:val="standaard-tekst"/>
      </w:pPr>
      <w:r w:rsidRPr="00A81CD8">
        <w:t>Antwoord</w:t>
      </w:r>
      <w:r w:rsidR="00816678">
        <w:t xml:space="preserve"> 4</w:t>
      </w:r>
    </w:p>
    <w:p w:rsidRPr="00A81CD8" w:rsidR="005500CC" w:rsidP="005500CC" w:rsidRDefault="005500CC" w14:paraId="673BF7F2" w14:textId="263EE045">
      <w:pPr>
        <w:rPr>
          <w:szCs w:val="18"/>
        </w:rPr>
      </w:pPr>
      <w:r w:rsidRPr="00A81CD8">
        <w:rPr>
          <w:szCs w:val="18"/>
        </w:rPr>
        <w:t xml:space="preserve">Ik vind het goed dat (oud-)studenten op de hoogte zijn van regelingen waar zij mogelijk recht op hebben, zo ook de regeling voorziening prestatiebeurs. Er is inderdaad een toename te zien in het aantal aanvragen voor de voorziening prestatiebeurs, zie daarvoor ook de cijfers in antwoord op vraag </w:t>
      </w:r>
      <w:r w:rsidRPr="00A81CD8" w:rsidR="000140F3">
        <w:rPr>
          <w:szCs w:val="18"/>
        </w:rPr>
        <w:t>7</w:t>
      </w:r>
      <w:r w:rsidRPr="00A81CD8">
        <w:rPr>
          <w:szCs w:val="18"/>
        </w:rPr>
        <w:t xml:space="preserve">. </w:t>
      </w:r>
    </w:p>
    <w:p w:rsidRPr="00A81CD8" w:rsidR="005500CC" w:rsidP="005500CC" w:rsidRDefault="005500CC" w14:paraId="63340581" w14:textId="77777777">
      <w:pPr>
        <w:rPr>
          <w:szCs w:val="18"/>
        </w:rPr>
      </w:pPr>
    </w:p>
    <w:p w:rsidRPr="00A81CD8" w:rsidR="005500CC" w:rsidP="005500CC" w:rsidRDefault="005500CC" w14:paraId="7323CC2F" w14:textId="304E1A4A">
      <w:pPr>
        <w:rPr>
          <w:szCs w:val="18"/>
        </w:rPr>
      </w:pPr>
      <w:r w:rsidRPr="00A81CD8">
        <w:rPr>
          <w:szCs w:val="18"/>
        </w:rPr>
        <w:t xml:space="preserve">Er is de afgelopen jaren ingezet op het verbeteren van de informatievoorziening voor de doelgroep studenten met een functiebeperking, bijvoorbeeld via de </w:t>
      </w:r>
      <w:r w:rsidRPr="00A81CD8" w:rsidR="00A852D3">
        <w:rPr>
          <w:szCs w:val="18"/>
        </w:rPr>
        <w:t xml:space="preserve">eerder genoemde </w:t>
      </w:r>
      <w:r w:rsidRPr="00A81CD8">
        <w:rPr>
          <w:szCs w:val="18"/>
        </w:rPr>
        <w:t>website</w:t>
      </w:r>
      <w:r w:rsidRPr="00A81CD8" w:rsidR="00A852D3">
        <w:rPr>
          <w:szCs w:val="18"/>
        </w:rPr>
        <w:t>s en de website</w:t>
      </w:r>
      <w:r w:rsidRPr="00A81CD8">
        <w:rPr>
          <w:szCs w:val="18"/>
        </w:rPr>
        <w:t xml:space="preserve"> onbelemmerdstuderen.nl en via de eigen kanalen van DUO. Deze verbeterde informatievoorziening draagt – net als aandacht op sociale media – bij aan meer bekendheid van de voorziening. </w:t>
      </w:r>
      <w:r w:rsidRPr="00A81CD8" w:rsidR="00682A2E">
        <w:rPr>
          <w:szCs w:val="18"/>
        </w:rPr>
        <w:t xml:space="preserve">Daarnaast kan ook de herinvoering van de basisbeurs in het hbo en wo het laatste jaar hebben geleid tot een stijging van het aantal aanvragen. </w:t>
      </w:r>
    </w:p>
    <w:p w:rsidRPr="00A81CD8" w:rsidR="009440EF" w:rsidP="00820DDA" w:rsidRDefault="009440EF" w14:paraId="741137A6" w14:textId="77777777">
      <w:pPr>
        <w:pStyle w:val="standaard-tekst"/>
      </w:pPr>
    </w:p>
    <w:p w:rsidRPr="00A81CD8" w:rsidR="009440EF" w:rsidP="00820DDA" w:rsidRDefault="009440EF" w14:paraId="2BC146B2" w14:textId="4C88774C">
      <w:pPr>
        <w:pStyle w:val="standaard-tekst"/>
      </w:pPr>
      <w:r w:rsidRPr="00A81CD8">
        <w:t>Vraag 5</w:t>
      </w:r>
    </w:p>
    <w:p w:rsidRPr="00816678" w:rsidR="009440EF" w:rsidP="00820DDA" w:rsidRDefault="009440EF" w14:paraId="785267E8" w14:textId="0CA752D2">
      <w:pPr>
        <w:pStyle w:val="standaard-tekst"/>
      </w:pPr>
      <w:r w:rsidRPr="00816678">
        <w:t>Bent u het eens met de constatering van onder meer de Nijmeegse Studentenvakbond AKKU, studentendecanen en het ISO dat er nu een verschil is in de mate waarop studenten met een beperking worden geïnformeerd en geholpen? Zo ja, bent u bereid om met studentenorganisaties en decanen in gesprek te gaan om concrete afspraken te maken over een verbetertraject?</w:t>
      </w:r>
    </w:p>
    <w:p w:rsidRPr="00A81CD8" w:rsidR="009440EF" w:rsidP="00820DDA" w:rsidRDefault="009440EF" w14:paraId="7CD9E335" w14:textId="77777777">
      <w:pPr>
        <w:pStyle w:val="standaard-tekst"/>
        <w:rPr>
          <w:i/>
          <w:iCs/>
        </w:rPr>
      </w:pPr>
    </w:p>
    <w:p w:rsidRPr="00A81CD8" w:rsidR="009440EF" w:rsidP="00820DDA" w:rsidRDefault="009440EF" w14:paraId="55940202" w14:textId="64E6433E">
      <w:pPr>
        <w:pStyle w:val="standaard-tekst"/>
      </w:pPr>
      <w:r w:rsidRPr="00A81CD8">
        <w:t>Antwoord</w:t>
      </w:r>
      <w:r w:rsidR="00816678">
        <w:t xml:space="preserve"> 5</w:t>
      </w:r>
    </w:p>
    <w:p w:rsidRPr="00A81CD8" w:rsidR="005500CC" w:rsidP="005500CC" w:rsidRDefault="00A852D3" w14:paraId="0062A866" w14:textId="662C36A5">
      <w:pPr>
        <w:rPr>
          <w:szCs w:val="18"/>
        </w:rPr>
      </w:pPr>
      <w:r w:rsidRPr="00A81CD8">
        <w:rPr>
          <w:szCs w:val="18"/>
        </w:rPr>
        <w:t xml:space="preserve">Door de decentrale vormgeving, die als voordeel kent dat de instelling dichter bij de student staan dan bijvoorbeeld DUO, kan het voorkomen dat de ondersteuning verschillend wordt ingevuld. </w:t>
      </w:r>
      <w:r w:rsidRPr="00A81CD8" w:rsidR="005500CC">
        <w:rPr>
          <w:szCs w:val="18"/>
        </w:rPr>
        <w:t>De aanvraag van de voorziening prestatiebeurs loopt</w:t>
      </w:r>
      <w:r w:rsidRPr="00A81CD8">
        <w:rPr>
          <w:szCs w:val="18"/>
        </w:rPr>
        <w:t xml:space="preserve"> namelijk</w:t>
      </w:r>
      <w:r w:rsidRPr="00A81CD8" w:rsidR="005500CC">
        <w:rPr>
          <w:szCs w:val="18"/>
        </w:rPr>
        <w:t xml:space="preserve"> altijd via de </w:t>
      </w:r>
      <w:r w:rsidRPr="00A81CD8" w:rsidR="00682A2E">
        <w:rPr>
          <w:szCs w:val="18"/>
        </w:rPr>
        <w:t>onderwijs</w:t>
      </w:r>
      <w:r w:rsidRPr="00A81CD8" w:rsidR="005500CC">
        <w:rPr>
          <w:szCs w:val="18"/>
        </w:rPr>
        <w:t>instelling. Het is aan de tekenbevoegde van de onderwijsinstelling – meestal de decaan of studiebegeleider – om te beoordelen of een (oud-)student door (medische) omstandigheden studievertraging heeft opgelopen</w:t>
      </w:r>
      <w:r w:rsidRPr="00A81CD8" w:rsidR="00682A2E">
        <w:rPr>
          <w:szCs w:val="18"/>
        </w:rPr>
        <w:t xml:space="preserve"> tijdens de prestatiebeursfase</w:t>
      </w:r>
      <w:r w:rsidRPr="00A81CD8" w:rsidR="005500CC">
        <w:rPr>
          <w:szCs w:val="18"/>
        </w:rPr>
        <w:t xml:space="preserve">, en daardoor </w:t>
      </w:r>
      <w:r w:rsidRPr="00A81CD8" w:rsidR="00682A2E">
        <w:rPr>
          <w:szCs w:val="18"/>
        </w:rPr>
        <w:t xml:space="preserve">mogelijk </w:t>
      </w:r>
      <w:r w:rsidRPr="00A81CD8" w:rsidR="005500CC">
        <w:rPr>
          <w:szCs w:val="18"/>
        </w:rPr>
        <w:t xml:space="preserve">in aanmerking zou komen voor de voorziening prestatiebeurs. </w:t>
      </w:r>
      <w:r w:rsidRPr="00A81CD8" w:rsidR="00682A2E">
        <w:rPr>
          <w:szCs w:val="18"/>
        </w:rPr>
        <w:t xml:space="preserve">Op basis van die informatie besluit DUO of recht bestaat op de voorziening prestatiebeurs. </w:t>
      </w:r>
    </w:p>
    <w:p w:rsidRPr="00A81CD8" w:rsidR="005500CC" w:rsidP="005500CC" w:rsidRDefault="005500CC" w14:paraId="63E30D25" w14:textId="77777777">
      <w:pPr>
        <w:rPr>
          <w:szCs w:val="18"/>
        </w:rPr>
      </w:pPr>
    </w:p>
    <w:p w:rsidRPr="00A81CD8" w:rsidR="00030DFA" w:rsidP="00030DFA" w:rsidRDefault="00030DFA" w14:paraId="4FC3AA75" w14:textId="2183664D">
      <w:pPr>
        <w:rPr>
          <w:szCs w:val="18"/>
        </w:rPr>
      </w:pPr>
      <w:r w:rsidRPr="00A81CD8">
        <w:rPr>
          <w:szCs w:val="18"/>
        </w:rPr>
        <w:t>Het is momenteel onduidelijk hoe groot d</w:t>
      </w:r>
      <w:r w:rsidRPr="00A81CD8" w:rsidR="00A852D3">
        <w:rPr>
          <w:szCs w:val="18"/>
        </w:rPr>
        <w:t>e</w:t>
      </w:r>
      <w:r w:rsidRPr="00A81CD8">
        <w:rPr>
          <w:szCs w:val="18"/>
        </w:rPr>
        <w:t xml:space="preserve"> verschillen zijn, of deze problematisch zijn en aan welke oorzaken deze verschillen toegewezen kunnen worden. Dit ga ik daarom onderzoeken als onderdeel van een breder onderzoek naar maatwerkvoorzieningen voor studenten met een ondersteuningsbehoefte.</w:t>
      </w:r>
      <w:r w:rsidRPr="00A81CD8">
        <w:rPr>
          <w:szCs w:val="18"/>
          <w:vertAlign w:val="superscript"/>
        </w:rPr>
        <w:footnoteReference w:id="2"/>
      </w:r>
      <w:r w:rsidRPr="00A81CD8">
        <w:rPr>
          <w:szCs w:val="18"/>
        </w:rPr>
        <w:t xml:space="preserve"> </w:t>
      </w:r>
    </w:p>
    <w:p w:rsidRPr="00A81CD8" w:rsidR="005500CC" w:rsidP="005500CC" w:rsidRDefault="00030DFA" w14:paraId="187C3836" w14:textId="2148C304">
      <w:pPr>
        <w:rPr>
          <w:szCs w:val="18"/>
        </w:rPr>
      </w:pPr>
      <w:r w:rsidRPr="00A81CD8">
        <w:rPr>
          <w:szCs w:val="18"/>
        </w:rPr>
        <w:t xml:space="preserve">Ik verwacht de uitkomsten van dit onderzoek voor de zomer van 2026 en zal deze met uw Kamer delen. Op basis hiervan zal ik bezien of en welke vervolgstappen wenselijk zijn. </w:t>
      </w:r>
    </w:p>
    <w:p w:rsidRPr="00A81CD8" w:rsidR="009440EF" w:rsidP="00820DDA" w:rsidRDefault="009440EF" w14:paraId="09CF20E7" w14:textId="77777777">
      <w:pPr>
        <w:pStyle w:val="standaard-tekst"/>
      </w:pPr>
    </w:p>
    <w:p w:rsidR="005E2406" w:rsidP="00820DDA" w:rsidRDefault="005E2406" w14:paraId="3EDAF628" w14:textId="77777777">
      <w:pPr>
        <w:pStyle w:val="standaard-tekst"/>
      </w:pPr>
    </w:p>
    <w:p w:rsidRPr="00A81CD8" w:rsidR="009440EF" w:rsidP="00820DDA" w:rsidRDefault="009440EF" w14:paraId="5151D36A" w14:textId="4261D952">
      <w:pPr>
        <w:pStyle w:val="standaard-tekst"/>
      </w:pPr>
      <w:r w:rsidRPr="00A81CD8">
        <w:lastRenderedPageBreak/>
        <w:t>Vraag 6</w:t>
      </w:r>
    </w:p>
    <w:p w:rsidRPr="00816678" w:rsidR="009440EF" w:rsidP="00820DDA" w:rsidRDefault="009440EF" w14:paraId="719C6DD0" w14:textId="1CA6A0EA">
      <w:pPr>
        <w:pStyle w:val="standaard-tekst"/>
      </w:pPr>
      <w:r w:rsidRPr="00816678">
        <w:t>Wie bepaalt welke informatie (oud-)studenten moeten aanleveren bij de decaan? Wordt dit beschreven in het Studentenstatuut van de afzonderlijke instellingen of is hier landelijk beleid voor en zo ja, waar staat dit beschreven?</w:t>
      </w:r>
    </w:p>
    <w:p w:rsidRPr="00A81CD8" w:rsidR="009440EF" w:rsidP="00820DDA" w:rsidRDefault="009440EF" w14:paraId="0BB39EA4" w14:textId="77777777">
      <w:pPr>
        <w:pStyle w:val="standaard-tekst"/>
        <w:rPr>
          <w:i/>
          <w:iCs/>
        </w:rPr>
      </w:pPr>
    </w:p>
    <w:p w:rsidRPr="00A81CD8" w:rsidR="009440EF" w:rsidP="00820DDA" w:rsidRDefault="009440EF" w14:paraId="376767B7" w14:textId="623A1BC7">
      <w:pPr>
        <w:pStyle w:val="standaard-tekst"/>
      </w:pPr>
      <w:r w:rsidRPr="00A81CD8">
        <w:t>Antwoord</w:t>
      </w:r>
      <w:r w:rsidR="00816678">
        <w:t xml:space="preserve"> 6</w:t>
      </w:r>
    </w:p>
    <w:p w:rsidRPr="00A81CD8" w:rsidR="009440EF" w:rsidP="005500CC" w:rsidRDefault="005500CC" w14:paraId="7753978C" w14:textId="07FD2484">
      <w:pPr>
        <w:rPr>
          <w:szCs w:val="18"/>
        </w:rPr>
      </w:pPr>
      <w:r w:rsidRPr="00A81CD8">
        <w:rPr>
          <w:szCs w:val="18"/>
        </w:rPr>
        <w:t>In de Wet studiefinanciering 2000 is vastgelegd dat een aanvraag voor de voorziening prestatiebeurs ingediend moet worden met een gedagtekende verklaring van het bestuur van de rechtspersoon van de onderwijsinstelling. Indien er sprake is van een medische omstandigheid, is ook een gedagtekende verklaring van een arts nodig.</w:t>
      </w:r>
      <w:r w:rsidRPr="00A81CD8">
        <w:rPr>
          <w:rStyle w:val="Voetnootmarkering"/>
          <w:szCs w:val="18"/>
        </w:rPr>
        <w:footnoteReference w:id="3"/>
      </w:r>
      <w:r w:rsidRPr="00A81CD8">
        <w:rPr>
          <w:szCs w:val="18"/>
        </w:rPr>
        <w:t xml:space="preserve"> </w:t>
      </w:r>
      <w:r w:rsidRPr="00A81CD8" w:rsidR="00682A2E">
        <w:rPr>
          <w:szCs w:val="18"/>
        </w:rPr>
        <w:t xml:space="preserve">DUO heeft daarvoor een formulier beschikbaar gesteld. </w:t>
      </w:r>
      <w:r w:rsidRPr="00A81CD8">
        <w:rPr>
          <w:szCs w:val="18"/>
        </w:rPr>
        <w:t xml:space="preserve">De nadere invulling hiervan is vastgelegd in het uitvoeringsbeleid van DUO. DUO communiceert over de voorwaarden en aanvraagprocedure via de website, zowel op de particuliere website (voor studenten), als op de zakelijke website (voor instellingen). Hier wordt uitgebreid ingegaan op de benodigde informatie die studenten bij hun aanvraag moeten aanleveren, alsmede wat van decanen en studiebegeleiders wordt verwacht. </w:t>
      </w:r>
      <w:r w:rsidRPr="00A81CD8" w:rsidR="00682A2E">
        <w:rPr>
          <w:szCs w:val="18"/>
        </w:rPr>
        <w:t>DUO organiseert workshops voor decanen en dit onderwerp heeft daarin ook een plek in voorlichting.</w:t>
      </w:r>
    </w:p>
    <w:p w:rsidRPr="00A81CD8" w:rsidR="005500CC" w:rsidP="00820DDA" w:rsidRDefault="005500CC" w14:paraId="339919EB" w14:textId="77777777">
      <w:pPr>
        <w:pStyle w:val="standaard-tekst"/>
      </w:pPr>
    </w:p>
    <w:p w:rsidRPr="00A81CD8" w:rsidR="009440EF" w:rsidP="00820DDA" w:rsidRDefault="009440EF" w14:paraId="6E51803F" w14:textId="7617DB99">
      <w:pPr>
        <w:pStyle w:val="standaard-tekst"/>
      </w:pPr>
      <w:r w:rsidRPr="00A81CD8">
        <w:t>Vraag 7</w:t>
      </w:r>
    </w:p>
    <w:p w:rsidRPr="00816678" w:rsidR="009440EF" w:rsidP="00820DDA" w:rsidRDefault="009440EF" w14:paraId="0696B098" w14:textId="39771E10">
      <w:pPr>
        <w:pStyle w:val="standaard-tekst"/>
      </w:pPr>
      <w:r w:rsidRPr="00816678">
        <w:t>Kunt u een overzicht geven van de verschillende financiële regelingen van DUO die zijn bedoeld om studenten met een beperking en gezondheidsproblemen te helpen en van het aantal aanvragen dat de laatste jaren is gedaan en toegekend, uitgesplitst naar sector (mbo, hbo en wo)?</w:t>
      </w:r>
    </w:p>
    <w:p w:rsidRPr="00A81CD8" w:rsidR="005500CC" w:rsidP="00820DDA" w:rsidRDefault="005500CC" w14:paraId="2409CFE2" w14:textId="77777777">
      <w:pPr>
        <w:pStyle w:val="standaard-tekst"/>
      </w:pPr>
    </w:p>
    <w:p w:rsidRPr="00A81CD8" w:rsidR="009440EF" w:rsidP="00820DDA" w:rsidRDefault="009440EF" w14:paraId="53D1F217" w14:textId="14D32EEF">
      <w:pPr>
        <w:pStyle w:val="standaard-tekst"/>
      </w:pPr>
      <w:r w:rsidRPr="00A81CD8">
        <w:t>Antwoord</w:t>
      </w:r>
      <w:r w:rsidR="00816678">
        <w:t xml:space="preserve"> 7</w:t>
      </w:r>
    </w:p>
    <w:p w:rsidRPr="00A81CD8" w:rsidR="006C475E" w:rsidP="005500CC" w:rsidRDefault="005500CC" w14:paraId="6FD8D015" w14:textId="77777777">
      <w:pPr>
        <w:rPr>
          <w:szCs w:val="18"/>
        </w:rPr>
      </w:pPr>
      <w:r w:rsidRPr="00A81CD8">
        <w:rPr>
          <w:szCs w:val="18"/>
        </w:rPr>
        <w:t xml:space="preserve">De voorziening prestatiebeurs is bedoeld om studenten die vanwege bijzondere (medische) omstandigheden studievertraging oplopen, of moeten stoppen zonder een diploma te behalen, financieel te ondersteunen. Deze voorziening bestaat uit vier onderdelen: </w:t>
      </w:r>
    </w:p>
    <w:p w:rsidRPr="00A81CD8" w:rsidR="006C475E" w:rsidP="006C475E" w:rsidRDefault="006C475E" w14:paraId="44B30396" w14:textId="5635BBA9">
      <w:pPr>
        <w:pStyle w:val="Lijstalinea"/>
        <w:numPr>
          <w:ilvl w:val="0"/>
          <w:numId w:val="16"/>
        </w:numPr>
        <w:rPr>
          <w:szCs w:val="18"/>
        </w:rPr>
      </w:pPr>
      <w:r w:rsidRPr="00A81CD8">
        <w:rPr>
          <w:szCs w:val="18"/>
        </w:rPr>
        <w:t>O</w:t>
      </w:r>
      <w:r w:rsidRPr="00A81CD8" w:rsidR="005500CC">
        <w:rPr>
          <w:szCs w:val="18"/>
        </w:rPr>
        <w:t>mzetting prestatiebeurs</w:t>
      </w:r>
      <w:r w:rsidRPr="00A81CD8" w:rsidR="005500CC">
        <w:rPr>
          <w:rStyle w:val="Voetnootmarkering"/>
          <w:szCs w:val="18"/>
        </w:rPr>
        <w:footnoteReference w:id="4"/>
      </w:r>
      <w:r w:rsidRPr="00A81CD8" w:rsidR="005500CC">
        <w:rPr>
          <w:szCs w:val="18"/>
          <w:vertAlign w:val="superscript"/>
        </w:rPr>
        <w:t>,</w:t>
      </w:r>
      <w:r w:rsidRPr="00A81CD8" w:rsidR="005500CC">
        <w:rPr>
          <w:rStyle w:val="Voetnootmarkering"/>
          <w:szCs w:val="18"/>
        </w:rPr>
        <w:footnoteReference w:id="5"/>
      </w:r>
      <w:r w:rsidRPr="00A81CD8" w:rsidR="009D417C">
        <w:rPr>
          <w:szCs w:val="18"/>
        </w:rPr>
        <w:t>. Studenten die hun diploma niet binnen de diplomatermijn halen of moeten stoppen met hun studie als direct gevolg van blijvende (niet-)medische omstandigheden, kunnen mogelijk alsnog hun prestatiebeurs omgezet krijgen in een gift.</w:t>
      </w:r>
      <w:r w:rsidRPr="00A81CD8" w:rsidR="005500CC">
        <w:rPr>
          <w:szCs w:val="18"/>
        </w:rPr>
        <w:t xml:space="preserve"> </w:t>
      </w:r>
    </w:p>
    <w:p w:rsidRPr="00A81CD8" w:rsidR="006C475E" w:rsidP="006C475E" w:rsidRDefault="009D417C" w14:paraId="615A37D3" w14:textId="546CCC0E">
      <w:pPr>
        <w:pStyle w:val="Lijstalinea"/>
        <w:numPr>
          <w:ilvl w:val="0"/>
          <w:numId w:val="16"/>
        </w:numPr>
        <w:rPr>
          <w:szCs w:val="18"/>
        </w:rPr>
      </w:pPr>
      <w:r w:rsidRPr="00A81CD8">
        <w:rPr>
          <w:szCs w:val="18"/>
        </w:rPr>
        <w:t>V</w:t>
      </w:r>
      <w:r w:rsidRPr="00A81CD8" w:rsidR="005500CC">
        <w:rPr>
          <w:szCs w:val="18"/>
        </w:rPr>
        <w:t>erlenging prestatiebeurs</w:t>
      </w:r>
      <w:r w:rsidRPr="00A81CD8">
        <w:rPr>
          <w:szCs w:val="18"/>
        </w:rPr>
        <w:t>. Studenten die als direct gevolg van bijzondere medische omstandigheden langer over hun opleiding doen, kunnen mogelijk een jaar extra prestatiebeurs en reisproduct krijgen.</w:t>
      </w:r>
      <w:r w:rsidRPr="00A81CD8" w:rsidR="005500CC">
        <w:rPr>
          <w:szCs w:val="18"/>
        </w:rPr>
        <w:t xml:space="preserve"> </w:t>
      </w:r>
    </w:p>
    <w:p w:rsidRPr="00A81CD8" w:rsidR="006C475E" w:rsidP="006C475E" w:rsidRDefault="009D417C" w14:paraId="68F7D6FA" w14:textId="1C430CCF">
      <w:pPr>
        <w:pStyle w:val="Lijstalinea"/>
        <w:numPr>
          <w:ilvl w:val="0"/>
          <w:numId w:val="16"/>
        </w:numPr>
        <w:rPr>
          <w:szCs w:val="18"/>
        </w:rPr>
      </w:pPr>
      <w:r w:rsidRPr="00A81CD8">
        <w:rPr>
          <w:szCs w:val="18"/>
        </w:rPr>
        <w:t>V</w:t>
      </w:r>
      <w:r w:rsidRPr="00A81CD8" w:rsidR="005500CC">
        <w:rPr>
          <w:szCs w:val="18"/>
        </w:rPr>
        <w:t>erlenging diplomatermijn</w:t>
      </w:r>
      <w:r w:rsidRPr="00A81CD8">
        <w:rPr>
          <w:szCs w:val="18"/>
        </w:rPr>
        <w:t>. Studenten die als direct gevolg van bijzondere (niet-)medische omstandigheden langer over het behalen van een diploma doen dan de reguliere diplomatermijn, kunnen mogelijk een verlenging van de diplomatermijn krijgen.</w:t>
      </w:r>
      <w:r w:rsidRPr="00A81CD8" w:rsidR="005500CC">
        <w:rPr>
          <w:szCs w:val="18"/>
        </w:rPr>
        <w:t xml:space="preserve"> </w:t>
      </w:r>
    </w:p>
    <w:p w:rsidRPr="00A81CD8" w:rsidR="006C475E" w:rsidP="001F03D3" w:rsidRDefault="009D417C" w14:paraId="6E77AB5E" w14:textId="1A71BF88">
      <w:pPr>
        <w:pStyle w:val="Lijstalinea"/>
        <w:numPr>
          <w:ilvl w:val="0"/>
          <w:numId w:val="16"/>
        </w:numPr>
        <w:rPr>
          <w:szCs w:val="18"/>
        </w:rPr>
      </w:pPr>
      <w:r w:rsidRPr="00A81CD8">
        <w:rPr>
          <w:szCs w:val="18"/>
        </w:rPr>
        <w:t>N</w:t>
      </w:r>
      <w:r w:rsidRPr="00A81CD8" w:rsidR="005500CC">
        <w:rPr>
          <w:szCs w:val="18"/>
        </w:rPr>
        <w:t xml:space="preserve">ieuwe aanspraak op studiefinanciering. </w:t>
      </w:r>
      <w:r w:rsidRPr="00A81CD8">
        <w:rPr>
          <w:szCs w:val="18"/>
        </w:rPr>
        <w:t>Studenten die als direct gevolg van een functiebeperking of chronische ziekte, die tijdens de opleiding is ontstaan, geconstateerd of verergerd, moeten stoppen met hun opleiding kunnen mogelijk recht krijgen op nieuwe studiefinancieringsrechten voor een opleiding die wel past bij de ziekte of functiebeperking.</w:t>
      </w:r>
    </w:p>
    <w:p w:rsidRPr="00A81CD8" w:rsidR="006C475E" w:rsidP="005500CC" w:rsidRDefault="006C475E" w14:paraId="08C17F0D" w14:textId="77777777">
      <w:pPr>
        <w:rPr>
          <w:szCs w:val="18"/>
        </w:rPr>
      </w:pPr>
    </w:p>
    <w:p w:rsidRPr="00A81CD8" w:rsidR="00A852D3" w:rsidP="005500CC" w:rsidRDefault="006C475E" w14:paraId="433F9EC4" w14:textId="3B818509">
      <w:pPr>
        <w:rPr>
          <w:szCs w:val="18"/>
        </w:rPr>
      </w:pPr>
      <w:r w:rsidRPr="00A81CD8">
        <w:rPr>
          <w:szCs w:val="18"/>
        </w:rPr>
        <w:t xml:space="preserve">In onderstaande tabel </w:t>
      </w:r>
      <w:r w:rsidRPr="00A81CD8" w:rsidR="005500CC">
        <w:rPr>
          <w:szCs w:val="18"/>
        </w:rPr>
        <w:t>vindt uw Kamer de aantallen aanvragen</w:t>
      </w:r>
      <w:r w:rsidRPr="00A81CD8">
        <w:rPr>
          <w:szCs w:val="18"/>
        </w:rPr>
        <w:t xml:space="preserve">, </w:t>
      </w:r>
      <w:r w:rsidRPr="00A81CD8" w:rsidR="005500CC">
        <w:rPr>
          <w:szCs w:val="18"/>
        </w:rPr>
        <w:t>toekenningen</w:t>
      </w:r>
      <w:r w:rsidRPr="00A81CD8">
        <w:rPr>
          <w:szCs w:val="18"/>
        </w:rPr>
        <w:t xml:space="preserve"> en afwijzingen</w:t>
      </w:r>
      <w:r w:rsidRPr="00A81CD8" w:rsidR="005500CC">
        <w:rPr>
          <w:szCs w:val="18"/>
        </w:rPr>
        <w:t xml:space="preserve"> per onderdeel </w:t>
      </w:r>
      <w:r w:rsidRPr="00A81CD8">
        <w:rPr>
          <w:szCs w:val="18"/>
        </w:rPr>
        <w:t xml:space="preserve">voor </w:t>
      </w:r>
      <w:r w:rsidRPr="00A81CD8" w:rsidR="005500CC">
        <w:rPr>
          <w:szCs w:val="18"/>
        </w:rPr>
        <w:t>de kalenderjaren 2018 tot en met 2024</w:t>
      </w:r>
      <w:r w:rsidRPr="00A81CD8">
        <w:rPr>
          <w:szCs w:val="18"/>
        </w:rPr>
        <w:t>, uitgesplitst naar onderwijssoort</w:t>
      </w:r>
      <w:r w:rsidRPr="00A81CD8" w:rsidR="005500CC">
        <w:rPr>
          <w:szCs w:val="18"/>
        </w:rPr>
        <w:t>. Bij afwijzingen wordt de onderwijssoort niet geregistreerd.</w:t>
      </w:r>
      <w:r w:rsidRPr="00A81CD8">
        <w:rPr>
          <w:szCs w:val="18"/>
        </w:rPr>
        <w:t xml:space="preserve"> Voor de interpretatie van de tabel is het van belang dat de toekenning wordt geregistreerd in het jaar dat de aanvraag wordt gedaan en niet in het jaar waarop de aanvraag betrekking heeft. Daarnaast heeft DUO nog een werkvoorraad, waardoor de cijfers voor 2024 nog kunnen wijzigen.</w:t>
      </w:r>
    </w:p>
    <w:p w:rsidRPr="00A81CD8" w:rsidR="005500CC" w:rsidP="005500CC" w:rsidRDefault="005500CC" w14:paraId="62D9694B" w14:textId="77777777">
      <w:pPr>
        <w:rPr>
          <w:szCs w:val="18"/>
        </w:rPr>
      </w:pPr>
    </w:p>
    <w:tbl>
      <w:tblPr>
        <w:tblStyle w:val="Tabelraster"/>
        <w:tblW w:w="10029" w:type="dxa"/>
        <w:tblLayout w:type="fixed"/>
        <w:tblLook w:val="04A0" w:firstRow="1" w:lastRow="0" w:firstColumn="1" w:lastColumn="0" w:noHBand="0" w:noVBand="1"/>
      </w:tblPr>
      <w:tblGrid>
        <w:gridCol w:w="3085"/>
        <w:gridCol w:w="992"/>
        <w:gridCol w:w="992"/>
        <w:gridCol w:w="992"/>
        <w:gridCol w:w="992"/>
        <w:gridCol w:w="992"/>
        <w:gridCol w:w="992"/>
        <w:gridCol w:w="992"/>
      </w:tblGrid>
      <w:tr w:rsidRPr="00A81CD8" w:rsidR="005A6782" w:rsidTr="006C475E" w14:paraId="25DCA777" w14:textId="77777777">
        <w:tc>
          <w:tcPr>
            <w:tcW w:w="3085" w:type="dxa"/>
          </w:tcPr>
          <w:p w:rsidRPr="00A81CD8" w:rsidR="005A6782" w:rsidP="005500CC" w:rsidRDefault="005A6782" w14:paraId="6F37DCC1" w14:textId="77777777">
            <w:pPr>
              <w:rPr>
                <w:szCs w:val="18"/>
              </w:rPr>
            </w:pPr>
          </w:p>
        </w:tc>
        <w:tc>
          <w:tcPr>
            <w:tcW w:w="992" w:type="dxa"/>
          </w:tcPr>
          <w:p w:rsidRPr="00A81CD8" w:rsidR="005A6782" w:rsidP="005500CC" w:rsidRDefault="005A6782" w14:paraId="4D1CBD44" w14:textId="1B870E64">
            <w:pPr>
              <w:rPr>
                <w:szCs w:val="18"/>
              </w:rPr>
            </w:pPr>
            <w:r w:rsidRPr="00A81CD8">
              <w:rPr>
                <w:szCs w:val="18"/>
              </w:rPr>
              <w:t>2018</w:t>
            </w:r>
          </w:p>
        </w:tc>
        <w:tc>
          <w:tcPr>
            <w:tcW w:w="992" w:type="dxa"/>
          </w:tcPr>
          <w:p w:rsidRPr="00A81CD8" w:rsidR="005A6782" w:rsidP="005500CC" w:rsidRDefault="005A6782" w14:paraId="6295BBEF" w14:textId="416AC215">
            <w:pPr>
              <w:rPr>
                <w:szCs w:val="18"/>
              </w:rPr>
            </w:pPr>
            <w:r w:rsidRPr="00A81CD8">
              <w:rPr>
                <w:szCs w:val="18"/>
              </w:rPr>
              <w:t>2019</w:t>
            </w:r>
          </w:p>
        </w:tc>
        <w:tc>
          <w:tcPr>
            <w:tcW w:w="992" w:type="dxa"/>
          </w:tcPr>
          <w:p w:rsidRPr="00A81CD8" w:rsidR="005A6782" w:rsidP="005500CC" w:rsidRDefault="005A6782" w14:paraId="25579EAF" w14:textId="4582CD46">
            <w:pPr>
              <w:rPr>
                <w:szCs w:val="18"/>
              </w:rPr>
            </w:pPr>
            <w:r w:rsidRPr="00A81CD8">
              <w:rPr>
                <w:szCs w:val="18"/>
              </w:rPr>
              <w:t>2020</w:t>
            </w:r>
          </w:p>
        </w:tc>
        <w:tc>
          <w:tcPr>
            <w:tcW w:w="992" w:type="dxa"/>
          </w:tcPr>
          <w:p w:rsidRPr="00A81CD8" w:rsidR="005A6782" w:rsidP="005500CC" w:rsidRDefault="005A6782" w14:paraId="2D6F77C4" w14:textId="3FCA95DA">
            <w:pPr>
              <w:rPr>
                <w:szCs w:val="18"/>
              </w:rPr>
            </w:pPr>
            <w:r w:rsidRPr="00A81CD8">
              <w:rPr>
                <w:szCs w:val="18"/>
              </w:rPr>
              <w:t>2021</w:t>
            </w:r>
          </w:p>
        </w:tc>
        <w:tc>
          <w:tcPr>
            <w:tcW w:w="992" w:type="dxa"/>
          </w:tcPr>
          <w:p w:rsidRPr="00A81CD8" w:rsidR="005A6782" w:rsidP="005500CC" w:rsidRDefault="005A6782" w14:paraId="28526C07" w14:textId="1666DCE9">
            <w:pPr>
              <w:rPr>
                <w:szCs w:val="18"/>
              </w:rPr>
            </w:pPr>
            <w:r w:rsidRPr="00A81CD8">
              <w:rPr>
                <w:szCs w:val="18"/>
              </w:rPr>
              <w:t>2022</w:t>
            </w:r>
          </w:p>
        </w:tc>
        <w:tc>
          <w:tcPr>
            <w:tcW w:w="992" w:type="dxa"/>
          </w:tcPr>
          <w:p w:rsidRPr="00A81CD8" w:rsidR="005A6782" w:rsidP="005500CC" w:rsidRDefault="005A6782" w14:paraId="7D070981" w14:textId="17C24800">
            <w:pPr>
              <w:rPr>
                <w:szCs w:val="18"/>
              </w:rPr>
            </w:pPr>
            <w:r w:rsidRPr="00A81CD8">
              <w:rPr>
                <w:szCs w:val="18"/>
              </w:rPr>
              <w:t>2023</w:t>
            </w:r>
          </w:p>
        </w:tc>
        <w:tc>
          <w:tcPr>
            <w:tcW w:w="992" w:type="dxa"/>
          </w:tcPr>
          <w:p w:rsidRPr="00A81CD8" w:rsidR="005A6782" w:rsidP="005500CC" w:rsidRDefault="005A6782" w14:paraId="12048636" w14:textId="18C23615">
            <w:pPr>
              <w:rPr>
                <w:szCs w:val="18"/>
              </w:rPr>
            </w:pPr>
            <w:r w:rsidRPr="00A81CD8">
              <w:rPr>
                <w:szCs w:val="18"/>
              </w:rPr>
              <w:t>2024</w:t>
            </w:r>
          </w:p>
        </w:tc>
      </w:tr>
      <w:tr w:rsidRPr="00A81CD8" w:rsidR="005A6782" w:rsidTr="006C475E" w14:paraId="29698487" w14:textId="77777777">
        <w:tc>
          <w:tcPr>
            <w:tcW w:w="3085" w:type="dxa"/>
            <w:shd w:val="clear" w:color="auto" w:fill="D9D9D9" w:themeFill="background1" w:themeFillShade="D9"/>
          </w:tcPr>
          <w:p w:rsidRPr="00A81CD8" w:rsidR="005A6782" w:rsidP="005500CC" w:rsidRDefault="005A6782" w14:paraId="020133F1" w14:textId="20959910">
            <w:pPr>
              <w:rPr>
                <w:szCs w:val="18"/>
              </w:rPr>
            </w:pPr>
            <w:r w:rsidRPr="00A81CD8">
              <w:rPr>
                <w:szCs w:val="18"/>
              </w:rPr>
              <w:t>Omzetting prestatiebeurs</w:t>
            </w:r>
          </w:p>
        </w:tc>
        <w:tc>
          <w:tcPr>
            <w:tcW w:w="992" w:type="dxa"/>
            <w:shd w:val="clear" w:color="auto" w:fill="D9D9D9" w:themeFill="background1" w:themeFillShade="D9"/>
          </w:tcPr>
          <w:p w:rsidRPr="00A81CD8" w:rsidR="005A6782" w:rsidP="005500CC" w:rsidRDefault="005A6782" w14:paraId="033253FC" w14:textId="4DF34F09">
            <w:pPr>
              <w:rPr>
                <w:szCs w:val="18"/>
              </w:rPr>
            </w:pPr>
            <w:r w:rsidRPr="00A81CD8">
              <w:rPr>
                <w:szCs w:val="18"/>
              </w:rPr>
              <w:t>1.499</w:t>
            </w:r>
          </w:p>
        </w:tc>
        <w:tc>
          <w:tcPr>
            <w:tcW w:w="992" w:type="dxa"/>
            <w:shd w:val="clear" w:color="auto" w:fill="D9D9D9" w:themeFill="background1" w:themeFillShade="D9"/>
          </w:tcPr>
          <w:p w:rsidRPr="00A81CD8" w:rsidR="005A6782" w:rsidP="005500CC" w:rsidRDefault="005A6782" w14:paraId="3CCC9D34" w14:textId="6F1DBB6A">
            <w:pPr>
              <w:rPr>
                <w:szCs w:val="18"/>
              </w:rPr>
            </w:pPr>
            <w:r w:rsidRPr="00A81CD8">
              <w:rPr>
                <w:szCs w:val="18"/>
              </w:rPr>
              <w:t>1.785</w:t>
            </w:r>
          </w:p>
        </w:tc>
        <w:tc>
          <w:tcPr>
            <w:tcW w:w="992" w:type="dxa"/>
            <w:shd w:val="clear" w:color="auto" w:fill="D9D9D9" w:themeFill="background1" w:themeFillShade="D9"/>
          </w:tcPr>
          <w:p w:rsidRPr="00A81CD8" w:rsidR="005A6782" w:rsidP="005500CC" w:rsidRDefault="005A6782" w14:paraId="10B79647" w14:textId="1AD6A4C2">
            <w:pPr>
              <w:rPr>
                <w:szCs w:val="18"/>
              </w:rPr>
            </w:pPr>
            <w:r w:rsidRPr="00A81CD8">
              <w:rPr>
                <w:szCs w:val="18"/>
              </w:rPr>
              <w:t>1.418</w:t>
            </w:r>
          </w:p>
        </w:tc>
        <w:tc>
          <w:tcPr>
            <w:tcW w:w="992" w:type="dxa"/>
            <w:shd w:val="clear" w:color="auto" w:fill="D9D9D9" w:themeFill="background1" w:themeFillShade="D9"/>
          </w:tcPr>
          <w:p w:rsidRPr="00A81CD8" w:rsidR="005A6782" w:rsidP="005500CC" w:rsidRDefault="005A6782" w14:paraId="6E0CCB13" w14:textId="18F6AAF8">
            <w:pPr>
              <w:rPr>
                <w:szCs w:val="18"/>
              </w:rPr>
            </w:pPr>
            <w:r w:rsidRPr="00A81CD8">
              <w:rPr>
                <w:szCs w:val="18"/>
              </w:rPr>
              <w:t>1.364</w:t>
            </w:r>
          </w:p>
        </w:tc>
        <w:tc>
          <w:tcPr>
            <w:tcW w:w="992" w:type="dxa"/>
            <w:shd w:val="clear" w:color="auto" w:fill="D9D9D9" w:themeFill="background1" w:themeFillShade="D9"/>
          </w:tcPr>
          <w:p w:rsidRPr="00A81CD8" w:rsidR="005A6782" w:rsidP="005500CC" w:rsidRDefault="005A6782" w14:paraId="7BD79B53" w14:textId="777F82A4">
            <w:pPr>
              <w:rPr>
                <w:szCs w:val="18"/>
              </w:rPr>
            </w:pPr>
            <w:r w:rsidRPr="00A81CD8">
              <w:rPr>
                <w:szCs w:val="18"/>
              </w:rPr>
              <w:t>1.543</w:t>
            </w:r>
          </w:p>
        </w:tc>
        <w:tc>
          <w:tcPr>
            <w:tcW w:w="992" w:type="dxa"/>
            <w:shd w:val="clear" w:color="auto" w:fill="D9D9D9" w:themeFill="background1" w:themeFillShade="D9"/>
          </w:tcPr>
          <w:p w:rsidRPr="00A81CD8" w:rsidR="005A6782" w:rsidP="005500CC" w:rsidRDefault="005A6782" w14:paraId="196EB012" w14:textId="03AC77F3">
            <w:pPr>
              <w:rPr>
                <w:szCs w:val="18"/>
              </w:rPr>
            </w:pPr>
            <w:r w:rsidRPr="00A81CD8">
              <w:rPr>
                <w:szCs w:val="18"/>
              </w:rPr>
              <w:t>2.297</w:t>
            </w:r>
          </w:p>
        </w:tc>
        <w:tc>
          <w:tcPr>
            <w:tcW w:w="992" w:type="dxa"/>
            <w:shd w:val="clear" w:color="auto" w:fill="D9D9D9" w:themeFill="background1" w:themeFillShade="D9"/>
          </w:tcPr>
          <w:p w:rsidRPr="00A81CD8" w:rsidR="005A6782" w:rsidP="005500CC" w:rsidRDefault="005A6782" w14:paraId="46657230" w14:textId="4652A949">
            <w:pPr>
              <w:rPr>
                <w:szCs w:val="18"/>
              </w:rPr>
            </w:pPr>
            <w:r w:rsidRPr="00A81CD8">
              <w:rPr>
                <w:szCs w:val="18"/>
              </w:rPr>
              <w:t>2.830</w:t>
            </w:r>
          </w:p>
        </w:tc>
      </w:tr>
      <w:tr w:rsidRPr="00A81CD8" w:rsidR="005A6782" w:rsidTr="006C475E" w14:paraId="11820AA7" w14:textId="77777777">
        <w:tc>
          <w:tcPr>
            <w:tcW w:w="3085" w:type="dxa"/>
          </w:tcPr>
          <w:p w:rsidRPr="00A81CD8" w:rsidR="005A6782" w:rsidP="001F03D3" w:rsidRDefault="005A6782" w14:paraId="244D90E8" w14:textId="7807D137">
            <w:pPr>
              <w:jc w:val="right"/>
              <w:rPr>
                <w:i/>
                <w:iCs/>
                <w:szCs w:val="18"/>
              </w:rPr>
            </w:pPr>
            <w:r w:rsidRPr="00A81CD8">
              <w:rPr>
                <w:i/>
                <w:iCs/>
                <w:szCs w:val="18"/>
              </w:rPr>
              <w:t>Toegekend hbo en wo</w:t>
            </w:r>
          </w:p>
        </w:tc>
        <w:tc>
          <w:tcPr>
            <w:tcW w:w="992" w:type="dxa"/>
          </w:tcPr>
          <w:p w:rsidRPr="00A81CD8" w:rsidR="005A6782" w:rsidP="006C475E" w:rsidRDefault="005A6782" w14:paraId="4EBCD5EB" w14:textId="2D0AF41F">
            <w:pPr>
              <w:jc w:val="right"/>
              <w:rPr>
                <w:szCs w:val="18"/>
              </w:rPr>
            </w:pPr>
            <w:r w:rsidRPr="00A81CD8">
              <w:rPr>
                <w:szCs w:val="18"/>
              </w:rPr>
              <w:t>724</w:t>
            </w:r>
          </w:p>
        </w:tc>
        <w:tc>
          <w:tcPr>
            <w:tcW w:w="992" w:type="dxa"/>
          </w:tcPr>
          <w:p w:rsidRPr="00A81CD8" w:rsidR="005A6782" w:rsidP="006C475E" w:rsidRDefault="005A6782" w14:paraId="3D6776B5" w14:textId="009EC8F4">
            <w:pPr>
              <w:jc w:val="right"/>
              <w:rPr>
                <w:szCs w:val="18"/>
              </w:rPr>
            </w:pPr>
            <w:r w:rsidRPr="00A81CD8">
              <w:rPr>
                <w:szCs w:val="18"/>
              </w:rPr>
              <w:t>855</w:t>
            </w:r>
          </w:p>
        </w:tc>
        <w:tc>
          <w:tcPr>
            <w:tcW w:w="992" w:type="dxa"/>
          </w:tcPr>
          <w:p w:rsidRPr="00A81CD8" w:rsidR="005A6782" w:rsidP="006C475E" w:rsidRDefault="005A6782" w14:paraId="4541CB88" w14:textId="305090BB">
            <w:pPr>
              <w:jc w:val="right"/>
              <w:rPr>
                <w:szCs w:val="18"/>
              </w:rPr>
            </w:pPr>
            <w:r w:rsidRPr="00A81CD8">
              <w:rPr>
                <w:szCs w:val="18"/>
              </w:rPr>
              <w:t>733</w:t>
            </w:r>
          </w:p>
        </w:tc>
        <w:tc>
          <w:tcPr>
            <w:tcW w:w="992" w:type="dxa"/>
          </w:tcPr>
          <w:p w:rsidRPr="00A81CD8" w:rsidR="005A6782" w:rsidP="006C475E" w:rsidRDefault="005A6782" w14:paraId="0829E8B7" w14:textId="2204B0F3">
            <w:pPr>
              <w:jc w:val="right"/>
              <w:rPr>
                <w:szCs w:val="18"/>
              </w:rPr>
            </w:pPr>
            <w:r w:rsidRPr="00A81CD8">
              <w:rPr>
                <w:szCs w:val="18"/>
              </w:rPr>
              <w:t>615</w:t>
            </w:r>
          </w:p>
        </w:tc>
        <w:tc>
          <w:tcPr>
            <w:tcW w:w="992" w:type="dxa"/>
          </w:tcPr>
          <w:p w:rsidRPr="00A81CD8" w:rsidR="005A6782" w:rsidP="006C475E" w:rsidRDefault="005A6782" w14:paraId="4AD172D2" w14:textId="33BC8CEE">
            <w:pPr>
              <w:jc w:val="right"/>
              <w:rPr>
                <w:szCs w:val="18"/>
              </w:rPr>
            </w:pPr>
            <w:r w:rsidRPr="00A81CD8">
              <w:rPr>
                <w:szCs w:val="18"/>
              </w:rPr>
              <w:t>684</w:t>
            </w:r>
          </w:p>
        </w:tc>
        <w:tc>
          <w:tcPr>
            <w:tcW w:w="992" w:type="dxa"/>
          </w:tcPr>
          <w:p w:rsidRPr="00A81CD8" w:rsidR="005A6782" w:rsidP="006C475E" w:rsidRDefault="005A6782" w14:paraId="602EC0EC" w14:textId="538A5790">
            <w:pPr>
              <w:jc w:val="right"/>
              <w:rPr>
                <w:szCs w:val="18"/>
              </w:rPr>
            </w:pPr>
            <w:r w:rsidRPr="00A81CD8">
              <w:rPr>
                <w:szCs w:val="18"/>
              </w:rPr>
              <w:t>1.109</w:t>
            </w:r>
          </w:p>
        </w:tc>
        <w:tc>
          <w:tcPr>
            <w:tcW w:w="992" w:type="dxa"/>
          </w:tcPr>
          <w:p w:rsidRPr="00A81CD8" w:rsidR="005A6782" w:rsidP="006C475E" w:rsidRDefault="005A6782" w14:paraId="7CAC0761" w14:textId="41B40793">
            <w:pPr>
              <w:jc w:val="right"/>
              <w:rPr>
                <w:szCs w:val="18"/>
              </w:rPr>
            </w:pPr>
            <w:r w:rsidRPr="00A81CD8">
              <w:rPr>
                <w:szCs w:val="18"/>
              </w:rPr>
              <w:t>1.396</w:t>
            </w:r>
          </w:p>
        </w:tc>
      </w:tr>
      <w:tr w:rsidRPr="00A81CD8" w:rsidR="005A6782" w:rsidTr="006C475E" w14:paraId="2301CDD8" w14:textId="77777777">
        <w:tc>
          <w:tcPr>
            <w:tcW w:w="3085" w:type="dxa"/>
          </w:tcPr>
          <w:p w:rsidRPr="00A81CD8" w:rsidR="005A6782" w:rsidP="001F03D3" w:rsidRDefault="005A6782" w14:paraId="2857BD4C" w14:textId="2EEB74AD">
            <w:pPr>
              <w:jc w:val="right"/>
              <w:rPr>
                <w:i/>
                <w:iCs/>
                <w:szCs w:val="18"/>
              </w:rPr>
            </w:pPr>
            <w:r w:rsidRPr="00A81CD8">
              <w:rPr>
                <w:i/>
                <w:iCs/>
                <w:szCs w:val="18"/>
              </w:rPr>
              <w:t>Toegekend mbo</w:t>
            </w:r>
          </w:p>
        </w:tc>
        <w:tc>
          <w:tcPr>
            <w:tcW w:w="992" w:type="dxa"/>
          </w:tcPr>
          <w:p w:rsidRPr="00A81CD8" w:rsidR="005A6782" w:rsidP="006C475E" w:rsidRDefault="005A6782" w14:paraId="4905E433" w14:textId="479E1D0F">
            <w:pPr>
              <w:jc w:val="right"/>
              <w:rPr>
                <w:szCs w:val="18"/>
              </w:rPr>
            </w:pPr>
            <w:r w:rsidRPr="00A81CD8">
              <w:rPr>
                <w:szCs w:val="18"/>
              </w:rPr>
              <w:t>526</w:t>
            </w:r>
          </w:p>
        </w:tc>
        <w:tc>
          <w:tcPr>
            <w:tcW w:w="992" w:type="dxa"/>
          </w:tcPr>
          <w:p w:rsidRPr="00A81CD8" w:rsidR="005A6782" w:rsidP="006C475E" w:rsidRDefault="005A6782" w14:paraId="02105F55" w14:textId="0EDED747">
            <w:pPr>
              <w:jc w:val="right"/>
              <w:rPr>
                <w:szCs w:val="18"/>
              </w:rPr>
            </w:pPr>
            <w:r w:rsidRPr="00A81CD8">
              <w:rPr>
                <w:szCs w:val="18"/>
              </w:rPr>
              <w:t>610</w:t>
            </w:r>
          </w:p>
        </w:tc>
        <w:tc>
          <w:tcPr>
            <w:tcW w:w="992" w:type="dxa"/>
          </w:tcPr>
          <w:p w:rsidRPr="00A81CD8" w:rsidR="005A6782" w:rsidP="006C475E" w:rsidRDefault="005A6782" w14:paraId="4925FB72" w14:textId="0BA06731">
            <w:pPr>
              <w:jc w:val="right"/>
              <w:rPr>
                <w:szCs w:val="18"/>
              </w:rPr>
            </w:pPr>
            <w:r w:rsidRPr="00A81CD8">
              <w:rPr>
                <w:szCs w:val="18"/>
              </w:rPr>
              <w:t>495</w:t>
            </w:r>
          </w:p>
        </w:tc>
        <w:tc>
          <w:tcPr>
            <w:tcW w:w="992" w:type="dxa"/>
          </w:tcPr>
          <w:p w:rsidRPr="00A81CD8" w:rsidR="005A6782" w:rsidP="006C475E" w:rsidRDefault="005A6782" w14:paraId="512C2DC4" w14:textId="3E3D056B">
            <w:pPr>
              <w:jc w:val="right"/>
              <w:rPr>
                <w:szCs w:val="18"/>
              </w:rPr>
            </w:pPr>
            <w:r w:rsidRPr="00A81CD8">
              <w:rPr>
                <w:szCs w:val="18"/>
              </w:rPr>
              <w:t>563</w:t>
            </w:r>
          </w:p>
        </w:tc>
        <w:tc>
          <w:tcPr>
            <w:tcW w:w="992" w:type="dxa"/>
          </w:tcPr>
          <w:p w:rsidRPr="00A81CD8" w:rsidR="005A6782" w:rsidP="006C475E" w:rsidRDefault="005A6782" w14:paraId="26E49185" w14:textId="3FDC8E78">
            <w:pPr>
              <w:jc w:val="right"/>
              <w:rPr>
                <w:szCs w:val="18"/>
              </w:rPr>
            </w:pPr>
            <w:r w:rsidRPr="00A81CD8">
              <w:rPr>
                <w:szCs w:val="18"/>
              </w:rPr>
              <w:t>636</w:t>
            </w:r>
          </w:p>
        </w:tc>
        <w:tc>
          <w:tcPr>
            <w:tcW w:w="992" w:type="dxa"/>
          </w:tcPr>
          <w:p w:rsidRPr="00A81CD8" w:rsidR="005A6782" w:rsidP="006C475E" w:rsidRDefault="005A6782" w14:paraId="29AF6293" w14:textId="40D87437">
            <w:pPr>
              <w:jc w:val="right"/>
              <w:rPr>
                <w:szCs w:val="18"/>
              </w:rPr>
            </w:pPr>
            <w:r w:rsidRPr="00A81CD8">
              <w:rPr>
                <w:szCs w:val="18"/>
              </w:rPr>
              <w:t>894</w:t>
            </w:r>
          </w:p>
        </w:tc>
        <w:tc>
          <w:tcPr>
            <w:tcW w:w="992" w:type="dxa"/>
          </w:tcPr>
          <w:p w:rsidRPr="00A81CD8" w:rsidR="005A6782" w:rsidP="006C475E" w:rsidRDefault="005A6782" w14:paraId="48657147" w14:textId="6876F53F">
            <w:pPr>
              <w:jc w:val="right"/>
              <w:rPr>
                <w:szCs w:val="18"/>
              </w:rPr>
            </w:pPr>
            <w:r w:rsidRPr="00A81CD8">
              <w:rPr>
                <w:szCs w:val="18"/>
              </w:rPr>
              <w:t>1.162</w:t>
            </w:r>
          </w:p>
        </w:tc>
      </w:tr>
      <w:tr w:rsidRPr="00A81CD8" w:rsidR="005A6782" w:rsidTr="006C475E" w14:paraId="1155A3C8" w14:textId="77777777">
        <w:tc>
          <w:tcPr>
            <w:tcW w:w="3085" w:type="dxa"/>
          </w:tcPr>
          <w:p w:rsidRPr="00A81CD8" w:rsidR="005A6782" w:rsidP="001F03D3" w:rsidRDefault="005A6782" w14:paraId="782C1318" w14:textId="4B2BC6CF">
            <w:pPr>
              <w:jc w:val="right"/>
              <w:rPr>
                <w:i/>
                <w:iCs/>
                <w:szCs w:val="18"/>
              </w:rPr>
            </w:pPr>
            <w:r w:rsidRPr="00A81CD8">
              <w:rPr>
                <w:i/>
                <w:iCs/>
                <w:szCs w:val="18"/>
              </w:rPr>
              <w:t>Afgewezen</w:t>
            </w:r>
          </w:p>
        </w:tc>
        <w:tc>
          <w:tcPr>
            <w:tcW w:w="992" w:type="dxa"/>
          </w:tcPr>
          <w:p w:rsidRPr="00A81CD8" w:rsidR="005A6782" w:rsidP="006C475E" w:rsidRDefault="005A6782" w14:paraId="4DE568D8" w14:textId="39520858">
            <w:pPr>
              <w:jc w:val="right"/>
              <w:rPr>
                <w:szCs w:val="18"/>
              </w:rPr>
            </w:pPr>
            <w:r w:rsidRPr="00A81CD8">
              <w:rPr>
                <w:szCs w:val="18"/>
              </w:rPr>
              <w:t>249</w:t>
            </w:r>
          </w:p>
        </w:tc>
        <w:tc>
          <w:tcPr>
            <w:tcW w:w="992" w:type="dxa"/>
          </w:tcPr>
          <w:p w:rsidRPr="00A81CD8" w:rsidR="005A6782" w:rsidP="006C475E" w:rsidRDefault="005A6782" w14:paraId="74F3FA50" w14:textId="5912DEFB">
            <w:pPr>
              <w:jc w:val="right"/>
              <w:rPr>
                <w:szCs w:val="18"/>
              </w:rPr>
            </w:pPr>
            <w:r w:rsidRPr="00A81CD8">
              <w:rPr>
                <w:szCs w:val="18"/>
              </w:rPr>
              <w:t>320</w:t>
            </w:r>
          </w:p>
        </w:tc>
        <w:tc>
          <w:tcPr>
            <w:tcW w:w="992" w:type="dxa"/>
          </w:tcPr>
          <w:p w:rsidRPr="00A81CD8" w:rsidR="005A6782" w:rsidP="006C475E" w:rsidRDefault="005A6782" w14:paraId="4ED6B2B7" w14:textId="071D9097">
            <w:pPr>
              <w:jc w:val="right"/>
              <w:rPr>
                <w:szCs w:val="18"/>
              </w:rPr>
            </w:pPr>
            <w:r w:rsidRPr="00A81CD8">
              <w:rPr>
                <w:szCs w:val="18"/>
              </w:rPr>
              <w:t>191</w:t>
            </w:r>
          </w:p>
        </w:tc>
        <w:tc>
          <w:tcPr>
            <w:tcW w:w="992" w:type="dxa"/>
          </w:tcPr>
          <w:p w:rsidRPr="00A81CD8" w:rsidR="005A6782" w:rsidP="006C475E" w:rsidRDefault="005A6782" w14:paraId="1D9306CD" w14:textId="1CD487AA">
            <w:pPr>
              <w:jc w:val="right"/>
              <w:rPr>
                <w:szCs w:val="18"/>
              </w:rPr>
            </w:pPr>
            <w:r w:rsidRPr="00A81CD8">
              <w:rPr>
                <w:szCs w:val="18"/>
              </w:rPr>
              <w:t>189</w:t>
            </w:r>
          </w:p>
        </w:tc>
        <w:tc>
          <w:tcPr>
            <w:tcW w:w="992" w:type="dxa"/>
          </w:tcPr>
          <w:p w:rsidRPr="00A81CD8" w:rsidR="005A6782" w:rsidP="006C475E" w:rsidRDefault="005A6782" w14:paraId="2C78A4AA" w14:textId="32EA52A1">
            <w:pPr>
              <w:jc w:val="right"/>
              <w:rPr>
                <w:szCs w:val="18"/>
              </w:rPr>
            </w:pPr>
            <w:r w:rsidRPr="00A81CD8">
              <w:rPr>
                <w:szCs w:val="18"/>
              </w:rPr>
              <w:t>223</w:t>
            </w:r>
          </w:p>
        </w:tc>
        <w:tc>
          <w:tcPr>
            <w:tcW w:w="992" w:type="dxa"/>
          </w:tcPr>
          <w:p w:rsidRPr="00A81CD8" w:rsidR="005A6782" w:rsidP="006C475E" w:rsidRDefault="005A6782" w14:paraId="2B51DE75" w14:textId="313FAD47">
            <w:pPr>
              <w:jc w:val="right"/>
              <w:rPr>
                <w:szCs w:val="18"/>
              </w:rPr>
            </w:pPr>
            <w:r w:rsidRPr="00A81CD8">
              <w:rPr>
                <w:szCs w:val="18"/>
              </w:rPr>
              <w:t>295</w:t>
            </w:r>
          </w:p>
        </w:tc>
        <w:tc>
          <w:tcPr>
            <w:tcW w:w="992" w:type="dxa"/>
          </w:tcPr>
          <w:p w:rsidRPr="00A81CD8" w:rsidR="005A6782" w:rsidP="006C475E" w:rsidRDefault="005A6782" w14:paraId="7ECFFA07" w14:textId="3FD953D9">
            <w:pPr>
              <w:jc w:val="right"/>
              <w:rPr>
                <w:szCs w:val="18"/>
              </w:rPr>
            </w:pPr>
            <w:r w:rsidRPr="00A81CD8">
              <w:rPr>
                <w:szCs w:val="18"/>
              </w:rPr>
              <w:t>272</w:t>
            </w:r>
          </w:p>
        </w:tc>
      </w:tr>
      <w:tr w:rsidRPr="00A81CD8" w:rsidR="005A6782" w:rsidTr="006C475E" w14:paraId="596F3518" w14:textId="77777777">
        <w:tc>
          <w:tcPr>
            <w:tcW w:w="3085" w:type="dxa"/>
            <w:shd w:val="clear" w:color="auto" w:fill="D9D9D9" w:themeFill="background1" w:themeFillShade="D9"/>
          </w:tcPr>
          <w:p w:rsidRPr="00A81CD8" w:rsidR="005A6782" w:rsidP="005500CC" w:rsidRDefault="005A6782" w14:paraId="287310ED" w14:textId="27841DAA">
            <w:pPr>
              <w:rPr>
                <w:szCs w:val="18"/>
              </w:rPr>
            </w:pPr>
            <w:r w:rsidRPr="00A81CD8">
              <w:rPr>
                <w:szCs w:val="18"/>
              </w:rPr>
              <w:t>Verlenging prestatiebeurs</w:t>
            </w:r>
          </w:p>
        </w:tc>
        <w:tc>
          <w:tcPr>
            <w:tcW w:w="992" w:type="dxa"/>
            <w:shd w:val="clear" w:color="auto" w:fill="D9D9D9" w:themeFill="background1" w:themeFillShade="D9"/>
          </w:tcPr>
          <w:p w:rsidRPr="00A81CD8" w:rsidR="005A6782" w:rsidP="005500CC" w:rsidRDefault="005A6782" w14:paraId="615D2E76" w14:textId="660D309F">
            <w:pPr>
              <w:rPr>
                <w:szCs w:val="18"/>
              </w:rPr>
            </w:pPr>
            <w:r w:rsidRPr="00A81CD8">
              <w:rPr>
                <w:szCs w:val="18"/>
              </w:rPr>
              <w:t>7.367</w:t>
            </w:r>
          </w:p>
        </w:tc>
        <w:tc>
          <w:tcPr>
            <w:tcW w:w="992" w:type="dxa"/>
            <w:shd w:val="clear" w:color="auto" w:fill="D9D9D9" w:themeFill="background1" w:themeFillShade="D9"/>
          </w:tcPr>
          <w:p w:rsidRPr="00A81CD8" w:rsidR="005A6782" w:rsidP="005500CC" w:rsidRDefault="005A6782" w14:paraId="4ECC40F4" w14:textId="30751FF8">
            <w:pPr>
              <w:rPr>
                <w:szCs w:val="18"/>
              </w:rPr>
            </w:pPr>
            <w:r w:rsidRPr="00A81CD8">
              <w:rPr>
                <w:szCs w:val="18"/>
              </w:rPr>
              <w:t>5.446</w:t>
            </w:r>
          </w:p>
        </w:tc>
        <w:tc>
          <w:tcPr>
            <w:tcW w:w="992" w:type="dxa"/>
            <w:shd w:val="clear" w:color="auto" w:fill="D9D9D9" w:themeFill="background1" w:themeFillShade="D9"/>
          </w:tcPr>
          <w:p w:rsidRPr="00A81CD8" w:rsidR="005A6782" w:rsidP="005500CC" w:rsidRDefault="005A6782" w14:paraId="0CE4B38D" w14:textId="01263086">
            <w:pPr>
              <w:rPr>
                <w:szCs w:val="18"/>
              </w:rPr>
            </w:pPr>
            <w:r w:rsidRPr="00A81CD8">
              <w:rPr>
                <w:szCs w:val="18"/>
              </w:rPr>
              <w:t>4.435</w:t>
            </w:r>
          </w:p>
        </w:tc>
        <w:tc>
          <w:tcPr>
            <w:tcW w:w="992" w:type="dxa"/>
            <w:shd w:val="clear" w:color="auto" w:fill="D9D9D9" w:themeFill="background1" w:themeFillShade="D9"/>
          </w:tcPr>
          <w:p w:rsidRPr="00A81CD8" w:rsidR="005A6782" w:rsidP="005500CC" w:rsidRDefault="005A6782" w14:paraId="3CC8D2B5" w14:textId="4383BA70">
            <w:pPr>
              <w:rPr>
                <w:szCs w:val="18"/>
              </w:rPr>
            </w:pPr>
            <w:r w:rsidRPr="00A81CD8">
              <w:rPr>
                <w:szCs w:val="18"/>
              </w:rPr>
              <w:t>4.304</w:t>
            </w:r>
          </w:p>
        </w:tc>
        <w:tc>
          <w:tcPr>
            <w:tcW w:w="992" w:type="dxa"/>
            <w:shd w:val="clear" w:color="auto" w:fill="D9D9D9" w:themeFill="background1" w:themeFillShade="D9"/>
          </w:tcPr>
          <w:p w:rsidRPr="00A81CD8" w:rsidR="005A6782" w:rsidP="005500CC" w:rsidRDefault="005A6782" w14:paraId="7F484337" w14:textId="71050384">
            <w:pPr>
              <w:rPr>
                <w:szCs w:val="18"/>
              </w:rPr>
            </w:pPr>
            <w:r w:rsidRPr="00A81CD8">
              <w:rPr>
                <w:szCs w:val="18"/>
              </w:rPr>
              <w:t>5.139</w:t>
            </w:r>
          </w:p>
        </w:tc>
        <w:tc>
          <w:tcPr>
            <w:tcW w:w="992" w:type="dxa"/>
            <w:shd w:val="clear" w:color="auto" w:fill="D9D9D9" w:themeFill="background1" w:themeFillShade="D9"/>
          </w:tcPr>
          <w:p w:rsidRPr="00A81CD8" w:rsidR="005A6782" w:rsidP="005500CC" w:rsidRDefault="005A6782" w14:paraId="1247908A" w14:textId="760C3544">
            <w:pPr>
              <w:rPr>
                <w:szCs w:val="18"/>
              </w:rPr>
            </w:pPr>
            <w:r w:rsidRPr="00A81CD8">
              <w:rPr>
                <w:szCs w:val="18"/>
              </w:rPr>
              <w:t>8.731</w:t>
            </w:r>
          </w:p>
        </w:tc>
        <w:tc>
          <w:tcPr>
            <w:tcW w:w="992" w:type="dxa"/>
            <w:shd w:val="clear" w:color="auto" w:fill="D9D9D9" w:themeFill="background1" w:themeFillShade="D9"/>
          </w:tcPr>
          <w:p w:rsidRPr="00A81CD8" w:rsidR="005A6782" w:rsidP="005500CC" w:rsidRDefault="005A6782" w14:paraId="5E80C5D6" w14:textId="15294EAF">
            <w:pPr>
              <w:rPr>
                <w:szCs w:val="18"/>
              </w:rPr>
            </w:pPr>
            <w:r w:rsidRPr="00A81CD8">
              <w:rPr>
                <w:szCs w:val="18"/>
              </w:rPr>
              <w:t>11.063</w:t>
            </w:r>
          </w:p>
        </w:tc>
      </w:tr>
      <w:tr w:rsidRPr="00A81CD8" w:rsidR="005A6782" w:rsidTr="006C475E" w14:paraId="72076CAC" w14:textId="77777777">
        <w:tc>
          <w:tcPr>
            <w:tcW w:w="3085" w:type="dxa"/>
          </w:tcPr>
          <w:p w:rsidRPr="00A81CD8" w:rsidR="005A6782" w:rsidP="001F03D3" w:rsidRDefault="005A6782" w14:paraId="69A7DAD6" w14:textId="214B2705">
            <w:pPr>
              <w:jc w:val="right"/>
              <w:rPr>
                <w:szCs w:val="18"/>
              </w:rPr>
            </w:pPr>
            <w:r w:rsidRPr="00A81CD8">
              <w:rPr>
                <w:i/>
                <w:iCs/>
                <w:szCs w:val="18"/>
              </w:rPr>
              <w:t>Toegekend hbo en wo</w:t>
            </w:r>
          </w:p>
        </w:tc>
        <w:tc>
          <w:tcPr>
            <w:tcW w:w="992" w:type="dxa"/>
          </w:tcPr>
          <w:p w:rsidRPr="00A81CD8" w:rsidR="005A6782" w:rsidP="006C475E" w:rsidRDefault="005A6782" w14:paraId="67832A64" w14:textId="69D5CEFE">
            <w:pPr>
              <w:jc w:val="right"/>
              <w:rPr>
                <w:szCs w:val="18"/>
              </w:rPr>
            </w:pPr>
            <w:r w:rsidRPr="00A81CD8">
              <w:rPr>
                <w:szCs w:val="18"/>
              </w:rPr>
              <w:t>6.749</w:t>
            </w:r>
          </w:p>
        </w:tc>
        <w:tc>
          <w:tcPr>
            <w:tcW w:w="992" w:type="dxa"/>
          </w:tcPr>
          <w:p w:rsidRPr="00A81CD8" w:rsidR="005A6782" w:rsidP="006C475E" w:rsidRDefault="005A6782" w14:paraId="2DFE38B0" w14:textId="2546A39C">
            <w:pPr>
              <w:jc w:val="right"/>
              <w:rPr>
                <w:szCs w:val="18"/>
              </w:rPr>
            </w:pPr>
            <w:r w:rsidRPr="00A81CD8">
              <w:rPr>
                <w:szCs w:val="18"/>
              </w:rPr>
              <w:t>4.873</w:t>
            </w:r>
          </w:p>
        </w:tc>
        <w:tc>
          <w:tcPr>
            <w:tcW w:w="992" w:type="dxa"/>
          </w:tcPr>
          <w:p w:rsidRPr="00A81CD8" w:rsidR="005A6782" w:rsidP="006C475E" w:rsidRDefault="005A6782" w14:paraId="0CD1832B" w14:textId="52DAC172">
            <w:pPr>
              <w:jc w:val="right"/>
              <w:rPr>
                <w:szCs w:val="18"/>
              </w:rPr>
            </w:pPr>
            <w:r w:rsidRPr="00A81CD8">
              <w:rPr>
                <w:szCs w:val="18"/>
              </w:rPr>
              <w:t>3.917</w:t>
            </w:r>
          </w:p>
        </w:tc>
        <w:tc>
          <w:tcPr>
            <w:tcW w:w="992" w:type="dxa"/>
          </w:tcPr>
          <w:p w:rsidRPr="00A81CD8" w:rsidR="005A6782" w:rsidP="006C475E" w:rsidRDefault="005A6782" w14:paraId="5CA1CA2F" w14:textId="6972E4F5">
            <w:pPr>
              <w:jc w:val="right"/>
              <w:rPr>
                <w:szCs w:val="18"/>
              </w:rPr>
            </w:pPr>
            <w:r w:rsidRPr="00A81CD8">
              <w:rPr>
                <w:szCs w:val="18"/>
              </w:rPr>
              <w:t>3.792</w:t>
            </w:r>
          </w:p>
        </w:tc>
        <w:tc>
          <w:tcPr>
            <w:tcW w:w="992" w:type="dxa"/>
          </w:tcPr>
          <w:p w:rsidRPr="00A81CD8" w:rsidR="005A6782" w:rsidP="006C475E" w:rsidRDefault="005A6782" w14:paraId="45D64471" w14:textId="77C677B9">
            <w:pPr>
              <w:jc w:val="right"/>
              <w:rPr>
                <w:szCs w:val="18"/>
              </w:rPr>
            </w:pPr>
            <w:r w:rsidRPr="00A81CD8">
              <w:rPr>
                <w:szCs w:val="18"/>
              </w:rPr>
              <w:t>4.560</w:t>
            </w:r>
          </w:p>
        </w:tc>
        <w:tc>
          <w:tcPr>
            <w:tcW w:w="992" w:type="dxa"/>
          </w:tcPr>
          <w:p w:rsidRPr="00A81CD8" w:rsidR="005A6782" w:rsidP="006C475E" w:rsidRDefault="005A6782" w14:paraId="480C74F2" w14:textId="13EBE38E">
            <w:pPr>
              <w:jc w:val="right"/>
              <w:rPr>
                <w:szCs w:val="18"/>
              </w:rPr>
            </w:pPr>
            <w:r w:rsidRPr="00A81CD8">
              <w:rPr>
                <w:szCs w:val="18"/>
              </w:rPr>
              <w:t>7.979</w:t>
            </w:r>
          </w:p>
        </w:tc>
        <w:tc>
          <w:tcPr>
            <w:tcW w:w="992" w:type="dxa"/>
          </w:tcPr>
          <w:p w:rsidRPr="00A81CD8" w:rsidR="005A6782" w:rsidP="006C475E" w:rsidRDefault="005A6782" w14:paraId="20EF5636" w14:textId="5B856F10">
            <w:pPr>
              <w:jc w:val="right"/>
              <w:rPr>
                <w:szCs w:val="18"/>
              </w:rPr>
            </w:pPr>
            <w:r w:rsidRPr="00A81CD8">
              <w:rPr>
                <w:szCs w:val="18"/>
              </w:rPr>
              <w:t>10.152</w:t>
            </w:r>
          </w:p>
        </w:tc>
      </w:tr>
      <w:tr w:rsidRPr="00A81CD8" w:rsidR="005A6782" w:rsidTr="006C475E" w14:paraId="25268A10" w14:textId="77777777">
        <w:tc>
          <w:tcPr>
            <w:tcW w:w="3085" w:type="dxa"/>
          </w:tcPr>
          <w:p w:rsidRPr="00A81CD8" w:rsidR="005A6782" w:rsidP="001F03D3" w:rsidRDefault="005A6782" w14:paraId="4250968F" w14:textId="5B24BF42">
            <w:pPr>
              <w:jc w:val="right"/>
              <w:rPr>
                <w:szCs w:val="18"/>
              </w:rPr>
            </w:pPr>
            <w:r w:rsidRPr="00A81CD8">
              <w:rPr>
                <w:i/>
                <w:iCs/>
                <w:szCs w:val="18"/>
              </w:rPr>
              <w:t>Toegekend mbo</w:t>
            </w:r>
          </w:p>
        </w:tc>
        <w:tc>
          <w:tcPr>
            <w:tcW w:w="992" w:type="dxa"/>
          </w:tcPr>
          <w:p w:rsidRPr="00A81CD8" w:rsidR="005A6782" w:rsidP="006C475E" w:rsidRDefault="005A6782" w14:paraId="28ACD3BA" w14:textId="34D4C379">
            <w:pPr>
              <w:jc w:val="right"/>
              <w:rPr>
                <w:szCs w:val="18"/>
              </w:rPr>
            </w:pPr>
            <w:r w:rsidRPr="00A81CD8">
              <w:rPr>
                <w:szCs w:val="18"/>
              </w:rPr>
              <w:t>287</w:t>
            </w:r>
          </w:p>
        </w:tc>
        <w:tc>
          <w:tcPr>
            <w:tcW w:w="992" w:type="dxa"/>
          </w:tcPr>
          <w:p w:rsidRPr="00A81CD8" w:rsidR="005A6782" w:rsidP="006C475E" w:rsidRDefault="005A6782" w14:paraId="09435001" w14:textId="2D2707EA">
            <w:pPr>
              <w:jc w:val="right"/>
              <w:rPr>
                <w:szCs w:val="18"/>
              </w:rPr>
            </w:pPr>
            <w:r w:rsidRPr="00A81CD8">
              <w:rPr>
                <w:szCs w:val="18"/>
              </w:rPr>
              <w:t>313</w:t>
            </w:r>
          </w:p>
        </w:tc>
        <w:tc>
          <w:tcPr>
            <w:tcW w:w="992" w:type="dxa"/>
          </w:tcPr>
          <w:p w:rsidRPr="00A81CD8" w:rsidR="005A6782" w:rsidP="006C475E" w:rsidRDefault="005A6782" w14:paraId="7660EA23" w14:textId="2CB1EE41">
            <w:pPr>
              <w:jc w:val="right"/>
              <w:rPr>
                <w:szCs w:val="18"/>
              </w:rPr>
            </w:pPr>
            <w:r w:rsidRPr="00A81CD8">
              <w:rPr>
                <w:szCs w:val="18"/>
              </w:rPr>
              <w:t>268</w:t>
            </w:r>
          </w:p>
        </w:tc>
        <w:tc>
          <w:tcPr>
            <w:tcW w:w="992" w:type="dxa"/>
          </w:tcPr>
          <w:p w:rsidRPr="00A81CD8" w:rsidR="005A6782" w:rsidP="006C475E" w:rsidRDefault="005A6782" w14:paraId="7F032E42" w14:textId="5B213FD4">
            <w:pPr>
              <w:jc w:val="right"/>
              <w:rPr>
                <w:szCs w:val="18"/>
              </w:rPr>
            </w:pPr>
            <w:r w:rsidRPr="00A81CD8">
              <w:rPr>
                <w:szCs w:val="18"/>
              </w:rPr>
              <w:t>299</w:t>
            </w:r>
          </w:p>
        </w:tc>
        <w:tc>
          <w:tcPr>
            <w:tcW w:w="992" w:type="dxa"/>
          </w:tcPr>
          <w:p w:rsidRPr="00A81CD8" w:rsidR="005A6782" w:rsidP="006C475E" w:rsidRDefault="005A6782" w14:paraId="38128965" w14:textId="7F36BBA1">
            <w:pPr>
              <w:jc w:val="right"/>
              <w:rPr>
                <w:szCs w:val="18"/>
              </w:rPr>
            </w:pPr>
            <w:r w:rsidRPr="00A81CD8">
              <w:rPr>
                <w:szCs w:val="18"/>
              </w:rPr>
              <w:t>289</w:t>
            </w:r>
          </w:p>
        </w:tc>
        <w:tc>
          <w:tcPr>
            <w:tcW w:w="992" w:type="dxa"/>
          </w:tcPr>
          <w:p w:rsidRPr="00A81CD8" w:rsidR="005A6782" w:rsidP="006C475E" w:rsidRDefault="005A6782" w14:paraId="3A2DC56D" w14:textId="7F303FA7">
            <w:pPr>
              <w:jc w:val="right"/>
              <w:rPr>
                <w:szCs w:val="18"/>
              </w:rPr>
            </w:pPr>
            <w:r w:rsidRPr="00A81CD8">
              <w:rPr>
                <w:szCs w:val="18"/>
              </w:rPr>
              <w:t>416</w:t>
            </w:r>
          </w:p>
        </w:tc>
        <w:tc>
          <w:tcPr>
            <w:tcW w:w="992" w:type="dxa"/>
          </w:tcPr>
          <w:p w:rsidRPr="00A81CD8" w:rsidR="005A6782" w:rsidP="006C475E" w:rsidRDefault="005A6782" w14:paraId="08FBC95B" w14:textId="6D719B30">
            <w:pPr>
              <w:jc w:val="right"/>
              <w:rPr>
                <w:szCs w:val="18"/>
              </w:rPr>
            </w:pPr>
            <w:r w:rsidRPr="00A81CD8">
              <w:rPr>
                <w:szCs w:val="18"/>
              </w:rPr>
              <w:t>543</w:t>
            </w:r>
          </w:p>
        </w:tc>
      </w:tr>
      <w:tr w:rsidRPr="00A81CD8" w:rsidR="005A6782" w:rsidTr="006C475E" w14:paraId="240CCBBD" w14:textId="77777777">
        <w:tc>
          <w:tcPr>
            <w:tcW w:w="3085" w:type="dxa"/>
          </w:tcPr>
          <w:p w:rsidRPr="00A81CD8" w:rsidR="005A6782" w:rsidP="001F03D3" w:rsidRDefault="005A6782" w14:paraId="51DC56E7" w14:textId="2BCA3C04">
            <w:pPr>
              <w:jc w:val="right"/>
              <w:rPr>
                <w:szCs w:val="18"/>
              </w:rPr>
            </w:pPr>
            <w:r w:rsidRPr="00A81CD8">
              <w:rPr>
                <w:i/>
                <w:iCs/>
                <w:szCs w:val="18"/>
              </w:rPr>
              <w:t>Afgewezen</w:t>
            </w:r>
          </w:p>
        </w:tc>
        <w:tc>
          <w:tcPr>
            <w:tcW w:w="992" w:type="dxa"/>
          </w:tcPr>
          <w:p w:rsidRPr="00A81CD8" w:rsidR="005A6782" w:rsidP="006C475E" w:rsidRDefault="005A6782" w14:paraId="0CFEAB0C" w14:textId="09D6CBC8">
            <w:pPr>
              <w:jc w:val="right"/>
              <w:rPr>
                <w:szCs w:val="18"/>
              </w:rPr>
            </w:pPr>
            <w:r w:rsidRPr="00A81CD8">
              <w:rPr>
                <w:szCs w:val="18"/>
              </w:rPr>
              <w:t>331</w:t>
            </w:r>
          </w:p>
        </w:tc>
        <w:tc>
          <w:tcPr>
            <w:tcW w:w="992" w:type="dxa"/>
          </w:tcPr>
          <w:p w:rsidRPr="00A81CD8" w:rsidR="005A6782" w:rsidP="006C475E" w:rsidRDefault="005A6782" w14:paraId="20F4AEA6" w14:textId="032E548D">
            <w:pPr>
              <w:jc w:val="right"/>
              <w:rPr>
                <w:szCs w:val="18"/>
              </w:rPr>
            </w:pPr>
            <w:r w:rsidRPr="00A81CD8">
              <w:rPr>
                <w:szCs w:val="18"/>
              </w:rPr>
              <w:t>260</w:t>
            </w:r>
          </w:p>
        </w:tc>
        <w:tc>
          <w:tcPr>
            <w:tcW w:w="992" w:type="dxa"/>
          </w:tcPr>
          <w:p w:rsidRPr="00A81CD8" w:rsidR="005A6782" w:rsidP="006C475E" w:rsidRDefault="005A6782" w14:paraId="65DCCE20" w14:textId="31361FA2">
            <w:pPr>
              <w:jc w:val="right"/>
              <w:rPr>
                <w:szCs w:val="18"/>
              </w:rPr>
            </w:pPr>
            <w:r w:rsidRPr="00A81CD8">
              <w:rPr>
                <w:szCs w:val="18"/>
              </w:rPr>
              <w:t>250</w:t>
            </w:r>
          </w:p>
        </w:tc>
        <w:tc>
          <w:tcPr>
            <w:tcW w:w="992" w:type="dxa"/>
          </w:tcPr>
          <w:p w:rsidRPr="00A81CD8" w:rsidR="005A6782" w:rsidP="006C475E" w:rsidRDefault="005A6782" w14:paraId="62DC87D3" w14:textId="5A72E123">
            <w:pPr>
              <w:jc w:val="right"/>
              <w:rPr>
                <w:szCs w:val="18"/>
              </w:rPr>
            </w:pPr>
            <w:r w:rsidRPr="00A81CD8">
              <w:rPr>
                <w:szCs w:val="18"/>
              </w:rPr>
              <w:t>213</w:t>
            </w:r>
          </w:p>
        </w:tc>
        <w:tc>
          <w:tcPr>
            <w:tcW w:w="992" w:type="dxa"/>
          </w:tcPr>
          <w:p w:rsidRPr="00A81CD8" w:rsidR="005A6782" w:rsidP="006C475E" w:rsidRDefault="005A6782" w14:paraId="4153A090" w14:textId="26681F5A">
            <w:pPr>
              <w:jc w:val="right"/>
              <w:rPr>
                <w:szCs w:val="18"/>
              </w:rPr>
            </w:pPr>
            <w:r w:rsidRPr="00A81CD8">
              <w:rPr>
                <w:szCs w:val="18"/>
              </w:rPr>
              <w:t>290</w:t>
            </w:r>
          </w:p>
        </w:tc>
        <w:tc>
          <w:tcPr>
            <w:tcW w:w="992" w:type="dxa"/>
          </w:tcPr>
          <w:p w:rsidRPr="00A81CD8" w:rsidR="005A6782" w:rsidP="006C475E" w:rsidRDefault="005A6782" w14:paraId="40439844" w14:textId="3DDD29FC">
            <w:pPr>
              <w:jc w:val="right"/>
              <w:rPr>
                <w:szCs w:val="18"/>
              </w:rPr>
            </w:pPr>
            <w:r w:rsidRPr="00A81CD8">
              <w:rPr>
                <w:szCs w:val="18"/>
              </w:rPr>
              <w:t>336</w:t>
            </w:r>
          </w:p>
        </w:tc>
        <w:tc>
          <w:tcPr>
            <w:tcW w:w="992" w:type="dxa"/>
          </w:tcPr>
          <w:p w:rsidRPr="00A81CD8" w:rsidR="005A6782" w:rsidP="006C475E" w:rsidRDefault="005A6782" w14:paraId="7C354E61" w14:textId="2DB15922">
            <w:pPr>
              <w:jc w:val="right"/>
              <w:rPr>
                <w:szCs w:val="18"/>
              </w:rPr>
            </w:pPr>
            <w:r w:rsidRPr="00A81CD8">
              <w:rPr>
                <w:szCs w:val="18"/>
              </w:rPr>
              <w:t>368</w:t>
            </w:r>
          </w:p>
        </w:tc>
      </w:tr>
      <w:tr w:rsidRPr="00A81CD8" w:rsidR="005A6782" w:rsidTr="006C475E" w14:paraId="05208F8C" w14:textId="77777777">
        <w:tc>
          <w:tcPr>
            <w:tcW w:w="3085" w:type="dxa"/>
            <w:shd w:val="clear" w:color="auto" w:fill="D9D9D9" w:themeFill="background1" w:themeFillShade="D9"/>
          </w:tcPr>
          <w:p w:rsidRPr="00A81CD8" w:rsidR="005A6782" w:rsidP="005A6782" w:rsidRDefault="005A6782" w14:paraId="349130B9" w14:textId="64DF3F93">
            <w:pPr>
              <w:rPr>
                <w:szCs w:val="18"/>
              </w:rPr>
            </w:pPr>
            <w:r w:rsidRPr="00A81CD8">
              <w:rPr>
                <w:szCs w:val="18"/>
              </w:rPr>
              <w:t>Verlenging diplomatermijn</w:t>
            </w:r>
          </w:p>
        </w:tc>
        <w:tc>
          <w:tcPr>
            <w:tcW w:w="992" w:type="dxa"/>
            <w:shd w:val="clear" w:color="auto" w:fill="D9D9D9" w:themeFill="background1" w:themeFillShade="D9"/>
          </w:tcPr>
          <w:p w:rsidRPr="00A81CD8" w:rsidR="005A6782" w:rsidP="005A6782" w:rsidRDefault="005A6782" w14:paraId="410703DF" w14:textId="5CD650F4">
            <w:pPr>
              <w:rPr>
                <w:szCs w:val="18"/>
              </w:rPr>
            </w:pPr>
            <w:r w:rsidRPr="00A81CD8">
              <w:rPr>
                <w:szCs w:val="18"/>
              </w:rPr>
              <w:t>1.707</w:t>
            </w:r>
          </w:p>
        </w:tc>
        <w:tc>
          <w:tcPr>
            <w:tcW w:w="992" w:type="dxa"/>
            <w:shd w:val="clear" w:color="auto" w:fill="D9D9D9" w:themeFill="background1" w:themeFillShade="D9"/>
          </w:tcPr>
          <w:p w:rsidRPr="00A81CD8" w:rsidR="005A6782" w:rsidP="005A6782" w:rsidRDefault="005A6782" w14:paraId="452C539C" w14:textId="341C630A">
            <w:pPr>
              <w:rPr>
                <w:szCs w:val="18"/>
              </w:rPr>
            </w:pPr>
            <w:r w:rsidRPr="00A81CD8">
              <w:rPr>
                <w:szCs w:val="18"/>
              </w:rPr>
              <w:t>1.872</w:t>
            </w:r>
          </w:p>
        </w:tc>
        <w:tc>
          <w:tcPr>
            <w:tcW w:w="992" w:type="dxa"/>
            <w:shd w:val="clear" w:color="auto" w:fill="D9D9D9" w:themeFill="background1" w:themeFillShade="D9"/>
          </w:tcPr>
          <w:p w:rsidRPr="00A81CD8" w:rsidR="005A6782" w:rsidP="005A6782" w:rsidRDefault="005A6782" w14:paraId="50905A18" w14:textId="1D0298DA">
            <w:pPr>
              <w:rPr>
                <w:szCs w:val="18"/>
              </w:rPr>
            </w:pPr>
            <w:r w:rsidRPr="00A81CD8">
              <w:rPr>
                <w:szCs w:val="18"/>
              </w:rPr>
              <w:t>2.034</w:t>
            </w:r>
          </w:p>
        </w:tc>
        <w:tc>
          <w:tcPr>
            <w:tcW w:w="992" w:type="dxa"/>
            <w:shd w:val="clear" w:color="auto" w:fill="D9D9D9" w:themeFill="background1" w:themeFillShade="D9"/>
          </w:tcPr>
          <w:p w:rsidRPr="00A81CD8" w:rsidR="005A6782" w:rsidP="005A6782" w:rsidRDefault="005A6782" w14:paraId="4CDD1D11" w14:textId="45E1C515">
            <w:pPr>
              <w:rPr>
                <w:szCs w:val="18"/>
              </w:rPr>
            </w:pPr>
            <w:r w:rsidRPr="00A81CD8">
              <w:rPr>
                <w:szCs w:val="18"/>
              </w:rPr>
              <w:t>1.902</w:t>
            </w:r>
          </w:p>
        </w:tc>
        <w:tc>
          <w:tcPr>
            <w:tcW w:w="992" w:type="dxa"/>
            <w:shd w:val="clear" w:color="auto" w:fill="D9D9D9" w:themeFill="background1" w:themeFillShade="D9"/>
          </w:tcPr>
          <w:p w:rsidRPr="00A81CD8" w:rsidR="005A6782" w:rsidP="005A6782" w:rsidRDefault="005A6782" w14:paraId="59B0E08D" w14:textId="1CA8CA3A">
            <w:pPr>
              <w:rPr>
                <w:szCs w:val="18"/>
              </w:rPr>
            </w:pPr>
            <w:r w:rsidRPr="00A81CD8">
              <w:rPr>
                <w:szCs w:val="18"/>
              </w:rPr>
              <w:t>1.895</w:t>
            </w:r>
          </w:p>
        </w:tc>
        <w:tc>
          <w:tcPr>
            <w:tcW w:w="992" w:type="dxa"/>
            <w:shd w:val="clear" w:color="auto" w:fill="D9D9D9" w:themeFill="background1" w:themeFillShade="D9"/>
          </w:tcPr>
          <w:p w:rsidRPr="00A81CD8" w:rsidR="005A6782" w:rsidP="005A6782" w:rsidRDefault="005A6782" w14:paraId="71A37715" w14:textId="1E1838A0">
            <w:pPr>
              <w:rPr>
                <w:szCs w:val="18"/>
              </w:rPr>
            </w:pPr>
            <w:r w:rsidRPr="00A81CD8">
              <w:rPr>
                <w:szCs w:val="18"/>
              </w:rPr>
              <w:t>2.055</w:t>
            </w:r>
          </w:p>
        </w:tc>
        <w:tc>
          <w:tcPr>
            <w:tcW w:w="992" w:type="dxa"/>
            <w:shd w:val="clear" w:color="auto" w:fill="D9D9D9" w:themeFill="background1" w:themeFillShade="D9"/>
          </w:tcPr>
          <w:p w:rsidRPr="00A81CD8" w:rsidR="005A6782" w:rsidP="005A6782" w:rsidRDefault="005A6782" w14:paraId="271C561E" w14:textId="473AA06D">
            <w:pPr>
              <w:rPr>
                <w:szCs w:val="18"/>
              </w:rPr>
            </w:pPr>
            <w:r w:rsidRPr="00A81CD8">
              <w:rPr>
                <w:szCs w:val="18"/>
              </w:rPr>
              <w:t>1.956</w:t>
            </w:r>
          </w:p>
        </w:tc>
      </w:tr>
      <w:tr w:rsidRPr="00A81CD8" w:rsidR="005A6782" w:rsidTr="006C475E" w14:paraId="243EF50B" w14:textId="77777777">
        <w:tc>
          <w:tcPr>
            <w:tcW w:w="3085" w:type="dxa"/>
          </w:tcPr>
          <w:p w:rsidRPr="00A81CD8" w:rsidR="005A6782" w:rsidP="001F03D3" w:rsidRDefault="005A6782" w14:paraId="6417E94F" w14:textId="04E0FEF0">
            <w:pPr>
              <w:jc w:val="right"/>
              <w:rPr>
                <w:szCs w:val="18"/>
              </w:rPr>
            </w:pPr>
            <w:r w:rsidRPr="00A81CD8">
              <w:rPr>
                <w:i/>
                <w:iCs/>
                <w:szCs w:val="18"/>
              </w:rPr>
              <w:t>Toegekend hbo en wo</w:t>
            </w:r>
          </w:p>
        </w:tc>
        <w:tc>
          <w:tcPr>
            <w:tcW w:w="992" w:type="dxa"/>
          </w:tcPr>
          <w:p w:rsidRPr="00A81CD8" w:rsidR="005A6782" w:rsidP="006C475E" w:rsidRDefault="005A6782" w14:paraId="045E5851" w14:textId="03BB51E9">
            <w:pPr>
              <w:jc w:val="right"/>
              <w:rPr>
                <w:szCs w:val="18"/>
              </w:rPr>
            </w:pPr>
            <w:r w:rsidRPr="00A81CD8">
              <w:rPr>
                <w:szCs w:val="18"/>
              </w:rPr>
              <w:t>1.440</w:t>
            </w:r>
          </w:p>
        </w:tc>
        <w:tc>
          <w:tcPr>
            <w:tcW w:w="992" w:type="dxa"/>
          </w:tcPr>
          <w:p w:rsidRPr="00A81CD8" w:rsidR="005A6782" w:rsidP="006C475E" w:rsidRDefault="005A6782" w14:paraId="326ED306" w14:textId="699B1022">
            <w:pPr>
              <w:jc w:val="right"/>
              <w:rPr>
                <w:szCs w:val="18"/>
              </w:rPr>
            </w:pPr>
            <w:r w:rsidRPr="00A81CD8">
              <w:rPr>
                <w:szCs w:val="18"/>
              </w:rPr>
              <w:t>1.619</w:t>
            </w:r>
          </w:p>
        </w:tc>
        <w:tc>
          <w:tcPr>
            <w:tcW w:w="992" w:type="dxa"/>
          </w:tcPr>
          <w:p w:rsidRPr="00A81CD8" w:rsidR="005A6782" w:rsidP="006C475E" w:rsidRDefault="005A6782" w14:paraId="60A25E7A" w14:textId="1EE12636">
            <w:pPr>
              <w:jc w:val="right"/>
              <w:rPr>
                <w:szCs w:val="18"/>
              </w:rPr>
            </w:pPr>
            <w:r w:rsidRPr="00A81CD8">
              <w:rPr>
                <w:szCs w:val="18"/>
              </w:rPr>
              <w:t>1.779</w:t>
            </w:r>
          </w:p>
        </w:tc>
        <w:tc>
          <w:tcPr>
            <w:tcW w:w="992" w:type="dxa"/>
          </w:tcPr>
          <w:p w:rsidRPr="00A81CD8" w:rsidR="005A6782" w:rsidP="006C475E" w:rsidRDefault="005A6782" w14:paraId="500F4B3B" w14:textId="2C4C7266">
            <w:pPr>
              <w:jc w:val="right"/>
              <w:rPr>
                <w:szCs w:val="18"/>
              </w:rPr>
            </w:pPr>
            <w:r w:rsidRPr="00A81CD8">
              <w:rPr>
                <w:szCs w:val="18"/>
              </w:rPr>
              <w:t>1.658</w:t>
            </w:r>
          </w:p>
        </w:tc>
        <w:tc>
          <w:tcPr>
            <w:tcW w:w="992" w:type="dxa"/>
          </w:tcPr>
          <w:p w:rsidRPr="00A81CD8" w:rsidR="005A6782" w:rsidP="006C475E" w:rsidRDefault="005A6782" w14:paraId="75C5F943" w14:textId="7202B2B7">
            <w:pPr>
              <w:jc w:val="right"/>
              <w:rPr>
                <w:szCs w:val="18"/>
              </w:rPr>
            </w:pPr>
            <w:r w:rsidRPr="00A81CD8">
              <w:rPr>
                <w:szCs w:val="18"/>
              </w:rPr>
              <w:t>1.664</w:t>
            </w:r>
          </w:p>
        </w:tc>
        <w:tc>
          <w:tcPr>
            <w:tcW w:w="992" w:type="dxa"/>
          </w:tcPr>
          <w:p w:rsidRPr="00A81CD8" w:rsidR="005A6782" w:rsidP="006C475E" w:rsidRDefault="005A6782" w14:paraId="46F86F95" w14:textId="1365F5DF">
            <w:pPr>
              <w:jc w:val="right"/>
              <w:rPr>
                <w:szCs w:val="18"/>
              </w:rPr>
            </w:pPr>
            <w:r w:rsidRPr="00A81CD8">
              <w:rPr>
                <w:szCs w:val="18"/>
              </w:rPr>
              <w:t>1.812</w:t>
            </w:r>
          </w:p>
        </w:tc>
        <w:tc>
          <w:tcPr>
            <w:tcW w:w="992" w:type="dxa"/>
          </w:tcPr>
          <w:p w:rsidRPr="00A81CD8" w:rsidR="005A6782" w:rsidP="006C475E" w:rsidRDefault="005A6782" w14:paraId="43DD84DD" w14:textId="4405922F">
            <w:pPr>
              <w:jc w:val="right"/>
              <w:rPr>
                <w:szCs w:val="18"/>
              </w:rPr>
            </w:pPr>
            <w:r w:rsidRPr="00A81CD8">
              <w:rPr>
                <w:szCs w:val="18"/>
              </w:rPr>
              <w:t>1.731</w:t>
            </w:r>
          </w:p>
        </w:tc>
      </w:tr>
      <w:tr w:rsidRPr="00A81CD8" w:rsidR="005A6782" w:rsidTr="006C475E" w14:paraId="36351A51" w14:textId="77777777">
        <w:tc>
          <w:tcPr>
            <w:tcW w:w="3085" w:type="dxa"/>
          </w:tcPr>
          <w:p w:rsidRPr="00A81CD8" w:rsidR="005A6782" w:rsidP="001F03D3" w:rsidRDefault="005A6782" w14:paraId="4C713FEC" w14:textId="46A0EFC4">
            <w:pPr>
              <w:jc w:val="right"/>
              <w:rPr>
                <w:szCs w:val="18"/>
              </w:rPr>
            </w:pPr>
            <w:r w:rsidRPr="00A81CD8">
              <w:rPr>
                <w:i/>
                <w:iCs/>
                <w:szCs w:val="18"/>
              </w:rPr>
              <w:t>Toegekend mbo</w:t>
            </w:r>
          </w:p>
        </w:tc>
        <w:tc>
          <w:tcPr>
            <w:tcW w:w="992" w:type="dxa"/>
          </w:tcPr>
          <w:p w:rsidRPr="00A81CD8" w:rsidR="005A6782" w:rsidP="006C475E" w:rsidRDefault="005A6782" w14:paraId="2FAE237E" w14:textId="688190A8">
            <w:pPr>
              <w:jc w:val="right"/>
              <w:rPr>
                <w:szCs w:val="18"/>
              </w:rPr>
            </w:pPr>
            <w:r w:rsidRPr="00A81CD8">
              <w:rPr>
                <w:szCs w:val="18"/>
              </w:rPr>
              <w:t>96</w:t>
            </w:r>
          </w:p>
        </w:tc>
        <w:tc>
          <w:tcPr>
            <w:tcW w:w="992" w:type="dxa"/>
          </w:tcPr>
          <w:p w:rsidRPr="00A81CD8" w:rsidR="005A6782" w:rsidP="006C475E" w:rsidRDefault="005A6782" w14:paraId="46945BAF" w14:textId="7C0A2898">
            <w:pPr>
              <w:jc w:val="right"/>
              <w:rPr>
                <w:szCs w:val="18"/>
              </w:rPr>
            </w:pPr>
            <w:r w:rsidRPr="00A81CD8">
              <w:rPr>
                <w:szCs w:val="18"/>
              </w:rPr>
              <w:t>117</w:t>
            </w:r>
          </w:p>
        </w:tc>
        <w:tc>
          <w:tcPr>
            <w:tcW w:w="992" w:type="dxa"/>
          </w:tcPr>
          <w:p w:rsidRPr="00A81CD8" w:rsidR="005A6782" w:rsidP="006C475E" w:rsidRDefault="005A6782" w14:paraId="448E2A48" w14:textId="5F840D78">
            <w:pPr>
              <w:jc w:val="right"/>
              <w:rPr>
                <w:szCs w:val="18"/>
              </w:rPr>
            </w:pPr>
            <w:r w:rsidRPr="00A81CD8">
              <w:rPr>
                <w:szCs w:val="18"/>
              </w:rPr>
              <w:t>115</w:t>
            </w:r>
          </w:p>
        </w:tc>
        <w:tc>
          <w:tcPr>
            <w:tcW w:w="992" w:type="dxa"/>
          </w:tcPr>
          <w:p w:rsidRPr="00A81CD8" w:rsidR="005A6782" w:rsidP="006C475E" w:rsidRDefault="005A6782" w14:paraId="1CF8E09A" w14:textId="1BBD63CF">
            <w:pPr>
              <w:jc w:val="right"/>
              <w:rPr>
                <w:szCs w:val="18"/>
              </w:rPr>
            </w:pPr>
            <w:r w:rsidRPr="00A81CD8">
              <w:rPr>
                <w:szCs w:val="18"/>
              </w:rPr>
              <w:t>103</w:t>
            </w:r>
          </w:p>
        </w:tc>
        <w:tc>
          <w:tcPr>
            <w:tcW w:w="992" w:type="dxa"/>
          </w:tcPr>
          <w:p w:rsidRPr="00A81CD8" w:rsidR="005A6782" w:rsidP="006C475E" w:rsidRDefault="005A6782" w14:paraId="12CD42A0" w14:textId="3A4D129C">
            <w:pPr>
              <w:jc w:val="right"/>
              <w:rPr>
                <w:szCs w:val="18"/>
              </w:rPr>
            </w:pPr>
            <w:r w:rsidRPr="00A81CD8">
              <w:rPr>
                <w:szCs w:val="18"/>
              </w:rPr>
              <w:t>105</w:t>
            </w:r>
          </w:p>
        </w:tc>
        <w:tc>
          <w:tcPr>
            <w:tcW w:w="992" w:type="dxa"/>
          </w:tcPr>
          <w:p w:rsidRPr="00A81CD8" w:rsidR="005A6782" w:rsidP="006C475E" w:rsidRDefault="005A6782" w14:paraId="67819CF5" w14:textId="68AE1133">
            <w:pPr>
              <w:jc w:val="right"/>
              <w:rPr>
                <w:szCs w:val="18"/>
              </w:rPr>
            </w:pPr>
            <w:r w:rsidRPr="00A81CD8">
              <w:rPr>
                <w:szCs w:val="18"/>
              </w:rPr>
              <w:t>138</w:t>
            </w:r>
          </w:p>
        </w:tc>
        <w:tc>
          <w:tcPr>
            <w:tcW w:w="992" w:type="dxa"/>
          </w:tcPr>
          <w:p w:rsidRPr="00A81CD8" w:rsidR="005A6782" w:rsidP="006C475E" w:rsidRDefault="005A6782" w14:paraId="726F62FB" w14:textId="778F7748">
            <w:pPr>
              <w:jc w:val="right"/>
              <w:rPr>
                <w:szCs w:val="18"/>
              </w:rPr>
            </w:pPr>
            <w:r w:rsidRPr="00A81CD8">
              <w:rPr>
                <w:szCs w:val="18"/>
              </w:rPr>
              <w:t>113</w:t>
            </w:r>
          </w:p>
        </w:tc>
      </w:tr>
      <w:tr w:rsidRPr="00A81CD8" w:rsidR="005A6782" w:rsidTr="006C475E" w14:paraId="29FC98C1" w14:textId="77777777">
        <w:tc>
          <w:tcPr>
            <w:tcW w:w="3085" w:type="dxa"/>
          </w:tcPr>
          <w:p w:rsidRPr="00A81CD8" w:rsidR="005A6782" w:rsidP="001F03D3" w:rsidRDefault="005A6782" w14:paraId="368DCD24" w14:textId="271AFCFC">
            <w:pPr>
              <w:jc w:val="right"/>
              <w:rPr>
                <w:szCs w:val="18"/>
              </w:rPr>
            </w:pPr>
            <w:r w:rsidRPr="00A81CD8">
              <w:rPr>
                <w:i/>
                <w:iCs/>
                <w:szCs w:val="18"/>
              </w:rPr>
              <w:t>Afgewezen</w:t>
            </w:r>
          </w:p>
        </w:tc>
        <w:tc>
          <w:tcPr>
            <w:tcW w:w="992" w:type="dxa"/>
          </w:tcPr>
          <w:p w:rsidRPr="00A81CD8" w:rsidR="005A6782" w:rsidP="006C475E" w:rsidRDefault="005A6782" w14:paraId="7903A27C" w14:textId="15891CFA">
            <w:pPr>
              <w:jc w:val="right"/>
              <w:rPr>
                <w:szCs w:val="18"/>
              </w:rPr>
            </w:pPr>
            <w:r w:rsidRPr="00A81CD8">
              <w:rPr>
                <w:szCs w:val="18"/>
              </w:rPr>
              <w:t>171</w:t>
            </w:r>
          </w:p>
        </w:tc>
        <w:tc>
          <w:tcPr>
            <w:tcW w:w="992" w:type="dxa"/>
          </w:tcPr>
          <w:p w:rsidRPr="00A81CD8" w:rsidR="005A6782" w:rsidP="006C475E" w:rsidRDefault="005A6782" w14:paraId="1B7D6908" w14:textId="51595A96">
            <w:pPr>
              <w:jc w:val="right"/>
              <w:rPr>
                <w:szCs w:val="18"/>
              </w:rPr>
            </w:pPr>
            <w:r w:rsidRPr="00A81CD8">
              <w:rPr>
                <w:szCs w:val="18"/>
              </w:rPr>
              <w:t>136</w:t>
            </w:r>
          </w:p>
        </w:tc>
        <w:tc>
          <w:tcPr>
            <w:tcW w:w="992" w:type="dxa"/>
          </w:tcPr>
          <w:p w:rsidRPr="00A81CD8" w:rsidR="005A6782" w:rsidP="006C475E" w:rsidRDefault="005A6782" w14:paraId="353326A8" w14:textId="6054F8A4">
            <w:pPr>
              <w:jc w:val="right"/>
              <w:rPr>
                <w:szCs w:val="18"/>
              </w:rPr>
            </w:pPr>
            <w:r w:rsidRPr="00A81CD8">
              <w:rPr>
                <w:szCs w:val="18"/>
              </w:rPr>
              <w:t>140</w:t>
            </w:r>
          </w:p>
        </w:tc>
        <w:tc>
          <w:tcPr>
            <w:tcW w:w="992" w:type="dxa"/>
          </w:tcPr>
          <w:p w:rsidRPr="00A81CD8" w:rsidR="005A6782" w:rsidP="006C475E" w:rsidRDefault="005A6782" w14:paraId="065ED134" w14:textId="650B1D71">
            <w:pPr>
              <w:jc w:val="right"/>
              <w:rPr>
                <w:szCs w:val="18"/>
              </w:rPr>
            </w:pPr>
            <w:r w:rsidRPr="00A81CD8">
              <w:rPr>
                <w:szCs w:val="18"/>
              </w:rPr>
              <w:t>141</w:t>
            </w:r>
          </w:p>
        </w:tc>
        <w:tc>
          <w:tcPr>
            <w:tcW w:w="992" w:type="dxa"/>
          </w:tcPr>
          <w:p w:rsidRPr="00A81CD8" w:rsidR="005A6782" w:rsidP="006C475E" w:rsidRDefault="005A6782" w14:paraId="7E8C6704" w14:textId="6F97012D">
            <w:pPr>
              <w:jc w:val="right"/>
              <w:rPr>
                <w:szCs w:val="18"/>
              </w:rPr>
            </w:pPr>
            <w:r w:rsidRPr="00A81CD8">
              <w:rPr>
                <w:szCs w:val="18"/>
              </w:rPr>
              <w:t>126</w:t>
            </w:r>
          </w:p>
        </w:tc>
        <w:tc>
          <w:tcPr>
            <w:tcW w:w="992" w:type="dxa"/>
          </w:tcPr>
          <w:p w:rsidRPr="00A81CD8" w:rsidR="005A6782" w:rsidP="006C475E" w:rsidRDefault="005A6782" w14:paraId="6B590E52" w14:textId="2EC0DF05">
            <w:pPr>
              <w:jc w:val="right"/>
              <w:rPr>
                <w:szCs w:val="18"/>
              </w:rPr>
            </w:pPr>
            <w:r w:rsidRPr="00A81CD8">
              <w:rPr>
                <w:szCs w:val="18"/>
              </w:rPr>
              <w:t>105</w:t>
            </w:r>
          </w:p>
        </w:tc>
        <w:tc>
          <w:tcPr>
            <w:tcW w:w="992" w:type="dxa"/>
          </w:tcPr>
          <w:p w:rsidRPr="00A81CD8" w:rsidR="005A6782" w:rsidP="006C475E" w:rsidRDefault="005A6782" w14:paraId="52874205" w14:textId="606446D2">
            <w:pPr>
              <w:jc w:val="right"/>
              <w:rPr>
                <w:szCs w:val="18"/>
              </w:rPr>
            </w:pPr>
            <w:r w:rsidRPr="00A81CD8">
              <w:rPr>
                <w:szCs w:val="18"/>
              </w:rPr>
              <w:t>112</w:t>
            </w:r>
          </w:p>
        </w:tc>
      </w:tr>
      <w:tr w:rsidRPr="00A81CD8" w:rsidR="005A6782" w:rsidTr="006C475E" w14:paraId="65E80722" w14:textId="77777777">
        <w:tc>
          <w:tcPr>
            <w:tcW w:w="3085" w:type="dxa"/>
            <w:shd w:val="clear" w:color="auto" w:fill="D9D9D9" w:themeFill="background1" w:themeFillShade="D9"/>
          </w:tcPr>
          <w:p w:rsidRPr="00A81CD8" w:rsidR="005A6782" w:rsidP="005A6782" w:rsidRDefault="005A6782" w14:paraId="5B011B27" w14:textId="6868F840">
            <w:pPr>
              <w:rPr>
                <w:szCs w:val="18"/>
              </w:rPr>
            </w:pPr>
            <w:r w:rsidRPr="00A81CD8">
              <w:rPr>
                <w:szCs w:val="18"/>
              </w:rPr>
              <w:t>Nieuwe aanspraak op studiefinanciering</w:t>
            </w:r>
          </w:p>
        </w:tc>
        <w:tc>
          <w:tcPr>
            <w:tcW w:w="992" w:type="dxa"/>
            <w:shd w:val="clear" w:color="auto" w:fill="D9D9D9" w:themeFill="background1" w:themeFillShade="D9"/>
          </w:tcPr>
          <w:p w:rsidRPr="00A81CD8" w:rsidR="005A6782" w:rsidP="005A6782" w:rsidRDefault="005A6782" w14:paraId="547B8C8C" w14:textId="25916B6B">
            <w:pPr>
              <w:rPr>
                <w:szCs w:val="18"/>
              </w:rPr>
            </w:pPr>
            <w:r w:rsidRPr="00A81CD8">
              <w:rPr>
                <w:szCs w:val="18"/>
              </w:rPr>
              <w:t>191</w:t>
            </w:r>
          </w:p>
        </w:tc>
        <w:tc>
          <w:tcPr>
            <w:tcW w:w="992" w:type="dxa"/>
            <w:shd w:val="clear" w:color="auto" w:fill="D9D9D9" w:themeFill="background1" w:themeFillShade="D9"/>
          </w:tcPr>
          <w:p w:rsidRPr="00A81CD8" w:rsidR="005A6782" w:rsidP="005A6782" w:rsidRDefault="005A6782" w14:paraId="22CBA77C" w14:textId="15650237">
            <w:pPr>
              <w:rPr>
                <w:szCs w:val="18"/>
              </w:rPr>
            </w:pPr>
            <w:r w:rsidRPr="00A81CD8">
              <w:rPr>
                <w:szCs w:val="18"/>
              </w:rPr>
              <w:t>209</w:t>
            </w:r>
          </w:p>
        </w:tc>
        <w:tc>
          <w:tcPr>
            <w:tcW w:w="992" w:type="dxa"/>
            <w:shd w:val="clear" w:color="auto" w:fill="D9D9D9" w:themeFill="background1" w:themeFillShade="D9"/>
          </w:tcPr>
          <w:p w:rsidRPr="00A81CD8" w:rsidR="005A6782" w:rsidP="005A6782" w:rsidRDefault="005A6782" w14:paraId="79E5049A" w14:textId="3AB7D4DA">
            <w:pPr>
              <w:rPr>
                <w:szCs w:val="18"/>
              </w:rPr>
            </w:pPr>
            <w:r w:rsidRPr="00A81CD8">
              <w:rPr>
                <w:szCs w:val="18"/>
              </w:rPr>
              <w:t>172</w:t>
            </w:r>
          </w:p>
        </w:tc>
        <w:tc>
          <w:tcPr>
            <w:tcW w:w="992" w:type="dxa"/>
            <w:shd w:val="clear" w:color="auto" w:fill="D9D9D9" w:themeFill="background1" w:themeFillShade="D9"/>
          </w:tcPr>
          <w:p w:rsidRPr="00A81CD8" w:rsidR="005A6782" w:rsidP="005A6782" w:rsidRDefault="005A6782" w14:paraId="61EE8FDD" w14:textId="67E4D812">
            <w:pPr>
              <w:rPr>
                <w:szCs w:val="18"/>
              </w:rPr>
            </w:pPr>
            <w:r w:rsidRPr="00A81CD8">
              <w:rPr>
                <w:szCs w:val="18"/>
              </w:rPr>
              <w:t>174</w:t>
            </w:r>
          </w:p>
        </w:tc>
        <w:tc>
          <w:tcPr>
            <w:tcW w:w="992" w:type="dxa"/>
            <w:shd w:val="clear" w:color="auto" w:fill="D9D9D9" w:themeFill="background1" w:themeFillShade="D9"/>
          </w:tcPr>
          <w:p w:rsidRPr="00A81CD8" w:rsidR="005A6782" w:rsidP="005A6782" w:rsidRDefault="005A6782" w14:paraId="1811FE4F" w14:textId="5D634D79">
            <w:pPr>
              <w:rPr>
                <w:szCs w:val="18"/>
              </w:rPr>
            </w:pPr>
            <w:r w:rsidRPr="00A81CD8">
              <w:rPr>
                <w:szCs w:val="18"/>
              </w:rPr>
              <w:t>169</w:t>
            </w:r>
          </w:p>
        </w:tc>
        <w:tc>
          <w:tcPr>
            <w:tcW w:w="992" w:type="dxa"/>
            <w:shd w:val="clear" w:color="auto" w:fill="D9D9D9" w:themeFill="background1" w:themeFillShade="D9"/>
          </w:tcPr>
          <w:p w:rsidRPr="00A81CD8" w:rsidR="005A6782" w:rsidP="005A6782" w:rsidRDefault="005A6782" w14:paraId="0555DB31" w14:textId="468DB49E">
            <w:pPr>
              <w:rPr>
                <w:szCs w:val="18"/>
              </w:rPr>
            </w:pPr>
            <w:r w:rsidRPr="00A81CD8">
              <w:rPr>
                <w:szCs w:val="18"/>
              </w:rPr>
              <w:t>298</w:t>
            </w:r>
          </w:p>
        </w:tc>
        <w:tc>
          <w:tcPr>
            <w:tcW w:w="992" w:type="dxa"/>
            <w:shd w:val="clear" w:color="auto" w:fill="D9D9D9" w:themeFill="background1" w:themeFillShade="D9"/>
          </w:tcPr>
          <w:p w:rsidRPr="00A81CD8" w:rsidR="005A6782" w:rsidP="005A6782" w:rsidRDefault="005A6782" w14:paraId="49C6AD02" w14:textId="01751970">
            <w:pPr>
              <w:rPr>
                <w:szCs w:val="18"/>
              </w:rPr>
            </w:pPr>
            <w:r w:rsidRPr="00A81CD8">
              <w:rPr>
                <w:szCs w:val="18"/>
              </w:rPr>
              <w:t>336</w:t>
            </w:r>
          </w:p>
        </w:tc>
      </w:tr>
      <w:tr w:rsidRPr="00A81CD8" w:rsidR="005A6782" w:rsidTr="006C475E" w14:paraId="54AFFB56" w14:textId="77777777">
        <w:tc>
          <w:tcPr>
            <w:tcW w:w="3085" w:type="dxa"/>
          </w:tcPr>
          <w:p w:rsidRPr="00A81CD8" w:rsidR="005A6782" w:rsidP="001F03D3" w:rsidRDefault="005A6782" w14:paraId="478B2506" w14:textId="76862B52">
            <w:pPr>
              <w:jc w:val="right"/>
              <w:rPr>
                <w:szCs w:val="18"/>
              </w:rPr>
            </w:pPr>
            <w:r w:rsidRPr="00A81CD8">
              <w:rPr>
                <w:i/>
                <w:iCs/>
                <w:szCs w:val="18"/>
              </w:rPr>
              <w:t>Toegekend hbo en wo</w:t>
            </w:r>
          </w:p>
        </w:tc>
        <w:tc>
          <w:tcPr>
            <w:tcW w:w="992" w:type="dxa"/>
          </w:tcPr>
          <w:p w:rsidRPr="00A81CD8" w:rsidR="005A6782" w:rsidP="006C475E" w:rsidRDefault="005A6782" w14:paraId="40182914" w14:textId="3AB569CC">
            <w:pPr>
              <w:jc w:val="right"/>
              <w:rPr>
                <w:szCs w:val="18"/>
              </w:rPr>
            </w:pPr>
            <w:r w:rsidRPr="00A81CD8">
              <w:rPr>
                <w:szCs w:val="18"/>
              </w:rPr>
              <w:t>143</w:t>
            </w:r>
          </w:p>
        </w:tc>
        <w:tc>
          <w:tcPr>
            <w:tcW w:w="992" w:type="dxa"/>
          </w:tcPr>
          <w:p w:rsidRPr="00A81CD8" w:rsidR="005A6782" w:rsidP="006C475E" w:rsidRDefault="005A6782" w14:paraId="79ECAC32" w14:textId="7BE0E98E">
            <w:pPr>
              <w:jc w:val="right"/>
              <w:rPr>
                <w:szCs w:val="18"/>
              </w:rPr>
            </w:pPr>
            <w:r w:rsidRPr="00A81CD8">
              <w:rPr>
                <w:szCs w:val="18"/>
              </w:rPr>
              <w:t>152</w:t>
            </w:r>
          </w:p>
        </w:tc>
        <w:tc>
          <w:tcPr>
            <w:tcW w:w="992" w:type="dxa"/>
          </w:tcPr>
          <w:p w:rsidRPr="00A81CD8" w:rsidR="005A6782" w:rsidP="006C475E" w:rsidRDefault="005A6782" w14:paraId="0796E265" w14:textId="2375E90B">
            <w:pPr>
              <w:jc w:val="right"/>
              <w:rPr>
                <w:szCs w:val="18"/>
              </w:rPr>
            </w:pPr>
            <w:r w:rsidRPr="00A81CD8">
              <w:rPr>
                <w:szCs w:val="18"/>
              </w:rPr>
              <w:t>106</w:t>
            </w:r>
          </w:p>
        </w:tc>
        <w:tc>
          <w:tcPr>
            <w:tcW w:w="992" w:type="dxa"/>
          </w:tcPr>
          <w:p w:rsidRPr="00A81CD8" w:rsidR="005A6782" w:rsidP="006C475E" w:rsidRDefault="005A6782" w14:paraId="4277E348" w14:textId="5658F1FC">
            <w:pPr>
              <w:jc w:val="right"/>
              <w:rPr>
                <w:szCs w:val="18"/>
              </w:rPr>
            </w:pPr>
            <w:r w:rsidRPr="00A81CD8">
              <w:rPr>
                <w:szCs w:val="18"/>
              </w:rPr>
              <w:t>114</w:t>
            </w:r>
          </w:p>
        </w:tc>
        <w:tc>
          <w:tcPr>
            <w:tcW w:w="992" w:type="dxa"/>
          </w:tcPr>
          <w:p w:rsidRPr="00A81CD8" w:rsidR="005A6782" w:rsidP="006C475E" w:rsidRDefault="005A6782" w14:paraId="0C57098A" w14:textId="27EDA536">
            <w:pPr>
              <w:jc w:val="right"/>
              <w:rPr>
                <w:szCs w:val="18"/>
              </w:rPr>
            </w:pPr>
            <w:r w:rsidRPr="00A81CD8">
              <w:rPr>
                <w:szCs w:val="18"/>
              </w:rPr>
              <w:t>128</w:t>
            </w:r>
          </w:p>
        </w:tc>
        <w:tc>
          <w:tcPr>
            <w:tcW w:w="992" w:type="dxa"/>
          </w:tcPr>
          <w:p w:rsidRPr="00A81CD8" w:rsidR="005A6782" w:rsidP="006C475E" w:rsidRDefault="005A6782" w14:paraId="0215B872" w14:textId="1969EB74">
            <w:pPr>
              <w:jc w:val="right"/>
              <w:rPr>
                <w:szCs w:val="18"/>
              </w:rPr>
            </w:pPr>
            <w:r w:rsidRPr="00A81CD8">
              <w:rPr>
                <w:szCs w:val="18"/>
              </w:rPr>
              <w:t>257</w:t>
            </w:r>
          </w:p>
        </w:tc>
        <w:tc>
          <w:tcPr>
            <w:tcW w:w="992" w:type="dxa"/>
          </w:tcPr>
          <w:p w:rsidRPr="00A81CD8" w:rsidR="005A6782" w:rsidP="006C475E" w:rsidRDefault="005A6782" w14:paraId="1651A191" w14:textId="2965175F">
            <w:pPr>
              <w:jc w:val="right"/>
              <w:rPr>
                <w:szCs w:val="18"/>
              </w:rPr>
            </w:pPr>
            <w:r w:rsidRPr="00A81CD8">
              <w:rPr>
                <w:szCs w:val="18"/>
              </w:rPr>
              <w:t>283</w:t>
            </w:r>
          </w:p>
        </w:tc>
      </w:tr>
      <w:tr w:rsidRPr="00A81CD8" w:rsidR="005A6782" w:rsidTr="006C475E" w14:paraId="4B847BCA" w14:textId="77777777">
        <w:tc>
          <w:tcPr>
            <w:tcW w:w="3085" w:type="dxa"/>
          </w:tcPr>
          <w:p w:rsidRPr="00A81CD8" w:rsidR="005A6782" w:rsidP="001F03D3" w:rsidRDefault="005A6782" w14:paraId="4BC8F0EE" w14:textId="1438DD61">
            <w:pPr>
              <w:jc w:val="right"/>
              <w:rPr>
                <w:szCs w:val="18"/>
              </w:rPr>
            </w:pPr>
            <w:r w:rsidRPr="00A81CD8">
              <w:rPr>
                <w:i/>
                <w:iCs/>
                <w:szCs w:val="18"/>
              </w:rPr>
              <w:t>Toegekend mbo</w:t>
            </w:r>
          </w:p>
        </w:tc>
        <w:tc>
          <w:tcPr>
            <w:tcW w:w="992" w:type="dxa"/>
          </w:tcPr>
          <w:p w:rsidRPr="00A81CD8" w:rsidR="005A6782" w:rsidP="006C475E" w:rsidRDefault="005A6782" w14:paraId="76CFC6A8" w14:textId="38BD8BDE">
            <w:pPr>
              <w:jc w:val="right"/>
              <w:rPr>
                <w:szCs w:val="18"/>
              </w:rPr>
            </w:pPr>
            <w:r w:rsidRPr="00A81CD8">
              <w:rPr>
                <w:szCs w:val="18"/>
              </w:rPr>
              <w:t>13</w:t>
            </w:r>
          </w:p>
        </w:tc>
        <w:tc>
          <w:tcPr>
            <w:tcW w:w="992" w:type="dxa"/>
          </w:tcPr>
          <w:p w:rsidRPr="00A81CD8" w:rsidR="005A6782" w:rsidP="006C475E" w:rsidRDefault="005A6782" w14:paraId="1C04FFF6" w14:textId="61BF8AE1">
            <w:pPr>
              <w:jc w:val="right"/>
              <w:rPr>
                <w:szCs w:val="18"/>
              </w:rPr>
            </w:pPr>
            <w:r w:rsidRPr="00A81CD8">
              <w:rPr>
                <w:szCs w:val="18"/>
              </w:rPr>
              <w:t>20</w:t>
            </w:r>
          </w:p>
        </w:tc>
        <w:tc>
          <w:tcPr>
            <w:tcW w:w="992" w:type="dxa"/>
          </w:tcPr>
          <w:p w:rsidRPr="00A81CD8" w:rsidR="005A6782" w:rsidP="006C475E" w:rsidRDefault="005A6782" w14:paraId="06DC4D9F" w14:textId="732E3B63">
            <w:pPr>
              <w:jc w:val="right"/>
              <w:rPr>
                <w:szCs w:val="18"/>
              </w:rPr>
            </w:pPr>
            <w:r w:rsidRPr="00A81CD8">
              <w:rPr>
                <w:szCs w:val="18"/>
              </w:rPr>
              <w:t>16</w:t>
            </w:r>
          </w:p>
        </w:tc>
        <w:tc>
          <w:tcPr>
            <w:tcW w:w="992" w:type="dxa"/>
          </w:tcPr>
          <w:p w:rsidRPr="00A81CD8" w:rsidR="005A6782" w:rsidP="006C475E" w:rsidRDefault="005A6782" w14:paraId="4C9A8AA7" w14:textId="3E03E48C">
            <w:pPr>
              <w:jc w:val="right"/>
              <w:rPr>
                <w:szCs w:val="18"/>
              </w:rPr>
            </w:pPr>
            <w:r w:rsidRPr="00A81CD8">
              <w:rPr>
                <w:szCs w:val="18"/>
              </w:rPr>
              <w:t>23</w:t>
            </w:r>
          </w:p>
        </w:tc>
        <w:tc>
          <w:tcPr>
            <w:tcW w:w="992" w:type="dxa"/>
          </w:tcPr>
          <w:p w:rsidRPr="00A81CD8" w:rsidR="005A6782" w:rsidP="006C475E" w:rsidRDefault="005A6782" w14:paraId="5FC603DB" w14:textId="5D6C5D60">
            <w:pPr>
              <w:jc w:val="right"/>
              <w:rPr>
                <w:szCs w:val="18"/>
              </w:rPr>
            </w:pPr>
            <w:r w:rsidRPr="00A81CD8">
              <w:rPr>
                <w:szCs w:val="18"/>
              </w:rPr>
              <w:t>24</w:t>
            </w:r>
          </w:p>
        </w:tc>
        <w:tc>
          <w:tcPr>
            <w:tcW w:w="992" w:type="dxa"/>
          </w:tcPr>
          <w:p w:rsidRPr="00A81CD8" w:rsidR="005A6782" w:rsidP="006C475E" w:rsidRDefault="005A6782" w14:paraId="4A8EC492" w14:textId="0728A94E">
            <w:pPr>
              <w:jc w:val="right"/>
              <w:rPr>
                <w:szCs w:val="18"/>
              </w:rPr>
            </w:pPr>
            <w:r w:rsidRPr="00A81CD8">
              <w:rPr>
                <w:szCs w:val="18"/>
              </w:rPr>
              <w:t>22</w:t>
            </w:r>
          </w:p>
        </w:tc>
        <w:tc>
          <w:tcPr>
            <w:tcW w:w="992" w:type="dxa"/>
          </w:tcPr>
          <w:p w:rsidRPr="00A81CD8" w:rsidR="005A6782" w:rsidP="006C475E" w:rsidRDefault="005A6782" w14:paraId="6217F0F9" w14:textId="17A4ABBB">
            <w:pPr>
              <w:jc w:val="right"/>
              <w:rPr>
                <w:szCs w:val="18"/>
              </w:rPr>
            </w:pPr>
            <w:r w:rsidRPr="00A81CD8">
              <w:rPr>
                <w:szCs w:val="18"/>
              </w:rPr>
              <w:t>23</w:t>
            </w:r>
          </w:p>
        </w:tc>
      </w:tr>
      <w:tr w:rsidRPr="00A81CD8" w:rsidR="005A6782" w:rsidTr="006C475E" w14:paraId="49DF62C6" w14:textId="77777777">
        <w:tc>
          <w:tcPr>
            <w:tcW w:w="3085" w:type="dxa"/>
          </w:tcPr>
          <w:p w:rsidRPr="00A81CD8" w:rsidR="005A6782" w:rsidP="001F03D3" w:rsidRDefault="005A6782" w14:paraId="20605D13" w14:textId="64919DFD">
            <w:pPr>
              <w:jc w:val="right"/>
              <w:rPr>
                <w:szCs w:val="18"/>
              </w:rPr>
            </w:pPr>
            <w:r w:rsidRPr="00A81CD8">
              <w:rPr>
                <w:i/>
                <w:iCs/>
                <w:szCs w:val="18"/>
              </w:rPr>
              <w:t>Afgewezen</w:t>
            </w:r>
          </w:p>
        </w:tc>
        <w:tc>
          <w:tcPr>
            <w:tcW w:w="992" w:type="dxa"/>
          </w:tcPr>
          <w:p w:rsidRPr="00A81CD8" w:rsidR="005A6782" w:rsidP="006C475E" w:rsidRDefault="005A6782" w14:paraId="2BDF58C0" w14:textId="0E163788">
            <w:pPr>
              <w:jc w:val="right"/>
              <w:rPr>
                <w:szCs w:val="18"/>
              </w:rPr>
            </w:pPr>
            <w:r w:rsidRPr="00A81CD8">
              <w:rPr>
                <w:szCs w:val="18"/>
              </w:rPr>
              <w:t>35</w:t>
            </w:r>
          </w:p>
        </w:tc>
        <w:tc>
          <w:tcPr>
            <w:tcW w:w="992" w:type="dxa"/>
          </w:tcPr>
          <w:p w:rsidRPr="00A81CD8" w:rsidR="005A6782" w:rsidP="006C475E" w:rsidRDefault="005A6782" w14:paraId="325C9617" w14:textId="1EE87B36">
            <w:pPr>
              <w:jc w:val="right"/>
              <w:rPr>
                <w:szCs w:val="18"/>
              </w:rPr>
            </w:pPr>
            <w:r w:rsidRPr="00A81CD8">
              <w:rPr>
                <w:szCs w:val="18"/>
              </w:rPr>
              <w:t>37</w:t>
            </w:r>
          </w:p>
        </w:tc>
        <w:tc>
          <w:tcPr>
            <w:tcW w:w="992" w:type="dxa"/>
          </w:tcPr>
          <w:p w:rsidRPr="00A81CD8" w:rsidR="005A6782" w:rsidP="006C475E" w:rsidRDefault="005A6782" w14:paraId="24F6D01E" w14:textId="0713EFD1">
            <w:pPr>
              <w:jc w:val="right"/>
              <w:rPr>
                <w:szCs w:val="18"/>
              </w:rPr>
            </w:pPr>
            <w:r w:rsidRPr="00A81CD8">
              <w:rPr>
                <w:szCs w:val="18"/>
              </w:rPr>
              <w:t>50</w:t>
            </w:r>
          </w:p>
        </w:tc>
        <w:tc>
          <w:tcPr>
            <w:tcW w:w="992" w:type="dxa"/>
          </w:tcPr>
          <w:p w:rsidRPr="00A81CD8" w:rsidR="005A6782" w:rsidP="006C475E" w:rsidRDefault="005A6782" w14:paraId="2B9AC79F" w14:textId="27A7867B">
            <w:pPr>
              <w:jc w:val="right"/>
              <w:rPr>
                <w:szCs w:val="18"/>
              </w:rPr>
            </w:pPr>
            <w:r w:rsidRPr="00A81CD8">
              <w:rPr>
                <w:szCs w:val="18"/>
              </w:rPr>
              <w:t>37</w:t>
            </w:r>
          </w:p>
        </w:tc>
        <w:tc>
          <w:tcPr>
            <w:tcW w:w="992" w:type="dxa"/>
          </w:tcPr>
          <w:p w:rsidRPr="00A81CD8" w:rsidR="005A6782" w:rsidP="006C475E" w:rsidRDefault="005A6782" w14:paraId="6BE8E57E" w14:textId="4D5988FB">
            <w:pPr>
              <w:jc w:val="right"/>
              <w:rPr>
                <w:szCs w:val="18"/>
              </w:rPr>
            </w:pPr>
            <w:r w:rsidRPr="00A81CD8">
              <w:rPr>
                <w:szCs w:val="18"/>
              </w:rPr>
              <w:t>17</w:t>
            </w:r>
          </w:p>
        </w:tc>
        <w:tc>
          <w:tcPr>
            <w:tcW w:w="992" w:type="dxa"/>
          </w:tcPr>
          <w:p w:rsidRPr="00A81CD8" w:rsidR="005A6782" w:rsidP="006C475E" w:rsidRDefault="005A6782" w14:paraId="60B8FE98" w14:textId="47A326D1">
            <w:pPr>
              <w:jc w:val="right"/>
              <w:rPr>
                <w:szCs w:val="18"/>
              </w:rPr>
            </w:pPr>
            <w:r w:rsidRPr="00A81CD8">
              <w:rPr>
                <w:szCs w:val="18"/>
              </w:rPr>
              <w:t>19</w:t>
            </w:r>
          </w:p>
        </w:tc>
        <w:tc>
          <w:tcPr>
            <w:tcW w:w="992" w:type="dxa"/>
          </w:tcPr>
          <w:p w:rsidRPr="00A81CD8" w:rsidR="005A6782" w:rsidP="006C475E" w:rsidRDefault="005A6782" w14:paraId="340BF5BF" w14:textId="493C430E">
            <w:pPr>
              <w:jc w:val="right"/>
              <w:rPr>
                <w:szCs w:val="18"/>
              </w:rPr>
            </w:pPr>
            <w:r w:rsidRPr="00A81CD8">
              <w:rPr>
                <w:szCs w:val="18"/>
              </w:rPr>
              <w:t>30</w:t>
            </w:r>
          </w:p>
        </w:tc>
      </w:tr>
    </w:tbl>
    <w:p w:rsidRPr="00A81CD8" w:rsidR="005500CC" w:rsidP="005500CC" w:rsidRDefault="005500CC" w14:paraId="71A80819" w14:textId="77777777">
      <w:pPr>
        <w:rPr>
          <w:szCs w:val="18"/>
        </w:rPr>
      </w:pPr>
    </w:p>
    <w:p w:rsidRPr="00A81CD8" w:rsidR="005500CC" w:rsidP="005500CC" w:rsidRDefault="005500CC" w14:paraId="564B9A05" w14:textId="58845D7F">
      <w:pPr>
        <w:rPr>
          <w:szCs w:val="18"/>
        </w:rPr>
      </w:pPr>
      <w:r w:rsidRPr="00A81CD8">
        <w:rPr>
          <w:szCs w:val="18"/>
        </w:rPr>
        <w:t>Daarnaast kan DUO op grond van de hardheidsclausule kwijtschelding van de studieschuld op medische gronden verstrekken (zie ook vraag 11 en 12). Dit betreft altijd maatwerk</w:t>
      </w:r>
      <w:r w:rsidRPr="00A81CD8" w:rsidR="00A852D3">
        <w:rPr>
          <w:szCs w:val="18"/>
        </w:rPr>
        <w:t>, kent een hogere drempel dan de voorziening prestatiebeurs</w:t>
      </w:r>
      <w:r w:rsidRPr="00A81CD8">
        <w:rPr>
          <w:szCs w:val="18"/>
        </w:rPr>
        <w:t xml:space="preserve"> en deze regeling wordt enkel na afloop van de studie toegekend. Deze aantallen zijn niet uitgesplitst naar </w:t>
      </w:r>
      <w:r w:rsidR="00816678">
        <w:rPr>
          <w:szCs w:val="18"/>
        </w:rPr>
        <w:t>onderwijssoort</w:t>
      </w:r>
      <w:r w:rsidRPr="00A81CD8">
        <w:rPr>
          <w:szCs w:val="18"/>
        </w:rPr>
        <w:t xml:space="preserve">. Dit wordt voor kwijtschelding op medische gronden namelijk niet geregistreerd. </w:t>
      </w:r>
    </w:p>
    <w:p w:rsidRPr="00A81CD8" w:rsidR="00A852D3" w:rsidP="005500CC" w:rsidRDefault="00A852D3" w14:paraId="71A63F43" w14:textId="77777777">
      <w:pPr>
        <w:rPr>
          <w:szCs w:val="18"/>
        </w:rPr>
      </w:pPr>
    </w:p>
    <w:tbl>
      <w:tblPr>
        <w:tblW w:w="7740" w:type="dxa"/>
        <w:tblCellMar>
          <w:left w:w="70" w:type="dxa"/>
          <w:right w:w="70" w:type="dxa"/>
        </w:tblCellMar>
        <w:tblLook w:val="04A0" w:firstRow="1" w:lastRow="0" w:firstColumn="1" w:lastColumn="0" w:noHBand="0" w:noVBand="1"/>
      </w:tblPr>
      <w:tblGrid>
        <w:gridCol w:w="1049"/>
        <w:gridCol w:w="1344"/>
        <w:gridCol w:w="1176"/>
        <w:gridCol w:w="2411"/>
        <w:gridCol w:w="1614"/>
        <w:gridCol w:w="146"/>
      </w:tblGrid>
      <w:tr w:rsidRPr="00A81CD8" w:rsidR="00A852D3" w:rsidTr="00367FA2" w14:paraId="1ED92E9C" w14:textId="77777777">
        <w:trPr>
          <w:gridAfter w:val="1"/>
          <w:wAfter w:w="36" w:type="dxa"/>
          <w:trHeight w:val="509"/>
        </w:trPr>
        <w:tc>
          <w:tcPr>
            <w:tcW w:w="107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A852D3" w:rsidP="00367FA2" w:rsidRDefault="00A852D3" w14:paraId="485ABF1D" w14:textId="77777777">
            <w:pPr>
              <w:spacing w:line="240" w:lineRule="auto"/>
              <w:rPr>
                <w:szCs w:val="18"/>
              </w:rPr>
            </w:pPr>
            <w:r w:rsidRPr="00A81CD8">
              <w:rPr>
                <w:szCs w:val="18"/>
              </w:rPr>
              <w:t>Jaar</w:t>
            </w:r>
          </w:p>
        </w:tc>
        <w:tc>
          <w:tcPr>
            <w:tcW w:w="135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A852D3" w:rsidP="00367FA2" w:rsidRDefault="00A852D3" w14:paraId="5C62887C" w14:textId="77777777">
            <w:pPr>
              <w:spacing w:line="240" w:lineRule="auto"/>
              <w:rPr>
                <w:szCs w:val="18"/>
              </w:rPr>
            </w:pPr>
            <w:r w:rsidRPr="00A81CD8">
              <w:rPr>
                <w:szCs w:val="18"/>
              </w:rPr>
              <w:t>Aanvragen</w:t>
            </w:r>
          </w:p>
        </w:tc>
        <w:tc>
          <w:tcPr>
            <w:tcW w:w="117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A852D3" w:rsidP="00367FA2" w:rsidRDefault="00A852D3" w14:paraId="4B1AEBCA" w14:textId="77777777">
            <w:pPr>
              <w:spacing w:line="240" w:lineRule="auto"/>
              <w:rPr>
                <w:szCs w:val="18"/>
              </w:rPr>
            </w:pPr>
            <w:r w:rsidRPr="00A81CD8">
              <w:rPr>
                <w:szCs w:val="18"/>
              </w:rPr>
              <w:t>Toegekend</w:t>
            </w:r>
          </w:p>
        </w:tc>
        <w:tc>
          <w:tcPr>
            <w:tcW w:w="246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A852D3" w:rsidP="00367FA2" w:rsidRDefault="00A852D3" w14:paraId="62D4900E" w14:textId="1C64E34B">
            <w:pPr>
              <w:spacing w:line="240" w:lineRule="auto"/>
              <w:jc w:val="center"/>
              <w:rPr>
                <w:szCs w:val="18"/>
              </w:rPr>
            </w:pPr>
            <w:r w:rsidRPr="00A81CD8">
              <w:rPr>
                <w:szCs w:val="18"/>
              </w:rPr>
              <w:t>Afgewezen/</w:t>
            </w:r>
            <w:r w:rsidRPr="00A81CD8">
              <w:rPr>
                <w:szCs w:val="18"/>
              </w:rPr>
              <w:br/>
              <w:t>buiten behandeling</w:t>
            </w:r>
          </w:p>
        </w:tc>
        <w:tc>
          <w:tcPr>
            <w:tcW w:w="163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A852D3" w:rsidP="00367FA2" w:rsidRDefault="00A852D3" w14:paraId="0FA7439A" w14:textId="77777777">
            <w:pPr>
              <w:spacing w:line="240" w:lineRule="auto"/>
              <w:rPr>
                <w:szCs w:val="18"/>
              </w:rPr>
            </w:pPr>
            <w:r w:rsidRPr="00A81CD8">
              <w:rPr>
                <w:szCs w:val="18"/>
              </w:rPr>
              <w:t>In behandeling</w:t>
            </w:r>
          </w:p>
        </w:tc>
      </w:tr>
      <w:tr w:rsidRPr="00A81CD8" w:rsidR="00A852D3" w:rsidTr="00367FA2" w14:paraId="27A3518C" w14:textId="77777777">
        <w:trPr>
          <w:trHeight w:val="270"/>
        </w:trPr>
        <w:tc>
          <w:tcPr>
            <w:tcW w:w="1071" w:type="dxa"/>
            <w:vMerge/>
            <w:tcBorders>
              <w:top w:val="single" w:color="auto" w:sz="8" w:space="0"/>
              <w:left w:val="single" w:color="auto" w:sz="8" w:space="0"/>
              <w:bottom w:val="single" w:color="000000" w:sz="8" w:space="0"/>
              <w:right w:val="single" w:color="auto" w:sz="8" w:space="0"/>
            </w:tcBorders>
            <w:vAlign w:val="center"/>
            <w:hideMark/>
          </w:tcPr>
          <w:p w:rsidRPr="00A81CD8" w:rsidR="00A852D3" w:rsidP="00367FA2" w:rsidRDefault="00A852D3" w14:paraId="0CDDCAFA" w14:textId="77777777">
            <w:pPr>
              <w:spacing w:line="240" w:lineRule="auto"/>
              <w:rPr>
                <w:szCs w:val="18"/>
              </w:rPr>
            </w:pPr>
          </w:p>
        </w:tc>
        <w:tc>
          <w:tcPr>
            <w:tcW w:w="1355" w:type="dxa"/>
            <w:vMerge/>
            <w:tcBorders>
              <w:top w:val="single" w:color="auto" w:sz="8" w:space="0"/>
              <w:left w:val="single" w:color="auto" w:sz="8" w:space="0"/>
              <w:bottom w:val="single" w:color="000000" w:sz="8" w:space="0"/>
              <w:right w:val="single" w:color="auto" w:sz="8" w:space="0"/>
            </w:tcBorders>
            <w:vAlign w:val="center"/>
            <w:hideMark/>
          </w:tcPr>
          <w:p w:rsidRPr="00A81CD8" w:rsidR="00A852D3" w:rsidP="00367FA2" w:rsidRDefault="00A852D3" w14:paraId="33C0840E" w14:textId="77777777">
            <w:pPr>
              <w:spacing w:line="240" w:lineRule="auto"/>
              <w:rPr>
                <w:szCs w:val="18"/>
              </w:rPr>
            </w:pPr>
          </w:p>
        </w:tc>
        <w:tc>
          <w:tcPr>
            <w:tcW w:w="1178" w:type="dxa"/>
            <w:vMerge/>
            <w:tcBorders>
              <w:top w:val="single" w:color="auto" w:sz="8" w:space="0"/>
              <w:left w:val="single" w:color="auto" w:sz="8" w:space="0"/>
              <w:bottom w:val="single" w:color="000000" w:sz="8" w:space="0"/>
              <w:right w:val="single" w:color="auto" w:sz="8" w:space="0"/>
            </w:tcBorders>
            <w:vAlign w:val="center"/>
            <w:hideMark/>
          </w:tcPr>
          <w:p w:rsidRPr="00A81CD8" w:rsidR="00A852D3" w:rsidP="00367FA2" w:rsidRDefault="00A852D3" w14:paraId="7B96DF81" w14:textId="77777777">
            <w:pPr>
              <w:spacing w:line="240" w:lineRule="auto"/>
              <w:rPr>
                <w:szCs w:val="18"/>
              </w:rPr>
            </w:pPr>
          </w:p>
        </w:tc>
        <w:tc>
          <w:tcPr>
            <w:tcW w:w="2468" w:type="dxa"/>
            <w:vMerge/>
            <w:tcBorders>
              <w:top w:val="single" w:color="auto" w:sz="8" w:space="0"/>
              <w:left w:val="single" w:color="auto" w:sz="8" w:space="0"/>
              <w:bottom w:val="single" w:color="000000" w:sz="8" w:space="0"/>
              <w:right w:val="single" w:color="auto" w:sz="8" w:space="0"/>
            </w:tcBorders>
            <w:vAlign w:val="center"/>
            <w:hideMark/>
          </w:tcPr>
          <w:p w:rsidRPr="00A81CD8" w:rsidR="00A852D3" w:rsidP="00367FA2" w:rsidRDefault="00A852D3" w14:paraId="66095092" w14:textId="77777777">
            <w:pPr>
              <w:spacing w:line="240" w:lineRule="auto"/>
              <w:rPr>
                <w:szCs w:val="18"/>
              </w:rPr>
            </w:pPr>
          </w:p>
        </w:tc>
        <w:tc>
          <w:tcPr>
            <w:tcW w:w="1632" w:type="dxa"/>
            <w:vMerge/>
            <w:tcBorders>
              <w:top w:val="single" w:color="auto" w:sz="8" w:space="0"/>
              <w:left w:val="single" w:color="auto" w:sz="8" w:space="0"/>
              <w:bottom w:val="single" w:color="000000" w:sz="8" w:space="0"/>
              <w:right w:val="single" w:color="auto" w:sz="8" w:space="0"/>
            </w:tcBorders>
            <w:vAlign w:val="center"/>
            <w:hideMark/>
          </w:tcPr>
          <w:p w:rsidRPr="00A81CD8" w:rsidR="00A852D3" w:rsidP="00367FA2" w:rsidRDefault="00A852D3" w14:paraId="0E64E2DC" w14:textId="77777777">
            <w:pPr>
              <w:spacing w:line="240" w:lineRule="auto"/>
              <w:rPr>
                <w:szCs w:val="18"/>
              </w:rPr>
            </w:pPr>
          </w:p>
        </w:tc>
        <w:tc>
          <w:tcPr>
            <w:tcW w:w="36" w:type="dxa"/>
            <w:tcBorders>
              <w:top w:val="nil"/>
              <w:left w:val="nil"/>
              <w:bottom w:val="nil"/>
              <w:right w:val="nil"/>
            </w:tcBorders>
            <w:shd w:val="clear" w:color="auto" w:fill="auto"/>
            <w:noWrap/>
            <w:vAlign w:val="bottom"/>
            <w:hideMark/>
          </w:tcPr>
          <w:p w:rsidRPr="00A81CD8" w:rsidR="00A852D3" w:rsidP="00367FA2" w:rsidRDefault="00A852D3" w14:paraId="4F5FC206" w14:textId="77777777">
            <w:pPr>
              <w:spacing w:line="240" w:lineRule="auto"/>
              <w:rPr>
                <w:szCs w:val="18"/>
              </w:rPr>
            </w:pPr>
          </w:p>
        </w:tc>
      </w:tr>
      <w:tr w:rsidRPr="00A81CD8" w:rsidR="00A852D3" w:rsidTr="00367FA2" w14:paraId="59F594BE"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A852D3" w:rsidP="00367FA2" w:rsidRDefault="00A852D3" w14:paraId="3F7C3AE1" w14:textId="77777777">
            <w:pPr>
              <w:spacing w:line="240" w:lineRule="auto"/>
              <w:jc w:val="right"/>
              <w:rPr>
                <w:szCs w:val="18"/>
              </w:rPr>
            </w:pPr>
            <w:r w:rsidRPr="00A81CD8">
              <w:rPr>
                <w:szCs w:val="18"/>
              </w:rPr>
              <w:t>2019</w:t>
            </w:r>
          </w:p>
        </w:tc>
        <w:tc>
          <w:tcPr>
            <w:tcW w:w="1355"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1BEBAD78" w14:textId="77777777">
            <w:pPr>
              <w:spacing w:line="240" w:lineRule="auto"/>
              <w:jc w:val="right"/>
              <w:rPr>
                <w:szCs w:val="18"/>
              </w:rPr>
            </w:pPr>
            <w:r w:rsidRPr="00A81CD8">
              <w:rPr>
                <w:szCs w:val="18"/>
              </w:rPr>
              <w:t>332</w:t>
            </w:r>
          </w:p>
        </w:tc>
        <w:tc>
          <w:tcPr>
            <w:tcW w:w="117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3B6AA55E" w14:textId="77777777">
            <w:pPr>
              <w:spacing w:line="240" w:lineRule="auto"/>
              <w:jc w:val="right"/>
              <w:rPr>
                <w:szCs w:val="18"/>
              </w:rPr>
            </w:pPr>
            <w:r w:rsidRPr="00A81CD8">
              <w:rPr>
                <w:szCs w:val="18"/>
              </w:rPr>
              <w:t>35</w:t>
            </w:r>
          </w:p>
        </w:tc>
        <w:tc>
          <w:tcPr>
            <w:tcW w:w="246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0556D9A6" w14:textId="77777777">
            <w:pPr>
              <w:spacing w:line="240" w:lineRule="auto"/>
              <w:jc w:val="right"/>
              <w:rPr>
                <w:szCs w:val="18"/>
              </w:rPr>
            </w:pPr>
            <w:r w:rsidRPr="00A81CD8">
              <w:rPr>
                <w:szCs w:val="18"/>
              </w:rPr>
              <w:t>297</w:t>
            </w:r>
          </w:p>
        </w:tc>
        <w:tc>
          <w:tcPr>
            <w:tcW w:w="1632"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FE86841" w14:textId="77777777">
            <w:pPr>
              <w:spacing w:line="240" w:lineRule="auto"/>
              <w:rPr>
                <w:szCs w:val="18"/>
              </w:rPr>
            </w:pPr>
            <w:r w:rsidRPr="00A81CD8">
              <w:rPr>
                <w:szCs w:val="18"/>
              </w:rPr>
              <w:t> </w:t>
            </w:r>
          </w:p>
        </w:tc>
        <w:tc>
          <w:tcPr>
            <w:tcW w:w="36" w:type="dxa"/>
            <w:vAlign w:val="center"/>
            <w:hideMark/>
          </w:tcPr>
          <w:p w:rsidRPr="00A81CD8" w:rsidR="00A852D3" w:rsidP="00367FA2" w:rsidRDefault="00A852D3" w14:paraId="41F4733C" w14:textId="77777777">
            <w:pPr>
              <w:spacing w:line="240" w:lineRule="auto"/>
              <w:rPr>
                <w:rFonts w:ascii="Times New Roman" w:hAnsi="Times New Roman"/>
                <w:sz w:val="20"/>
                <w:szCs w:val="20"/>
              </w:rPr>
            </w:pPr>
          </w:p>
        </w:tc>
      </w:tr>
      <w:tr w:rsidRPr="00A81CD8" w:rsidR="00A852D3" w:rsidTr="00367FA2" w14:paraId="3F7553ED"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A852D3" w:rsidP="00367FA2" w:rsidRDefault="00A852D3" w14:paraId="3D5835F5" w14:textId="77777777">
            <w:pPr>
              <w:spacing w:line="240" w:lineRule="auto"/>
              <w:jc w:val="right"/>
              <w:rPr>
                <w:szCs w:val="18"/>
              </w:rPr>
            </w:pPr>
            <w:r w:rsidRPr="00A81CD8">
              <w:rPr>
                <w:szCs w:val="18"/>
              </w:rPr>
              <w:t>2020</w:t>
            </w:r>
          </w:p>
        </w:tc>
        <w:tc>
          <w:tcPr>
            <w:tcW w:w="1355"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7C1AD849" w14:textId="77777777">
            <w:pPr>
              <w:spacing w:line="240" w:lineRule="auto"/>
              <w:jc w:val="right"/>
              <w:rPr>
                <w:szCs w:val="18"/>
              </w:rPr>
            </w:pPr>
            <w:r w:rsidRPr="00A81CD8">
              <w:rPr>
                <w:szCs w:val="18"/>
              </w:rPr>
              <w:t>342</w:t>
            </w:r>
          </w:p>
        </w:tc>
        <w:tc>
          <w:tcPr>
            <w:tcW w:w="117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2CE85205" w14:textId="77777777">
            <w:pPr>
              <w:spacing w:line="240" w:lineRule="auto"/>
              <w:jc w:val="right"/>
              <w:rPr>
                <w:szCs w:val="18"/>
              </w:rPr>
            </w:pPr>
            <w:r w:rsidRPr="00A81CD8">
              <w:rPr>
                <w:szCs w:val="18"/>
              </w:rPr>
              <w:t>29</w:t>
            </w:r>
          </w:p>
        </w:tc>
        <w:tc>
          <w:tcPr>
            <w:tcW w:w="246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79F5A10" w14:textId="77777777">
            <w:pPr>
              <w:spacing w:line="240" w:lineRule="auto"/>
              <w:jc w:val="right"/>
              <w:rPr>
                <w:szCs w:val="18"/>
              </w:rPr>
            </w:pPr>
            <w:r w:rsidRPr="00A81CD8">
              <w:rPr>
                <w:szCs w:val="18"/>
              </w:rPr>
              <w:t>313</w:t>
            </w:r>
          </w:p>
        </w:tc>
        <w:tc>
          <w:tcPr>
            <w:tcW w:w="1632"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74F0641" w14:textId="77777777">
            <w:pPr>
              <w:spacing w:line="240" w:lineRule="auto"/>
              <w:rPr>
                <w:szCs w:val="18"/>
              </w:rPr>
            </w:pPr>
            <w:r w:rsidRPr="00A81CD8">
              <w:rPr>
                <w:szCs w:val="18"/>
              </w:rPr>
              <w:t> </w:t>
            </w:r>
          </w:p>
        </w:tc>
        <w:tc>
          <w:tcPr>
            <w:tcW w:w="36" w:type="dxa"/>
            <w:vAlign w:val="center"/>
            <w:hideMark/>
          </w:tcPr>
          <w:p w:rsidRPr="00A81CD8" w:rsidR="00A852D3" w:rsidP="00367FA2" w:rsidRDefault="00A852D3" w14:paraId="5DAFE1C6" w14:textId="77777777">
            <w:pPr>
              <w:spacing w:line="240" w:lineRule="auto"/>
              <w:rPr>
                <w:rFonts w:ascii="Times New Roman" w:hAnsi="Times New Roman"/>
                <w:sz w:val="20"/>
                <w:szCs w:val="20"/>
              </w:rPr>
            </w:pPr>
          </w:p>
        </w:tc>
      </w:tr>
      <w:tr w:rsidRPr="00A81CD8" w:rsidR="00A852D3" w:rsidTr="00367FA2" w14:paraId="52AF21F5"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A852D3" w:rsidP="00367FA2" w:rsidRDefault="00A852D3" w14:paraId="132193A0" w14:textId="77777777">
            <w:pPr>
              <w:spacing w:line="240" w:lineRule="auto"/>
              <w:jc w:val="right"/>
              <w:rPr>
                <w:szCs w:val="18"/>
              </w:rPr>
            </w:pPr>
            <w:r w:rsidRPr="00A81CD8">
              <w:rPr>
                <w:szCs w:val="18"/>
              </w:rPr>
              <w:t>2021</w:t>
            </w:r>
          </w:p>
        </w:tc>
        <w:tc>
          <w:tcPr>
            <w:tcW w:w="1355"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0A292384" w14:textId="77777777">
            <w:pPr>
              <w:spacing w:line="240" w:lineRule="auto"/>
              <w:jc w:val="right"/>
              <w:rPr>
                <w:szCs w:val="18"/>
              </w:rPr>
            </w:pPr>
            <w:r w:rsidRPr="00A81CD8">
              <w:rPr>
                <w:szCs w:val="18"/>
              </w:rPr>
              <w:t>387</w:t>
            </w:r>
          </w:p>
        </w:tc>
        <w:tc>
          <w:tcPr>
            <w:tcW w:w="117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7442FE1" w14:textId="77777777">
            <w:pPr>
              <w:spacing w:line="240" w:lineRule="auto"/>
              <w:jc w:val="right"/>
              <w:rPr>
                <w:szCs w:val="18"/>
              </w:rPr>
            </w:pPr>
            <w:r w:rsidRPr="00A81CD8">
              <w:rPr>
                <w:szCs w:val="18"/>
              </w:rPr>
              <w:t>54</w:t>
            </w:r>
          </w:p>
        </w:tc>
        <w:tc>
          <w:tcPr>
            <w:tcW w:w="246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3DEDBC08" w14:textId="77777777">
            <w:pPr>
              <w:spacing w:line="240" w:lineRule="auto"/>
              <w:jc w:val="right"/>
              <w:rPr>
                <w:szCs w:val="18"/>
              </w:rPr>
            </w:pPr>
            <w:r w:rsidRPr="00A81CD8">
              <w:rPr>
                <w:szCs w:val="18"/>
              </w:rPr>
              <w:t>333</w:t>
            </w:r>
          </w:p>
        </w:tc>
        <w:tc>
          <w:tcPr>
            <w:tcW w:w="1632"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4534AF5" w14:textId="77777777">
            <w:pPr>
              <w:spacing w:line="240" w:lineRule="auto"/>
              <w:rPr>
                <w:szCs w:val="18"/>
              </w:rPr>
            </w:pPr>
            <w:r w:rsidRPr="00A81CD8">
              <w:rPr>
                <w:szCs w:val="18"/>
              </w:rPr>
              <w:t> </w:t>
            </w:r>
          </w:p>
        </w:tc>
        <w:tc>
          <w:tcPr>
            <w:tcW w:w="36" w:type="dxa"/>
            <w:vAlign w:val="center"/>
            <w:hideMark/>
          </w:tcPr>
          <w:p w:rsidRPr="00A81CD8" w:rsidR="00A852D3" w:rsidP="00367FA2" w:rsidRDefault="00A852D3" w14:paraId="6A6F80DA" w14:textId="77777777">
            <w:pPr>
              <w:spacing w:line="240" w:lineRule="auto"/>
              <w:rPr>
                <w:rFonts w:ascii="Times New Roman" w:hAnsi="Times New Roman"/>
                <w:sz w:val="20"/>
                <w:szCs w:val="20"/>
              </w:rPr>
            </w:pPr>
          </w:p>
        </w:tc>
      </w:tr>
      <w:tr w:rsidRPr="00A81CD8" w:rsidR="00A852D3" w:rsidTr="00367FA2" w14:paraId="47FC1A76"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A852D3" w:rsidP="00367FA2" w:rsidRDefault="00A852D3" w14:paraId="23B68A06" w14:textId="77777777">
            <w:pPr>
              <w:spacing w:line="240" w:lineRule="auto"/>
              <w:jc w:val="right"/>
              <w:rPr>
                <w:szCs w:val="18"/>
              </w:rPr>
            </w:pPr>
            <w:r w:rsidRPr="00A81CD8">
              <w:rPr>
                <w:szCs w:val="18"/>
              </w:rPr>
              <w:t>2022</w:t>
            </w:r>
          </w:p>
        </w:tc>
        <w:tc>
          <w:tcPr>
            <w:tcW w:w="1355"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2CD9CFBD" w14:textId="77777777">
            <w:pPr>
              <w:spacing w:line="240" w:lineRule="auto"/>
              <w:jc w:val="right"/>
              <w:rPr>
                <w:szCs w:val="18"/>
              </w:rPr>
            </w:pPr>
            <w:r w:rsidRPr="00A81CD8">
              <w:rPr>
                <w:szCs w:val="18"/>
              </w:rPr>
              <w:t>463</w:t>
            </w:r>
          </w:p>
        </w:tc>
        <w:tc>
          <w:tcPr>
            <w:tcW w:w="117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3B034B0B" w14:textId="77777777">
            <w:pPr>
              <w:spacing w:line="240" w:lineRule="auto"/>
              <w:jc w:val="right"/>
              <w:rPr>
                <w:szCs w:val="18"/>
              </w:rPr>
            </w:pPr>
            <w:r w:rsidRPr="00A81CD8">
              <w:rPr>
                <w:szCs w:val="18"/>
              </w:rPr>
              <w:t>44</w:t>
            </w:r>
          </w:p>
        </w:tc>
        <w:tc>
          <w:tcPr>
            <w:tcW w:w="246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0862C67B" w14:textId="77777777">
            <w:pPr>
              <w:spacing w:line="240" w:lineRule="auto"/>
              <w:jc w:val="right"/>
              <w:rPr>
                <w:szCs w:val="18"/>
              </w:rPr>
            </w:pPr>
            <w:r w:rsidRPr="00A81CD8">
              <w:rPr>
                <w:szCs w:val="18"/>
              </w:rPr>
              <w:t>326</w:t>
            </w:r>
          </w:p>
        </w:tc>
        <w:tc>
          <w:tcPr>
            <w:tcW w:w="1632"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50651C39" w14:textId="77777777">
            <w:pPr>
              <w:spacing w:line="240" w:lineRule="auto"/>
              <w:jc w:val="right"/>
              <w:rPr>
                <w:szCs w:val="18"/>
              </w:rPr>
            </w:pPr>
            <w:r w:rsidRPr="00A81CD8">
              <w:rPr>
                <w:szCs w:val="18"/>
              </w:rPr>
              <w:t>93</w:t>
            </w:r>
          </w:p>
        </w:tc>
        <w:tc>
          <w:tcPr>
            <w:tcW w:w="36" w:type="dxa"/>
            <w:vAlign w:val="center"/>
            <w:hideMark/>
          </w:tcPr>
          <w:p w:rsidRPr="00A81CD8" w:rsidR="00A852D3" w:rsidP="00367FA2" w:rsidRDefault="00A852D3" w14:paraId="51F891BE" w14:textId="77777777">
            <w:pPr>
              <w:spacing w:line="240" w:lineRule="auto"/>
              <w:rPr>
                <w:rFonts w:ascii="Times New Roman" w:hAnsi="Times New Roman"/>
                <w:sz w:val="20"/>
                <w:szCs w:val="20"/>
              </w:rPr>
            </w:pPr>
          </w:p>
        </w:tc>
      </w:tr>
      <w:tr w:rsidRPr="00A81CD8" w:rsidR="00A852D3" w:rsidTr="00367FA2" w14:paraId="4C5AFD2B"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A852D3" w:rsidP="00367FA2" w:rsidRDefault="00A852D3" w14:paraId="2D90050C" w14:textId="77777777">
            <w:pPr>
              <w:spacing w:line="240" w:lineRule="auto"/>
              <w:jc w:val="right"/>
              <w:rPr>
                <w:szCs w:val="18"/>
              </w:rPr>
            </w:pPr>
            <w:r w:rsidRPr="00A81CD8">
              <w:rPr>
                <w:szCs w:val="18"/>
              </w:rPr>
              <w:t>2023</w:t>
            </w:r>
          </w:p>
        </w:tc>
        <w:tc>
          <w:tcPr>
            <w:tcW w:w="1355"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091E7195" w14:textId="77777777">
            <w:pPr>
              <w:spacing w:line="240" w:lineRule="auto"/>
              <w:jc w:val="right"/>
              <w:rPr>
                <w:szCs w:val="18"/>
              </w:rPr>
            </w:pPr>
            <w:r w:rsidRPr="00A81CD8">
              <w:rPr>
                <w:szCs w:val="18"/>
              </w:rPr>
              <w:t>708</w:t>
            </w:r>
          </w:p>
        </w:tc>
        <w:tc>
          <w:tcPr>
            <w:tcW w:w="117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FF81AE5" w14:textId="77777777">
            <w:pPr>
              <w:spacing w:line="240" w:lineRule="auto"/>
              <w:jc w:val="right"/>
              <w:rPr>
                <w:szCs w:val="18"/>
              </w:rPr>
            </w:pPr>
            <w:r w:rsidRPr="00A81CD8">
              <w:rPr>
                <w:szCs w:val="18"/>
              </w:rPr>
              <w:t>22</w:t>
            </w:r>
          </w:p>
        </w:tc>
        <w:tc>
          <w:tcPr>
            <w:tcW w:w="246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1C2CC51F" w14:textId="77777777">
            <w:pPr>
              <w:spacing w:line="240" w:lineRule="auto"/>
              <w:jc w:val="right"/>
              <w:rPr>
                <w:szCs w:val="18"/>
              </w:rPr>
            </w:pPr>
            <w:r w:rsidRPr="00A81CD8">
              <w:rPr>
                <w:szCs w:val="18"/>
              </w:rPr>
              <w:t>85</w:t>
            </w:r>
          </w:p>
        </w:tc>
        <w:tc>
          <w:tcPr>
            <w:tcW w:w="1632"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7C92E889" w14:textId="77777777">
            <w:pPr>
              <w:spacing w:line="240" w:lineRule="auto"/>
              <w:jc w:val="right"/>
              <w:rPr>
                <w:szCs w:val="18"/>
              </w:rPr>
            </w:pPr>
            <w:r w:rsidRPr="00A81CD8">
              <w:rPr>
                <w:szCs w:val="18"/>
              </w:rPr>
              <w:t>601</w:t>
            </w:r>
          </w:p>
        </w:tc>
        <w:tc>
          <w:tcPr>
            <w:tcW w:w="36" w:type="dxa"/>
            <w:vAlign w:val="center"/>
            <w:hideMark/>
          </w:tcPr>
          <w:p w:rsidRPr="00A81CD8" w:rsidR="00A852D3" w:rsidP="00367FA2" w:rsidRDefault="00A852D3" w14:paraId="2AEFCB67" w14:textId="77777777">
            <w:pPr>
              <w:spacing w:line="240" w:lineRule="auto"/>
              <w:rPr>
                <w:rFonts w:ascii="Times New Roman" w:hAnsi="Times New Roman"/>
                <w:sz w:val="20"/>
                <w:szCs w:val="20"/>
              </w:rPr>
            </w:pPr>
          </w:p>
        </w:tc>
      </w:tr>
      <w:tr w:rsidRPr="00A81CD8" w:rsidR="00A852D3" w:rsidTr="00367FA2" w14:paraId="712AAA3D"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A852D3" w:rsidP="00367FA2" w:rsidRDefault="00A852D3" w14:paraId="59AF30CA" w14:textId="77777777">
            <w:pPr>
              <w:spacing w:line="240" w:lineRule="auto"/>
              <w:jc w:val="right"/>
              <w:rPr>
                <w:szCs w:val="18"/>
              </w:rPr>
            </w:pPr>
            <w:r w:rsidRPr="00A81CD8">
              <w:rPr>
                <w:szCs w:val="18"/>
              </w:rPr>
              <w:t>2024</w:t>
            </w:r>
          </w:p>
        </w:tc>
        <w:tc>
          <w:tcPr>
            <w:tcW w:w="1355"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30EF8AE1" w14:textId="77777777">
            <w:pPr>
              <w:spacing w:line="240" w:lineRule="auto"/>
              <w:jc w:val="right"/>
              <w:rPr>
                <w:szCs w:val="18"/>
              </w:rPr>
            </w:pPr>
            <w:r w:rsidRPr="00A81CD8">
              <w:rPr>
                <w:szCs w:val="18"/>
              </w:rPr>
              <w:t>910</w:t>
            </w:r>
          </w:p>
        </w:tc>
        <w:tc>
          <w:tcPr>
            <w:tcW w:w="117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70AF96E1" w14:textId="77777777">
            <w:pPr>
              <w:spacing w:line="240" w:lineRule="auto"/>
              <w:jc w:val="right"/>
              <w:rPr>
                <w:szCs w:val="18"/>
              </w:rPr>
            </w:pPr>
            <w:r w:rsidRPr="00A81CD8">
              <w:rPr>
                <w:szCs w:val="18"/>
              </w:rPr>
              <w:t>3</w:t>
            </w:r>
          </w:p>
        </w:tc>
        <w:tc>
          <w:tcPr>
            <w:tcW w:w="2468"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1B3C17F9" w14:textId="77777777">
            <w:pPr>
              <w:spacing w:line="240" w:lineRule="auto"/>
              <w:jc w:val="right"/>
              <w:rPr>
                <w:szCs w:val="18"/>
              </w:rPr>
            </w:pPr>
            <w:r w:rsidRPr="00A81CD8">
              <w:rPr>
                <w:szCs w:val="18"/>
              </w:rPr>
              <w:t>7</w:t>
            </w:r>
          </w:p>
        </w:tc>
        <w:tc>
          <w:tcPr>
            <w:tcW w:w="1632" w:type="dxa"/>
            <w:tcBorders>
              <w:top w:val="nil"/>
              <w:left w:val="nil"/>
              <w:bottom w:val="single" w:color="auto" w:sz="8" w:space="0"/>
              <w:right w:val="single" w:color="auto" w:sz="8" w:space="0"/>
            </w:tcBorders>
            <w:shd w:val="clear" w:color="auto" w:fill="auto"/>
            <w:vAlign w:val="center"/>
            <w:hideMark/>
          </w:tcPr>
          <w:p w:rsidRPr="00A81CD8" w:rsidR="00A852D3" w:rsidP="00367FA2" w:rsidRDefault="00A852D3" w14:paraId="6B706407" w14:textId="77777777">
            <w:pPr>
              <w:spacing w:line="240" w:lineRule="auto"/>
              <w:jc w:val="right"/>
              <w:rPr>
                <w:szCs w:val="18"/>
              </w:rPr>
            </w:pPr>
            <w:r w:rsidRPr="00A81CD8">
              <w:rPr>
                <w:szCs w:val="18"/>
              </w:rPr>
              <w:t>900</w:t>
            </w:r>
          </w:p>
        </w:tc>
        <w:tc>
          <w:tcPr>
            <w:tcW w:w="36" w:type="dxa"/>
            <w:vAlign w:val="center"/>
            <w:hideMark/>
          </w:tcPr>
          <w:p w:rsidRPr="00A81CD8" w:rsidR="00A852D3" w:rsidP="00367FA2" w:rsidRDefault="00A852D3" w14:paraId="51BA3FB3" w14:textId="77777777">
            <w:pPr>
              <w:spacing w:line="240" w:lineRule="auto"/>
              <w:rPr>
                <w:rFonts w:ascii="Times New Roman" w:hAnsi="Times New Roman"/>
                <w:sz w:val="20"/>
                <w:szCs w:val="20"/>
              </w:rPr>
            </w:pPr>
          </w:p>
        </w:tc>
      </w:tr>
    </w:tbl>
    <w:p w:rsidRPr="00A81CD8" w:rsidR="00A852D3" w:rsidP="005500CC" w:rsidRDefault="00A852D3" w14:paraId="404221F9" w14:textId="77777777">
      <w:pPr>
        <w:rPr>
          <w:szCs w:val="18"/>
        </w:rPr>
      </w:pPr>
    </w:p>
    <w:p w:rsidRPr="00A81CD8" w:rsidR="00A852D3" w:rsidP="005500CC" w:rsidRDefault="00A852D3" w14:paraId="304F91C6" w14:textId="6F5637C1">
      <w:pPr>
        <w:rPr>
          <w:szCs w:val="18"/>
        </w:rPr>
      </w:pPr>
      <w:r w:rsidRPr="00A81CD8">
        <w:rPr>
          <w:szCs w:val="18"/>
        </w:rPr>
        <w:t>Zoals eerder gemeld aan uw Kamer in antwoord op vragen van het lid Westerveld</w:t>
      </w:r>
      <w:r w:rsidRPr="00A81CD8" w:rsidR="00EA7B1B">
        <w:rPr>
          <w:rStyle w:val="Voetnootmarkering"/>
          <w:szCs w:val="18"/>
        </w:rPr>
        <w:footnoteReference w:id="6"/>
      </w:r>
      <w:r w:rsidRPr="00A81CD8">
        <w:rPr>
          <w:szCs w:val="18"/>
        </w:rPr>
        <w:t xml:space="preserve"> heeft de beoordeling van deze aanvragen in de periode november </w:t>
      </w:r>
      <w:r w:rsidRPr="00A81CD8">
        <w:rPr>
          <w:szCs w:val="18"/>
        </w:rPr>
        <w:lastRenderedPageBreak/>
        <w:t>2022 tot en met ongeveer oktober 2023 stil gelegen. Het behandelen van aanvragen is sinds oktober 2023 weer stapsgewijs gestart</w:t>
      </w:r>
      <w:r w:rsidRPr="00A81CD8" w:rsidR="00A05722">
        <w:rPr>
          <w:szCs w:val="18"/>
        </w:rPr>
        <w:t xml:space="preserve"> en geïntensiveerd</w:t>
      </w:r>
      <w:r w:rsidRPr="00A81CD8">
        <w:rPr>
          <w:szCs w:val="18"/>
        </w:rPr>
        <w:t>.</w:t>
      </w:r>
      <w:r w:rsidR="00D735AF">
        <w:rPr>
          <w:szCs w:val="18"/>
        </w:rPr>
        <w:t xml:space="preserve"> </w:t>
      </w:r>
      <w:r w:rsidRPr="00D735AF" w:rsidR="00D735AF">
        <w:rPr>
          <w:szCs w:val="18"/>
        </w:rPr>
        <w:t>In 2024 zijn aanvullende maatregelen genomen en is o.a. een externe partner</w:t>
      </w:r>
      <w:r w:rsidRPr="00192E11" w:rsidR="00D735AF">
        <w:rPr>
          <w:szCs w:val="18"/>
        </w:rPr>
        <w:t xml:space="preserve"> geworven die ook in de komende jaren gaat helpen bij de afhandeling van medische dossier.</w:t>
      </w:r>
      <w:r w:rsidRPr="00A81CD8">
        <w:rPr>
          <w:szCs w:val="18"/>
        </w:rPr>
        <w:t xml:space="preserve"> Het afhandelen van de verzoeken kent een vrij lange doorlooptijd (opvragen van gegevens bij (oud)studenten en artsen) waardoor het inlopen van de voorraad tijd zal kosten. Het resultaat van de extra inzet wordt in de loop van 2025 steeds beter merkbaar voor de (oud)studenten.  </w:t>
      </w:r>
    </w:p>
    <w:p w:rsidRPr="00A81CD8" w:rsidR="009440EF" w:rsidP="00820DDA" w:rsidRDefault="009440EF" w14:paraId="3DC6AF43" w14:textId="77777777">
      <w:pPr>
        <w:pStyle w:val="standaard-tekst"/>
      </w:pPr>
    </w:p>
    <w:p w:rsidRPr="00A81CD8" w:rsidR="009440EF" w:rsidP="00820DDA" w:rsidRDefault="009440EF" w14:paraId="0504E660" w14:textId="4EBC57B7">
      <w:pPr>
        <w:pStyle w:val="standaard-tekst"/>
      </w:pPr>
      <w:r w:rsidRPr="00A81CD8">
        <w:t>Vraag 8</w:t>
      </w:r>
    </w:p>
    <w:p w:rsidRPr="00816678" w:rsidR="009440EF" w:rsidP="00820DDA" w:rsidRDefault="009440EF" w14:paraId="2D142BF6" w14:textId="00611E89">
      <w:pPr>
        <w:pStyle w:val="standaard-tekst"/>
      </w:pPr>
      <w:r w:rsidRPr="00816678">
        <w:t>Kunt u vervolgens een vergelijking maken met de periode voor de aanpassing van de Wajong in 2021 en aangeven of u grote verschillen ziet?</w:t>
      </w:r>
    </w:p>
    <w:p w:rsidRPr="00A81CD8" w:rsidR="009440EF" w:rsidP="00820DDA" w:rsidRDefault="009440EF" w14:paraId="5FE86F21" w14:textId="77777777">
      <w:pPr>
        <w:pStyle w:val="standaard-tekst"/>
        <w:rPr>
          <w:i/>
          <w:iCs/>
        </w:rPr>
      </w:pPr>
    </w:p>
    <w:p w:rsidRPr="00A81CD8" w:rsidR="009440EF" w:rsidP="00820DDA" w:rsidRDefault="009440EF" w14:paraId="4F79F7A3" w14:textId="3ABCD1B5">
      <w:pPr>
        <w:pStyle w:val="standaard-tekst"/>
      </w:pPr>
      <w:r w:rsidRPr="00A81CD8">
        <w:t>Antwoord</w:t>
      </w:r>
      <w:r w:rsidR="00816678">
        <w:t xml:space="preserve"> 8</w:t>
      </w:r>
    </w:p>
    <w:p w:rsidRPr="00A81CD8" w:rsidR="005500CC" w:rsidP="005500CC" w:rsidRDefault="005500CC" w14:paraId="6D0CFF4A" w14:textId="20C36D43">
      <w:pPr>
        <w:rPr>
          <w:szCs w:val="18"/>
        </w:rPr>
      </w:pPr>
      <w:r w:rsidRPr="00A81CD8">
        <w:rPr>
          <w:szCs w:val="18"/>
        </w:rPr>
        <w:t>Er is sinds 2018 sprake van een stijgende trend</w:t>
      </w:r>
      <w:r w:rsidRPr="00A81CD8" w:rsidR="009D417C">
        <w:rPr>
          <w:szCs w:val="18"/>
        </w:rPr>
        <w:t>, die met name zichtbaar is in 2023 en 2024</w:t>
      </w:r>
      <w:r w:rsidRPr="00A81CD8">
        <w:rPr>
          <w:szCs w:val="18"/>
        </w:rPr>
        <w:t xml:space="preserve">. Naar aanleiding van de cijfers zie ik geen aanleiding om te concluderen dat de wijziging van de Wajong </w:t>
      </w:r>
      <w:r w:rsidRPr="00A81CD8" w:rsidR="009D417C">
        <w:rPr>
          <w:szCs w:val="18"/>
        </w:rPr>
        <w:t>daar een belangrijke oorzaak van is</w:t>
      </w:r>
      <w:r w:rsidRPr="00A81CD8">
        <w:rPr>
          <w:szCs w:val="18"/>
        </w:rPr>
        <w:t xml:space="preserve">. </w:t>
      </w:r>
    </w:p>
    <w:p w:rsidRPr="00A81CD8" w:rsidR="009440EF" w:rsidP="00820DDA" w:rsidRDefault="009440EF" w14:paraId="7929F0C8" w14:textId="77777777">
      <w:pPr>
        <w:pStyle w:val="standaard-tekst"/>
        <w:rPr>
          <w:i/>
          <w:iCs/>
        </w:rPr>
      </w:pPr>
    </w:p>
    <w:p w:rsidRPr="00A81CD8" w:rsidR="009440EF" w:rsidP="00820DDA" w:rsidRDefault="009440EF" w14:paraId="055AA4BA" w14:textId="303ABFE0">
      <w:pPr>
        <w:pStyle w:val="standaard-tekst"/>
      </w:pPr>
      <w:r w:rsidRPr="00A81CD8">
        <w:t>Vraag 9</w:t>
      </w:r>
    </w:p>
    <w:p w:rsidRPr="00816678" w:rsidR="009440EF" w:rsidP="00820DDA" w:rsidRDefault="009440EF" w14:paraId="72BC68AC" w14:textId="48EB5852">
      <w:pPr>
        <w:pStyle w:val="standaard-tekst"/>
      </w:pPr>
      <w:r w:rsidRPr="00816678">
        <w:t>Klopt het dat er voor alle verschillende regelingen ook verschillende aanvraagtrajecten en criteria zijn en in hoeverre levert dit onduidelijkheid op en extra bureaucratie vanwege het aanvraagtraject?</w:t>
      </w:r>
    </w:p>
    <w:p w:rsidRPr="00816678" w:rsidR="009440EF" w:rsidP="00820DDA" w:rsidRDefault="009440EF" w14:paraId="5E73864C" w14:textId="77777777">
      <w:pPr>
        <w:pStyle w:val="standaard-tekst"/>
      </w:pPr>
    </w:p>
    <w:p w:rsidRPr="00A81CD8" w:rsidR="009440EF" w:rsidP="00820DDA" w:rsidRDefault="009440EF" w14:paraId="4C11686B" w14:textId="23160A74">
      <w:pPr>
        <w:pStyle w:val="standaard-tekst"/>
      </w:pPr>
      <w:r w:rsidRPr="00A81CD8">
        <w:t>Antwoord</w:t>
      </w:r>
      <w:r w:rsidR="00816678">
        <w:t xml:space="preserve"> 9</w:t>
      </w:r>
    </w:p>
    <w:p w:rsidRPr="00A81CD8" w:rsidR="009D417C" w:rsidP="005500CC" w:rsidRDefault="009D417C" w14:paraId="28D552D0" w14:textId="2D814856">
      <w:pPr>
        <w:rPr>
          <w:szCs w:val="18"/>
        </w:rPr>
      </w:pPr>
      <w:r w:rsidRPr="00A81CD8">
        <w:rPr>
          <w:szCs w:val="18"/>
        </w:rPr>
        <w:t xml:space="preserve">Voor alle regelingen binnen de voorziening prestatiebeurs geldt dat deze aangevraagd dienen te worden via de decaan of studiebegeleider. Doordat de verschillende onderdelen toezien op andere doelgroepen, gelden daarvoor </w:t>
      </w:r>
      <w:r w:rsidRPr="00A81CD8" w:rsidR="00A852D3">
        <w:rPr>
          <w:szCs w:val="18"/>
        </w:rPr>
        <w:t xml:space="preserve">inderdaad </w:t>
      </w:r>
      <w:r w:rsidRPr="00A81CD8">
        <w:rPr>
          <w:szCs w:val="18"/>
        </w:rPr>
        <w:t>verschillende criteria.</w:t>
      </w:r>
      <w:r w:rsidRPr="00A81CD8" w:rsidR="00A852D3">
        <w:rPr>
          <w:szCs w:val="18"/>
        </w:rPr>
        <w:t xml:space="preserve"> Dit is nodig om maatwerk te kunnen bieden.</w:t>
      </w:r>
    </w:p>
    <w:p w:rsidRPr="00A81CD8" w:rsidR="009D417C" w:rsidP="005500CC" w:rsidRDefault="009D417C" w14:paraId="2A60EEC9" w14:textId="77777777">
      <w:pPr>
        <w:rPr>
          <w:szCs w:val="18"/>
        </w:rPr>
      </w:pPr>
    </w:p>
    <w:p w:rsidRPr="00A81CD8" w:rsidR="00030DFA" w:rsidP="005500CC" w:rsidRDefault="005500CC" w14:paraId="290044CF" w14:textId="7D83568D">
      <w:pPr>
        <w:rPr>
          <w:szCs w:val="18"/>
        </w:rPr>
      </w:pPr>
      <w:r w:rsidRPr="00A81CD8">
        <w:rPr>
          <w:szCs w:val="18"/>
        </w:rPr>
        <w:t xml:space="preserve">Er zijn </w:t>
      </w:r>
      <w:r w:rsidRPr="00A81CD8" w:rsidR="009D417C">
        <w:rPr>
          <w:szCs w:val="18"/>
        </w:rPr>
        <w:t>daarnaast</w:t>
      </w:r>
      <w:r w:rsidRPr="00A81CD8">
        <w:rPr>
          <w:szCs w:val="18"/>
        </w:rPr>
        <w:t xml:space="preserve"> andere financiële regelingen voor studenten met een ondersteuning</w:t>
      </w:r>
      <w:r w:rsidRPr="00A81CD8" w:rsidR="009D417C">
        <w:rPr>
          <w:szCs w:val="18"/>
        </w:rPr>
        <w:t>s</w:t>
      </w:r>
      <w:r w:rsidRPr="00A81CD8">
        <w:rPr>
          <w:szCs w:val="18"/>
        </w:rPr>
        <w:t xml:space="preserve">behoefte, zoals het Studentondersteuningsfonds </w:t>
      </w:r>
      <w:r w:rsidRPr="00A81CD8" w:rsidR="00030DFA">
        <w:rPr>
          <w:szCs w:val="18"/>
        </w:rPr>
        <w:t xml:space="preserve">van de onderwijsinstelling </w:t>
      </w:r>
      <w:r w:rsidRPr="00A81CD8">
        <w:rPr>
          <w:szCs w:val="18"/>
        </w:rPr>
        <w:t xml:space="preserve">of de studietoeslag van gemeenten. Deze regelingen kennen verschillende doelen en doelgroepen. Dat resulteert ook in (deels) andere criteria of aanvraagprocedures. </w:t>
      </w:r>
    </w:p>
    <w:p w:rsidRPr="00A81CD8" w:rsidR="00030DFA" w:rsidP="005500CC" w:rsidRDefault="00030DFA" w14:paraId="091A24D1" w14:textId="77777777">
      <w:pPr>
        <w:rPr>
          <w:szCs w:val="18"/>
        </w:rPr>
      </w:pPr>
    </w:p>
    <w:p w:rsidRPr="00A81CD8" w:rsidR="00030DFA" w:rsidP="00030DFA" w:rsidRDefault="00030DFA" w14:paraId="2922CB08" w14:textId="1DBF0974">
      <w:pPr>
        <w:rPr>
          <w:szCs w:val="18"/>
        </w:rPr>
      </w:pPr>
      <w:r w:rsidRPr="00A81CD8">
        <w:rPr>
          <w:szCs w:val="18"/>
        </w:rPr>
        <w:t xml:space="preserve">Ik begrijp dat het voor studenten die voor meerdere regelingen in aanmerking kunnen komen, soms ingewikkeld en belastend kan zijn om deze verschillende procedures te doorlopen. Ik verwacht daarom ook van instellingen en gemeenten dat zij deze procedure zo laagdrempelig mogelijk maken en zo goed mogelijk op elkaar afstemmen.  </w:t>
      </w:r>
    </w:p>
    <w:p w:rsidRPr="00A81CD8" w:rsidR="009440EF" w:rsidP="00820DDA" w:rsidRDefault="009440EF" w14:paraId="31952A64" w14:textId="77777777">
      <w:pPr>
        <w:pStyle w:val="standaard-tekst"/>
      </w:pPr>
    </w:p>
    <w:p w:rsidRPr="00A81CD8" w:rsidR="009440EF" w:rsidP="00820DDA" w:rsidRDefault="009440EF" w14:paraId="691ADB0A" w14:textId="532853E7">
      <w:pPr>
        <w:pStyle w:val="standaard-tekst"/>
      </w:pPr>
      <w:r w:rsidRPr="00A81CD8">
        <w:t>Vraag 10</w:t>
      </w:r>
    </w:p>
    <w:p w:rsidRPr="00816678" w:rsidR="009440EF" w:rsidP="00820DDA" w:rsidRDefault="009440EF" w14:paraId="75D71931" w14:textId="2D3A26F2">
      <w:pPr>
        <w:pStyle w:val="standaard-tekst"/>
      </w:pPr>
      <w:r w:rsidRPr="00816678">
        <w:t>Op basis waarvan zijn de criteria en eisen voor de verschillende regelingen opgesteld?</w:t>
      </w:r>
    </w:p>
    <w:p w:rsidRPr="00A81CD8" w:rsidR="009440EF" w:rsidP="00820DDA" w:rsidRDefault="009440EF" w14:paraId="70420D37" w14:textId="77777777">
      <w:pPr>
        <w:pStyle w:val="standaard-tekst"/>
        <w:rPr>
          <w:i/>
          <w:iCs/>
        </w:rPr>
      </w:pPr>
    </w:p>
    <w:p w:rsidR="00816678" w:rsidRDefault="00816678" w14:paraId="222F0E25" w14:textId="77777777">
      <w:pPr>
        <w:spacing w:line="240" w:lineRule="auto"/>
        <w:rPr>
          <w:szCs w:val="18"/>
        </w:rPr>
      </w:pPr>
      <w:r>
        <w:br w:type="page"/>
      </w:r>
    </w:p>
    <w:p w:rsidRPr="00A81CD8" w:rsidR="009440EF" w:rsidP="00820DDA" w:rsidRDefault="009440EF" w14:paraId="3D13AB7D" w14:textId="1D5ABE5C">
      <w:pPr>
        <w:pStyle w:val="standaard-tekst"/>
      </w:pPr>
      <w:r w:rsidRPr="00A81CD8">
        <w:lastRenderedPageBreak/>
        <w:t>Antwoord</w:t>
      </w:r>
      <w:r w:rsidR="00816678">
        <w:t xml:space="preserve"> 10</w:t>
      </w:r>
    </w:p>
    <w:p w:rsidRPr="00A81CD8" w:rsidR="005500CC" w:rsidP="005500CC" w:rsidRDefault="005500CC" w14:paraId="7C587119" w14:textId="2C399254">
      <w:pPr>
        <w:rPr>
          <w:szCs w:val="18"/>
        </w:rPr>
      </w:pPr>
      <w:r w:rsidRPr="00A81CD8">
        <w:rPr>
          <w:szCs w:val="18"/>
        </w:rPr>
        <w:t>De voorziening prestatiebeurs is bedoeld om studenten extra financieel te ondersteunen als zij vanwege bijzondere (medische) omstandigheden studievertraging oplopen, of om de financiële gevolgen van het niet (tijdig) behalen van een diploma</w:t>
      </w:r>
      <w:r w:rsidRPr="00A81CD8" w:rsidR="009D417C">
        <w:rPr>
          <w:szCs w:val="18"/>
        </w:rPr>
        <w:t xml:space="preserve"> door deze omstandigheden zo veel mogelijk</w:t>
      </w:r>
      <w:r w:rsidRPr="00A81CD8">
        <w:rPr>
          <w:szCs w:val="18"/>
        </w:rPr>
        <w:t xml:space="preserve"> te beperken. Voor de voorziening prestatiebeurs gelden de voorwaarden zoals geformuleerd in de Wet studiefinanciering 2000.</w:t>
      </w:r>
      <w:r w:rsidRPr="00A81CD8">
        <w:rPr>
          <w:rStyle w:val="Voetnootmarkering"/>
          <w:i/>
          <w:iCs/>
        </w:rPr>
        <w:footnoteReference w:id="7"/>
      </w:r>
      <w:r w:rsidRPr="00A81CD8">
        <w:rPr>
          <w:szCs w:val="18"/>
        </w:rPr>
        <w:t xml:space="preserve"> Het gaat – afhankelijk van het onderdeel - om bijzondere (medische) omstandigheden van tijdelijke of structurele aard. </w:t>
      </w:r>
    </w:p>
    <w:p w:rsidRPr="00A81CD8" w:rsidR="005500CC" w:rsidP="005500CC" w:rsidRDefault="005500CC" w14:paraId="67F7D0C7" w14:textId="77777777">
      <w:pPr>
        <w:rPr>
          <w:szCs w:val="18"/>
        </w:rPr>
      </w:pPr>
    </w:p>
    <w:p w:rsidRPr="00A81CD8" w:rsidR="00030DFA" w:rsidP="005500CC" w:rsidRDefault="005500CC" w14:paraId="14643470" w14:textId="77777777">
      <w:pPr>
        <w:rPr>
          <w:szCs w:val="18"/>
        </w:rPr>
      </w:pPr>
      <w:r w:rsidRPr="00A81CD8">
        <w:rPr>
          <w:szCs w:val="18"/>
        </w:rPr>
        <w:t>Ook onderwijsinstellingen kunnen financiële ondersteuning aan studenten met een functiebeperking verstrekken. Hogescholen en universiteiten doen dit vanuit het Studentondersteuningsfonds (SOF).</w:t>
      </w:r>
      <w:r w:rsidRPr="00A81CD8" w:rsidR="00030DFA">
        <w:rPr>
          <w:szCs w:val="18"/>
        </w:rPr>
        <w:t xml:space="preserve"> Het studentenondersteuningsfonds is een fonds voor studenten die vanwege bijzondere omstandigheden vertraging oplopen tijdens hun studie. Onder deze bijzondere omstandigheden vallen onder andere een handicap of chronische ziekte, een zwangerschap of een bestuursfunctie. Het SOF betreft een wettelijke regeling die op instellingsniveau wordt georganiseerd om zo met de uitvoering nauw aan te kunnen sluiten op de praktijk. Zo regelt artikel 7.51h in de WHW dat instellingen regels opstellen over de aanvraagprocedure.</w:t>
      </w:r>
      <w:r w:rsidRPr="00A81CD8">
        <w:rPr>
          <w:szCs w:val="18"/>
        </w:rPr>
        <w:t xml:space="preserve"> </w:t>
      </w:r>
    </w:p>
    <w:p w:rsidRPr="00A81CD8" w:rsidR="005500CC" w:rsidP="005500CC" w:rsidRDefault="005500CC" w14:paraId="29115682" w14:textId="37AF59E9">
      <w:pPr>
        <w:rPr>
          <w:szCs w:val="18"/>
        </w:rPr>
      </w:pPr>
    </w:p>
    <w:p w:rsidRPr="00A81CD8" w:rsidR="005500CC" w:rsidP="005500CC" w:rsidRDefault="005500CC" w14:paraId="19308881" w14:textId="5D191EBA">
      <w:pPr>
        <w:rPr>
          <w:szCs w:val="18"/>
        </w:rPr>
      </w:pPr>
      <w:r w:rsidRPr="00A81CD8">
        <w:rPr>
          <w:szCs w:val="18"/>
        </w:rPr>
        <w:t xml:space="preserve">Mbo-instellingen kennen het Mbo Studentenfonds. </w:t>
      </w:r>
      <w:r w:rsidRPr="00A81CD8" w:rsidR="009D417C">
        <w:rPr>
          <w:szCs w:val="18"/>
        </w:rPr>
        <w:t>Bol-studenten kunnen een (financiële) bijdrage ontvangen uit dit fonds als zij een ziekte of beperking hebben en geen recht (meer) hebben op studiefinanciering. Van deze laatste voorwaarde mag de school in bijzondere gevallen afwijken.</w:t>
      </w:r>
      <w:r w:rsidRPr="00A81CD8">
        <w:rPr>
          <w:szCs w:val="18"/>
        </w:rPr>
        <w:t xml:space="preserve"> </w:t>
      </w:r>
    </w:p>
    <w:p w:rsidRPr="00A81CD8" w:rsidR="005500CC" w:rsidP="005500CC" w:rsidRDefault="005500CC" w14:paraId="75F17714" w14:textId="77777777">
      <w:pPr>
        <w:rPr>
          <w:szCs w:val="18"/>
        </w:rPr>
      </w:pPr>
    </w:p>
    <w:p w:rsidRPr="00A81CD8" w:rsidR="005500CC" w:rsidP="005500CC" w:rsidRDefault="005500CC" w14:paraId="4B723FA3" w14:textId="7322092A">
      <w:pPr>
        <w:rPr>
          <w:szCs w:val="18"/>
        </w:rPr>
      </w:pPr>
      <w:r w:rsidRPr="00A81CD8">
        <w:rPr>
          <w:szCs w:val="18"/>
        </w:rPr>
        <w:t xml:space="preserve">Verder bestaat de studietoeslag, die door gemeenten wordt verstrekt. De studietoeslag is bedoeld om studenten die vanwege hun beperking, handicap of chronische ziekte niet kunnen werken naast hun studie, extra financieel te ondersteunen. Er moet sprake zijn van een structurele medische beperking. Deze doelgroep is doorgaans zwaarder beperkt door hun omstandigheid dan studenten die in aanmerking kunnen komen voor de voorziening prestatiebeurs. </w:t>
      </w:r>
    </w:p>
    <w:p w:rsidRPr="00A81CD8" w:rsidR="005500CC" w:rsidP="005500CC" w:rsidRDefault="005500CC" w14:paraId="79003657" w14:textId="77777777">
      <w:pPr>
        <w:rPr>
          <w:szCs w:val="18"/>
        </w:rPr>
      </w:pPr>
    </w:p>
    <w:p w:rsidRPr="00A81CD8" w:rsidR="005500CC" w:rsidP="005500CC" w:rsidRDefault="005500CC" w14:paraId="1831978D" w14:textId="686F0996">
      <w:pPr>
        <w:rPr>
          <w:szCs w:val="18"/>
        </w:rPr>
      </w:pPr>
      <w:r w:rsidRPr="00A81CD8">
        <w:rPr>
          <w:szCs w:val="18"/>
        </w:rPr>
        <w:t>Tot slot zijn er ook studenten die in aanmerking komen voor een Wajong-uitkering.</w:t>
      </w:r>
      <w:r w:rsidRPr="00A81CD8" w:rsidR="00030DFA">
        <w:rPr>
          <w:szCs w:val="18"/>
        </w:rPr>
        <w:t xml:space="preserve"> De Wajong 2015 is voor mensen die voor hun 18</w:t>
      </w:r>
      <w:r w:rsidRPr="00A81CD8" w:rsidR="00030DFA">
        <w:rPr>
          <w:szCs w:val="18"/>
          <w:vertAlign w:val="superscript"/>
        </w:rPr>
        <w:t>e</w:t>
      </w:r>
      <w:r w:rsidRPr="00A81CD8" w:rsidR="00030DFA">
        <w:rPr>
          <w:szCs w:val="18"/>
        </w:rPr>
        <w:t> jaar of tijdens een studie een ziekte of handicap hebben gekregen. Door deze ziekte of handicap hebben zij al op jonge leeftijd een arbeidsbeperking. Zij hebben recht op Wajong 2015 als zij duurzaam geen arbeidsvermogen hebben. De Wajong 2015 heeft als doel te voorzien in een inkomensvoorziening. Sinds 1 september 2020 behoudt de Wajonggerechtigde de gehele uitkering als hij onderwijs gaat volgen.</w:t>
      </w:r>
      <w:r w:rsidRPr="00A81CD8">
        <w:rPr>
          <w:szCs w:val="18"/>
        </w:rPr>
        <w:t xml:space="preserve"> </w:t>
      </w:r>
    </w:p>
    <w:p w:rsidRPr="00A81CD8" w:rsidR="009440EF" w:rsidP="00820DDA" w:rsidRDefault="009440EF" w14:paraId="2ADF9EDB" w14:textId="77777777">
      <w:pPr>
        <w:pStyle w:val="standaard-tekst"/>
      </w:pPr>
    </w:p>
    <w:p w:rsidRPr="00A81CD8" w:rsidR="009440EF" w:rsidP="00820DDA" w:rsidRDefault="009440EF" w14:paraId="1158CA1B" w14:textId="3456E30A">
      <w:pPr>
        <w:pStyle w:val="standaard-tekst"/>
      </w:pPr>
      <w:r w:rsidRPr="00A81CD8">
        <w:t>Vraag 11</w:t>
      </w:r>
    </w:p>
    <w:p w:rsidRPr="00816678" w:rsidR="009440EF" w:rsidP="00820DDA" w:rsidRDefault="009440EF" w14:paraId="116D5C97" w14:textId="7A4EA420">
      <w:pPr>
        <w:pStyle w:val="standaard-tekst"/>
      </w:pPr>
      <w:r w:rsidRPr="00816678">
        <w:t>Kunt u uitleggen waarom aanvragen voor de mogelijkheid om op grond van de hardheidsclausule na afloop van de studie een studieschuld op medische gronden kwijt te schelden in overgrote meerderheid niet worden toegekend, zoals bleek uit eerdere Kamervragen?</w:t>
      </w:r>
      <w:r w:rsidRPr="00816678">
        <w:rPr>
          <w:rStyle w:val="Voetnootmarkering"/>
        </w:rPr>
        <w:footnoteReference w:id="8"/>
      </w:r>
      <w:r w:rsidRPr="00816678">
        <w:t xml:space="preserve"> Ligt dit aan procedurefouten of zijn hier inhoudelijke redenen voor?</w:t>
      </w:r>
    </w:p>
    <w:p w:rsidRPr="00A81CD8" w:rsidR="009440EF" w:rsidP="00820DDA" w:rsidRDefault="009440EF" w14:paraId="3FA5D653" w14:textId="77777777">
      <w:pPr>
        <w:pStyle w:val="standaard-tekst"/>
        <w:rPr>
          <w:i/>
          <w:iCs/>
        </w:rPr>
      </w:pPr>
    </w:p>
    <w:p w:rsidRPr="00A81CD8" w:rsidR="009440EF" w:rsidP="00820DDA" w:rsidRDefault="009440EF" w14:paraId="6B6FA6FE" w14:textId="164A1979">
      <w:pPr>
        <w:pStyle w:val="standaard-tekst"/>
      </w:pPr>
      <w:r w:rsidRPr="00A81CD8">
        <w:lastRenderedPageBreak/>
        <w:t>Antwoord</w:t>
      </w:r>
      <w:r w:rsidR="00816678">
        <w:t xml:space="preserve"> 11</w:t>
      </w:r>
    </w:p>
    <w:p w:rsidRPr="00A81CD8" w:rsidR="005500CC" w:rsidP="005500CC" w:rsidRDefault="005500CC" w14:paraId="09A6C636" w14:textId="2EBF5B97">
      <w:pPr>
        <w:contextualSpacing/>
        <w:rPr>
          <w:szCs w:val="18"/>
        </w:rPr>
      </w:pPr>
      <w:r w:rsidRPr="00A81CD8">
        <w:rPr>
          <w:szCs w:val="18"/>
        </w:rPr>
        <w:t xml:space="preserve">Kwijtschelding op medische gronden vindt plaats op basis van de hardheidsclausule uit de wet. </w:t>
      </w:r>
      <w:r w:rsidRPr="00A81CD8" w:rsidR="00A852D3">
        <w:rPr>
          <w:szCs w:val="18"/>
        </w:rPr>
        <w:t xml:space="preserve">Dit is een andere regeling dan de voorziening prestatiebeurs, en is slechts voor zeer uitzonderlijke gevallen bedoeld. </w:t>
      </w:r>
      <w:r w:rsidRPr="00A81CD8">
        <w:rPr>
          <w:szCs w:val="18"/>
        </w:rPr>
        <w:t xml:space="preserve">Bij een besluit op basis van de hardheidsclausule moet een afweging gemaakt worden of het toepassen van de wet gelet op het belang dat deze wet beoogt te beschermen leidt tot ‘een onbillijkheid van overwegende aard’. Het moet bij kwijtschelding op medische gronden dus gaan om zeer uitzonderlijke situaties. </w:t>
      </w:r>
      <w:r w:rsidRPr="00A81CD8" w:rsidR="009D417C">
        <w:rPr>
          <w:szCs w:val="18"/>
        </w:rPr>
        <w:t>De criteria hiervoor zijn in het uitvoeringsbeleid van DUO vastgelegd en op de website van DUO te vinden. Zo moet e</w:t>
      </w:r>
      <w:r w:rsidRPr="00A81CD8">
        <w:rPr>
          <w:szCs w:val="18"/>
        </w:rPr>
        <w:t xml:space="preserve">en oud-student zich bij kwijtschelding in een medisch uitzichtloze situatie bevinden. Voor veel oud-studenten die een aanvraag doen geldt dit niet. </w:t>
      </w:r>
    </w:p>
    <w:p w:rsidRPr="00A81CD8" w:rsidR="005500CC" w:rsidP="005500CC" w:rsidRDefault="005500CC" w14:paraId="5E0EC993" w14:textId="77777777">
      <w:pPr>
        <w:contextualSpacing/>
        <w:rPr>
          <w:szCs w:val="18"/>
        </w:rPr>
      </w:pPr>
    </w:p>
    <w:p w:rsidRPr="00A81CD8" w:rsidR="005500CC" w:rsidP="005500CC" w:rsidRDefault="005500CC" w14:paraId="785802F0" w14:textId="007F20BD">
      <w:pPr>
        <w:contextualSpacing/>
        <w:rPr>
          <w:szCs w:val="18"/>
        </w:rPr>
      </w:pPr>
      <w:r w:rsidRPr="00A81CD8">
        <w:rPr>
          <w:szCs w:val="18"/>
        </w:rPr>
        <w:t>Een medisch adviseur van DUO toetst of de aanvraag voldoet aan de criteria in het uitvoeringsbeleid</w:t>
      </w:r>
      <w:r w:rsidRPr="00A81CD8" w:rsidR="009D417C">
        <w:rPr>
          <w:szCs w:val="18"/>
        </w:rPr>
        <w:t>,</w:t>
      </w:r>
      <w:r w:rsidRPr="00A81CD8">
        <w:rPr>
          <w:szCs w:val="18"/>
        </w:rPr>
        <w:t xml:space="preserve"> of </w:t>
      </w:r>
      <w:r w:rsidRPr="00A81CD8" w:rsidR="00682A2E">
        <w:rPr>
          <w:szCs w:val="18"/>
        </w:rPr>
        <w:t xml:space="preserve">dat </w:t>
      </w:r>
      <w:r w:rsidRPr="00A81CD8">
        <w:rPr>
          <w:szCs w:val="18"/>
        </w:rPr>
        <w:t xml:space="preserve">de medische situatie daarmee gelijk te stellen is. Een afwijzing is in beginsel altijd inhoudelijk gemotiveerd. Een aanvrager ontvangt een rapport van de medische beoordeling. Echter in sommige gevallen </w:t>
      </w:r>
      <w:r w:rsidRPr="00A81CD8" w:rsidR="00682A2E">
        <w:rPr>
          <w:szCs w:val="18"/>
        </w:rPr>
        <w:t>ontvangt DUO</w:t>
      </w:r>
      <w:r w:rsidRPr="00A81CD8">
        <w:rPr>
          <w:szCs w:val="18"/>
        </w:rPr>
        <w:t xml:space="preserve"> – ook na herhaalde verzoeken – geen of onvoldoende (medische) gegevens. DUO kan de aanvraag dan niet medisch beoordelen. DUO kan in dat geval niet anders dan de aanvraag voor kwijtschelding op medische gronden afwijzen.</w:t>
      </w:r>
    </w:p>
    <w:p w:rsidRPr="00A81CD8" w:rsidR="009440EF" w:rsidP="00820DDA" w:rsidRDefault="009440EF" w14:paraId="03F3D635" w14:textId="77777777">
      <w:pPr>
        <w:pStyle w:val="standaard-tekst"/>
      </w:pPr>
    </w:p>
    <w:p w:rsidRPr="00A81CD8" w:rsidR="009440EF" w:rsidP="00820DDA" w:rsidRDefault="009440EF" w14:paraId="0B9CE378" w14:textId="049783D5">
      <w:pPr>
        <w:pStyle w:val="standaard-tekst"/>
      </w:pPr>
      <w:r w:rsidRPr="00A81CD8">
        <w:t>Vraag 12</w:t>
      </w:r>
    </w:p>
    <w:p w:rsidRPr="00816678" w:rsidR="009440EF" w:rsidP="00820DDA" w:rsidRDefault="009440EF" w14:paraId="4F08805B" w14:textId="55164384">
      <w:pPr>
        <w:pStyle w:val="standaard-tekst"/>
      </w:pPr>
      <w:r w:rsidRPr="00816678">
        <w:t>Welke bewijslast voor het aanvragen van kwijtschelding op basis van medische gronden wordt er gevraagd door DUO en kan dit ook een rapport van de verzekeringsarts en arbeidsdeskundige van het UWV zijn?</w:t>
      </w:r>
    </w:p>
    <w:p w:rsidRPr="00A81CD8" w:rsidR="009440EF" w:rsidP="00820DDA" w:rsidRDefault="009440EF" w14:paraId="69E4B08A" w14:textId="77777777">
      <w:pPr>
        <w:pStyle w:val="standaard-tekst"/>
        <w:rPr>
          <w:i/>
          <w:iCs/>
        </w:rPr>
      </w:pPr>
    </w:p>
    <w:p w:rsidRPr="00A81CD8" w:rsidR="009440EF" w:rsidP="00820DDA" w:rsidRDefault="009440EF" w14:paraId="6B027652" w14:textId="4745E86A">
      <w:pPr>
        <w:pStyle w:val="standaard-tekst"/>
      </w:pPr>
      <w:r w:rsidRPr="00A81CD8">
        <w:t>Antwoord</w:t>
      </w:r>
      <w:r w:rsidR="00816678">
        <w:t xml:space="preserve"> 12</w:t>
      </w:r>
    </w:p>
    <w:p w:rsidRPr="00A81CD8" w:rsidR="005500CC" w:rsidP="005500CC" w:rsidRDefault="005500CC" w14:paraId="0FAAA5D2" w14:textId="31C63E98">
      <w:pPr>
        <w:contextualSpacing/>
        <w:rPr>
          <w:szCs w:val="18"/>
        </w:rPr>
      </w:pPr>
      <w:r w:rsidRPr="00A81CD8">
        <w:rPr>
          <w:szCs w:val="18"/>
        </w:rPr>
        <w:t>De aanvrager wordt gevraagd om een machtiging te geven voor het inwinnen van medische informatie bij een (behandelend) arts of medisch adviseur. Ook wordt de aanvrager in sommige gevallen – afhankelijk van de medische situatie – gevraagd om een zelfbeschrijving te schrijven over de invloed van de klachten op het dagelijkse leven.</w:t>
      </w:r>
      <w:r w:rsidRPr="00A81CD8" w:rsidR="00682A2E">
        <w:rPr>
          <w:szCs w:val="18"/>
        </w:rPr>
        <w:t xml:space="preserve"> Om de procedure te bekorten vraagt DUO de aanvrager tegenwoordig ook relevante medische documenten en/of een verklaring van een onafhankelijk arts mee te sturen.</w:t>
      </w:r>
      <w:r w:rsidRPr="00A81CD8">
        <w:rPr>
          <w:szCs w:val="18"/>
        </w:rPr>
        <w:t xml:space="preserve"> </w:t>
      </w:r>
      <w:r w:rsidRPr="00A81CD8" w:rsidR="00682A2E">
        <w:rPr>
          <w:szCs w:val="18"/>
        </w:rPr>
        <w:t>B</w:t>
      </w:r>
      <w:r w:rsidRPr="00A81CD8">
        <w:rPr>
          <w:szCs w:val="18"/>
        </w:rPr>
        <w:t xml:space="preserve">ij onduidelijkheden </w:t>
      </w:r>
      <w:r w:rsidRPr="00A81CD8" w:rsidR="00682A2E">
        <w:rPr>
          <w:szCs w:val="18"/>
        </w:rPr>
        <w:t xml:space="preserve">in de medische informatie </w:t>
      </w:r>
      <w:r w:rsidRPr="00A81CD8">
        <w:rPr>
          <w:szCs w:val="18"/>
        </w:rPr>
        <w:t xml:space="preserve">wordt hierop doorgevraagd. De medisch adviseur </w:t>
      </w:r>
      <w:r w:rsidR="00D735AF">
        <w:rPr>
          <w:szCs w:val="18"/>
        </w:rPr>
        <w:t xml:space="preserve">van DUO </w:t>
      </w:r>
      <w:r w:rsidRPr="00A81CD8">
        <w:rPr>
          <w:szCs w:val="18"/>
        </w:rPr>
        <w:t>beoordeelt de beschikbare medische informatie en weegt of de medische situatie van de aanvrager voldoet aan de criteria uit het uitvoeringsbeleid, dan wel of de medische situatie daarmee gelijk te stellen is.</w:t>
      </w:r>
    </w:p>
    <w:p w:rsidRPr="00A81CD8" w:rsidR="005500CC" w:rsidP="005500CC" w:rsidRDefault="005500CC" w14:paraId="20A835F1" w14:textId="77777777">
      <w:pPr>
        <w:contextualSpacing/>
        <w:rPr>
          <w:szCs w:val="18"/>
        </w:rPr>
      </w:pPr>
    </w:p>
    <w:p w:rsidRPr="00A81CD8" w:rsidR="005500CC" w:rsidP="005500CC" w:rsidRDefault="005500CC" w14:paraId="702A316B" w14:textId="68845E2F">
      <w:pPr>
        <w:contextualSpacing/>
        <w:rPr>
          <w:szCs w:val="18"/>
        </w:rPr>
      </w:pPr>
      <w:r w:rsidRPr="00A81CD8">
        <w:rPr>
          <w:szCs w:val="18"/>
        </w:rPr>
        <w:t xml:space="preserve">Een rapport van de verzekeringsarts en arbeidsdeskundige van het UWV kan onderdeel zijn van de door de aanvrager ter beschikking gestelde medische informatie. Een dergelijke rapport is echter nooit op zichzelf voldoende reden voor kwijtschelding. De medische adviseur van DUO vormt altijd zelfstandig een oordeel op basis van alle (medische) gegevens of de aanvraag voldoet aan de criteria voor kwijtschelding van de studieschuld op medische gronden. Het niet kunnen werken is geen </w:t>
      </w:r>
      <w:r w:rsidRPr="00A81CD8" w:rsidR="00A852D3">
        <w:rPr>
          <w:szCs w:val="18"/>
        </w:rPr>
        <w:t xml:space="preserve">doorslaggevend </w:t>
      </w:r>
      <w:r w:rsidRPr="00A81CD8">
        <w:rPr>
          <w:szCs w:val="18"/>
        </w:rPr>
        <w:t>criterium bij kwijtschelding. Een oud-student met een laag inkomen wordt al beschermd tegen hoge maandelijkse terugbetalingsverplichtingen door de draa</w:t>
      </w:r>
      <w:r w:rsidRPr="00A81CD8" w:rsidR="00B310EF">
        <w:rPr>
          <w:szCs w:val="18"/>
        </w:rPr>
        <w:t>g</w:t>
      </w:r>
      <w:r w:rsidRPr="00A81CD8">
        <w:rPr>
          <w:szCs w:val="18"/>
        </w:rPr>
        <w:t xml:space="preserve">krachtregeling. </w:t>
      </w:r>
    </w:p>
    <w:p w:rsidRPr="00A81CD8" w:rsidR="009440EF" w:rsidP="00820DDA" w:rsidRDefault="009440EF" w14:paraId="2DFC221D" w14:textId="77777777">
      <w:pPr>
        <w:pStyle w:val="standaard-tekst"/>
      </w:pPr>
    </w:p>
    <w:p w:rsidR="00816678" w:rsidRDefault="00816678" w14:paraId="393A52ED" w14:textId="77777777">
      <w:pPr>
        <w:spacing w:line="240" w:lineRule="auto"/>
        <w:rPr>
          <w:szCs w:val="18"/>
        </w:rPr>
      </w:pPr>
      <w:r>
        <w:br w:type="page"/>
      </w:r>
    </w:p>
    <w:p w:rsidRPr="00A81CD8" w:rsidR="009440EF" w:rsidP="00820DDA" w:rsidRDefault="009440EF" w14:paraId="2B22302C" w14:textId="22051D1B">
      <w:pPr>
        <w:pStyle w:val="standaard-tekst"/>
      </w:pPr>
      <w:r w:rsidRPr="00A81CD8">
        <w:lastRenderedPageBreak/>
        <w:t>Vraag 13</w:t>
      </w:r>
    </w:p>
    <w:p w:rsidRPr="00816678" w:rsidR="009440EF" w:rsidP="00820DDA" w:rsidRDefault="009440EF" w14:paraId="13CB32FE" w14:textId="436BC546">
      <w:pPr>
        <w:pStyle w:val="standaard-tekst"/>
      </w:pPr>
      <w:r w:rsidRPr="00816678">
        <w:t>Zijn er ook generieke regelingen voor de kwijtschelding van studieschulden voor voormalig studenten die aantoonbaar minder kunnen werken en daarom in een specifieke inkomensvoorziening of uitkering krijgen zoals WAJONG, WWB of op grond van de Participatiewet?</w:t>
      </w:r>
    </w:p>
    <w:p w:rsidRPr="00816678" w:rsidR="009440EF" w:rsidP="00820DDA" w:rsidRDefault="009440EF" w14:paraId="2A2A2115" w14:textId="77777777">
      <w:pPr>
        <w:pStyle w:val="standaard-tekst"/>
      </w:pPr>
    </w:p>
    <w:p w:rsidRPr="00A81CD8" w:rsidR="009440EF" w:rsidP="00820DDA" w:rsidRDefault="009440EF" w14:paraId="5138A168" w14:textId="074A8E8E">
      <w:pPr>
        <w:pStyle w:val="standaard-tekst"/>
      </w:pPr>
      <w:r w:rsidRPr="00A81CD8">
        <w:t>Antwoord</w:t>
      </w:r>
      <w:r w:rsidR="00816678">
        <w:t xml:space="preserve"> 13</w:t>
      </w:r>
    </w:p>
    <w:p w:rsidRPr="00A81CD8" w:rsidR="00B310EF" w:rsidP="005500CC" w:rsidRDefault="005500CC" w14:paraId="57C1A749" w14:textId="6E1DD472">
      <w:pPr>
        <w:contextualSpacing/>
        <w:rPr>
          <w:szCs w:val="18"/>
        </w:rPr>
      </w:pPr>
      <w:r w:rsidRPr="00A81CD8">
        <w:rPr>
          <w:szCs w:val="18"/>
        </w:rPr>
        <w:t>Nee</w:t>
      </w:r>
      <w:r w:rsidRPr="00A81CD8" w:rsidR="00B310EF">
        <w:rPr>
          <w:szCs w:val="18"/>
        </w:rPr>
        <w:t>, er zijn geen generieke regelingen voor het kwijtschelden van studieschulden voordat de looptijd van de studieschuld is afgelopen</w:t>
      </w:r>
      <w:r w:rsidRPr="00A81CD8">
        <w:rPr>
          <w:szCs w:val="18"/>
        </w:rPr>
        <w:t xml:space="preserve">. </w:t>
      </w:r>
      <w:r w:rsidRPr="00A81CD8" w:rsidR="00B310EF">
        <w:rPr>
          <w:szCs w:val="18"/>
        </w:rPr>
        <w:t>Voor het terugbetalen van studieschulden gelden sociale terugbetaalvoorwaarden. Zo worden s</w:t>
      </w:r>
      <w:r w:rsidRPr="00A81CD8">
        <w:rPr>
          <w:szCs w:val="18"/>
        </w:rPr>
        <w:t>tudieschulden naar draagkracht terugbetaald. In de meeste gevallen wordt de draa</w:t>
      </w:r>
      <w:r w:rsidRPr="00A81CD8" w:rsidR="00B310EF">
        <w:rPr>
          <w:szCs w:val="18"/>
        </w:rPr>
        <w:t>g</w:t>
      </w:r>
      <w:r w:rsidRPr="00A81CD8">
        <w:rPr>
          <w:szCs w:val="18"/>
        </w:rPr>
        <w:t>kracht door DUO automatisch bepaald en toegepast</w:t>
      </w:r>
      <w:r w:rsidRPr="00A81CD8" w:rsidR="00B310EF">
        <w:rPr>
          <w:szCs w:val="18"/>
        </w:rPr>
        <w:t xml:space="preserve"> en hoeft de oud-student daar zelf niets voor te doen</w:t>
      </w:r>
      <w:r w:rsidRPr="00A81CD8">
        <w:rPr>
          <w:szCs w:val="18"/>
        </w:rPr>
        <w:t xml:space="preserve">. </w:t>
      </w:r>
      <w:r w:rsidRPr="00A81CD8" w:rsidR="00B310EF">
        <w:rPr>
          <w:szCs w:val="18"/>
        </w:rPr>
        <w:t>Bij de draagkrachtregeling is het niet van belang wat de reden is waardoor er sprake is van een lager inkomen. Bijvoorbeeld door een uitkering - waarnaar de vraagsteller verwijst - of door geen of een lager inkomen uit loondienst of een eigen bedrijf.</w:t>
      </w:r>
    </w:p>
    <w:p w:rsidRPr="00A81CD8" w:rsidR="00B310EF" w:rsidP="005500CC" w:rsidRDefault="00B310EF" w14:paraId="45C96D4C" w14:textId="77777777">
      <w:pPr>
        <w:contextualSpacing/>
        <w:rPr>
          <w:szCs w:val="18"/>
        </w:rPr>
      </w:pPr>
    </w:p>
    <w:p w:rsidRPr="00A81CD8" w:rsidR="005500CC" w:rsidP="005500CC" w:rsidRDefault="00B310EF" w14:paraId="44E1A6F3" w14:textId="2B8B6671">
      <w:pPr>
        <w:contextualSpacing/>
        <w:rPr>
          <w:szCs w:val="18"/>
        </w:rPr>
      </w:pPr>
      <w:r w:rsidRPr="00A81CD8">
        <w:rPr>
          <w:szCs w:val="18"/>
        </w:rPr>
        <w:t>Als er aan het einde van de looptijd nog e</w:t>
      </w:r>
      <w:r w:rsidRPr="00A81CD8" w:rsidR="005500CC">
        <w:rPr>
          <w:szCs w:val="18"/>
        </w:rPr>
        <w:t>en restschuld</w:t>
      </w:r>
      <w:r w:rsidRPr="00A81CD8">
        <w:rPr>
          <w:szCs w:val="18"/>
        </w:rPr>
        <w:t xml:space="preserve"> is, bijvoorbeeld omdat de oud-student de gehele periode onder draagkracht is gevallen,</w:t>
      </w:r>
      <w:r w:rsidRPr="00A81CD8" w:rsidR="005500CC">
        <w:rPr>
          <w:szCs w:val="18"/>
        </w:rPr>
        <w:t xml:space="preserve"> wordt </w:t>
      </w:r>
      <w:r w:rsidRPr="00A81CD8">
        <w:rPr>
          <w:szCs w:val="18"/>
        </w:rPr>
        <w:t>deze</w:t>
      </w:r>
      <w:r w:rsidRPr="00A81CD8" w:rsidR="005500CC">
        <w:rPr>
          <w:szCs w:val="18"/>
        </w:rPr>
        <w:t xml:space="preserve"> van rechtswege kwijtgescholden. </w:t>
      </w:r>
    </w:p>
    <w:p w:rsidRPr="009440EF" w:rsidR="005500CC" w:rsidP="00820DDA" w:rsidRDefault="005500CC" w14:paraId="3FA70A4C" w14:textId="77777777">
      <w:pPr>
        <w:pStyle w:val="standaard-tekst"/>
        <w:rPr>
          <w:b/>
          <w:bCs/>
        </w:rPr>
      </w:pPr>
    </w:p>
    <w:sectPr w:rsidRPr="009440EF" w:rsidR="005500CC" w:rsidSect="002F493B">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191E" w14:textId="77777777" w:rsidR="00DC691C" w:rsidRDefault="000140F3">
      <w:r>
        <w:separator/>
      </w:r>
    </w:p>
    <w:p w14:paraId="02AC7C34" w14:textId="77777777" w:rsidR="00DC691C" w:rsidRDefault="00DC691C"/>
  </w:endnote>
  <w:endnote w:type="continuationSeparator" w:id="0">
    <w:p w14:paraId="7054142B" w14:textId="77777777" w:rsidR="00DC691C" w:rsidRDefault="000140F3">
      <w:r>
        <w:continuationSeparator/>
      </w:r>
    </w:p>
    <w:p w14:paraId="6496966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57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122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901F4" w14:paraId="0C3A1DDC" w14:textId="77777777" w:rsidTr="004C7E1D">
      <w:trPr>
        <w:trHeight w:hRule="exact" w:val="357"/>
      </w:trPr>
      <w:tc>
        <w:tcPr>
          <w:tcW w:w="7603" w:type="dxa"/>
          <w:shd w:val="clear" w:color="auto" w:fill="auto"/>
        </w:tcPr>
        <w:p w14:paraId="29184E24" w14:textId="77777777" w:rsidR="002F71BB" w:rsidRPr="004C7E1D" w:rsidRDefault="002F71BB" w:rsidP="004C7E1D">
          <w:pPr>
            <w:spacing w:line="180" w:lineRule="exact"/>
            <w:rPr>
              <w:sz w:val="13"/>
              <w:szCs w:val="13"/>
            </w:rPr>
          </w:pPr>
        </w:p>
      </w:tc>
      <w:tc>
        <w:tcPr>
          <w:tcW w:w="2172" w:type="dxa"/>
          <w:shd w:val="clear" w:color="auto" w:fill="auto"/>
        </w:tcPr>
        <w:p w14:paraId="247A8B2E" w14:textId="31CF486D" w:rsidR="002F71BB" w:rsidRPr="004C7E1D" w:rsidRDefault="000140F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2DB3">
            <w:rPr>
              <w:szCs w:val="13"/>
            </w:rPr>
            <w:t>9</w:t>
          </w:r>
          <w:r w:rsidRPr="004C7E1D">
            <w:rPr>
              <w:szCs w:val="13"/>
            </w:rPr>
            <w:fldChar w:fldCharType="end"/>
          </w:r>
        </w:p>
      </w:tc>
    </w:tr>
  </w:tbl>
  <w:p w14:paraId="2C98329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901F4" w14:paraId="5D50697F" w14:textId="77777777" w:rsidTr="004C7E1D">
      <w:trPr>
        <w:trHeight w:hRule="exact" w:val="357"/>
      </w:trPr>
      <w:tc>
        <w:tcPr>
          <w:tcW w:w="7709" w:type="dxa"/>
          <w:shd w:val="clear" w:color="auto" w:fill="auto"/>
        </w:tcPr>
        <w:p w14:paraId="202061E0" w14:textId="77777777" w:rsidR="00D17084" w:rsidRPr="004C7E1D" w:rsidRDefault="00D17084" w:rsidP="004C7E1D">
          <w:pPr>
            <w:spacing w:line="180" w:lineRule="exact"/>
            <w:rPr>
              <w:sz w:val="13"/>
              <w:szCs w:val="13"/>
            </w:rPr>
          </w:pPr>
        </w:p>
      </w:tc>
      <w:tc>
        <w:tcPr>
          <w:tcW w:w="2060" w:type="dxa"/>
          <w:shd w:val="clear" w:color="auto" w:fill="auto"/>
        </w:tcPr>
        <w:p w14:paraId="15579DE0" w14:textId="4AC54294" w:rsidR="00D17084" w:rsidRPr="004C7E1D" w:rsidRDefault="000140F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2DB3">
            <w:rPr>
              <w:szCs w:val="13"/>
            </w:rPr>
            <w:t>9</w:t>
          </w:r>
          <w:r w:rsidRPr="004C7E1D">
            <w:rPr>
              <w:szCs w:val="13"/>
            </w:rPr>
            <w:fldChar w:fldCharType="end"/>
          </w:r>
        </w:p>
      </w:tc>
    </w:tr>
  </w:tbl>
  <w:p w14:paraId="70EC262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8F0C" w14:textId="77777777" w:rsidR="00DC691C" w:rsidRDefault="000140F3">
      <w:r>
        <w:separator/>
      </w:r>
    </w:p>
    <w:p w14:paraId="0A1FBD9E" w14:textId="77777777" w:rsidR="00DC691C" w:rsidRDefault="00DC691C"/>
  </w:footnote>
  <w:footnote w:type="continuationSeparator" w:id="0">
    <w:p w14:paraId="427B63A6" w14:textId="77777777" w:rsidR="00DC691C" w:rsidRDefault="000140F3">
      <w:r>
        <w:continuationSeparator/>
      </w:r>
    </w:p>
    <w:p w14:paraId="12AABE09" w14:textId="77777777" w:rsidR="00DC691C" w:rsidRDefault="00DC691C"/>
  </w:footnote>
  <w:footnote w:id="1">
    <w:p w14:paraId="378E3903" w14:textId="36D14673" w:rsidR="009440EF" w:rsidRPr="009440EF" w:rsidRDefault="009440EF" w:rsidP="009440EF">
      <w:pPr>
        <w:pStyle w:val="Voetnoottekst"/>
        <w:spacing w:line="240" w:lineRule="auto"/>
        <w:rPr>
          <w:sz w:val="14"/>
          <w:szCs w:val="14"/>
        </w:rPr>
      </w:pPr>
      <w:r w:rsidRPr="009440EF">
        <w:rPr>
          <w:rStyle w:val="Voetnootmarkering"/>
          <w:sz w:val="14"/>
          <w:szCs w:val="14"/>
        </w:rPr>
        <w:footnoteRef/>
      </w:r>
      <w:r w:rsidRPr="009440EF">
        <w:rPr>
          <w:sz w:val="14"/>
          <w:szCs w:val="14"/>
        </w:rPr>
        <w:t xml:space="preserve"> Omroep Gelderland, 5 maart 2025, 'Speciale DUO-regeling steeds populairder, maar begeleiding varieert', Speciale DUO-regeling steeds populairder, maar begeleiding varieert - Omroep Gelderland</w:t>
      </w:r>
    </w:p>
  </w:footnote>
  <w:footnote w:id="2">
    <w:p w14:paraId="622FACFC" w14:textId="77777777" w:rsidR="00030DFA" w:rsidRDefault="00030DFA" w:rsidP="00030DFA">
      <w:pPr>
        <w:pStyle w:val="Voetnoottekst"/>
        <w:rPr>
          <w:rFonts w:asciiTheme="minorHAnsi" w:hAnsiTheme="minorHAnsi"/>
          <w:sz w:val="20"/>
        </w:rPr>
      </w:pPr>
      <w:r>
        <w:rPr>
          <w:rStyle w:val="Voetnootmarkering"/>
        </w:rPr>
        <w:footnoteRef/>
      </w:r>
      <w:r>
        <w:t xml:space="preserve"> </w:t>
      </w:r>
      <w:hyperlink r:id="rId1" w:history="1">
        <w:r>
          <w:rPr>
            <w:rStyle w:val="Hyperlink"/>
            <w:sz w:val="16"/>
            <w:szCs w:val="16"/>
          </w:rPr>
          <w:t>TK 2024/25, 31288, nr. 1161</w:t>
        </w:r>
      </w:hyperlink>
      <w:r>
        <w:rPr>
          <w:sz w:val="16"/>
          <w:szCs w:val="16"/>
        </w:rPr>
        <w:t xml:space="preserve"> &amp; </w:t>
      </w:r>
      <w:hyperlink r:id="rId2" w:history="1">
        <w:r>
          <w:rPr>
            <w:rStyle w:val="Hyperlink"/>
            <w:sz w:val="16"/>
            <w:szCs w:val="16"/>
          </w:rPr>
          <w:t>TK 20024/25, 31288, nr. 1188</w:t>
        </w:r>
      </w:hyperlink>
    </w:p>
  </w:footnote>
  <w:footnote w:id="3">
    <w:p w14:paraId="434F277B" w14:textId="77777777" w:rsidR="005500CC" w:rsidRDefault="005500CC" w:rsidP="005500CC">
      <w:pPr>
        <w:pStyle w:val="Voetnoottekst"/>
      </w:pPr>
      <w:r w:rsidRPr="00B17FD9">
        <w:rPr>
          <w:rStyle w:val="Voetnootmarkering"/>
          <w:sz w:val="12"/>
          <w:szCs w:val="12"/>
        </w:rPr>
        <w:footnoteRef/>
      </w:r>
      <w:r w:rsidRPr="00B17FD9">
        <w:rPr>
          <w:sz w:val="12"/>
          <w:szCs w:val="12"/>
        </w:rPr>
        <w:t xml:space="preserve"> Zie hiervoor artikel 4.12, 4.14, vijfde lid, 5.2b en artikel 5.16, vijfde lid van de WSF 2000.</w:t>
      </w:r>
      <w:r>
        <w:t xml:space="preserve"> </w:t>
      </w:r>
    </w:p>
  </w:footnote>
  <w:footnote w:id="4">
    <w:p w14:paraId="024CE7EC" w14:textId="77777777" w:rsidR="005500CC" w:rsidRPr="005C0749" w:rsidRDefault="005500CC" w:rsidP="005500CC">
      <w:pPr>
        <w:pStyle w:val="Voetnoottekst"/>
        <w:rPr>
          <w:sz w:val="12"/>
          <w:szCs w:val="12"/>
        </w:rPr>
      </w:pPr>
      <w:r w:rsidRPr="005C0749">
        <w:rPr>
          <w:rStyle w:val="Voetnootmarkering"/>
        </w:rPr>
        <w:footnoteRef/>
      </w:r>
      <w:r w:rsidRPr="005C0749">
        <w:rPr>
          <w:sz w:val="12"/>
          <w:szCs w:val="12"/>
        </w:rPr>
        <w:t xml:space="preserve"> De prestatiebeurs bestaat uit de basisbeurs, aanvullende beurs en reisvoorziening. </w:t>
      </w:r>
    </w:p>
  </w:footnote>
  <w:footnote w:id="5">
    <w:p w14:paraId="5B69F876" w14:textId="77777777" w:rsidR="005500CC" w:rsidRDefault="005500CC" w:rsidP="005500CC">
      <w:pPr>
        <w:pStyle w:val="Voetnoottekst"/>
      </w:pPr>
      <w:r w:rsidRPr="005C0749">
        <w:rPr>
          <w:rStyle w:val="Voetnootmarkering"/>
        </w:rPr>
        <w:footnoteRef/>
      </w:r>
      <w:r w:rsidRPr="005C0749">
        <w:rPr>
          <w:rStyle w:val="Voetnootmarkering"/>
        </w:rPr>
        <w:t xml:space="preserve"> </w:t>
      </w:r>
      <w:r w:rsidRPr="005C0749">
        <w:rPr>
          <w:sz w:val="12"/>
          <w:szCs w:val="12"/>
        </w:rPr>
        <w:t>Studenten onder het leenstelsel die geen basisbeurs ontvingen, krijgen in plaats van een omzetting een gedeeltelijke kwijtschelding van hun studieschuld.</w:t>
      </w:r>
    </w:p>
  </w:footnote>
  <w:footnote w:id="6">
    <w:p w14:paraId="4F9F5B15" w14:textId="4DD4A8BE" w:rsidR="00EA7B1B" w:rsidRDefault="00EA7B1B">
      <w:pPr>
        <w:pStyle w:val="Voetnoottekst"/>
      </w:pPr>
      <w:r>
        <w:rPr>
          <w:rStyle w:val="Voetnootmarkering"/>
        </w:rPr>
        <w:footnoteRef/>
      </w:r>
      <w:r>
        <w:t xml:space="preserve"> Kamerstukken II, vergaderjaar 2023-2024, Aanhangsel van de Handelingen, 1707</w:t>
      </w:r>
    </w:p>
  </w:footnote>
  <w:footnote w:id="7">
    <w:p w14:paraId="418FBE16" w14:textId="77777777" w:rsidR="005500CC" w:rsidRDefault="005500CC" w:rsidP="005500CC">
      <w:pPr>
        <w:pStyle w:val="Voetnoottekst"/>
      </w:pPr>
      <w:r>
        <w:rPr>
          <w:rStyle w:val="Voetnootmarkering"/>
        </w:rPr>
        <w:footnoteRef/>
      </w:r>
      <w:r>
        <w:t xml:space="preserve"> </w:t>
      </w:r>
      <w:r w:rsidRPr="00B17FD9">
        <w:rPr>
          <w:sz w:val="12"/>
          <w:szCs w:val="12"/>
        </w:rPr>
        <w:t>Zie hiervoor artikel 4.12, 4.14, vijfde lid, 5.2b en artikel 5.16, vijfde lid van de WSF 2000.</w:t>
      </w:r>
    </w:p>
  </w:footnote>
  <w:footnote w:id="8">
    <w:p w14:paraId="35FB47C7" w14:textId="1670E187" w:rsidR="009440EF" w:rsidRPr="009440EF" w:rsidRDefault="009440EF" w:rsidP="009440EF">
      <w:pPr>
        <w:pStyle w:val="Voetnoottekst"/>
        <w:spacing w:line="240" w:lineRule="auto"/>
        <w:rPr>
          <w:sz w:val="14"/>
          <w:szCs w:val="14"/>
        </w:rPr>
      </w:pPr>
      <w:r w:rsidRPr="009440EF">
        <w:rPr>
          <w:rStyle w:val="Voetnootmarkering"/>
          <w:sz w:val="14"/>
          <w:szCs w:val="14"/>
        </w:rPr>
        <w:footnoteRef/>
      </w:r>
      <w:r w:rsidRPr="009440EF">
        <w:rPr>
          <w:sz w:val="14"/>
          <w:szCs w:val="14"/>
        </w:rPr>
        <w:t xml:space="preserve"> Aanhangsel Handelingen II, vergaderjaar 2023-2024, nr. 1707</w:t>
      </w:r>
      <w:r w:rsidRPr="009440EF">
        <w:rPr>
          <w:sz w:val="14"/>
          <w:szCs w:val="14"/>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C65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901F4" w14:paraId="557EE402" w14:textId="77777777" w:rsidTr="006D2D53">
      <w:trPr>
        <w:trHeight w:hRule="exact" w:val="400"/>
      </w:trPr>
      <w:tc>
        <w:tcPr>
          <w:tcW w:w="7518" w:type="dxa"/>
          <w:shd w:val="clear" w:color="auto" w:fill="auto"/>
        </w:tcPr>
        <w:p w14:paraId="752632FC" w14:textId="77777777" w:rsidR="00527BD4" w:rsidRPr="00275984" w:rsidRDefault="00527BD4" w:rsidP="00BF4427">
          <w:pPr>
            <w:pStyle w:val="Huisstijl-Rubricering"/>
          </w:pPr>
        </w:p>
      </w:tc>
    </w:tr>
  </w:tbl>
  <w:p w14:paraId="7FFE014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901F4" w14:paraId="622B8FE1" w14:textId="77777777" w:rsidTr="003B528D">
      <w:tc>
        <w:tcPr>
          <w:tcW w:w="2160" w:type="dxa"/>
          <w:shd w:val="clear" w:color="auto" w:fill="auto"/>
        </w:tcPr>
        <w:p w14:paraId="4E8512B5" w14:textId="77777777" w:rsidR="002F71BB" w:rsidRPr="000407BB" w:rsidRDefault="000140F3" w:rsidP="005D283A">
          <w:pPr>
            <w:pStyle w:val="Colofonkop"/>
            <w:framePr w:hSpace="0" w:wrap="auto" w:vAnchor="margin" w:hAnchor="text" w:xAlign="left" w:yAlign="inline"/>
          </w:pPr>
          <w:r>
            <w:t>Onze referentie</w:t>
          </w:r>
        </w:p>
      </w:tc>
    </w:tr>
    <w:tr w:rsidR="00A901F4" w14:paraId="55A9ED49" w14:textId="77777777" w:rsidTr="002F71BB">
      <w:trPr>
        <w:trHeight w:val="259"/>
      </w:trPr>
      <w:tc>
        <w:tcPr>
          <w:tcW w:w="2160" w:type="dxa"/>
          <w:shd w:val="clear" w:color="auto" w:fill="auto"/>
        </w:tcPr>
        <w:p w14:paraId="3C3B9AAF" w14:textId="77777777" w:rsidR="00E35CF4" w:rsidRPr="005D283A" w:rsidRDefault="000140F3" w:rsidP="0049501A">
          <w:pPr>
            <w:spacing w:line="180" w:lineRule="exact"/>
            <w:rPr>
              <w:sz w:val="13"/>
              <w:szCs w:val="13"/>
            </w:rPr>
          </w:pPr>
          <w:r>
            <w:rPr>
              <w:sz w:val="13"/>
              <w:szCs w:val="13"/>
            </w:rPr>
            <w:t>52213037</w:t>
          </w:r>
        </w:p>
      </w:tc>
    </w:tr>
  </w:tbl>
  <w:p w14:paraId="7300EED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901F4" w14:paraId="267D19AF" w14:textId="77777777" w:rsidTr="001377D4">
      <w:trPr>
        <w:trHeight w:val="2636"/>
      </w:trPr>
      <w:tc>
        <w:tcPr>
          <w:tcW w:w="737" w:type="dxa"/>
          <w:shd w:val="clear" w:color="auto" w:fill="auto"/>
        </w:tcPr>
        <w:p w14:paraId="7785119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7006CBA" w14:textId="77777777" w:rsidR="00704845" w:rsidRDefault="000140F3" w:rsidP="0047126E">
          <w:pPr>
            <w:framePr w:w="3873" w:h="2625" w:hRule="exact" w:wrap="around" w:vAnchor="page" w:hAnchor="page" w:x="6323" w:y="1"/>
          </w:pPr>
          <w:r>
            <w:rPr>
              <w:noProof/>
              <w:lang w:val="en-US" w:eastAsia="en-US"/>
            </w:rPr>
            <w:drawing>
              <wp:inline distT="0" distB="0" distL="0" distR="0" wp14:anchorId="4452C293" wp14:editId="35FF64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57EF1D" w14:textId="77777777" w:rsidR="00483ECA" w:rsidRDefault="00483ECA" w:rsidP="00D037A9"/>
      </w:tc>
    </w:tr>
  </w:tbl>
  <w:p w14:paraId="284F02A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901F4" w14:paraId="0B471136" w14:textId="77777777" w:rsidTr="0008539E">
      <w:trPr>
        <w:trHeight w:hRule="exact" w:val="572"/>
      </w:trPr>
      <w:tc>
        <w:tcPr>
          <w:tcW w:w="7520" w:type="dxa"/>
          <w:shd w:val="clear" w:color="auto" w:fill="auto"/>
        </w:tcPr>
        <w:p w14:paraId="7A257D5B" w14:textId="77777777" w:rsidR="00527BD4" w:rsidRPr="00963440" w:rsidRDefault="000140F3" w:rsidP="00210BA3">
          <w:pPr>
            <w:pStyle w:val="Huisstijl-Adres"/>
            <w:spacing w:after="0"/>
          </w:pPr>
          <w:r w:rsidRPr="009E3B07">
            <w:t>&gt;Retouradres </w:t>
          </w:r>
          <w:r>
            <w:t>Postbus 16375 2500 BJ Den Haag</w:t>
          </w:r>
          <w:r w:rsidRPr="009E3B07">
            <w:t xml:space="preserve"> </w:t>
          </w:r>
        </w:p>
      </w:tc>
    </w:tr>
    <w:tr w:rsidR="00A901F4" w14:paraId="07D1D123" w14:textId="77777777" w:rsidTr="00E776C6">
      <w:trPr>
        <w:cantSplit/>
        <w:trHeight w:hRule="exact" w:val="238"/>
      </w:trPr>
      <w:tc>
        <w:tcPr>
          <w:tcW w:w="7520" w:type="dxa"/>
          <w:shd w:val="clear" w:color="auto" w:fill="auto"/>
        </w:tcPr>
        <w:p w14:paraId="406BEF8D" w14:textId="77777777" w:rsidR="00093ABC" w:rsidRPr="00963440" w:rsidRDefault="00093ABC" w:rsidP="00963440"/>
      </w:tc>
    </w:tr>
    <w:tr w:rsidR="00A901F4" w14:paraId="15E81CF5" w14:textId="77777777" w:rsidTr="00E776C6">
      <w:trPr>
        <w:cantSplit/>
        <w:trHeight w:hRule="exact" w:val="1520"/>
      </w:trPr>
      <w:tc>
        <w:tcPr>
          <w:tcW w:w="7520" w:type="dxa"/>
          <w:shd w:val="clear" w:color="auto" w:fill="auto"/>
        </w:tcPr>
        <w:p w14:paraId="1750E82F" w14:textId="77777777" w:rsidR="00A604D3" w:rsidRPr="00963440" w:rsidRDefault="00A604D3" w:rsidP="00963440"/>
      </w:tc>
    </w:tr>
    <w:tr w:rsidR="00A901F4" w14:paraId="464877E4" w14:textId="77777777" w:rsidTr="00E776C6">
      <w:trPr>
        <w:trHeight w:hRule="exact" w:val="1077"/>
      </w:trPr>
      <w:tc>
        <w:tcPr>
          <w:tcW w:w="7520" w:type="dxa"/>
          <w:shd w:val="clear" w:color="auto" w:fill="auto"/>
        </w:tcPr>
        <w:p w14:paraId="04AB9A3B" w14:textId="77777777" w:rsidR="00892BA5" w:rsidRPr="00035E67" w:rsidRDefault="00892BA5" w:rsidP="00892BA5">
          <w:pPr>
            <w:tabs>
              <w:tab w:val="left" w:pos="740"/>
            </w:tabs>
            <w:autoSpaceDE w:val="0"/>
            <w:autoSpaceDN w:val="0"/>
            <w:adjustRightInd w:val="0"/>
            <w:rPr>
              <w:rFonts w:cs="Verdana"/>
              <w:szCs w:val="18"/>
            </w:rPr>
          </w:pPr>
        </w:p>
      </w:tc>
    </w:tr>
  </w:tbl>
  <w:p w14:paraId="652C30FB" w14:textId="77777777" w:rsidR="006F273B" w:rsidRDefault="006F273B" w:rsidP="00BC4AE3">
    <w:pPr>
      <w:pStyle w:val="Koptekst"/>
    </w:pPr>
  </w:p>
  <w:p w14:paraId="6B5FEE23" w14:textId="77777777" w:rsidR="00153BD0" w:rsidRDefault="00153BD0" w:rsidP="00BC4AE3">
    <w:pPr>
      <w:pStyle w:val="Koptekst"/>
    </w:pPr>
  </w:p>
  <w:p w14:paraId="5A3FB690" w14:textId="77777777" w:rsidR="0044605E" w:rsidRDefault="0044605E" w:rsidP="00BC4AE3">
    <w:pPr>
      <w:pStyle w:val="Koptekst"/>
    </w:pPr>
  </w:p>
  <w:p w14:paraId="594BAA45" w14:textId="77777777" w:rsidR="0044605E" w:rsidRDefault="0044605E" w:rsidP="00BC4AE3">
    <w:pPr>
      <w:pStyle w:val="Koptekst"/>
    </w:pPr>
  </w:p>
  <w:p w14:paraId="46D011D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02F666">
      <w:start w:val="1"/>
      <w:numFmt w:val="bullet"/>
      <w:pStyle w:val="Lijstopsomteken"/>
      <w:lvlText w:val="•"/>
      <w:lvlJc w:val="left"/>
      <w:pPr>
        <w:tabs>
          <w:tab w:val="num" w:pos="227"/>
        </w:tabs>
        <w:ind w:left="227" w:hanging="227"/>
      </w:pPr>
      <w:rPr>
        <w:rFonts w:ascii="Verdana" w:hAnsi="Verdana" w:hint="default"/>
        <w:sz w:val="18"/>
        <w:szCs w:val="18"/>
      </w:rPr>
    </w:lvl>
    <w:lvl w:ilvl="1" w:tplc="4EB4B3F4" w:tentative="1">
      <w:start w:val="1"/>
      <w:numFmt w:val="bullet"/>
      <w:lvlText w:val="o"/>
      <w:lvlJc w:val="left"/>
      <w:pPr>
        <w:tabs>
          <w:tab w:val="num" w:pos="1440"/>
        </w:tabs>
        <w:ind w:left="1440" w:hanging="360"/>
      </w:pPr>
      <w:rPr>
        <w:rFonts w:ascii="Courier New" w:hAnsi="Courier New" w:cs="Courier New" w:hint="default"/>
      </w:rPr>
    </w:lvl>
    <w:lvl w:ilvl="2" w:tplc="16C62AE4" w:tentative="1">
      <w:start w:val="1"/>
      <w:numFmt w:val="bullet"/>
      <w:lvlText w:val=""/>
      <w:lvlJc w:val="left"/>
      <w:pPr>
        <w:tabs>
          <w:tab w:val="num" w:pos="2160"/>
        </w:tabs>
        <w:ind w:left="2160" w:hanging="360"/>
      </w:pPr>
      <w:rPr>
        <w:rFonts w:ascii="Wingdings" w:hAnsi="Wingdings" w:hint="default"/>
      </w:rPr>
    </w:lvl>
    <w:lvl w:ilvl="3" w:tplc="C56A245A" w:tentative="1">
      <w:start w:val="1"/>
      <w:numFmt w:val="bullet"/>
      <w:lvlText w:val=""/>
      <w:lvlJc w:val="left"/>
      <w:pPr>
        <w:tabs>
          <w:tab w:val="num" w:pos="2880"/>
        </w:tabs>
        <w:ind w:left="2880" w:hanging="360"/>
      </w:pPr>
      <w:rPr>
        <w:rFonts w:ascii="Symbol" w:hAnsi="Symbol" w:hint="default"/>
      </w:rPr>
    </w:lvl>
    <w:lvl w:ilvl="4" w:tplc="D4DC8CDA" w:tentative="1">
      <w:start w:val="1"/>
      <w:numFmt w:val="bullet"/>
      <w:lvlText w:val="o"/>
      <w:lvlJc w:val="left"/>
      <w:pPr>
        <w:tabs>
          <w:tab w:val="num" w:pos="3600"/>
        </w:tabs>
        <w:ind w:left="3600" w:hanging="360"/>
      </w:pPr>
      <w:rPr>
        <w:rFonts w:ascii="Courier New" w:hAnsi="Courier New" w:cs="Courier New" w:hint="default"/>
      </w:rPr>
    </w:lvl>
    <w:lvl w:ilvl="5" w:tplc="28EE9074" w:tentative="1">
      <w:start w:val="1"/>
      <w:numFmt w:val="bullet"/>
      <w:lvlText w:val=""/>
      <w:lvlJc w:val="left"/>
      <w:pPr>
        <w:tabs>
          <w:tab w:val="num" w:pos="4320"/>
        </w:tabs>
        <w:ind w:left="4320" w:hanging="360"/>
      </w:pPr>
      <w:rPr>
        <w:rFonts w:ascii="Wingdings" w:hAnsi="Wingdings" w:hint="default"/>
      </w:rPr>
    </w:lvl>
    <w:lvl w:ilvl="6" w:tplc="3906ED2A" w:tentative="1">
      <w:start w:val="1"/>
      <w:numFmt w:val="bullet"/>
      <w:lvlText w:val=""/>
      <w:lvlJc w:val="left"/>
      <w:pPr>
        <w:tabs>
          <w:tab w:val="num" w:pos="5040"/>
        </w:tabs>
        <w:ind w:left="5040" w:hanging="360"/>
      </w:pPr>
      <w:rPr>
        <w:rFonts w:ascii="Symbol" w:hAnsi="Symbol" w:hint="default"/>
      </w:rPr>
    </w:lvl>
    <w:lvl w:ilvl="7" w:tplc="FF8AFB06" w:tentative="1">
      <w:start w:val="1"/>
      <w:numFmt w:val="bullet"/>
      <w:lvlText w:val="o"/>
      <w:lvlJc w:val="left"/>
      <w:pPr>
        <w:tabs>
          <w:tab w:val="num" w:pos="5760"/>
        </w:tabs>
        <w:ind w:left="5760" w:hanging="360"/>
      </w:pPr>
      <w:rPr>
        <w:rFonts w:ascii="Courier New" w:hAnsi="Courier New" w:cs="Courier New" w:hint="default"/>
      </w:rPr>
    </w:lvl>
    <w:lvl w:ilvl="8" w:tplc="BFB62D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2AD7C0">
      <w:start w:val="1"/>
      <w:numFmt w:val="bullet"/>
      <w:pStyle w:val="Lijstopsomteken2"/>
      <w:lvlText w:val="–"/>
      <w:lvlJc w:val="left"/>
      <w:pPr>
        <w:tabs>
          <w:tab w:val="num" w:pos="227"/>
        </w:tabs>
        <w:ind w:left="227" w:firstLine="0"/>
      </w:pPr>
      <w:rPr>
        <w:rFonts w:ascii="Verdana" w:hAnsi="Verdana" w:hint="default"/>
      </w:rPr>
    </w:lvl>
    <w:lvl w:ilvl="1" w:tplc="8EB8D12A" w:tentative="1">
      <w:start w:val="1"/>
      <w:numFmt w:val="bullet"/>
      <w:lvlText w:val="o"/>
      <w:lvlJc w:val="left"/>
      <w:pPr>
        <w:tabs>
          <w:tab w:val="num" w:pos="1440"/>
        </w:tabs>
        <w:ind w:left="1440" w:hanging="360"/>
      </w:pPr>
      <w:rPr>
        <w:rFonts w:ascii="Courier New" w:hAnsi="Courier New" w:cs="Courier New" w:hint="default"/>
      </w:rPr>
    </w:lvl>
    <w:lvl w:ilvl="2" w:tplc="CC2A0CAE" w:tentative="1">
      <w:start w:val="1"/>
      <w:numFmt w:val="bullet"/>
      <w:lvlText w:val=""/>
      <w:lvlJc w:val="left"/>
      <w:pPr>
        <w:tabs>
          <w:tab w:val="num" w:pos="2160"/>
        </w:tabs>
        <w:ind w:left="2160" w:hanging="360"/>
      </w:pPr>
      <w:rPr>
        <w:rFonts w:ascii="Wingdings" w:hAnsi="Wingdings" w:hint="default"/>
      </w:rPr>
    </w:lvl>
    <w:lvl w:ilvl="3" w:tplc="DB9C93CA" w:tentative="1">
      <w:start w:val="1"/>
      <w:numFmt w:val="bullet"/>
      <w:lvlText w:val=""/>
      <w:lvlJc w:val="left"/>
      <w:pPr>
        <w:tabs>
          <w:tab w:val="num" w:pos="2880"/>
        </w:tabs>
        <w:ind w:left="2880" w:hanging="360"/>
      </w:pPr>
      <w:rPr>
        <w:rFonts w:ascii="Symbol" w:hAnsi="Symbol" w:hint="default"/>
      </w:rPr>
    </w:lvl>
    <w:lvl w:ilvl="4" w:tplc="235A7834" w:tentative="1">
      <w:start w:val="1"/>
      <w:numFmt w:val="bullet"/>
      <w:lvlText w:val="o"/>
      <w:lvlJc w:val="left"/>
      <w:pPr>
        <w:tabs>
          <w:tab w:val="num" w:pos="3600"/>
        </w:tabs>
        <w:ind w:left="3600" w:hanging="360"/>
      </w:pPr>
      <w:rPr>
        <w:rFonts w:ascii="Courier New" w:hAnsi="Courier New" w:cs="Courier New" w:hint="default"/>
      </w:rPr>
    </w:lvl>
    <w:lvl w:ilvl="5" w:tplc="0088A4CC" w:tentative="1">
      <w:start w:val="1"/>
      <w:numFmt w:val="bullet"/>
      <w:lvlText w:val=""/>
      <w:lvlJc w:val="left"/>
      <w:pPr>
        <w:tabs>
          <w:tab w:val="num" w:pos="4320"/>
        </w:tabs>
        <w:ind w:left="4320" w:hanging="360"/>
      </w:pPr>
      <w:rPr>
        <w:rFonts w:ascii="Wingdings" w:hAnsi="Wingdings" w:hint="default"/>
      </w:rPr>
    </w:lvl>
    <w:lvl w:ilvl="6" w:tplc="CB4837CA" w:tentative="1">
      <w:start w:val="1"/>
      <w:numFmt w:val="bullet"/>
      <w:lvlText w:val=""/>
      <w:lvlJc w:val="left"/>
      <w:pPr>
        <w:tabs>
          <w:tab w:val="num" w:pos="5040"/>
        </w:tabs>
        <w:ind w:left="5040" w:hanging="360"/>
      </w:pPr>
      <w:rPr>
        <w:rFonts w:ascii="Symbol" w:hAnsi="Symbol" w:hint="default"/>
      </w:rPr>
    </w:lvl>
    <w:lvl w:ilvl="7" w:tplc="C1D48288" w:tentative="1">
      <w:start w:val="1"/>
      <w:numFmt w:val="bullet"/>
      <w:lvlText w:val="o"/>
      <w:lvlJc w:val="left"/>
      <w:pPr>
        <w:tabs>
          <w:tab w:val="num" w:pos="5760"/>
        </w:tabs>
        <w:ind w:left="5760" w:hanging="360"/>
      </w:pPr>
      <w:rPr>
        <w:rFonts w:ascii="Courier New" w:hAnsi="Courier New" w:cs="Courier New" w:hint="default"/>
      </w:rPr>
    </w:lvl>
    <w:lvl w:ilvl="8" w:tplc="1BEEFE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D564E"/>
    <w:multiLevelType w:val="hybridMultilevel"/>
    <w:tmpl w:val="767047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CF0412"/>
    <w:multiLevelType w:val="hybridMultilevel"/>
    <w:tmpl w:val="1C380460"/>
    <w:lvl w:ilvl="0" w:tplc="775444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0915844">
    <w:abstractNumId w:val="10"/>
  </w:num>
  <w:num w:numId="2" w16cid:durableId="303630697">
    <w:abstractNumId w:val="7"/>
  </w:num>
  <w:num w:numId="3" w16cid:durableId="153692735">
    <w:abstractNumId w:val="6"/>
  </w:num>
  <w:num w:numId="4" w16cid:durableId="1754088898">
    <w:abstractNumId w:val="5"/>
  </w:num>
  <w:num w:numId="5" w16cid:durableId="2087262108">
    <w:abstractNumId w:val="4"/>
  </w:num>
  <w:num w:numId="6" w16cid:durableId="564292528">
    <w:abstractNumId w:val="8"/>
  </w:num>
  <w:num w:numId="7" w16cid:durableId="378820545">
    <w:abstractNumId w:val="3"/>
  </w:num>
  <w:num w:numId="8" w16cid:durableId="1290159670">
    <w:abstractNumId w:val="2"/>
  </w:num>
  <w:num w:numId="9" w16cid:durableId="547180855">
    <w:abstractNumId w:val="1"/>
  </w:num>
  <w:num w:numId="10" w16cid:durableId="756171102">
    <w:abstractNumId w:val="0"/>
  </w:num>
  <w:num w:numId="11" w16cid:durableId="740370519">
    <w:abstractNumId w:val="9"/>
  </w:num>
  <w:num w:numId="12" w16cid:durableId="329678730">
    <w:abstractNumId w:val="11"/>
  </w:num>
  <w:num w:numId="13" w16cid:durableId="872380852">
    <w:abstractNumId w:val="13"/>
  </w:num>
  <w:num w:numId="14" w16cid:durableId="1177964587">
    <w:abstractNumId w:val="12"/>
  </w:num>
  <w:num w:numId="15" w16cid:durableId="1220215930">
    <w:abstractNumId w:val="14"/>
  </w:num>
  <w:num w:numId="16" w16cid:durableId="20280995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0F3"/>
    <w:rsid w:val="00014599"/>
    <w:rsid w:val="00016012"/>
    <w:rsid w:val="00020189"/>
    <w:rsid w:val="00020EE4"/>
    <w:rsid w:val="00020FCB"/>
    <w:rsid w:val="000217E8"/>
    <w:rsid w:val="00023E9A"/>
    <w:rsid w:val="00025A42"/>
    <w:rsid w:val="00030DFA"/>
    <w:rsid w:val="00032DB3"/>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3A7"/>
    <w:rsid w:val="000F161D"/>
    <w:rsid w:val="000F1B4E"/>
    <w:rsid w:val="000F1FFF"/>
    <w:rsid w:val="00100203"/>
    <w:rsid w:val="00104B4D"/>
    <w:rsid w:val="00105677"/>
    <w:rsid w:val="001167F2"/>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A96"/>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03D3"/>
    <w:rsid w:val="001F3C70"/>
    <w:rsid w:val="001F58E1"/>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2891"/>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4C1"/>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5C6A"/>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48B5"/>
    <w:rsid w:val="005500C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782"/>
    <w:rsid w:val="005A7512"/>
    <w:rsid w:val="005B3441"/>
    <w:rsid w:val="005B463E"/>
    <w:rsid w:val="005B4FAC"/>
    <w:rsid w:val="005B5D8B"/>
    <w:rsid w:val="005C33BE"/>
    <w:rsid w:val="005C34E1"/>
    <w:rsid w:val="005C3FE0"/>
    <w:rsid w:val="005C4665"/>
    <w:rsid w:val="005C4C82"/>
    <w:rsid w:val="005C740C"/>
    <w:rsid w:val="005D283A"/>
    <w:rsid w:val="005D625B"/>
    <w:rsid w:val="005E2406"/>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237D"/>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A2E"/>
    <w:rsid w:val="00682E02"/>
    <w:rsid w:val="00685545"/>
    <w:rsid w:val="006864B3"/>
    <w:rsid w:val="00686AED"/>
    <w:rsid w:val="00692BA9"/>
    <w:rsid w:val="00692C30"/>
    <w:rsid w:val="00692D64"/>
    <w:rsid w:val="006A10F8"/>
    <w:rsid w:val="006A2100"/>
    <w:rsid w:val="006A6669"/>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75E"/>
    <w:rsid w:val="006C4B90"/>
    <w:rsid w:val="006C54E0"/>
    <w:rsid w:val="006D1016"/>
    <w:rsid w:val="006D12B9"/>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6678"/>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9E"/>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40EF"/>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417C"/>
    <w:rsid w:val="009D716F"/>
    <w:rsid w:val="009E3B07"/>
    <w:rsid w:val="009E4507"/>
    <w:rsid w:val="009F3259"/>
    <w:rsid w:val="009F541F"/>
    <w:rsid w:val="00A056DE"/>
    <w:rsid w:val="00A05722"/>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46A"/>
    <w:rsid w:val="00A56850"/>
    <w:rsid w:val="00A56946"/>
    <w:rsid w:val="00A604D3"/>
    <w:rsid w:val="00A6170E"/>
    <w:rsid w:val="00A63B8C"/>
    <w:rsid w:val="00A67AC7"/>
    <w:rsid w:val="00A715F8"/>
    <w:rsid w:val="00A741BA"/>
    <w:rsid w:val="00A773CC"/>
    <w:rsid w:val="00A77F6F"/>
    <w:rsid w:val="00A81CD8"/>
    <w:rsid w:val="00A831FD"/>
    <w:rsid w:val="00A83352"/>
    <w:rsid w:val="00A850A2"/>
    <w:rsid w:val="00A852D3"/>
    <w:rsid w:val="00A901F4"/>
    <w:rsid w:val="00A91FA3"/>
    <w:rsid w:val="00A927D3"/>
    <w:rsid w:val="00A9429A"/>
    <w:rsid w:val="00AA70B0"/>
    <w:rsid w:val="00AA7FC9"/>
    <w:rsid w:val="00AB237D"/>
    <w:rsid w:val="00AB50E6"/>
    <w:rsid w:val="00AB5933"/>
    <w:rsid w:val="00AC7835"/>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0EF"/>
    <w:rsid w:val="00B31BA0"/>
    <w:rsid w:val="00B31D76"/>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69D8"/>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1671"/>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35AF"/>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3268"/>
    <w:rsid w:val="00DC691C"/>
    <w:rsid w:val="00DD1DCD"/>
    <w:rsid w:val="00DD338F"/>
    <w:rsid w:val="00DD3404"/>
    <w:rsid w:val="00DD66F2"/>
    <w:rsid w:val="00DE1EB5"/>
    <w:rsid w:val="00DE3FE0"/>
    <w:rsid w:val="00DE578A"/>
    <w:rsid w:val="00DE6732"/>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A7B1B"/>
    <w:rsid w:val="00EB05E0"/>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6C5A6"/>
  <w15:docId w15:val="{32C542B0-EC6C-45DD-BC4D-A7145F17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9440EF"/>
    <w:rPr>
      <w:vertAlign w:val="superscript"/>
    </w:rPr>
  </w:style>
  <w:style w:type="character" w:styleId="Verwijzingopmerking">
    <w:name w:val="annotation reference"/>
    <w:basedOn w:val="Standaardalinea-lettertype"/>
    <w:uiPriority w:val="99"/>
    <w:rsid w:val="005500CC"/>
    <w:rPr>
      <w:sz w:val="16"/>
      <w:szCs w:val="16"/>
    </w:rPr>
  </w:style>
  <w:style w:type="paragraph" w:styleId="Tekstopmerking">
    <w:name w:val="annotation text"/>
    <w:basedOn w:val="Standaard"/>
    <w:link w:val="TekstopmerkingChar"/>
    <w:uiPriority w:val="99"/>
    <w:rsid w:val="005500CC"/>
    <w:pPr>
      <w:spacing w:line="240" w:lineRule="auto"/>
    </w:pPr>
    <w:rPr>
      <w:sz w:val="20"/>
      <w:szCs w:val="20"/>
    </w:rPr>
  </w:style>
  <w:style w:type="character" w:customStyle="1" w:styleId="TekstopmerkingChar">
    <w:name w:val="Tekst opmerking Char"/>
    <w:basedOn w:val="Standaardalinea-lettertype"/>
    <w:link w:val="Tekstopmerking"/>
    <w:uiPriority w:val="99"/>
    <w:rsid w:val="005500CC"/>
    <w:rPr>
      <w:rFonts w:ascii="Verdana" w:hAnsi="Verdana"/>
      <w:lang w:val="nl-NL" w:eastAsia="nl-NL"/>
    </w:rPr>
  </w:style>
  <w:style w:type="paragraph" w:styleId="Onderwerpvanopmerking">
    <w:name w:val="annotation subject"/>
    <w:basedOn w:val="Tekstopmerking"/>
    <w:next w:val="Tekstopmerking"/>
    <w:link w:val="OnderwerpvanopmerkingChar"/>
    <w:rsid w:val="005500CC"/>
    <w:rPr>
      <w:b/>
      <w:bCs/>
    </w:rPr>
  </w:style>
  <w:style w:type="character" w:customStyle="1" w:styleId="OnderwerpvanopmerkingChar">
    <w:name w:val="Onderwerp van opmerking Char"/>
    <w:basedOn w:val="TekstopmerkingChar"/>
    <w:link w:val="Onderwerpvanopmerking"/>
    <w:rsid w:val="005500CC"/>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5500CC"/>
    <w:rPr>
      <w:rFonts w:ascii="Verdana" w:hAnsi="Verdana"/>
      <w:sz w:val="13"/>
      <w:lang w:val="nl-NL" w:eastAsia="nl-NL"/>
    </w:rPr>
  </w:style>
  <w:style w:type="paragraph" w:styleId="Revisie">
    <w:name w:val="Revision"/>
    <w:hidden/>
    <w:uiPriority w:val="99"/>
    <w:semiHidden/>
    <w:rsid w:val="005500CC"/>
    <w:rPr>
      <w:rFonts w:ascii="Verdana" w:hAnsi="Verdana"/>
      <w:sz w:val="18"/>
      <w:szCs w:val="24"/>
      <w:lang w:val="nl-NL" w:eastAsia="nl-NL"/>
    </w:rPr>
  </w:style>
  <w:style w:type="paragraph" w:styleId="Lijstalinea">
    <w:name w:val="List Paragraph"/>
    <w:basedOn w:val="Standaard"/>
    <w:uiPriority w:val="34"/>
    <w:qFormat/>
    <w:rsid w:val="006C475E"/>
    <w:pPr>
      <w:ind w:left="720"/>
      <w:contextualSpacing/>
    </w:pPr>
  </w:style>
  <w:style w:type="character" w:styleId="Onopgelostemelding">
    <w:name w:val="Unresolved Mention"/>
    <w:basedOn w:val="Standaardalinea-lettertype"/>
    <w:uiPriority w:val="99"/>
    <w:semiHidden/>
    <w:unhideWhenUsed/>
    <w:rsid w:val="0003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475">
      <w:bodyDiv w:val="1"/>
      <w:marLeft w:val="0"/>
      <w:marRight w:val="0"/>
      <w:marTop w:val="0"/>
      <w:marBottom w:val="0"/>
      <w:divBdr>
        <w:top w:val="none" w:sz="0" w:space="0" w:color="auto"/>
        <w:left w:val="none" w:sz="0" w:space="0" w:color="auto"/>
        <w:bottom w:val="none" w:sz="0" w:space="0" w:color="auto"/>
        <w:right w:val="none" w:sz="0" w:space="0" w:color="auto"/>
      </w:divBdr>
    </w:div>
    <w:div w:id="104883839">
      <w:bodyDiv w:val="1"/>
      <w:marLeft w:val="0"/>
      <w:marRight w:val="0"/>
      <w:marTop w:val="0"/>
      <w:marBottom w:val="0"/>
      <w:divBdr>
        <w:top w:val="none" w:sz="0" w:space="0" w:color="auto"/>
        <w:left w:val="none" w:sz="0" w:space="0" w:color="auto"/>
        <w:bottom w:val="none" w:sz="0" w:space="0" w:color="auto"/>
        <w:right w:val="none" w:sz="0" w:space="0" w:color="auto"/>
      </w:divBdr>
    </w:div>
    <w:div w:id="132792668">
      <w:bodyDiv w:val="1"/>
      <w:marLeft w:val="0"/>
      <w:marRight w:val="0"/>
      <w:marTop w:val="0"/>
      <w:marBottom w:val="0"/>
      <w:divBdr>
        <w:top w:val="none" w:sz="0" w:space="0" w:color="auto"/>
        <w:left w:val="none" w:sz="0" w:space="0" w:color="auto"/>
        <w:bottom w:val="none" w:sz="0" w:space="0" w:color="auto"/>
        <w:right w:val="none" w:sz="0" w:space="0" w:color="auto"/>
      </w:divBdr>
    </w:div>
    <w:div w:id="329411607">
      <w:bodyDiv w:val="1"/>
      <w:marLeft w:val="0"/>
      <w:marRight w:val="0"/>
      <w:marTop w:val="0"/>
      <w:marBottom w:val="0"/>
      <w:divBdr>
        <w:top w:val="none" w:sz="0" w:space="0" w:color="auto"/>
        <w:left w:val="none" w:sz="0" w:space="0" w:color="auto"/>
        <w:bottom w:val="none" w:sz="0" w:space="0" w:color="auto"/>
        <w:right w:val="none" w:sz="0" w:space="0" w:color="auto"/>
      </w:divBdr>
    </w:div>
    <w:div w:id="422461571">
      <w:bodyDiv w:val="1"/>
      <w:marLeft w:val="0"/>
      <w:marRight w:val="0"/>
      <w:marTop w:val="0"/>
      <w:marBottom w:val="0"/>
      <w:divBdr>
        <w:top w:val="none" w:sz="0" w:space="0" w:color="auto"/>
        <w:left w:val="none" w:sz="0" w:space="0" w:color="auto"/>
        <w:bottom w:val="none" w:sz="0" w:space="0" w:color="auto"/>
        <w:right w:val="none" w:sz="0" w:space="0" w:color="auto"/>
      </w:divBdr>
    </w:div>
    <w:div w:id="787971131">
      <w:bodyDiv w:val="1"/>
      <w:marLeft w:val="0"/>
      <w:marRight w:val="0"/>
      <w:marTop w:val="0"/>
      <w:marBottom w:val="0"/>
      <w:divBdr>
        <w:top w:val="none" w:sz="0" w:space="0" w:color="auto"/>
        <w:left w:val="none" w:sz="0" w:space="0" w:color="auto"/>
        <w:bottom w:val="none" w:sz="0" w:space="0" w:color="auto"/>
        <w:right w:val="none" w:sz="0" w:space="0" w:color="auto"/>
      </w:divBdr>
    </w:div>
    <w:div w:id="1350718160">
      <w:bodyDiv w:val="1"/>
      <w:marLeft w:val="0"/>
      <w:marRight w:val="0"/>
      <w:marTop w:val="0"/>
      <w:marBottom w:val="0"/>
      <w:divBdr>
        <w:top w:val="none" w:sz="0" w:space="0" w:color="auto"/>
        <w:left w:val="none" w:sz="0" w:space="0" w:color="auto"/>
        <w:bottom w:val="none" w:sz="0" w:space="0" w:color="auto"/>
        <w:right w:val="none" w:sz="0" w:space="0" w:color="auto"/>
      </w:divBdr>
    </w:div>
    <w:div w:id="1745565130">
      <w:bodyDiv w:val="1"/>
      <w:marLeft w:val="0"/>
      <w:marRight w:val="0"/>
      <w:marTop w:val="0"/>
      <w:marBottom w:val="0"/>
      <w:divBdr>
        <w:top w:val="none" w:sz="0" w:space="0" w:color="auto"/>
        <w:left w:val="none" w:sz="0" w:space="0" w:color="auto"/>
        <w:bottom w:val="none" w:sz="0" w:space="0" w:color="auto"/>
        <w:right w:val="none" w:sz="0" w:space="0" w:color="auto"/>
      </w:divBdr>
    </w:div>
    <w:div w:id="1874729703">
      <w:bodyDiv w:val="1"/>
      <w:marLeft w:val="0"/>
      <w:marRight w:val="0"/>
      <w:marTop w:val="0"/>
      <w:marBottom w:val="0"/>
      <w:divBdr>
        <w:top w:val="none" w:sz="0" w:space="0" w:color="auto"/>
        <w:left w:val="none" w:sz="0" w:space="0" w:color="auto"/>
        <w:bottom w:val="none" w:sz="0" w:space="0" w:color="auto"/>
        <w:right w:val="none" w:sz="0" w:space="0" w:color="auto"/>
      </w:divBdr>
    </w:div>
    <w:div w:id="19712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mbotoegankelijk.n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rijksoverheid.nl/onderwerpen/hoger-onderwijs/vraag-en-antwoord/checklist-studeren" TargetMode="External" Id="rId10" /><Relationship Type="http://schemas.openxmlformats.org/officeDocument/2006/relationships/settings" Target="settings.xml" Id="rId4" /><Relationship Type="http://schemas.openxmlformats.org/officeDocument/2006/relationships/hyperlink" Target="http://www.hogeronderwijstoegankelijk.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6946&amp;did=2025D15912" TargetMode="External"/><Relationship Id="rId1" Type="http://schemas.openxmlformats.org/officeDocument/2006/relationships/hyperlink" Target="https://www.tweedekamer.nl/kamerstukken/brieven_regering/detail?id=2024D45772&amp;did=2024D4577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3141</ap:Words>
  <ap:Characters>17279</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2025-05-07T11:27:00.0000000Z</lastPrinted>
  <dcterms:created xsi:type="dcterms:W3CDTF">2025-05-12T10:17:00.0000000Z</dcterms:created>
  <dcterms:modified xsi:type="dcterms:W3CDTF">2025-05-12T10:17:00.0000000Z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O282VER</vt:lpwstr>
  </property>
  <property fmtid="{D5CDD505-2E9C-101B-9397-08002B2CF9AE}" pid="3" name="Author">
    <vt:lpwstr>O282VER</vt:lpwstr>
  </property>
  <property fmtid="{D5CDD505-2E9C-101B-9397-08002B2CF9AE}" pid="4" name="cs_objectid">
    <vt:lpwstr>52335100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Westerveld en Stultiens (beiden GroenLinks-PvdA) over hulp aan studenten met een functiebeperking</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O282VER</vt:lpwstr>
  </property>
</Properties>
</file>