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2025Z08997</w:t>
        <w:br/>
      </w:r>
      <w:proofErr w:type="spellEnd"/>
    </w:p>
    <w:p>
      <w:pPr>
        <w:pStyle w:val="Normal"/>
        <w:rPr>
          <w:b w:val="1"/>
          <w:bCs w:val="1"/>
        </w:rPr>
      </w:pPr>
      <w:r w:rsidR="250AE766">
        <w:rPr>
          <w:b w:val="0"/>
          <w:bCs w:val="0"/>
        </w:rPr>
        <w:t>(ingezonden 12 mei 2025)</w:t>
        <w:br/>
      </w:r>
    </w:p>
    <w:p>
      <w:r>
        <w:t xml:space="preserve">Vragen van de leden Joseph en Omtzigt (beiden Nieuw Sociaal Contract) aan de minister van Sociale Zaken en Werkgelegenheid over de verjaring van schadeclaims bij invaren van pensioenen.</w:t>
      </w:r>
      <w:r>
        <w:br/>
      </w:r>
    </w:p>
    <w:p>
      <w:pPr>
        <w:pStyle w:val="ListParagraph"/>
        <w:numPr>
          <w:ilvl w:val="0"/>
          <w:numId w:val="100477570"/>
        </w:numPr>
        <w:ind w:left="360"/>
      </w:pPr>
      <w:r>
        <w:t>Heeft u kennisgenomen van de uitspraak van de Rechtbank Oost-Brabant van 10 april 2025, waaruit blijkt dat schadeclaims wegens fouten van pensioenfondsen in beginsel na 20 jaar verjaren? 1)</w:t>
      </w:r>
      <w:r>
        <w:br/>
      </w:r>
    </w:p>
    <w:p>
      <w:pPr>
        <w:pStyle w:val="ListParagraph"/>
        <w:numPr>
          <w:ilvl w:val="0"/>
          <w:numId w:val="100477570"/>
        </w:numPr>
        <w:ind w:left="360"/>
      </w:pPr>
      <w:r>
        <w:t>Deelt u de opvatting dat, gelet op deze uitspraak en het algemene verjaringsleerstuk uit Boek 3 van het Burgerlijk Wetboek, geconcludeerd kan worden dat een rechtsvordering tot schadevergoeding wegens rekenfouten bij het invaren, dan wel schade als gevolg van het invaren ten opzichte van de situatie waarin niet zou zijn ingevaren, in beginsel na uiterlijk 20 jaar verjaart?</w:t>
      </w:r>
      <w:r>
        <w:br/>
      </w:r>
    </w:p>
    <w:p>
      <w:pPr>
        <w:pStyle w:val="ListParagraph"/>
        <w:numPr>
          <w:ilvl w:val="0"/>
          <w:numId w:val="100477570"/>
        </w:numPr>
        <w:ind w:left="360"/>
      </w:pPr>
      <w:r>
        <w:t>Acht u het in dat licht niet problematisch dat deelnemers in veel gevallen — bijvoorbeeld jongere deelnemers zoals veertigers — pas over circa 25 jaar kunnen vaststellen wat hun feitelijk pensioenresultaat is, terwijl zij bovendien niet zelfstandig kunnen nagaan of hun transitieaanspraak correct is berekend en geen inzicht hebben in de verjaringsproblematiek?</w:t>
      </w:r>
      <w:r>
        <w:br/>
      </w:r>
    </w:p>
    <w:p>
      <w:pPr>
        <w:pStyle w:val="ListParagraph"/>
        <w:numPr>
          <w:ilvl w:val="0"/>
          <w:numId w:val="100477570"/>
        </w:numPr>
        <w:ind w:left="360"/>
      </w:pPr>
      <w:r>
        <w:t>Deelt u de zorg dat dit des te problematischer is nu deelnemers geen bezwaarrecht hebben bij het invaren, omdat het bezwaarrecht op grond van artikel 83 Pensioenwet (Pw) door artikel 150l Wet toekomst pensioenen (Wtp) buiten toepassing is verklaard?</w:t>
      </w:r>
      <w:r>
        <w:br/>
      </w:r>
    </w:p>
    <w:p>
      <w:pPr>
        <w:pStyle w:val="ListParagraph"/>
        <w:numPr>
          <w:ilvl w:val="0"/>
          <w:numId w:val="100477570"/>
        </w:numPr>
        <w:ind w:left="360"/>
      </w:pPr>
      <w:r>
        <w:t>Hoe verhoudt deze uitspraak van de Rechtbank zich tot uw antwoord op eerdere Kamervragen 2) waarin aangegeven wordt dat niet gegarandeerd kan worden dat er op een later moment na invaren nog fouten in administraties aan het licht kunnen komen?</w:t>
      </w:r>
      <w:r>
        <w:br/>
      </w:r>
    </w:p>
    <w:p>
      <w:pPr>
        <w:pStyle w:val="ListParagraph"/>
        <w:numPr>
          <w:ilvl w:val="0"/>
          <w:numId w:val="100477570"/>
        </w:numPr>
        <w:ind w:left="360"/>
      </w:pPr>
      <w:r>
        <w:t>Bent u bereid om een lex specialis op te nemen in de Pensioenwet waarin wordt bepaald dat de absolute verjaringstermijn in geval van schade door invaren wordt verlengd naar 30 jaar, dan wel dat de aanvang van de absolute verjaringstermijn niet begint bij het schadeveroorzakende moment, maar bij het moment waarop de deelnemer daadwerkelijk bekend is geworden met het schadeveroorzakend feit?</w:t>
      </w:r>
      <w:r>
        <w:br/>
      </w:r>
    </w:p>
    <w:p>
      <w:pPr>
        <w:pStyle w:val="ListParagraph"/>
        <w:numPr>
          <w:ilvl w:val="0"/>
          <w:numId w:val="100477570"/>
        </w:numPr>
        <w:ind w:left="360"/>
      </w:pPr>
      <w:r>
        <w:t>Bent u het eens met de conclusie in dit geval niet kan worden aangesloten bij artikel 59 Pw, aangezien het hier een toekenningsvordering en geen uitkeringsvordering betreft?</w:t>
      </w:r>
      <w:r>
        <w:br/>
      </w:r>
    </w:p>
    <w:p>
      <w:pPr>
        <w:pStyle w:val="ListParagraph"/>
        <w:numPr>
          <w:ilvl w:val="0"/>
          <w:numId w:val="100477570"/>
        </w:numPr>
        <w:ind w:left="360"/>
      </w:pPr>
      <w:r>
        <w:t>Indien u niet bereid bent deze aanvullende rechtsbescherming te bieden, welke concrete en realistische maatregelen bent u dan wél bereid te steunen om de rechtspositie van deelnemers in dit opzicht te versterken?</w:t>
      </w:r>
      <w:r>
        <w:br/>
      </w:r>
    </w:p>
    <w:p>
      <w:pPr>
        <w:pStyle w:val="ListParagraph"/>
        <w:numPr>
          <w:ilvl w:val="0"/>
          <w:numId w:val="100477570"/>
        </w:numPr>
        <w:ind w:left="360"/>
      </w:pPr>
      <w:r>
        <w:t>Bent u het ermee eens dat deelnemers hun pensioenopbouw niet zelfstandig kunnen berekenen door gebrek aan toegang tot fondsspecifieke gegevens zoals sterftetafels, omrekentabellen en wisselende loon- en franchisewijzigingen?</w:t>
      </w:r>
      <w:r>
        <w:br/>
      </w:r>
    </w:p>
    <w:p>
      <w:pPr>
        <w:pStyle w:val="ListParagraph"/>
        <w:numPr>
          <w:ilvl w:val="0"/>
          <w:numId w:val="100477570"/>
        </w:numPr>
        <w:ind w:left="360"/>
      </w:pPr>
      <w:r>
        <w:t>Bent u daarom bereid te regelen dat pensioenfondsen verplicht worden om aan deelnemers een rechtsgeldig en begrijpelijk document te verstrekken – anders dan het pensioenreglement – waaraan deelnemers - in tegenstelling tot het uniform pensioenoverzicht (UPO) - wél rechten kunnen ontlenen?</w:t>
      </w:r>
      <w:r>
        <w:br/>
      </w:r>
    </w:p>
    <w:p>
      <w:pPr>
        <w:pStyle w:val="ListParagraph"/>
        <w:numPr>
          <w:ilvl w:val="0"/>
          <w:numId w:val="100477570"/>
        </w:numPr>
        <w:ind w:left="360"/>
      </w:pPr>
      <w:r>
        <w:t>Bent u ook bereid om pensioenfondsen te verplichten een disclaimer op te nemen in het UPO, waarin expliciet wordt gewezen op de toepasselijke verjaringstermijn en de mogelijke consequenties hiervan voor de rechtspositie van deelnemers?</w:t>
      </w:r>
      <w:r>
        <w:br/>
      </w:r>
    </w:p>
    <w:p>
      <w:pPr>
        <w:pStyle w:val="ListParagraph"/>
        <w:numPr>
          <w:ilvl w:val="0"/>
          <w:numId w:val="100477570"/>
        </w:numPr>
        <w:ind w:left="360"/>
      </w:pPr>
      <w:r>
        <w:t>Kunt u de vragen één voor één beantwoorden binnen 3 weken?</w:t>
      </w:r>
      <w:r>
        <w:br/>
      </w:r>
    </w:p>
    <w:p>
      <w:r>
        <w:t xml:space="preserve"> </w:t>
      </w:r>
      <w:r>
        <w:br/>
      </w:r>
    </w:p>
    <w:p>
      <w:r>
        <w:t xml:space="preserve">1) Rechtbank Oost-Brabant, 10 april 2025, ECLI:NL:RBOBR:2025:2163 (uitspraken.rechtspraak.nl/details?id=ECLI:NL:RBOBR:2025:2163).</w:t>
      </w:r>
      <w:r>
        <w:br/>
      </w:r>
    </w:p>
    <w:p>
      <w:r>
        <w:t xml:space="preserve">2) Aanhangsel Handelingen II, vergaderjaar 2024-2025, nr. 1958.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4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470">
    <w:abstractNumId w:val="1004774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