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5AF7" w:rsidP="004613C1" w:rsidRDefault="00E55AF7" w14:paraId="1529A9A5" w14:textId="77777777"/>
    <w:p w:rsidR="009F13ED" w:rsidP="004613C1" w:rsidRDefault="002918B0" w14:paraId="2BEE77F1" w14:textId="69203F4F">
      <w:pPr>
        <w:rPr>
          <w:spacing w:val="-2"/>
        </w:rPr>
      </w:pPr>
      <w:r>
        <w:t>Hierbij</w:t>
      </w:r>
      <w:r>
        <w:rPr>
          <w:spacing w:val="-2"/>
        </w:rPr>
        <w:t xml:space="preserve"> </w:t>
      </w:r>
      <w:r>
        <w:t>bieden</w:t>
      </w:r>
      <w:r>
        <w:rPr>
          <w:spacing w:val="-2"/>
        </w:rPr>
        <w:t xml:space="preserve"> </w:t>
      </w:r>
      <w:r>
        <w:t>wij</w:t>
      </w:r>
      <w:r>
        <w:rPr>
          <w:spacing w:val="-3"/>
        </w:rPr>
        <w:t xml:space="preserve"> </w:t>
      </w:r>
      <w:r>
        <w:t>u,</w:t>
      </w:r>
      <w:r>
        <w:rPr>
          <w:spacing w:val="-2"/>
        </w:rPr>
        <w:t xml:space="preserve"> </w:t>
      </w:r>
      <w:r>
        <w:t>conform</w:t>
      </w:r>
      <w:r>
        <w:rPr>
          <w:spacing w:val="-3"/>
        </w:rPr>
        <w:t xml:space="preserve"> </w:t>
      </w:r>
      <w:r>
        <w:t>artikel</w:t>
      </w:r>
      <w:r>
        <w:rPr>
          <w:spacing w:val="-2"/>
        </w:rPr>
        <w:t xml:space="preserve"> </w:t>
      </w:r>
      <w:r>
        <w:t>24</w:t>
      </w:r>
      <w:r>
        <w:rPr>
          <w:spacing w:val="-3"/>
        </w:rPr>
        <w:t xml:space="preserve"> </w:t>
      </w:r>
      <w:r>
        <w:t>van</w:t>
      </w:r>
      <w:r>
        <w:rPr>
          <w:spacing w:val="-2"/>
        </w:rPr>
        <w:t xml:space="preserve"> </w:t>
      </w:r>
      <w:r>
        <w:t>de</w:t>
      </w:r>
      <w:r>
        <w:rPr>
          <w:spacing w:val="-3"/>
        </w:rPr>
        <w:t xml:space="preserve"> </w:t>
      </w:r>
      <w:r>
        <w:t>Wet</w:t>
      </w:r>
      <w:r>
        <w:rPr>
          <w:spacing w:val="-3"/>
        </w:rPr>
        <w:t xml:space="preserve"> </w:t>
      </w:r>
      <w:proofErr w:type="spellStart"/>
      <w:r>
        <w:t>Bibob</w:t>
      </w:r>
      <w:proofErr w:type="spellEnd"/>
      <w:r>
        <w:t>,</w:t>
      </w:r>
      <w:r>
        <w:rPr>
          <w:spacing w:val="-2"/>
        </w:rPr>
        <w:t xml:space="preserve"> </w:t>
      </w:r>
      <w:r>
        <w:t>het</w:t>
      </w:r>
      <w:r>
        <w:rPr>
          <w:spacing w:val="-2"/>
        </w:rPr>
        <w:t xml:space="preserve"> </w:t>
      </w:r>
      <w:r>
        <w:t>jaarverslag</w:t>
      </w:r>
      <w:r>
        <w:rPr>
          <w:spacing w:val="-2"/>
        </w:rPr>
        <w:t xml:space="preserve"> </w:t>
      </w:r>
      <w:r>
        <w:t>van</w:t>
      </w:r>
      <w:r>
        <w:rPr>
          <w:spacing w:val="-3"/>
        </w:rPr>
        <w:t xml:space="preserve"> </w:t>
      </w:r>
      <w:r>
        <w:t>het Landelijk</w:t>
      </w:r>
      <w:r>
        <w:rPr>
          <w:spacing w:val="-4"/>
        </w:rPr>
        <w:t xml:space="preserve"> </w:t>
      </w:r>
      <w:r>
        <w:t>Bureau</w:t>
      </w:r>
      <w:r>
        <w:rPr>
          <w:spacing w:val="-4"/>
        </w:rPr>
        <w:t xml:space="preserve"> </w:t>
      </w:r>
      <w:proofErr w:type="spellStart"/>
      <w:r>
        <w:t>Bibob</w:t>
      </w:r>
      <w:proofErr w:type="spellEnd"/>
      <w:r w:rsidR="004E5FEA">
        <w:t xml:space="preserve"> (LBB)</w:t>
      </w:r>
      <w:r>
        <w:rPr>
          <w:spacing w:val="-3"/>
        </w:rPr>
        <w:t xml:space="preserve"> </w:t>
      </w:r>
      <w:r>
        <w:t>over</w:t>
      </w:r>
      <w:r>
        <w:rPr>
          <w:spacing w:val="-4"/>
        </w:rPr>
        <w:t xml:space="preserve"> </w:t>
      </w:r>
      <w:r>
        <w:t>het</w:t>
      </w:r>
      <w:r>
        <w:rPr>
          <w:spacing w:val="-4"/>
        </w:rPr>
        <w:t xml:space="preserve"> </w:t>
      </w:r>
      <w:r>
        <w:t>jaar</w:t>
      </w:r>
      <w:r>
        <w:rPr>
          <w:spacing w:val="-4"/>
        </w:rPr>
        <w:t xml:space="preserve"> </w:t>
      </w:r>
      <w:r>
        <w:t>2024</w:t>
      </w:r>
      <w:r>
        <w:rPr>
          <w:spacing w:val="-3"/>
        </w:rPr>
        <w:t xml:space="preserve"> </w:t>
      </w:r>
      <w:r>
        <w:t>aan.</w:t>
      </w:r>
      <w:r>
        <w:rPr>
          <w:spacing w:val="-4"/>
        </w:rPr>
        <w:t xml:space="preserve"> </w:t>
      </w:r>
      <w:r>
        <w:t>Het</w:t>
      </w:r>
      <w:r>
        <w:rPr>
          <w:spacing w:val="-3"/>
        </w:rPr>
        <w:t xml:space="preserve"> </w:t>
      </w:r>
      <w:r>
        <w:t>Landelijk</w:t>
      </w:r>
      <w:r>
        <w:rPr>
          <w:spacing w:val="-4"/>
        </w:rPr>
        <w:t xml:space="preserve"> </w:t>
      </w:r>
      <w:r>
        <w:t>Bureau</w:t>
      </w:r>
      <w:r>
        <w:rPr>
          <w:spacing w:val="-4"/>
        </w:rPr>
        <w:t xml:space="preserve"> </w:t>
      </w:r>
      <w:proofErr w:type="spellStart"/>
      <w:r>
        <w:t>Bibob</w:t>
      </w:r>
      <w:proofErr w:type="spellEnd"/>
      <w:r>
        <w:rPr>
          <w:spacing w:val="-4"/>
        </w:rPr>
        <w:t xml:space="preserve"> </w:t>
      </w:r>
      <w:r>
        <w:t xml:space="preserve">maakt onderdeel uit van het agentschap </w:t>
      </w:r>
      <w:proofErr w:type="spellStart"/>
      <w:r>
        <w:t>Justis</w:t>
      </w:r>
      <w:proofErr w:type="spellEnd"/>
      <w:r>
        <w:t xml:space="preserve">. Ook bieden wij het jaarverslag van de Kwaliteitscommissie </w:t>
      </w:r>
      <w:proofErr w:type="spellStart"/>
      <w:r>
        <w:t>Bibob</w:t>
      </w:r>
      <w:proofErr w:type="spellEnd"/>
      <w:r>
        <w:t xml:space="preserve"> over het jaar 2024 aan. De Kwaliteitscommissie heeft een onafhankelijke positie en rapporteert rechtstreeks aan de </w:t>
      </w:r>
      <w:r w:rsidR="008F0043">
        <w:t>staatssecretaris Rechtsbescherming</w:t>
      </w:r>
      <w:r>
        <w:rPr>
          <w:spacing w:val="-2"/>
        </w:rPr>
        <w:t>.</w:t>
      </w:r>
    </w:p>
    <w:p w:rsidR="009F13ED" w:rsidP="009F13ED" w:rsidRDefault="009F13ED" w14:paraId="2A598D59" w14:textId="77777777">
      <w:pPr>
        <w:pStyle w:val="Plattetekst"/>
        <w:spacing w:before="1" w:line="264" w:lineRule="auto"/>
        <w:ind w:left="108"/>
        <w:rPr>
          <w:spacing w:val="-2"/>
        </w:rPr>
      </w:pPr>
    </w:p>
    <w:p w:rsidRPr="004613C1" w:rsidR="006304D8" w:rsidP="004613C1" w:rsidRDefault="006304D8" w14:paraId="6DB09C13" w14:textId="248A43EE">
      <w:pPr>
        <w:pStyle w:val="Plattetekst"/>
        <w:spacing w:before="1" w:line="264" w:lineRule="auto"/>
        <w:rPr>
          <w:b/>
          <w:bCs/>
        </w:rPr>
      </w:pPr>
      <w:r w:rsidRPr="009F13ED">
        <w:rPr>
          <w:b/>
          <w:bCs/>
        </w:rPr>
        <w:t>Jaarverslag</w:t>
      </w:r>
      <w:r w:rsidRPr="009F13ED">
        <w:rPr>
          <w:b/>
          <w:bCs/>
          <w:spacing w:val="-6"/>
        </w:rPr>
        <w:t xml:space="preserve"> </w:t>
      </w:r>
      <w:r w:rsidRPr="009F13ED">
        <w:rPr>
          <w:b/>
          <w:bCs/>
        </w:rPr>
        <w:t>Landelijk</w:t>
      </w:r>
      <w:r w:rsidRPr="009F13ED">
        <w:rPr>
          <w:b/>
          <w:bCs/>
          <w:spacing w:val="-6"/>
        </w:rPr>
        <w:t xml:space="preserve"> </w:t>
      </w:r>
      <w:r w:rsidRPr="009F13ED">
        <w:rPr>
          <w:b/>
          <w:bCs/>
        </w:rPr>
        <w:t>Bureau</w:t>
      </w:r>
      <w:r w:rsidRPr="009F13ED">
        <w:rPr>
          <w:b/>
          <w:bCs/>
          <w:spacing w:val="-5"/>
        </w:rPr>
        <w:t xml:space="preserve"> </w:t>
      </w:r>
      <w:proofErr w:type="spellStart"/>
      <w:r w:rsidRPr="009F13ED">
        <w:rPr>
          <w:b/>
          <w:bCs/>
        </w:rPr>
        <w:t>Bibob</w:t>
      </w:r>
      <w:proofErr w:type="spellEnd"/>
      <w:r w:rsidRPr="009F13ED">
        <w:rPr>
          <w:b/>
          <w:bCs/>
          <w:spacing w:val="-5"/>
        </w:rPr>
        <w:t xml:space="preserve"> </w:t>
      </w:r>
      <w:r w:rsidRPr="009F13ED">
        <w:rPr>
          <w:b/>
          <w:bCs/>
          <w:spacing w:val="-4"/>
        </w:rPr>
        <w:t>2024</w:t>
      </w:r>
    </w:p>
    <w:p w:rsidR="007F13B0" w:rsidP="004613C1" w:rsidRDefault="007F13B0" w14:paraId="5165AB96" w14:textId="77777777">
      <w:r>
        <w:t>De</w:t>
      </w:r>
      <w:r>
        <w:rPr>
          <w:spacing w:val="-4"/>
        </w:rPr>
        <w:t xml:space="preserve"> </w:t>
      </w:r>
      <w:r>
        <w:t>Wet</w:t>
      </w:r>
      <w:r>
        <w:rPr>
          <w:spacing w:val="-3"/>
        </w:rPr>
        <w:t xml:space="preserve"> </w:t>
      </w:r>
      <w:proofErr w:type="spellStart"/>
      <w:r>
        <w:t>Bibob</w:t>
      </w:r>
      <w:proofErr w:type="spellEnd"/>
      <w:r>
        <w:rPr>
          <w:spacing w:val="-4"/>
        </w:rPr>
        <w:t xml:space="preserve"> </w:t>
      </w:r>
      <w:r>
        <w:t>heeft</w:t>
      </w:r>
      <w:r>
        <w:rPr>
          <w:spacing w:val="-3"/>
        </w:rPr>
        <w:t xml:space="preserve"> </w:t>
      </w:r>
      <w:r>
        <w:t>tot</w:t>
      </w:r>
      <w:r>
        <w:rPr>
          <w:spacing w:val="-4"/>
        </w:rPr>
        <w:t xml:space="preserve"> </w:t>
      </w:r>
      <w:r>
        <w:t>doel</w:t>
      </w:r>
      <w:r>
        <w:rPr>
          <w:spacing w:val="-3"/>
        </w:rPr>
        <w:t xml:space="preserve"> </w:t>
      </w:r>
      <w:r>
        <w:t>de</w:t>
      </w:r>
      <w:r>
        <w:rPr>
          <w:spacing w:val="-4"/>
        </w:rPr>
        <w:t xml:space="preserve"> </w:t>
      </w:r>
      <w:r>
        <w:t>integriteit</w:t>
      </w:r>
      <w:r>
        <w:rPr>
          <w:spacing w:val="-4"/>
        </w:rPr>
        <w:t xml:space="preserve"> </w:t>
      </w:r>
      <w:r>
        <w:t>van</w:t>
      </w:r>
      <w:r>
        <w:rPr>
          <w:spacing w:val="-4"/>
        </w:rPr>
        <w:t xml:space="preserve"> </w:t>
      </w:r>
      <w:r>
        <w:t>bestuursorganen</w:t>
      </w:r>
      <w:r>
        <w:rPr>
          <w:spacing w:val="-4"/>
        </w:rPr>
        <w:t xml:space="preserve"> </w:t>
      </w:r>
      <w:r>
        <w:t>en</w:t>
      </w:r>
      <w:r>
        <w:rPr>
          <w:spacing w:val="-3"/>
        </w:rPr>
        <w:t xml:space="preserve"> </w:t>
      </w:r>
      <w:r>
        <w:t xml:space="preserve">rechtspersonen met een overheidstaak (hierna tezamen: bestuursorganen) te beschermen door te voorkomen dat het bestuursorgaan onbewust criminele activiteiten faciliteert. Het LBB heeft hierbij een belangrijke taak in de advisering van bestuursorganen hierover. Bestuursorganen kunnen het LBB verzoeken onderzoek te verrichten. Het LBB draagt zorg voor een zorgvuldig en nauwkeurig advies, met uitgebreide onderbouwing. Het LBB heeft daarnaast de wettelijke taak om bestuursorganen te informeren over de Wet </w:t>
      </w:r>
      <w:proofErr w:type="spellStart"/>
      <w:r>
        <w:t>Bibob</w:t>
      </w:r>
      <w:proofErr w:type="spellEnd"/>
      <w:r>
        <w:t xml:space="preserve"> en de weigerings- en intrekkingsgronden. Dit doet het door voorlichting te geven. Tot slot draagt het LBB zorg voor de werking van het </w:t>
      </w:r>
      <w:proofErr w:type="spellStart"/>
      <w:r>
        <w:t>Bibob</w:t>
      </w:r>
      <w:proofErr w:type="spellEnd"/>
      <w:r>
        <w:t xml:space="preserve">-register, waarin </w:t>
      </w:r>
      <w:proofErr w:type="spellStart"/>
      <w:r>
        <w:t>gevaarsconclusies</w:t>
      </w:r>
      <w:proofErr w:type="spellEnd"/>
      <w:r>
        <w:t xml:space="preserve"> worden geregistreerd en deze kunnen worden opgevraagd door bestuursorganen.</w:t>
      </w:r>
    </w:p>
    <w:p w:rsidR="004613C1" w:rsidP="004613C1" w:rsidRDefault="004613C1" w14:paraId="2B766125" w14:textId="77777777">
      <w:pPr>
        <w:rPr>
          <w:i/>
          <w:spacing w:val="-2"/>
        </w:rPr>
      </w:pPr>
    </w:p>
    <w:p w:rsidR="007F13B0" w:rsidP="004613C1" w:rsidRDefault="007F13B0" w14:paraId="4322EDEC" w14:textId="2FD57857">
      <w:pPr>
        <w:rPr>
          <w:i/>
        </w:rPr>
      </w:pPr>
      <w:r>
        <w:rPr>
          <w:i/>
          <w:spacing w:val="-2"/>
        </w:rPr>
        <w:t>Adviezen</w:t>
      </w:r>
    </w:p>
    <w:p w:rsidRPr="004613C1" w:rsidR="007F13B0" w:rsidP="004613C1" w:rsidRDefault="007F13B0" w14:paraId="71FF4CDC" w14:textId="31FF7854">
      <w:r>
        <w:t>Uit de resultaten over het jaar 2024 blijkt dat er evenveel reguliere adviezen zijn</w:t>
      </w:r>
      <w:r>
        <w:rPr>
          <w:spacing w:val="-4"/>
        </w:rPr>
        <w:t xml:space="preserve"> </w:t>
      </w:r>
      <w:r>
        <w:t>uitgebracht</w:t>
      </w:r>
      <w:r>
        <w:rPr>
          <w:spacing w:val="-4"/>
        </w:rPr>
        <w:t xml:space="preserve"> als </w:t>
      </w:r>
      <w:r>
        <w:t>in</w:t>
      </w:r>
      <w:r>
        <w:rPr>
          <w:spacing w:val="-5"/>
        </w:rPr>
        <w:t xml:space="preserve"> </w:t>
      </w:r>
      <w:r>
        <w:t>2023.</w:t>
      </w:r>
      <w:r>
        <w:rPr>
          <w:spacing w:val="16"/>
          <w:position w:val="5"/>
          <w:sz w:val="12"/>
        </w:rPr>
        <w:t xml:space="preserve"> </w:t>
      </w:r>
      <w:r>
        <w:t>Het</w:t>
      </w:r>
      <w:r>
        <w:rPr>
          <w:spacing w:val="-5"/>
        </w:rPr>
        <w:t xml:space="preserve"> </w:t>
      </w:r>
      <w:r>
        <w:t>LBB heeft in beide jaren 200 reguliere adviezen uitgebracht. Daarnaast heeft het LBB 23 aanvullende adviezen</w:t>
      </w:r>
      <w:r w:rsidR="00986FC5">
        <w:rPr>
          <w:rStyle w:val="Voetnootmarkering"/>
        </w:rPr>
        <w:footnoteReference w:id="1"/>
      </w:r>
      <w:r>
        <w:t xml:space="preserve"> verstrekt, tegenover 37 in 2023. Er zijn iets meer adviesaanvragen gedaan door bestuursorganen. Er werden in 2024 265 adviesaanvragen ontvangen, tegenover 255 in 2023. </w:t>
      </w:r>
      <w:r>
        <w:rPr>
          <w:rFonts w:eastAsia="Times New Roman" w:cs="Times New Roman"/>
          <w:bCs/>
        </w:rPr>
        <w:t xml:space="preserve">De daling in adviesaanvragen die is geconstateerd in 2022 heeft zich in 2024 niet doorgezet. </w:t>
      </w:r>
    </w:p>
    <w:p w:rsidR="00986FC5" w:rsidP="007F13B0" w:rsidRDefault="00986FC5" w14:paraId="724BBA05" w14:textId="77777777">
      <w:pPr>
        <w:pStyle w:val="Plattetekst"/>
        <w:spacing w:line="264" w:lineRule="auto"/>
        <w:ind w:left="108"/>
        <w:rPr>
          <w:rFonts w:eastAsia="Times New Roman" w:cs="Times New Roman"/>
          <w:bCs/>
          <w:lang w:eastAsia="nl-NL"/>
        </w:rPr>
      </w:pPr>
    </w:p>
    <w:p w:rsidR="007F13B0" w:rsidP="004613C1" w:rsidRDefault="007F13B0" w14:paraId="6A349253" w14:textId="77777777">
      <w:pPr>
        <w:rPr>
          <w:i/>
        </w:rPr>
      </w:pPr>
      <w:r>
        <w:rPr>
          <w:i/>
          <w:spacing w:val="-2"/>
        </w:rPr>
        <w:t>Doorlooptijden</w:t>
      </w:r>
    </w:p>
    <w:p w:rsidR="00E55AF7" w:rsidP="004613C1" w:rsidRDefault="007F13B0" w14:paraId="7E804BF8" w14:textId="77777777">
      <w:r w:rsidRPr="00F84221">
        <w:t>In 202</w:t>
      </w:r>
      <w:r>
        <w:t>4</w:t>
      </w:r>
      <w:r w:rsidRPr="00F84221">
        <w:t xml:space="preserve"> is 79,</w:t>
      </w:r>
      <w:r>
        <w:t>8</w:t>
      </w:r>
      <w:r w:rsidRPr="00F84221">
        <w:t>% van de adviezen uitgebracht binnen de wettelijke adviestermijn van twaalf weken. Dit is</w:t>
      </w:r>
      <w:r>
        <w:t xml:space="preserve"> vergelijkbaar met </w:t>
      </w:r>
      <w:r w:rsidRPr="00F84221">
        <w:t>202</w:t>
      </w:r>
      <w:r>
        <w:t>3, t</w:t>
      </w:r>
      <w:r w:rsidRPr="00F84221">
        <w:t xml:space="preserve">oen </w:t>
      </w:r>
      <w:r>
        <w:t>werden 79,7</w:t>
      </w:r>
      <w:r w:rsidRPr="00F84221">
        <w:t>% van de adviezen binnen de wettelijke adviestermijn</w:t>
      </w:r>
      <w:r>
        <w:t xml:space="preserve"> </w:t>
      </w:r>
      <w:r w:rsidRPr="00F84221">
        <w:t>uitgebracht</w:t>
      </w:r>
      <w:r w:rsidR="004613C1">
        <w:t xml:space="preserve">. </w:t>
      </w:r>
    </w:p>
    <w:p w:rsidRPr="004613C1" w:rsidR="007F13B0" w:rsidP="004613C1" w:rsidRDefault="007F13B0" w14:paraId="57C16C7E" w14:textId="7A5DE0A6">
      <w:r>
        <w:lastRenderedPageBreak/>
        <w:t>Het</w:t>
      </w:r>
      <w:r>
        <w:rPr>
          <w:spacing w:val="-4"/>
        </w:rPr>
        <w:t xml:space="preserve"> </w:t>
      </w:r>
      <w:r>
        <w:t>LBB monitort de doorlooptijden continu en er worden continu acties ondernomen</w:t>
      </w:r>
      <w:r>
        <w:rPr>
          <w:spacing w:val="-2"/>
        </w:rPr>
        <w:t xml:space="preserve"> </w:t>
      </w:r>
      <w:r>
        <w:t>om</w:t>
      </w:r>
      <w:r>
        <w:rPr>
          <w:spacing w:val="-3"/>
        </w:rPr>
        <w:t xml:space="preserve"> </w:t>
      </w:r>
      <w:r>
        <w:t>de</w:t>
      </w:r>
      <w:r>
        <w:rPr>
          <w:spacing w:val="-3"/>
        </w:rPr>
        <w:t xml:space="preserve"> </w:t>
      </w:r>
      <w:r>
        <w:t>doorlooptijden</w:t>
      </w:r>
      <w:r>
        <w:rPr>
          <w:spacing w:val="-3"/>
        </w:rPr>
        <w:t xml:space="preserve"> </w:t>
      </w:r>
      <w:r>
        <w:t>te</w:t>
      </w:r>
      <w:r>
        <w:rPr>
          <w:spacing w:val="-2"/>
        </w:rPr>
        <w:t xml:space="preserve"> </w:t>
      </w:r>
      <w:r>
        <w:t>verbeteren.</w:t>
      </w:r>
    </w:p>
    <w:p w:rsidR="00E55AF7" w:rsidP="004613C1" w:rsidRDefault="00E55AF7" w14:paraId="6B3A764A" w14:textId="77777777">
      <w:pPr>
        <w:rPr>
          <w:i/>
          <w:iCs/>
        </w:rPr>
      </w:pPr>
    </w:p>
    <w:p w:rsidRPr="004613C1" w:rsidR="007F13B0" w:rsidP="004613C1" w:rsidRDefault="007F13B0" w14:paraId="7517FBE8" w14:textId="1AEF591D">
      <w:pPr>
        <w:rPr>
          <w:i/>
          <w:iCs/>
        </w:rPr>
      </w:pPr>
      <w:r w:rsidRPr="004613C1">
        <w:rPr>
          <w:i/>
          <w:iCs/>
        </w:rPr>
        <w:t>Evaluatie</w:t>
      </w:r>
      <w:r w:rsidRPr="004613C1">
        <w:rPr>
          <w:i/>
          <w:iCs/>
          <w:spacing w:val="-1"/>
        </w:rPr>
        <w:t xml:space="preserve"> </w:t>
      </w:r>
      <w:r w:rsidRPr="004613C1">
        <w:rPr>
          <w:i/>
          <w:iCs/>
        </w:rPr>
        <w:t>door</w:t>
      </w:r>
      <w:r w:rsidRPr="004613C1">
        <w:rPr>
          <w:i/>
          <w:iCs/>
          <w:spacing w:val="-1"/>
        </w:rPr>
        <w:t xml:space="preserve"> </w:t>
      </w:r>
      <w:r w:rsidRPr="004613C1">
        <w:rPr>
          <w:i/>
          <w:iCs/>
        </w:rPr>
        <w:t>bestuursorganen</w:t>
      </w:r>
    </w:p>
    <w:p w:rsidR="007F13B0" w:rsidP="004613C1" w:rsidRDefault="007F13B0" w14:paraId="3427FC07" w14:textId="77777777">
      <w:r>
        <w:t>Het LBB stuurt na het uitbrengen van een advies een evaluatieformulier</w:t>
      </w:r>
      <w:r>
        <w:rPr>
          <w:spacing w:val="-4"/>
        </w:rPr>
        <w:t xml:space="preserve"> </w:t>
      </w:r>
      <w:r>
        <w:t>aan</w:t>
      </w:r>
      <w:r>
        <w:rPr>
          <w:spacing w:val="-5"/>
        </w:rPr>
        <w:t xml:space="preserve"> </w:t>
      </w:r>
      <w:r>
        <w:t>het</w:t>
      </w:r>
      <w:r>
        <w:rPr>
          <w:spacing w:val="-5"/>
        </w:rPr>
        <w:t xml:space="preserve"> </w:t>
      </w:r>
      <w:r>
        <w:t>bestuursorgaan</w:t>
      </w:r>
      <w:r>
        <w:rPr>
          <w:spacing w:val="-4"/>
        </w:rPr>
        <w:t xml:space="preserve"> </w:t>
      </w:r>
      <w:r>
        <w:t>dat</w:t>
      </w:r>
      <w:r>
        <w:rPr>
          <w:spacing w:val="-4"/>
        </w:rPr>
        <w:t xml:space="preserve"> </w:t>
      </w:r>
      <w:r>
        <w:t>het</w:t>
      </w:r>
      <w:r>
        <w:rPr>
          <w:spacing w:val="-5"/>
        </w:rPr>
        <w:t xml:space="preserve"> </w:t>
      </w:r>
      <w:r>
        <w:t>advies</w:t>
      </w:r>
      <w:r>
        <w:rPr>
          <w:spacing w:val="-5"/>
        </w:rPr>
        <w:t xml:space="preserve"> </w:t>
      </w:r>
      <w:r>
        <w:t>had</w:t>
      </w:r>
      <w:r>
        <w:rPr>
          <w:spacing w:val="-5"/>
        </w:rPr>
        <w:t xml:space="preserve"> </w:t>
      </w:r>
      <w:r>
        <w:t>aangevraagd.</w:t>
      </w:r>
      <w:r>
        <w:rPr>
          <w:spacing w:val="-5"/>
        </w:rPr>
        <w:t xml:space="preserve"> </w:t>
      </w:r>
      <w:r>
        <w:t>Deze worden door het LBB gebruikt om de kwaliteit van de dienstverlening en</w:t>
      </w:r>
      <w:r>
        <w:rPr>
          <w:spacing w:val="-3"/>
        </w:rPr>
        <w:t xml:space="preserve"> </w:t>
      </w:r>
      <w:r>
        <w:t>de</w:t>
      </w:r>
      <w:r>
        <w:rPr>
          <w:spacing w:val="-3"/>
        </w:rPr>
        <w:t xml:space="preserve"> </w:t>
      </w:r>
      <w:r>
        <w:t>adviezen</w:t>
      </w:r>
      <w:r>
        <w:rPr>
          <w:spacing w:val="-3"/>
        </w:rPr>
        <w:t xml:space="preserve"> </w:t>
      </w:r>
      <w:r>
        <w:t>te verbeteren.</w:t>
      </w:r>
      <w:r>
        <w:rPr>
          <w:spacing w:val="-3"/>
        </w:rPr>
        <w:t xml:space="preserve"> </w:t>
      </w:r>
      <w:r>
        <w:t>In</w:t>
      </w:r>
      <w:r>
        <w:rPr>
          <w:spacing w:val="-3"/>
        </w:rPr>
        <w:t xml:space="preserve"> </w:t>
      </w:r>
      <w:r>
        <w:t>2024</w:t>
      </w:r>
      <w:r>
        <w:rPr>
          <w:spacing w:val="-3"/>
        </w:rPr>
        <w:t xml:space="preserve"> </w:t>
      </w:r>
      <w:r>
        <w:t>zijn</w:t>
      </w:r>
      <w:r>
        <w:rPr>
          <w:spacing w:val="-3"/>
        </w:rPr>
        <w:t xml:space="preserve"> </w:t>
      </w:r>
      <w:r>
        <w:t>slechts 11</w:t>
      </w:r>
      <w:r>
        <w:rPr>
          <w:spacing w:val="-3"/>
        </w:rPr>
        <w:t xml:space="preserve"> </w:t>
      </w:r>
      <w:r>
        <w:t xml:space="preserve">formulieren ingevuld. </w:t>
      </w:r>
      <w:r w:rsidRPr="00F339F4">
        <w:rPr>
          <w:rFonts w:eastAsia="Times New Roman" w:cs="Times New Roman"/>
          <w:bCs/>
        </w:rPr>
        <w:t>In 202</w:t>
      </w:r>
      <w:r>
        <w:rPr>
          <w:rFonts w:eastAsia="Times New Roman" w:cs="Times New Roman"/>
          <w:bCs/>
        </w:rPr>
        <w:t>4</w:t>
      </w:r>
      <w:r w:rsidRPr="00F339F4">
        <w:rPr>
          <w:rFonts w:eastAsia="Times New Roman" w:cs="Times New Roman"/>
          <w:bCs/>
        </w:rPr>
        <w:t xml:space="preserve"> is </w:t>
      </w:r>
      <w:r>
        <w:rPr>
          <w:rFonts w:eastAsia="Times New Roman" w:cs="Times New Roman"/>
          <w:bCs/>
        </w:rPr>
        <w:t xml:space="preserve">het evaluatieformulier herijkt en verder gedigitaliseerd. </w:t>
      </w:r>
      <w:r w:rsidRPr="00F339F4">
        <w:rPr>
          <w:rFonts w:eastAsia="Times New Roman" w:cs="Times New Roman"/>
          <w:bCs/>
        </w:rPr>
        <w:t xml:space="preserve">Het nieuwe, online evaluatieformulier </w:t>
      </w:r>
      <w:r>
        <w:rPr>
          <w:rFonts w:eastAsia="Times New Roman" w:cs="Times New Roman"/>
          <w:bCs/>
        </w:rPr>
        <w:t xml:space="preserve">is begin 2025 in gebruik genomen. </w:t>
      </w:r>
      <w:r w:rsidRPr="00F339F4">
        <w:rPr>
          <w:rFonts w:eastAsia="Times New Roman" w:cs="Times New Roman"/>
          <w:bCs/>
        </w:rPr>
        <w:t xml:space="preserve">Hiermee hoopt het LBB </w:t>
      </w:r>
      <w:r>
        <w:rPr>
          <w:rFonts w:eastAsia="Times New Roman" w:cs="Times New Roman"/>
          <w:bCs/>
        </w:rPr>
        <w:t>het</w:t>
      </w:r>
      <w:r w:rsidRPr="00F339F4">
        <w:rPr>
          <w:rFonts w:eastAsia="Times New Roman" w:cs="Times New Roman"/>
          <w:bCs/>
        </w:rPr>
        <w:t xml:space="preserve"> respons</w:t>
      </w:r>
      <w:r>
        <w:rPr>
          <w:rFonts w:eastAsia="Times New Roman" w:cs="Times New Roman"/>
          <w:bCs/>
        </w:rPr>
        <w:t>percentage</w:t>
      </w:r>
      <w:r w:rsidRPr="00F339F4">
        <w:rPr>
          <w:rFonts w:eastAsia="Times New Roman" w:cs="Times New Roman"/>
          <w:bCs/>
        </w:rPr>
        <w:t xml:space="preserve"> </w:t>
      </w:r>
      <w:r>
        <w:rPr>
          <w:rFonts w:eastAsia="Times New Roman" w:cs="Times New Roman"/>
          <w:bCs/>
        </w:rPr>
        <w:t xml:space="preserve">te verhogen. </w:t>
      </w:r>
    </w:p>
    <w:p w:rsidR="007F13B0" w:rsidP="007F13B0" w:rsidRDefault="007F13B0" w14:paraId="7CFC5F0C" w14:textId="77777777">
      <w:pPr>
        <w:pStyle w:val="Plattetekst"/>
        <w:spacing w:before="17"/>
      </w:pPr>
    </w:p>
    <w:p w:rsidRPr="004613C1" w:rsidR="007F13B0" w:rsidP="004613C1" w:rsidRDefault="007F13B0" w14:paraId="78D74CA3" w14:textId="77777777">
      <w:pPr>
        <w:rPr>
          <w:i/>
          <w:iCs/>
        </w:rPr>
      </w:pPr>
      <w:r w:rsidRPr="004613C1">
        <w:rPr>
          <w:i/>
          <w:iCs/>
        </w:rPr>
        <w:t>Voorlichting</w:t>
      </w:r>
    </w:p>
    <w:p w:rsidR="007F13B0" w:rsidP="004613C1" w:rsidRDefault="007F13B0" w14:paraId="76A3FE06" w14:textId="74001346">
      <w:r>
        <w:t xml:space="preserve">Het LBB heeft ook in 2024 zijn jaarlijkse ‘Lenteschool’ georganiseerd, met workshops over actualiteiten en onderwerpen die het </w:t>
      </w:r>
      <w:proofErr w:type="spellStart"/>
      <w:r>
        <w:t>Bibob</w:t>
      </w:r>
      <w:proofErr w:type="spellEnd"/>
      <w:r>
        <w:t xml:space="preserve">-onderzoek raken. </w:t>
      </w:r>
      <w:r w:rsidRPr="006127F7">
        <w:t>Het LBB werkte daarbij samen met externe partners,</w:t>
      </w:r>
      <w:r>
        <w:t xml:space="preserve"> zoals de gemeente Nijmegen en de Taskforce</w:t>
      </w:r>
      <w:r w:rsidR="00B87F7C">
        <w:t>-</w:t>
      </w:r>
      <w:r>
        <w:t>RIEC Brabant-Zeeland.</w:t>
      </w:r>
      <w:r w:rsidRPr="006127F7">
        <w:t xml:space="preserve"> </w:t>
      </w:r>
      <w:r>
        <w:t>Aan</w:t>
      </w:r>
      <w:r w:rsidRPr="006127F7">
        <w:t xml:space="preserve"> deze editie namen honderden professionals uit het hele land deel</w:t>
      </w:r>
      <w:r>
        <w:t>. Het LBB ondersteunt daarnaast, net als voorgaande</w:t>
      </w:r>
      <w:r>
        <w:rPr>
          <w:spacing w:val="-5"/>
        </w:rPr>
        <w:t xml:space="preserve"> </w:t>
      </w:r>
      <w:r>
        <w:t>jaren,</w:t>
      </w:r>
      <w:r>
        <w:rPr>
          <w:spacing w:val="-5"/>
        </w:rPr>
        <w:t xml:space="preserve"> </w:t>
      </w:r>
      <w:r>
        <w:t>bestuursorganen</w:t>
      </w:r>
      <w:r>
        <w:rPr>
          <w:spacing w:val="-4"/>
        </w:rPr>
        <w:t xml:space="preserve"> </w:t>
      </w:r>
      <w:r>
        <w:t>bij</w:t>
      </w:r>
      <w:r>
        <w:rPr>
          <w:spacing w:val="-4"/>
        </w:rPr>
        <w:t xml:space="preserve"> </w:t>
      </w:r>
      <w:r>
        <w:t>het</w:t>
      </w:r>
      <w:r>
        <w:rPr>
          <w:spacing w:val="-5"/>
        </w:rPr>
        <w:t xml:space="preserve"> </w:t>
      </w:r>
      <w:r>
        <w:t>doen</w:t>
      </w:r>
      <w:r>
        <w:rPr>
          <w:spacing w:val="-5"/>
        </w:rPr>
        <w:t xml:space="preserve"> </w:t>
      </w:r>
      <w:r>
        <w:t>van</w:t>
      </w:r>
      <w:r>
        <w:rPr>
          <w:spacing w:val="-4"/>
        </w:rPr>
        <w:t xml:space="preserve"> </w:t>
      </w:r>
      <w:r>
        <w:t>een</w:t>
      </w:r>
      <w:r>
        <w:rPr>
          <w:spacing w:val="-4"/>
        </w:rPr>
        <w:t xml:space="preserve"> </w:t>
      </w:r>
      <w:r>
        <w:t>eerste</w:t>
      </w:r>
      <w:r>
        <w:rPr>
          <w:spacing w:val="-5"/>
        </w:rPr>
        <w:t xml:space="preserve"> </w:t>
      </w:r>
      <w:r>
        <w:t>adviesaanvraag of een adviesaanvraag na lange tijd door het houden van intakegesprekken, het verzorgt trainingen en presentaties en er worden inhoudelijke vragen beantwoord via e-mail en telefoon.</w:t>
      </w:r>
    </w:p>
    <w:p w:rsidR="007F13B0" w:rsidP="007F13B0" w:rsidRDefault="007F13B0" w14:paraId="139E727E" w14:textId="77777777">
      <w:pPr>
        <w:pStyle w:val="Plattetekst"/>
        <w:spacing w:before="21" w:line="264" w:lineRule="auto"/>
        <w:ind w:left="108" w:right="50"/>
      </w:pPr>
    </w:p>
    <w:p w:rsidR="007F13B0" w:rsidP="004613C1" w:rsidRDefault="007F13B0" w14:paraId="032A6997" w14:textId="77777777">
      <w:r>
        <w:t xml:space="preserve">In 2024 is het LBB verder aan de slag gegaan met de uitwerking van een nieuwe visie op voorlichting, dit om beter aan de behoeften van bestuursorganen te kunnen voldoen. De visie op voorlichting gaat over de ontwikkeling van een uitgebreider </w:t>
      </w:r>
      <w:r w:rsidRPr="00204B4F">
        <w:t xml:space="preserve">voorlichtingsaanbod op verschillende </w:t>
      </w:r>
      <w:proofErr w:type="spellStart"/>
      <w:r w:rsidRPr="00204B4F">
        <w:t>Bibob</w:t>
      </w:r>
      <w:proofErr w:type="spellEnd"/>
      <w:r w:rsidRPr="00204B4F">
        <w:t>-thema’s, voor zowel beginnende</w:t>
      </w:r>
      <w:r>
        <w:t xml:space="preserve"> als voor meer gevorderde</w:t>
      </w:r>
      <w:r w:rsidRPr="00204B4F">
        <w:t xml:space="preserve"> </w:t>
      </w:r>
      <w:proofErr w:type="spellStart"/>
      <w:r w:rsidRPr="00204B4F">
        <w:t>Bibob</w:t>
      </w:r>
      <w:proofErr w:type="spellEnd"/>
      <w:r w:rsidRPr="00204B4F">
        <w:t>-medewerkers.</w:t>
      </w:r>
      <w:r>
        <w:t xml:space="preserve"> In samenwerking met verschillende </w:t>
      </w:r>
      <w:proofErr w:type="spellStart"/>
      <w:r>
        <w:t>RIEC’s</w:t>
      </w:r>
      <w:proofErr w:type="spellEnd"/>
      <w:r>
        <w:t xml:space="preserve"> zijn in 2024 twee gezamenlijke trainingen ‘basis Wet </w:t>
      </w:r>
      <w:proofErr w:type="spellStart"/>
      <w:r>
        <w:t>Bibob</w:t>
      </w:r>
      <w:proofErr w:type="spellEnd"/>
      <w:r>
        <w:t xml:space="preserve">’ en ‘de Wet </w:t>
      </w:r>
      <w:proofErr w:type="spellStart"/>
      <w:r>
        <w:t>Bibob</w:t>
      </w:r>
      <w:proofErr w:type="spellEnd"/>
      <w:r>
        <w:t xml:space="preserve"> en het (eigen) financieel onderzoek’ ontwikkeld. De twee trainingen zullen door het LBB met verschillende </w:t>
      </w:r>
      <w:proofErr w:type="spellStart"/>
      <w:r>
        <w:t>RIEC’s</w:t>
      </w:r>
      <w:proofErr w:type="spellEnd"/>
      <w:r>
        <w:t xml:space="preserve"> in 2025 meerdere keren per jaar in verschillende regio’s aangeboden worden. Naast deze trainingen zijn er door het LBB een e-</w:t>
      </w:r>
      <w:proofErr w:type="spellStart"/>
      <w:r>
        <w:t>learning</w:t>
      </w:r>
      <w:proofErr w:type="spellEnd"/>
      <w:r>
        <w:t xml:space="preserve"> en meerdere (animatie)video’s ontwikkeld. Deze zijn vanaf medio 2025 publiek toegankelijk.</w:t>
      </w:r>
    </w:p>
    <w:p w:rsidR="007F13B0" w:rsidP="007F13B0" w:rsidRDefault="007F13B0" w14:paraId="0D218121" w14:textId="77777777">
      <w:pPr>
        <w:pStyle w:val="Plattetekst"/>
        <w:spacing w:line="264" w:lineRule="auto"/>
        <w:ind w:left="108" w:right="38"/>
      </w:pPr>
    </w:p>
    <w:p w:rsidRPr="00E03197" w:rsidR="007F13B0" w:rsidP="004613C1" w:rsidRDefault="007F13B0" w14:paraId="5963761A" w14:textId="77777777">
      <w:pPr>
        <w:ind w:right="40"/>
        <w:rPr>
          <w:i/>
          <w:iCs/>
        </w:rPr>
      </w:pPr>
      <w:r w:rsidRPr="00E03197">
        <w:rPr>
          <w:i/>
          <w:iCs/>
        </w:rPr>
        <w:t>Nieuwe formulieren</w:t>
      </w:r>
    </w:p>
    <w:p w:rsidR="007F13B0" w:rsidP="004613C1" w:rsidRDefault="007F13B0" w14:paraId="57B6AD3C" w14:textId="77777777">
      <w:r w:rsidRPr="00E03197">
        <w:t xml:space="preserve">Op 1 februari 2024 trad de Regeling </w:t>
      </w:r>
      <w:proofErr w:type="spellStart"/>
      <w:r w:rsidRPr="00E03197">
        <w:t>Bibob</w:t>
      </w:r>
      <w:proofErr w:type="spellEnd"/>
      <w:r w:rsidRPr="00E03197">
        <w:t xml:space="preserve">-Formulieren 2024 in werking. Een nieuwe ministeriële regeling betekende een nieuw </w:t>
      </w:r>
      <w:proofErr w:type="spellStart"/>
      <w:r w:rsidRPr="00E03197">
        <w:t>Bibob</w:t>
      </w:r>
      <w:proofErr w:type="spellEnd"/>
      <w:r w:rsidRPr="00E03197">
        <w:t xml:space="preserve">-vragenformulier en een nieuw Formulier Bevindingen Eigen Onderzoek. Na de inwerkingtreding heeft het LBB de wijzigingen vanuit deze nieuwe regeling verwerkt, met als resultaat nieuwe standaardmodellen van deze formulieren. Deze standaardformulieren zijn in een toegankelijk format op </w:t>
      </w:r>
      <w:r>
        <w:t xml:space="preserve">de </w:t>
      </w:r>
      <w:r w:rsidRPr="00E03197">
        <w:t>website geplaatst.</w:t>
      </w:r>
    </w:p>
    <w:p w:rsidR="007F13B0" w:rsidP="007F13B0" w:rsidRDefault="007F13B0" w14:paraId="1620B3A3" w14:textId="77777777">
      <w:pPr>
        <w:pStyle w:val="Plattetekst"/>
        <w:spacing w:line="264" w:lineRule="auto"/>
        <w:ind w:left="108"/>
      </w:pPr>
    </w:p>
    <w:p w:rsidR="007F13B0" w:rsidP="004613C1" w:rsidRDefault="007F13B0" w14:paraId="7F9829B6" w14:textId="77777777">
      <w:pPr>
        <w:rPr>
          <w:i/>
        </w:rPr>
      </w:pPr>
      <w:proofErr w:type="spellStart"/>
      <w:r>
        <w:rPr>
          <w:i/>
        </w:rPr>
        <w:t>Bibob</w:t>
      </w:r>
      <w:proofErr w:type="spellEnd"/>
      <w:r>
        <w:rPr>
          <w:i/>
        </w:rPr>
        <w:t>-</w:t>
      </w:r>
      <w:r>
        <w:rPr>
          <w:i/>
          <w:spacing w:val="-2"/>
        </w:rPr>
        <w:t>register</w:t>
      </w:r>
    </w:p>
    <w:p w:rsidR="00E55AF7" w:rsidP="004613C1" w:rsidRDefault="007F13B0" w14:paraId="66A46853" w14:textId="77777777">
      <w:r w:rsidRPr="005E34F0">
        <w:t xml:space="preserve">Eind 2022 is het </w:t>
      </w:r>
      <w:proofErr w:type="spellStart"/>
      <w:r w:rsidRPr="005E34F0">
        <w:t>Bibob</w:t>
      </w:r>
      <w:proofErr w:type="spellEnd"/>
      <w:r w:rsidRPr="005E34F0">
        <w:t xml:space="preserve">-register in gebruik genomen, waarmee bestuursorganen </w:t>
      </w:r>
      <w:proofErr w:type="spellStart"/>
      <w:r w:rsidRPr="005E34F0">
        <w:t>gevaarsconclusies</w:t>
      </w:r>
      <w:proofErr w:type="spellEnd"/>
      <w:r w:rsidRPr="005E34F0">
        <w:t xml:space="preserve"> kunnen registreren en via een informatieverzoek kunnen opvragen of over een subject in het eigen onderzoek eerder een </w:t>
      </w:r>
      <w:proofErr w:type="spellStart"/>
      <w:r w:rsidRPr="005E34F0">
        <w:t>gevaarsconclusie</w:t>
      </w:r>
      <w:proofErr w:type="spellEnd"/>
      <w:r w:rsidRPr="005E34F0">
        <w:t xml:space="preserve"> is getrokken door een ander bestuursorgaan. Het </w:t>
      </w:r>
      <w:proofErr w:type="spellStart"/>
      <w:r w:rsidRPr="005E34F0">
        <w:t>Bibob</w:t>
      </w:r>
      <w:proofErr w:type="spellEnd"/>
      <w:r w:rsidRPr="005E34F0">
        <w:t xml:space="preserve">-register is inmiddels ruim twee jaar in gebruik en krijgt een steeds belangrijkere plek in het eigen </w:t>
      </w:r>
      <w:proofErr w:type="spellStart"/>
      <w:r w:rsidRPr="005E34F0">
        <w:t>Bibob</w:t>
      </w:r>
      <w:proofErr w:type="spellEnd"/>
      <w:r w:rsidRPr="005E34F0">
        <w:t xml:space="preserve">-onderzoek van bestuursorganen. Dit is ook te zien in de cijfers van 2024. Zo is wederom het aantal gebruikers, maar vooral het aantal informatieverzoeken dat werd ingediend via het register, flink toegenomen ten opzichte van 2023. </w:t>
      </w:r>
    </w:p>
    <w:p w:rsidR="009F13ED" w:rsidP="004613C1" w:rsidRDefault="007F13B0" w14:paraId="56FBB003" w14:textId="3CD8DD09">
      <w:r w:rsidRPr="005E34F0">
        <w:lastRenderedPageBreak/>
        <w:t xml:space="preserve">In het jaar 2024 heeft het LBB in totaal 9.342 informatieverzoeken ontvangen via het </w:t>
      </w:r>
      <w:proofErr w:type="spellStart"/>
      <w:r w:rsidRPr="005E34F0">
        <w:t>Bibob</w:t>
      </w:r>
      <w:proofErr w:type="spellEnd"/>
      <w:r w:rsidRPr="005E34F0">
        <w:t>-register. In totaal hebben inmiddels meer dan 350</w:t>
      </w:r>
      <w:r w:rsidR="0033718F">
        <w:rPr>
          <w:rStyle w:val="Voetnootmarkering"/>
          <w:spacing w:val="-2"/>
        </w:rPr>
        <w:footnoteReference w:id="2"/>
      </w:r>
      <w:r w:rsidR="0033718F">
        <w:t xml:space="preserve"> </w:t>
      </w:r>
      <w:r>
        <w:t xml:space="preserve">medewerkers van </w:t>
      </w:r>
      <w:r w:rsidRPr="005E34F0">
        <w:t xml:space="preserve">verschillende bestuursorganen en organisaties met een overheidstaak toegang tot het register. In het </w:t>
      </w:r>
      <w:proofErr w:type="spellStart"/>
      <w:r w:rsidRPr="005E34F0">
        <w:t>Bibob</w:t>
      </w:r>
      <w:proofErr w:type="spellEnd"/>
      <w:r w:rsidRPr="005E34F0">
        <w:t xml:space="preserve">-register blijven </w:t>
      </w:r>
      <w:proofErr w:type="spellStart"/>
      <w:r w:rsidRPr="005E34F0">
        <w:t>gevaarsconclusies</w:t>
      </w:r>
      <w:proofErr w:type="spellEnd"/>
      <w:r w:rsidRPr="005E34F0">
        <w:t xml:space="preserve"> vijf jaar geregistreerd, daarom heeft het LBB alle </w:t>
      </w:r>
      <w:proofErr w:type="spellStart"/>
      <w:r w:rsidRPr="005E34F0">
        <w:t>gevaarsconclusies</w:t>
      </w:r>
      <w:proofErr w:type="spellEnd"/>
      <w:r w:rsidRPr="005E34F0">
        <w:t xml:space="preserve"> tot vijf jaar terug met een inhaalslag geregistreerd in het register. Mede door deze inhaalslag is het aantal </w:t>
      </w:r>
      <w:proofErr w:type="spellStart"/>
      <w:r w:rsidRPr="005E34F0">
        <w:t>gevaarsconclusies</w:t>
      </w:r>
      <w:proofErr w:type="spellEnd"/>
      <w:r w:rsidRPr="005E34F0">
        <w:t xml:space="preserve"> in het register flink toegenomen, van 604 naar 1536. Bestuursorganen hebben deze inhaalslag zeer waarschijnlijk niet gedaan, waardoor daar de toename beperkter is, van 76 naar 129. Een reden voor het lage aantal geregistreerde </w:t>
      </w:r>
      <w:proofErr w:type="spellStart"/>
      <w:r w:rsidRPr="005E34F0">
        <w:t>gevaarsconclusies</w:t>
      </w:r>
      <w:proofErr w:type="spellEnd"/>
      <w:r w:rsidRPr="005E34F0">
        <w:t xml:space="preserve"> door bestuursorganen kan zijn dat vrijwel alleen de grootste gemeenten de capaciteit en expertise hebben om eigen </w:t>
      </w:r>
      <w:proofErr w:type="spellStart"/>
      <w:r w:rsidRPr="005E34F0">
        <w:t>Bibob</w:t>
      </w:r>
      <w:proofErr w:type="spellEnd"/>
      <w:r w:rsidRPr="005E34F0">
        <w:t>-onderzoeken te doen die geregistreerd kunnen worden.</w:t>
      </w:r>
      <w:r w:rsidR="007143E8">
        <w:t xml:space="preserve"> </w:t>
      </w:r>
      <w:r w:rsidRPr="007143E8" w:rsidR="007143E8">
        <w:t xml:space="preserve">Hierbij gaat het om de eigen </w:t>
      </w:r>
      <w:proofErr w:type="spellStart"/>
      <w:r w:rsidRPr="007143E8" w:rsidR="007143E8">
        <w:t>Bibob</w:t>
      </w:r>
      <w:proofErr w:type="spellEnd"/>
      <w:r w:rsidRPr="007143E8" w:rsidR="007143E8">
        <w:t xml:space="preserve">-onderzoeken waar daadwerkelijk </w:t>
      </w:r>
      <w:proofErr w:type="spellStart"/>
      <w:r w:rsidRPr="007143E8" w:rsidR="007143E8">
        <w:t>gevaarsconclusies</w:t>
      </w:r>
      <w:proofErr w:type="spellEnd"/>
      <w:r w:rsidRPr="007143E8" w:rsidR="007143E8">
        <w:t xml:space="preserve"> uit voortkomen die geregistreerd moeten worden, te weten ernstig gevaar en mindere mate van gevaar. Conclusies die inhouden dat geen gevaar is gebleken worden niet geregistreerd. De grootste gemeenten hebben over het algemeen meer capaciteit en expertise om eigen </w:t>
      </w:r>
      <w:proofErr w:type="spellStart"/>
      <w:r w:rsidRPr="007143E8" w:rsidR="007143E8">
        <w:t>Bibob</w:t>
      </w:r>
      <w:proofErr w:type="spellEnd"/>
      <w:r w:rsidRPr="007143E8" w:rsidR="007143E8">
        <w:t xml:space="preserve">-onderzoeken uit te voeren, hetgeen ook de kans vergroot dat </w:t>
      </w:r>
      <w:r w:rsidR="007143E8">
        <w:t>deze</w:t>
      </w:r>
      <w:r w:rsidRPr="007143E8" w:rsidR="007143E8">
        <w:t xml:space="preserve"> gemeenten </w:t>
      </w:r>
      <w:proofErr w:type="spellStart"/>
      <w:r w:rsidRPr="007143E8" w:rsidR="007143E8">
        <w:t>gevaarsconclusies</w:t>
      </w:r>
      <w:proofErr w:type="spellEnd"/>
      <w:r w:rsidRPr="007143E8" w:rsidR="007143E8">
        <w:t xml:space="preserve"> trekken die geregistreerd moeten worden.  </w:t>
      </w:r>
    </w:p>
    <w:p w:rsidR="009F13ED" w:rsidP="009F13ED" w:rsidRDefault="009F13ED" w14:paraId="766C5913" w14:textId="77777777">
      <w:pPr>
        <w:pStyle w:val="Plattetekst"/>
        <w:spacing w:before="1" w:line="264" w:lineRule="auto"/>
        <w:ind w:left="108"/>
        <w:rPr>
          <w:b/>
          <w:bCs/>
        </w:rPr>
      </w:pPr>
    </w:p>
    <w:p w:rsidRPr="004613C1" w:rsidR="006304D8" w:rsidP="004613C1" w:rsidRDefault="002918B0" w14:paraId="32286673" w14:textId="73E917CE">
      <w:pPr>
        <w:pStyle w:val="Plattetekst"/>
        <w:spacing w:before="1" w:line="264" w:lineRule="auto"/>
        <w:rPr>
          <w:b/>
          <w:bCs/>
        </w:rPr>
      </w:pPr>
      <w:r w:rsidRPr="009F13ED">
        <w:rPr>
          <w:b/>
          <w:bCs/>
        </w:rPr>
        <w:t>Jaarverslag</w:t>
      </w:r>
      <w:r w:rsidRPr="009F13ED">
        <w:rPr>
          <w:b/>
          <w:bCs/>
          <w:spacing w:val="-7"/>
        </w:rPr>
        <w:t xml:space="preserve"> </w:t>
      </w:r>
      <w:r w:rsidRPr="009F13ED">
        <w:rPr>
          <w:b/>
          <w:bCs/>
        </w:rPr>
        <w:t>Kwaliteitscommissie</w:t>
      </w:r>
      <w:r w:rsidRPr="009F13ED">
        <w:rPr>
          <w:b/>
          <w:bCs/>
          <w:spacing w:val="-7"/>
        </w:rPr>
        <w:t xml:space="preserve"> </w:t>
      </w:r>
      <w:proofErr w:type="spellStart"/>
      <w:r w:rsidRPr="009F13ED">
        <w:rPr>
          <w:b/>
          <w:bCs/>
        </w:rPr>
        <w:t>Bibob</w:t>
      </w:r>
      <w:proofErr w:type="spellEnd"/>
      <w:r w:rsidRPr="009F13ED">
        <w:rPr>
          <w:b/>
          <w:bCs/>
          <w:spacing w:val="-7"/>
        </w:rPr>
        <w:t xml:space="preserve"> </w:t>
      </w:r>
      <w:r w:rsidRPr="009F13ED">
        <w:rPr>
          <w:b/>
          <w:bCs/>
          <w:spacing w:val="-4"/>
        </w:rPr>
        <w:t>2024</w:t>
      </w:r>
    </w:p>
    <w:p w:rsidR="007F13B0" w:rsidP="004613C1" w:rsidRDefault="007F13B0" w14:paraId="458C59F4" w14:textId="77777777">
      <w:r>
        <w:t>Jaarlijks</w:t>
      </w:r>
      <w:r>
        <w:rPr>
          <w:spacing w:val="-5"/>
        </w:rPr>
        <w:t xml:space="preserve"> </w:t>
      </w:r>
      <w:r>
        <w:t>beoordeelt</w:t>
      </w:r>
      <w:r>
        <w:rPr>
          <w:spacing w:val="-5"/>
        </w:rPr>
        <w:t xml:space="preserve"> </w:t>
      </w:r>
      <w:r>
        <w:t>de</w:t>
      </w:r>
      <w:r>
        <w:rPr>
          <w:spacing w:val="-6"/>
        </w:rPr>
        <w:t xml:space="preserve"> </w:t>
      </w:r>
      <w:r>
        <w:t>onafhankelijke</w:t>
      </w:r>
      <w:r>
        <w:rPr>
          <w:spacing w:val="-6"/>
        </w:rPr>
        <w:t xml:space="preserve"> </w:t>
      </w:r>
      <w:r>
        <w:t>Kwaliteitscommissie</w:t>
      </w:r>
      <w:r>
        <w:rPr>
          <w:spacing w:val="-6"/>
        </w:rPr>
        <w:t xml:space="preserve"> </w:t>
      </w:r>
      <w:proofErr w:type="spellStart"/>
      <w:r>
        <w:t>Bibob</w:t>
      </w:r>
      <w:proofErr w:type="spellEnd"/>
      <w:r>
        <w:rPr>
          <w:spacing w:val="-5"/>
        </w:rPr>
        <w:t xml:space="preserve"> </w:t>
      </w:r>
      <w:r>
        <w:t>de</w:t>
      </w:r>
      <w:r>
        <w:rPr>
          <w:spacing w:val="-6"/>
        </w:rPr>
        <w:t xml:space="preserve"> </w:t>
      </w:r>
      <w:r>
        <w:t>kwaliteit</w:t>
      </w:r>
      <w:r>
        <w:rPr>
          <w:spacing w:val="-6"/>
        </w:rPr>
        <w:t xml:space="preserve"> </w:t>
      </w:r>
      <w:r>
        <w:t xml:space="preserve">van </w:t>
      </w:r>
      <w:proofErr w:type="spellStart"/>
      <w:r>
        <w:t>Bibob</w:t>
      </w:r>
      <w:proofErr w:type="spellEnd"/>
      <w:r>
        <w:t>-adviezen. In 2024 zijn 38 reguliere en 4 aanvullende adviezen van het LBB beoordeeld.</w:t>
      </w:r>
    </w:p>
    <w:p w:rsidR="004613C1" w:rsidP="004613C1" w:rsidRDefault="004613C1" w14:paraId="0C9965F5" w14:textId="77777777"/>
    <w:p w:rsidRPr="00E55AF7" w:rsidR="007F13B0" w:rsidP="004613C1" w:rsidRDefault="007F13B0" w14:paraId="56FA91C4" w14:textId="77777777">
      <w:r w:rsidRPr="000B74BA">
        <w:t xml:space="preserve">Ten opzichte van 2023 is het aantal beoordelingen met inhoudelijke opmerkingen toegenomen van 30% naar 43%. Het aantal adviezen zonder opmerkingen is gedaald van 53% naar 38%. </w:t>
      </w:r>
      <w:r w:rsidRPr="00E55AF7">
        <w:t xml:space="preserve">Ten aanzien van de kwaliteit van de adviezen kunnen er echter geen harde conclusies getrokken worden. </w:t>
      </w:r>
      <w:bookmarkStart w:name="_Hlk194392234" w:id="0"/>
      <w:r w:rsidRPr="00E55AF7">
        <w:t>De inhoudelijke opmerkingen die de Kwaliteitscommissie heeft gemaakt zijn van velerlei aard en verschillend van gewicht. Zo wordt soms gevraagd om een verduidelijking en zijn andere inhoudelijke opmerkingen een verschil van inzicht tussen de Kwaliteitscommissie en het LBB, waarbij er geen goed of fout bestaat. Gelet op dit brede scala aan inhoudelijke opmerkingen kan niet worden gezegd dat over de jaren heen de kwaliteit van de adviezen van het LBB achteruit is gegaan. Wel is er een aantal opmerkingen dat herhaaldelijk in de beoordelingen van de Kwaliteitscommissie is gemaakt.</w:t>
      </w:r>
      <w:bookmarkEnd w:id="0"/>
      <w:r w:rsidRPr="00E55AF7">
        <w:t xml:space="preserve"> Deze opmerkingen gaan over de kwaliteit van de analyse, de zelfstandige leesbaarheid van het advies en de </w:t>
      </w:r>
      <w:proofErr w:type="spellStart"/>
      <w:r w:rsidRPr="00E55AF7">
        <w:t>gevaarsconclusie</w:t>
      </w:r>
      <w:proofErr w:type="spellEnd"/>
      <w:r w:rsidRPr="00E55AF7">
        <w:t>. Voor deze opmerkingen heeft de Kwaliteitscommissie aanbevelingen gedaan.</w:t>
      </w:r>
    </w:p>
    <w:p w:rsidRPr="00E55AF7" w:rsidR="007F13B0" w:rsidP="007F13B0" w:rsidRDefault="007F13B0" w14:paraId="65B6EEE2" w14:textId="77777777">
      <w:pPr>
        <w:pStyle w:val="Plattetekst"/>
        <w:spacing w:before="1" w:line="264" w:lineRule="auto"/>
        <w:ind w:left="108"/>
      </w:pPr>
    </w:p>
    <w:p w:rsidRPr="00E55AF7" w:rsidR="007F13B0" w:rsidP="004613C1" w:rsidRDefault="007F13B0" w14:paraId="35F73669" w14:textId="77777777">
      <w:pPr>
        <w:pStyle w:val="Plattetekst"/>
        <w:spacing w:before="1" w:line="264" w:lineRule="auto"/>
        <w:rPr>
          <w:i/>
          <w:iCs/>
        </w:rPr>
      </w:pPr>
      <w:r w:rsidRPr="00E55AF7">
        <w:rPr>
          <w:i/>
          <w:iCs/>
        </w:rPr>
        <w:t>Aanbevelingen over de kwaliteit van de adviezen</w:t>
      </w:r>
    </w:p>
    <w:p w:rsidRPr="00E55AF7" w:rsidR="004613C1" w:rsidP="004613C1" w:rsidRDefault="007F13B0" w14:paraId="45B1288D" w14:textId="77777777">
      <w:r w:rsidRPr="00E55AF7">
        <w:t xml:space="preserve">De Kwaliteitscommissie constateert dat de analyses van het LBB in de beoordeelde adviezen over het algemeen evenwichtig en volledig zijn. In een klein aantal van de beoordeelde adviezen (6 van de 42) heeft de Kwaliteitscommissie twijfels geuit over de </w:t>
      </w:r>
      <w:proofErr w:type="spellStart"/>
      <w:r w:rsidRPr="00E55AF7">
        <w:t>gevaarsbeoordeling</w:t>
      </w:r>
      <w:proofErr w:type="spellEnd"/>
      <w:r w:rsidRPr="00E55AF7">
        <w:t>.</w:t>
      </w:r>
    </w:p>
    <w:p w:rsidRPr="00E55AF7" w:rsidR="004613C1" w:rsidP="004613C1" w:rsidRDefault="004613C1" w14:paraId="5F2C8D3F" w14:textId="77777777"/>
    <w:p w:rsidR="00E55AF7" w:rsidP="004613C1" w:rsidRDefault="007F13B0" w14:paraId="3776F083" w14:textId="77777777">
      <w:r w:rsidRPr="00E55AF7">
        <w:t xml:space="preserve">De Kwaliteitscommissie heeft een aantal inhoudelijke opmerkingen vaker gemaakt. </w:t>
      </w:r>
    </w:p>
    <w:p w:rsidR="007F13B0" w:rsidP="004613C1" w:rsidRDefault="007F13B0" w14:paraId="5AB649BD" w14:textId="417EC5CC">
      <w:r w:rsidRPr="00E55AF7">
        <w:lastRenderedPageBreak/>
        <w:t xml:space="preserve">Deze terugkerende opmerkingen zien op de kwaliteit van de analyse </w:t>
      </w:r>
      <w:r w:rsidRPr="00E55AF7" w:rsidR="0054127C">
        <w:t>(</w:t>
      </w:r>
      <w:r w:rsidRPr="00E55AF7">
        <w:t>met name het ontbreken van een samenvatting</w:t>
      </w:r>
      <w:r w:rsidRPr="00E55AF7" w:rsidR="0054127C">
        <w:t>)</w:t>
      </w:r>
      <w:r w:rsidRPr="00E55AF7">
        <w:t xml:space="preserve">, de </w:t>
      </w:r>
      <w:proofErr w:type="spellStart"/>
      <w:r w:rsidRPr="00E55AF7">
        <w:t>gevaarsconclusie</w:t>
      </w:r>
      <w:proofErr w:type="spellEnd"/>
      <w:r w:rsidRPr="00E55AF7">
        <w:t xml:space="preserve"> en de leesbaarheid van het advies. </w:t>
      </w:r>
      <w:bookmarkStart w:name="_Hlk195253727" w:id="1"/>
      <w:r w:rsidRPr="00E55AF7" w:rsidR="00904B7F">
        <w:t>Het LBB heeft aangegeven een aantal maatregelen door te voeren om de leesbaarheid van het advies te verbeteren.</w:t>
      </w:r>
    </w:p>
    <w:bookmarkEnd w:id="1"/>
    <w:p w:rsidR="007F13B0" w:rsidP="007F13B0" w:rsidRDefault="007F13B0" w14:paraId="1E37D039" w14:textId="77777777">
      <w:pPr>
        <w:pStyle w:val="Plattetekst"/>
        <w:spacing w:before="1" w:line="264" w:lineRule="auto"/>
        <w:ind w:left="108"/>
      </w:pPr>
    </w:p>
    <w:p w:rsidRPr="007F13B0" w:rsidR="007F13B0" w:rsidP="004613C1" w:rsidRDefault="007F13B0" w14:paraId="5E3BD826" w14:textId="77777777">
      <w:pPr>
        <w:pStyle w:val="Plattetekst"/>
        <w:spacing w:before="1" w:line="264" w:lineRule="auto"/>
        <w:rPr>
          <w:i/>
          <w:iCs/>
        </w:rPr>
      </w:pPr>
      <w:bookmarkStart w:name="_Hlk195081087" w:id="2"/>
      <w:r w:rsidRPr="007F13B0">
        <w:rPr>
          <w:i/>
          <w:iCs/>
        </w:rPr>
        <w:t>Aanbevelingen over de procedurele kant van de adviezen</w:t>
      </w:r>
    </w:p>
    <w:p w:rsidR="007F13B0" w:rsidP="004613C1" w:rsidRDefault="007F13B0" w14:paraId="38E0018C" w14:textId="061A907E">
      <w:r w:rsidRPr="00BD2AE9">
        <w:t xml:space="preserve">De Kwaliteitscommissie </w:t>
      </w:r>
      <w:r>
        <w:t>beveelt aan</w:t>
      </w:r>
      <w:r w:rsidRPr="00BD2AE9">
        <w:t xml:space="preserve"> om </w:t>
      </w:r>
      <w:r>
        <w:t>stra</w:t>
      </w:r>
      <w:r w:rsidRPr="00BD2AE9">
        <w:t xml:space="preserve">kker te acteren </w:t>
      </w:r>
      <w:r w:rsidRPr="00E51EF4">
        <w:t>als een</w:t>
      </w:r>
      <w:r>
        <w:t xml:space="preserve"> door een bestuursorgaan</w:t>
      </w:r>
      <w:r w:rsidRPr="00E51EF4">
        <w:t xml:space="preserve"> ingevulde evaluatie uitblijft</w:t>
      </w:r>
      <w:r>
        <w:t xml:space="preserve"> en </w:t>
      </w:r>
      <w:r w:rsidRPr="00E51EF4">
        <w:t xml:space="preserve">ziet </w:t>
      </w:r>
      <w:r>
        <w:t xml:space="preserve">daarnaast </w:t>
      </w:r>
      <w:r w:rsidRPr="00E51EF4">
        <w:t xml:space="preserve">graag dat het </w:t>
      </w:r>
      <w:r w:rsidR="0054127C">
        <w:t>LBB</w:t>
      </w:r>
      <w:r w:rsidRPr="00E51EF4">
        <w:t xml:space="preserve"> meer informatie over de intakeprocedure opneemt in het dossier.</w:t>
      </w:r>
    </w:p>
    <w:p w:rsidR="004613C1" w:rsidP="004613C1" w:rsidRDefault="004613C1" w14:paraId="354F0CA4" w14:textId="77777777"/>
    <w:p w:rsidRPr="00E55AF7" w:rsidR="00904B7F" w:rsidP="004613C1" w:rsidRDefault="007F13B0" w14:paraId="0F4C0887" w14:textId="4D655242">
      <w:r w:rsidRPr="00E51EF4">
        <w:t xml:space="preserve">De Kwaliteitscommissie constateert dat in enkele dossiers de (verlengde) wettelijke termijn van 12 weken voor het uitbrengen van het advies niet is gehaald en dat daar vervolgens niet </w:t>
      </w:r>
      <w:r>
        <w:t xml:space="preserve">traceerbaar </w:t>
      </w:r>
      <w:r w:rsidRPr="00E51EF4">
        <w:t xml:space="preserve">over wordt gecommuniceerd met </w:t>
      </w:r>
      <w:r w:rsidRPr="00E55AF7">
        <w:t>het bestuursorgaan. De Kwaliteitscommissie benadrukt nogmaals het belang van comm</w:t>
      </w:r>
      <w:r w:rsidRPr="00E55AF7" w:rsidR="009F249C">
        <w:t>u</w:t>
      </w:r>
      <w:r w:rsidRPr="00E55AF7">
        <w:t>nicatie en documentatie hiervan in het dossier.</w:t>
      </w:r>
    </w:p>
    <w:p w:rsidRPr="00E55AF7" w:rsidR="004613C1" w:rsidP="004613C1" w:rsidRDefault="004613C1" w14:paraId="3211D10F" w14:textId="77777777"/>
    <w:p w:rsidRPr="00E55AF7" w:rsidR="00904B7F" w:rsidP="004613C1" w:rsidRDefault="00904B7F" w14:paraId="5B5250B0" w14:textId="6156CA34">
      <w:bookmarkStart w:name="_Hlk195254155" w:id="3"/>
      <w:r w:rsidRPr="00E55AF7">
        <w:t>Het LBB zal in 2025 een herijkt en gedigitaliseerd evaluatieformulier in gebruik nemen. Hiermee hoopt het LBB het responspercentage te verbeteren en meer specifieke feedback op de uitgebrachte adviezen te kunnen ontvangen. Het LBB onderschrijft het belang van het goed in een dossier kunnen traceren van de communicatie die heeft plaatsgevonden met het bestuursorgaan. Het LBB zal intern nagaan op welke wijze hierin verbeteringen aangebracht kunnen worden.</w:t>
      </w:r>
      <w:bookmarkEnd w:id="3"/>
    </w:p>
    <w:p w:rsidRPr="00E55AF7" w:rsidR="004613C1" w:rsidP="004613C1" w:rsidRDefault="004613C1" w14:paraId="4DE2CC56" w14:textId="77777777">
      <w:pPr>
        <w:spacing w:before="22"/>
      </w:pPr>
    </w:p>
    <w:p w:rsidRPr="00E55AF7" w:rsidR="007F13B0" w:rsidP="004613C1" w:rsidRDefault="007F13B0" w14:paraId="560C7025" w14:textId="7BDFA5A6">
      <w:pPr>
        <w:spacing w:before="22"/>
        <w:rPr>
          <w:i/>
          <w:iCs/>
        </w:rPr>
      </w:pPr>
      <w:r w:rsidRPr="00E55AF7">
        <w:rPr>
          <w:i/>
          <w:iCs/>
        </w:rPr>
        <w:t>Algemene aanbevelingen</w:t>
      </w:r>
    </w:p>
    <w:p w:rsidRPr="00E55AF7" w:rsidR="007F13B0" w:rsidP="004613C1" w:rsidRDefault="007F13B0" w14:paraId="36371D13" w14:textId="6FB5B306">
      <w:r w:rsidRPr="00E55AF7">
        <w:t xml:space="preserve">Onder deze aanbeveling wordt richting het LBB en het ministerie gewezen op de gebrekkige gegevensuitwisseling met andere landen, dit kent een Europees perspectief. De Kwaliteitscommissie constateert verder dat informatieverstrekkers met een wettelijke plicht om informatie te verstrekken aan het LBB geregeld niet – of niet tijdig </w:t>
      </w:r>
      <w:r w:rsidRPr="00E55AF7" w:rsidR="0054127C">
        <w:t xml:space="preserve">– </w:t>
      </w:r>
      <w:r w:rsidRPr="00E55AF7">
        <w:t>aan deze verplichting voldoen. Het aantal gevallen waarin geen informatie wordt geleverd lijkt toe te nemen, dit beïnvloedt de kwaliteit van de advisering. Het LBB heeft relatiebeheerders aangesteld die de relatie met deze informatieverstrekkers moeten onderhouden en die deze problematiek ook aan de orde zullen stellen. De Kwaliteitscommissie blijft deze ontwikkeling volgen.</w:t>
      </w:r>
    </w:p>
    <w:p w:rsidRPr="00E55AF7" w:rsidR="004613C1" w:rsidP="004613C1" w:rsidRDefault="004613C1" w14:paraId="41577837" w14:textId="77777777"/>
    <w:p w:rsidR="004613C1" w:rsidP="004613C1" w:rsidRDefault="007F13B0" w14:paraId="014B5CEC" w14:textId="77777777">
      <w:bookmarkStart w:name="_Hlk195081015" w:id="4"/>
      <w:r w:rsidRPr="00E55AF7">
        <w:t xml:space="preserve">Verder doet de Kwaliteitscommissie als aanbeveling aan het LBB om de bekendheid en effectiviteit van de Wet </w:t>
      </w:r>
      <w:proofErr w:type="spellStart"/>
      <w:r w:rsidRPr="00E55AF7">
        <w:t>Bibob</w:t>
      </w:r>
      <w:proofErr w:type="spellEnd"/>
      <w:r w:rsidRPr="00E55AF7">
        <w:t xml:space="preserve"> binnen het eigen departement en de justitiële en bestuurlijke wereld te vergroten. In dat kader wordt door ons ministerie samen met het LBB al bekeken hoe verbeteringen in de voorlichting aan te brengen.</w:t>
      </w:r>
      <w:r w:rsidR="009F249C">
        <w:t xml:space="preserve"> </w:t>
      </w:r>
    </w:p>
    <w:p w:rsidR="004613C1" w:rsidP="004613C1" w:rsidRDefault="004613C1" w14:paraId="69C38B4E" w14:textId="77777777"/>
    <w:p w:rsidR="004613C1" w:rsidP="004613C1" w:rsidRDefault="009F249C" w14:paraId="27A2935F" w14:textId="77777777">
      <w:r w:rsidRPr="009F249C">
        <w:t xml:space="preserve">Ten aanzien van de andere aanbevelingen heeft het </w:t>
      </w:r>
      <w:r w:rsidR="0054127C">
        <w:t>LBB</w:t>
      </w:r>
      <w:r>
        <w:t xml:space="preserve"> </w:t>
      </w:r>
      <w:r w:rsidRPr="009F249C">
        <w:t xml:space="preserve">aangegeven dat het </w:t>
      </w:r>
      <w:r>
        <w:t xml:space="preserve">hiervan </w:t>
      </w:r>
      <w:r w:rsidRPr="009F249C">
        <w:t>kennis heeft genomen en dat intern zal</w:t>
      </w:r>
      <w:r>
        <w:t xml:space="preserve"> </w:t>
      </w:r>
      <w:r w:rsidRPr="009F249C">
        <w:t xml:space="preserve">worden besproken wat met de aanbevelingen </w:t>
      </w:r>
      <w:r>
        <w:t xml:space="preserve">wordt </w:t>
      </w:r>
      <w:r w:rsidRPr="009F249C">
        <w:t>gedaan</w:t>
      </w:r>
      <w:r>
        <w:t>.</w:t>
      </w:r>
    </w:p>
    <w:p w:rsidR="004613C1" w:rsidP="004613C1" w:rsidRDefault="004613C1" w14:paraId="479902F3" w14:textId="77777777"/>
    <w:p w:rsidR="004613C1" w:rsidP="004613C1" w:rsidRDefault="004613C1" w14:paraId="0DDD96FB" w14:textId="77777777"/>
    <w:p w:rsidR="004613C1" w:rsidP="004613C1" w:rsidRDefault="004613C1" w14:paraId="59C97245" w14:textId="77777777"/>
    <w:p w:rsidR="004613C1" w:rsidP="004613C1" w:rsidRDefault="004613C1" w14:paraId="5ECA4659" w14:textId="77777777"/>
    <w:p w:rsidR="004613C1" w:rsidP="004613C1" w:rsidRDefault="004613C1" w14:paraId="1AEF6D3B" w14:textId="77777777"/>
    <w:p w:rsidR="004613C1" w:rsidP="004613C1" w:rsidRDefault="004613C1" w14:paraId="62840157" w14:textId="77777777"/>
    <w:p w:rsidR="004613C1" w:rsidP="004613C1" w:rsidRDefault="004613C1" w14:paraId="58EF6334" w14:textId="77777777"/>
    <w:p w:rsidR="004613C1" w:rsidP="004613C1" w:rsidRDefault="004613C1" w14:paraId="7372F3E8" w14:textId="77777777"/>
    <w:p w:rsidR="004613C1" w:rsidP="004613C1" w:rsidRDefault="004613C1" w14:paraId="618CED8D" w14:textId="77777777"/>
    <w:p w:rsidR="004613C1" w:rsidP="004613C1" w:rsidRDefault="004613C1" w14:paraId="1E7DAFBB" w14:textId="77777777"/>
    <w:p w:rsidR="004613C1" w:rsidP="004613C1" w:rsidRDefault="004613C1" w14:paraId="57B39BED" w14:textId="77777777"/>
    <w:p w:rsidR="004613C1" w:rsidP="004613C1" w:rsidRDefault="004613C1" w14:paraId="44210391" w14:textId="77777777"/>
    <w:p w:rsidR="00347607" w:rsidP="004613C1" w:rsidRDefault="00300285" w14:paraId="5BBB82BD" w14:textId="22FC641A">
      <w:r w:rsidRPr="00300285">
        <w:t>Wij vinden het belangrijk te streven naar het bevorderen van kwaliteit.</w:t>
      </w:r>
      <w:r>
        <w:t xml:space="preserve"> </w:t>
      </w:r>
      <w:r w:rsidRPr="00300285">
        <w:t>Daarom blijft ons ministerie met het LBB in gesprek om te</w:t>
      </w:r>
      <w:r>
        <w:t xml:space="preserve"> </w:t>
      </w:r>
      <w:r w:rsidRPr="00300285">
        <w:t>bezien of en op welke wijze de aanbevelingen overgenomen kunnen worden.</w:t>
      </w:r>
      <w:bookmarkEnd w:id="2"/>
      <w:bookmarkEnd w:id="4"/>
    </w:p>
    <w:p w:rsidR="00347607" w:rsidP="004613C1" w:rsidRDefault="00347607" w14:paraId="0A907A00" w14:textId="77777777"/>
    <w:p w:rsidR="00E55AF7" w:rsidP="004613C1" w:rsidRDefault="00E55AF7" w14:paraId="31A4E4D1" w14:textId="77777777"/>
    <w:p w:rsidR="00224B21" w:rsidP="004613C1" w:rsidRDefault="00224B21" w14:paraId="2AAB59B4" w14:textId="4192A838">
      <w:r w:rsidRPr="00224B21">
        <w:t xml:space="preserve">De </w:t>
      </w:r>
      <w:r>
        <w:t>Staatssecretaris</w:t>
      </w:r>
      <w:r w:rsidRPr="00224B21">
        <w:t xml:space="preserve"> Rechtsbescherming</w:t>
      </w:r>
      <w:r w:rsidR="004613C1">
        <w:t>,</w:t>
      </w:r>
    </w:p>
    <w:p w:rsidR="00224B21" w:rsidP="004613C1" w:rsidRDefault="00224B21" w14:paraId="4909F578" w14:textId="77777777"/>
    <w:p w:rsidR="00224B21" w:rsidP="004613C1" w:rsidRDefault="00224B21" w14:paraId="5797CB7E" w14:textId="77777777"/>
    <w:p w:rsidR="00224B21" w:rsidP="004613C1" w:rsidRDefault="00224B21" w14:paraId="66FCED75" w14:textId="77777777"/>
    <w:p w:rsidR="00E55AF7" w:rsidP="004613C1" w:rsidRDefault="00E55AF7" w14:paraId="5717C91A" w14:textId="77777777"/>
    <w:p w:rsidR="00224B21" w:rsidP="004613C1" w:rsidRDefault="00224B21" w14:paraId="473A790D" w14:textId="53523C63">
      <w:r>
        <w:t>T.H.D. Struycken</w:t>
      </w:r>
    </w:p>
    <w:p w:rsidR="00224B21" w:rsidP="00347607" w:rsidRDefault="00224B21" w14:paraId="021996B4" w14:textId="77777777">
      <w:pPr>
        <w:pStyle w:val="Plattetekst"/>
        <w:spacing w:before="1" w:line="264" w:lineRule="auto"/>
        <w:ind w:left="108"/>
      </w:pPr>
    </w:p>
    <w:p w:rsidR="00224B21" w:rsidP="00347607" w:rsidRDefault="00224B21" w14:paraId="76DC91D1" w14:textId="77777777">
      <w:pPr>
        <w:pStyle w:val="Plattetekst"/>
        <w:spacing w:before="1" w:line="264" w:lineRule="auto"/>
        <w:ind w:left="108"/>
      </w:pPr>
    </w:p>
    <w:p w:rsidR="00347607" w:rsidP="004613C1" w:rsidRDefault="004E5FEA" w14:paraId="49A522D7" w14:textId="7566767D">
      <w:r>
        <w:t>De Minister van Justitie en Veiligheid,</w:t>
      </w:r>
    </w:p>
    <w:p w:rsidR="00347607" w:rsidP="004613C1" w:rsidRDefault="00347607" w14:paraId="47592342" w14:textId="77777777"/>
    <w:p w:rsidR="00347607" w:rsidP="004613C1" w:rsidRDefault="00347607" w14:paraId="40FA627F" w14:textId="77777777"/>
    <w:p w:rsidR="00347607" w:rsidP="004613C1" w:rsidRDefault="00347607" w14:paraId="3006A182" w14:textId="77777777"/>
    <w:p w:rsidR="00E55AF7" w:rsidP="004613C1" w:rsidRDefault="00E55AF7" w14:paraId="58929F69" w14:textId="77777777"/>
    <w:p w:rsidR="00F13989" w:rsidP="004613C1" w:rsidRDefault="004E5FEA" w14:paraId="4DDFD05F" w14:textId="4CF1F848">
      <w:r>
        <w:t>D.</w:t>
      </w:r>
      <w:r w:rsidR="004613C1">
        <w:t>M.</w:t>
      </w:r>
      <w:r>
        <w:t xml:space="preserve"> van Weel</w:t>
      </w:r>
    </w:p>
    <w:sectPr w:rsidR="00F13989" w:rsidSect="0033718F">
      <w:headerReference w:type="even" r:id="rId9"/>
      <w:headerReference w:type="default" r:id="rId10"/>
      <w:footerReference w:type="default" r:id="rId11"/>
      <w:headerReference w:type="first" r:id="rId12"/>
      <w:pgSz w:w="11905" w:h="16837"/>
      <w:pgMar w:top="3050"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C956" w14:textId="77777777" w:rsidR="004F69C9" w:rsidRDefault="004F69C9">
      <w:pPr>
        <w:spacing w:line="240" w:lineRule="auto"/>
      </w:pPr>
      <w:r>
        <w:separator/>
      </w:r>
    </w:p>
  </w:endnote>
  <w:endnote w:type="continuationSeparator" w:id="0">
    <w:p w14:paraId="242E2BED" w14:textId="77777777" w:rsidR="004F69C9" w:rsidRDefault="004F6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30C3" w14:textId="77777777" w:rsidR="00F13989" w:rsidRDefault="00F1398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1E5E" w14:textId="77777777" w:rsidR="004F69C9" w:rsidRDefault="004F69C9">
      <w:pPr>
        <w:spacing w:line="240" w:lineRule="auto"/>
      </w:pPr>
      <w:r>
        <w:separator/>
      </w:r>
    </w:p>
  </w:footnote>
  <w:footnote w:type="continuationSeparator" w:id="0">
    <w:p w14:paraId="1BAFB4D7" w14:textId="77777777" w:rsidR="004F69C9" w:rsidRDefault="004F69C9">
      <w:pPr>
        <w:spacing w:line="240" w:lineRule="auto"/>
      </w:pPr>
      <w:r>
        <w:continuationSeparator/>
      </w:r>
    </w:p>
  </w:footnote>
  <w:footnote w:id="1">
    <w:p w14:paraId="58792CC7" w14:textId="41A42285" w:rsidR="00986FC5" w:rsidRPr="004613C1" w:rsidRDefault="00986FC5">
      <w:pPr>
        <w:pStyle w:val="Voetnoottekst"/>
        <w:rPr>
          <w:sz w:val="16"/>
          <w:szCs w:val="16"/>
        </w:rPr>
      </w:pPr>
      <w:r w:rsidRPr="004613C1">
        <w:rPr>
          <w:rStyle w:val="Voetnootmarkering"/>
          <w:sz w:val="16"/>
          <w:szCs w:val="16"/>
        </w:rPr>
        <w:footnoteRef/>
      </w:r>
      <w:r w:rsidRPr="004613C1">
        <w:rPr>
          <w:sz w:val="16"/>
          <w:szCs w:val="16"/>
        </w:rPr>
        <w:t xml:space="preserve"> Een aanvullend advies is een advies dat op verzoek volgt op een regulier advies, bijvoorbeeld</w:t>
      </w:r>
      <w:r w:rsidRPr="004613C1">
        <w:rPr>
          <w:spacing w:val="-4"/>
          <w:sz w:val="16"/>
          <w:szCs w:val="16"/>
        </w:rPr>
        <w:t xml:space="preserve"> </w:t>
      </w:r>
      <w:r w:rsidRPr="004613C1">
        <w:rPr>
          <w:sz w:val="16"/>
          <w:szCs w:val="16"/>
        </w:rPr>
        <w:t>als</w:t>
      </w:r>
      <w:r w:rsidRPr="004613C1">
        <w:rPr>
          <w:spacing w:val="-3"/>
          <w:sz w:val="16"/>
          <w:szCs w:val="16"/>
        </w:rPr>
        <w:t xml:space="preserve"> </w:t>
      </w:r>
      <w:r w:rsidRPr="004613C1">
        <w:rPr>
          <w:sz w:val="16"/>
          <w:szCs w:val="16"/>
        </w:rPr>
        <w:t>het</w:t>
      </w:r>
      <w:r w:rsidRPr="004613C1">
        <w:rPr>
          <w:spacing w:val="-4"/>
          <w:sz w:val="16"/>
          <w:szCs w:val="16"/>
        </w:rPr>
        <w:t xml:space="preserve"> </w:t>
      </w:r>
      <w:r w:rsidRPr="004613C1">
        <w:rPr>
          <w:sz w:val="16"/>
          <w:szCs w:val="16"/>
        </w:rPr>
        <w:t>bestuursorgaan</w:t>
      </w:r>
      <w:r w:rsidRPr="004613C1">
        <w:rPr>
          <w:spacing w:val="-4"/>
          <w:sz w:val="16"/>
          <w:szCs w:val="16"/>
        </w:rPr>
        <w:t xml:space="preserve"> </w:t>
      </w:r>
      <w:r w:rsidRPr="004613C1">
        <w:rPr>
          <w:sz w:val="16"/>
          <w:szCs w:val="16"/>
        </w:rPr>
        <w:t>nieuwe</w:t>
      </w:r>
      <w:r w:rsidRPr="004613C1">
        <w:rPr>
          <w:spacing w:val="-3"/>
          <w:sz w:val="16"/>
          <w:szCs w:val="16"/>
        </w:rPr>
        <w:t xml:space="preserve"> </w:t>
      </w:r>
      <w:r w:rsidRPr="004613C1">
        <w:rPr>
          <w:sz w:val="16"/>
          <w:szCs w:val="16"/>
        </w:rPr>
        <w:t>informatie</w:t>
      </w:r>
      <w:r w:rsidRPr="004613C1">
        <w:rPr>
          <w:spacing w:val="-4"/>
          <w:sz w:val="16"/>
          <w:szCs w:val="16"/>
        </w:rPr>
        <w:t xml:space="preserve"> </w:t>
      </w:r>
      <w:r w:rsidRPr="004613C1">
        <w:rPr>
          <w:sz w:val="16"/>
          <w:szCs w:val="16"/>
        </w:rPr>
        <w:t>heeft</w:t>
      </w:r>
      <w:r w:rsidRPr="004613C1">
        <w:rPr>
          <w:spacing w:val="-4"/>
          <w:sz w:val="16"/>
          <w:szCs w:val="16"/>
        </w:rPr>
        <w:t xml:space="preserve"> </w:t>
      </w:r>
      <w:r w:rsidRPr="004613C1">
        <w:rPr>
          <w:sz w:val="16"/>
          <w:szCs w:val="16"/>
        </w:rPr>
        <w:t>die</w:t>
      </w:r>
      <w:r w:rsidRPr="004613C1">
        <w:rPr>
          <w:spacing w:val="-4"/>
          <w:sz w:val="16"/>
          <w:szCs w:val="16"/>
        </w:rPr>
        <w:t xml:space="preserve"> </w:t>
      </w:r>
      <w:r w:rsidRPr="004613C1">
        <w:rPr>
          <w:sz w:val="16"/>
          <w:szCs w:val="16"/>
        </w:rPr>
        <w:t>beoordeeld</w:t>
      </w:r>
      <w:r w:rsidRPr="004613C1">
        <w:rPr>
          <w:spacing w:val="-3"/>
          <w:sz w:val="16"/>
          <w:szCs w:val="16"/>
        </w:rPr>
        <w:t xml:space="preserve"> </w:t>
      </w:r>
      <w:r w:rsidRPr="004613C1">
        <w:rPr>
          <w:sz w:val="16"/>
          <w:szCs w:val="16"/>
        </w:rPr>
        <w:t>moet</w:t>
      </w:r>
      <w:r w:rsidRPr="004613C1">
        <w:rPr>
          <w:spacing w:val="-3"/>
          <w:sz w:val="16"/>
          <w:szCs w:val="16"/>
        </w:rPr>
        <w:t xml:space="preserve"> </w:t>
      </w:r>
      <w:r w:rsidRPr="004613C1">
        <w:rPr>
          <w:sz w:val="16"/>
          <w:szCs w:val="16"/>
        </w:rPr>
        <w:t>worden</w:t>
      </w:r>
      <w:r w:rsidRPr="004613C1">
        <w:rPr>
          <w:spacing w:val="-3"/>
          <w:sz w:val="16"/>
          <w:szCs w:val="16"/>
        </w:rPr>
        <w:t xml:space="preserve"> </w:t>
      </w:r>
      <w:r w:rsidRPr="004613C1">
        <w:rPr>
          <w:sz w:val="16"/>
          <w:szCs w:val="16"/>
        </w:rPr>
        <w:t>of als meer uitleg benodigd is.</w:t>
      </w:r>
    </w:p>
  </w:footnote>
  <w:footnote w:id="2">
    <w:p w14:paraId="4D08359C" w14:textId="354EC7E2" w:rsidR="0033718F" w:rsidRPr="004613C1" w:rsidRDefault="004613C1">
      <w:pPr>
        <w:pStyle w:val="Voetnoottekst"/>
        <w:rPr>
          <w:sz w:val="16"/>
          <w:szCs w:val="16"/>
        </w:rPr>
      </w:pPr>
      <w:r w:rsidRPr="004613C1">
        <w:rPr>
          <w:rStyle w:val="Voetnootmarkering"/>
          <w:rFonts w:eastAsiaTheme="majorEastAsia"/>
          <w:sz w:val="16"/>
          <w:szCs w:val="16"/>
        </w:rPr>
        <w:t>2</w:t>
      </w:r>
      <w:r w:rsidRPr="004613C1">
        <w:rPr>
          <w:sz w:val="16"/>
          <w:szCs w:val="16"/>
        </w:rPr>
        <w:t xml:space="preserve"> In het jaarverslag van 2023 stond abusievelijk vermeld dat in dat jaar al meer dan 400 verschillende bestuursorganen en organisaties met een overheidstaak toegang hebben tot het register. Dit aantal was onjuist omdat er bestuursorganen en organisaties dubbel zijn geteld.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0C4D" w14:textId="46ADF75E" w:rsidR="00E55AF7" w:rsidRDefault="00E55AF7">
    <w:pPr>
      <w:pStyle w:val="Koptekst"/>
    </w:pPr>
    <w:r>
      <w:rPr>
        <w:noProof/>
      </w:rPr>
      <mc:AlternateContent>
        <mc:Choice Requires="wps">
          <w:drawing>
            <wp:anchor distT="0" distB="0" distL="114300" distR="114300" simplePos="0" relativeHeight="251663872" behindDoc="0" locked="0" layoutInCell="1" allowOverlap="1" wp14:anchorId="1AF7AED0" wp14:editId="7CCE8189">
              <wp:simplePos x="0" y="0"/>
              <wp:positionH relativeFrom="column">
                <wp:posOffset>5202555</wp:posOffset>
              </wp:positionH>
              <wp:positionV relativeFrom="paragraph">
                <wp:posOffset>1743075</wp:posOffset>
              </wp:positionV>
              <wp:extent cx="1123950" cy="6934200"/>
              <wp:effectExtent l="0" t="0" r="19050" b="19050"/>
              <wp:wrapNone/>
              <wp:docPr id="436226272" name="Tekstvak 1"/>
              <wp:cNvGraphicFramePr/>
              <a:graphic xmlns:a="http://schemas.openxmlformats.org/drawingml/2006/main">
                <a:graphicData uri="http://schemas.microsoft.com/office/word/2010/wordprocessingShape">
                  <wps:wsp>
                    <wps:cNvSpPr txBox="1"/>
                    <wps:spPr>
                      <a:xfrm>
                        <a:off x="0" y="0"/>
                        <a:ext cx="1123950" cy="6934200"/>
                      </a:xfrm>
                      <a:prstGeom prst="rect">
                        <a:avLst/>
                      </a:prstGeom>
                      <a:solidFill>
                        <a:schemeClr val="lt1"/>
                      </a:solidFill>
                      <a:ln w="6350">
                        <a:solidFill>
                          <a:schemeClr val="bg1"/>
                        </a:solidFill>
                      </a:ln>
                    </wps:spPr>
                    <wps:txbx>
                      <w:txbxContent>
                        <w:p w14:paraId="3A590831" w14:textId="77777777" w:rsidR="00E55AF7" w:rsidRDefault="00E55AF7" w:rsidP="00E55AF7">
                          <w:pPr>
                            <w:pStyle w:val="Referentiegegevensbold"/>
                          </w:pPr>
                          <w:r>
                            <w:t>Rechtspleging en  Rechtshandhaving</w:t>
                          </w:r>
                        </w:p>
                        <w:p w14:paraId="049C10BA" w14:textId="77777777" w:rsidR="00E55AF7" w:rsidRDefault="00E55AF7" w:rsidP="00E55AF7">
                          <w:pPr>
                            <w:pStyle w:val="Referentiegegevens"/>
                          </w:pPr>
                          <w:r>
                            <w:t>Veiligheid en Bestuur</w:t>
                          </w:r>
                        </w:p>
                        <w:p w14:paraId="723A69A3" w14:textId="77777777" w:rsidR="00E55AF7" w:rsidRDefault="00E55AF7" w:rsidP="00E55AF7">
                          <w:pPr>
                            <w:pStyle w:val="WitregelW2"/>
                          </w:pPr>
                        </w:p>
                        <w:p w14:paraId="45F389A7" w14:textId="77777777" w:rsidR="00E55AF7" w:rsidRDefault="00E55AF7" w:rsidP="00E55AF7">
                          <w:pPr>
                            <w:pStyle w:val="Referentiegegevensbold"/>
                          </w:pPr>
                          <w:r>
                            <w:t>Datum</w:t>
                          </w:r>
                        </w:p>
                        <w:p w14:paraId="2AF493D3" w14:textId="77777777" w:rsidR="00E55AF7" w:rsidRDefault="00E55AF7" w:rsidP="00E55AF7">
                          <w:pPr>
                            <w:pStyle w:val="Referentiegegevens"/>
                          </w:pPr>
                          <w:sdt>
                            <w:sdtPr>
                              <w:id w:val="520980164"/>
                              <w:date w:fullDate="2025-05-12T00:00:00Z">
                                <w:dateFormat w:val="d MMMM yyyy"/>
                                <w:lid w:val="nl"/>
                                <w:storeMappedDataAs w:val="dateTime"/>
                                <w:calendar w:val="gregorian"/>
                              </w:date>
                            </w:sdtPr>
                            <w:sdtContent>
                              <w:r>
                                <w:rPr>
                                  <w:lang w:val="nl"/>
                                </w:rPr>
                                <w:t>12 mei 2025</w:t>
                              </w:r>
                            </w:sdtContent>
                          </w:sdt>
                        </w:p>
                        <w:p w14:paraId="03D7DC6C" w14:textId="77777777" w:rsidR="00E55AF7" w:rsidRDefault="00E55AF7" w:rsidP="00E55AF7">
                          <w:pPr>
                            <w:pStyle w:val="WitregelW1"/>
                          </w:pPr>
                        </w:p>
                        <w:p w14:paraId="0B2FDBC0" w14:textId="77777777" w:rsidR="00E55AF7" w:rsidRDefault="00E55AF7" w:rsidP="00E55AF7">
                          <w:pPr>
                            <w:pStyle w:val="Referentiegegevensbold"/>
                          </w:pPr>
                          <w:r>
                            <w:t>Onze referentie</w:t>
                          </w:r>
                        </w:p>
                        <w:p w14:paraId="460E1749" w14:textId="77777777" w:rsidR="00E55AF7" w:rsidRDefault="00E55AF7" w:rsidP="00E55AF7">
                          <w:pPr>
                            <w:pStyle w:val="Referentiegegevens"/>
                          </w:pPr>
                          <w:r>
                            <w:t>6314782</w:t>
                          </w:r>
                        </w:p>
                        <w:p w14:paraId="4D5434E2" w14:textId="77777777" w:rsidR="00E55AF7" w:rsidRDefault="00E55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7AED0" id="_x0000_t202" coordsize="21600,21600" o:spt="202" path="m,l,21600r21600,l21600,xe">
              <v:stroke joinstyle="miter"/>
              <v:path gradientshapeok="t" o:connecttype="rect"/>
            </v:shapetype>
            <v:shape id="Tekstvak 1" o:spid="_x0000_s1026" type="#_x0000_t202" style="position:absolute;margin-left:409.65pt;margin-top:137.25pt;width:88.5pt;height:5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" fillcolor="white [3201]" strokecolor="white [3212]" strokeweight=".5pt">
              <v:textbox>
                <w:txbxContent>
                  <w:p w14:paraId="3A590831" w14:textId="77777777" w:rsidR="00E55AF7" w:rsidRDefault="00E55AF7" w:rsidP="00E55AF7">
                    <w:pPr>
                      <w:pStyle w:val="Referentiegegevensbold"/>
                    </w:pPr>
                    <w:r>
                      <w:t>Rechtspleging en  Rechtshandhaving</w:t>
                    </w:r>
                  </w:p>
                  <w:p w14:paraId="049C10BA" w14:textId="77777777" w:rsidR="00E55AF7" w:rsidRDefault="00E55AF7" w:rsidP="00E55AF7">
                    <w:pPr>
                      <w:pStyle w:val="Referentiegegevens"/>
                    </w:pPr>
                    <w:r>
                      <w:t>Veiligheid en Bestuur</w:t>
                    </w:r>
                  </w:p>
                  <w:p w14:paraId="723A69A3" w14:textId="77777777" w:rsidR="00E55AF7" w:rsidRDefault="00E55AF7" w:rsidP="00E55AF7">
                    <w:pPr>
                      <w:pStyle w:val="WitregelW2"/>
                    </w:pPr>
                  </w:p>
                  <w:p w14:paraId="45F389A7" w14:textId="77777777" w:rsidR="00E55AF7" w:rsidRDefault="00E55AF7" w:rsidP="00E55AF7">
                    <w:pPr>
                      <w:pStyle w:val="Referentiegegevensbold"/>
                    </w:pPr>
                    <w:r>
                      <w:t>Datum</w:t>
                    </w:r>
                  </w:p>
                  <w:p w14:paraId="2AF493D3" w14:textId="77777777" w:rsidR="00E55AF7" w:rsidRDefault="00E55AF7" w:rsidP="00E55AF7">
                    <w:pPr>
                      <w:pStyle w:val="Referentiegegevens"/>
                    </w:pPr>
                    <w:sdt>
                      <w:sdtPr>
                        <w:id w:val="520980164"/>
                        <w:date w:fullDate="2025-05-12T00:00:00Z">
                          <w:dateFormat w:val="d MMMM yyyy"/>
                          <w:lid w:val="nl"/>
                          <w:storeMappedDataAs w:val="dateTime"/>
                          <w:calendar w:val="gregorian"/>
                        </w:date>
                      </w:sdtPr>
                      <w:sdtContent>
                        <w:r>
                          <w:rPr>
                            <w:lang w:val="nl"/>
                          </w:rPr>
                          <w:t>12 mei 2025</w:t>
                        </w:r>
                      </w:sdtContent>
                    </w:sdt>
                  </w:p>
                  <w:p w14:paraId="03D7DC6C" w14:textId="77777777" w:rsidR="00E55AF7" w:rsidRDefault="00E55AF7" w:rsidP="00E55AF7">
                    <w:pPr>
                      <w:pStyle w:val="WitregelW1"/>
                    </w:pPr>
                  </w:p>
                  <w:p w14:paraId="0B2FDBC0" w14:textId="77777777" w:rsidR="00E55AF7" w:rsidRDefault="00E55AF7" w:rsidP="00E55AF7">
                    <w:pPr>
                      <w:pStyle w:val="Referentiegegevensbold"/>
                    </w:pPr>
                    <w:r>
                      <w:t>Onze referentie</w:t>
                    </w:r>
                  </w:p>
                  <w:p w14:paraId="460E1749" w14:textId="77777777" w:rsidR="00E55AF7" w:rsidRDefault="00E55AF7" w:rsidP="00E55AF7">
                    <w:pPr>
                      <w:pStyle w:val="Referentiegegevens"/>
                    </w:pPr>
                    <w:r>
                      <w:t>6314782</w:t>
                    </w:r>
                  </w:p>
                  <w:p w14:paraId="4D5434E2" w14:textId="77777777" w:rsidR="00E55AF7" w:rsidRDefault="00E55AF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3493" w14:textId="77777777" w:rsidR="00F13989" w:rsidRDefault="004E5FEA">
    <w:r>
      <w:rPr>
        <w:noProof/>
      </w:rPr>
      <mc:AlternateContent>
        <mc:Choice Requires="wps">
          <w:drawing>
            <wp:anchor distT="0" distB="0" distL="0" distR="0" simplePos="0" relativeHeight="251652608" behindDoc="0" locked="1" layoutInCell="1" allowOverlap="1" wp14:anchorId="1D9FC6E9" wp14:editId="159E95B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CCF35B" w14:textId="77777777" w:rsidR="00F13989" w:rsidRDefault="004E5FEA">
                          <w:pPr>
                            <w:pStyle w:val="Referentiegegevensbold"/>
                          </w:pPr>
                          <w:r>
                            <w:t>Rechtspleging en  Rechtshandhaving</w:t>
                          </w:r>
                        </w:p>
                        <w:p w14:paraId="28A0D475" w14:textId="77777777" w:rsidR="00F13989" w:rsidRDefault="004E5FEA">
                          <w:pPr>
                            <w:pStyle w:val="Referentiegegevens"/>
                          </w:pPr>
                          <w:r>
                            <w:t>Veiligheid en Bestuur</w:t>
                          </w:r>
                        </w:p>
                        <w:p w14:paraId="3D0363A5" w14:textId="77777777" w:rsidR="00F13989" w:rsidRDefault="00F13989">
                          <w:pPr>
                            <w:pStyle w:val="WitregelW2"/>
                          </w:pPr>
                        </w:p>
                        <w:p w14:paraId="4612944C" w14:textId="77777777" w:rsidR="00F13989" w:rsidRDefault="004E5FEA">
                          <w:pPr>
                            <w:pStyle w:val="Referentiegegevensbold"/>
                          </w:pPr>
                          <w:r>
                            <w:t>Datum</w:t>
                          </w:r>
                        </w:p>
                        <w:p w14:paraId="51CFFBE7" w14:textId="38A9B86C" w:rsidR="00F13989" w:rsidRDefault="006B11E7">
                          <w:pPr>
                            <w:pStyle w:val="Referentiegegevens"/>
                          </w:pPr>
                          <w:sdt>
                            <w:sdtPr>
                              <w:id w:val="514201096"/>
                              <w:date w:fullDate="2025-05-12T00:00:00Z">
                                <w:dateFormat w:val="d MMMM yyyy"/>
                                <w:lid w:val="nl"/>
                                <w:storeMappedDataAs w:val="dateTime"/>
                                <w:calendar w:val="gregorian"/>
                              </w:date>
                            </w:sdtPr>
                            <w:sdtEndPr/>
                            <w:sdtContent>
                              <w:r w:rsidR="00E55AF7">
                                <w:rPr>
                                  <w:lang w:val="nl"/>
                                </w:rPr>
                                <w:t>12 mei 2025</w:t>
                              </w:r>
                            </w:sdtContent>
                          </w:sdt>
                        </w:p>
                        <w:p w14:paraId="32FFB405" w14:textId="77777777" w:rsidR="00F13989" w:rsidRDefault="00F13989">
                          <w:pPr>
                            <w:pStyle w:val="WitregelW1"/>
                          </w:pPr>
                        </w:p>
                        <w:p w14:paraId="16A9FB43" w14:textId="77777777" w:rsidR="00F13989" w:rsidRDefault="004E5FEA">
                          <w:pPr>
                            <w:pStyle w:val="Referentiegegevensbold"/>
                          </w:pPr>
                          <w:r>
                            <w:t>Onze referentie</w:t>
                          </w:r>
                        </w:p>
                        <w:p w14:paraId="1218EBD8" w14:textId="77777777" w:rsidR="00F13989" w:rsidRDefault="004E5FEA">
                          <w:pPr>
                            <w:pStyle w:val="Referentiegegevens"/>
                          </w:pPr>
                          <w:r>
                            <w:t>6314782</w:t>
                          </w:r>
                        </w:p>
                      </w:txbxContent>
                    </wps:txbx>
                    <wps:bodyPr vert="horz" wrap="square" lIns="0" tIns="0" rIns="0" bIns="0" anchor="t" anchorCtr="0"/>
                  </wps:wsp>
                </a:graphicData>
              </a:graphic>
            </wp:anchor>
          </w:drawing>
        </mc:Choice>
        <mc:Fallback>
          <w:pict>
            <v:shapetype w14:anchorId="1D9FC6E9"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CCF35B" w14:textId="77777777" w:rsidR="00F13989" w:rsidRDefault="004E5FEA">
                    <w:pPr>
                      <w:pStyle w:val="Referentiegegevensbold"/>
                    </w:pPr>
                    <w:r>
                      <w:t>Rechtspleging en  Rechtshandhaving</w:t>
                    </w:r>
                  </w:p>
                  <w:p w14:paraId="28A0D475" w14:textId="77777777" w:rsidR="00F13989" w:rsidRDefault="004E5FEA">
                    <w:pPr>
                      <w:pStyle w:val="Referentiegegevens"/>
                    </w:pPr>
                    <w:r>
                      <w:t>Veiligheid en Bestuur</w:t>
                    </w:r>
                  </w:p>
                  <w:p w14:paraId="3D0363A5" w14:textId="77777777" w:rsidR="00F13989" w:rsidRDefault="00F13989">
                    <w:pPr>
                      <w:pStyle w:val="WitregelW2"/>
                    </w:pPr>
                  </w:p>
                  <w:p w14:paraId="4612944C" w14:textId="77777777" w:rsidR="00F13989" w:rsidRDefault="004E5FEA">
                    <w:pPr>
                      <w:pStyle w:val="Referentiegegevensbold"/>
                    </w:pPr>
                    <w:r>
                      <w:t>Datum</w:t>
                    </w:r>
                  </w:p>
                  <w:p w14:paraId="51CFFBE7" w14:textId="38A9B86C" w:rsidR="00F13989" w:rsidRDefault="006B11E7">
                    <w:pPr>
                      <w:pStyle w:val="Referentiegegevens"/>
                    </w:pPr>
                    <w:sdt>
                      <w:sdtPr>
                        <w:id w:val="514201096"/>
                        <w:date w:fullDate="2025-05-12T00:00:00Z">
                          <w:dateFormat w:val="d MMMM yyyy"/>
                          <w:lid w:val="nl"/>
                          <w:storeMappedDataAs w:val="dateTime"/>
                          <w:calendar w:val="gregorian"/>
                        </w:date>
                      </w:sdtPr>
                      <w:sdtEndPr/>
                      <w:sdtContent>
                        <w:r w:rsidR="00E55AF7">
                          <w:rPr>
                            <w:lang w:val="nl"/>
                          </w:rPr>
                          <w:t>12 mei 2025</w:t>
                        </w:r>
                      </w:sdtContent>
                    </w:sdt>
                  </w:p>
                  <w:p w14:paraId="32FFB405" w14:textId="77777777" w:rsidR="00F13989" w:rsidRDefault="00F13989">
                    <w:pPr>
                      <w:pStyle w:val="WitregelW1"/>
                    </w:pPr>
                  </w:p>
                  <w:p w14:paraId="16A9FB43" w14:textId="77777777" w:rsidR="00F13989" w:rsidRDefault="004E5FEA">
                    <w:pPr>
                      <w:pStyle w:val="Referentiegegevensbold"/>
                    </w:pPr>
                    <w:r>
                      <w:t>Onze referentie</w:t>
                    </w:r>
                  </w:p>
                  <w:p w14:paraId="1218EBD8" w14:textId="77777777" w:rsidR="00F13989" w:rsidRDefault="004E5FEA">
                    <w:pPr>
                      <w:pStyle w:val="Referentiegegevens"/>
                    </w:pPr>
                    <w:r>
                      <w:t>6314782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FE24260" wp14:editId="2619663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986965" w14:textId="77777777" w:rsidR="00892033" w:rsidRDefault="00892033"/>
                      </w:txbxContent>
                    </wps:txbx>
                    <wps:bodyPr vert="horz" wrap="square" lIns="0" tIns="0" rIns="0" bIns="0" anchor="t" anchorCtr="0"/>
                  </wps:wsp>
                </a:graphicData>
              </a:graphic>
            </wp:anchor>
          </w:drawing>
        </mc:Choice>
        <mc:Fallback>
          <w:pict>
            <v:shape w14:anchorId="7FE24260" id="46fef06f-aa3c-11ea-a756-beb5f67e67be" o:spid="_x0000_s1028"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D986965" w14:textId="77777777" w:rsidR="00892033" w:rsidRDefault="0089203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734A3C" wp14:editId="5CF3BC1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6ACC88" w14:textId="36373104" w:rsidR="00F13989" w:rsidRDefault="004E5FEA">
                          <w:pPr>
                            <w:pStyle w:val="Referentiegegevens"/>
                          </w:pPr>
                          <w:r>
                            <w:t xml:space="preserve">Pagina </w:t>
                          </w:r>
                          <w:r>
                            <w:fldChar w:fldCharType="begin"/>
                          </w:r>
                          <w:r>
                            <w:instrText>PAGE</w:instrText>
                          </w:r>
                          <w:r>
                            <w:fldChar w:fldCharType="separate"/>
                          </w:r>
                          <w:r w:rsidR="002918B0">
                            <w:rPr>
                              <w:noProof/>
                            </w:rPr>
                            <w:t>2</w:t>
                          </w:r>
                          <w:r>
                            <w:fldChar w:fldCharType="end"/>
                          </w:r>
                          <w:r>
                            <w:t xml:space="preserve"> van </w:t>
                          </w:r>
                          <w:r>
                            <w:fldChar w:fldCharType="begin"/>
                          </w:r>
                          <w:r>
                            <w:instrText>NUMPAGES</w:instrText>
                          </w:r>
                          <w:r>
                            <w:fldChar w:fldCharType="separate"/>
                          </w:r>
                          <w:r w:rsidR="00E97949">
                            <w:rPr>
                              <w:noProof/>
                            </w:rPr>
                            <w:t>6314782</w:t>
                          </w:r>
                          <w:r>
                            <w:fldChar w:fldCharType="end"/>
                          </w:r>
                        </w:p>
                      </w:txbxContent>
                    </wps:txbx>
                    <wps:bodyPr vert="horz" wrap="square" lIns="0" tIns="0" rIns="0" bIns="0" anchor="t" anchorCtr="0"/>
                  </wps:wsp>
                </a:graphicData>
              </a:graphic>
            </wp:anchor>
          </w:drawing>
        </mc:Choice>
        <mc:Fallback>
          <w:pict>
            <v:shape w14:anchorId="37734A3C" id="46fef0b8-aa3c-11ea-a756-beb5f67e67be" o:spid="_x0000_s1029"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6ACC88" w14:textId="36373104" w:rsidR="00F13989" w:rsidRDefault="004E5FEA">
                    <w:pPr>
                      <w:pStyle w:val="Referentiegegevens"/>
                    </w:pPr>
                    <w:r>
                      <w:t xml:space="preserve">Pagina </w:t>
                    </w:r>
                    <w:r>
                      <w:fldChar w:fldCharType="begin"/>
                    </w:r>
                    <w:r>
                      <w:instrText>PAGE</w:instrText>
                    </w:r>
                    <w:r>
                      <w:fldChar w:fldCharType="separate"/>
                    </w:r>
                    <w:r w:rsidR="002918B0">
                      <w:rPr>
                        <w:noProof/>
                      </w:rPr>
                      <w:t>2</w:t>
                    </w:r>
                    <w:r>
                      <w:fldChar w:fldCharType="end"/>
                    </w:r>
                    <w:r>
                      <w:t xml:space="preserve"> van </w:t>
                    </w:r>
                    <w:r>
                      <w:fldChar w:fldCharType="begin"/>
                    </w:r>
                    <w:r>
                      <w:instrText>NUMPAGES</w:instrText>
                    </w:r>
                    <w:r>
                      <w:fldChar w:fldCharType="separate"/>
                    </w:r>
                    <w:r w:rsidR="00E97949">
                      <w:rPr>
                        <w:noProof/>
                      </w:rPr>
                      <w:t>6314782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5E0D" w14:textId="77777777" w:rsidR="00F13989" w:rsidRDefault="004E5FEA">
    <w:pPr>
      <w:spacing w:after="6377" w:line="14" w:lineRule="exact"/>
    </w:pPr>
    <w:r>
      <w:rPr>
        <w:noProof/>
      </w:rPr>
      <mc:AlternateContent>
        <mc:Choice Requires="wps">
          <w:drawing>
            <wp:anchor distT="0" distB="0" distL="0" distR="0" simplePos="0" relativeHeight="251655680" behindDoc="0" locked="1" layoutInCell="1" allowOverlap="1" wp14:anchorId="0D844F9F" wp14:editId="27EF4B3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AD9718" w14:textId="77777777" w:rsidR="00E55AF7" w:rsidRDefault="004E5FEA">
                          <w:r>
                            <w:t xml:space="preserve">Aan de Voorzitter van de Tweede Kamer </w:t>
                          </w:r>
                        </w:p>
                        <w:p w14:paraId="0538F665" w14:textId="54F185F9" w:rsidR="00F13989" w:rsidRDefault="004E5FEA">
                          <w:r>
                            <w:t>der Staten-Generaal</w:t>
                          </w:r>
                        </w:p>
                        <w:p w14:paraId="75512554" w14:textId="77777777" w:rsidR="00F13989" w:rsidRDefault="004E5FEA">
                          <w:r>
                            <w:t xml:space="preserve">Postbus 20018 </w:t>
                          </w:r>
                        </w:p>
                        <w:p w14:paraId="451200E6" w14:textId="77777777" w:rsidR="00F13989" w:rsidRDefault="004E5FEA">
                          <w:r>
                            <w:t>2500 EA  DEN HAAG</w:t>
                          </w:r>
                        </w:p>
                      </w:txbxContent>
                    </wps:txbx>
                    <wps:bodyPr vert="horz" wrap="square" lIns="0" tIns="0" rIns="0" bIns="0" anchor="t" anchorCtr="0"/>
                  </wps:wsp>
                </a:graphicData>
              </a:graphic>
            </wp:anchor>
          </w:drawing>
        </mc:Choice>
        <mc:Fallback>
          <w:pict>
            <v:shapetype w14:anchorId="0D844F9F"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AD9718" w14:textId="77777777" w:rsidR="00E55AF7" w:rsidRDefault="004E5FEA">
                    <w:r>
                      <w:t xml:space="preserve">Aan de Voorzitter van de Tweede Kamer </w:t>
                    </w:r>
                  </w:p>
                  <w:p w14:paraId="0538F665" w14:textId="54F185F9" w:rsidR="00F13989" w:rsidRDefault="004E5FEA">
                    <w:r>
                      <w:t>der Staten-Generaal</w:t>
                    </w:r>
                  </w:p>
                  <w:p w14:paraId="75512554" w14:textId="77777777" w:rsidR="00F13989" w:rsidRDefault="004E5FEA">
                    <w:r>
                      <w:t xml:space="preserve">Postbus 20018 </w:t>
                    </w:r>
                  </w:p>
                  <w:p w14:paraId="451200E6" w14:textId="77777777" w:rsidR="00F13989" w:rsidRDefault="004E5FE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268A7A" wp14:editId="774F99F8">
              <wp:simplePos x="0" y="0"/>
              <wp:positionH relativeFrom="margin">
                <wp:align>right</wp:align>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13989" w14:paraId="7CFB1556" w14:textId="77777777">
                            <w:trPr>
                              <w:trHeight w:val="240"/>
                            </w:trPr>
                            <w:tc>
                              <w:tcPr>
                                <w:tcW w:w="1140" w:type="dxa"/>
                              </w:tcPr>
                              <w:p w14:paraId="07EFD04C" w14:textId="77777777" w:rsidR="00F13989" w:rsidRDefault="004E5FEA">
                                <w:r>
                                  <w:t>Datum</w:t>
                                </w:r>
                              </w:p>
                            </w:tc>
                            <w:tc>
                              <w:tcPr>
                                <w:tcW w:w="5918" w:type="dxa"/>
                              </w:tcPr>
                              <w:p w14:paraId="16169FBF" w14:textId="0BD0ECFC" w:rsidR="00F13989" w:rsidRDefault="006B11E7">
                                <w:sdt>
                                  <w:sdtPr>
                                    <w:id w:val="-1323887292"/>
                                    <w:date w:fullDate="2025-05-12T00:00:00Z">
                                      <w:dateFormat w:val="d MMMM yyyy"/>
                                      <w:lid w:val="nl"/>
                                      <w:storeMappedDataAs w:val="dateTime"/>
                                      <w:calendar w:val="gregorian"/>
                                    </w:date>
                                  </w:sdtPr>
                                  <w:sdtEndPr/>
                                  <w:sdtContent>
                                    <w:r w:rsidR="00E55AF7">
                                      <w:rPr>
                                        <w:lang w:val="nl"/>
                                      </w:rPr>
                                      <w:t>12 mei 2025</w:t>
                                    </w:r>
                                  </w:sdtContent>
                                </w:sdt>
                              </w:p>
                            </w:tc>
                          </w:tr>
                          <w:tr w:rsidR="00F13989" w14:paraId="3A3CFF5E" w14:textId="77777777">
                            <w:trPr>
                              <w:trHeight w:val="240"/>
                            </w:trPr>
                            <w:tc>
                              <w:tcPr>
                                <w:tcW w:w="1140" w:type="dxa"/>
                              </w:tcPr>
                              <w:p w14:paraId="476E71DD" w14:textId="77777777" w:rsidR="00F13989" w:rsidRDefault="004E5FEA">
                                <w:r>
                                  <w:t>Betreft</w:t>
                                </w:r>
                              </w:p>
                            </w:tc>
                            <w:tc>
                              <w:tcPr>
                                <w:tcW w:w="5918" w:type="dxa"/>
                              </w:tcPr>
                              <w:p w14:paraId="7312FB3B" w14:textId="43D2B628" w:rsidR="00F13989" w:rsidRDefault="004E5FEA">
                                <w:r>
                                  <w:t xml:space="preserve">Kamerbrief jaarverslag Landelijk Bureau </w:t>
                                </w:r>
                                <w:proofErr w:type="spellStart"/>
                                <w:r>
                                  <w:t>Bibob</w:t>
                                </w:r>
                                <w:proofErr w:type="spellEnd"/>
                                <w:r w:rsidR="00047496">
                                  <w:t xml:space="preserve"> </w:t>
                                </w:r>
                                <w:r>
                                  <w:t xml:space="preserve">2024 en </w:t>
                                </w:r>
                                <w:r w:rsidR="00047496">
                                  <w:t xml:space="preserve">jaarverslag </w:t>
                                </w:r>
                                <w:r>
                                  <w:t xml:space="preserve">Kwaliteitscommissie </w:t>
                                </w:r>
                                <w:proofErr w:type="spellStart"/>
                                <w:r>
                                  <w:t>Bibob</w:t>
                                </w:r>
                                <w:proofErr w:type="spellEnd"/>
                                <w:r>
                                  <w:t xml:space="preserve"> 2024</w:t>
                                </w:r>
                              </w:p>
                            </w:tc>
                          </w:tr>
                        </w:tbl>
                        <w:p w14:paraId="511D9995" w14:textId="77777777" w:rsidR="00892033" w:rsidRDefault="008920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268A7A" id="46feebd0-aa3c-11ea-a756-beb5f67e67be" o:spid="_x0000_s1031" type="#_x0000_t202" style="position:absolute;margin-left:325.8pt;margin-top:264pt;width:377pt;height:4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J7V&#10;b5a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13989" w14:paraId="7CFB1556" w14:textId="77777777">
                      <w:trPr>
                        <w:trHeight w:val="240"/>
                      </w:trPr>
                      <w:tc>
                        <w:tcPr>
                          <w:tcW w:w="1140" w:type="dxa"/>
                        </w:tcPr>
                        <w:p w14:paraId="07EFD04C" w14:textId="77777777" w:rsidR="00F13989" w:rsidRDefault="004E5FEA">
                          <w:r>
                            <w:t>Datum</w:t>
                          </w:r>
                        </w:p>
                      </w:tc>
                      <w:tc>
                        <w:tcPr>
                          <w:tcW w:w="5918" w:type="dxa"/>
                        </w:tcPr>
                        <w:p w14:paraId="16169FBF" w14:textId="0BD0ECFC" w:rsidR="00F13989" w:rsidRDefault="006B11E7">
                          <w:sdt>
                            <w:sdtPr>
                              <w:id w:val="-1323887292"/>
                              <w:date w:fullDate="2025-05-12T00:00:00Z">
                                <w:dateFormat w:val="d MMMM yyyy"/>
                                <w:lid w:val="nl"/>
                                <w:storeMappedDataAs w:val="dateTime"/>
                                <w:calendar w:val="gregorian"/>
                              </w:date>
                            </w:sdtPr>
                            <w:sdtEndPr/>
                            <w:sdtContent>
                              <w:r w:rsidR="00E55AF7">
                                <w:rPr>
                                  <w:lang w:val="nl"/>
                                </w:rPr>
                                <w:t>12 mei 2025</w:t>
                              </w:r>
                            </w:sdtContent>
                          </w:sdt>
                        </w:p>
                      </w:tc>
                    </w:tr>
                    <w:tr w:rsidR="00F13989" w14:paraId="3A3CFF5E" w14:textId="77777777">
                      <w:trPr>
                        <w:trHeight w:val="240"/>
                      </w:trPr>
                      <w:tc>
                        <w:tcPr>
                          <w:tcW w:w="1140" w:type="dxa"/>
                        </w:tcPr>
                        <w:p w14:paraId="476E71DD" w14:textId="77777777" w:rsidR="00F13989" w:rsidRDefault="004E5FEA">
                          <w:r>
                            <w:t>Betreft</w:t>
                          </w:r>
                        </w:p>
                      </w:tc>
                      <w:tc>
                        <w:tcPr>
                          <w:tcW w:w="5918" w:type="dxa"/>
                        </w:tcPr>
                        <w:p w14:paraId="7312FB3B" w14:textId="43D2B628" w:rsidR="00F13989" w:rsidRDefault="004E5FEA">
                          <w:r>
                            <w:t xml:space="preserve">Kamerbrief jaarverslag Landelijk Bureau </w:t>
                          </w:r>
                          <w:proofErr w:type="spellStart"/>
                          <w:r>
                            <w:t>Bibob</w:t>
                          </w:r>
                          <w:proofErr w:type="spellEnd"/>
                          <w:r w:rsidR="00047496">
                            <w:t xml:space="preserve"> </w:t>
                          </w:r>
                          <w:r>
                            <w:t xml:space="preserve">2024 en </w:t>
                          </w:r>
                          <w:r w:rsidR="00047496">
                            <w:t xml:space="preserve">jaarverslag </w:t>
                          </w:r>
                          <w:r>
                            <w:t xml:space="preserve">Kwaliteitscommissie </w:t>
                          </w:r>
                          <w:proofErr w:type="spellStart"/>
                          <w:r>
                            <w:t>Bibob</w:t>
                          </w:r>
                          <w:proofErr w:type="spellEnd"/>
                          <w:r>
                            <w:t xml:space="preserve"> 2024</w:t>
                          </w:r>
                        </w:p>
                      </w:tc>
                    </w:tr>
                  </w:tbl>
                  <w:p w14:paraId="511D9995" w14:textId="77777777" w:rsidR="00892033" w:rsidRDefault="0089203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C4B24D2" wp14:editId="79D05E4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8924E5" w14:textId="77777777" w:rsidR="00F13989" w:rsidRDefault="004E5FEA">
                          <w:pPr>
                            <w:pStyle w:val="Referentiegegevensbold"/>
                          </w:pPr>
                          <w:r>
                            <w:t>Rechtspleging en  Rechtshandhaving</w:t>
                          </w:r>
                        </w:p>
                        <w:p w14:paraId="2B595476" w14:textId="77777777" w:rsidR="00F13989" w:rsidRDefault="004E5FEA">
                          <w:pPr>
                            <w:pStyle w:val="Referentiegegevens"/>
                          </w:pPr>
                          <w:r>
                            <w:t>Veiligheid en Bestuur</w:t>
                          </w:r>
                        </w:p>
                        <w:p w14:paraId="1D0A0298" w14:textId="77777777" w:rsidR="00F13989" w:rsidRDefault="00F13989">
                          <w:pPr>
                            <w:pStyle w:val="WitregelW1"/>
                          </w:pPr>
                        </w:p>
                        <w:p w14:paraId="24123EE3" w14:textId="77777777" w:rsidR="00F13989" w:rsidRPr="002918B0" w:rsidRDefault="004E5FEA">
                          <w:pPr>
                            <w:pStyle w:val="Referentiegegevens"/>
                            <w:rPr>
                              <w:lang w:val="de-DE"/>
                            </w:rPr>
                          </w:pPr>
                          <w:proofErr w:type="spellStart"/>
                          <w:r w:rsidRPr="002918B0">
                            <w:rPr>
                              <w:lang w:val="de-DE"/>
                            </w:rPr>
                            <w:t>Turfmarkt</w:t>
                          </w:r>
                          <w:proofErr w:type="spellEnd"/>
                          <w:r w:rsidRPr="002918B0">
                            <w:rPr>
                              <w:lang w:val="de-DE"/>
                            </w:rPr>
                            <w:t xml:space="preserve"> 147</w:t>
                          </w:r>
                        </w:p>
                        <w:p w14:paraId="6B0350BF" w14:textId="77777777" w:rsidR="00F13989" w:rsidRPr="002918B0" w:rsidRDefault="004E5FEA">
                          <w:pPr>
                            <w:pStyle w:val="Referentiegegevens"/>
                            <w:rPr>
                              <w:lang w:val="de-DE"/>
                            </w:rPr>
                          </w:pPr>
                          <w:r w:rsidRPr="002918B0">
                            <w:rPr>
                              <w:lang w:val="de-DE"/>
                            </w:rPr>
                            <w:t>2511 DP  Den Haag</w:t>
                          </w:r>
                        </w:p>
                        <w:p w14:paraId="793D97C2" w14:textId="77777777" w:rsidR="00F13989" w:rsidRPr="002918B0" w:rsidRDefault="004E5FEA">
                          <w:pPr>
                            <w:pStyle w:val="Referentiegegevens"/>
                            <w:rPr>
                              <w:lang w:val="de-DE"/>
                            </w:rPr>
                          </w:pPr>
                          <w:r w:rsidRPr="002918B0">
                            <w:rPr>
                              <w:lang w:val="de-DE"/>
                            </w:rPr>
                            <w:t>www.rijksoverheid.nl/jenv</w:t>
                          </w:r>
                        </w:p>
                        <w:p w14:paraId="4AF3EEBA" w14:textId="77777777" w:rsidR="00F13989" w:rsidRPr="002918B0" w:rsidRDefault="00F13989">
                          <w:pPr>
                            <w:pStyle w:val="WitregelW2"/>
                            <w:rPr>
                              <w:lang w:val="de-DE"/>
                            </w:rPr>
                          </w:pPr>
                        </w:p>
                        <w:p w14:paraId="0B1A3C27" w14:textId="77777777" w:rsidR="00F13989" w:rsidRDefault="004E5FEA">
                          <w:pPr>
                            <w:pStyle w:val="Referentiegegevensbold"/>
                          </w:pPr>
                          <w:r>
                            <w:t>Onze referentie</w:t>
                          </w:r>
                        </w:p>
                        <w:p w14:paraId="08824AD6" w14:textId="77777777" w:rsidR="00F13989" w:rsidRDefault="004E5FEA">
                          <w:pPr>
                            <w:pStyle w:val="Referentiegegevens"/>
                          </w:pPr>
                          <w:r>
                            <w:t>6314782</w:t>
                          </w:r>
                        </w:p>
                        <w:p w14:paraId="097D9CBB" w14:textId="77777777" w:rsidR="00F13989" w:rsidRDefault="00F13989">
                          <w:pPr>
                            <w:pStyle w:val="WitregelW1"/>
                          </w:pPr>
                        </w:p>
                        <w:p w14:paraId="32F2731F" w14:textId="77777777" w:rsidR="00F13989" w:rsidRDefault="004E5FEA">
                          <w:pPr>
                            <w:pStyle w:val="Referentiegegevensbold"/>
                          </w:pPr>
                          <w:r>
                            <w:t>Bijlage(n)</w:t>
                          </w:r>
                        </w:p>
                        <w:p w14:paraId="1A374727" w14:textId="77777777" w:rsidR="00F13989" w:rsidRDefault="004E5FEA">
                          <w:pPr>
                            <w:pStyle w:val="Referentiegegevens"/>
                          </w:pPr>
                          <w:r>
                            <w:t>2</w:t>
                          </w:r>
                        </w:p>
                      </w:txbxContent>
                    </wps:txbx>
                    <wps:bodyPr vert="horz" wrap="square" lIns="0" tIns="0" rIns="0" bIns="0" anchor="t" anchorCtr="0"/>
                  </wps:wsp>
                </a:graphicData>
              </a:graphic>
            </wp:anchor>
          </w:drawing>
        </mc:Choice>
        <mc:Fallback>
          <w:pict>
            <v:shape w14:anchorId="4C4B24D2"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8924E5" w14:textId="77777777" w:rsidR="00F13989" w:rsidRDefault="004E5FEA">
                    <w:pPr>
                      <w:pStyle w:val="Referentiegegevensbold"/>
                    </w:pPr>
                    <w:r>
                      <w:t>Rechtspleging en  Rechtshandhaving</w:t>
                    </w:r>
                  </w:p>
                  <w:p w14:paraId="2B595476" w14:textId="77777777" w:rsidR="00F13989" w:rsidRDefault="004E5FEA">
                    <w:pPr>
                      <w:pStyle w:val="Referentiegegevens"/>
                    </w:pPr>
                    <w:r>
                      <w:t>Veiligheid en Bestuur</w:t>
                    </w:r>
                  </w:p>
                  <w:p w14:paraId="1D0A0298" w14:textId="77777777" w:rsidR="00F13989" w:rsidRDefault="00F13989">
                    <w:pPr>
                      <w:pStyle w:val="WitregelW1"/>
                    </w:pPr>
                  </w:p>
                  <w:p w14:paraId="24123EE3" w14:textId="77777777" w:rsidR="00F13989" w:rsidRPr="002918B0" w:rsidRDefault="004E5FEA">
                    <w:pPr>
                      <w:pStyle w:val="Referentiegegevens"/>
                      <w:rPr>
                        <w:lang w:val="de-DE"/>
                      </w:rPr>
                    </w:pPr>
                    <w:proofErr w:type="spellStart"/>
                    <w:r w:rsidRPr="002918B0">
                      <w:rPr>
                        <w:lang w:val="de-DE"/>
                      </w:rPr>
                      <w:t>Turfmarkt</w:t>
                    </w:r>
                    <w:proofErr w:type="spellEnd"/>
                    <w:r w:rsidRPr="002918B0">
                      <w:rPr>
                        <w:lang w:val="de-DE"/>
                      </w:rPr>
                      <w:t xml:space="preserve"> 147</w:t>
                    </w:r>
                  </w:p>
                  <w:p w14:paraId="6B0350BF" w14:textId="77777777" w:rsidR="00F13989" w:rsidRPr="002918B0" w:rsidRDefault="004E5FEA">
                    <w:pPr>
                      <w:pStyle w:val="Referentiegegevens"/>
                      <w:rPr>
                        <w:lang w:val="de-DE"/>
                      </w:rPr>
                    </w:pPr>
                    <w:r w:rsidRPr="002918B0">
                      <w:rPr>
                        <w:lang w:val="de-DE"/>
                      </w:rPr>
                      <w:t>2511 DP  Den Haag</w:t>
                    </w:r>
                  </w:p>
                  <w:p w14:paraId="793D97C2" w14:textId="77777777" w:rsidR="00F13989" w:rsidRPr="002918B0" w:rsidRDefault="004E5FEA">
                    <w:pPr>
                      <w:pStyle w:val="Referentiegegevens"/>
                      <w:rPr>
                        <w:lang w:val="de-DE"/>
                      </w:rPr>
                    </w:pPr>
                    <w:r w:rsidRPr="002918B0">
                      <w:rPr>
                        <w:lang w:val="de-DE"/>
                      </w:rPr>
                      <w:t>www.rijksoverheid.nl/jenv</w:t>
                    </w:r>
                  </w:p>
                  <w:p w14:paraId="4AF3EEBA" w14:textId="77777777" w:rsidR="00F13989" w:rsidRPr="002918B0" w:rsidRDefault="00F13989">
                    <w:pPr>
                      <w:pStyle w:val="WitregelW2"/>
                      <w:rPr>
                        <w:lang w:val="de-DE"/>
                      </w:rPr>
                    </w:pPr>
                  </w:p>
                  <w:p w14:paraId="0B1A3C27" w14:textId="77777777" w:rsidR="00F13989" w:rsidRDefault="004E5FEA">
                    <w:pPr>
                      <w:pStyle w:val="Referentiegegevensbold"/>
                    </w:pPr>
                    <w:r>
                      <w:t>Onze referentie</w:t>
                    </w:r>
                  </w:p>
                  <w:p w14:paraId="08824AD6" w14:textId="77777777" w:rsidR="00F13989" w:rsidRDefault="004E5FEA">
                    <w:pPr>
                      <w:pStyle w:val="Referentiegegevens"/>
                    </w:pPr>
                    <w:r>
                      <w:t>6314782</w:t>
                    </w:r>
                  </w:p>
                  <w:p w14:paraId="097D9CBB" w14:textId="77777777" w:rsidR="00F13989" w:rsidRDefault="00F13989">
                    <w:pPr>
                      <w:pStyle w:val="WitregelW1"/>
                    </w:pPr>
                  </w:p>
                  <w:p w14:paraId="32F2731F" w14:textId="77777777" w:rsidR="00F13989" w:rsidRDefault="004E5FEA">
                    <w:pPr>
                      <w:pStyle w:val="Referentiegegevensbold"/>
                    </w:pPr>
                    <w:r>
                      <w:t>Bijlage(n)</w:t>
                    </w:r>
                  </w:p>
                  <w:p w14:paraId="1A374727" w14:textId="77777777" w:rsidR="00F13989" w:rsidRDefault="004E5FEA">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9BCFF3D" wp14:editId="7298AB5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3B93C3" w14:textId="77777777" w:rsidR="00892033" w:rsidRDefault="00892033"/>
                      </w:txbxContent>
                    </wps:txbx>
                    <wps:bodyPr vert="horz" wrap="square" lIns="0" tIns="0" rIns="0" bIns="0" anchor="t" anchorCtr="0"/>
                  </wps:wsp>
                </a:graphicData>
              </a:graphic>
            </wp:anchor>
          </w:drawing>
        </mc:Choice>
        <mc:Fallback>
          <w:pict>
            <v:shape w14:anchorId="49BCFF3D"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13B93C3" w14:textId="77777777" w:rsidR="00892033" w:rsidRDefault="0089203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F1FCD3" wp14:editId="0F7D0AC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B4C717" w14:textId="77777777" w:rsidR="00F13989" w:rsidRDefault="004E5FEA">
                          <w:pPr>
                            <w:pStyle w:val="Referentiegegevens"/>
                          </w:pPr>
                          <w:r>
                            <w:t xml:space="preserve">Pagina </w:t>
                          </w:r>
                          <w:r>
                            <w:fldChar w:fldCharType="begin"/>
                          </w:r>
                          <w:r>
                            <w:instrText>PAGE</w:instrText>
                          </w:r>
                          <w:r>
                            <w:fldChar w:fldCharType="separate"/>
                          </w:r>
                          <w:r w:rsidR="00E97949">
                            <w:rPr>
                              <w:noProof/>
                            </w:rPr>
                            <w:t>6314782</w:t>
                          </w:r>
                          <w:r>
                            <w:fldChar w:fldCharType="end"/>
                          </w:r>
                          <w:r>
                            <w:t xml:space="preserve"> van </w:t>
                          </w:r>
                          <w:r>
                            <w:fldChar w:fldCharType="begin"/>
                          </w:r>
                          <w:r>
                            <w:instrText>NUMPAGES</w:instrText>
                          </w:r>
                          <w:r>
                            <w:fldChar w:fldCharType="separate"/>
                          </w:r>
                          <w:r w:rsidR="00E97949">
                            <w:rPr>
                              <w:noProof/>
                            </w:rPr>
                            <w:t>6314782</w:t>
                          </w:r>
                          <w:r>
                            <w:fldChar w:fldCharType="end"/>
                          </w:r>
                        </w:p>
                      </w:txbxContent>
                    </wps:txbx>
                    <wps:bodyPr vert="horz" wrap="square" lIns="0" tIns="0" rIns="0" bIns="0" anchor="t" anchorCtr="0"/>
                  </wps:wsp>
                </a:graphicData>
              </a:graphic>
            </wp:anchor>
          </w:drawing>
        </mc:Choice>
        <mc:Fallback>
          <w:pict>
            <v:shape w14:anchorId="65F1FCD3"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1B4C717" w14:textId="77777777" w:rsidR="00F13989" w:rsidRDefault="004E5FEA">
                    <w:pPr>
                      <w:pStyle w:val="Referentiegegevens"/>
                    </w:pPr>
                    <w:r>
                      <w:t xml:space="preserve">Pagina </w:t>
                    </w:r>
                    <w:r>
                      <w:fldChar w:fldCharType="begin"/>
                    </w:r>
                    <w:r>
                      <w:instrText>PAGE</w:instrText>
                    </w:r>
                    <w:r>
                      <w:fldChar w:fldCharType="separate"/>
                    </w:r>
                    <w:r w:rsidR="00E97949">
                      <w:rPr>
                        <w:noProof/>
                      </w:rPr>
                      <w:t>6314782</w:t>
                    </w:r>
                    <w:r>
                      <w:fldChar w:fldCharType="end"/>
                    </w:r>
                    <w:r>
                      <w:t xml:space="preserve"> van </w:t>
                    </w:r>
                    <w:r>
                      <w:fldChar w:fldCharType="begin"/>
                    </w:r>
                    <w:r>
                      <w:instrText>NUMPAGES</w:instrText>
                    </w:r>
                    <w:r>
                      <w:fldChar w:fldCharType="separate"/>
                    </w:r>
                    <w:r w:rsidR="00E97949">
                      <w:rPr>
                        <w:noProof/>
                      </w:rPr>
                      <w:t>6314782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139C95" wp14:editId="4A6AD89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D282F3" w14:textId="77777777" w:rsidR="00F13989" w:rsidRDefault="004E5FEA">
                          <w:pPr>
                            <w:spacing w:line="240" w:lineRule="auto"/>
                          </w:pPr>
                          <w:r>
                            <w:rPr>
                              <w:noProof/>
                            </w:rPr>
                            <w:drawing>
                              <wp:inline distT="0" distB="0" distL="0" distR="0" wp14:anchorId="538392B7" wp14:editId="79A04E38">
                                <wp:extent cx="467995" cy="1583865"/>
                                <wp:effectExtent l="0" t="0" r="0" b="0"/>
                                <wp:docPr id="30653113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139C95"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2D282F3" w14:textId="77777777" w:rsidR="00F13989" w:rsidRDefault="004E5FEA">
                    <w:pPr>
                      <w:spacing w:line="240" w:lineRule="auto"/>
                    </w:pPr>
                    <w:r>
                      <w:rPr>
                        <w:noProof/>
                      </w:rPr>
                      <w:drawing>
                        <wp:inline distT="0" distB="0" distL="0" distR="0" wp14:anchorId="538392B7" wp14:editId="79A04E38">
                          <wp:extent cx="467995" cy="1583865"/>
                          <wp:effectExtent l="0" t="0" r="0" b="0"/>
                          <wp:docPr id="30653113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051319" wp14:editId="5DBA568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153BD1" w14:textId="77777777" w:rsidR="00F13989" w:rsidRDefault="004E5FEA">
                          <w:pPr>
                            <w:spacing w:line="240" w:lineRule="auto"/>
                          </w:pPr>
                          <w:r>
                            <w:rPr>
                              <w:noProof/>
                            </w:rPr>
                            <w:drawing>
                              <wp:inline distT="0" distB="0" distL="0" distR="0" wp14:anchorId="15E5AF16" wp14:editId="277A9278">
                                <wp:extent cx="2339975" cy="1582834"/>
                                <wp:effectExtent l="0" t="0" r="0" b="0"/>
                                <wp:docPr id="13000542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051319"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153BD1" w14:textId="77777777" w:rsidR="00F13989" w:rsidRDefault="004E5FEA">
                    <w:pPr>
                      <w:spacing w:line="240" w:lineRule="auto"/>
                    </w:pPr>
                    <w:r>
                      <w:rPr>
                        <w:noProof/>
                      </w:rPr>
                      <w:drawing>
                        <wp:inline distT="0" distB="0" distL="0" distR="0" wp14:anchorId="15E5AF16" wp14:editId="277A9278">
                          <wp:extent cx="2339975" cy="1582834"/>
                          <wp:effectExtent l="0" t="0" r="0" b="0"/>
                          <wp:docPr id="13000542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9799CB" wp14:editId="62F3F36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D76015" w14:textId="77777777" w:rsidR="00F13989" w:rsidRDefault="004E5FE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509799CB"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D76015" w14:textId="77777777" w:rsidR="00F13989" w:rsidRDefault="004E5FEA">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9CAFE"/>
    <w:multiLevelType w:val="multilevel"/>
    <w:tmpl w:val="8EB79B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BB2BB3"/>
    <w:multiLevelType w:val="multilevel"/>
    <w:tmpl w:val="67D7D98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5DE7AD1"/>
    <w:multiLevelType w:val="multilevel"/>
    <w:tmpl w:val="5329B2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EA604F"/>
    <w:multiLevelType w:val="multilevel"/>
    <w:tmpl w:val="FC8169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519005F"/>
    <w:multiLevelType w:val="multilevel"/>
    <w:tmpl w:val="EC45B8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66DACF"/>
    <w:multiLevelType w:val="multilevel"/>
    <w:tmpl w:val="69DE0BE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37471410">
    <w:abstractNumId w:val="5"/>
  </w:num>
  <w:num w:numId="2" w16cid:durableId="1785029309">
    <w:abstractNumId w:val="1"/>
  </w:num>
  <w:num w:numId="3" w16cid:durableId="1195657730">
    <w:abstractNumId w:val="0"/>
  </w:num>
  <w:num w:numId="4" w16cid:durableId="1013264130">
    <w:abstractNumId w:val="2"/>
  </w:num>
  <w:num w:numId="5" w16cid:durableId="1888180696">
    <w:abstractNumId w:val="3"/>
  </w:num>
  <w:num w:numId="6" w16cid:durableId="1559322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49"/>
    <w:rsid w:val="00047496"/>
    <w:rsid w:val="00047B25"/>
    <w:rsid w:val="000757D1"/>
    <w:rsid w:val="00224B21"/>
    <w:rsid w:val="0023600F"/>
    <w:rsid w:val="00240A27"/>
    <w:rsid w:val="002918B0"/>
    <w:rsid w:val="002A02C7"/>
    <w:rsid w:val="002C7051"/>
    <w:rsid w:val="00300285"/>
    <w:rsid w:val="00301118"/>
    <w:rsid w:val="00311BBE"/>
    <w:rsid w:val="0033718F"/>
    <w:rsid w:val="00347607"/>
    <w:rsid w:val="00425941"/>
    <w:rsid w:val="004544EB"/>
    <w:rsid w:val="004613C1"/>
    <w:rsid w:val="004C5181"/>
    <w:rsid w:val="004E5FEA"/>
    <w:rsid w:val="004F69C9"/>
    <w:rsid w:val="00526C8D"/>
    <w:rsid w:val="0054127C"/>
    <w:rsid w:val="00543B98"/>
    <w:rsid w:val="005F505B"/>
    <w:rsid w:val="006304D8"/>
    <w:rsid w:val="00695D3D"/>
    <w:rsid w:val="006B11E7"/>
    <w:rsid w:val="007143E8"/>
    <w:rsid w:val="007F13B0"/>
    <w:rsid w:val="007F649D"/>
    <w:rsid w:val="008164BA"/>
    <w:rsid w:val="0083676C"/>
    <w:rsid w:val="00842EA7"/>
    <w:rsid w:val="00891043"/>
    <w:rsid w:val="008915F2"/>
    <w:rsid w:val="00892033"/>
    <w:rsid w:val="008F0043"/>
    <w:rsid w:val="00904B7F"/>
    <w:rsid w:val="00926636"/>
    <w:rsid w:val="00986FC5"/>
    <w:rsid w:val="009F13ED"/>
    <w:rsid w:val="009F249C"/>
    <w:rsid w:val="00A42AC1"/>
    <w:rsid w:val="00A86ED5"/>
    <w:rsid w:val="00B25265"/>
    <w:rsid w:val="00B861AB"/>
    <w:rsid w:val="00B87F7C"/>
    <w:rsid w:val="00B96247"/>
    <w:rsid w:val="00CC5760"/>
    <w:rsid w:val="00D34FEA"/>
    <w:rsid w:val="00D37FA8"/>
    <w:rsid w:val="00D76A06"/>
    <w:rsid w:val="00DE0B46"/>
    <w:rsid w:val="00E07A2B"/>
    <w:rsid w:val="00E17CBA"/>
    <w:rsid w:val="00E24EC7"/>
    <w:rsid w:val="00E35282"/>
    <w:rsid w:val="00E55AF7"/>
    <w:rsid w:val="00E82F75"/>
    <w:rsid w:val="00E97949"/>
    <w:rsid w:val="00F04D0C"/>
    <w:rsid w:val="00F13989"/>
    <w:rsid w:val="00F67547"/>
    <w:rsid w:val="00F83541"/>
    <w:rsid w:val="00FD1E50"/>
    <w:rsid w:val="00FD6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uiPriority w:val="9"/>
    <w:rsid w:val="002918B0"/>
    <w:rPr>
      <w:rFonts w:ascii="Verdana" w:hAnsi="Verdana"/>
      <w:b/>
      <w:color w:val="000000"/>
      <w:sz w:val="18"/>
      <w:szCs w:val="18"/>
    </w:rPr>
  </w:style>
  <w:style w:type="paragraph" w:styleId="Plattetekst">
    <w:name w:val="Body Text"/>
    <w:basedOn w:val="Standaard"/>
    <w:link w:val="PlattetekstChar"/>
    <w:uiPriority w:val="1"/>
    <w:qFormat/>
    <w:rsid w:val="002918B0"/>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2918B0"/>
    <w:rPr>
      <w:rFonts w:ascii="Verdana" w:eastAsia="Verdana" w:hAnsi="Verdana" w:cs="Verdana"/>
      <w:sz w:val="18"/>
      <w:szCs w:val="18"/>
      <w:lang w:eastAsia="en-US"/>
    </w:rPr>
  </w:style>
  <w:style w:type="paragraph" w:styleId="Voetnoottekst">
    <w:name w:val="footnote text"/>
    <w:basedOn w:val="Standaard"/>
    <w:link w:val="VoetnoottekstChar"/>
    <w:unhideWhenUsed/>
    <w:rsid w:val="002918B0"/>
    <w:pPr>
      <w:autoSpaceDN/>
      <w:spacing w:line="240" w:lineRule="auto"/>
      <w:textAlignment w:val="auto"/>
    </w:pPr>
    <w:rPr>
      <w:rFonts w:eastAsia="Times New Roman" w:cs="Times New Roman"/>
      <w:bCs/>
      <w:color w:val="auto"/>
      <w:sz w:val="20"/>
      <w:szCs w:val="20"/>
    </w:rPr>
  </w:style>
  <w:style w:type="character" w:customStyle="1" w:styleId="VoetnoottekstChar">
    <w:name w:val="Voetnoottekst Char"/>
    <w:basedOn w:val="Standaardalinea-lettertype"/>
    <w:link w:val="Voetnoottekst"/>
    <w:rsid w:val="002918B0"/>
    <w:rPr>
      <w:rFonts w:ascii="Verdana" w:eastAsia="Times New Roman" w:hAnsi="Verdana" w:cs="Times New Roman"/>
      <w:bCs/>
    </w:rPr>
  </w:style>
  <w:style w:type="paragraph" w:styleId="Koptekst">
    <w:name w:val="header"/>
    <w:basedOn w:val="Standaard"/>
    <w:link w:val="KoptekstChar"/>
    <w:uiPriority w:val="99"/>
    <w:unhideWhenUsed/>
    <w:rsid w:val="003371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8F"/>
    <w:rPr>
      <w:rFonts w:ascii="Verdana" w:hAnsi="Verdana"/>
      <w:color w:val="000000"/>
      <w:sz w:val="18"/>
      <w:szCs w:val="18"/>
    </w:rPr>
  </w:style>
  <w:style w:type="character" w:customStyle="1" w:styleId="VoettekstChar">
    <w:name w:val="Voettekst Char"/>
    <w:basedOn w:val="Standaardalinea-lettertype"/>
    <w:link w:val="Voettekst"/>
    <w:uiPriority w:val="99"/>
    <w:rsid w:val="0033718F"/>
    <w:rPr>
      <w:rFonts w:ascii="Verdana" w:hAnsi="Verdana"/>
      <w:color w:val="000000"/>
      <w:sz w:val="13"/>
      <w:szCs w:val="13"/>
    </w:rPr>
  </w:style>
  <w:style w:type="character" w:styleId="Voetnootmarkering">
    <w:name w:val="footnote reference"/>
    <w:unhideWhenUsed/>
    <w:rsid w:val="00337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1727</ap:Words>
  <ap:Characters>9503</ap:Characters>
  <ap:DocSecurity>0</ap:DocSecurity>
  <ap:Lines>79</ap:Lines>
  <ap:Paragraphs>22</ap:Paragraphs>
  <ap:ScaleCrop>false</ap:ScaleCrop>
  <ap:LinksUpToDate>false</ap:LinksUpToDate>
  <ap:CharactersWithSpaces>11208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2025-05-12T08:31:00.0000000Z</dcterms:created>
  <dcterms:modified xsi:type="dcterms:W3CDTF">2025-05-12T08:32:00.0000000Z</dcterms:modified>
  <dc:description>------------------------</dc:description>
  <dc:subject/>
  <keywords/>
  <version/>
  <category/>
</coreProperties>
</file>